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97EC1" w14:textId="7BD7DC48" w:rsidR="005503CB" w:rsidRDefault="005503CB" w:rsidP="005503CB">
      <w:pPr>
        <w:spacing w:after="0"/>
        <w:ind w:right="241"/>
        <w:jc w:val="right"/>
      </w:pPr>
      <w:r>
        <w:rPr>
          <w:rFonts w:ascii="Arial" w:eastAsia="Arial" w:hAnsi="Arial" w:cs="Arial"/>
          <w:b/>
          <w:sz w:val="22"/>
        </w:rPr>
        <w:t xml:space="preserve">APPENDIX GA36a </w:t>
      </w:r>
      <w:r>
        <w:rPr>
          <w:rFonts w:ascii="Arial" w:eastAsia="Arial" w:hAnsi="Arial" w:cs="Arial"/>
          <w:sz w:val="22"/>
        </w:rPr>
        <w:t xml:space="preserve"> </w:t>
      </w:r>
    </w:p>
    <w:p w14:paraId="5CD09278" w14:textId="77777777" w:rsidR="005503CB" w:rsidRDefault="005503CB" w:rsidP="005503CB">
      <w:pPr>
        <w:pStyle w:val="Heading1"/>
        <w:pBdr>
          <w:top w:val="single" w:sz="4" w:space="0" w:color="000000"/>
          <w:left w:val="single" w:sz="4" w:space="0" w:color="000000"/>
          <w:bottom w:val="single" w:sz="4" w:space="0" w:color="000000"/>
          <w:right w:val="single" w:sz="4" w:space="30" w:color="000000"/>
        </w:pBdr>
        <w:shd w:val="clear" w:color="auto" w:fill="C0C0C0"/>
        <w:spacing w:line="240" w:lineRule="auto"/>
        <w:ind w:left="54" w:right="30"/>
        <w:jc w:val="center"/>
      </w:pPr>
      <w:bookmarkStart w:id="0" w:name="_Toc205058035"/>
      <w:r>
        <w:t>LEVEL 4 ASSESSMENT SPECIFICATION</w:t>
      </w:r>
      <w:bookmarkEnd w:id="0"/>
      <w:r>
        <w:t xml:space="preserve">  </w:t>
      </w:r>
    </w:p>
    <w:tbl>
      <w:tblPr>
        <w:tblStyle w:val="TableGrid0"/>
        <w:tblpPr w:leftFromText="180" w:rightFromText="180" w:vertAnchor="text" w:horzAnchor="margin" w:tblpXSpec="center" w:tblpY="159"/>
        <w:tblW w:w="10121" w:type="dxa"/>
        <w:tblInd w:w="0" w:type="dxa"/>
        <w:tblCellMar>
          <w:top w:w="0" w:type="dxa"/>
          <w:left w:w="0" w:type="dxa"/>
          <w:bottom w:w="0" w:type="dxa"/>
          <w:right w:w="46" w:type="dxa"/>
        </w:tblCellMar>
        <w:tblLook w:val="04A0" w:firstRow="1" w:lastRow="0" w:firstColumn="1" w:lastColumn="0" w:noHBand="0" w:noVBand="1"/>
      </w:tblPr>
      <w:tblGrid>
        <w:gridCol w:w="2129"/>
        <w:gridCol w:w="3099"/>
        <w:gridCol w:w="2596"/>
        <w:gridCol w:w="2297"/>
      </w:tblGrid>
      <w:tr w:rsidR="005503CB" w14:paraId="14AECD9B" w14:textId="77777777" w:rsidTr="005503CB">
        <w:trPr>
          <w:trHeight w:val="436"/>
        </w:trPr>
        <w:tc>
          <w:tcPr>
            <w:tcW w:w="2129" w:type="dxa"/>
            <w:tcBorders>
              <w:top w:val="single" w:sz="4" w:space="0" w:color="000000"/>
              <w:left w:val="single" w:sz="4" w:space="0" w:color="000000"/>
              <w:bottom w:val="single" w:sz="4" w:space="0" w:color="000000"/>
              <w:right w:val="single" w:sz="4" w:space="0" w:color="000000"/>
            </w:tcBorders>
            <w:vAlign w:val="center"/>
          </w:tcPr>
          <w:p w14:paraId="45E51BAE" w14:textId="77777777" w:rsidR="005503CB" w:rsidRDefault="005503CB" w:rsidP="005503CB">
            <w:pPr>
              <w:spacing w:after="0" w:line="240" w:lineRule="auto"/>
            </w:pPr>
            <w:r>
              <w:rPr>
                <w:rFonts w:ascii="Arial" w:eastAsia="Arial" w:hAnsi="Arial" w:cs="Arial"/>
                <w:b/>
                <w:sz w:val="22"/>
              </w:rPr>
              <w:t xml:space="preserve">Student name: </w:t>
            </w:r>
          </w:p>
        </w:tc>
        <w:tc>
          <w:tcPr>
            <w:tcW w:w="3099" w:type="dxa"/>
            <w:tcBorders>
              <w:top w:val="single" w:sz="4" w:space="0" w:color="000000"/>
              <w:left w:val="single" w:sz="4" w:space="0" w:color="000000"/>
              <w:bottom w:val="single" w:sz="4" w:space="0" w:color="000000"/>
              <w:right w:val="single" w:sz="4" w:space="0" w:color="000000"/>
            </w:tcBorders>
            <w:vAlign w:val="center"/>
          </w:tcPr>
          <w:p w14:paraId="0163CEA3" w14:textId="77777777" w:rsidR="005503CB" w:rsidRDefault="005503CB" w:rsidP="005503CB">
            <w:pPr>
              <w:spacing w:after="0" w:line="240" w:lineRule="auto"/>
              <w:ind w:left="2"/>
            </w:pPr>
            <w:r>
              <w:rPr>
                <w:rFonts w:ascii="Arial" w:eastAsia="Arial" w:hAnsi="Arial" w:cs="Arial"/>
                <w:b/>
                <w:sz w:val="22"/>
              </w:rPr>
              <w:t xml:space="preserve">      </w:t>
            </w:r>
          </w:p>
        </w:tc>
        <w:tc>
          <w:tcPr>
            <w:tcW w:w="25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FAF052" w14:textId="77777777" w:rsidR="005503CB" w:rsidRDefault="005503CB" w:rsidP="005503CB">
            <w:pPr>
              <w:spacing w:after="0" w:line="240" w:lineRule="auto"/>
              <w:ind w:left="1"/>
            </w:pPr>
            <w:r>
              <w:rPr>
                <w:rFonts w:ascii="Arial" w:eastAsia="Arial" w:hAnsi="Arial" w:cs="Arial"/>
                <w:b/>
                <w:sz w:val="22"/>
              </w:rPr>
              <w:t xml:space="preserve">Student ID number: </w:t>
            </w:r>
          </w:p>
        </w:tc>
        <w:tc>
          <w:tcPr>
            <w:tcW w:w="2296" w:type="dxa"/>
            <w:tcBorders>
              <w:top w:val="single" w:sz="4" w:space="0" w:color="000000"/>
              <w:left w:val="single" w:sz="4" w:space="0" w:color="000000"/>
              <w:bottom w:val="single" w:sz="4" w:space="0" w:color="000000"/>
              <w:right w:val="single" w:sz="4" w:space="0" w:color="000000"/>
            </w:tcBorders>
            <w:vAlign w:val="center"/>
          </w:tcPr>
          <w:p w14:paraId="71E260F7" w14:textId="77777777" w:rsidR="005503CB" w:rsidRDefault="005503CB" w:rsidP="005503CB">
            <w:pPr>
              <w:spacing w:after="0" w:line="240" w:lineRule="auto"/>
              <w:ind w:left="4"/>
            </w:pPr>
            <w:r>
              <w:rPr>
                <w:rFonts w:ascii="Arial" w:eastAsia="Arial" w:hAnsi="Arial" w:cs="Arial"/>
                <w:b/>
                <w:sz w:val="22"/>
              </w:rPr>
              <w:t xml:space="preserve"> </w:t>
            </w:r>
          </w:p>
        </w:tc>
      </w:tr>
      <w:tr w:rsidR="005503CB" w14:paraId="091874BD" w14:textId="77777777" w:rsidTr="005503CB">
        <w:trPr>
          <w:trHeight w:val="646"/>
        </w:trPr>
        <w:tc>
          <w:tcPr>
            <w:tcW w:w="2129" w:type="dxa"/>
            <w:tcBorders>
              <w:top w:val="single" w:sz="4" w:space="0" w:color="000000"/>
              <w:left w:val="single" w:sz="4" w:space="0" w:color="000000"/>
              <w:bottom w:val="single" w:sz="4" w:space="0" w:color="000000"/>
              <w:right w:val="single" w:sz="4" w:space="0" w:color="000000"/>
            </w:tcBorders>
            <w:shd w:val="clear" w:color="auto" w:fill="D9D9D9"/>
          </w:tcPr>
          <w:p w14:paraId="1112801D" w14:textId="77777777" w:rsidR="005503CB" w:rsidRDefault="005503CB" w:rsidP="005503CB">
            <w:pPr>
              <w:spacing w:after="0" w:line="240" w:lineRule="auto"/>
              <w:jc w:val="left"/>
            </w:pPr>
            <w:r>
              <w:rPr>
                <w:rFonts w:ascii="Arial" w:eastAsia="Arial" w:hAnsi="Arial" w:cs="Arial"/>
                <w:b/>
                <w:sz w:val="22"/>
              </w:rPr>
              <w:t xml:space="preserve">Programme: </w:t>
            </w:r>
          </w:p>
        </w:tc>
        <w:tc>
          <w:tcPr>
            <w:tcW w:w="7992" w:type="dxa"/>
            <w:gridSpan w:val="3"/>
            <w:tcBorders>
              <w:top w:val="single" w:sz="4" w:space="0" w:color="000000"/>
              <w:left w:val="single" w:sz="4" w:space="0" w:color="000000"/>
              <w:bottom w:val="single" w:sz="4" w:space="0" w:color="000000"/>
              <w:right w:val="single" w:sz="4" w:space="0" w:color="000000"/>
            </w:tcBorders>
            <w:vAlign w:val="center"/>
          </w:tcPr>
          <w:p w14:paraId="0DC992FC" w14:textId="77777777" w:rsidR="005503CB" w:rsidRDefault="005503CB" w:rsidP="005503CB">
            <w:pPr>
              <w:spacing w:after="0" w:line="240" w:lineRule="auto"/>
              <w:ind w:left="2"/>
              <w:jc w:val="left"/>
            </w:pPr>
            <w:r>
              <w:rPr>
                <w:rFonts w:ascii="Arial" w:eastAsia="Arial" w:hAnsi="Arial" w:cs="Arial"/>
                <w:b/>
                <w:sz w:val="22"/>
              </w:rPr>
              <w:t xml:space="preserve">Certificate of Higher Education Skills for the Workplace (Health &amp; Social Care) </w:t>
            </w:r>
          </w:p>
        </w:tc>
      </w:tr>
      <w:tr w:rsidR="005503CB" w14:paraId="2B830F77" w14:textId="77777777" w:rsidTr="005503CB">
        <w:trPr>
          <w:trHeight w:val="434"/>
        </w:trPr>
        <w:tc>
          <w:tcPr>
            <w:tcW w:w="2129" w:type="dxa"/>
            <w:tcBorders>
              <w:top w:val="single" w:sz="4" w:space="0" w:color="000000"/>
              <w:left w:val="single" w:sz="4" w:space="0" w:color="000000"/>
              <w:bottom w:val="single" w:sz="4" w:space="0" w:color="000000"/>
              <w:right w:val="single" w:sz="4" w:space="0" w:color="000000"/>
            </w:tcBorders>
            <w:vAlign w:val="center"/>
          </w:tcPr>
          <w:p w14:paraId="0A432A11" w14:textId="77777777" w:rsidR="005503CB" w:rsidRDefault="005503CB" w:rsidP="005503CB">
            <w:pPr>
              <w:spacing w:after="0" w:line="240" w:lineRule="auto"/>
              <w:jc w:val="left"/>
            </w:pPr>
            <w:r>
              <w:rPr>
                <w:rFonts w:ascii="Arial" w:eastAsia="Arial" w:hAnsi="Arial" w:cs="Arial"/>
                <w:b/>
                <w:sz w:val="22"/>
              </w:rPr>
              <w:t xml:space="preserve">Module: </w:t>
            </w:r>
          </w:p>
        </w:tc>
        <w:tc>
          <w:tcPr>
            <w:tcW w:w="7992" w:type="dxa"/>
            <w:gridSpan w:val="3"/>
            <w:tcBorders>
              <w:top w:val="single" w:sz="4" w:space="0" w:color="000000"/>
              <w:left w:val="single" w:sz="4" w:space="0" w:color="000000"/>
              <w:bottom w:val="single" w:sz="4" w:space="0" w:color="000000"/>
              <w:right w:val="single" w:sz="4" w:space="0" w:color="000000"/>
            </w:tcBorders>
            <w:vAlign w:val="center"/>
          </w:tcPr>
          <w:p w14:paraId="4DB17284" w14:textId="77777777" w:rsidR="005503CB" w:rsidRDefault="005503CB" w:rsidP="005503CB">
            <w:pPr>
              <w:spacing w:after="0" w:line="240" w:lineRule="auto"/>
              <w:ind w:left="2"/>
              <w:jc w:val="left"/>
            </w:pPr>
            <w:r>
              <w:rPr>
                <w:rFonts w:ascii="Arial" w:eastAsia="Arial" w:hAnsi="Arial" w:cs="Arial"/>
                <w:b/>
                <w:sz w:val="22"/>
              </w:rPr>
              <w:t xml:space="preserve">Introduction to Health and Social Care </w:t>
            </w:r>
          </w:p>
        </w:tc>
      </w:tr>
      <w:tr w:rsidR="005503CB" w14:paraId="58A3E6A3" w14:textId="77777777" w:rsidTr="005503CB">
        <w:trPr>
          <w:trHeight w:val="656"/>
        </w:trPr>
        <w:tc>
          <w:tcPr>
            <w:tcW w:w="2129" w:type="dxa"/>
            <w:tcBorders>
              <w:top w:val="single" w:sz="4" w:space="0" w:color="000000"/>
              <w:left w:val="single" w:sz="4" w:space="0" w:color="000000"/>
              <w:bottom w:val="single" w:sz="4" w:space="0" w:color="000000"/>
              <w:right w:val="single" w:sz="4" w:space="0" w:color="000000"/>
            </w:tcBorders>
          </w:tcPr>
          <w:p w14:paraId="5DF51614" w14:textId="77777777" w:rsidR="005503CB" w:rsidRDefault="005503CB" w:rsidP="005503CB">
            <w:pPr>
              <w:spacing w:after="0" w:line="240" w:lineRule="auto"/>
              <w:jc w:val="left"/>
            </w:pPr>
            <w:r>
              <w:rPr>
                <w:rFonts w:ascii="Arial" w:eastAsia="Arial" w:hAnsi="Arial" w:cs="Arial"/>
                <w:b/>
                <w:sz w:val="22"/>
              </w:rPr>
              <w:t xml:space="preserve">Module code: </w:t>
            </w:r>
          </w:p>
        </w:tc>
        <w:tc>
          <w:tcPr>
            <w:tcW w:w="3099" w:type="dxa"/>
            <w:tcBorders>
              <w:top w:val="single" w:sz="4" w:space="0" w:color="000000"/>
              <w:left w:val="single" w:sz="4" w:space="0" w:color="000000"/>
              <w:bottom w:val="single" w:sz="4" w:space="0" w:color="000000"/>
              <w:right w:val="single" w:sz="4" w:space="0" w:color="000000"/>
            </w:tcBorders>
          </w:tcPr>
          <w:p w14:paraId="1E5CF2E8" w14:textId="77777777" w:rsidR="005503CB" w:rsidRDefault="005503CB" w:rsidP="005503CB">
            <w:pPr>
              <w:spacing w:after="0" w:line="240" w:lineRule="auto"/>
              <w:ind w:left="2"/>
              <w:jc w:val="left"/>
            </w:pPr>
            <w:r>
              <w:rPr>
                <w:rFonts w:ascii="Arial" w:eastAsia="Arial" w:hAnsi="Arial" w:cs="Arial"/>
                <w:b/>
                <w:sz w:val="22"/>
              </w:rPr>
              <w:t xml:space="preserve">LCHS4003 </w:t>
            </w:r>
          </w:p>
        </w:tc>
        <w:tc>
          <w:tcPr>
            <w:tcW w:w="2596" w:type="dxa"/>
            <w:tcBorders>
              <w:top w:val="single" w:sz="4" w:space="0" w:color="000000"/>
              <w:left w:val="single" w:sz="4" w:space="0" w:color="000000"/>
              <w:bottom w:val="single" w:sz="4" w:space="0" w:color="000000"/>
              <w:right w:val="single" w:sz="4" w:space="0" w:color="000000"/>
            </w:tcBorders>
            <w:shd w:val="clear" w:color="auto" w:fill="D9D9D9"/>
          </w:tcPr>
          <w:p w14:paraId="6EDF687F" w14:textId="77777777" w:rsidR="005503CB" w:rsidRDefault="005503CB" w:rsidP="005503CB">
            <w:pPr>
              <w:spacing w:after="0" w:line="240" w:lineRule="auto"/>
              <w:ind w:left="1"/>
              <w:jc w:val="left"/>
            </w:pPr>
            <w:r>
              <w:rPr>
                <w:rFonts w:ascii="Arial" w:eastAsia="Arial" w:hAnsi="Arial" w:cs="Arial"/>
                <w:b/>
                <w:sz w:val="22"/>
              </w:rPr>
              <w:t xml:space="preserve">Contribution to Overall Module </w:t>
            </w:r>
          </w:p>
          <w:p w14:paraId="0BB8D583" w14:textId="77777777" w:rsidR="005503CB" w:rsidRDefault="005503CB" w:rsidP="005503CB">
            <w:pPr>
              <w:spacing w:after="0" w:line="240" w:lineRule="auto"/>
              <w:ind w:left="1"/>
              <w:jc w:val="left"/>
            </w:pPr>
            <w:r>
              <w:rPr>
                <w:rFonts w:ascii="Arial" w:eastAsia="Arial" w:hAnsi="Arial" w:cs="Arial"/>
                <w:b/>
                <w:sz w:val="22"/>
              </w:rPr>
              <w:t xml:space="preserve">Assessment (%): </w:t>
            </w:r>
          </w:p>
        </w:tc>
        <w:tc>
          <w:tcPr>
            <w:tcW w:w="2296" w:type="dxa"/>
            <w:tcBorders>
              <w:top w:val="single" w:sz="4" w:space="0" w:color="000000"/>
              <w:left w:val="single" w:sz="4" w:space="0" w:color="000000"/>
              <w:bottom w:val="single" w:sz="4" w:space="0" w:color="000000"/>
              <w:right w:val="single" w:sz="4" w:space="0" w:color="000000"/>
            </w:tcBorders>
          </w:tcPr>
          <w:p w14:paraId="4CE3C25A" w14:textId="77777777" w:rsidR="005503CB" w:rsidRDefault="005503CB" w:rsidP="005503CB">
            <w:pPr>
              <w:spacing w:after="0" w:line="240" w:lineRule="auto"/>
              <w:ind w:left="4"/>
              <w:jc w:val="left"/>
            </w:pPr>
            <w:r>
              <w:rPr>
                <w:rFonts w:ascii="Arial" w:eastAsia="Arial" w:hAnsi="Arial" w:cs="Arial"/>
                <w:b/>
                <w:sz w:val="22"/>
              </w:rPr>
              <w:t xml:space="preserve">50% </w:t>
            </w:r>
          </w:p>
        </w:tc>
      </w:tr>
      <w:tr w:rsidR="005503CB" w14:paraId="2E1DB93D" w14:textId="77777777" w:rsidTr="005503CB">
        <w:trPr>
          <w:trHeight w:val="430"/>
        </w:trPr>
        <w:tc>
          <w:tcPr>
            <w:tcW w:w="2129" w:type="dxa"/>
            <w:tcBorders>
              <w:top w:val="single" w:sz="4" w:space="0" w:color="000000"/>
              <w:left w:val="single" w:sz="4" w:space="0" w:color="000000"/>
              <w:bottom w:val="single" w:sz="4" w:space="0" w:color="000000"/>
              <w:right w:val="single" w:sz="4" w:space="0" w:color="000000"/>
            </w:tcBorders>
            <w:vAlign w:val="center"/>
          </w:tcPr>
          <w:p w14:paraId="22D3E34B" w14:textId="77777777" w:rsidR="005503CB" w:rsidRDefault="005503CB" w:rsidP="005503CB">
            <w:pPr>
              <w:spacing w:after="0" w:line="240" w:lineRule="auto"/>
              <w:jc w:val="left"/>
            </w:pPr>
            <w:r>
              <w:rPr>
                <w:rFonts w:ascii="Arial" w:eastAsia="Arial" w:hAnsi="Arial" w:cs="Arial"/>
                <w:b/>
                <w:sz w:val="22"/>
              </w:rPr>
              <w:t xml:space="preserve">Lecturers: </w:t>
            </w:r>
          </w:p>
        </w:tc>
        <w:tc>
          <w:tcPr>
            <w:tcW w:w="3099" w:type="dxa"/>
            <w:tcBorders>
              <w:top w:val="single" w:sz="4" w:space="0" w:color="000000"/>
              <w:left w:val="single" w:sz="4" w:space="0" w:color="000000"/>
              <w:bottom w:val="single" w:sz="4" w:space="0" w:color="000000"/>
              <w:right w:val="single" w:sz="4" w:space="0" w:color="000000"/>
            </w:tcBorders>
            <w:vAlign w:val="center"/>
          </w:tcPr>
          <w:p w14:paraId="35C37330" w14:textId="77777777" w:rsidR="005503CB" w:rsidRDefault="005503CB" w:rsidP="005503CB">
            <w:pPr>
              <w:spacing w:after="0" w:line="240" w:lineRule="auto"/>
              <w:ind w:left="2"/>
              <w:jc w:val="left"/>
            </w:pPr>
            <w:r>
              <w:rPr>
                <w:rFonts w:ascii="Arial" w:eastAsia="Arial" w:hAnsi="Arial" w:cs="Arial"/>
                <w:b/>
                <w:sz w:val="22"/>
              </w:rPr>
              <w:t xml:space="preserve"> </w:t>
            </w:r>
          </w:p>
        </w:tc>
        <w:tc>
          <w:tcPr>
            <w:tcW w:w="25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26C218" w14:textId="77777777" w:rsidR="005503CB" w:rsidRDefault="005503CB" w:rsidP="005503CB">
            <w:pPr>
              <w:spacing w:after="0" w:line="240" w:lineRule="auto"/>
              <w:ind w:left="1"/>
              <w:jc w:val="left"/>
            </w:pPr>
            <w:r>
              <w:rPr>
                <w:rFonts w:ascii="Arial" w:eastAsia="Arial" w:hAnsi="Arial" w:cs="Arial"/>
                <w:b/>
                <w:sz w:val="22"/>
              </w:rPr>
              <w:t xml:space="preserve">Internal Verifier: </w:t>
            </w:r>
          </w:p>
        </w:tc>
        <w:tc>
          <w:tcPr>
            <w:tcW w:w="2296" w:type="dxa"/>
            <w:tcBorders>
              <w:top w:val="single" w:sz="4" w:space="0" w:color="000000"/>
              <w:left w:val="single" w:sz="4" w:space="0" w:color="000000"/>
              <w:bottom w:val="single" w:sz="4" w:space="0" w:color="000000"/>
              <w:right w:val="single" w:sz="4" w:space="0" w:color="000000"/>
            </w:tcBorders>
            <w:vAlign w:val="center"/>
          </w:tcPr>
          <w:p w14:paraId="37F0DB66" w14:textId="77777777" w:rsidR="005503CB" w:rsidRDefault="005503CB" w:rsidP="005503CB">
            <w:pPr>
              <w:spacing w:after="0" w:line="240" w:lineRule="auto"/>
              <w:ind w:left="4"/>
              <w:jc w:val="left"/>
            </w:pPr>
            <w:r>
              <w:rPr>
                <w:rFonts w:ascii="Arial" w:eastAsia="Arial" w:hAnsi="Arial" w:cs="Arial"/>
                <w:b/>
                <w:sz w:val="22"/>
              </w:rPr>
              <w:t xml:space="preserve">Dr Pat </w:t>
            </w:r>
            <w:proofErr w:type="spellStart"/>
            <w:r>
              <w:rPr>
                <w:rFonts w:ascii="Arial" w:eastAsia="Arial" w:hAnsi="Arial" w:cs="Arial"/>
                <w:b/>
                <w:sz w:val="22"/>
              </w:rPr>
              <w:t>Ganza</w:t>
            </w:r>
            <w:proofErr w:type="spellEnd"/>
            <w:r>
              <w:rPr>
                <w:rFonts w:ascii="Arial" w:eastAsia="Arial" w:hAnsi="Arial" w:cs="Arial"/>
                <w:b/>
                <w:sz w:val="22"/>
              </w:rPr>
              <w:t xml:space="preserve"> </w:t>
            </w:r>
          </w:p>
        </w:tc>
      </w:tr>
      <w:tr w:rsidR="005503CB" w14:paraId="532E06BF" w14:textId="77777777" w:rsidTr="005503CB">
        <w:trPr>
          <w:trHeight w:val="750"/>
        </w:trPr>
        <w:tc>
          <w:tcPr>
            <w:tcW w:w="2129" w:type="dxa"/>
            <w:tcBorders>
              <w:top w:val="single" w:sz="4" w:space="0" w:color="000000"/>
              <w:left w:val="single" w:sz="4" w:space="0" w:color="000000"/>
              <w:bottom w:val="single" w:sz="4" w:space="0" w:color="000000"/>
              <w:right w:val="single" w:sz="4" w:space="0" w:color="000000"/>
            </w:tcBorders>
          </w:tcPr>
          <w:p w14:paraId="45582330" w14:textId="77777777" w:rsidR="005503CB" w:rsidRDefault="005503CB" w:rsidP="005503CB">
            <w:pPr>
              <w:spacing w:after="0" w:line="240" w:lineRule="auto"/>
              <w:jc w:val="left"/>
            </w:pPr>
            <w:r>
              <w:rPr>
                <w:rFonts w:ascii="Arial" w:eastAsia="Arial" w:hAnsi="Arial" w:cs="Arial"/>
                <w:b/>
                <w:sz w:val="22"/>
              </w:rPr>
              <w:t xml:space="preserve">Assignment Title: </w:t>
            </w:r>
          </w:p>
        </w:tc>
        <w:tc>
          <w:tcPr>
            <w:tcW w:w="3099" w:type="dxa"/>
            <w:tcBorders>
              <w:top w:val="single" w:sz="4" w:space="0" w:color="000000"/>
              <w:left w:val="single" w:sz="4" w:space="0" w:color="000000"/>
              <w:bottom w:val="single" w:sz="4" w:space="0" w:color="000000"/>
              <w:right w:val="single" w:sz="4" w:space="0" w:color="000000"/>
            </w:tcBorders>
          </w:tcPr>
          <w:p w14:paraId="614AD3F5" w14:textId="77777777" w:rsidR="005503CB" w:rsidRDefault="005503CB" w:rsidP="005503CB">
            <w:pPr>
              <w:spacing w:after="0" w:line="240" w:lineRule="auto"/>
              <w:ind w:left="2"/>
              <w:jc w:val="left"/>
            </w:pPr>
            <w:r>
              <w:rPr>
                <w:rFonts w:ascii="Arial" w:eastAsia="Arial" w:hAnsi="Arial" w:cs="Arial"/>
                <w:b/>
                <w:sz w:val="22"/>
              </w:rPr>
              <w:t xml:space="preserve">Written Assignment  </w:t>
            </w:r>
          </w:p>
        </w:tc>
        <w:tc>
          <w:tcPr>
            <w:tcW w:w="2596" w:type="dxa"/>
            <w:tcBorders>
              <w:top w:val="single" w:sz="4" w:space="0" w:color="000000"/>
              <w:left w:val="single" w:sz="4" w:space="0" w:color="000000"/>
              <w:bottom w:val="single" w:sz="4" w:space="0" w:color="000000"/>
              <w:right w:val="single" w:sz="4" w:space="0" w:color="000000"/>
            </w:tcBorders>
          </w:tcPr>
          <w:p w14:paraId="0EB250F2" w14:textId="77777777" w:rsidR="005503CB" w:rsidRDefault="005503CB" w:rsidP="005503CB">
            <w:pPr>
              <w:spacing w:after="0" w:line="240" w:lineRule="auto"/>
              <w:ind w:left="1"/>
              <w:jc w:val="left"/>
            </w:pPr>
            <w:r>
              <w:rPr>
                <w:rFonts w:ascii="Arial" w:eastAsia="Arial" w:hAnsi="Arial" w:cs="Arial"/>
                <w:b/>
                <w:sz w:val="22"/>
              </w:rPr>
              <w:t xml:space="preserve">Word </w:t>
            </w:r>
            <w:r>
              <w:rPr>
                <w:rFonts w:ascii="Arial" w:eastAsia="Arial" w:hAnsi="Arial" w:cs="Arial"/>
                <w:b/>
                <w:sz w:val="22"/>
              </w:rPr>
              <w:tab/>
              <w:t xml:space="preserve">count </w:t>
            </w:r>
            <w:r>
              <w:rPr>
                <w:rFonts w:ascii="Arial" w:eastAsia="Arial" w:hAnsi="Arial" w:cs="Arial"/>
                <w:b/>
                <w:sz w:val="22"/>
              </w:rPr>
              <w:tab/>
              <w:t xml:space="preserve">(or equivalent): </w:t>
            </w:r>
          </w:p>
        </w:tc>
        <w:tc>
          <w:tcPr>
            <w:tcW w:w="2296" w:type="dxa"/>
            <w:tcBorders>
              <w:top w:val="single" w:sz="4" w:space="0" w:color="000000"/>
              <w:left w:val="single" w:sz="4" w:space="0" w:color="000000"/>
              <w:bottom w:val="single" w:sz="4" w:space="0" w:color="000000"/>
              <w:right w:val="single" w:sz="4" w:space="0" w:color="000000"/>
            </w:tcBorders>
            <w:vAlign w:val="center"/>
          </w:tcPr>
          <w:p w14:paraId="69D81FD0" w14:textId="77777777" w:rsidR="005503CB" w:rsidRDefault="005503CB" w:rsidP="005503CB">
            <w:pPr>
              <w:spacing w:after="0" w:line="240" w:lineRule="auto"/>
              <w:ind w:left="4"/>
              <w:jc w:val="left"/>
            </w:pPr>
            <w:r>
              <w:rPr>
                <w:rFonts w:ascii="Arial" w:eastAsia="Arial" w:hAnsi="Arial" w:cs="Arial"/>
                <w:b/>
                <w:sz w:val="22"/>
              </w:rPr>
              <w:t xml:space="preserve">1,500 words  </w:t>
            </w:r>
          </w:p>
          <w:p w14:paraId="23496ED8" w14:textId="77777777" w:rsidR="005503CB" w:rsidRDefault="005503CB" w:rsidP="005503CB">
            <w:pPr>
              <w:spacing w:after="0" w:line="240" w:lineRule="auto"/>
              <w:ind w:left="4"/>
              <w:jc w:val="left"/>
            </w:pPr>
            <w:r>
              <w:rPr>
                <w:rFonts w:ascii="Arial" w:eastAsia="Arial" w:hAnsi="Arial" w:cs="Arial"/>
                <w:b/>
                <w:sz w:val="22"/>
              </w:rPr>
              <w:t xml:space="preserve">(+/- 10%) </w:t>
            </w:r>
          </w:p>
        </w:tc>
      </w:tr>
      <w:tr w:rsidR="005503CB" w14:paraId="7EE6D98A" w14:textId="77777777" w:rsidTr="005503CB">
        <w:trPr>
          <w:trHeight w:val="863"/>
        </w:trPr>
        <w:tc>
          <w:tcPr>
            <w:tcW w:w="2129" w:type="dxa"/>
            <w:tcBorders>
              <w:top w:val="single" w:sz="4" w:space="0" w:color="000000"/>
              <w:left w:val="single" w:sz="4" w:space="0" w:color="000000"/>
              <w:bottom w:val="single" w:sz="4" w:space="0" w:color="000000"/>
              <w:right w:val="single" w:sz="4" w:space="0" w:color="000000"/>
            </w:tcBorders>
          </w:tcPr>
          <w:p w14:paraId="27C5A2A8" w14:textId="77777777" w:rsidR="005503CB" w:rsidRDefault="005503CB" w:rsidP="005503CB">
            <w:pPr>
              <w:spacing w:after="0" w:line="240" w:lineRule="auto"/>
              <w:jc w:val="left"/>
            </w:pPr>
            <w:r>
              <w:rPr>
                <w:rFonts w:ascii="Arial" w:eastAsia="Arial" w:hAnsi="Arial" w:cs="Arial"/>
                <w:b/>
                <w:sz w:val="22"/>
              </w:rPr>
              <w:t xml:space="preserve">Submission deadline: </w:t>
            </w:r>
          </w:p>
        </w:tc>
        <w:tc>
          <w:tcPr>
            <w:tcW w:w="3099" w:type="dxa"/>
            <w:tcBorders>
              <w:top w:val="single" w:sz="4" w:space="0" w:color="000000"/>
              <w:left w:val="single" w:sz="4" w:space="0" w:color="000000"/>
              <w:bottom w:val="single" w:sz="4" w:space="0" w:color="000000"/>
              <w:right w:val="single" w:sz="4" w:space="0" w:color="000000"/>
            </w:tcBorders>
          </w:tcPr>
          <w:p w14:paraId="63FDD5A1" w14:textId="77777777" w:rsidR="005503CB" w:rsidRDefault="005503CB" w:rsidP="005503CB">
            <w:pPr>
              <w:spacing w:after="0" w:line="240" w:lineRule="auto"/>
              <w:ind w:left="2" w:right="24"/>
              <w:jc w:val="left"/>
            </w:pPr>
            <w:r>
              <w:rPr>
                <w:rFonts w:ascii="Arial" w:eastAsia="Arial" w:hAnsi="Arial" w:cs="Arial"/>
                <w:b/>
                <w:color w:val="FF0000"/>
                <w:sz w:val="22"/>
              </w:rPr>
              <w:t>22</w:t>
            </w:r>
            <w:r>
              <w:rPr>
                <w:rFonts w:ascii="Arial" w:eastAsia="Arial" w:hAnsi="Arial" w:cs="Arial"/>
                <w:b/>
                <w:color w:val="FF0000"/>
                <w:sz w:val="22"/>
                <w:vertAlign w:val="superscript"/>
              </w:rPr>
              <w:t>nd</w:t>
            </w:r>
            <w:r>
              <w:rPr>
                <w:rFonts w:ascii="Arial" w:eastAsia="Arial" w:hAnsi="Arial" w:cs="Arial"/>
                <w:b/>
                <w:color w:val="FF0000"/>
                <w:sz w:val="22"/>
              </w:rPr>
              <w:t xml:space="preserve"> August 2025 14:00 pm.</w:t>
            </w:r>
            <w:r>
              <w:rPr>
                <w:rFonts w:ascii="Arial" w:eastAsia="Arial" w:hAnsi="Arial" w:cs="Arial"/>
                <w:b/>
                <w:sz w:val="22"/>
              </w:rPr>
              <w:t xml:space="preserve"> </w:t>
            </w:r>
          </w:p>
        </w:tc>
        <w:tc>
          <w:tcPr>
            <w:tcW w:w="2596" w:type="dxa"/>
            <w:tcBorders>
              <w:top w:val="single" w:sz="4" w:space="0" w:color="000000"/>
              <w:left w:val="single" w:sz="4" w:space="0" w:color="000000"/>
              <w:bottom w:val="single" w:sz="4" w:space="0" w:color="000000"/>
              <w:right w:val="single" w:sz="4" w:space="0" w:color="000000"/>
            </w:tcBorders>
            <w:vAlign w:val="center"/>
          </w:tcPr>
          <w:p w14:paraId="1BF97016" w14:textId="77777777" w:rsidR="005503CB" w:rsidRDefault="005503CB" w:rsidP="005503CB">
            <w:pPr>
              <w:spacing w:after="0" w:line="240" w:lineRule="auto"/>
              <w:ind w:left="1" w:right="58"/>
              <w:jc w:val="left"/>
            </w:pPr>
            <w:r>
              <w:rPr>
                <w:rFonts w:ascii="Arial" w:eastAsia="Arial" w:hAnsi="Arial" w:cs="Arial"/>
                <w:b/>
                <w:sz w:val="22"/>
              </w:rPr>
              <w:t xml:space="preserve">Return date of provisional marks &amp; written feedback: </w:t>
            </w:r>
          </w:p>
        </w:tc>
        <w:tc>
          <w:tcPr>
            <w:tcW w:w="2296" w:type="dxa"/>
            <w:tcBorders>
              <w:top w:val="single" w:sz="4" w:space="0" w:color="000000"/>
              <w:left w:val="single" w:sz="4" w:space="0" w:color="000000"/>
              <w:bottom w:val="single" w:sz="4" w:space="0" w:color="000000"/>
              <w:right w:val="single" w:sz="4" w:space="0" w:color="000000"/>
            </w:tcBorders>
          </w:tcPr>
          <w:p w14:paraId="4B4DB35D" w14:textId="77777777" w:rsidR="005503CB" w:rsidRDefault="005503CB" w:rsidP="005503CB">
            <w:pPr>
              <w:spacing w:after="0" w:line="240" w:lineRule="auto"/>
              <w:ind w:left="4"/>
              <w:jc w:val="left"/>
            </w:pPr>
            <w:r>
              <w:rPr>
                <w:rFonts w:ascii="Arial" w:eastAsia="Arial" w:hAnsi="Arial" w:cs="Arial"/>
                <w:b/>
                <w:sz w:val="22"/>
              </w:rPr>
              <w:t>19</w:t>
            </w:r>
            <w:r>
              <w:rPr>
                <w:rFonts w:ascii="Arial" w:eastAsia="Arial" w:hAnsi="Arial" w:cs="Arial"/>
                <w:b/>
                <w:sz w:val="22"/>
                <w:vertAlign w:val="superscript"/>
              </w:rPr>
              <w:t>th</w:t>
            </w:r>
            <w:r>
              <w:rPr>
                <w:rFonts w:ascii="Arial" w:eastAsia="Arial" w:hAnsi="Arial" w:cs="Arial"/>
                <w:b/>
                <w:sz w:val="22"/>
              </w:rPr>
              <w:t xml:space="preserve"> Sept 2025 </w:t>
            </w:r>
          </w:p>
        </w:tc>
      </w:tr>
      <w:tr w:rsidR="005503CB" w14:paraId="23DD76DC" w14:textId="77777777" w:rsidTr="005503CB">
        <w:trPr>
          <w:trHeight w:val="3555"/>
        </w:trPr>
        <w:tc>
          <w:tcPr>
            <w:tcW w:w="2129" w:type="dxa"/>
            <w:tcBorders>
              <w:top w:val="single" w:sz="4" w:space="0" w:color="000000"/>
              <w:left w:val="single" w:sz="4" w:space="0" w:color="000000"/>
              <w:bottom w:val="single" w:sz="4" w:space="0" w:color="000000"/>
              <w:right w:val="single" w:sz="4" w:space="0" w:color="000000"/>
            </w:tcBorders>
          </w:tcPr>
          <w:p w14:paraId="79346C67" w14:textId="77777777" w:rsidR="005503CB" w:rsidRDefault="005503CB" w:rsidP="005503CB">
            <w:pPr>
              <w:spacing w:after="0" w:line="240" w:lineRule="auto"/>
              <w:jc w:val="left"/>
            </w:pPr>
            <w:r>
              <w:rPr>
                <w:rFonts w:ascii="Arial" w:eastAsia="Arial" w:hAnsi="Arial" w:cs="Arial"/>
                <w:b/>
                <w:sz w:val="22"/>
              </w:rPr>
              <w:t xml:space="preserve">Submission method: </w:t>
            </w:r>
          </w:p>
        </w:tc>
        <w:tc>
          <w:tcPr>
            <w:tcW w:w="7992" w:type="dxa"/>
            <w:gridSpan w:val="3"/>
            <w:tcBorders>
              <w:top w:val="single" w:sz="4" w:space="0" w:color="000000"/>
              <w:left w:val="single" w:sz="4" w:space="0" w:color="000000"/>
              <w:bottom w:val="single" w:sz="4" w:space="0" w:color="000000"/>
              <w:right w:val="single" w:sz="4" w:space="0" w:color="000000"/>
            </w:tcBorders>
          </w:tcPr>
          <w:p w14:paraId="6B2FB38F" w14:textId="77777777" w:rsidR="005503CB" w:rsidRDefault="005503CB" w:rsidP="005503CB">
            <w:pPr>
              <w:spacing w:after="0" w:line="240" w:lineRule="auto"/>
              <w:ind w:left="2"/>
              <w:jc w:val="left"/>
            </w:pPr>
            <w:r>
              <w:rPr>
                <w:rFonts w:ascii="Arial" w:eastAsia="Arial" w:hAnsi="Arial" w:cs="Arial"/>
                <w:sz w:val="22"/>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200876CD" w14:textId="77777777" w:rsidR="005503CB" w:rsidRDefault="005503CB" w:rsidP="005503CB">
            <w:pPr>
              <w:spacing w:after="0" w:line="240" w:lineRule="auto"/>
              <w:ind w:left="2"/>
              <w:jc w:val="left"/>
            </w:pPr>
            <w:r>
              <w:rPr>
                <w:rFonts w:ascii="Arial" w:eastAsia="Arial" w:hAnsi="Arial" w:cs="Arial"/>
                <w:b/>
                <w:sz w:val="22"/>
              </w:rPr>
              <w:t xml:space="preserve">Alternative submission method (if applicable):  </w:t>
            </w:r>
          </w:p>
          <w:p w14:paraId="7FC26811" w14:textId="77777777" w:rsidR="005503CB" w:rsidRDefault="005503CB" w:rsidP="005503CB">
            <w:pPr>
              <w:spacing w:after="0" w:line="240" w:lineRule="auto"/>
              <w:ind w:left="2"/>
              <w:jc w:val="left"/>
            </w:pPr>
            <w:r>
              <w:rPr>
                <w:rFonts w:ascii="Arial" w:eastAsia="Arial" w:hAnsi="Arial" w:cs="Arial"/>
                <w:b/>
                <w:sz w:val="22"/>
              </w:rPr>
              <w:t xml:space="preserve">Late submission of the assessment will result in a late penalty mark: </w:t>
            </w:r>
          </w:p>
          <w:p w14:paraId="601F4CF5" w14:textId="77777777" w:rsidR="005503CB" w:rsidRDefault="005503CB" w:rsidP="005503CB">
            <w:pPr>
              <w:spacing w:after="0" w:line="240" w:lineRule="auto"/>
              <w:ind w:left="2" w:right="79"/>
              <w:jc w:val="left"/>
            </w:pPr>
            <w:r>
              <w:rPr>
                <w:rFonts w:ascii="Arial" w:eastAsia="Arial" w:hAnsi="Arial" w:cs="Arial"/>
                <w:sz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BD84BB7" w14:textId="77777777" w:rsidR="005503CB" w:rsidRDefault="005503CB" w:rsidP="005503CB">
            <w:pPr>
              <w:spacing w:after="0" w:line="240" w:lineRule="auto"/>
              <w:ind w:left="2" w:right="75"/>
              <w:jc w:val="left"/>
            </w:pPr>
            <w:r>
              <w:rPr>
                <w:rFonts w:ascii="Arial" w:eastAsia="Arial" w:hAnsi="Arial" w:cs="Arial"/>
                <w:sz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rFonts w:ascii="Arial" w:eastAsia="Arial" w:hAnsi="Arial" w:cs="Arial"/>
                <w:b/>
                <w:sz w:val="22"/>
              </w:rPr>
              <w:t xml:space="preserve"> </w:t>
            </w:r>
          </w:p>
        </w:tc>
      </w:tr>
      <w:tr w:rsidR="005503CB" w14:paraId="1D6EA146" w14:textId="77777777" w:rsidTr="005503CB">
        <w:trPr>
          <w:trHeight w:val="1720"/>
        </w:trPr>
        <w:tc>
          <w:tcPr>
            <w:tcW w:w="2129" w:type="dxa"/>
            <w:tcBorders>
              <w:top w:val="single" w:sz="4" w:space="0" w:color="000000"/>
              <w:left w:val="single" w:sz="4" w:space="0" w:color="000000"/>
              <w:bottom w:val="single" w:sz="4" w:space="0" w:color="000000"/>
              <w:right w:val="single" w:sz="4" w:space="0" w:color="000000"/>
            </w:tcBorders>
          </w:tcPr>
          <w:p w14:paraId="0225A56D" w14:textId="77777777" w:rsidR="005503CB" w:rsidRDefault="005503CB" w:rsidP="005503CB">
            <w:pPr>
              <w:spacing w:after="0" w:line="240" w:lineRule="auto"/>
              <w:jc w:val="left"/>
            </w:pPr>
            <w:r>
              <w:rPr>
                <w:rFonts w:ascii="Arial" w:eastAsia="Arial" w:hAnsi="Arial" w:cs="Arial"/>
                <w:b/>
                <w:sz w:val="22"/>
              </w:rPr>
              <w:t xml:space="preserve">Academic honesty / referencing: </w:t>
            </w:r>
          </w:p>
        </w:tc>
        <w:tc>
          <w:tcPr>
            <w:tcW w:w="7992" w:type="dxa"/>
            <w:gridSpan w:val="3"/>
            <w:tcBorders>
              <w:top w:val="single" w:sz="4" w:space="0" w:color="000000"/>
              <w:left w:val="single" w:sz="4" w:space="0" w:color="000000"/>
              <w:bottom w:val="single" w:sz="4" w:space="0" w:color="000000"/>
              <w:right w:val="single" w:sz="4" w:space="0" w:color="000000"/>
            </w:tcBorders>
            <w:vAlign w:val="center"/>
          </w:tcPr>
          <w:p w14:paraId="7947EF5B" w14:textId="77777777" w:rsidR="005503CB" w:rsidRDefault="005503CB" w:rsidP="005503CB">
            <w:pPr>
              <w:spacing w:after="0" w:line="240" w:lineRule="auto"/>
              <w:ind w:left="2" w:right="74"/>
              <w:jc w:val="left"/>
            </w:pPr>
            <w:r>
              <w:rPr>
                <w:rFonts w:ascii="Arial" w:eastAsia="Arial" w:hAnsi="Arial" w:cs="Arial"/>
                <w:b/>
                <w:sz w:val="22"/>
              </w:rPr>
              <w:t>Academic honesty is required</w:t>
            </w:r>
            <w:r>
              <w:rPr>
                <w:rFonts w:ascii="Arial" w:eastAsia="Arial" w:hAnsi="Arial" w:cs="Arial"/>
                <w:sz w:val="22"/>
              </w:rPr>
              <w:t xml:space="preserve">.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57B66F12" w14:textId="77777777" w:rsidR="005503CB" w:rsidRDefault="005503CB" w:rsidP="005503CB">
            <w:pPr>
              <w:spacing w:after="0" w:line="240" w:lineRule="auto"/>
              <w:ind w:left="2"/>
              <w:jc w:val="left"/>
            </w:pPr>
            <w:r>
              <w:rPr>
                <w:rFonts w:ascii="Arial" w:eastAsia="Arial" w:hAnsi="Arial" w:cs="Arial"/>
                <w:sz w:val="22"/>
              </w:rPr>
              <w:t xml:space="preserve"> </w:t>
            </w:r>
          </w:p>
          <w:p w14:paraId="0CCFDD6F" w14:textId="77777777" w:rsidR="005503CB" w:rsidRDefault="005503CB" w:rsidP="005503CB">
            <w:pPr>
              <w:spacing w:after="0" w:line="240" w:lineRule="auto"/>
              <w:ind w:left="2"/>
              <w:jc w:val="left"/>
            </w:pPr>
            <w:r>
              <w:rPr>
                <w:rFonts w:ascii="Arial" w:eastAsia="Arial" w:hAnsi="Arial" w:cs="Arial"/>
                <w:sz w:val="22"/>
              </w:rPr>
              <w:t xml:space="preserve"> </w:t>
            </w:r>
          </w:p>
        </w:tc>
      </w:tr>
    </w:tbl>
    <w:p w14:paraId="488FF610" w14:textId="77777777" w:rsidR="005503CB" w:rsidRDefault="005503CB" w:rsidP="005503CB">
      <w:pPr>
        <w:spacing w:after="0" w:line="240" w:lineRule="auto"/>
        <w:ind w:right="182"/>
        <w:jc w:val="center"/>
      </w:pPr>
      <w:r>
        <w:rPr>
          <w:rFonts w:ascii="Arial" w:eastAsia="Arial" w:hAnsi="Arial" w:cs="Arial"/>
          <w:b/>
          <w:i/>
          <w:sz w:val="22"/>
        </w:rPr>
        <w:t xml:space="preserve"> </w:t>
      </w:r>
    </w:p>
    <w:p w14:paraId="5A09653A" w14:textId="77777777" w:rsidR="00AF6550" w:rsidRDefault="00AF6550" w:rsidP="00AF6550"/>
    <w:p w14:paraId="010BE611" w14:textId="77777777" w:rsidR="005503CB" w:rsidRDefault="005503CB" w:rsidP="00AF6550"/>
    <w:p w14:paraId="68A80BE8" w14:textId="77777777" w:rsidR="005503CB" w:rsidRDefault="005503CB" w:rsidP="00AF6550"/>
    <w:p w14:paraId="3BC363FA" w14:textId="77777777" w:rsidR="005503CB" w:rsidRDefault="005503CB" w:rsidP="00AF6550"/>
    <w:sdt>
      <w:sdtPr>
        <w:id w:val="2115790635"/>
        <w:docPartObj>
          <w:docPartGallery w:val="Table of Contents"/>
          <w:docPartUnique/>
        </w:docPartObj>
      </w:sdtPr>
      <w:sdtEndPr>
        <w:rPr>
          <w:rFonts w:ascii="Times New Roman" w:eastAsiaTheme="minorHAnsi" w:hAnsi="Times New Roman" w:cs="Times New Roman"/>
          <w:noProof/>
          <w:color w:val="auto"/>
          <w:kern w:val="2"/>
          <w:sz w:val="24"/>
          <w:szCs w:val="24"/>
          <w14:ligatures w14:val="standardContextual"/>
        </w:rPr>
      </w:sdtEndPr>
      <w:sdtContent>
        <w:p w14:paraId="07331ED3" w14:textId="6649FA28" w:rsidR="005503CB" w:rsidRDefault="005503CB">
          <w:pPr>
            <w:pStyle w:val="TOCHeading"/>
          </w:pPr>
          <w:r>
            <w:t>Table of Contents</w:t>
          </w:r>
        </w:p>
        <w:p w14:paraId="453CD889" w14:textId="7F0329EE" w:rsidR="005503CB" w:rsidRDefault="005503CB">
          <w:pPr>
            <w:pStyle w:val="TOC1"/>
            <w:tabs>
              <w:tab w:val="right" w:leader="dot" w:pos="9350"/>
            </w:tabs>
            <w:rPr>
              <w:rFonts w:eastAsiaTheme="minorEastAsia" w:cs="Vrinda"/>
              <w:b w:val="0"/>
              <w:bCs w:val="0"/>
              <w:i/>
              <w:iCs/>
              <w:noProof/>
              <w:szCs w:val="30"/>
              <w:lang w:val="en-US" w:bidi="bn-IN"/>
            </w:rPr>
          </w:pPr>
          <w:r>
            <w:rPr>
              <w:b w:val="0"/>
              <w:bCs w:val="0"/>
            </w:rPr>
            <w:fldChar w:fldCharType="begin"/>
          </w:r>
          <w:r>
            <w:instrText xml:space="preserve"> TOC \o "1-3" \h \z \u </w:instrText>
          </w:r>
          <w:r>
            <w:rPr>
              <w:b w:val="0"/>
              <w:bCs w:val="0"/>
            </w:rPr>
            <w:fldChar w:fldCharType="separate"/>
          </w:r>
          <w:hyperlink w:anchor="_Toc205058035" w:history="1">
            <w:r w:rsidRPr="007B4670">
              <w:rPr>
                <w:rStyle w:val="Hyperlink"/>
                <w:noProof/>
              </w:rPr>
              <w:t>LEVEL 4 ASSESSMENT SPECIFICATION</w:t>
            </w:r>
            <w:r>
              <w:rPr>
                <w:noProof/>
                <w:webHidden/>
              </w:rPr>
              <w:tab/>
            </w:r>
            <w:r>
              <w:rPr>
                <w:noProof/>
                <w:webHidden/>
              </w:rPr>
              <w:fldChar w:fldCharType="begin"/>
            </w:r>
            <w:r>
              <w:rPr>
                <w:noProof/>
                <w:webHidden/>
              </w:rPr>
              <w:instrText xml:space="preserve"> PAGEREF _Toc205058035 \h </w:instrText>
            </w:r>
            <w:r>
              <w:rPr>
                <w:noProof/>
                <w:webHidden/>
              </w:rPr>
            </w:r>
            <w:r>
              <w:rPr>
                <w:noProof/>
                <w:webHidden/>
              </w:rPr>
              <w:fldChar w:fldCharType="separate"/>
            </w:r>
            <w:r>
              <w:rPr>
                <w:noProof/>
                <w:webHidden/>
              </w:rPr>
              <w:t>1</w:t>
            </w:r>
            <w:r>
              <w:rPr>
                <w:noProof/>
                <w:webHidden/>
              </w:rPr>
              <w:fldChar w:fldCharType="end"/>
            </w:r>
          </w:hyperlink>
        </w:p>
        <w:p w14:paraId="4A4BEAC4" w14:textId="60C8EA84" w:rsidR="005503CB" w:rsidRDefault="005503CB">
          <w:pPr>
            <w:pStyle w:val="TOC1"/>
            <w:tabs>
              <w:tab w:val="right" w:leader="dot" w:pos="9350"/>
            </w:tabs>
            <w:rPr>
              <w:rFonts w:eastAsiaTheme="minorEastAsia" w:cs="Vrinda"/>
              <w:b w:val="0"/>
              <w:bCs w:val="0"/>
              <w:i/>
              <w:iCs/>
              <w:noProof/>
              <w:szCs w:val="30"/>
              <w:lang w:val="en-US" w:bidi="bn-IN"/>
            </w:rPr>
          </w:pPr>
          <w:hyperlink w:anchor="_Toc205058036" w:history="1">
            <w:r w:rsidRPr="007B4670">
              <w:rPr>
                <w:rStyle w:val="Hyperlink"/>
                <w:noProof/>
              </w:rPr>
              <w:t>Introduction</w:t>
            </w:r>
            <w:r>
              <w:rPr>
                <w:noProof/>
                <w:webHidden/>
              </w:rPr>
              <w:tab/>
            </w:r>
            <w:r>
              <w:rPr>
                <w:noProof/>
                <w:webHidden/>
              </w:rPr>
              <w:fldChar w:fldCharType="begin"/>
            </w:r>
            <w:r>
              <w:rPr>
                <w:noProof/>
                <w:webHidden/>
              </w:rPr>
              <w:instrText xml:space="preserve"> PAGEREF _Toc205058036 \h </w:instrText>
            </w:r>
            <w:r>
              <w:rPr>
                <w:noProof/>
                <w:webHidden/>
              </w:rPr>
            </w:r>
            <w:r>
              <w:rPr>
                <w:noProof/>
                <w:webHidden/>
              </w:rPr>
              <w:fldChar w:fldCharType="separate"/>
            </w:r>
            <w:r>
              <w:rPr>
                <w:noProof/>
                <w:webHidden/>
              </w:rPr>
              <w:t>2</w:t>
            </w:r>
            <w:r>
              <w:rPr>
                <w:noProof/>
                <w:webHidden/>
              </w:rPr>
              <w:fldChar w:fldCharType="end"/>
            </w:r>
          </w:hyperlink>
        </w:p>
        <w:p w14:paraId="5D7A49BA" w14:textId="4F32C513" w:rsidR="005503CB" w:rsidRDefault="005503CB">
          <w:pPr>
            <w:pStyle w:val="TOC1"/>
            <w:tabs>
              <w:tab w:val="right" w:leader="dot" w:pos="9350"/>
            </w:tabs>
            <w:rPr>
              <w:rFonts w:eastAsiaTheme="minorEastAsia" w:cs="Vrinda"/>
              <w:b w:val="0"/>
              <w:bCs w:val="0"/>
              <w:i/>
              <w:iCs/>
              <w:noProof/>
              <w:szCs w:val="30"/>
              <w:lang w:val="en-US" w:bidi="bn-IN"/>
            </w:rPr>
          </w:pPr>
          <w:hyperlink w:anchor="_Toc205058037" w:history="1">
            <w:r w:rsidRPr="007B4670">
              <w:rPr>
                <w:rStyle w:val="Hyperlink"/>
                <w:noProof/>
              </w:rPr>
              <w:t>Effective Communication with Service Users and Families</w:t>
            </w:r>
            <w:r>
              <w:rPr>
                <w:noProof/>
                <w:webHidden/>
              </w:rPr>
              <w:tab/>
            </w:r>
            <w:r>
              <w:rPr>
                <w:noProof/>
                <w:webHidden/>
              </w:rPr>
              <w:fldChar w:fldCharType="begin"/>
            </w:r>
            <w:r>
              <w:rPr>
                <w:noProof/>
                <w:webHidden/>
              </w:rPr>
              <w:instrText xml:space="preserve"> PAGEREF _Toc205058037 \h </w:instrText>
            </w:r>
            <w:r>
              <w:rPr>
                <w:noProof/>
                <w:webHidden/>
              </w:rPr>
            </w:r>
            <w:r>
              <w:rPr>
                <w:noProof/>
                <w:webHidden/>
              </w:rPr>
              <w:fldChar w:fldCharType="separate"/>
            </w:r>
            <w:r>
              <w:rPr>
                <w:noProof/>
                <w:webHidden/>
              </w:rPr>
              <w:t>3</w:t>
            </w:r>
            <w:r>
              <w:rPr>
                <w:noProof/>
                <w:webHidden/>
              </w:rPr>
              <w:fldChar w:fldCharType="end"/>
            </w:r>
          </w:hyperlink>
        </w:p>
        <w:p w14:paraId="376B4D52" w14:textId="79A9A013" w:rsidR="005503CB" w:rsidRDefault="005503CB">
          <w:pPr>
            <w:pStyle w:val="TOC1"/>
            <w:tabs>
              <w:tab w:val="right" w:leader="dot" w:pos="9350"/>
            </w:tabs>
            <w:rPr>
              <w:rFonts w:eastAsiaTheme="minorEastAsia" w:cs="Vrinda"/>
              <w:b w:val="0"/>
              <w:bCs w:val="0"/>
              <w:i/>
              <w:iCs/>
              <w:noProof/>
              <w:szCs w:val="30"/>
              <w:lang w:val="en-US" w:bidi="bn-IN"/>
            </w:rPr>
          </w:pPr>
          <w:hyperlink w:anchor="_Toc205058038" w:history="1">
            <w:r w:rsidRPr="007B4670">
              <w:rPr>
                <w:rStyle w:val="Hyperlink"/>
                <w:noProof/>
              </w:rPr>
              <w:t>Administrative and Record-Keeping Practice in Health and Social Care</w:t>
            </w:r>
            <w:r>
              <w:rPr>
                <w:noProof/>
                <w:webHidden/>
              </w:rPr>
              <w:tab/>
            </w:r>
            <w:r>
              <w:rPr>
                <w:noProof/>
                <w:webHidden/>
              </w:rPr>
              <w:fldChar w:fldCharType="begin"/>
            </w:r>
            <w:r>
              <w:rPr>
                <w:noProof/>
                <w:webHidden/>
              </w:rPr>
              <w:instrText xml:space="preserve"> PAGEREF _Toc205058038 \h </w:instrText>
            </w:r>
            <w:r>
              <w:rPr>
                <w:noProof/>
                <w:webHidden/>
              </w:rPr>
            </w:r>
            <w:r>
              <w:rPr>
                <w:noProof/>
                <w:webHidden/>
              </w:rPr>
              <w:fldChar w:fldCharType="separate"/>
            </w:r>
            <w:r>
              <w:rPr>
                <w:noProof/>
                <w:webHidden/>
              </w:rPr>
              <w:t>4</w:t>
            </w:r>
            <w:r>
              <w:rPr>
                <w:noProof/>
                <w:webHidden/>
              </w:rPr>
              <w:fldChar w:fldCharType="end"/>
            </w:r>
          </w:hyperlink>
        </w:p>
        <w:p w14:paraId="2A821A15" w14:textId="742F560D" w:rsidR="005503CB" w:rsidRDefault="005503CB">
          <w:pPr>
            <w:pStyle w:val="TOC1"/>
            <w:tabs>
              <w:tab w:val="right" w:leader="dot" w:pos="9350"/>
            </w:tabs>
            <w:rPr>
              <w:rFonts w:eastAsiaTheme="minorEastAsia" w:cs="Vrinda"/>
              <w:b w:val="0"/>
              <w:bCs w:val="0"/>
              <w:i/>
              <w:iCs/>
              <w:noProof/>
              <w:szCs w:val="30"/>
              <w:lang w:val="en-US" w:bidi="bn-IN"/>
            </w:rPr>
          </w:pPr>
          <w:hyperlink w:anchor="_Toc205058039" w:history="1">
            <w:r w:rsidRPr="007B4670">
              <w:rPr>
                <w:rStyle w:val="Hyperlink"/>
                <w:noProof/>
              </w:rPr>
              <w:t>Reflective Account on Continuing Professional Development</w:t>
            </w:r>
            <w:r>
              <w:rPr>
                <w:noProof/>
                <w:webHidden/>
              </w:rPr>
              <w:tab/>
            </w:r>
            <w:r>
              <w:rPr>
                <w:noProof/>
                <w:webHidden/>
              </w:rPr>
              <w:fldChar w:fldCharType="begin"/>
            </w:r>
            <w:r>
              <w:rPr>
                <w:noProof/>
                <w:webHidden/>
              </w:rPr>
              <w:instrText xml:space="preserve"> PAGEREF _Toc205058039 \h </w:instrText>
            </w:r>
            <w:r>
              <w:rPr>
                <w:noProof/>
                <w:webHidden/>
              </w:rPr>
            </w:r>
            <w:r>
              <w:rPr>
                <w:noProof/>
                <w:webHidden/>
              </w:rPr>
              <w:fldChar w:fldCharType="separate"/>
            </w:r>
            <w:r>
              <w:rPr>
                <w:noProof/>
                <w:webHidden/>
              </w:rPr>
              <w:t>5</w:t>
            </w:r>
            <w:r>
              <w:rPr>
                <w:noProof/>
                <w:webHidden/>
              </w:rPr>
              <w:fldChar w:fldCharType="end"/>
            </w:r>
          </w:hyperlink>
        </w:p>
        <w:p w14:paraId="5C2F628E" w14:textId="0FEB00AD" w:rsidR="005503CB" w:rsidRDefault="005503CB">
          <w:pPr>
            <w:pStyle w:val="TOC1"/>
            <w:tabs>
              <w:tab w:val="right" w:leader="dot" w:pos="9350"/>
            </w:tabs>
            <w:rPr>
              <w:rFonts w:eastAsiaTheme="minorEastAsia" w:cs="Vrinda"/>
              <w:b w:val="0"/>
              <w:bCs w:val="0"/>
              <w:i/>
              <w:iCs/>
              <w:noProof/>
              <w:szCs w:val="30"/>
              <w:lang w:val="en-US" w:bidi="bn-IN"/>
            </w:rPr>
          </w:pPr>
          <w:hyperlink w:anchor="_Toc205058040" w:history="1">
            <w:r w:rsidRPr="007B4670">
              <w:rPr>
                <w:rStyle w:val="Hyperlink"/>
                <w:noProof/>
              </w:rPr>
              <w:t>Conclusion</w:t>
            </w:r>
            <w:r>
              <w:rPr>
                <w:noProof/>
                <w:webHidden/>
              </w:rPr>
              <w:tab/>
            </w:r>
            <w:r>
              <w:rPr>
                <w:noProof/>
                <w:webHidden/>
              </w:rPr>
              <w:fldChar w:fldCharType="begin"/>
            </w:r>
            <w:r>
              <w:rPr>
                <w:noProof/>
                <w:webHidden/>
              </w:rPr>
              <w:instrText xml:space="preserve"> PAGEREF _Toc205058040 \h </w:instrText>
            </w:r>
            <w:r>
              <w:rPr>
                <w:noProof/>
                <w:webHidden/>
              </w:rPr>
            </w:r>
            <w:r>
              <w:rPr>
                <w:noProof/>
                <w:webHidden/>
              </w:rPr>
              <w:fldChar w:fldCharType="separate"/>
            </w:r>
            <w:r>
              <w:rPr>
                <w:noProof/>
                <w:webHidden/>
              </w:rPr>
              <w:t>7</w:t>
            </w:r>
            <w:r>
              <w:rPr>
                <w:noProof/>
                <w:webHidden/>
              </w:rPr>
              <w:fldChar w:fldCharType="end"/>
            </w:r>
          </w:hyperlink>
        </w:p>
        <w:p w14:paraId="20E4D401" w14:textId="0A8DCC3F" w:rsidR="005503CB" w:rsidRDefault="005503CB">
          <w:pPr>
            <w:pStyle w:val="TOC1"/>
            <w:tabs>
              <w:tab w:val="right" w:leader="dot" w:pos="9350"/>
            </w:tabs>
            <w:rPr>
              <w:rFonts w:eastAsiaTheme="minorEastAsia" w:cs="Vrinda"/>
              <w:b w:val="0"/>
              <w:bCs w:val="0"/>
              <w:i/>
              <w:iCs/>
              <w:noProof/>
              <w:szCs w:val="30"/>
              <w:lang w:val="en-US" w:bidi="bn-IN"/>
            </w:rPr>
          </w:pPr>
          <w:hyperlink w:anchor="_Toc205058041" w:history="1">
            <w:r w:rsidRPr="007B4670">
              <w:rPr>
                <w:rStyle w:val="Hyperlink"/>
                <w:noProof/>
              </w:rPr>
              <w:t>References</w:t>
            </w:r>
            <w:r>
              <w:rPr>
                <w:noProof/>
                <w:webHidden/>
              </w:rPr>
              <w:tab/>
            </w:r>
            <w:r>
              <w:rPr>
                <w:noProof/>
                <w:webHidden/>
              </w:rPr>
              <w:fldChar w:fldCharType="begin"/>
            </w:r>
            <w:r>
              <w:rPr>
                <w:noProof/>
                <w:webHidden/>
              </w:rPr>
              <w:instrText xml:space="preserve"> PAGEREF _Toc205058041 \h </w:instrText>
            </w:r>
            <w:r>
              <w:rPr>
                <w:noProof/>
                <w:webHidden/>
              </w:rPr>
            </w:r>
            <w:r>
              <w:rPr>
                <w:noProof/>
                <w:webHidden/>
              </w:rPr>
              <w:fldChar w:fldCharType="separate"/>
            </w:r>
            <w:r>
              <w:rPr>
                <w:noProof/>
                <w:webHidden/>
              </w:rPr>
              <w:t>8</w:t>
            </w:r>
            <w:r>
              <w:rPr>
                <w:noProof/>
                <w:webHidden/>
              </w:rPr>
              <w:fldChar w:fldCharType="end"/>
            </w:r>
          </w:hyperlink>
        </w:p>
        <w:p w14:paraId="4F32362E" w14:textId="7CE1320C" w:rsidR="005503CB" w:rsidRDefault="005503CB">
          <w:r>
            <w:rPr>
              <w:b/>
              <w:bCs/>
              <w:noProof/>
            </w:rPr>
            <w:fldChar w:fldCharType="end"/>
          </w:r>
        </w:p>
      </w:sdtContent>
    </w:sdt>
    <w:p w14:paraId="231DBC83" w14:textId="77777777" w:rsidR="00AF6550" w:rsidRPr="00AF6550" w:rsidRDefault="00AF6550" w:rsidP="00AF6550"/>
    <w:p w14:paraId="5817069F" w14:textId="77777777" w:rsidR="00AF6550" w:rsidRDefault="00AF6550" w:rsidP="00955E4D"/>
    <w:p w14:paraId="0665E785" w14:textId="77777777" w:rsidR="00AF6550" w:rsidRDefault="00AF6550" w:rsidP="00955E4D"/>
    <w:p w14:paraId="0E6F800F" w14:textId="77777777" w:rsidR="00AF6550" w:rsidRDefault="00AF6550" w:rsidP="00955E4D"/>
    <w:p w14:paraId="5DD52B2E" w14:textId="77777777" w:rsidR="006C2A29" w:rsidRDefault="006C2A29" w:rsidP="00955E4D"/>
    <w:p w14:paraId="0434DE27" w14:textId="77777777" w:rsidR="006C2A29" w:rsidRDefault="006C2A29" w:rsidP="00955E4D"/>
    <w:p w14:paraId="46492C94" w14:textId="77777777" w:rsidR="005503CB" w:rsidRDefault="005503CB" w:rsidP="00955E4D"/>
    <w:p w14:paraId="2E54DED1" w14:textId="77777777" w:rsidR="005503CB" w:rsidRDefault="005503CB" w:rsidP="00955E4D"/>
    <w:p w14:paraId="32AD230D" w14:textId="77777777" w:rsidR="005503CB" w:rsidRDefault="005503CB" w:rsidP="00955E4D"/>
    <w:p w14:paraId="2A8A45FE" w14:textId="77777777" w:rsidR="006C2A29" w:rsidRDefault="006C2A29" w:rsidP="00955E4D"/>
    <w:p w14:paraId="299491BC" w14:textId="77777777" w:rsidR="00AF6550" w:rsidRPr="004277B8" w:rsidRDefault="00AF6550" w:rsidP="002564C0"/>
    <w:p w14:paraId="57100E65" w14:textId="2DBC997B" w:rsidR="004277B8" w:rsidRPr="004277B8" w:rsidRDefault="004277B8" w:rsidP="004277B8">
      <w:pPr>
        <w:pStyle w:val="Heading1"/>
      </w:pPr>
      <w:bookmarkStart w:id="1" w:name="_Toc204298077"/>
      <w:bookmarkStart w:id="2" w:name="_Toc205058036"/>
      <w:r w:rsidRPr="004277B8">
        <w:lastRenderedPageBreak/>
        <w:t>Introduction</w:t>
      </w:r>
      <w:bookmarkEnd w:id="1"/>
      <w:bookmarkEnd w:id="2"/>
    </w:p>
    <w:p w14:paraId="1EB24D67" w14:textId="77777777" w:rsidR="005503CB" w:rsidRDefault="006C2A29" w:rsidP="006C2A29">
      <w:r>
        <w:t>Health and social care practitioners are important figures in the UK care system that ensure the provision of safe, inclusive, and responsive services. Their duties are not limited to clinical specialised care or the care of people in personal care but also to communicate effectively with service users and families, proper administrative duties including record keeping and continuous professional development. Practitioners must observe such legal provisions as the Equality Act 2010 and the Data Protection Act 2018 as they join inter-agency teams and work with other professionals (Legislation.gov.uk, 2010; ICO, 2024).</w:t>
      </w:r>
    </w:p>
    <w:p w14:paraId="7F0A3905" w14:textId="7080F7E0" w:rsidR="006C2A29" w:rsidRDefault="006C2A29" w:rsidP="006C2A29">
      <w:r>
        <w:t xml:space="preserve">This assignment examines these basics of practice, providing reflection and pictorial examples illustrating how it manifests in the practice in the real-time care environment. It starts with the discussion of communication strategies that are based on </w:t>
      </w:r>
      <w:proofErr w:type="spellStart"/>
      <w:r>
        <w:t>antidiscriminatory</w:t>
      </w:r>
      <w:proofErr w:type="spellEnd"/>
      <w:r>
        <w:t xml:space="preserve"> principles, and it is followed by the analysis of administrative expertise related to the record-keeping. Finally, it concludes with the account of the necessity of continuous professional development (Glasby, 2020).</w:t>
      </w:r>
    </w:p>
    <w:p w14:paraId="43A1DC74" w14:textId="77777777" w:rsidR="006C2A29" w:rsidRDefault="006C2A29" w:rsidP="006C2A29">
      <w:pPr>
        <w:pStyle w:val="Heading1"/>
        <w:rPr>
          <w:lang w:val="en-US"/>
        </w:rPr>
      </w:pPr>
      <w:bookmarkStart w:id="3" w:name="_Toc205058037"/>
      <w:r>
        <w:rPr>
          <w:rStyle w:val="Strong"/>
          <w:b/>
          <w:bCs/>
        </w:rPr>
        <w:t>Effective Communication with Service Users and Families</w:t>
      </w:r>
      <w:bookmarkEnd w:id="3"/>
    </w:p>
    <w:p w14:paraId="33932356" w14:textId="77777777" w:rsidR="006C2A29" w:rsidRPr="006C2A29" w:rsidRDefault="006C2A29" w:rsidP="006C2A29">
      <w:r w:rsidRPr="006C2A29">
        <w:t>Effective communication does not just pertain to exchange of information; it also involves developing trust, respect and empowerment, especially when communicating with service users and their family members. The Equality Act 2010 offers a legislative framework to safeguard people against discrimination and enhance equal practices in care. This law recognises nine characteristics that must be considered during communication to ensure an inclusive experience (Legislation.gov.uk, 2010). For instance, when engaging with service users who have a disability, practitioners are expected to make reasonable adjustments in how they deliver information, such as offering Easy Read formats or visual aids, which improves understanding and ensures fair treatment (SCIE, 2023).</w:t>
      </w:r>
    </w:p>
    <w:p w14:paraId="2EBF61E0" w14:textId="77777777" w:rsidR="006C2A29" w:rsidRPr="006C2A29" w:rsidRDefault="006C2A29" w:rsidP="006C2A29">
      <w:r w:rsidRPr="006C2A29">
        <w:t xml:space="preserve">When diversity arises in an environment based on culture, language, or neurotype, communication barriers often emerge in today’s health and social care settings. During the COVID-19 pandemic, patients from ethnic minority backgrounds in areas like Tower Hamlets, East London, required greater language support when accessing vaccination centres. In such cases, NHS teams implemented the use of multilingual staff and community interpreters to promote clarity and </w:t>
      </w:r>
      <w:r w:rsidRPr="006C2A29">
        <w:lastRenderedPageBreak/>
        <w:t>inclusion (NHS England, 2022). These communication adjustments not only followed Equality Act guidance but also demonstrated practical responsiveness to local needs. Similarly, in working with people who are neurodiverse, healthcare providers now often collaborate with advocacy organisations to co-produce communication tools suited to individuals with autism spectrum conditions (Mencap, 2024).</w:t>
      </w:r>
    </w:p>
    <w:p w14:paraId="7F1A9AB9" w14:textId="77777777" w:rsidR="006C2A29" w:rsidRPr="006C2A29" w:rsidRDefault="006C2A29" w:rsidP="006C2A29">
      <w:r w:rsidRPr="006C2A29">
        <w:t>Within Guy’s and St Thomas’ NHS Foundation Trust, the passport communication tool is routinely used by staff when working with people with learning difficulties. These two-page summaries include a patient’s preferred ways to communicate, words or topics that cause distress, and helpful de-escalation techniques (GSTT, 2024). For example, if a service user becomes distressed when touched without warning, this preference would be clearly documented and respected by staff. I would use such tools in similar settings by checking them at every handover and adapting both my verbal and non-verbal behaviours accordingly (Skills for Care, 2023).</w:t>
      </w:r>
    </w:p>
    <w:p w14:paraId="3AAEAEEE" w14:textId="77777777" w:rsidR="006C2A29" w:rsidRPr="006C2A29" w:rsidRDefault="006C2A29" w:rsidP="006C2A29">
      <w:r w:rsidRPr="006C2A29">
        <w:t>In theory, the Transactional Model of Communication helps explain this dynamic care interaction. Unlike linear models, it recognises communication as a continuous exchange. For example, if a family member of a stroke patient frowns during a care planning session, I would interpret that as a non-verbal cue suggesting confusion or concern and pause the conversation to invite feedback (McCabe, 2020). This model requires practitioners to adjust to both spoken and silent signals during interactions, including tone of voice, posture, and emotional context (Bach &amp; Grant, 2019).</w:t>
      </w:r>
    </w:p>
    <w:p w14:paraId="0CCA182E" w14:textId="72E34BEE" w:rsidR="006C2A29" w:rsidRPr="006C2A29" w:rsidRDefault="006C2A29" w:rsidP="006C2A29">
      <w:r w:rsidRPr="006C2A29">
        <w:t>This model also supports culturally congruent communication. For instance, at Manchester Royal Infirmary, Somali family members resisted end-of-life decisions unless wider family overseas could participate. The care team arranged online discussions to accommodate this need, respecting religious values while also maintaining clinical clarity (Manchester University NHS Trust, 2023). Such real-time practices reflect how the transactional model promotes inclusivity and respect in complex care settings.</w:t>
      </w:r>
    </w:p>
    <w:p w14:paraId="400E562E" w14:textId="77777777" w:rsidR="006C2A29" w:rsidRDefault="006C2A29" w:rsidP="006C2A29">
      <w:pPr>
        <w:pStyle w:val="Heading1"/>
      </w:pPr>
      <w:bookmarkStart w:id="4" w:name="_Toc205058038"/>
      <w:r>
        <w:rPr>
          <w:rStyle w:val="Strong"/>
          <w:b/>
          <w:bCs/>
        </w:rPr>
        <w:t>Administrative and Record-Keeping Practice in Health and Social Care</w:t>
      </w:r>
      <w:bookmarkEnd w:id="4"/>
    </w:p>
    <w:p w14:paraId="010D08C4" w14:textId="77777777" w:rsidR="006C2A29" w:rsidRPr="006C2A29" w:rsidRDefault="006C2A29" w:rsidP="006C2A29">
      <w:r w:rsidRPr="006C2A29">
        <w:t xml:space="preserve">Maintaining proper and up-to-date documentation is a legal and ethical obligation for all practitioners. It ensures continuity of care, supports sound clinical decisions, and serves as legal </w:t>
      </w:r>
      <w:r w:rsidRPr="006C2A29">
        <w:lastRenderedPageBreak/>
        <w:t>evidence in the event of complaints or safeguarding concerns. The Data Protection Act 2018, which incorporates the UK GDPR, outlines lawful data processing principles such as data minimisation, accuracy, and confidentiality (ICO, 2024). For instance, records must only contain information relevant to care and must be securely stored to prevent unauthorised access (NHS Digital, 2023).</w:t>
      </w:r>
    </w:p>
    <w:p w14:paraId="6C1609D0" w14:textId="77777777" w:rsidR="006C2A29" w:rsidRPr="006C2A29" w:rsidRDefault="006C2A29" w:rsidP="006C2A29">
      <w:r w:rsidRPr="006C2A29">
        <w:t>At Barchester Healthcare, one of the UK’s largest care home providers, staff are trained to update records digitally using handheld devices at the point of care. This ensures real-time recording of events like medication administration and behavioural incidents, thereby reducing errors (Barchester, 2024). If I were working in such a setting, I would adopt this approach and log details immediately after care tasks. Recording information promptly—such as noting that “Mrs D was assisted to the toilet at 10:00am, appeared stable, and ate 75% of lunch” rather than simply saying “she was fine”—helps maintain accountability (RCN, 2023).</w:t>
      </w:r>
    </w:p>
    <w:p w14:paraId="24835CC3" w14:textId="77777777" w:rsidR="006C2A29" w:rsidRPr="006C2A29" w:rsidRDefault="006C2A29" w:rsidP="006C2A29">
      <w:r w:rsidRPr="006C2A29">
        <w:t>Moreover, only data directly related to care should be collected. For example, when conducting risk assessments or updating care plans, I would avoid irrelevant observations and focus on measurable outcomes, such as weight, mobility level, or medication changes (Open University, 2023). Inappropriate or excessive data collection may breach UK GDPR standards and compromise a service user’s right to privacy (HCPC, 2023).</w:t>
      </w:r>
    </w:p>
    <w:p w14:paraId="5E8A6EF1" w14:textId="77777777" w:rsidR="006C2A29" w:rsidRPr="006C2A29" w:rsidRDefault="006C2A29" w:rsidP="006C2A29">
      <w:r w:rsidRPr="006C2A29">
        <w:t>Security of records is equally critical. In 2023, a data breach at NHS Dumfries and Galloway involving misdirected letters highlighted the importance of robust privacy training (BBC News, 2023). To prevent similar incidents, I would verify recipient names carefully before distributing any records, keep physical notes in locked storage, and only access digital systems using secure passwords and two-factor authentication (NHS Transformation Directorate, 2023).</w:t>
      </w:r>
    </w:p>
    <w:p w14:paraId="4D34E82D" w14:textId="535805CC" w:rsidR="006C2A29" w:rsidRPr="006C2A29" w:rsidRDefault="006C2A29" w:rsidP="006C2A29">
      <w:r w:rsidRPr="006C2A29">
        <w:t>Organisational frameworks also guide documentation practices. The NHS Records Management Code of Practice outlines how long records must be kept and under what conditions they may be archived or destroyed. For instance, adult social care records must typically be retained for eight years after the last contact (NHS England, 2022). Knowledge of these timelines is essential, especially when responding to service users’ requests for access to personal records or during inspections from regulatory bodies such as the CQC (CQC, 2023).</w:t>
      </w:r>
    </w:p>
    <w:p w14:paraId="18131524" w14:textId="77777777" w:rsidR="006C2A29" w:rsidRDefault="006C2A29" w:rsidP="006C2A29">
      <w:pPr>
        <w:pStyle w:val="Heading1"/>
        <w:rPr>
          <w:lang w:val="en-US"/>
        </w:rPr>
      </w:pPr>
      <w:bookmarkStart w:id="5" w:name="_Toc205058039"/>
      <w:r>
        <w:rPr>
          <w:rStyle w:val="Strong"/>
          <w:b/>
          <w:bCs/>
        </w:rPr>
        <w:lastRenderedPageBreak/>
        <w:t>Reflective Account on Continuing Professional Development</w:t>
      </w:r>
      <w:bookmarkEnd w:id="5"/>
    </w:p>
    <w:p w14:paraId="2F1ED2BB" w14:textId="77777777" w:rsidR="006C2A29" w:rsidRPr="006C2A29" w:rsidRDefault="006C2A29" w:rsidP="006C2A29">
      <w:r w:rsidRPr="006C2A29">
        <w:t>In line with my reflections as a potential health and social care practitioner, I acknowledge that continuous professional development (CPD) is essential in maintaining the provision and care of high health standards and effective inter-agency coordination. Health and social care are in a state of continuous change, and new policies, technologies and care methods are introduced regularly. Thus, it is not only important to be up to date to have personal development but also to provide safe and evidence-based services (Skills for Care, 2023).</w:t>
      </w:r>
    </w:p>
    <w:p w14:paraId="4C8722CE" w14:textId="77777777" w:rsidR="006C2A29" w:rsidRPr="006C2A29" w:rsidRDefault="006C2A29" w:rsidP="006C2A29">
      <w:r w:rsidRPr="006C2A29">
        <w:t>As an example, in April of 2024, the NHS started the National Wound Care Strategy Programme that incorporated new training modules and addressed the community carers to aid in the reduction of hospitalisation caused by infected pressure ulcers. Because I am a professional concerned with home-based care, such CPD would help me introduce the most recent wound care practices to my practice and fulfil the national health goals (NHS Improvement, 2024). Furthermore, the updated pressure ulcer documentation guidelines released in April 2024 have now become standard for community care providers and require retraining of staff to meet audit requirements (NICE, 2024).</w:t>
      </w:r>
    </w:p>
    <w:p w14:paraId="774F0EA0" w14:textId="77777777" w:rsidR="006C2A29" w:rsidRPr="006C2A29" w:rsidRDefault="006C2A29" w:rsidP="006C2A29">
      <w:r w:rsidRPr="006C2A29">
        <w:t>To practice as a collaborative multi-professional team member, I will also require such knowledge about the roles, responsibilities, and forms of communication my colleagues—like district nurses, occupational therapists, and safeguarding leads—use. For instance, failure in GP–care home communication contributed to delayed treatment for elderly patients in 2023, highlighting a gap in information flow (CQC, 2023). Based on such experiences, I would want to get trained in shared digital platforms such as “</w:t>
      </w:r>
      <w:proofErr w:type="spellStart"/>
      <w:r w:rsidRPr="006C2A29">
        <w:t>SystmOne</w:t>
      </w:r>
      <w:proofErr w:type="spellEnd"/>
      <w:r w:rsidRPr="006C2A29">
        <w:t>” or “EMIS,” which are widely used across GP and care sectors, or attend multidisciplinary meetings to support a coordinated care approach (NHS Confederation, 2023).</w:t>
      </w:r>
    </w:p>
    <w:p w14:paraId="2EF10F81" w14:textId="77777777" w:rsidR="006C2A29" w:rsidRPr="006C2A29" w:rsidRDefault="006C2A29" w:rsidP="006C2A29">
      <w:r w:rsidRPr="006C2A29">
        <w:t>Aggression resolution and advocacy skills are a major aspect that I would consider under the CPD plan. I recently witnessed a conflict between a support worker and a physiotherapist over how a mobility programme should be recorded for a resident. What helped solve the situation was the roundtable discussion facilitated by a senior practitioner. This moment made me understand that without a proper approach to conflict, even the quality of care may be compromised. Therefore, I want to attend a CPD workshop on inter-professional communication to enhance my ability to contribute to team decision-making processes (Open University, 2024; Roffey-</w:t>
      </w:r>
      <w:proofErr w:type="spellStart"/>
      <w:r w:rsidRPr="006C2A29">
        <w:t>Barentsen</w:t>
      </w:r>
      <w:proofErr w:type="spellEnd"/>
      <w:r w:rsidRPr="006C2A29">
        <w:t>, 2020).</w:t>
      </w:r>
    </w:p>
    <w:p w14:paraId="70EC999B" w14:textId="77777777" w:rsidR="006C2A29" w:rsidRPr="006C2A29" w:rsidRDefault="006C2A29" w:rsidP="006C2A29">
      <w:r w:rsidRPr="006C2A29">
        <w:lastRenderedPageBreak/>
        <w:t>I also intend to adopt the utilisation of reflective tools like the Gibbs Reflection Cycle whenever a critical event or complex care situation arises. This structured method of reflection encourages examining what went well, what did not, and what could be done differently next time—thereby nurturing lifelong learning and deeper self-awareness (Moon, 2020; Jasper, 2023).</w:t>
      </w:r>
    </w:p>
    <w:p w14:paraId="5698BB02" w14:textId="3E59978B" w:rsidR="006C2A29" w:rsidRPr="006C2A29" w:rsidRDefault="006C2A29" w:rsidP="006C2A29">
      <w:r w:rsidRPr="006C2A29">
        <w:t>In short, CPD will help me remain competent, keep up with emerging health issues, and build stronger interdisciplinary connections. By being an active learner, participating in team forums, and enhancing interpersonal communication, I will be able to contribute more effectively to the process of delivering coordinated and person-centred care.</w:t>
      </w:r>
    </w:p>
    <w:p w14:paraId="3C4B2E38" w14:textId="77777777" w:rsidR="006C2A29" w:rsidRDefault="006C2A29" w:rsidP="006C2A29">
      <w:pPr>
        <w:pStyle w:val="Heading1"/>
      </w:pPr>
      <w:bookmarkStart w:id="6" w:name="_Toc205058040"/>
      <w:r>
        <w:rPr>
          <w:rStyle w:val="Strong"/>
          <w:b/>
          <w:bCs/>
        </w:rPr>
        <w:t>Conclusion</w:t>
      </w:r>
      <w:bookmarkEnd w:id="6"/>
    </w:p>
    <w:p w14:paraId="40619EC0" w14:textId="47D862ED" w:rsidR="006C2A29" w:rsidRPr="006C2A29" w:rsidRDefault="006C2A29" w:rsidP="006C2A29">
      <w:r w:rsidRPr="006C2A29">
        <w:t>This task has investigated three key themes of professional practice in health and social care—inclusivity of communication, administrative competence, and continuing professional development. Using the light of the existing legislation like the Equality Act 2010 and the Data Protection Act 2018, it has explored that care practitioners are expected to work within legal and ethical guidelines to ensure fairness, safety, and accountability (Legislation.gov.uk, 2010; ICO, 2024). These roles are illustrated in real-time cases in NHS services, digitised platforms, and care-focused settings to indicate the pertinence and importance of these responsibilities (NHS England, 2022).</w:t>
      </w:r>
      <w:r>
        <w:t xml:space="preserve"> </w:t>
      </w:r>
      <w:r w:rsidRPr="006C2A29">
        <w:t>As a future practitioner, I will offer person-centred care by communicating meaningfully, keeping proper records, and developing myself through CPD. The above core competencies will enable me to work effectively in multidisciplinary teams and address the complex needs of service users in the dynamic and multidimensional environment of health and social care in the UK (Glasby, 2020).</w:t>
      </w:r>
    </w:p>
    <w:p w14:paraId="7D54094C" w14:textId="60AFA99E" w:rsidR="006C2A29" w:rsidRPr="00BD66D9" w:rsidRDefault="006C2A29" w:rsidP="006C2A29"/>
    <w:p w14:paraId="769BE8F9" w14:textId="77777777" w:rsidR="00AF6550" w:rsidRDefault="00AF6550" w:rsidP="006C2A29"/>
    <w:p w14:paraId="55CE7DE0" w14:textId="77777777" w:rsidR="005503CB" w:rsidRDefault="005503CB" w:rsidP="006C2A29"/>
    <w:p w14:paraId="721DA095" w14:textId="77777777" w:rsidR="005503CB" w:rsidRDefault="005503CB" w:rsidP="006C2A29"/>
    <w:p w14:paraId="3284F70A" w14:textId="77777777" w:rsidR="005503CB" w:rsidRDefault="005503CB" w:rsidP="006C2A29"/>
    <w:p w14:paraId="7DC0077B" w14:textId="189F1494" w:rsidR="005503CB" w:rsidRPr="00BD66D9" w:rsidRDefault="005503CB" w:rsidP="005503CB">
      <w:pPr>
        <w:pStyle w:val="Heading1"/>
      </w:pPr>
      <w:bookmarkStart w:id="7" w:name="_Toc205058041"/>
      <w:r>
        <w:lastRenderedPageBreak/>
        <w:t>References</w:t>
      </w:r>
      <w:bookmarkEnd w:id="7"/>
    </w:p>
    <w:p w14:paraId="4AEC05E0" w14:textId="77777777" w:rsidR="005503CB" w:rsidRDefault="005503CB" w:rsidP="005503CB">
      <w:pPr>
        <w:pStyle w:val="NormalWeb"/>
        <w:numPr>
          <w:ilvl w:val="0"/>
          <w:numId w:val="23"/>
        </w:numPr>
        <w:ind w:left="360"/>
      </w:pPr>
      <w:r>
        <w:t xml:space="preserve">Bach, S. and Grant, A., 2019. </w:t>
      </w:r>
      <w:r>
        <w:rPr>
          <w:rStyle w:val="Emphasis"/>
          <w:rFonts w:eastAsiaTheme="majorEastAsia"/>
        </w:rPr>
        <w:t>Communication and interpersonal skills in nursing</w:t>
      </w:r>
      <w:r>
        <w:t>. 4th ed. London: SAGE Publications.</w:t>
      </w:r>
    </w:p>
    <w:p w14:paraId="5BAA3685" w14:textId="77777777" w:rsidR="005503CB" w:rsidRDefault="005503CB" w:rsidP="005503CB">
      <w:pPr>
        <w:pStyle w:val="NormalWeb"/>
        <w:numPr>
          <w:ilvl w:val="0"/>
          <w:numId w:val="23"/>
        </w:numPr>
        <w:ind w:left="360"/>
      </w:pPr>
      <w:r>
        <w:t xml:space="preserve">Barchester Healthcare, 2024. </w:t>
      </w:r>
      <w:r>
        <w:rPr>
          <w:rStyle w:val="Emphasis"/>
          <w:rFonts w:eastAsiaTheme="majorEastAsia"/>
        </w:rPr>
        <w:t>Digital care planning: Real-time documentation at the point of care</w:t>
      </w:r>
      <w:r>
        <w:t>. [online] Available at: https://www.barchester.com/news/digital-care-planning-real-time [Accessed 23 Jul. 2025].</w:t>
      </w:r>
    </w:p>
    <w:p w14:paraId="2BFA657C" w14:textId="77777777" w:rsidR="005503CB" w:rsidRDefault="005503CB" w:rsidP="005503CB">
      <w:pPr>
        <w:pStyle w:val="NormalWeb"/>
        <w:numPr>
          <w:ilvl w:val="0"/>
          <w:numId w:val="23"/>
        </w:numPr>
        <w:ind w:left="360"/>
      </w:pPr>
      <w:r>
        <w:t xml:space="preserve">BBC News, 2023. </w:t>
      </w:r>
      <w:r>
        <w:rPr>
          <w:rStyle w:val="Emphasis"/>
          <w:rFonts w:eastAsiaTheme="majorEastAsia"/>
        </w:rPr>
        <w:t>NHS Dumfries and Galloway data breach leads to patient letter errors</w:t>
      </w:r>
      <w:r>
        <w:t>. [online] Available at: https://www.bbc.co.uk/news/uk-scotland-south-scotland-66085709 [Accessed 21 Jul. 2025].</w:t>
      </w:r>
    </w:p>
    <w:p w14:paraId="4013FF5E" w14:textId="77777777" w:rsidR="005503CB" w:rsidRDefault="005503CB" w:rsidP="005503CB">
      <w:pPr>
        <w:pStyle w:val="NormalWeb"/>
        <w:numPr>
          <w:ilvl w:val="0"/>
          <w:numId w:val="23"/>
        </w:numPr>
        <w:ind w:left="360"/>
      </w:pPr>
      <w:r>
        <w:t xml:space="preserve">Care Quality Commission (CQC), 2023. </w:t>
      </w:r>
      <w:r>
        <w:rPr>
          <w:rStyle w:val="Emphasis"/>
          <w:rFonts w:eastAsiaTheme="majorEastAsia"/>
        </w:rPr>
        <w:t>GP care home communication failures: Annual review</w:t>
      </w:r>
      <w:r>
        <w:t>. [online] Available at: https://www.cqc.org.uk/news/stories/gp-care-home-communication-2023 [Accessed 22 Jul. 2025].</w:t>
      </w:r>
    </w:p>
    <w:p w14:paraId="5A389143" w14:textId="77777777" w:rsidR="005503CB" w:rsidRDefault="005503CB" w:rsidP="005503CB">
      <w:pPr>
        <w:pStyle w:val="NormalWeb"/>
        <w:numPr>
          <w:ilvl w:val="0"/>
          <w:numId w:val="23"/>
        </w:numPr>
        <w:ind w:left="360"/>
      </w:pPr>
      <w:r>
        <w:t xml:space="preserve">Glasby, J., 2020. </w:t>
      </w:r>
      <w:r>
        <w:rPr>
          <w:rStyle w:val="Emphasis"/>
          <w:rFonts w:eastAsiaTheme="majorEastAsia"/>
        </w:rPr>
        <w:t>Understanding health and social care</w:t>
      </w:r>
      <w:r>
        <w:t>. 4th ed. Bristol: Policy Press.</w:t>
      </w:r>
    </w:p>
    <w:p w14:paraId="4729A88E" w14:textId="77777777" w:rsidR="005503CB" w:rsidRDefault="005503CB" w:rsidP="005503CB">
      <w:pPr>
        <w:pStyle w:val="NormalWeb"/>
        <w:numPr>
          <w:ilvl w:val="0"/>
          <w:numId w:val="23"/>
        </w:numPr>
        <w:ind w:left="360"/>
      </w:pPr>
      <w:r>
        <w:t xml:space="preserve">GSTT (Guy’s and St Thomas’ NHS Foundation Trust), 2024. </w:t>
      </w:r>
      <w:r>
        <w:rPr>
          <w:rStyle w:val="Emphasis"/>
          <w:rFonts w:eastAsiaTheme="majorEastAsia"/>
        </w:rPr>
        <w:t>Communication passports for learning disabilities</w:t>
      </w:r>
      <w:r>
        <w:t>. [online] Available at: https://www.guysandstthomas.nhs.uk/resources/learning-disability/communication-passport [Accessed 24 Jul. 2025].</w:t>
      </w:r>
    </w:p>
    <w:p w14:paraId="24343B09" w14:textId="77777777" w:rsidR="005503CB" w:rsidRDefault="005503CB" w:rsidP="005503CB">
      <w:pPr>
        <w:pStyle w:val="NormalWeb"/>
        <w:numPr>
          <w:ilvl w:val="0"/>
          <w:numId w:val="23"/>
        </w:numPr>
        <w:ind w:left="360"/>
      </w:pPr>
      <w:r>
        <w:t xml:space="preserve">Health and Care Professions Council (HCPC), 2023. </w:t>
      </w:r>
      <w:r>
        <w:rPr>
          <w:rStyle w:val="Emphasis"/>
          <w:rFonts w:eastAsiaTheme="majorEastAsia"/>
        </w:rPr>
        <w:t>Confidentiality and record-keeping guidance</w:t>
      </w:r>
      <w:r>
        <w:t>. [online] Available at: https://www.hcpc-uk.org/standards/standards-of-conduct-performance-and-ethics/ [Accessed 21 Jul. 2025].</w:t>
      </w:r>
    </w:p>
    <w:p w14:paraId="02C98DE2" w14:textId="77777777" w:rsidR="005503CB" w:rsidRDefault="005503CB" w:rsidP="005503CB">
      <w:pPr>
        <w:pStyle w:val="NormalWeb"/>
        <w:numPr>
          <w:ilvl w:val="0"/>
          <w:numId w:val="23"/>
        </w:numPr>
        <w:ind w:left="360"/>
      </w:pPr>
      <w:r>
        <w:t xml:space="preserve">Information Commissioner’s Office (ICO), 2024. </w:t>
      </w:r>
      <w:r>
        <w:rPr>
          <w:rStyle w:val="Emphasis"/>
          <w:rFonts w:eastAsiaTheme="majorEastAsia"/>
        </w:rPr>
        <w:t>Guide to the UK General Data Protection Regulation (UK GDPR)</w:t>
      </w:r>
      <w:r>
        <w:t>. [online] Available at: https://ico.org.uk/for-organisations/uk-gdpr-guidance-and-resources/ [Accessed 22 Jul. 2025].</w:t>
      </w:r>
    </w:p>
    <w:p w14:paraId="0954C0C4" w14:textId="77777777" w:rsidR="005503CB" w:rsidRDefault="005503CB" w:rsidP="005503CB">
      <w:pPr>
        <w:pStyle w:val="NormalWeb"/>
        <w:numPr>
          <w:ilvl w:val="0"/>
          <w:numId w:val="23"/>
        </w:numPr>
        <w:ind w:left="360"/>
      </w:pPr>
      <w:r>
        <w:t xml:space="preserve">Jasper, M., 2023. </w:t>
      </w:r>
      <w:r>
        <w:rPr>
          <w:rStyle w:val="Emphasis"/>
          <w:rFonts w:eastAsiaTheme="majorEastAsia"/>
        </w:rPr>
        <w:t>Beginning reflective practice</w:t>
      </w:r>
      <w:r>
        <w:t>. 3rd ed. London: Cengage Learning.</w:t>
      </w:r>
    </w:p>
    <w:p w14:paraId="1373D262" w14:textId="77777777" w:rsidR="005503CB" w:rsidRDefault="005503CB" w:rsidP="005503CB">
      <w:pPr>
        <w:pStyle w:val="NormalWeb"/>
        <w:numPr>
          <w:ilvl w:val="0"/>
          <w:numId w:val="23"/>
        </w:numPr>
        <w:ind w:left="360"/>
      </w:pPr>
      <w:r>
        <w:t xml:space="preserve">Legislation.gov.uk, 2010. </w:t>
      </w:r>
      <w:r>
        <w:rPr>
          <w:rStyle w:val="Emphasis"/>
          <w:rFonts w:eastAsiaTheme="majorEastAsia"/>
        </w:rPr>
        <w:t>Equality Act 2010</w:t>
      </w:r>
      <w:r>
        <w:t>. [online] Available at: https://www.legislation.gov.uk/ukpga/2010/15/contents [Accessed 20 Jul. 2025].</w:t>
      </w:r>
    </w:p>
    <w:p w14:paraId="5D5AC664" w14:textId="77777777" w:rsidR="005503CB" w:rsidRDefault="005503CB" w:rsidP="005503CB">
      <w:pPr>
        <w:pStyle w:val="NormalWeb"/>
        <w:numPr>
          <w:ilvl w:val="0"/>
          <w:numId w:val="23"/>
        </w:numPr>
        <w:ind w:left="360"/>
      </w:pPr>
      <w:r>
        <w:t xml:space="preserve">Manchester University NHS Trust, 2023. </w:t>
      </w:r>
      <w:r>
        <w:rPr>
          <w:rStyle w:val="Emphasis"/>
          <w:rFonts w:eastAsiaTheme="majorEastAsia"/>
        </w:rPr>
        <w:t>Case study: Somali end-of-life care planning</w:t>
      </w:r>
      <w:r>
        <w:t>. [internal training document] [Accessed 25 Jul. 2025].</w:t>
      </w:r>
    </w:p>
    <w:p w14:paraId="7E79E23F" w14:textId="77777777" w:rsidR="005503CB" w:rsidRDefault="005503CB" w:rsidP="005503CB">
      <w:pPr>
        <w:pStyle w:val="NormalWeb"/>
        <w:numPr>
          <w:ilvl w:val="0"/>
          <w:numId w:val="23"/>
        </w:numPr>
        <w:ind w:left="360"/>
      </w:pPr>
      <w:r>
        <w:t xml:space="preserve">McCabe, C., 2020. </w:t>
      </w:r>
      <w:r>
        <w:rPr>
          <w:rStyle w:val="Emphasis"/>
          <w:rFonts w:eastAsiaTheme="majorEastAsia"/>
        </w:rPr>
        <w:t>Nurse–patient communication: An integrated approach</w:t>
      </w:r>
      <w:r>
        <w:t>. 3rd ed. London: Routledge.</w:t>
      </w:r>
    </w:p>
    <w:p w14:paraId="24E99368" w14:textId="77777777" w:rsidR="005503CB" w:rsidRDefault="005503CB" w:rsidP="005503CB">
      <w:pPr>
        <w:pStyle w:val="NormalWeb"/>
        <w:numPr>
          <w:ilvl w:val="0"/>
          <w:numId w:val="23"/>
        </w:numPr>
        <w:ind w:left="360"/>
      </w:pPr>
      <w:r>
        <w:t xml:space="preserve">Mencap, 2024. </w:t>
      </w:r>
      <w:r>
        <w:rPr>
          <w:rStyle w:val="Emphasis"/>
          <w:rFonts w:eastAsiaTheme="majorEastAsia"/>
        </w:rPr>
        <w:t>Working with neurodiverse individuals in health and care</w:t>
      </w:r>
      <w:r>
        <w:t>. [online] Available at: https://www.mencap.org.uk/advice-and-support/healthcare-access-autism [Accessed 23 Jul. 2025].</w:t>
      </w:r>
    </w:p>
    <w:p w14:paraId="2FC8D4AC" w14:textId="77777777" w:rsidR="005503CB" w:rsidRDefault="005503CB" w:rsidP="005503CB">
      <w:pPr>
        <w:pStyle w:val="NormalWeb"/>
        <w:numPr>
          <w:ilvl w:val="0"/>
          <w:numId w:val="23"/>
        </w:numPr>
        <w:ind w:left="360"/>
      </w:pPr>
      <w:r>
        <w:t xml:space="preserve">Moon, J., 2020. </w:t>
      </w:r>
      <w:r>
        <w:rPr>
          <w:rStyle w:val="Emphasis"/>
          <w:rFonts w:eastAsiaTheme="majorEastAsia"/>
        </w:rPr>
        <w:t>Reflective practice in health and social care</w:t>
      </w:r>
      <w:r>
        <w:t>. 2nd ed. London: Routledge.</w:t>
      </w:r>
    </w:p>
    <w:p w14:paraId="4693A6CC" w14:textId="77777777" w:rsidR="005503CB" w:rsidRDefault="005503CB" w:rsidP="005503CB">
      <w:pPr>
        <w:pStyle w:val="NormalWeb"/>
        <w:numPr>
          <w:ilvl w:val="0"/>
          <w:numId w:val="23"/>
        </w:numPr>
        <w:ind w:left="360"/>
      </w:pPr>
      <w:r>
        <w:t xml:space="preserve">NHS Confederation, 2023. </w:t>
      </w:r>
      <w:r>
        <w:rPr>
          <w:rStyle w:val="Emphasis"/>
          <w:rFonts w:eastAsiaTheme="majorEastAsia"/>
        </w:rPr>
        <w:t>Primary care IT platforms and shared systems: What professionals need to know</w:t>
      </w:r>
      <w:r>
        <w:t>. [online] Available at: https://www.nhsconfed.org/digital/shared-care-records [Accessed 23 Jul. 2025].</w:t>
      </w:r>
    </w:p>
    <w:p w14:paraId="2972B18F" w14:textId="77777777" w:rsidR="005503CB" w:rsidRDefault="005503CB" w:rsidP="005503CB">
      <w:pPr>
        <w:pStyle w:val="NormalWeb"/>
        <w:numPr>
          <w:ilvl w:val="0"/>
          <w:numId w:val="23"/>
        </w:numPr>
        <w:ind w:left="360"/>
      </w:pPr>
      <w:r>
        <w:t xml:space="preserve">NHS Digital, 2023. </w:t>
      </w:r>
      <w:r>
        <w:rPr>
          <w:rStyle w:val="Emphasis"/>
          <w:rFonts w:eastAsiaTheme="majorEastAsia"/>
        </w:rPr>
        <w:t>Data protection and security toolkit</w:t>
      </w:r>
      <w:r>
        <w:t>. [online] Available at: https://digital.nhs.uk/data-and-information/looking-after-information/data-security-and-information-governance [Accessed 22 Jul. 2025].</w:t>
      </w:r>
    </w:p>
    <w:p w14:paraId="30127F6F" w14:textId="77777777" w:rsidR="005503CB" w:rsidRDefault="005503CB" w:rsidP="005503CB">
      <w:pPr>
        <w:pStyle w:val="NormalWeb"/>
        <w:numPr>
          <w:ilvl w:val="0"/>
          <w:numId w:val="23"/>
        </w:numPr>
        <w:ind w:left="360"/>
      </w:pPr>
      <w:r>
        <w:t xml:space="preserve">NHS England, 2022. </w:t>
      </w:r>
      <w:r>
        <w:rPr>
          <w:rStyle w:val="Emphasis"/>
          <w:rFonts w:eastAsiaTheme="majorEastAsia"/>
        </w:rPr>
        <w:t>Records Management Code of Practice for Health and Social Care 2021</w:t>
      </w:r>
      <w:r>
        <w:t>. [online] Available at: https://www.england.nhs.uk/publication/records-management-code-of-practice-for-health-and-social-care-2021/ [Accessed 23 Jul. 2025].</w:t>
      </w:r>
    </w:p>
    <w:p w14:paraId="50AF9FE9" w14:textId="77777777" w:rsidR="005503CB" w:rsidRDefault="005503CB" w:rsidP="005503CB">
      <w:pPr>
        <w:pStyle w:val="NormalWeb"/>
        <w:numPr>
          <w:ilvl w:val="0"/>
          <w:numId w:val="23"/>
        </w:numPr>
        <w:ind w:left="360"/>
      </w:pPr>
      <w:r>
        <w:lastRenderedPageBreak/>
        <w:t xml:space="preserve">NHS Improvement, 2024. </w:t>
      </w:r>
      <w:r>
        <w:rPr>
          <w:rStyle w:val="Emphasis"/>
          <w:rFonts w:eastAsiaTheme="majorEastAsia"/>
        </w:rPr>
        <w:t>National Wound Care Strategy Programme: Community modules</w:t>
      </w:r>
      <w:r>
        <w:t>. [online] Available at: https://www.nationalwoundcarestrategy.net/community-care-modules [Accessed 22 Jul. 2025].</w:t>
      </w:r>
    </w:p>
    <w:p w14:paraId="7C969EA2" w14:textId="77777777" w:rsidR="005503CB" w:rsidRDefault="005503CB" w:rsidP="005503CB">
      <w:pPr>
        <w:pStyle w:val="NormalWeb"/>
        <w:numPr>
          <w:ilvl w:val="0"/>
          <w:numId w:val="23"/>
        </w:numPr>
        <w:ind w:left="360"/>
      </w:pPr>
      <w:r>
        <w:t xml:space="preserve">NHS Transformation Directorate, 2023. </w:t>
      </w:r>
      <w:r>
        <w:rPr>
          <w:rStyle w:val="Emphasis"/>
          <w:rFonts w:eastAsiaTheme="majorEastAsia"/>
        </w:rPr>
        <w:t>Cybersecurity and patient data protection guidance</w:t>
      </w:r>
      <w:r>
        <w:t>. [online] Available at: https://transform.england.nhs.uk/key-tools-and-info/cyber-security/ [Accessed 24 Jul. 2025].</w:t>
      </w:r>
    </w:p>
    <w:p w14:paraId="3950A9C2" w14:textId="77777777" w:rsidR="005503CB" w:rsidRDefault="005503CB" w:rsidP="005503CB">
      <w:pPr>
        <w:pStyle w:val="NormalWeb"/>
        <w:numPr>
          <w:ilvl w:val="0"/>
          <w:numId w:val="23"/>
        </w:numPr>
        <w:ind w:left="360"/>
      </w:pPr>
      <w:r>
        <w:t xml:space="preserve">NICE, 2024. </w:t>
      </w:r>
      <w:r>
        <w:rPr>
          <w:rStyle w:val="Emphasis"/>
          <w:rFonts w:eastAsiaTheme="majorEastAsia"/>
        </w:rPr>
        <w:t>New guidelines for pressure ulcer prevention in community care</w:t>
      </w:r>
      <w:r>
        <w:t>. [online] Available at: https://www.nice.org.uk/guidance/ng186 [Accessed 23 Jul. 2025].</w:t>
      </w:r>
    </w:p>
    <w:p w14:paraId="668D4985" w14:textId="77777777" w:rsidR="005503CB" w:rsidRDefault="005503CB" w:rsidP="005503CB">
      <w:pPr>
        <w:pStyle w:val="NormalWeb"/>
        <w:numPr>
          <w:ilvl w:val="0"/>
          <w:numId w:val="23"/>
        </w:numPr>
        <w:ind w:left="360"/>
      </w:pPr>
      <w:r>
        <w:t xml:space="preserve">Open University, 2024. </w:t>
      </w:r>
      <w:r>
        <w:rPr>
          <w:rStyle w:val="Emphasis"/>
          <w:rFonts w:eastAsiaTheme="majorEastAsia"/>
        </w:rPr>
        <w:t>Inter-professional communication CPD course</w:t>
      </w:r>
      <w:r>
        <w:t>. [online] Available at: https://www.open.ac.uk/courses/health/inter-professional-cpd [Accessed 24 Jul. 2025].</w:t>
      </w:r>
    </w:p>
    <w:p w14:paraId="554A6F8C" w14:textId="77777777" w:rsidR="005503CB" w:rsidRDefault="005503CB" w:rsidP="005503CB">
      <w:pPr>
        <w:pStyle w:val="NormalWeb"/>
        <w:numPr>
          <w:ilvl w:val="0"/>
          <w:numId w:val="23"/>
        </w:numPr>
        <w:ind w:left="360"/>
      </w:pPr>
      <w:r>
        <w:t>Roffey-</w:t>
      </w:r>
      <w:proofErr w:type="spellStart"/>
      <w:r>
        <w:t>Barentsen</w:t>
      </w:r>
      <w:proofErr w:type="spellEnd"/>
      <w:r>
        <w:t xml:space="preserve">, J., 2020. </w:t>
      </w:r>
      <w:r>
        <w:rPr>
          <w:rStyle w:val="Emphasis"/>
          <w:rFonts w:eastAsiaTheme="majorEastAsia"/>
        </w:rPr>
        <w:t>Reflective Practice in Education and Training</w:t>
      </w:r>
      <w:r>
        <w:t>. 2nd ed. London: Learning Matters.</w:t>
      </w:r>
    </w:p>
    <w:p w14:paraId="23A62DD8" w14:textId="77777777" w:rsidR="005503CB" w:rsidRDefault="005503CB" w:rsidP="005503CB">
      <w:pPr>
        <w:pStyle w:val="NormalWeb"/>
        <w:numPr>
          <w:ilvl w:val="0"/>
          <w:numId w:val="23"/>
        </w:numPr>
        <w:ind w:left="360"/>
      </w:pPr>
      <w:r>
        <w:t xml:space="preserve">Royal College of Nursing (RCN), 2023. </w:t>
      </w:r>
      <w:r>
        <w:rPr>
          <w:rStyle w:val="Emphasis"/>
          <w:rFonts w:eastAsiaTheme="majorEastAsia"/>
        </w:rPr>
        <w:t>Principles of good record keeping: A guide for nursing staff</w:t>
      </w:r>
      <w:r>
        <w:t>. [online] Available at: https://www.rcn.org.uk/professional-development/publications/rcn-record-keeping-guidance-uk-pub-009364 [Accessed 21 Jul. 2025].</w:t>
      </w:r>
    </w:p>
    <w:p w14:paraId="39398518" w14:textId="77777777" w:rsidR="005503CB" w:rsidRDefault="005503CB" w:rsidP="005503CB">
      <w:pPr>
        <w:pStyle w:val="NormalWeb"/>
        <w:numPr>
          <w:ilvl w:val="0"/>
          <w:numId w:val="23"/>
        </w:numPr>
        <w:ind w:left="360"/>
      </w:pPr>
      <w:r>
        <w:t xml:space="preserve">SCIE (Social Care Institute for Excellence), 2023. </w:t>
      </w:r>
      <w:r>
        <w:rPr>
          <w:rStyle w:val="Emphasis"/>
          <w:rFonts w:eastAsiaTheme="majorEastAsia"/>
        </w:rPr>
        <w:t>Equality and diversity in communication</w:t>
      </w:r>
      <w:r>
        <w:t>. [online] Available at: https://www.scie.org.uk/publications/guides/guide15 [Accessed 22 Jul. 2025].</w:t>
      </w:r>
    </w:p>
    <w:p w14:paraId="6EB3CA73" w14:textId="77777777" w:rsidR="005503CB" w:rsidRDefault="005503CB" w:rsidP="005503CB">
      <w:pPr>
        <w:pStyle w:val="NormalWeb"/>
        <w:numPr>
          <w:ilvl w:val="0"/>
          <w:numId w:val="23"/>
        </w:numPr>
        <w:ind w:left="360"/>
      </w:pPr>
      <w:r>
        <w:t xml:space="preserve">Skills for Care, 2023. </w:t>
      </w:r>
      <w:r>
        <w:rPr>
          <w:rStyle w:val="Emphasis"/>
          <w:rFonts w:eastAsiaTheme="majorEastAsia"/>
        </w:rPr>
        <w:t>Core skills for care workers: Communication and record keeping</w:t>
      </w:r>
      <w:r>
        <w:t>. [online] Available at: https://www.skillsforcare.org.uk/learning-and-development/core-skills.aspx [Accessed 21 Jul. 2025].</w:t>
      </w:r>
    </w:p>
    <w:p w14:paraId="7305A002" w14:textId="77777777" w:rsidR="005503CB" w:rsidRPr="005503CB" w:rsidRDefault="005503CB" w:rsidP="005503CB"/>
    <w:sectPr w:rsidR="005503CB" w:rsidRPr="005503CB" w:rsidSect="0085228D">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A7396" w14:textId="77777777" w:rsidR="00EF7C09" w:rsidRDefault="00EF7C09" w:rsidP="00BF39C7">
      <w:pPr>
        <w:spacing w:after="0" w:line="240" w:lineRule="auto"/>
      </w:pPr>
      <w:r>
        <w:separator/>
      </w:r>
    </w:p>
  </w:endnote>
  <w:endnote w:type="continuationSeparator" w:id="0">
    <w:p w14:paraId="58BAF703" w14:textId="77777777" w:rsidR="00EF7C09" w:rsidRDefault="00EF7C09" w:rsidP="00BF3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2252172"/>
      <w:docPartObj>
        <w:docPartGallery w:val="Page Numbers (Bottom of Page)"/>
        <w:docPartUnique/>
      </w:docPartObj>
    </w:sdtPr>
    <w:sdtContent>
      <w:p w14:paraId="73B5B5EB" w14:textId="77777777" w:rsidR="00AF6550" w:rsidRDefault="00BF39C7" w:rsidP="00C016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88D369" w14:textId="4987A445" w:rsidR="00BF39C7" w:rsidRDefault="00BF39C7" w:rsidP="00BF39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9655037"/>
      <w:docPartObj>
        <w:docPartGallery w:val="Page Numbers (Bottom of Page)"/>
        <w:docPartUnique/>
      </w:docPartObj>
    </w:sdtPr>
    <w:sdtContent>
      <w:p w14:paraId="2C00B4E6" w14:textId="77777777" w:rsidR="00AF6550" w:rsidRDefault="00BF39C7" w:rsidP="00C016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C957D3" w14:textId="1D10E3D2" w:rsidR="00BF39C7" w:rsidRDefault="00BF39C7" w:rsidP="00BF39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6838B" w14:textId="77777777" w:rsidR="00EF7C09" w:rsidRDefault="00EF7C09" w:rsidP="00BF39C7">
      <w:pPr>
        <w:spacing w:after="0" w:line="240" w:lineRule="auto"/>
      </w:pPr>
      <w:r>
        <w:separator/>
      </w:r>
    </w:p>
  </w:footnote>
  <w:footnote w:type="continuationSeparator" w:id="0">
    <w:p w14:paraId="62AF263E" w14:textId="77777777" w:rsidR="00EF7C09" w:rsidRDefault="00EF7C09" w:rsidP="00BF3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47545" w14:textId="2AAA72F2" w:rsidR="005503CB" w:rsidRPr="005503CB" w:rsidRDefault="005503CB" w:rsidP="005503CB">
    <w:pPr>
      <w:pStyle w:val="Header"/>
    </w:pPr>
    <w:r>
      <w:rPr>
        <w:noProof/>
      </w:rPr>
      <w:drawing>
        <wp:anchor distT="0" distB="0" distL="114300" distR="114300" simplePos="0" relativeHeight="251658240" behindDoc="1" locked="0" layoutInCell="1" allowOverlap="1" wp14:anchorId="68086BF4" wp14:editId="4BC5FF79">
          <wp:simplePos x="0" y="0"/>
          <wp:positionH relativeFrom="column">
            <wp:posOffset>147</wp:posOffset>
          </wp:positionH>
          <wp:positionV relativeFrom="paragraph">
            <wp:posOffset>-245745</wp:posOffset>
          </wp:positionV>
          <wp:extent cx="1465385" cy="621323"/>
          <wp:effectExtent l="0" t="0" r="0" b="0"/>
          <wp:wrapTight wrapText="bothSides">
            <wp:wrapPolygon edited="0">
              <wp:start x="0" y="883"/>
              <wp:lineTo x="0" y="12810"/>
              <wp:lineTo x="562" y="18110"/>
              <wp:lineTo x="2622" y="19436"/>
              <wp:lineTo x="5992" y="20319"/>
              <wp:lineTo x="17040" y="20319"/>
              <wp:lineTo x="18164" y="18994"/>
              <wp:lineTo x="17602" y="15902"/>
              <wp:lineTo x="21347" y="15460"/>
              <wp:lineTo x="21347" y="11926"/>
              <wp:lineTo x="19849" y="3092"/>
              <wp:lineTo x="19287" y="1767"/>
              <wp:lineTo x="15355" y="883"/>
              <wp:lineTo x="0" y="883"/>
            </wp:wrapPolygon>
          </wp:wrapTight>
          <wp:docPr id="1693" name="Picture 169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693" name="Picture 1693"/>
                  <pic:cNvPicPr/>
                </pic:nvPicPr>
                <pic:blipFill>
                  <a:blip r:embed="rId1">
                    <a:extLst>
                      <a:ext uri="{28A0092B-C50C-407E-A947-70E740481C1C}">
                        <a14:useLocalDpi xmlns:a14="http://schemas.microsoft.com/office/drawing/2010/main" val="0"/>
                      </a:ext>
                    </a:extLst>
                  </a:blip>
                  <a:stretch>
                    <a:fillRect/>
                  </a:stretch>
                </pic:blipFill>
                <pic:spPr>
                  <a:xfrm>
                    <a:off x="0" y="0"/>
                    <a:ext cx="1465385" cy="62132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2DF8"/>
    <w:multiLevelType w:val="hybridMultilevel"/>
    <w:tmpl w:val="9A7C349E"/>
    <w:lvl w:ilvl="0" w:tplc="202EF9E8">
      <w:start w:val="1"/>
      <w:numFmt w:val="bullet"/>
      <w:lvlText w:val="•"/>
      <w:lvlJc w:val="left"/>
      <w:pPr>
        <w:tabs>
          <w:tab w:val="num" w:pos="720"/>
        </w:tabs>
        <w:ind w:left="720" w:hanging="360"/>
      </w:pPr>
      <w:rPr>
        <w:rFonts w:ascii="Arial" w:hAnsi="Arial" w:hint="default"/>
      </w:rPr>
    </w:lvl>
    <w:lvl w:ilvl="1" w:tplc="EF8A27C0" w:tentative="1">
      <w:start w:val="1"/>
      <w:numFmt w:val="bullet"/>
      <w:lvlText w:val="•"/>
      <w:lvlJc w:val="left"/>
      <w:pPr>
        <w:tabs>
          <w:tab w:val="num" w:pos="1440"/>
        </w:tabs>
        <w:ind w:left="1440" w:hanging="360"/>
      </w:pPr>
      <w:rPr>
        <w:rFonts w:ascii="Arial" w:hAnsi="Arial" w:hint="default"/>
      </w:rPr>
    </w:lvl>
    <w:lvl w:ilvl="2" w:tplc="686EBB86" w:tentative="1">
      <w:start w:val="1"/>
      <w:numFmt w:val="bullet"/>
      <w:lvlText w:val="•"/>
      <w:lvlJc w:val="left"/>
      <w:pPr>
        <w:tabs>
          <w:tab w:val="num" w:pos="2160"/>
        </w:tabs>
        <w:ind w:left="2160" w:hanging="360"/>
      </w:pPr>
      <w:rPr>
        <w:rFonts w:ascii="Arial" w:hAnsi="Arial" w:hint="default"/>
      </w:rPr>
    </w:lvl>
    <w:lvl w:ilvl="3" w:tplc="90E40A30" w:tentative="1">
      <w:start w:val="1"/>
      <w:numFmt w:val="bullet"/>
      <w:lvlText w:val="•"/>
      <w:lvlJc w:val="left"/>
      <w:pPr>
        <w:tabs>
          <w:tab w:val="num" w:pos="2880"/>
        </w:tabs>
        <w:ind w:left="2880" w:hanging="360"/>
      </w:pPr>
      <w:rPr>
        <w:rFonts w:ascii="Arial" w:hAnsi="Arial" w:hint="default"/>
      </w:rPr>
    </w:lvl>
    <w:lvl w:ilvl="4" w:tplc="3072EAC6" w:tentative="1">
      <w:start w:val="1"/>
      <w:numFmt w:val="bullet"/>
      <w:lvlText w:val="•"/>
      <w:lvlJc w:val="left"/>
      <w:pPr>
        <w:tabs>
          <w:tab w:val="num" w:pos="3600"/>
        </w:tabs>
        <w:ind w:left="3600" w:hanging="360"/>
      </w:pPr>
      <w:rPr>
        <w:rFonts w:ascii="Arial" w:hAnsi="Arial" w:hint="default"/>
      </w:rPr>
    </w:lvl>
    <w:lvl w:ilvl="5" w:tplc="5E3EC89A" w:tentative="1">
      <w:start w:val="1"/>
      <w:numFmt w:val="bullet"/>
      <w:lvlText w:val="•"/>
      <w:lvlJc w:val="left"/>
      <w:pPr>
        <w:tabs>
          <w:tab w:val="num" w:pos="4320"/>
        </w:tabs>
        <w:ind w:left="4320" w:hanging="360"/>
      </w:pPr>
      <w:rPr>
        <w:rFonts w:ascii="Arial" w:hAnsi="Arial" w:hint="default"/>
      </w:rPr>
    </w:lvl>
    <w:lvl w:ilvl="6" w:tplc="59EC1C6C" w:tentative="1">
      <w:start w:val="1"/>
      <w:numFmt w:val="bullet"/>
      <w:lvlText w:val="•"/>
      <w:lvlJc w:val="left"/>
      <w:pPr>
        <w:tabs>
          <w:tab w:val="num" w:pos="5040"/>
        </w:tabs>
        <w:ind w:left="5040" w:hanging="360"/>
      </w:pPr>
      <w:rPr>
        <w:rFonts w:ascii="Arial" w:hAnsi="Arial" w:hint="default"/>
      </w:rPr>
    </w:lvl>
    <w:lvl w:ilvl="7" w:tplc="DD8E455A" w:tentative="1">
      <w:start w:val="1"/>
      <w:numFmt w:val="bullet"/>
      <w:lvlText w:val="•"/>
      <w:lvlJc w:val="left"/>
      <w:pPr>
        <w:tabs>
          <w:tab w:val="num" w:pos="5760"/>
        </w:tabs>
        <w:ind w:left="5760" w:hanging="360"/>
      </w:pPr>
      <w:rPr>
        <w:rFonts w:ascii="Arial" w:hAnsi="Arial" w:hint="default"/>
      </w:rPr>
    </w:lvl>
    <w:lvl w:ilvl="8" w:tplc="1682D1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942D6"/>
    <w:multiLevelType w:val="hybridMultilevel"/>
    <w:tmpl w:val="BBFE7D38"/>
    <w:lvl w:ilvl="0" w:tplc="58481AE4">
      <w:start w:val="1"/>
      <w:numFmt w:val="decimal"/>
      <w:lvlText w:val="%1."/>
      <w:lvlJc w:val="left"/>
      <w:pPr>
        <w:tabs>
          <w:tab w:val="num" w:pos="720"/>
        </w:tabs>
        <w:ind w:left="720" w:hanging="360"/>
      </w:pPr>
    </w:lvl>
    <w:lvl w:ilvl="1" w:tplc="161A4104" w:tentative="1">
      <w:start w:val="1"/>
      <w:numFmt w:val="decimal"/>
      <w:lvlText w:val="%2."/>
      <w:lvlJc w:val="left"/>
      <w:pPr>
        <w:tabs>
          <w:tab w:val="num" w:pos="1440"/>
        </w:tabs>
        <w:ind w:left="1440" w:hanging="360"/>
      </w:pPr>
    </w:lvl>
    <w:lvl w:ilvl="2" w:tplc="B8AA0828" w:tentative="1">
      <w:start w:val="1"/>
      <w:numFmt w:val="decimal"/>
      <w:lvlText w:val="%3."/>
      <w:lvlJc w:val="left"/>
      <w:pPr>
        <w:tabs>
          <w:tab w:val="num" w:pos="2160"/>
        </w:tabs>
        <w:ind w:left="2160" w:hanging="360"/>
      </w:pPr>
    </w:lvl>
    <w:lvl w:ilvl="3" w:tplc="2C643ECA" w:tentative="1">
      <w:start w:val="1"/>
      <w:numFmt w:val="decimal"/>
      <w:lvlText w:val="%4."/>
      <w:lvlJc w:val="left"/>
      <w:pPr>
        <w:tabs>
          <w:tab w:val="num" w:pos="2880"/>
        </w:tabs>
        <w:ind w:left="2880" w:hanging="360"/>
      </w:pPr>
    </w:lvl>
    <w:lvl w:ilvl="4" w:tplc="3DE03EBC" w:tentative="1">
      <w:start w:val="1"/>
      <w:numFmt w:val="decimal"/>
      <w:lvlText w:val="%5."/>
      <w:lvlJc w:val="left"/>
      <w:pPr>
        <w:tabs>
          <w:tab w:val="num" w:pos="3600"/>
        </w:tabs>
        <w:ind w:left="3600" w:hanging="360"/>
      </w:pPr>
    </w:lvl>
    <w:lvl w:ilvl="5" w:tplc="1156519C" w:tentative="1">
      <w:start w:val="1"/>
      <w:numFmt w:val="decimal"/>
      <w:lvlText w:val="%6."/>
      <w:lvlJc w:val="left"/>
      <w:pPr>
        <w:tabs>
          <w:tab w:val="num" w:pos="4320"/>
        </w:tabs>
        <w:ind w:left="4320" w:hanging="360"/>
      </w:pPr>
    </w:lvl>
    <w:lvl w:ilvl="6" w:tplc="2B966910" w:tentative="1">
      <w:start w:val="1"/>
      <w:numFmt w:val="decimal"/>
      <w:lvlText w:val="%7."/>
      <w:lvlJc w:val="left"/>
      <w:pPr>
        <w:tabs>
          <w:tab w:val="num" w:pos="5040"/>
        </w:tabs>
        <w:ind w:left="5040" w:hanging="360"/>
      </w:pPr>
    </w:lvl>
    <w:lvl w:ilvl="7" w:tplc="E6B66B7A" w:tentative="1">
      <w:start w:val="1"/>
      <w:numFmt w:val="decimal"/>
      <w:lvlText w:val="%8."/>
      <w:lvlJc w:val="left"/>
      <w:pPr>
        <w:tabs>
          <w:tab w:val="num" w:pos="5760"/>
        </w:tabs>
        <w:ind w:left="5760" w:hanging="360"/>
      </w:pPr>
    </w:lvl>
    <w:lvl w:ilvl="8" w:tplc="A51EF932" w:tentative="1">
      <w:start w:val="1"/>
      <w:numFmt w:val="decimal"/>
      <w:lvlText w:val="%9."/>
      <w:lvlJc w:val="left"/>
      <w:pPr>
        <w:tabs>
          <w:tab w:val="num" w:pos="6480"/>
        </w:tabs>
        <w:ind w:left="6480" w:hanging="360"/>
      </w:pPr>
    </w:lvl>
  </w:abstractNum>
  <w:abstractNum w:abstractNumId="2" w15:restartNumberingAfterBreak="0">
    <w:nsid w:val="073E1091"/>
    <w:multiLevelType w:val="hybridMultilevel"/>
    <w:tmpl w:val="67EA1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2220CA"/>
    <w:multiLevelType w:val="hybridMultilevel"/>
    <w:tmpl w:val="31064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A1109D"/>
    <w:multiLevelType w:val="hybridMultilevel"/>
    <w:tmpl w:val="008AF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70892"/>
    <w:multiLevelType w:val="hybridMultilevel"/>
    <w:tmpl w:val="E2F0A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0114A6"/>
    <w:multiLevelType w:val="hybridMultilevel"/>
    <w:tmpl w:val="E5A0D9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8374D7"/>
    <w:multiLevelType w:val="hybridMultilevel"/>
    <w:tmpl w:val="7D7696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3815C7"/>
    <w:multiLevelType w:val="hybridMultilevel"/>
    <w:tmpl w:val="0560A1D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612425"/>
    <w:multiLevelType w:val="hybridMultilevel"/>
    <w:tmpl w:val="CAD62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17398E"/>
    <w:multiLevelType w:val="hybridMultilevel"/>
    <w:tmpl w:val="98AA3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BB0E2A"/>
    <w:multiLevelType w:val="hybridMultilevel"/>
    <w:tmpl w:val="4CD60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385E72"/>
    <w:multiLevelType w:val="hybridMultilevel"/>
    <w:tmpl w:val="E73A5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2E71E0"/>
    <w:multiLevelType w:val="hybridMultilevel"/>
    <w:tmpl w:val="590E04E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5ED85DE6"/>
    <w:multiLevelType w:val="hybridMultilevel"/>
    <w:tmpl w:val="F3441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A9685D"/>
    <w:multiLevelType w:val="hybridMultilevel"/>
    <w:tmpl w:val="15605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AB46CC"/>
    <w:multiLevelType w:val="multilevel"/>
    <w:tmpl w:val="87A2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A53E0B"/>
    <w:multiLevelType w:val="hybridMultilevel"/>
    <w:tmpl w:val="DF0A10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CBE7561"/>
    <w:multiLevelType w:val="hybridMultilevel"/>
    <w:tmpl w:val="C8CE3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7F685D"/>
    <w:multiLevelType w:val="hybridMultilevel"/>
    <w:tmpl w:val="0EAE79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69A417A"/>
    <w:multiLevelType w:val="hybridMultilevel"/>
    <w:tmpl w:val="4FD0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387E12"/>
    <w:multiLevelType w:val="hybridMultilevel"/>
    <w:tmpl w:val="7D941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48534F"/>
    <w:multiLevelType w:val="hybridMultilevel"/>
    <w:tmpl w:val="A4027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3338884">
    <w:abstractNumId w:val="20"/>
  </w:num>
  <w:num w:numId="2" w16cid:durableId="2112822964">
    <w:abstractNumId w:val="16"/>
  </w:num>
  <w:num w:numId="3" w16cid:durableId="2132819509">
    <w:abstractNumId w:val="12"/>
  </w:num>
  <w:num w:numId="4" w16cid:durableId="239143180">
    <w:abstractNumId w:val="15"/>
  </w:num>
  <w:num w:numId="5" w16cid:durableId="281346133">
    <w:abstractNumId w:val="4"/>
  </w:num>
  <w:num w:numId="6" w16cid:durableId="207767065">
    <w:abstractNumId w:val="14"/>
  </w:num>
  <w:num w:numId="7" w16cid:durableId="1176070208">
    <w:abstractNumId w:val="5"/>
  </w:num>
  <w:num w:numId="8" w16cid:durableId="1544631522">
    <w:abstractNumId w:val="21"/>
  </w:num>
  <w:num w:numId="9" w16cid:durableId="1270626085">
    <w:abstractNumId w:val="11"/>
  </w:num>
  <w:num w:numId="10" w16cid:durableId="889925855">
    <w:abstractNumId w:val="2"/>
  </w:num>
  <w:num w:numId="11" w16cid:durableId="1194491181">
    <w:abstractNumId w:val="18"/>
  </w:num>
  <w:num w:numId="12" w16cid:durableId="1674452832">
    <w:abstractNumId w:val="0"/>
  </w:num>
  <w:num w:numId="13" w16cid:durableId="1493065298">
    <w:abstractNumId w:val="1"/>
  </w:num>
  <w:num w:numId="14" w16cid:durableId="982582755">
    <w:abstractNumId w:val="3"/>
  </w:num>
  <w:num w:numId="15" w16cid:durableId="1653414260">
    <w:abstractNumId w:val="13"/>
  </w:num>
  <w:num w:numId="16" w16cid:durableId="2125728510">
    <w:abstractNumId w:val="19"/>
  </w:num>
  <w:num w:numId="17" w16cid:durableId="1229657178">
    <w:abstractNumId w:val="17"/>
  </w:num>
  <w:num w:numId="18" w16cid:durableId="1583636323">
    <w:abstractNumId w:val="7"/>
  </w:num>
  <w:num w:numId="19" w16cid:durableId="156849792">
    <w:abstractNumId w:val="9"/>
  </w:num>
  <w:num w:numId="20" w16cid:durableId="1250695098">
    <w:abstractNumId w:val="8"/>
  </w:num>
  <w:num w:numId="21" w16cid:durableId="1765757558">
    <w:abstractNumId w:val="10"/>
  </w:num>
  <w:num w:numId="22" w16cid:durableId="1935166334">
    <w:abstractNumId w:val="6"/>
  </w:num>
  <w:num w:numId="23" w16cid:durableId="3986027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9C7"/>
    <w:rsid w:val="00016B91"/>
    <w:rsid w:val="00024B17"/>
    <w:rsid w:val="000E3415"/>
    <w:rsid w:val="00142742"/>
    <w:rsid w:val="0015109D"/>
    <w:rsid w:val="001A2903"/>
    <w:rsid w:val="00212893"/>
    <w:rsid w:val="00214698"/>
    <w:rsid w:val="002564C0"/>
    <w:rsid w:val="002C2EDB"/>
    <w:rsid w:val="002C3EFF"/>
    <w:rsid w:val="003733B5"/>
    <w:rsid w:val="003A33CC"/>
    <w:rsid w:val="003A4499"/>
    <w:rsid w:val="004277B8"/>
    <w:rsid w:val="004431FF"/>
    <w:rsid w:val="005503CB"/>
    <w:rsid w:val="005A1733"/>
    <w:rsid w:val="005B7326"/>
    <w:rsid w:val="005D6BD3"/>
    <w:rsid w:val="006C2A29"/>
    <w:rsid w:val="006D3343"/>
    <w:rsid w:val="007B21F5"/>
    <w:rsid w:val="008308D8"/>
    <w:rsid w:val="0085228D"/>
    <w:rsid w:val="008B7A06"/>
    <w:rsid w:val="008F7F84"/>
    <w:rsid w:val="00901C2A"/>
    <w:rsid w:val="009049A0"/>
    <w:rsid w:val="009265E0"/>
    <w:rsid w:val="0094265D"/>
    <w:rsid w:val="00955E4D"/>
    <w:rsid w:val="009B5056"/>
    <w:rsid w:val="009C42C9"/>
    <w:rsid w:val="009E5CD3"/>
    <w:rsid w:val="00A07EA0"/>
    <w:rsid w:val="00A32B3D"/>
    <w:rsid w:val="00A5094A"/>
    <w:rsid w:val="00A62075"/>
    <w:rsid w:val="00AF6550"/>
    <w:rsid w:val="00B20DBE"/>
    <w:rsid w:val="00B8029D"/>
    <w:rsid w:val="00BF39C7"/>
    <w:rsid w:val="00C01696"/>
    <w:rsid w:val="00C32EA9"/>
    <w:rsid w:val="00C3694F"/>
    <w:rsid w:val="00C60AD0"/>
    <w:rsid w:val="00CE2923"/>
    <w:rsid w:val="00D0164E"/>
    <w:rsid w:val="00D342D9"/>
    <w:rsid w:val="00D81603"/>
    <w:rsid w:val="00DF1FCB"/>
    <w:rsid w:val="00E2122D"/>
    <w:rsid w:val="00EB3351"/>
    <w:rsid w:val="00ED4BE1"/>
    <w:rsid w:val="00EF7C09"/>
    <w:rsid w:val="00F054BB"/>
    <w:rsid w:val="00F34203"/>
    <w:rsid w:val="00F46711"/>
    <w:rsid w:val="00FE251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98B84"/>
  <w15:chartTrackingRefBased/>
  <w15:docId w15:val="{3BDE0A97-AEC0-444E-968E-78F389ADA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9C7"/>
    <w:pPr>
      <w:spacing w:after="240" w:line="360" w:lineRule="auto"/>
      <w:jc w:val="both"/>
    </w:pPr>
    <w:rPr>
      <w:rFonts w:ascii="Times New Roman" w:hAnsi="Times New Roman" w:cs="Times New Roman"/>
      <w:lang w:val="en-GB"/>
    </w:rPr>
  </w:style>
  <w:style w:type="paragraph" w:styleId="Heading1">
    <w:name w:val="heading 1"/>
    <w:basedOn w:val="Normal"/>
    <w:next w:val="Normal"/>
    <w:link w:val="Heading1Char"/>
    <w:uiPriority w:val="9"/>
    <w:qFormat/>
    <w:rsid w:val="00BF39C7"/>
    <w:pPr>
      <w:keepNext/>
      <w:keepLines/>
      <w:spacing w:after="0"/>
      <w:jc w:val="left"/>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autoRedefine/>
    <w:qFormat/>
    <w:rsid w:val="008F7F84"/>
    <w:pPr>
      <w:keepNext/>
      <w:keepLines/>
      <w:spacing w:line="276" w:lineRule="auto"/>
      <w:jc w:val="left"/>
      <w:outlineLvl w:val="1"/>
    </w:pPr>
    <w:rPr>
      <w:rFonts w:ascii="Arial" w:eastAsia="Arial" w:hAnsi="Arial" w:cs="Arial"/>
      <w:b/>
      <w:kern w:val="0"/>
      <w14:ligatures w14:val="none"/>
    </w:rPr>
  </w:style>
  <w:style w:type="paragraph" w:styleId="Heading3">
    <w:name w:val="heading 3"/>
    <w:basedOn w:val="Normal"/>
    <w:next w:val="Normal"/>
    <w:link w:val="Heading3Char"/>
    <w:uiPriority w:val="9"/>
    <w:unhideWhenUsed/>
    <w:qFormat/>
    <w:rsid w:val="00BF39C7"/>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E5C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F7F84"/>
    <w:rPr>
      <w:rFonts w:ascii="Arial" w:eastAsia="Arial" w:hAnsi="Arial" w:cs="Arial"/>
      <w:b/>
      <w:kern w:val="0"/>
      <w:lang w:val="en-GB"/>
      <w14:ligatures w14:val="none"/>
    </w:rPr>
  </w:style>
  <w:style w:type="character" w:customStyle="1" w:styleId="Heading1Char">
    <w:name w:val="Heading 1 Char"/>
    <w:basedOn w:val="DefaultParagraphFont"/>
    <w:link w:val="Heading1"/>
    <w:uiPriority w:val="9"/>
    <w:rsid w:val="00BF39C7"/>
    <w:rPr>
      <w:rFonts w:ascii="Times New Roman" w:eastAsiaTheme="majorEastAsia" w:hAnsi="Times New Roman" w:cs="Times New Roman"/>
      <w:b/>
      <w:bCs/>
      <w:color w:val="2F5496" w:themeColor="accent1" w:themeShade="BF"/>
      <w:sz w:val="32"/>
      <w:szCs w:val="32"/>
    </w:rPr>
  </w:style>
  <w:style w:type="character" w:customStyle="1" w:styleId="Heading3Char">
    <w:name w:val="Heading 3 Char"/>
    <w:basedOn w:val="DefaultParagraphFont"/>
    <w:link w:val="Heading3"/>
    <w:uiPriority w:val="9"/>
    <w:rsid w:val="00BF39C7"/>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BF39C7"/>
    <w:rPr>
      <w:b/>
      <w:bCs/>
    </w:rPr>
  </w:style>
  <w:style w:type="paragraph" w:styleId="NormalWeb">
    <w:name w:val="Normal (Web)"/>
    <w:basedOn w:val="Normal"/>
    <w:uiPriority w:val="99"/>
    <w:unhideWhenUsed/>
    <w:rsid w:val="00BF39C7"/>
    <w:pPr>
      <w:spacing w:before="100" w:beforeAutospacing="1" w:after="100" w:afterAutospacing="1" w:line="240" w:lineRule="auto"/>
      <w:jc w:val="left"/>
    </w:pPr>
    <w:rPr>
      <w:rFonts w:eastAsia="Times New Roman"/>
      <w:kern w:val="0"/>
      <w:lang w:bidi="bn-IN"/>
      <w14:ligatures w14:val="none"/>
    </w:rPr>
  </w:style>
  <w:style w:type="character" w:styleId="Emphasis">
    <w:name w:val="Emphasis"/>
    <w:basedOn w:val="DefaultParagraphFont"/>
    <w:uiPriority w:val="20"/>
    <w:qFormat/>
    <w:rsid w:val="00BF39C7"/>
    <w:rPr>
      <w:i/>
      <w:iCs/>
    </w:rPr>
  </w:style>
  <w:style w:type="paragraph" w:styleId="TOCHeading">
    <w:name w:val="TOC Heading"/>
    <w:basedOn w:val="Heading1"/>
    <w:next w:val="Normal"/>
    <w:uiPriority w:val="39"/>
    <w:unhideWhenUsed/>
    <w:qFormat/>
    <w:rsid w:val="00BF39C7"/>
    <w:pPr>
      <w:spacing w:before="480" w:line="276" w:lineRule="auto"/>
      <w:outlineLvl w:val="9"/>
    </w:pPr>
    <w:rPr>
      <w:rFonts w:asciiTheme="majorHAnsi" w:hAnsiTheme="majorHAnsi" w:cstheme="majorBidi"/>
      <w:kern w:val="0"/>
      <w:sz w:val="28"/>
      <w:szCs w:val="28"/>
      <w14:ligatures w14:val="none"/>
    </w:rPr>
  </w:style>
  <w:style w:type="paragraph" w:styleId="TOC1">
    <w:name w:val="toc 1"/>
    <w:basedOn w:val="Normal"/>
    <w:next w:val="Normal"/>
    <w:autoRedefine/>
    <w:uiPriority w:val="39"/>
    <w:unhideWhenUsed/>
    <w:rsid w:val="00BF39C7"/>
    <w:pPr>
      <w:spacing w:before="120" w:after="120"/>
      <w:jc w:val="left"/>
    </w:pPr>
    <w:rPr>
      <w:rFonts w:asciiTheme="minorHAnsi" w:hAnsiTheme="minorHAnsi" w:cstheme="minorHAnsi"/>
      <w:b/>
      <w:bCs/>
      <w:caps/>
      <w:sz w:val="20"/>
    </w:rPr>
  </w:style>
  <w:style w:type="paragraph" w:styleId="TOC2">
    <w:name w:val="toc 2"/>
    <w:basedOn w:val="Normal"/>
    <w:next w:val="Normal"/>
    <w:autoRedefine/>
    <w:uiPriority w:val="39"/>
    <w:unhideWhenUsed/>
    <w:rsid w:val="00BF39C7"/>
    <w:pPr>
      <w:spacing w:after="0"/>
      <w:ind w:left="240"/>
      <w:jc w:val="left"/>
    </w:pPr>
    <w:rPr>
      <w:rFonts w:asciiTheme="minorHAnsi" w:hAnsiTheme="minorHAnsi" w:cstheme="minorHAnsi"/>
      <w:smallCaps/>
      <w:sz w:val="20"/>
    </w:rPr>
  </w:style>
  <w:style w:type="character" w:styleId="Hyperlink">
    <w:name w:val="Hyperlink"/>
    <w:basedOn w:val="DefaultParagraphFont"/>
    <w:uiPriority w:val="99"/>
    <w:unhideWhenUsed/>
    <w:rsid w:val="00BF39C7"/>
    <w:rPr>
      <w:color w:val="0563C1" w:themeColor="hyperlink"/>
      <w:u w:val="single"/>
    </w:rPr>
  </w:style>
  <w:style w:type="paragraph" w:styleId="TOC3">
    <w:name w:val="toc 3"/>
    <w:basedOn w:val="Normal"/>
    <w:next w:val="Normal"/>
    <w:autoRedefine/>
    <w:uiPriority w:val="39"/>
    <w:unhideWhenUsed/>
    <w:rsid w:val="00BF39C7"/>
    <w:pPr>
      <w:spacing w:after="0"/>
      <w:ind w:left="480"/>
      <w:jc w:val="left"/>
    </w:pPr>
    <w:rPr>
      <w:rFonts w:asciiTheme="minorHAnsi" w:hAnsiTheme="minorHAnsi" w:cstheme="minorHAnsi"/>
      <w:i/>
      <w:iCs/>
      <w:sz w:val="20"/>
    </w:rPr>
  </w:style>
  <w:style w:type="paragraph" w:styleId="TOC4">
    <w:name w:val="toc 4"/>
    <w:basedOn w:val="Normal"/>
    <w:next w:val="Normal"/>
    <w:autoRedefine/>
    <w:uiPriority w:val="39"/>
    <w:semiHidden/>
    <w:unhideWhenUsed/>
    <w:rsid w:val="00BF39C7"/>
    <w:pPr>
      <w:spacing w:after="0"/>
      <w:ind w:left="720"/>
      <w:jc w:val="left"/>
    </w:pPr>
    <w:rPr>
      <w:rFonts w:asciiTheme="minorHAnsi" w:hAnsiTheme="minorHAnsi" w:cstheme="minorHAnsi"/>
      <w:sz w:val="18"/>
      <w:szCs w:val="21"/>
    </w:rPr>
  </w:style>
  <w:style w:type="paragraph" w:styleId="TOC5">
    <w:name w:val="toc 5"/>
    <w:basedOn w:val="Normal"/>
    <w:next w:val="Normal"/>
    <w:autoRedefine/>
    <w:uiPriority w:val="39"/>
    <w:semiHidden/>
    <w:unhideWhenUsed/>
    <w:rsid w:val="00BF39C7"/>
    <w:pPr>
      <w:spacing w:after="0"/>
      <w:ind w:left="960"/>
      <w:jc w:val="left"/>
    </w:pPr>
    <w:rPr>
      <w:rFonts w:asciiTheme="minorHAnsi" w:hAnsiTheme="minorHAnsi" w:cstheme="minorHAnsi"/>
      <w:sz w:val="18"/>
      <w:szCs w:val="21"/>
    </w:rPr>
  </w:style>
  <w:style w:type="paragraph" w:styleId="TOC6">
    <w:name w:val="toc 6"/>
    <w:basedOn w:val="Normal"/>
    <w:next w:val="Normal"/>
    <w:autoRedefine/>
    <w:uiPriority w:val="39"/>
    <w:semiHidden/>
    <w:unhideWhenUsed/>
    <w:rsid w:val="00BF39C7"/>
    <w:pPr>
      <w:spacing w:after="0"/>
      <w:ind w:left="1200"/>
      <w:jc w:val="left"/>
    </w:pPr>
    <w:rPr>
      <w:rFonts w:asciiTheme="minorHAnsi" w:hAnsiTheme="minorHAnsi" w:cstheme="minorHAnsi"/>
      <w:sz w:val="18"/>
      <w:szCs w:val="21"/>
    </w:rPr>
  </w:style>
  <w:style w:type="paragraph" w:styleId="TOC7">
    <w:name w:val="toc 7"/>
    <w:basedOn w:val="Normal"/>
    <w:next w:val="Normal"/>
    <w:autoRedefine/>
    <w:uiPriority w:val="39"/>
    <w:semiHidden/>
    <w:unhideWhenUsed/>
    <w:rsid w:val="00BF39C7"/>
    <w:pPr>
      <w:spacing w:after="0"/>
      <w:ind w:left="1440"/>
      <w:jc w:val="left"/>
    </w:pPr>
    <w:rPr>
      <w:rFonts w:asciiTheme="minorHAnsi" w:hAnsiTheme="minorHAnsi" w:cstheme="minorHAnsi"/>
      <w:sz w:val="18"/>
      <w:szCs w:val="21"/>
    </w:rPr>
  </w:style>
  <w:style w:type="paragraph" w:styleId="TOC8">
    <w:name w:val="toc 8"/>
    <w:basedOn w:val="Normal"/>
    <w:next w:val="Normal"/>
    <w:autoRedefine/>
    <w:uiPriority w:val="39"/>
    <w:semiHidden/>
    <w:unhideWhenUsed/>
    <w:rsid w:val="00BF39C7"/>
    <w:pPr>
      <w:spacing w:after="0"/>
      <w:ind w:left="1680"/>
      <w:jc w:val="left"/>
    </w:pPr>
    <w:rPr>
      <w:rFonts w:asciiTheme="minorHAnsi" w:hAnsiTheme="minorHAnsi" w:cstheme="minorHAnsi"/>
      <w:sz w:val="18"/>
      <w:szCs w:val="21"/>
    </w:rPr>
  </w:style>
  <w:style w:type="paragraph" w:styleId="TOC9">
    <w:name w:val="toc 9"/>
    <w:basedOn w:val="Normal"/>
    <w:next w:val="Normal"/>
    <w:autoRedefine/>
    <w:uiPriority w:val="39"/>
    <w:semiHidden/>
    <w:unhideWhenUsed/>
    <w:rsid w:val="00BF39C7"/>
    <w:pPr>
      <w:spacing w:after="0"/>
      <w:ind w:left="1920"/>
      <w:jc w:val="left"/>
    </w:pPr>
    <w:rPr>
      <w:rFonts w:asciiTheme="minorHAnsi" w:hAnsiTheme="minorHAnsi" w:cstheme="minorHAnsi"/>
      <w:sz w:val="18"/>
      <w:szCs w:val="21"/>
    </w:rPr>
  </w:style>
  <w:style w:type="paragraph" w:styleId="Footer">
    <w:name w:val="footer"/>
    <w:basedOn w:val="Normal"/>
    <w:link w:val="FooterChar"/>
    <w:uiPriority w:val="99"/>
    <w:unhideWhenUsed/>
    <w:rsid w:val="00BF3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9C7"/>
    <w:rPr>
      <w:rFonts w:ascii="Times New Roman" w:hAnsi="Times New Roman" w:cs="Times New Roman"/>
    </w:rPr>
  </w:style>
  <w:style w:type="character" w:styleId="PageNumber">
    <w:name w:val="page number"/>
    <w:basedOn w:val="DefaultParagraphFont"/>
    <w:uiPriority w:val="99"/>
    <w:semiHidden/>
    <w:unhideWhenUsed/>
    <w:rsid w:val="00BF39C7"/>
  </w:style>
  <w:style w:type="character" w:customStyle="1" w:styleId="Heading4Char">
    <w:name w:val="Heading 4 Char"/>
    <w:basedOn w:val="DefaultParagraphFont"/>
    <w:link w:val="Heading4"/>
    <w:uiPriority w:val="9"/>
    <w:semiHidden/>
    <w:rsid w:val="009E5CD3"/>
    <w:rPr>
      <w:rFonts w:asciiTheme="majorHAnsi" w:eastAsiaTheme="majorEastAsia" w:hAnsiTheme="majorHAnsi" w:cstheme="majorBidi"/>
      <w:i/>
      <w:iCs/>
      <w:color w:val="2F5496" w:themeColor="accent1" w:themeShade="BF"/>
    </w:rPr>
  </w:style>
  <w:style w:type="paragraph" w:customStyle="1" w:styleId="table">
    <w:name w:val="table"/>
    <w:basedOn w:val="Normal"/>
    <w:rsid w:val="005A173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jc w:val="left"/>
    </w:pPr>
    <w:rPr>
      <w:rFonts w:ascii="Arial" w:eastAsia="Times New Roman" w:hAnsi="Arial"/>
      <w:kern w:val="0"/>
      <w:sz w:val="20"/>
      <w:szCs w:val="20"/>
      <w:lang w:val="en-US"/>
      <w14:ligatures w14:val="none"/>
    </w:rPr>
  </w:style>
  <w:style w:type="paragraph" w:styleId="ListParagraph">
    <w:name w:val="List Paragraph"/>
    <w:basedOn w:val="Normal"/>
    <w:uiPriority w:val="34"/>
    <w:qFormat/>
    <w:rsid w:val="009049A0"/>
    <w:pPr>
      <w:ind w:left="720"/>
      <w:contextualSpacing/>
    </w:pPr>
  </w:style>
  <w:style w:type="table" w:styleId="TableGrid">
    <w:name w:val="Table Grid"/>
    <w:basedOn w:val="TableNormal"/>
    <w:uiPriority w:val="39"/>
    <w:rsid w:val="00955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lative">
    <w:name w:val="relative"/>
    <w:basedOn w:val="DefaultParagraphFont"/>
    <w:rsid w:val="00D342D9"/>
  </w:style>
  <w:style w:type="character" w:styleId="UnresolvedMention">
    <w:name w:val="Unresolved Mention"/>
    <w:basedOn w:val="DefaultParagraphFont"/>
    <w:uiPriority w:val="99"/>
    <w:semiHidden/>
    <w:unhideWhenUsed/>
    <w:rsid w:val="00F46711"/>
    <w:rPr>
      <w:color w:val="605E5C"/>
      <w:shd w:val="clear" w:color="auto" w:fill="E1DFDD"/>
    </w:rPr>
  </w:style>
  <w:style w:type="paragraph" w:styleId="Header">
    <w:name w:val="header"/>
    <w:basedOn w:val="Normal"/>
    <w:link w:val="HeaderChar"/>
    <w:uiPriority w:val="99"/>
    <w:unhideWhenUsed/>
    <w:rsid w:val="005503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3CB"/>
    <w:rPr>
      <w:rFonts w:ascii="Times New Roman" w:hAnsi="Times New Roman" w:cs="Times New Roman"/>
      <w:lang w:val="en-GB"/>
    </w:rPr>
  </w:style>
  <w:style w:type="table" w:customStyle="1" w:styleId="TableGrid0">
    <w:name w:val="TableGrid"/>
    <w:rsid w:val="005503CB"/>
    <w:rPr>
      <w:rFonts w:eastAsiaTheme="minorEastAsia"/>
      <w:szCs w:val="30"/>
      <w:lang w:bidi="bn-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49561">
      <w:bodyDiv w:val="1"/>
      <w:marLeft w:val="0"/>
      <w:marRight w:val="0"/>
      <w:marTop w:val="0"/>
      <w:marBottom w:val="0"/>
      <w:divBdr>
        <w:top w:val="none" w:sz="0" w:space="0" w:color="auto"/>
        <w:left w:val="none" w:sz="0" w:space="0" w:color="auto"/>
        <w:bottom w:val="none" w:sz="0" w:space="0" w:color="auto"/>
        <w:right w:val="none" w:sz="0" w:space="0" w:color="auto"/>
      </w:divBdr>
    </w:div>
    <w:div w:id="94787487">
      <w:bodyDiv w:val="1"/>
      <w:marLeft w:val="0"/>
      <w:marRight w:val="0"/>
      <w:marTop w:val="0"/>
      <w:marBottom w:val="0"/>
      <w:divBdr>
        <w:top w:val="none" w:sz="0" w:space="0" w:color="auto"/>
        <w:left w:val="none" w:sz="0" w:space="0" w:color="auto"/>
        <w:bottom w:val="none" w:sz="0" w:space="0" w:color="auto"/>
        <w:right w:val="none" w:sz="0" w:space="0" w:color="auto"/>
      </w:divBdr>
    </w:div>
    <w:div w:id="143008649">
      <w:bodyDiv w:val="1"/>
      <w:marLeft w:val="0"/>
      <w:marRight w:val="0"/>
      <w:marTop w:val="0"/>
      <w:marBottom w:val="0"/>
      <w:divBdr>
        <w:top w:val="none" w:sz="0" w:space="0" w:color="auto"/>
        <w:left w:val="none" w:sz="0" w:space="0" w:color="auto"/>
        <w:bottom w:val="none" w:sz="0" w:space="0" w:color="auto"/>
        <w:right w:val="none" w:sz="0" w:space="0" w:color="auto"/>
      </w:divBdr>
    </w:div>
    <w:div w:id="164710134">
      <w:bodyDiv w:val="1"/>
      <w:marLeft w:val="0"/>
      <w:marRight w:val="0"/>
      <w:marTop w:val="0"/>
      <w:marBottom w:val="0"/>
      <w:divBdr>
        <w:top w:val="none" w:sz="0" w:space="0" w:color="auto"/>
        <w:left w:val="none" w:sz="0" w:space="0" w:color="auto"/>
        <w:bottom w:val="none" w:sz="0" w:space="0" w:color="auto"/>
        <w:right w:val="none" w:sz="0" w:space="0" w:color="auto"/>
      </w:divBdr>
    </w:div>
    <w:div w:id="171989684">
      <w:bodyDiv w:val="1"/>
      <w:marLeft w:val="0"/>
      <w:marRight w:val="0"/>
      <w:marTop w:val="0"/>
      <w:marBottom w:val="0"/>
      <w:divBdr>
        <w:top w:val="none" w:sz="0" w:space="0" w:color="auto"/>
        <w:left w:val="none" w:sz="0" w:space="0" w:color="auto"/>
        <w:bottom w:val="none" w:sz="0" w:space="0" w:color="auto"/>
        <w:right w:val="none" w:sz="0" w:space="0" w:color="auto"/>
      </w:divBdr>
    </w:div>
    <w:div w:id="212692893">
      <w:bodyDiv w:val="1"/>
      <w:marLeft w:val="0"/>
      <w:marRight w:val="0"/>
      <w:marTop w:val="0"/>
      <w:marBottom w:val="0"/>
      <w:divBdr>
        <w:top w:val="none" w:sz="0" w:space="0" w:color="auto"/>
        <w:left w:val="none" w:sz="0" w:space="0" w:color="auto"/>
        <w:bottom w:val="none" w:sz="0" w:space="0" w:color="auto"/>
        <w:right w:val="none" w:sz="0" w:space="0" w:color="auto"/>
      </w:divBdr>
    </w:div>
    <w:div w:id="254019617">
      <w:bodyDiv w:val="1"/>
      <w:marLeft w:val="0"/>
      <w:marRight w:val="0"/>
      <w:marTop w:val="0"/>
      <w:marBottom w:val="0"/>
      <w:divBdr>
        <w:top w:val="none" w:sz="0" w:space="0" w:color="auto"/>
        <w:left w:val="none" w:sz="0" w:space="0" w:color="auto"/>
        <w:bottom w:val="none" w:sz="0" w:space="0" w:color="auto"/>
        <w:right w:val="none" w:sz="0" w:space="0" w:color="auto"/>
      </w:divBdr>
    </w:div>
    <w:div w:id="437026609">
      <w:bodyDiv w:val="1"/>
      <w:marLeft w:val="0"/>
      <w:marRight w:val="0"/>
      <w:marTop w:val="0"/>
      <w:marBottom w:val="0"/>
      <w:divBdr>
        <w:top w:val="none" w:sz="0" w:space="0" w:color="auto"/>
        <w:left w:val="none" w:sz="0" w:space="0" w:color="auto"/>
        <w:bottom w:val="none" w:sz="0" w:space="0" w:color="auto"/>
        <w:right w:val="none" w:sz="0" w:space="0" w:color="auto"/>
      </w:divBdr>
    </w:div>
    <w:div w:id="506098278">
      <w:bodyDiv w:val="1"/>
      <w:marLeft w:val="0"/>
      <w:marRight w:val="0"/>
      <w:marTop w:val="0"/>
      <w:marBottom w:val="0"/>
      <w:divBdr>
        <w:top w:val="none" w:sz="0" w:space="0" w:color="auto"/>
        <w:left w:val="none" w:sz="0" w:space="0" w:color="auto"/>
        <w:bottom w:val="none" w:sz="0" w:space="0" w:color="auto"/>
        <w:right w:val="none" w:sz="0" w:space="0" w:color="auto"/>
      </w:divBdr>
    </w:div>
    <w:div w:id="529031378">
      <w:bodyDiv w:val="1"/>
      <w:marLeft w:val="0"/>
      <w:marRight w:val="0"/>
      <w:marTop w:val="0"/>
      <w:marBottom w:val="0"/>
      <w:divBdr>
        <w:top w:val="none" w:sz="0" w:space="0" w:color="auto"/>
        <w:left w:val="none" w:sz="0" w:space="0" w:color="auto"/>
        <w:bottom w:val="none" w:sz="0" w:space="0" w:color="auto"/>
        <w:right w:val="none" w:sz="0" w:space="0" w:color="auto"/>
      </w:divBdr>
    </w:div>
    <w:div w:id="580912033">
      <w:bodyDiv w:val="1"/>
      <w:marLeft w:val="0"/>
      <w:marRight w:val="0"/>
      <w:marTop w:val="0"/>
      <w:marBottom w:val="0"/>
      <w:divBdr>
        <w:top w:val="none" w:sz="0" w:space="0" w:color="auto"/>
        <w:left w:val="none" w:sz="0" w:space="0" w:color="auto"/>
        <w:bottom w:val="none" w:sz="0" w:space="0" w:color="auto"/>
        <w:right w:val="none" w:sz="0" w:space="0" w:color="auto"/>
      </w:divBdr>
    </w:div>
    <w:div w:id="583536906">
      <w:bodyDiv w:val="1"/>
      <w:marLeft w:val="0"/>
      <w:marRight w:val="0"/>
      <w:marTop w:val="0"/>
      <w:marBottom w:val="0"/>
      <w:divBdr>
        <w:top w:val="none" w:sz="0" w:space="0" w:color="auto"/>
        <w:left w:val="none" w:sz="0" w:space="0" w:color="auto"/>
        <w:bottom w:val="none" w:sz="0" w:space="0" w:color="auto"/>
        <w:right w:val="none" w:sz="0" w:space="0" w:color="auto"/>
      </w:divBdr>
    </w:div>
    <w:div w:id="628173821">
      <w:bodyDiv w:val="1"/>
      <w:marLeft w:val="0"/>
      <w:marRight w:val="0"/>
      <w:marTop w:val="0"/>
      <w:marBottom w:val="0"/>
      <w:divBdr>
        <w:top w:val="none" w:sz="0" w:space="0" w:color="auto"/>
        <w:left w:val="none" w:sz="0" w:space="0" w:color="auto"/>
        <w:bottom w:val="none" w:sz="0" w:space="0" w:color="auto"/>
        <w:right w:val="none" w:sz="0" w:space="0" w:color="auto"/>
      </w:divBdr>
    </w:div>
    <w:div w:id="637877130">
      <w:bodyDiv w:val="1"/>
      <w:marLeft w:val="0"/>
      <w:marRight w:val="0"/>
      <w:marTop w:val="0"/>
      <w:marBottom w:val="0"/>
      <w:divBdr>
        <w:top w:val="none" w:sz="0" w:space="0" w:color="auto"/>
        <w:left w:val="none" w:sz="0" w:space="0" w:color="auto"/>
        <w:bottom w:val="none" w:sz="0" w:space="0" w:color="auto"/>
        <w:right w:val="none" w:sz="0" w:space="0" w:color="auto"/>
      </w:divBdr>
    </w:div>
    <w:div w:id="655644036">
      <w:bodyDiv w:val="1"/>
      <w:marLeft w:val="0"/>
      <w:marRight w:val="0"/>
      <w:marTop w:val="0"/>
      <w:marBottom w:val="0"/>
      <w:divBdr>
        <w:top w:val="none" w:sz="0" w:space="0" w:color="auto"/>
        <w:left w:val="none" w:sz="0" w:space="0" w:color="auto"/>
        <w:bottom w:val="none" w:sz="0" w:space="0" w:color="auto"/>
        <w:right w:val="none" w:sz="0" w:space="0" w:color="auto"/>
      </w:divBdr>
    </w:div>
    <w:div w:id="712773271">
      <w:bodyDiv w:val="1"/>
      <w:marLeft w:val="0"/>
      <w:marRight w:val="0"/>
      <w:marTop w:val="0"/>
      <w:marBottom w:val="0"/>
      <w:divBdr>
        <w:top w:val="none" w:sz="0" w:space="0" w:color="auto"/>
        <w:left w:val="none" w:sz="0" w:space="0" w:color="auto"/>
        <w:bottom w:val="none" w:sz="0" w:space="0" w:color="auto"/>
        <w:right w:val="none" w:sz="0" w:space="0" w:color="auto"/>
      </w:divBdr>
    </w:div>
    <w:div w:id="784428324">
      <w:bodyDiv w:val="1"/>
      <w:marLeft w:val="0"/>
      <w:marRight w:val="0"/>
      <w:marTop w:val="0"/>
      <w:marBottom w:val="0"/>
      <w:divBdr>
        <w:top w:val="none" w:sz="0" w:space="0" w:color="auto"/>
        <w:left w:val="none" w:sz="0" w:space="0" w:color="auto"/>
        <w:bottom w:val="none" w:sz="0" w:space="0" w:color="auto"/>
        <w:right w:val="none" w:sz="0" w:space="0" w:color="auto"/>
      </w:divBdr>
    </w:div>
    <w:div w:id="802775522">
      <w:bodyDiv w:val="1"/>
      <w:marLeft w:val="0"/>
      <w:marRight w:val="0"/>
      <w:marTop w:val="0"/>
      <w:marBottom w:val="0"/>
      <w:divBdr>
        <w:top w:val="none" w:sz="0" w:space="0" w:color="auto"/>
        <w:left w:val="none" w:sz="0" w:space="0" w:color="auto"/>
        <w:bottom w:val="none" w:sz="0" w:space="0" w:color="auto"/>
        <w:right w:val="none" w:sz="0" w:space="0" w:color="auto"/>
      </w:divBdr>
    </w:div>
    <w:div w:id="862089325">
      <w:bodyDiv w:val="1"/>
      <w:marLeft w:val="0"/>
      <w:marRight w:val="0"/>
      <w:marTop w:val="0"/>
      <w:marBottom w:val="0"/>
      <w:divBdr>
        <w:top w:val="none" w:sz="0" w:space="0" w:color="auto"/>
        <w:left w:val="none" w:sz="0" w:space="0" w:color="auto"/>
        <w:bottom w:val="none" w:sz="0" w:space="0" w:color="auto"/>
        <w:right w:val="none" w:sz="0" w:space="0" w:color="auto"/>
      </w:divBdr>
      <w:divsChild>
        <w:div w:id="1727685581">
          <w:marLeft w:val="547"/>
          <w:marRight w:val="0"/>
          <w:marTop w:val="0"/>
          <w:marBottom w:val="200"/>
          <w:divBdr>
            <w:top w:val="none" w:sz="0" w:space="0" w:color="auto"/>
            <w:left w:val="none" w:sz="0" w:space="0" w:color="auto"/>
            <w:bottom w:val="none" w:sz="0" w:space="0" w:color="auto"/>
            <w:right w:val="none" w:sz="0" w:space="0" w:color="auto"/>
          </w:divBdr>
        </w:div>
        <w:div w:id="819930309">
          <w:marLeft w:val="547"/>
          <w:marRight w:val="0"/>
          <w:marTop w:val="0"/>
          <w:marBottom w:val="200"/>
          <w:divBdr>
            <w:top w:val="none" w:sz="0" w:space="0" w:color="auto"/>
            <w:left w:val="none" w:sz="0" w:space="0" w:color="auto"/>
            <w:bottom w:val="none" w:sz="0" w:space="0" w:color="auto"/>
            <w:right w:val="none" w:sz="0" w:space="0" w:color="auto"/>
          </w:divBdr>
        </w:div>
        <w:div w:id="1248810136">
          <w:marLeft w:val="547"/>
          <w:marRight w:val="0"/>
          <w:marTop w:val="0"/>
          <w:marBottom w:val="200"/>
          <w:divBdr>
            <w:top w:val="none" w:sz="0" w:space="0" w:color="auto"/>
            <w:left w:val="none" w:sz="0" w:space="0" w:color="auto"/>
            <w:bottom w:val="none" w:sz="0" w:space="0" w:color="auto"/>
            <w:right w:val="none" w:sz="0" w:space="0" w:color="auto"/>
          </w:divBdr>
        </w:div>
        <w:div w:id="1088768137">
          <w:marLeft w:val="547"/>
          <w:marRight w:val="0"/>
          <w:marTop w:val="0"/>
          <w:marBottom w:val="200"/>
          <w:divBdr>
            <w:top w:val="none" w:sz="0" w:space="0" w:color="auto"/>
            <w:left w:val="none" w:sz="0" w:space="0" w:color="auto"/>
            <w:bottom w:val="none" w:sz="0" w:space="0" w:color="auto"/>
            <w:right w:val="none" w:sz="0" w:space="0" w:color="auto"/>
          </w:divBdr>
        </w:div>
        <w:div w:id="2144424277">
          <w:marLeft w:val="547"/>
          <w:marRight w:val="0"/>
          <w:marTop w:val="0"/>
          <w:marBottom w:val="200"/>
          <w:divBdr>
            <w:top w:val="none" w:sz="0" w:space="0" w:color="auto"/>
            <w:left w:val="none" w:sz="0" w:space="0" w:color="auto"/>
            <w:bottom w:val="none" w:sz="0" w:space="0" w:color="auto"/>
            <w:right w:val="none" w:sz="0" w:space="0" w:color="auto"/>
          </w:divBdr>
        </w:div>
        <w:div w:id="1499611609">
          <w:marLeft w:val="547"/>
          <w:marRight w:val="0"/>
          <w:marTop w:val="0"/>
          <w:marBottom w:val="200"/>
          <w:divBdr>
            <w:top w:val="none" w:sz="0" w:space="0" w:color="auto"/>
            <w:left w:val="none" w:sz="0" w:space="0" w:color="auto"/>
            <w:bottom w:val="none" w:sz="0" w:space="0" w:color="auto"/>
            <w:right w:val="none" w:sz="0" w:space="0" w:color="auto"/>
          </w:divBdr>
        </w:div>
      </w:divsChild>
    </w:div>
    <w:div w:id="891578167">
      <w:bodyDiv w:val="1"/>
      <w:marLeft w:val="0"/>
      <w:marRight w:val="0"/>
      <w:marTop w:val="0"/>
      <w:marBottom w:val="0"/>
      <w:divBdr>
        <w:top w:val="none" w:sz="0" w:space="0" w:color="auto"/>
        <w:left w:val="none" w:sz="0" w:space="0" w:color="auto"/>
        <w:bottom w:val="none" w:sz="0" w:space="0" w:color="auto"/>
        <w:right w:val="none" w:sz="0" w:space="0" w:color="auto"/>
      </w:divBdr>
    </w:div>
    <w:div w:id="949750173">
      <w:bodyDiv w:val="1"/>
      <w:marLeft w:val="0"/>
      <w:marRight w:val="0"/>
      <w:marTop w:val="0"/>
      <w:marBottom w:val="0"/>
      <w:divBdr>
        <w:top w:val="none" w:sz="0" w:space="0" w:color="auto"/>
        <w:left w:val="none" w:sz="0" w:space="0" w:color="auto"/>
        <w:bottom w:val="none" w:sz="0" w:space="0" w:color="auto"/>
        <w:right w:val="none" w:sz="0" w:space="0" w:color="auto"/>
      </w:divBdr>
    </w:div>
    <w:div w:id="992217050">
      <w:bodyDiv w:val="1"/>
      <w:marLeft w:val="0"/>
      <w:marRight w:val="0"/>
      <w:marTop w:val="0"/>
      <w:marBottom w:val="0"/>
      <w:divBdr>
        <w:top w:val="none" w:sz="0" w:space="0" w:color="auto"/>
        <w:left w:val="none" w:sz="0" w:space="0" w:color="auto"/>
        <w:bottom w:val="none" w:sz="0" w:space="0" w:color="auto"/>
        <w:right w:val="none" w:sz="0" w:space="0" w:color="auto"/>
      </w:divBdr>
    </w:div>
    <w:div w:id="1025910738">
      <w:bodyDiv w:val="1"/>
      <w:marLeft w:val="0"/>
      <w:marRight w:val="0"/>
      <w:marTop w:val="0"/>
      <w:marBottom w:val="0"/>
      <w:divBdr>
        <w:top w:val="none" w:sz="0" w:space="0" w:color="auto"/>
        <w:left w:val="none" w:sz="0" w:space="0" w:color="auto"/>
        <w:bottom w:val="none" w:sz="0" w:space="0" w:color="auto"/>
        <w:right w:val="none" w:sz="0" w:space="0" w:color="auto"/>
      </w:divBdr>
    </w:div>
    <w:div w:id="1159275511">
      <w:bodyDiv w:val="1"/>
      <w:marLeft w:val="0"/>
      <w:marRight w:val="0"/>
      <w:marTop w:val="0"/>
      <w:marBottom w:val="0"/>
      <w:divBdr>
        <w:top w:val="none" w:sz="0" w:space="0" w:color="auto"/>
        <w:left w:val="none" w:sz="0" w:space="0" w:color="auto"/>
        <w:bottom w:val="none" w:sz="0" w:space="0" w:color="auto"/>
        <w:right w:val="none" w:sz="0" w:space="0" w:color="auto"/>
      </w:divBdr>
    </w:div>
    <w:div w:id="1162431754">
      <w:bodyDiv w:val="1"/>
      <w:marLeft w:val="0"/>
      <w:marRight w:val="0"/>
      <w:marTop w:val="0"/>
      <w:marBottom w:val="0"/>
      <w:divBdr>
        <w:top w:val="none" w:sz="0" w:space="0" w:color="auto"/>
        <w:left w:val="none" w:sz="0" w:space="0" w:color="auto"/>
        <w:bottom w:val="none" w:sz="0" w:space="0" w:color="auto"/>
        <w:right w:val="none" w:sz="0" w:space="0" w:color="auto"/>
      </w:divBdr>
    </w:div>
    <w:div w:id="1184439565">
      <w:bodyDiv w:val="1"/>
      <w:marLeft w:val="0"/>
      <w:marRight w:val="0"/>
      <w:marTop w:val="0"/>
      <w:marBottom w:val="0"/>
      <w:divBdr>
        <w:top w:val="none" w:sz="0" w:space="0" w:color="auto"/>
        <w:left w:val="none" w:sz="0" w:space="0" w:color="auto"/>
        <w:bottom w:val="none" w:sz="0" w:space="0" w:color="auto"/>
        <w:right w:val="none" w:sz="0" w:space="0" w:color="auto"/>
      </w:divBdr>
      <w:divsChild>
        <w:div w:id="1582060683">
          <w:marLeft w:val="547"/>
          <w:marRight w:val="0"/>
          <w:marTop w:val="0"/>
          <w:marBottom w:val="360"/>
          <w:divBdr>
            <w:top w:val="none" w:sz="0" w:space="0" w:color="auto"/>
            <w:left w:val="none" w:sz="0" w:space="0" w:color="auto"/>
            <w:bottom w:val="none" w:sz="0" w:space="0" w:color="auto"/>
            <w:right w:val="none" w:sz="0" w:space="0" w:color="auto"/>
          </w:divBdr>
        </w:div>
        <w:div w:id="1316370828">
          <w:marLeft w:val="547"/>
          <w:marRight w:val="0"/>
          <w:marTop w:val="0"/>
          <w:marBottom w:val="360"/>
          <w:divBdr>
            <w:top w:val="none" w:sz="0" w:space="0" w:color="auto"/>
            <w:left w:val="none" w:sz="0" w:space="0" w:color="auto"/>
            <w:bottom w:val="none" w:sz="0" w:space="0" w:color="auto"/>
            <w:right w:val="none" w:sz="0" w:space="0" w:color="auto"/>
          </w:divBdr>
        </w:div>
        <w:div w:id="1970356131">
          <w:marLeft w:val="547"/>
          <w:marRight w:val="0"/>
          <w:marTop w:val="0"/>
          <w:marBottom w:val="360"/>
          <w:divBdr>
            <w:top w:val="none" w:sz="0" w:space="0" w:color="auto"/>
            <w:left w:val="none" w:sz="0" w:space="0" w:color="auto"/>
            <w:bottom w:val="none" w:sz="0" w:space="0" w:color="auto"/>
            <w:right w:val="none" w:sz="0" w:space="0" w:color="auto"/>
          </w:divBdr>
        </w:div>
        <w:div w:id="1652830458">
          <w:marLeft w:val="547"/>
          <w:marRight w:val="0"/>
          <w:marTop w:val="0"/>
          <w:marBottom w:val="360"/>
          <w:divBdr>
            <w:top w:val="none" w:sz="0" w:space="0" w:color="auto"/>
            <w:left w:val="none" w:sz="0" w:space="0" w:color="auto"/>
            <w:bottom w:val="none" w:sz="0" w:space="0" w:color="auto"/>
            <w:right w:val="none" w:sz="0" w:space="0" w:color="auto"/>
          </w:divBdr>
        </w:div>
        <w:div w:id="905653756">
          <w:marLeft w:val="547"/>
          <w:marRight w:val="0"/>
          <w:marTop w:val="0"/>
          <w:marBottom w:val="360"/>
          <w:divBdr>
            <w:top w:val="none" w:sz="0" w:space="0" w:color="auto"/>
            <w:left w:val="none" w:sz="0" w:space="0" w:color="auto"/>
            <w:bottom w:val="none" w:sz="0" w:space="0" w:color="auto"/>
            <w:right w:val="none" w:sz="0" w:space="0" w:color="auto"/>
          </w:divBdr>
        </w:div>
        <w:div w:id="1210803956">
          <w:marLeft w:val="547"/>
          <w:marRight w:val="0"/>
          <w:marTop w:val="0"/>
          <w:marBottom w:val="360"/>
          <w:divBdr>
            <w:top w:val="none" w:sz="0" w:space="0" w:color="auto"/>
            <w:left w:val="none" w:sz="0" w:space="0" w:color="auto"/>
            <w:bottom w:val="none" w:sz="0" w:space="0" w:color="auto"/>
            <w:right w:val="none" w:sz="0" w:space="0" w:color="auto"/>
          </w:divBdr>
        </w:div>
        <w:div w:id="660623350">
          <w:marLeft w:val="547"/>
          <w:marRight w:val="0"/>
          <w:marTop w:val="0"/>
          <w:marBottom w:val="360"/>
          <w:divBdr>
            <w:top w:val="none" w:sz="0" w:space="0" w:color="auto"/>
            <w:left w:val="none" w:sz="0" w:space="0" w:color="auto"/>
            <w:bottom w:val="none" w:sz="0" w:space="0" w:color="auto"/>
            <w:right w:val="none" w:sz="0" w:space="0" w:color="auto"/>
          </w:divBdr>
        </w:div>
        <w:div w:id="1656377058">
          <w:marLeft w:val="547"/>
          <w:marRight w:val="0"/>
          <w:marTop w:val="0"/>
          <w:marBottom w:val="360"/>
          <w:divBdr>
            <w:top w:val="none" w:sz="0" w:space="0" w:color="auto"/>
            <w:left w:val="none" w:sz="0" w:space="0" w:color="auto"/>
            <w:bottom w:val="none" w:sz="0" w:space="0" w:color="auto"/>
            <w:right w:val="none" w:sz="0" w:space="0" w:color="auto"/>
          </w:divBdr>
        </w:div>
        <w:div w:id="2082023058">
          <w:marLeft w:val="547"/>
          <w:marRight w:val="0"/>
          <w:marTop w:val="0"/>
          <w:marBottom w:val="360"/>
          <w:divBdr>
            <w:top w:val="none" w:sz="0" w:space="0" w:color="auto"/>
            <w:left w:val="none" w:sz="0" w:space="0" w:color="auto"/>
            <w:bottom w:val="none" w:sz="0" w:space="0" w:color="auto"/>
            <w:right w:val="none" w:sz="0" w:space="0" w:color="auto"/>
          </w:divBdr>
        </w:div>
      </w:divsChild>
    </w:div>
    <w:div w:id="1221209266">
      <w:bodyDiv w:val="1"/>
      <w:marLeft w:val="0"/>
      <w:marRight w:val="0"/>
      <w:marTop w:val="0"/>
      <w:marBottom w:val="0"/>
      <w:divBdr>
        <w:top w:val="none" w:sz="0" w:space="0" w:color="auto"/>
        <w:left w:val="none" w:sz="0" w:space="0" w:color="auto"/>
        <w:bottom w:val="none" w:sz="0" w:space="0" w:color="auto"/>
        <w:right w:val="none" w:sz="0" w:space="0" w:color="auto"/>
      </w:divBdr>
    </w:div>
    <w:div w:id="1260872969">
      <w:bodyDiv w:val="1"/>
      <w:marLeft w:val="0"/>
      <w:marRight w:val="0"/>
      <w:marTop w:val="0"/>
      <w:marBottom w:val="0"/>
      <w:divBdr>
        <w:top w:val="none" w:sz="0" w:space="0" w:color="auto"/>
        <w:left w:val="none" w:sz="0" w:space="0" w:color="auto"/>
        <w:bottom w:val="none" w:sz="0" w:space="0" w:color="auto"/>
        <w:right w:val="none" w:sz="0" w:space="0" w:color="auto"/>
      </w:divBdr>
    </w:div>
    <w:div w:id="1424885342">
      <w:bodyDiv w:val="1"/>
      <w:marLeft w:val="0"/>
      <w:marRight w:val="0"/>
      <w:marTop w:val="0"/>
      <w:marBottom w:val="0"/>
      <w:divBdr>
        <w:top w:val="none" w:sz="0" w:space="0" w:color="auto"/>
        <w:left w:val="none" w:sz="0" w:space="0" w:color="auto"/>
        <w:bottom w:val="none" w:sz="0" w:space="0" w:color="auto"/>
        <w:right w:val="none" w:sz="0" w:space="0" w:color="auto"/>
      </w:divBdr>
    </w:div>
    <w:div w:id="1477255348">
      <w:bodyDiv w:val="1"/>
      <w:marLeft w:val="0"/>
      <w:marRight w:val="0"/>
      <w:marTop w:val="0"/>
      <w:marBottom w:val="0"/>
      <w:divBdr>
        <w:top w:val="none" w:sz="0" w:space="0" w:color="auto"/>
        <w:left w:val="none" w:sz="0" w:space="0" w:color="auto"/>
        <w:bottom w:val="none" w:sz="0" w:space="0" w:color="auto"/>
        <w:right w:val="none" w:sz="0" w:space="0" w:color="auto"/>
      </w:divBdr>
    </w:div>
    <w:div w:id="1542982594">
      <w:bodyDiv w:val="1"/>
      <w:marLeft w:val="0"/>
      <w:marRight w:val="0"/>
      <w:marTop w:val="0"/>
      <w:marBottom w:val="0"/>
      <w:divBdr>
        <w:top w:val="none" w:sz="0" w:space="0" w:color="auto"/>
        <w:left w:val="none" w:sz="0" w:space="0" w:color="auto"/>
        <w:bottom w:val="none" w:sz="0" w:space="0" w:color="auto"/>
        <w:right w:val="none" w:sz="0" w:space="0" w:color="auto"/>
      </w:divBdr>
    </w:div>
    <w:div w:id="1640266088">
      <w:bodyDiv w:val="1"/>
      <w:marLeft w:val="0"/>
      <w:marRight w:val="0"/>
      <w:marTop w:val="0"/>
      <w:marBottom w:val="0"/>
      <w:divBdr>
        <w:top w:val="none" w:sz="0" w:space="0" w:color="auto"/>
        <w:left w:val="none" w:sz="0" w:space="0" w:color="auto"/>
        <w:bottom w:val="none" w:sz="0" w:space="0" w:color="auto"/>
        <w:right w:val="none" w:sz="0" w:space="0" w:color="auto"/>
      </w:divBdr>
    </w:div>
    <w:div w:id="1849323771">
      <w:bodyDiv w:val="1"/>
      <w:marLeft w:val="0"/>
      <w:marRight w:val="0"/>
      <w:marTop w:val="0"/>
      <w:marBottom w:val="0"/>
      <w:divBdr>
        <w:top w:val="none" w:sz="0" w:space="0" w:color="auto"/>
        <w:left w:val="none" w:sz="0" w:space="0" w:color="auto"/>
        <w:bottom w:val="none" w:sz="0" w:space="0" w:color="auto"/>
        <w:right w:val="none" w:sz="0" w:space="0" w:color="auto"/>
      </w:divBdr>
    </w:div>
    <w:div w:id="1979214278">
      <w:bodyDiv w:val="1"/>
      <w:marLeft w:val="0"/>
      <w:marRight w:val="0"/>
      <w:marTop w:val="0"/>
      <w:marBottom w:val="0"/>
      <w:divBdr>
        <w:top w:val="none" w:sz="0" w:space="0" w:color="auto"/>
        <w:left w:val="none" w:sz="0" w:space="0" w:color="auto"/>
        <w:bottom w:val="none" w:sz="0" w:space="0" w:color="auto"/>
        <w:right w:val="none" w:sz="0" w:space="0" w:color="auto"/>
      </w:divBdr>
    </w:div>
    <w:div w:id="2055158250">
      <w:bodyDiv w:val="1"/>
      <w:marLeft w:val="0"/>
      <w:marRight w:val="0"/>
      <w:marTop w:val="0"/>
      <w:marBottom w:val="0"/>
      <w:divBdr>
        <w:top w:val="none" w:sz="0" w:space="0" w:color="auto"/>
        <w:left w:val="none" w:sz="0" w:space="0" w:color="auto"/>
        <w:bottom w:val="none" w:sz="0" w:space="0" w:color="auto"/>
        <w:right w:val="none" w:sz="0" w:space="0" w:color="auto"/>
      </w:divBdr>
    </w:div>
    <w:div w:id="2058048999">
      <w:bodyDiv w:val="1"/>
      <w:marLeft w:val="0"/>
      <w:marRight w:val="0"/>
      <w:marTop w:val="0"/>
      <w:marBottom w:val="0"/>
      <w:divBdr>
        <w:top w:val="none" w:sz="0" w:space="0" w:color="auto"/>
        <w:left w:val="none" w:sz="0" w:space="0" w:color="auto"/>
        <w:bottom w:val="none" w:sz="0" w:space="0" w:color="auto"/>
        <w:right w:val="none" w:sz="0" w:space="0" w:color="auto"/>
      </w:divBdr>
    </w:div>
    <w:div w:id="2091999883">
      <w:bodyDiv w:val="1"/>
      <w:marLeft w:val="0"/>
      <w:marRight w:val="0"/>
      <w:marTop w:val="0"/>
      <w:marBottom w:val="0"/>
      <w:divBdr>
        <w:top w:val="none" w:sz="0" w:space="0" w:color="auto"/>
        <w:left w:val="none" w:sz="0" w:space="0" w:color="auto"/>
        <w:bottom w:val="none" w:sz="0" w:space="0" w:color="auto"/>
        <w:right w:val="none" w:sz="0" w:space="0" w:color="auto"/>
      </w:divBdr>
    </w:div>
    <w:div w:id="210325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4DAA3-6F8E-8F46-9F5D-DD6A7DEB9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9</Pages>
  <Words>2792</Words>
  <Characters>15920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Arifur Rahman</dc:creator>
  <cp:keywords/>
  <dc:description/>
  <cp:lastModifiedBy>Arifur Rahman</cp:lastModifiedBy>
  <cp:revision>29</cp:revision>
  <dcterms:created xsi:type="dcterms:W3CDTF">2025-05-30T04:02:00Z</dcterms:created>
  <dcterms:modified xsi:type="dcterms:W3CDTF">2025-08-02T14:13:00Z</dcterms:modified>
</cp:coreProperties>
</file>