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96C13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573DF">
              <w:rPr>
                <w:rFonts w:ascii="Times New Roman" w:hAnsi="Times New Roman" w:cs="Times New Roman"/>
                <w:b/>
                <w:color w:val="auto"/>
                <w:sz w:val="48"/>
              </w:rPr>
              <w:t>Karen Ward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7C49E9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D573DF">
              <w:rPr>
                <w:rFonts w:ascii="Times New Roman" w:hAnsi="Times New Roman" w:cs="Times New Roman"/>
                <w:b/>
                <w:color w:val="auto"/>
                <w:sz w:val="48"/>
              </w:rPr>
              <w:t>karen.ward1@conwy.gov.uk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DA4B53D" w:rsidR="0085230E" w:rsidRPr="005D3F07" w:rsidRDefault="00D573D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2421407</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3EF4AC11" w14:textId="77777777" w:rsidR="00D573DF" w:rsidRPr="00861140" w:rsidRDefault="00D573DF" w:rsidP="00861140">
            <w:pPr>
              <w:spacing w:before="240" w:line="360" w:lineRule="auto"/>
              <w:rPr>
                <w:sz w:val="24"/>
                <w:szCs w:val="24"/>
              </w:rPr>
            </w:pPr>
            <w:r w:rsidRPr="00861140">
              <w:rPr>
                <w:sz w:val="24"/>
                <w:szCs w:val="24"/>
              </w:rPr>
              <w:t>This case study examines a complex adult safeguarding scenario involving 1, a man in his 50s with longstanding paranoid schizophrenia, and his mother 2, in her 70s. They live in a comfortable home in a small rural community, having relocated from a large English city eight years ago. Socially isolated, they engage with local services only when necessary, maintaining most connections with family in England.</w:t>
            </w:r>
          </w:p>
          <w:p w14:paraId="4B79EC34" w14:textId="77777777" w:rsidR="00D573DF" w:rsidRPr="00861140" w:rsidRDefault="00D573DF" w:rsidP="00861140">
            <w:pPr>
              <w:spacing w:before="240" w:line="360" w:lineRule="auto"/>
              <w:rPr>
                <w:sz w:val="24"/>
                <w:szCs w:val="24"/>
              </w:rPr>
            </w:pPr>
            <w:r w:rsidRPr="00861140">
              <w:rPr>
                <w:sz w:val="24"/>
                <w:szCs w:val="24"/>
              </w:rPr>
              <w:t>Significant safeguarding concerns arose, including risks of physical harm, neglect, and negative attitudes toward external services. This study critically reflects on the safeguarding aspects of the assessment, relevant legislation and policy, and the challenges of working with individuals resistant to intervention.</w:t>
            </w:r>
          </w:p>
          <w:p w14:paraId="1F67738A" w14:textId="77777777" w:rsidR="00D573DF" w:rsidRPr="00861140" w:rsidRDefault="00D573DF" w:rsidP="00861140">
            <w:pPr>
              <w:spacing w:before="240" w:line="360" w:lineRule="auto"/>
              <w:rPr>
                <w:sz w:val="24"/>
                <w:szCs w:val="24"/>
              </w:rPr>
            </w:pPr>
            <w:r w:rsidRPr="00861140">
              <w:rPr>
                <w:sz w:val="24"/>
                <w:szCs w:val="24"/>
              </w:rPr>
              <w:t xml:space="preserve">1 has a history of hospital admissions under the Mental Health Act 1983, including Section 3 detention, entitling him to aftercare under Section 117. His symptoms—delusions and </w:t>
            </w:r>
            <w:r w:rsidRPr="00861140">
              <w:rPr>
                <w:sz w:val="24"/>
                <w:szCs w:val="24"/>
              </w:rPr>
              <w:lastRenderedPageBreak/>
              <w:t>paranoia—occasionally lead to aggression toward his mother and professionals. 2, his primary caregiver, was previously displaced as his nearest relative due to concerns about her ability to recognize and respond to his mental health needs and her failure to alert services during relapses.</w:t>
            </w:r>
          </w:p>
          <w:p w14:paraId="5EC83725" w14:textId="77777777" w:rsidR="00D573DF" w:rsidRPr="00861140" w:rsidRDefault="00D573DF" w:rsidP="00861140">
            <w:pPr>
              <w:spacing w:before="240" w:line="360" w:lineRule="auto"/>
              <w:rPr>
                <w:sz w:val="24"/>
                <w:szCs w:val="24"/>
              </w:rPr>
            </w:pPr>
            <w:r w:rsidRPr="00861140">
              <w:rPr>
                <w:sz w:val="24"/>
                <w:szCs w:val="24"/>
              </w:rPr>
              <w:t>Initial contact was for an annual Section 117 review, conducted jointly with a community mental health team (CMHT) member to assess 1’s needs and risks holistically. At the time, 1 was receiving regular home-administered medication and appeared stable.</w:t>
            </w:r>
          </w:p>
          <w:p w14:paraId="41F86141" w14:textId="77777777" w:rsidR="00D573DF" w:rsidRPr="00861140" w:rsidRDefault="00D573DF" w:rsidP="00861140">
            <w:pPr>
              <w:spacing w:before="240" w:line="360" w:lineRule="auto"/>
              <w:rPr>
                <w:sz w:val="24"/>
                <w:szCs w:val="24"/>
              </w:rPr>
            </w:pPr>
            <w:r w:rsidRPr="00861140">
              <w:rPr>
                <w:sz w:val="24"/>
                <w:szCs w:val="24"/>
              </w:rPr>
              <w:t>Guided by person-centred practice (Social Care Wales, 2017), the assessment prioritized individual voice and preferences. Both were offered support—1 via advocacy, 2 through a carer’s assessment—but declined. Though 1 hadn’t requested the review, he agreed to participate and expressed a desire to remain at home with 2, without further interventions.</w:t>
            </w:r>
          </w:p>
          <w:p w14:paraId="70B7DA25" w14:textId="77777777" w:rsidR="00D573DF" w:rsidRPr="00861140" w:rsidRDefault="00D573DF" w:rsidP="00861140">
            <w:pPr>
              <w:spacing w:before="240" w:line="360" w:lineRule="auto"/>
              <w:rPr>
                <w:sz w:val="24"/>
                <w:szCs w:val="24"/>
              </w:rPr>
            </w:pPr>
            <w:r w:rsidRPr="00861140">
              <w:rPr>
                <w:sz w:val="24"/>
                <w:szCs w:val="24"/>
              </w:rPr>
              <w:t>Professional judgement identified risks: 2’s reluctance to report relapse indicators, an aggressive dog, and the family’s isolation and resistance to services.  I felt that due to these risks and distrust, a relational rather than procedural approach was essential (SCIE, 2021) and decided to pursue a persistent engagement (Preston-Shoot et al., 2015) approach once 2 agreed to regular follow up phone calls to help liaise with health.</w:t>
            </w:r>
          </w:p>
          <w:p w14:paraId="5838ADFC" w14:textId="77777777" w:rsidR="00D573DF" w:rsidRPr="00861140" w:rsidRDefault="00D573DF" w:rsidP="00861140">
            <w:pPr>
              <w:spacing w:before="240" w:line="360" w:lineRule="auto"/>
              <w:rPr>
                <w:sz w:val="24"/>
                <w:szCs w:val="24"/>
              </w:rPr>
            </w:pPr>
            <w:r w:rsidRPr="00861140">
              <w:rPr>
                <w:sz w:val="24"/>
                <w:szCs w:val="24"/>
              </w:rPr>
              <w:t>To build relationships, trust-building strategies included acknowledging 2’s distrust and listening to her concerns (Care Learning, 2023), without endorsing her views, but recognizing the emotional toll of past experiences, in line with professional social work practice of working with integrity (Social Care Wales 2017).</w:t>
            </w:r>
          </w:p>
          <w:p w14:paraId="11776FCC" w14:textId="77777777" w:rsidR="00D573DF" w:rsidRPr="00861140" w:rsidRDefault="00D573DF" w:rsidP="00861140">
            <w:pPr>
              <w:spacing w:before="240" w:line="360" w:lineRule="auto"/>
              <w:rPr>
                <w:sz w:val="24"/>
                <w:szCs w:val="24"/>
              </w:rPr>
            </w:pPr>
            <w:r w:rsidRPr="00861140">
              <w:rPr>
                <w:sz w:val="24"/>
                <w:szCs w:val="24"/>
              </w:rPr>
              <w:t xml:space="preserve">Phone contact revealed the extent of 2’s paranoid beliefs about services and on one occasion alerted me to a serious deterioration in 1’s mental health after a missed medication visit.  This led to a crisis point with 1’s deterioration coinciding with events that had eroded 2’s trust of health services through the missed visit. </w:t>
            </w:r>
          </w:p>
          <w:p w14:paraId="2E089105" w14:textId="77777777" w:rsidR="00D573DF" w:rsidRPr="00861140" w:rsidRDefault="00D573DF" w:rsidP="00861140">
            <w:pPr>
              <w:spacing w:before="240" w:line="360" w:lineRule="auto"/>
              <w:rPr>
                <w:sz w:val="24"/>
                <w:szCs w:val="24"/>
              </w:rPr>
            </w:pPr>
            <w:r w:rsidRPr="00861140">
              <w:rPr>
                <w:sz w:val="24"/>
                <w:szCs w:val="24"/>
              </w:rPr>
              <w:t xml:space="preserve">Analytical reasoning and professional judgement led to contacting CMHT as the most proportionate and lawful response, given 1’s mental disorder, lack of capacity, and risk to self and others. All decisions were documented transparently, ensuring ethical and </w:t>
            </w:r>
            <w:r w:rsidRPr="00861140">
              <w:rPr>
                <w:sz w:val="24"/>
                <w:szCs w:val="24"/>
              </w:rPr>
              <w:lastRenderedPageBreak/>
              <w:t>defensible practice (SCW 2017). Communication with health teams was clear and specific, detailing concerning behaviours to convey risk effectively.</w:t>
            </w:r>
          </w:p>
          <w:p w14:paraId="19B0313B" w14:textId="77777777" w:rsidR="00D573DF" w:rsidRPr="00861140" w:rsidRDefault="00D573DF" w:rsidP="00861140">
            <w:pPr>
              <w:spacing w:before="240" w:line="360" w:lineRule="auto"/>
              <w:rPr>
                <w:sz w:val="24"/>
                <w:szCs w:val="24"/>
              </w:rPr>
            </w:pPr>
            <w:r w:rsidRPr="00861140">
              <w:rPr>
                <w:sz w:val="24"/>
                <w:szCs w:val="24"/>
              </w:rPr>
              <w:t>Subsequent police involvement resulted in injury to a professional and 1’s hospital readmission, highlighting serious safeguarding risks from poor communication and family resistance.</w:t>
            </w:r>
          </w:p>
          <w:p w14:paraId="175D51B1" w14:textId="77777777" w:rsidR="00D573DF" w:rsidRPr="00861140" w:rsidRDefault="00D573DF" w:rsidP="00861140">
            <w:pPr>
              <w:spacing w:before="240" w:line="360" w:lineRule="auto"/>
              <w:rPr>
                <w:sz w:val="24"/>
                <w:szCs w:val="24"/>
              </w:rPr>
            </w:pPr>
            <w:r w:rsidRPr="00861140">
              <w:rPr>
                <w:sz w:val="24"/>
                <w:szCs w:val="24"/>
              </w:rPr>
              <w:t xml:space="preserve">Once 1’s condition stabilised, I used his hospital stay as an opportunity to engage directly, free from 2’s ‘undue influence’ (Martin et al., 2015). My approach balanced duty of care and risk reduction with Social Care </w:t>
            </w:r>
            <w:proofErr w:type="spellStart"/>
            <w:r w:rsidRPr="00861140">
              <w:rPr>
                <w:sz w:val="24"/>
                <w:szCs w:val="24"/>
              </w:rPr>
              <w:t>Wales’</w:t>
            </w:r>
            <w:proofErr w:type="spellEnd"/>
            <w:r w:rsidRPr="00861140">
              <w:rPr>
                <w:sz w:val="24"/>
                <w:szCs w:val="24"/>
              </w:rPr>
              <w:t xml:space="preserve"> emphasis on co-production, voice, and control. </w:t>
            </w:r>
          </w:p>
          <w:p w14:paraId="7213C20C" w14:textId="77777777" w:rsidR="00D573DF" w:rsidRPr="00861140" w:rsidRDefault="00D573DF" w:rsidP="00861140">
            <w:pPr>
              <w:spacing w:before="240" w:line="360" w:lineRule="auto"/>
              <w:rPr>
                <w:sz w:val="24"/>
                <w:szCs w:val="24"/>
              </w:rPr>
            </w:pPr>
            <w:r w:rsidRPr="00861140">
              <w:rPr>
                <w:sz w:val="24"/>
                <w:szCs w:val="24"/>
              </w:rPr>
              <w:t>Communication focused on relationship-building and acknowledging past trauma. Conversations emphasised family bonds and 1’s interests, using a relaxed, humorous tone. Given 1’s history of feeling oppressed by authority figures, this approach fostered trust and improved dialogue (My Social Work News, 2023).</w:t>
            </w:r>
          </w:p>
          <w:p w14:paraId="7B0842E3" w14:textId="77777777" w:rsidR="00D573DF" w:rsidRPr="00861140" w:rsidRDefault="00D573DF" w:rsidP="00861140">
            <w:pPr>
              <w:spacing w:before="240" w:line="360" w:lineRule="auto"/>
              <w:rPr>
                <w:sz w:val="24"/>
                <w:szCs w:val="24"/>
              </w:rPr>
            </w:pPr>
            <w:r w:rsidRPr="00861140">
              <w:rPr>
                <w:sz w:val="24"/>
                <w:szCs w:val="24"/>
              </w:rPr>
              <w:t xml:space="preserve">Acknowledging the strong bond between 1 and 2 required transparency when discussing concerns about engagement with health services, without undervaluing the relationship between mother and son. I highlighted the positives of their mutual support while clarifying areas of concern.  This engagement allowed me to recognise that 1 valued staying with his mother and minimizing disruptions that distressed her, and the limitations in his independence and autonomy due to </w:t>
            </w:r>
            <w:proofErr w:type="spellStart"/>
            <w:r w:rsidRPr="00861140">
              <w:rPr>
                <w:sz w:val="24"/>
                <w:szCs w:val="24"/>
              </w:rPr>
              <w:t>codependency</w:t>
            </w:r>
            <w:proofErr w:type="spellEnd"/>
            <w:r w:rsidRPr="00861140">
              <w:rPr>
                <w:sz w:val="24"/>
                <w:szCs w:val="24"/>
              </w:rPr>
              <w:t xml:space="preserve">; a situation where 1 neglected his own well-being due to over reliance on 2 (Miles 2015).  </w:t>
            </w:r>
          </w:p>
          <w:p w14:paraId="06FAFA7A" w14:textId="77777777" w:rsidR="00D573DF" w:rsidRPr="00861140" w:rsidRDefault="00D573DF" w:rsidP="00861140">
            <w:pPr>
              <w:spacing w:before="240" w:line="360" w:lineRule="auto"/>
              <w:rPr>
                <w:sz w:val="24"/>
                <w:szCs w:val="24"/>
              </w:rPr>
            </w:pPr>
            <w:r w:rsidRPr="00861140">
              <w:rPr>
                <w:sz w:val="24"/>
                <w:szCs w:val="24"/>
              </w:rPr>
              <w:t>1’s release from hospital raised fears of repeated incidents, prompting close liaison with his CMHT Care Coordinator. We agreed that reducing isolation—linked to paranoid thinking in schizophrenia (Hajduk, 2019)—was key. After discussion with both 1 and 2, they expressed a preference for 1’s medication to be administered at a neutral location, as keeping visits away from the home would be better for their wellbeing. We therefore also planned to meet 1 at these appointments to encourage autonomy and independence for 1.</w:t>
            </w:r>
          </w:p>
          <w:p w14:paraId="6567BF1C" w14:textId="77777777" w:rsidR="00D573DF" w:rsidRPr="00861140" w:rsidRDefault="00D573DF" w:rsidP="00861140">
            <w:pPr>
              <w:spacing w:before="240" w:line="360" w:lineRule="auto"/>
              <w:rPr>
                <w:sz w:val="24"/>
                <w:szCs w:val="24"/>
              </w:rPr>
            </w:pPr>
            <w:r w:rsidRPr="00861140">
              <w:rPr>
                <w:sz w:val="24"/>
                <w:szCs w:val="24"/>
              </w:rPr>
              <w:t xml:space="preserve">Continued engagement revealed new concerns though due to 2’s gatekeeping such as missing a </w:t>
            </w:r>
            <w:proofErr w:type="gramStart"/>
            <w:r w:rsidRPr="00861140">
              <w:rPr>
                <w:sz w:val="24"/>
                <w:szCs w:val="24"/>
              </w:rPr>
              <w:t>health appointments</w:t>
            </w:r>
            <w:proofErr w:type="gramEnd"/>
            <w:r w:rsidRPr="00861140">
              <w:rPr>
                <w:sz w:val="24"/>
                <w:szCs w:val="24"/>
              </w:rPr>
              <w:t xml:space="preserve"> and a police interview meaning 1 was unnecessarily </w:t>
            </w:r>
            <w:r w:rsidRPr="00861140">
              <w:rPr>
                <w:sz w:val="24"/>
                <w:szCs w:val="24"/>
              </w:rPr>
              <w:lastRenderedPageBreak/>
              <w:t>arrested.  Frustration grew among professionals as risks seemed likely to recur, yet options for intervention were limited. The focus shifted from mental health approaches to safeguarding, recognising 1 as an adult potentially unable or unwilling to protect himself from arrest, health decline, or financial harm. I referred the case to the local authority safeguarding team, which proceeded under the Self-Neglect Protocol (Regional Safeguarding Adults Board, 2019), as 1 retained capacity and no external perpetrator was identified (Social Care Wales, 2019).</w:t>
            </w:r>
          </w:p>
          <w:p w14:paraId="581B7621" w14:textId="77777777" w:rsidR="00D573DF" w:rsidRPr="00861140" w:rsidRDefault="00D573DF" w:rsidP="00861140">
            <w:pPr>
              <w:spacing w:before="240" w:line="360" w:lineRule="auto"/>
              <w:rPr>
                <w:sz w:val="24"/>
                <w:szCs w:val="24"/>
              </w:rPr>
            </w:pPr>
            <w:r w:rsidRPr="00861140">
              <w:rPr>
                <w:sz w:val="24"/>
                <w:szCs w:val="24"/>
              </w:rPr>
              <w:t>Multidisciplinary meetings assessed whether 1 met the threshold of being unable or merely unwilling to safeguard himself.  Meanwhile, I continued active engagement where opportunities arose, including acting as an appropriate adult during police questioning to uphold 1’s rights and welfare.</w:t>
            </w:r>
          </w:p>
          <w:p w14:paraId="308FAB7A" w14:textId="77777777" w:rsidR="00D573DF" w:rsidRPr="00861140" w:rsidRDefault="00D573DF" w:rsidP="00861140">
            <w:pPr>
              <w:spacing w:before="240" w:line="360" w:lineRule="auto"/>
              <w:rPr>
                <w:sz w:val="24"/>
                <w:szCs w:val="24"/>
              </w:rPr>
            </w:pPr>
            <w:r w:rsidRPr="00861140">
              <w:rPr>
                <w:sz w:val="24"/>
                <w:szCs w:val="24"/>
              </w:rPr>
              <w:t xml:space="preserve">Although 1’s co-dependency led him to prioritise 2’s needs over his own, the multidisciplinary discussions collated evidence to show that this did not meet the threshold for coercion. Positively, 1 attended health sessions, but the family declined further involvement.  Given the limited justification for further involvement, with health visits away from the home stable and in consideration of the family’s wish for autonomy, the </w:t>
            </w:r>
            <w:proofErr w:type="gramStart"/>
            <w:r w:rsidRPr="00861140">
              <w:rPr>
                <w:sz w:val="24"/>
                <w:szCs w:val="24"/>
              </w:rPr>
              <w:t>final outcome</w:t>
            </w:r>
            <w:proofErr w:type="gramEnd"/>
            <w:r w:rsidRPr="00861140">
              <w:rPr>
                <w:sz w:val="24"/>
                <w:szCs w:val="24"/>
              </w:rPr>
              <w:t xml:space="preserve"> was to apply “watchful waiting” (Braye 2017).  This is justified when adults with capacity decline support and risks are not immediate. The Regional Self-Neglect Protocol also supports ongoing monitoring, multi-agency collaboration, and balancing autonomy with protection. We agreed that continued contact with health services was the least restrictive and most appropriate intervention and aligned with the family’s wishes. My role finally shifted to monitoring from a distance and ensuring rapid escalation plans were in place if concerns arose.</w:t>
            </w:r>
          </w:p>
          <w:p w14:paraId="12B238D8" w14:textId="77777777" w:rsidR="00D573DF" w:rsidRPr="00861140" w:rsidRDefault="00D573DF" w:rsidP="00861140">
            <w:pPr>
              <w:spacing w:before="240" w:line="360" w:lineRule="auto"/>
              <w:rPr>
                <w:sz w:val="24"/>
                <w:szCs w:val="24"/>
              </w:rPr>
            </w:pPr>
            <w:r w:rsidRPr="00861140">
              <w:rPr>
                <w:sz w:val="24"/>
                <w:szCs w:val="24"/>
              </w:rPr>
              <w:t>This case was shaped by statutory duties under the Mental Health Act 1983 (Section 117) and the Social Services and Well-being (Wales) Act 2014 (SS&amp;W Act). Initial involvement under Section 117, requiring joint responsibility among the individual, carers, and agencies and continued to involve collaboration with health and police services.</w:t>
            </w:r>
          </w:p>
          <w:p w14:paraId="5A3B81EC" w14:textId="77777777" w:rsidR="00D573DF" w:rsidRPr="00861140" w:rsidRDefault="00D573DF" w:rsidP="00861140">
            <w:pPr>
              <w:spacing w:before="240" w:line="360" w:lineRule="auto"/>
              <w:rPr>
                <w:sz w:val="24"/>
                <w:szCs w:val="24"/>
              </w:rPr>
            </w:pPr>
            <w:r w:rsidRPr="00861140">
              <w:rPr>
                <w:sz w:val="24"/>
                <w:szCs w:val="24"/>
              </w:rPr>
              <w:lastRenderedPageBreak/>
              <w:t>In practice, the Section 117 review process aligns with the SS&amp;W Act’s focus on person-centred planning, risk mitigation, and carer involvement. The SS&amp;W Codes of Practice (Part 3) emphasise incorporating risk into care planning and mitigation strategies. In this case, significant risks—including potential relapse and harm to 2 or the community, justified continued engagement.</w:t>
            </w:r>
          </w:p>
          <w:p w14:paraId="37F41134" w14:textId="77777777" w:rsidR="00D573DF" w:rsidRPr="00861140" w:rsidRDefault="00D573DF" w:rsidP="00861140">
            <w:pPr>
              <w:spacing w:before="240" w:line="360" w:lineRule="auto"/>
              <w:rPr>
                <w:sz w:val="24"/>
                <w:szCs w:val="24"/>
              </w:rPr>
            </w:pPr>
            <w:r w:rsidRPr="00861140">
              <w:rPr>
                <w:sz w:val="24"/>
                <w:szCs w:val="24"/>
              </w:rPr>
              <w:t>A key legal consideration was mental capacity. Both 1 and 2 were assessed as having capacity, limiting statutory intervention. However, Paragraph 108 of the SS&amp;W Act Code of Practice (Part 3) requires authorities to assess risk based on available information, even when individuals refuse formal assessment—particularly relevant given the family’s reluctance to engage.</w:t>
            </w:r>
          </w:p>
          <w:p w14:paraId="2944C2E5" w14:textId="77777777" w:rsidR="00D573DF" w:rsidRPr="00861140" w:rsidRDefault="00D573DF" w:rsidP="00861140">
            <w:pPr>
              <w:spacing w:before="240" w:line="360" w:lineRule="auto"/>
              <w:rPr>
                <w:sz w:val="24"/>
                <w:szCs w:val="24"/>
              </w:rPr>
            </w:pPr>
            <w:r w:rsidRPr="00861140">
              <w:rPr>
                <w:sz w:val="24"/>
                <w:szCs w:val="24"/>
              </w:rPr>
              <w:t>Had 1 lacked capacity, the Mental Capacity Act 2005 (MCA) would have enabled best interest decisions regarding care, treatment, and finances. Additionally, the High Court’s inherent jurisdiction could have been invoked if coercion or undue influence were suspected, even with capacity present.</w:t>
            </w:r>
          </w:p>
          <w:p w14:paraId="4DF59E36" w14:textId="77777777" w:rsidR="00D573DF" w:rsidRPr="00861140" w:rsidRDefault="00D573DF" w:rsidP="00861140">
            <w:pPr>
              <w:spacing w:before="240" w:line="360" w:lineRule="auto"/>
              <w:rPr>
                <w:sz w:val="24"/>
                <w:szCs w:val="24"/>
              </w:rPr>
            </w:pPr>
            <w:r w:rsidRPr="00861140">
              <w:rPr>
                <w:sz w:val="24"/>
                <w:szCs w:val="24"/>
              </w:rPr>
              <w:t>Legally, I was obliged to inform professionals—specifically the mental health team—due to risks to 1, 2, and the community, under the SS&amp;W Act Safeguarding Procedures and the Mental Health Act Code of Practice (Chapter 10).</w:t>
            </w:r>
          </w:p>
          <w:p w14:paraId="62C36158" w14:textId="77777777" w:rsidR="00D573DF" w:rsidRPr="00861140" w:rsidRDefault="00D573DF" w:rsidP="00861140">
            <w:pPr>
              <w:spacing w:before="240" w:line="360" w:lineRule="auto"/>
              <w:rPr>
                <w:sz w:val="24"/>
                <w:szCs w:val="24"/>
              </w:rPr>
            </w:pPr>
            <w:r w:rsidRPr="00861140">
              <w:rPr>
                <w:sz w:val="24"/>
                <w:szCs w:val="24"/>
              </w:rPr>
              <w:t>The case evolved into a self-neglect concern when 1 missed a medication appointment and police interview, raising suspicions of 2 gatekeeping access. Under the Social Services and Well-being (Wales) Act 2014, an “adult at risk” is someone with care and support needs who cannot protect themselves from abuse or neglect. This threshold—whether 1 was experiencing abuse or self-neglect—was explored in multidisciplinary meetings led by social care, involving health, police, and legal professionals.</w:t>
            </w:r>
          </w:p>
          <w:p w14:paraId="7C7A641A" w14:textId="77777777" w:rsidR="00D573DF" w:rsidRPr="00861140" w:rsidRDefault="00D573DF" w:rsidP="00861140">
            <w:pPr>
              <w:spacing w:before="240" w:line="360" w:lineRule="auto"/>
              <w:rPr>
                <w:sz w:val="24"/>
                <w:szCs w:val="24"/>
              </w:rPr>
            </w:pPr>
            <w:r w:rsidRPr="00861140">
              <w:rPr>
                <w:sz w:val="24"/>
                <w:szCs w:val="24"/>
              </w:rPr>
              <w:t xml:space="preserve">Although 1’s mental health posed risks during non-compliance, he retained capacity and had voluntarily delegated financial responsibilities to 2. Her resistance to medical involvement raised concerns about </w:t>
            </w:r>
            <w:proofErr w:type="spellStart"/>
            <w:r w:rsidRPr="00861140">
              <w:rPr>
                <w:sz w:val="24"/>
                <w:szCs w:val="24"/>
              </w:rPr>
              <w:t>codependency</w:t>
            </w:r>
            <w:proofErr w:type="spellEnd"/>
            <w:r w:rsidRPr="00861140">
              <w:rPr>
                <w:sz w:val="24"/>
                <w:szCs w:val="24"/>
              </w:rPr>
              <w:t xml:space="preserve">, but no evidence of coercive control or financial abuse was found. Had coercion been substantiated, the case could have escalated </w:t>
            </w:r>
            <w:r w:rsidRPr="00861140">
              <w:rPr>
                <w:sz w:val="24"/>
                <w:szCs w:val="24"/>
              </w:rPr>
              <w:lastRenderedPageBreak/>
              <w:t xml:space="preserve">under the SS&amp;W Act to further investigations under s126 of the </w:t>
            </w:r>
            <w:proofErr w:type="gramStart"/>
            <w:r w:rsidRPr="00861140">
              <w:rPr>
                <w:sz w:val="24"/>
                <w:szCs w:val="24"/>
              </w:rPr>
              <w:t>Act, or</w:t>
            </w:r>
            <w:proofErr w:type="gramEnd"/>
            <w:r w:rsidRPr="00861140">
              <w:rPr>
                <w:sz w:val="24"/>
                <w:szCs w:val="24"/>
              </w:rPr>
              <w:t xml:space="preserve"> triggered criminal proceedings under the Serious Crime Act 2015, which addresses coercive control in family relationships.</w:t>
            </w:r>
          </w:p>
          <w:p w14:paraId="7E5F324D" w14:textId="77777777" w:rsidR="00D573DF" w:rsidRPr="00861140" w:rsidRDefault="00D573DF" w:rsidP="00861140">
            <w:pPr>
              <w:spacing w:before="240" w:line="360" w:lineRule="auto"/>
              <w:rPr>
                <w:sz w:val="24"/>
                <w:szCs w:val="24"/>
              </w:rPr>
            </w:pPr>
            <w:r w:rsidRPr="00861140">
              <w:rPr>
                <w:sz w:val="24"/>
                <w:szCs w:val="24"/>
              </w:rPr>
              <w:t>This analysis highlights the complexity of distinguishing autonomy, risk, and safeguarding thresholds in cases involving mental health and familial dynamics.</w:t>
            </w:r>
          </w:p>
          <w:p w14:paraId="2519B3BA" w14:textId="77777777" w:rsidR="00D573DF" w:rsidRPr="00861140" w:rsidRDefault="00D573DF" w:rsidP="00861140">
            <w:pPr>
              <w:spacing w:before="240" w:line="360" w:lineRule="auto"/>
              <w:rPr>
                <w:sz w:val="24"/>
                <w:szCs w:val="24"/>
              </w:rPr>
            </w:pPr>
            <w:r w:rsidRPr="00861140">
              <w:rPr>
                <w:sz w:val="24"/>
                <w:szCs w:val="24"/>
              </w:rPr>
              <w:t>Several articles of the Human Rights Act 1998, which incorporates the European Convention on Human Rights into UK law, were central to this case: Article 2 (right to life) required protection from harm, including mental health deterioration; Article 8 (right to private and family life) demanded respect for autonomy and relationships; Article 3 (prohibition of degrading treatment) ensured fair treatment during crises; Article 5 (right to liberty and security) balanced individual rights with public protection.</w:t>
            </w:r>
          </w:p>
          <w:p w14:paraId="6610B4DE" w14:textId="77777777" w:rsidR="00D573DF" w:rsidRPr="00861140" w:rsidRDefault="00D573DF" w:rsidP="00861140">
            <w:pPr>
              <w:spacing w:before="240" w:line="360" w:lineRule="auto"/>
              <w:rPr>
                <w:sz w:val="24"/>
                <w:szCs w:val="24"/>
              </w:rPr>
            </w:pPr>
            <w:r w:rsidRPr="00861140">
              <w:rPr>
                <w:sz w:val="24"/>
                <w:szCs w:val="24"/>
              </w:rPr>
              <w:t xml:space="preserve">In practice, the Human Rights Act provided a legal and ethical framework for proportionate, lawful, and minimally intrusive interventions. It upheld 1’s autonomy unless capacity was clearly lacking and safeguarded 2’s rights as a </w:t>
            </w:r>
            <w:proofErr w:type="spellStart"/>
            <w:r w:rsidRPr="00861140">
              <w:rPr>
                <w:sz w:val="24"/>
                <w:szCs w:val="24"/>
              </w:rPr>
              <w:t>carer</w:t>
            </w:r>
            <w:proofErr w:type="spellEnd"/>
            <w:r w:rsidRPr="00861140">
              <w:rPr>
                <w:sz w:val="24"/>
                <w:szCs w:val="24"/>
              </w:rPr>
              <w:t>, even amid concerns. If coercion or incapacity had been confirmed, the Act would still require dignity-preserving measures and legal safeguards.</w:t>
            </w:r>
          </w:p>
          <w:p w14:paraId="29F7A1BC" w14:textId="77777777" w:rsidR="00D573DF" w:rsidRPr="00861140" w:rsidRDefault="00D573DF" w:rsidP="00861140">
            <w:pPr>
              <w:spacing w:before="240" w:line="360" w:lineRule="auto"/>
              <w:rPr>
                <w:sz w:val="24"/>
                <w:szCs w:val="24"/>
              </w:rPr>
            </w:pPr>
            <w:r w:rsidRPr="00861140">
              <w:rPr>
                <w:sz w:val="24"/>
                <w:szCs w:val="24"/>
              </w:rPr>
              <w:t xml:space="preserve">Although safeguarding legislation is devolved in Wales, it aligns closely with broader UK principles. The SS&amp;W Act mirrors the Care Act 2014 in England in defining “adult at risk” and mandating safeguarding enquiries. UK-wide instruments—such as </w:t>
            </w:r>
            <w:r w:rsidRPr="00861140">
              <w:rPr>
                <w:i/>
                <w:iCs/>
                <w:sz w:val="24"/>
                <w:szCs w:val="24"/>
              </w:rPr>
              <w:t>Working Together to Safeguard Children</w:t>
            </w:r>
            <w:r w:rsidRPr="00861140">
              <w:rPr>
                <w:sz w:val="24"/>
                <w:szCs w:val="24"/>
              </w:rPr>
              <w:t xml:space="preserve"> and the </w:t>
            </w:r>
            <w:r w:rsidRPr="00861140">
              <w:rPr>
                <w:i/>
                <w:iCs/>
                <w:sz w:val="24"/>
                <w:szCs w:val="24"/>
              </w:rPr>
              <w:t>Safeguarding Vulnerable Groups Act 2006</w:t>
            </w:r>
            <w:r w:rsidRPr="00861140">
              <w:rPr>
                <w:sz w:val="24"/>
                <w:szCs w:val="24"/>
              </w:rPr>
              <w:t>—reinforce shared principles of multi-agency collaboration, early intervention, and vetting of individuals working with vulnerable populations.</w:t>
            </w:r>
          </w:p>
          <w:p w14:paraId="1C047128" w14:textId="3463B619" w:rsidR="00D573DF" w:rsidRPr="00861140" w:rsidRDefault="00D573DF" w:rsidP="00861140">
            <w:pPr>
              <w:spacing w:before="240" w:line="360" w:lineRule="auto"/>
              <w:rPr>
                <w:sz w:val="24"/>
                <w:szCs w:val="24"/>
              </w:rPr>
            </w:pPr>
            <w:r w:rsidRPr="00861140">
              <w:rPr>
                <w:sz w:val="24"/>
                <w:szCs w:val="24"/>
              </w:rPr>
              <w:t>Welsh procedures, including the Regional Self-Neglect Protocol, reflect these principles—empowerment, prevention, proportionality, and partnership—ensuring consistency across borders, especially when individuals move between services in England and Wales.</w:t>
            </w:r>
          </w:p>
          <w:p w14:paraId="7175C66C" w14:textId="77777777" w:rsidR="00D573DF" w:rsidRPr="00861140" w:rsidRDefault="00D573DF" w:rsidP="00861140">
            <w:pPr>
              <w:spacing w:before="240" w:line="360" w:lineRule="auto"/>
              <w:rPr>
                <w:sz w:val="24"/>
                <w:szCs w:val="24"/>
              </w:rPr>
            </w:pPr>
            <w:r w:rsidRPr="00861140">
              <w:rPr>
                <w:sz w:val="24"/>
                <w:szCs w:val="24"/>
              </w:rPr>
              <w:t xml:space="preserve">In an international context, safeguarding policies reflect variety in defining vulnerability and in the understanding of autonomy.  </w:t>
            </w:r>
          </w:p>
          <w:p w14:paraId="4E4A1498" w14:textId="77777777" w:rsidR="00D573DF" w:rsidRPr="00861140" w:rsidRDefault="00D573DF" w:rsidP="00861140">
            <w:pPr>
              <w:spacing w:before="240" w:line="360" w:lineRule="auto"/>
              <w:rPr>
                <w:sz w:val="24"/>
                <w:szCs w:val="24"/>
              </w:rPr>
            </w:pPr>
            <w:proofErr w:type="spellStart"/>
            <w:r w:rsidRPr="00861140">
              <w:rPr>
                <w:sz w:val="24"/>
                <w:szCs w:val="24"/>
              </w:rPr>
              <w:lastRenderedPageBreak/>
              <w:t>Keywood</w:t>
            </w:r>
            <w:proofErr w:type="spellEnd"/>
            <w:r w:rsidRPr="00861140">
              <w:rPr>
                <w:sz w:val="24"/>
                <w:szCs w:val="24"/>
              </w:rPr>
              <w:t xml:space="preserve"> (2017) and Michalowski (2015) argue that the UK’s safeguarding framework lacks a clear, inclusive definition of vulnerability, relying heavily on determination of capacity. This reliance can obscure the lived realities of those who, while legally </w:t>
            </w:r>
            <w:proofErr w:type="spellStart"/>
            <w:r w:rsidRPr="00861140">
              <w:rPr>
                <w:sz w:val="24"/>
                <w:szCs w:val="24"/>
              </w:rPr>
              <w:t>capacitous</w:t>
            </w:r>
            <w:proofErr w:type="spellEnd"/>
            <w:r w:rsidRPr="00861140">
              <w:rPr>
                <w:sz w:val="24"/>
                <w:szCs w:val="24"/>
              </w:rPr>
              <w:t>, remain vulnerable due to coercion, manipulation, or undue influence. These influences—rooted in fear, guilt, or distorted self-image—can impair autonomy, as noted by Preston-Shoot (2016), who stresses that autonomy may not reflect genuine self-determination when shaped by relational or psychological pressure.</w:t>
            </w:r>
          </w:p>
          <w:p w14:paraId="0B04F2B3" w14:textId="77777777" w:rsidR="00D573DF" w:rsidRPr="00861140" w:rsidRDefault="00D573DF" w:rsidP="00861140">
            <w:pPr>
              <w:spacing w:before="240" w:line="360" w:lineRule="auto"/>
              <w:rPr>
                <w:sz w:val="24"/>
                <w:szCs w:val="24"/>
              </w:rPr>
            </w:pPr>
            <w:r w:rsidRPr="00861140">
              <w:rPr>
                <w:sz w:val="24"/>
                <w:szCs w:val="24"/>
              </w:rPr>
              <w:t xml:space="preserve">Ireland’s </w:t>
            </w:r>
            <w:r w:rsidRPr="00861140">
              <w:rPr>
                <w:i/>
                <w:iCs/>
                <w:sz w:val="24"/>
                <w:szCs w:val="24"/>
              </w:rPr>
              <w:t>National Policy on Safeguarding Vulnerable Adults</w:t>
            </w:r>
            <w:r w:rsidRPr="00861140">
              <w:rPr>
                <w:sz w:val="24"/>
                <w:szCs w:val="24"/>
              </w:rPr>
              <w:t xml:space="preserve"> (2014), and similar policies in Canada define vulnerability through dependency from age, disability, or illness. In contrast, the UK’s narrower definition—under the Care Act 2014 and SS&amp;W Act—focuses on care and support needs and inability to protect oneself, potentially excluding those facing relational or psychological vulnerability.  Australia and the USA adopt similar care-based thresholds but differ in legal mechanisms for intervention. These definitional differences have practical implications: in complex cases like 1 and 2, where coercion and resistance coexist with legal capacity, powers to intervene may be limited—even when risks are significant.</w:t>
            </w:r>
          </w:p>
          <w:p w14:paraId="57DF6A95" w14:textId="77777777" w:rsidR="00D573DF" w:rsidRPr="00861140" w:rsidRDefault="00D573DF" w:rsidP="00861140">
            <w:pPr>
              <w:spacing w:before="240" w:line="360" w:lineRule="auto"/>
              <w:rPr>
                <w:sz w:val="24"/>
                <w:szCs w:val="24"/>
              </w:rPr>
            </w:pPr>
            <w:r w:rsidRPr="00861140">
              <w:rPr>
                <w:sz w:val="24"/>
                <w:szCs w:val="24"/>
              </w:rPr>
              <w:t>In complex safeguarding cases, policy, professional standards, and reviews emphasize relationship-building, ethical engagement, and collaborative working. However, when families resist involvement—as in this case—the challenge intensifies. Social workers must act ethically, transparently, and respectfully, maintaining professional curiosity and persistence while balancing autonomy and protection.</w:t>
            </w:r>
          </w:p>
          <w:p w14:paraId="3108C0C1" w14:textId="7ED59E8E" w:rsidR="00D573DF" w:rsidRPr="00861140" w:rsidRDefault="00D573DF" w:rsidP="00861140">
            <w:pPr>
              <w:spacing w:before="240" w:line="360" w:lineRule="auto"/>
              <w:rPr>
                <w:sz w:val="24"/>
                <w:szCs w:val="24"/>
              </w:rPr>
            </w:pPr>
            <w:r w:rsidRPr="00861140">
              <w:rPr>
                <w:sz w:val="24"/>
                <w:szCs w:val="24"/>
              </w:rPr>
              <w:t xml:space="preserve">The overarching goal was to foster collaboration that empowered both individuals in decision-making while safeguarding their well-being and preventing future crises. Proactive, coordinated action was vital. Under Section 7 of the SS&amp;W Act, agencies are legally required to collaborate in safeguarding. </w:t>
            </w:r>
            <w:r w:rsidRPr="00861140">
              <w:rPr>
                <w:i/>
                <w:iCs/>
                <w:sz w:val="24"/>
                <w:szCs w:val="24"/>
              </w:rPr>
              <w:t>Working Together to Safeguard People</w:t>
            </w:r>
            <w:r w:rsidRPr="00861140">
              <w:rPr>
                <w:sz w:val="24"/>
                <w:szCs w:val="24"/>
              </w:rPr>
              <w:t xml:space="preserve"> (Welsh Government 2022)</w:t>
            </w:r>
            <w:r w:rsidR="00723412" w:rsidRPr="00861140">
              <w:rPr>
                <w:sz w:val="24"/>
                <w:szCs w:val="24"/>
              </w:rPr>
              <w:t xml:space="preserve"> and </w:t>
            </w:r>
            <w:r w:rsidR="0041056A" w:rsidRPr="00861140">
              <w:rPr>
                <w:sz w:val="24"/>
                <w:szCs w:val="24"/>
              </w:rPr>
              <w:t>is recognised as vital to long-term and preventative</w:t>
            </w:r>
            <w:r w:rsidR="009B654C" w:rsidRPr="00861140">
              <w:rPr>
                <w:sz w:val="24"/>
                <w:szCs w:val="24"/>
              </w:rPr>
              <w:t xml:space="preserve"> work to improve wellbeing in The Wellbeing of Future Generation (Wales) Act 2015</w:t>
            </w:r>
            <w:r w:rsidR="00244C69" w:rsidRPr="00861140">
              <w:rPr>
                <w:sz w:val="24"/>
                <w:szCs w:val="24"/>
              </w:rPr>
              <w:t xml:space="preserve">.  </w:t>
            </w:r>
            <w:r w:rsidR="0041056A" w:rsidRPr="00861140">
              <w:rPr>
                <w:sz w:val="24"/>
                <w:szCs w:val="24"/>
              </w:rPr>
              <w:t xml:space="preserve"> </w:t>
            </w:r>
            <w:r w:rsidRPr="00861140">
              <w:rPr>
                <w:sz w:val="24"/>
                <w:szCs w:val="24"/>
              </w:rPr>
              <w:t xml:space="preserve"> </w:t>
            </w:r>
            <w:r w:rsidR="00244C69" w:rsidRPr="00861140">
              <w:rPr>
                <w:sz w:val="24"/>
                <w:szCs w:val="24"/>
              </w:rPr>
              <w:t>G</w:t>
            </w:r>
            <w:r w:rsidRPr="00861140">
              <w:rPr>
                <w:sz w:val="24"/>
                <w:szCs w:val="24"/>
              </w:rPr>
              <w:t xml:space="preserve">uidance also </w:t>
            </w:r>
            <w:r w:rsidRPr="00861140">
              <w:rPr>
                <w:sz w:val="24"/>
                <w:szCs w:val="24"/>
              </w:rPr>
              <w:lastRenderedPageBreak/>
              <w:t>mandates timely information sharing with law enforcement when criminal activity is suspected.</w:t>
            </w:r>
          </w:p>
          <w:p w14:paraId="37D771CC" w14:textId="77777777" w:rsidR="00D573DF" w:rsidRPr="00861140" w:rsidRDefault="00D573DF" w:rsidP="00861140">
            <w:pPr>
              <w:spacing w:before="240" w:line="360" w:lineRule="auto"/>
              <w:rPr>
                <w:sz w:val="24"/>
                <w:szCs w:val="24"/>
              </w:rPr>
            </w:pPr>
            <w:r w:rsidRPr="00861140">
              <w:rPr>
                <w:sz w:val="24"/>
                <w:szCs w:val="24"/>
              </w:rPr>
              <w:t>Despite this, collaboration in this case involved challenges. Both 1 and 2 preferred minimal contact and resisted wider service involvement. I maintained regular phone contact, offered appointment reminders, and coordinated with CMHT when appointments were missed. Unfortunately, 1’s mental health deteriorated, and the family disengaged entirely, leading to his hospital readmission under troubling circumstances, including injury to a professional.</w:t>
            </w:r>
          </w:p>
          <w:p w14:paraId="5F357619" w14:textId="77777777" w:rsidR="00D573DF" w:rsidRPr="00861140" w:rsidRDefault="00D573DF" w:rsidP="00861140">
            <w:pPr>
              <w:spacing w:before="240" w:line="360" w:lineRule="auto"/>
              <w:rPr>
                <w:sz w:val="24"/>
                <w:szCs w:val="24"/>
              </w:rPr>
            </w:pPr>
            <w:r w:rsidRPr="00861140">
              <w:rPr>
                <w:sz w:val="24"/>
                <w:szCs w:val="24"/>
              </w:rPr>
              <w:t>Critical reflection revealed missed opportunities. A more assertive challenge to the initial health-led plan might have improved outcomes. I lacked confidence to question the home visit strategy of health which, with hindsight, proved insufficiently robust.  It is common, in my experience that challenging health is a challenge for other professionals in spheres where health is often viewed as having the greater influence (Rogers 2023).</w:t>
            </w:r>
          </w:p>
          <w:p w14:paraId="210098DE" w14:textId="77777777" w:rsidR="00D573DF" w:rsidRPr="00861140" w:rsidRDefault="00D573DF" w:rsidP="00861140">
            <w:pPr>
              <w:spacing w:before="240" w:line="360" w:lineRule="auto"/>
              <w:rPr>
                <w:sz w:val="24"/>
                <w:szCs w:val="24"/>
              </w:rPr>
            </w:pPr>
            <w:r w:rsidRPr="00861140">
              <w:rPr>
                <w:sz w:val="24"/>
                <w:szCs w:val="24"/>
              </w:rPr>
              <w:t>I now recognise the importance of understanding the culture of partner agencies. I had expected health services to operate as proactively as social care, overlooking their process-driven nature, shaped by staff turnover (Nicholas, 2024) and limited resources. Health systems often expect patients to initiate engagement, whereas social care prioritises early intervention and tailored support (Local Government Association et al., 2024). This mismatch led to delays when the family disengaged.  Social care’s community-based, co-productive model can clash with health’s procedural focus (Research in Practice, 2024) and the delay in health’s response to the missed appointment reflected this systemic tension.</w:t>
            </w:r>
          </w:p>
          <w:p w14:paraId="2EF532D3" w14:textId="77777777" w:rsidR="00D573DF" w:rsidRPr="00861140" w:rsidRDefault="00D573DF" w:rsidP="00861140">
            <w:pPr>
              <w:spacing w:before="240" w:line="360" w:lineRule="auto"/>
              <w:rPr>
                <w:sz w:val="24"/>
                <w:szCs w:val="24"/>
              </w:rPr>
            </w:pPr>
            <w:r w:rsidRPr="00861140">
              <w:rPr>
                <w:sz w:val="24"/>
                <w:szCs w:val="24"/>
              </w:rPr>
              <w:t xml:space="preserve">Multidisciplinary teams (MDTs) support true collaboration, not parallel working. Research shows MDTs reduce unplanned hospital admissions and improve coordination (Lewis et al., 2021). Smith et al. (2018) highlight shared goals and role clarity as essential to interdisciplinary success and the </w:t>
            </w:r>
            <w:proofErr w:type="gramStart"/>
            <w:r w:rsidRPr="00861140">
              <w:rPr>
                <w:sz w:val="24"/>
                <w:szCs w:val="24"/>
              </w:rPr>
              <w:t>final outcome</w:t>
            </w:r>
            <w:proofErr w:type="gramEnd"/>
            <w:r w:rsidRPr="00861140">
              <w:rPr>
                <w:sz w:val="24"/>
                <w:szCs w:val="24"/>
              </w:rPr>
              <w:t xml:space="preserve"> was enabled by a strong relationship and shared purpose between </w:t>
            </w:r>
            <w:proofErr w:type="gramStart"/>
            <w:r w:rsidRPr="00861140">
              <w:rPr>
                <w:sz w:val="24"/>
                <w:szCs w:val="24"/>
              </w:rPr>
              <w:t>myself</w:t>
            </w:r>
            <w:proofErr w:type="gramEnd"/>
            <w:r w:rsidRPr="00861140">
              <w:rPr>
                <w:sz w:val="24"/>
                <w:szCs w:val="24"/>
              </w:rPr>
              <w:t xml:space="preserve"> and a key health colleague who acted as a broker for a more flexible approach from his team. </w:t>
            </w:r>
          </w:p>
          <w:p w14:paraId="0FAB88A5" w14:textId="77777777" w:rsidR="00D573DF" w:rsidRPr="00861140" w:rsidRDefault="00D573DF" w:rsidP="00861140">
            <w:pPr>
              <w:spacing w:before="240" w:line="360" w:lineRule="auto"/>
              <w:rPr>
                <w:sz w:val="24"/>
                <w:szCs w:val="24"/>
              </w:rPr>
            </w:pPr>
          </w:p>
          <w:p w14:paraId="42A5DA10" w14:textId="77777777" w:rsidR="00D573DF" w:rsidRPr="00861140" w:rsidRDefault="00D573DF" w:rsidP="00861140">
            <w:pPr>
              <w:spacing w:before="240" w:line="360" w:lineRule="auto"/>
              <w:rPr>
                <w:sz w:val="24"/>
                <w:szCs w:val="24"/>
              </w:rPr>
            </w:pPr>
            <w:r w:rsidRPr="00861140">
              <w:rPr>
                <w:sz w:val="24"/>
                <w:szCs w:val="24"/>
              </w:rPr>
              <w:lastRenderedPageBreak/>
              <w:t>Braye et al. (2014) identify the greatest challenge as working with individuals who have capacity but refuse support. Social work ethics prioritise self-determination and anti-oppressive practice (Thompson, 2016), requiring empowerment even when choices carry risk. This creates ethical dilemmas—balancing safety with autonomy—especially in self-neglect cases. Adult Practice Reviews show autonomy is often privileged, sometimes at the expense of protective intervention (Preston-Shoot, 2016).  This view of autonomy is also rooted in individualistic western culture.  In African and Asian countries, safeguarding is more reliant on family and community structures (WHO 2023, UNICEF 2022) and a recognition of the interdependence of systems beyond that of individuals.</w:t>
            </w:r>
          </w:p>
          <w:p w14:paraId="6FAB7386" w14:textId="77777777" w:rsidR="00D573DF" w:rsidRPr="00861140" w:rsidRDefault="00D573DF" w:rsidP="00861140">
            <w:pPr>
              <w:spacing w:before="240" w:line="360" w:lineRule="auto"/>
              <w:rPr>
                <w:sz w:val="24"/>
                <w:szCs w:val="24"/>
              </w:rPr>
            </w:pPr>
            <w:r w:rsidRPr="00861140">
              <w:rPr>
                <w:sz w:val="24"/>
                <w:szCs w:val="24"/>
              </w:rPr>
              <w:t>In this case, the family resisted intervention, yet risks were evident both during initial assessment and later non-engagement. I concluded that 1 had a right to self-determination, independent of 2’s influence, and to make choices about his safety. 1, though, did not prioritise this independence though and I finally had to recognise and support this.  Still, I felt frustration at the lack of legal levers to intervene, despite recognised risks.</w:t>
            </w:r>
          </w:p>
          <w:p w14:paraId="1F7BC21C" w14:textId="77777777" w:rsidR="00D573DF" w:rsidRPr="00861140" w:rsidRDefault="00D573DF" w:rsidP="00861140">
            <w:pPr>
              <w:spacing w:before="240" w:line="360" w:lineRule="auto"/>
              <w:rPr>
                <w:sz w:val="24"/>
                <w:szCs w:val="24"/>
              </w:rPr>
            </w:pPr>
            <w:r w:rsidRPr="00861140">
              <w:rPr>
                <w:sz w:val="24"/>
                <w:szCs w:val="24"/>
              </w:rPr>
              <w:t xml:space="preserve">The Mental Capacity Act 2005 (MCA) presumes capacity, including the right to make unwise decisions. Hale (2009) critiques the presumption of capacity, including the right to make unwise decisions in the Mental Capacity Act 2005, arguing it can lead to risky choices being accepted without exploring context or coercion. This legal framing may reinforce a narrow view of autonomy, overlooking relational dynamics. Although both 1 and 2 were deemed </w:t>
            </w:r>
            <w:proofErr w:type="spellStart"/>
            <w:r w:rsidRPr="00861140">
              <w:rPr>
                <w:sz w:val="24"/>
                <w:szCs w:val="24"/>
              </w:rPr>
              <w:t>capacitous</w:t>
            </w:r>
            <w:proofErr w:type="spellEnd"/>
            <w:r w:rsidRPr="00861140">
              <w:rPr>
                <w:sz w:val="24"/>
                <w:szCs w:val="24"/>
              </w:rPr>
              <w:t>, I believed 2’s influence constrained 1’s autonomy.</w:t>
            </w:r>
          </w:p>
          <w:p w14:paraId="69D26B56" w14:textId="77777777" w:rsidR="00D573DF" w:rsidRPr="00861140" w:rsidRDefault="00D573DF" w:rsidP="00861140">
            <w:pPr>
              <w:spacing w:before="240" w:line="360" w:lineRule="auto"/>
              <w:rPr>
                <w:sz w:val="24"/>
                <w:szCs w:val="24"/>
              </w:rPr>
            </w:pPr>
            <w:r w:rsidRPr="00861140">
              <w:rPr>
                <w:sz w:val="24"/>
                <w:szCs w:val="24"/>
              </w:rPr>
              <w:t xml:space="preserve">Preston-Shoot (2018) emphasizes the importance of professional curiosity, urging practitioners to explore the reasons behind a refusal of help. Drawing on findings from serious case reviews, he highlights the need to consider factors such as trauma, mistrust, and previous negative experiences with </w:t>
            </w:r>
            <w:proofErr w:type="gramStart"/>
            <w:r w:rsidRPr="00861140">
              <w:rPr>
                <w:sz w:val="24"/>
                <w:szCs w:val="24"/>
              </w:rPr>
              <w:t>services;</w:t>
            </w:r>
            <w:proofErr w:type="gramEnd"/>
            <w:r w:rsidRPr="00861140">
              <w:rPr>
                <w:sz w:val="24"/>
                <w:szCs w:val="24"/>
              </w:rPr>
              <w:t xml:space="preserve"> cautioning against making assumptions about “lifestyle choices” without thorough assessment. Similarly, McDermott (2011) critiques the lack of depth in exploring the motivations behind individuals’ decisions, stressing the importance of understanding whether choices are shaped by fear, pride, or low self-worth.</w:t>
            </w:r>
          </w:p>
          <w:p w14:paraId="486CA0CD" w14:textId="77777777" w:rsidR="00D573DF" w:rsidRPr="00861140" w:rsidRDefault="00D573DF" w:rsidP="00861140">
            <w:pPr>
              <w:spacing w:before="240" w:line="360" w:lineRule="auto"/>
              <w:rPr>
                <w:sz w:val="24"/>
                <w:szCs w:val="24"/>
              </w:rPr>
            </w:pPr>
            <w:r w:rsidRPr="00861140">
              <w:rPr>
                <w:sz w:val="24"/>
                <w:szCs w:val="24"/>
              </w:rPr>
              <w:lastRenderedPageBreak/>
              <w:t>In this case, systems theory, an understanding of oppression, and a strengths-based approach informed both analysis and professional judgement. Given the family’s resistance, I exercised professional judgement by adopting a relational approach centred on trust-building, empathy, and consistency—tools essential in contexts where formal engagement is limited.</w:t>
            </w:r>
          </w:p>
          <w:p w14:paraId="0A61BB28" w14:textId="77777777" w:rsidR="00D573DF" w:rsidRPr="00861140" w:rsidRDefault="00D573DF" w:rsidP="00861140">
            <w:pPr>
              <w:spacing w:before="240" w:line="360" w:lineRule="auto"/>
              <w:rPr>
                <w:sz w:val="24"/>
                <w:szCs w:val="24"/>
              </w:rPr>
            </w:pPr>
            <w:r w:rsidRPr="00861140">
              <w:rPr>
                <w:sz w:val="24"/>
                <w:szCs w:val="24"/>
              </w:rPr>
              <w:t>Drawing on Preston-Shoot, Braye, and Orr’s (2015) analysis of where safeguarding adults faces challenges, I applied analytical reasoning and professional values to support persistent engagement. Their work underscores the importance of maintaining communication channels and focusing on person-centred practice, particularly in cases involving self-neglect and entrenched resistance. As Braye et al. (2014) note, such approaches are vital in safeguarding practice where individuals may be marginalised or reluctant to engage.</w:t>
            </w:r>
          </w:p>
          <w:p w14:paraId="6255A979" w14:textId="77777777" w:rsidR="00D573DF" w:rsidRPr="00861140" w:rsidRDefault="00D573DF" w:rsidP="00861140">
            <w:pPr>
              <w:spacing w:before="240" w:line="360" w:lineRule="auto"/>
              <w:rPr>
                <w:sz w:val="24"/>
                <w:szCs w:val="24"/>
              </w:rPr>
            </w:pPr>
            <w:r w:rsidRPr="00861140">
              <w:rPr>
                <w:sz w:val="24"/>
                <w:szCs w:val="24"/>
              </w:rPr>
              <w:t>To build this relationship with the family, I used a strengths-based approach, particularly in identifying and building upon the existing resilience within the family. Despite their resistance, both 1 and 2 demonstrated a strong commitment to each other’s well-being. By acknowledging their expressed wishes—such as 1’s desire to remain with his mother and 2’s protective instincts—I was able to frame interventions in a way that respected their values while still addressing safeguarding concerns. This approach supported person-centred planning and promoted engagement by focusing on capabilities rather than deficits.</w:t>
            </w:r>
          </w:p>
          <w:p w14:paraId="0B536CCA" w14:textId="3B5BE981" w:rsidR="00D573DF" w:rsidRPr="00861140" w:rsidRDefault="00D573DF" w:rsidP="00861140">
            <w:pPr>
              <w:spacing w:before="240" w:line="360" w:lineRule="auto"/>
              <w:rPr>
                <w:sz w:val="24"/>
                <w:szCs w:val="24"/>
              </w:rPr>
            </w:pPr>
            <w:r w:rsidRPr="00861140">
              <w:rPr>
                <w:sz w:val="24"/>
                <w:szCs w:val="24"/>
              </w:rPr>
              <w:t xml:space="preserve">Systems theory provided a </w:t>
            </w:r>
            <w:r w:rsidR="006501EB" w:rsidRPr="00861140">
              <w:rPr>
                <w:sz w:val="24"/>
                <w:szCs w:val="24"/>
              </w:rPr>
              <w:t>way of</w:t>
            </w:r>
            <w:r w:rsidRPr="00861140">
              <w:rPr>
                <w:sz w:val="24"/>
                <w:szCs w:val="24"/>
              </w:rPr>
              <w:t xml:space="preserve"> understanding the interconnected dynamics within the family unit. Viewing the family as a system revealed how changes in one member’s behaviour—such as individual 1’s mental health deterioration—directly influenced the responses of others, including individual 2, and vice versa. This reciprocal influence underscored the family's resistance to services not as isolated defiance, but as a systemic response shaped by historical trauma and perceived external threats.</w:t>
            </w:r>
          </w:p>
          <w:p w14:paraId="1A812F17" w14:textId="77777777" w:rsidR="00D573DF" w:rsidRPr="00861140" w:rsidRDefault="00D573DF" w:rsidP="00861140">
            <w:pPr>
              <w:spacing w:before="240" w:line="360" w:lineRule="auto"/>
              <w:rPr>
                <w:sz w:val="24"/>
                <w:szCs w:val="24"/>
              </w:rPr>
            </w:pPr>
            <w:r w:rsidRPr="00861140">
              <w:rPr>
                <w:sz w:val="24"/>
                <w:szCs w:val="24"/>
              </w:rPr>
              <w:t xml:space="preserve">Applying Bronfenbrenner’s ecological model further contextualized these dynamics, illustrating how the family operated as a closed system, resistant to external influence. This insularity contributed to social isolation and heightened safeguarding risks. The model </w:t>
            </w:r>
            <w:r w:rsidRPr="00861140">
              <w:rPr>
                <w:sz w:val="24"/>
                <w:szCs w:val="24"/>
              </w:rPr>
              <w:lastRenderedPageBreak/>
              <w:t>emphasized the importance of understanding individuals within nested systems—ranging from immediate family to broader societal structures—highlighting the need for multi-agency collaboration.</w:t>
            </w:r>
          </w:p>
          <w:p w14:paraId="68F8578D" w14:textId="77777777" w:rsidR="00D573DF" w:rsidRPr="00861140" w:rsidRDefault="00D573DF" w:rsidP="00861140">
            <w:pPr>
              <w:spacing w:before="240" w:line="360" w:lineRule="auto"/>
              <w:rPr>
                <w:sz w:val="24"/>
                <w:szCs w:val="24"/>
              </w:rPr>
            </w:pPr>
            <w:r w:rsidRPr="00861140">
              <w:rPr>
                <w:sz w:val="24"/>
                <w:szCs w:val="24"/>
              </w:rPr>
              <w:t>This theoretical framing aligns with the Munro Review of Child Protection (2011), which advocates for a holistic view of families and systems. It recognizes that actions within one domain (e.g., the family) inevitably affect responses in another (e.g., health or social care services). Consequently, effective safeguarding requires coordinated interventions across health, social care, and legal systems to address the complex interplay of needs and risks.</w:t>
            </w:r>
          </w:p>
          <w:p w14:paraId="1A43A008" w14:textId="77777777" w:rsidR="00D573DF" w:rsidRPr="00861140" w:rsidRDefault="00D573DF" w:rsidP="00861140">
            <w:pPr>
              <w:spacing w:before="240" w:line="360" w:lineRule="auto"/>
              <w:rPr>
                <w:sz w:val="24"/>
                <w:szCs w:val="24"/>
              </w:rPr>
            </w:pPr>
          </w:p>
          <w:p w14:paraId="2F5F0449" w14:textId="77777777" w:rsidR="00D573DF" w:rsidRPr="00861140" w:rsidRDefault="00D573DF" w:rsidP="00861140">
            <w:pPr>
              <w:spacing w:before="240" w:line="360" w:lineRule="auto"/>
              <w:rPr>
                <w:sz w:val="24"/>
                <w:szCs w:val="24"/>
              </w:rPr>
            </w:pPr>
            <w:r w:rsidRPr="00861140">
              <w:rPr>
                <w:sz w:val="24"/>
                <w:szCs w:val="24"/>
              </w:rPr>
              <w:t>A critical aspect of this case involved distinguishing between coercive control and co-dependency, two relational dynamics with significant safeguarding implications. Coercive control, as defined by Ingram (2016), is inherently harmful and often triggers safeguarding interventions due to its manipulative and dominating nature. In contrast, co-dependency reflects a pattern of excessive emotional or psychological reliance that, while not overtly abusive, can severely limit individual autonomy and identity development.</w:t>
            </w:r>
          </w:p>
          <w:p w14:paraId="6B3432E4" w14:textId="77777777" w:rsidR="00D573DF" w:rsidRPr="00861140" w:rsidRDefault="00D573DF" w:rsidP="00861140">
            <w:pPr>
              <w:spacing w:before="240" w:line="360" w:lineRule="auto"/>
              <w:rPr>
                <w:sz w:val="24"/>
                <w:szCs w:val="24"/>
              </w:rPr>
            </w:pPr>
            <w:r w:rsidRPr="00861140">
              <w:rPr>
                <w:sz w:val="24"/>
                <w:szCs w:val="24"/>
              </w:rPr>
              <w:t>Askan and Ceylan (2024) emphasize that co-dependency can lead to self-neglect and low self-worth, particularly in the absence of external support systems. Kemps (1997) situates these relational patterns within the family lifecycle, noting that disrupted transitions—such as trauma, loss, or institutional involvement—can entrench codependent behaviours and reduce openness to change.</w:t>
            </w:r>
          </w:p>
          <w:p w14:paraId="4C9154E1" w14:textId="77777777" w:rsidR="00D573DF" w:rsidRPr="00861140" w:rsidRDefault="00D573DF" w:rsidP="00861140">
            <w:pPr>
              <w:spacing w:before="240" w:line="360" w:lineRule="auto"/>
              <w:rPr>
                <w:sz w:val="24"/>
                <w:szCs w:val="24"/>
              </w:rPr>
            </w:pPr>
            <w:r w:rsidRPr="00861140">
              <w:rPr>
                <w:sz w:val="24"/>
                <w:szCs w:val="24"/>
              </w:rPr>
              <w:t>In this case, the family had endured years of oppressive interactions with services, including multiple hospital admissions under the Mental Health Act, often involving police intervention. The perspective of individual 2 was shaped by a desire to protect her family from these external agencies, which had historically contributed to a sense of powerlessness, distrust, and resistance to change.</w:t>
            </w:r>
          </w:p>
          <w:p w14:paraId="7E7225E8" w14:textId="77777777" w:rsidR="00D573DF" w:rsidRPr="00861140" w:rsidRDefault="00D573DF" w:rsidP="00861140">
            <w:pPr>
              <w:spacing w:before="240" w:line="360" w:lineRule="auto"/>
              <w:rPr>
                <w:sz w:val="24"/>
                <w:szCs w:val="24"/>
              </w:rPr>
            </w:pPr>
            <w:r w:rsidRPr="00861140">
              <w:rPr>
                <w:sz w:val="24"/>
                <w:szCs w:val="24"/>
              </w:rPr>
              <w:t xml:space="preserve">These dynamics underscore the importance of acknowledging individuals’ and families’ experiences of marginalization and the corresponding feelings of disempowerment. As </w:t>
            </w:r>
            <w:r w:rsidRPr="00861140">
              <w:rPr>
                <w:sz w:val="24"/>
                <w:szCs w:val="24"/>
              </w:rPr>
              <w:lastRenderedPageBreak/>
              <w:t>Thompson (2020) argues, effective safeguarding must be rooted in an understanding of lived experience, particularly where systemic oppression has shaped relational patterns and coping strategies.</w:t>
            </w:r>
          </w:p>
          <w:p w14:paraId="7C25443E" w14:textId="77777777" w:rsidR="00D573DF" w:rsidRPr="00861140" w:rsidRDefault="00D573DF" w:rsidP="00861140">
            <w:pPr>
              <w:spacing w:before="240" w:line="360" w:lineRule="auto"/>
              <w:rPr>
                <w:sz w:val="24"/>
                <w:szCs w:val="24"/>
              </w:rPr>
            </w:pPr>
          </w:p>
          <w:p w14:paraId="3CB7EE3E" w14:textId="77777777" w:rsidR="00D573DF" w:rsidRPr="00861140" w:rsidRDefault="00D573DF" w:rsidP="00861140">
            <w:pPr>
              <w:spacing w:before="240" w:line="360" w:lineRule="auto"/>
              <w:rPr>
                <w:sz w:val="24"/>
                <w:szCs w:val="24"/>
              </w:rPr>
            </w:pPr>
            <w:r w:rsidRPr="00861140">
              <w:rPr>
                <w:sz w:val="24"/>
                <w:szCs w:val="24"/>
              </w:rPr>
              <w:t xml:space="preserve">Operating within Wales introduces unique dimensions to safeguarding and disempowerment. The region has a high prevalence of Welsh speakers and a strong sense of community identity. The Active Offer principle and </w:t>
            </w:r>
            <w:r w:rsidRPr="00861140">
              <w:rPr>
                <w:i/>
                <w:iCs/>
                <w:sz w:val="24"/>
                <w:szCs w:val="24"/>
              </w:rPr>
              <w:t>More Than Just Words</w:t>
            </w:r>
            <w:r w:rsidRPr="00861140">
              <w:rPr>
                <w:sz w:val="24"/>
                <w:szCs w:val="24"/>
              </w:rPr>
              <w:t xml:space="preserve"> framework (Welsh Government, 2022) </w:t>
            </w:r>
            <w:proofErr w:type="gramStart"/>
            <w:r w:rsidRPr="00861140">
              <w:rPr>
                <w:sz w:val="24"/>
                <w:szCs w:val="24"/>
              </w:rPr>
              <w:t>stress</w:t>
            </w:r>
            <w:proofErr w:type="gramEnd"/>
            <w:r w:rsidRPr="00861140">
              <w:rPr>
                <w:sz w:val="24"/>
                <w:szCs w:val="24"/>
              </w:rPr>
              <w:t xml:space="preserve"> the importance of proactively offering services in Welsh to ensure equitable, respectful care as a reflection of the importance of respecting the language and culture of families who are in contact with social services.</w:t>
            </w:r>
          </w:p>
          <w:p w14:paraId="773B93C4" w14:textId="03BD15C2" w:rsidR="00D573DF" w:rsidRPr="00861140" w:rsidRDefault="00D573DF" w:rsidP="00861140">
            <w:pPr>
              <w:spacing w:before="240" w:line="360" w:lineRule="auto"/>
              <w:rPr>
                <w:sz w:val="24"/>
                <w:szCs w:val="24"/>
              </w:rPr>
            </w:pPr>
            <w:r w:rsidRPr="00861140">
              <w:rPr>
                <w:sz w:val="24"/>
                <w:szCs w:val="24"/>
              </w:rPr>
              <w:t xml:space="preserve">In this case, where the family relocated from an English city to a rural Welsh-speaking area, cultural and linguistic factors likely contributed to their isolation and mistrust of services. The family were from an urban area with a distinct </w:t>
            </w:r>
            <w:proofErr w:type="gramStart"/>
            <w:r w:rsidRPr="00861140">
              <w:rPr>
                <w:sz w:val="24"/>
                <w:szCs w:val="24"/>
              </w:rPr>
              <w:t>culture</w:t>
            </w:r>
            <w:proofErr w:type="gramEnd"/>
            <w:r w:rsidRPr="00861140">
              <w:rPr>
                <w:sz w:val="24"/>
                <w:szCs w:val="24"/>
              </w:rPr>
              <w:t xml:space="preserve"> and this was reflected in their continued social contact to people they knew there, rather than building relationships in the local area.  </w:t>
            </w:r>
            <w:r w:rsidR="009E72F3" w:rsidRPr="00861140">
              <w:rPr>
                <w:sz w:val="24"/>
                <w:szCs w:val="24"/>
              </w:rPr>
              <w:t xml:space="preserve">Culture and individual identities must also be reflected in safeguarding plans and </w:t>
            </w:r>
            <w:r w:rsidR="00AD2E33" w:rsidRPr="00861140">
              <w:rPr>
                <w:sz w:val="24"/>
                <w:szCs w:val="24"/>
              </w:rPr>
              <w:t xml:space="preserve">risks must consider how discrimination, for example against those disabled by mental illness </w:t>
            </w:r>
            <w:r w:rsidR="0031639F" w:rsidRPr="00861140">
              <w:rPr>
                <w:sz w:val="24"/>
                <w:szCs w:val="24"/>
              </w:rPr>
              <w:t xml:space="preserve">may increase vulnerability, as part of </w:t>
            </w:r>
            <w:r w:rsidR="006C3E0D" w:rsidRPr="00861140">
              <w:rPr>
                <w:sz w:val="24"/>
                <w:szCs w:val="24"/>
              </w:rPr>
              <w:t xml:space="preserve">adjustments required under the </w:t>
            </w:r>
            <w:r w:rsidR="00877C37" w:rsidRPr="00861140">
              <w:rPr>
                <w:sz w:val="24"/>
                <w:szCs w:val="24"/>
              </w:rPr>
              <w:t>Equality Act 2010</w:t>
            </w:r>
            <w:r w:rsidR="007F0925" w:rsidRPr="00861140">
              <w:rPr>
                <w:sz w:val="24"/>
                <w:szCs w:val="24"/>
              </w:rPr>
              <w:t>.</w:t>
            </w:r>
          </w:p>
          <w:p w14:paraId="43A0BED6" w14:textId="77777777" w:rsidR="00D573DF" w:rsidRPr="00861140" w:rsidRDefault="00D573DF" w:rsidP="00861140">
            <w:pPr>
              <w:spacing w:before="240" w:line="360" w:lineRule="auto"/>
              <w:rPr>
                <w:sz w:val="24"/>
                <w:szCs w:val="24"/>
              </w:rPr>
            </w:pPr>
            <w:r w:rsidRPr="00861140">
              <w:rPr>
                <w:sz w:val="24"/>
                <w:szCs w:val="24"/>
              </w:rPr>
              <w:t>Isolation and mistrust are often heightened in deprived rural areas, such as where 1 and 2 lived, with limited public services and amenities (ILC, 2023). 2’s distrust appeared more directed at Welsh services, contrasting with her experiences in a busy English city. Rural environments present distinct barriers—longer travel times, staffing challenges, and social isolation (NHS Federation, 2018)—which likely reinforced 2’s trauma-informed narratives.</w:t>
            </w:r>
          </w:p>
          <w:p w14:paraId="08C602AB" w14:textId="77777777" w:rsidR="00D573DF" w:rsidRPr="00861140" w:rsidRDefault="00D573DF" w:rsidP="00861140">
            <w:pPr>
              <w:spacing w:before="240" w:line="360" w:lineRule="auto"/>
              <w:rPr>
                <w:sz w:val="24"/>
                <w:szCs w:val="24"/>
              </w:rPr>
            </w:pPr>
            <w:r w:rsidRPr="00861140">
              <w:rPr>
                <w:sz w:val="24"/>
                <w:szCs w:val="24"/>
              </w:rPr>
              <w:t>Their experience of out-of-area inpatient care further compounded this. Due to bed shortages and rising formal admissions in Wales since 2018 (Stats Wales 2024), 1 had been admitted to a hospital too distant for 2 to visit. Such placements increase anxiety and trauma for families. Notably, men are more likely to be admitted to mental health hospitals in Wales, and only 52% of service users feel safe in inpatient settings (Mind, 2024).</w:t>
            </w:r>
          </w:p>
          <w:p w14:paraId="2F611551" w14:textId="77777777" w:rsidR="00D573DF" w:rsidRPr="00861140" w:rsidRDefault="00D573DF" w:rsidP="00861140">
            <w:pPr>
              <w:spacing w:before="240" w:line="360" w:lineRule="auto"/>
              <w:rPr>
                <w:sz w:val="24"/>
                <w:szCs w:val="24"/>
              </w:rPr>
            </w:pPr>
            <w:r w:rsidRPr="00861140">
              <w:rPr>
                <w:sz w:val="24"/>
                <w:szCs w:val="24"/>
              </w:rPr>
              <w:lastRenderedPageBreak/>
              <w:t>In Wales, the Social Services and Wellbeing Act 2014, emphasises the voice and control, wellbeing and co-production in work with people such as 1 and 2 and, unlike in England, makes this a legal duty.  It is backed up in Part 10 of the Codes of Practice to the Act  as a way of ensuring people have access to this voice and control.,  In the Welsh context then, the emphasis is on social work to ensure engagement with the person, recognising their culture – whichever culture that is, and their choices, no matter how uncomfortable that may make us feel.</w:t>
            </w:r>
          </w:p>
          <w:p w14:paraId="3A7B8AEF" w14:textId="77777777" w:rsidR="00D573DF" w:rsidRPr="00861140" w:rsidRDefault="00D573DF" w:rsidP="00861140">
            <w:pPr>
              <w:spacing w:before="240" w:line="360" w:lineRule="auto"/>
              <w:rPr>
                <w:sz w:val="24"/>
                <w:szCs w:val="24"/>
              </w:rPr>
            </w:pPr>
          </w:p>
          <w:p w14:paraId="308DC9BE" w14:textId="77777777" w:rsidR="00D573DF" w:rsidRPr="00861140" w:rsidRDefault="00D573DF" w:rsidP="00861140">
            <w:pPr>
              <w:spacing w:before="240" w:line="360" w:lineRule="auto"/>
              <w:rPr>
                <w:sz w:val="24"/>
                <w:szCs w:val="24"/>
              </w:rPr>
            </w:pPr>
            <w:r w:rsidRPr="00861140">
              <w:rPr>
                <w:sz w:val="24"/>
                <w:szCs w:val="24"/>
              </w:rPr>
              <w:t>Reflecting on this case, I recognise the importance of fostering trust and maintaining consistent contact, even when formal interventions are declined. Systems theory helped me understand the family’s dynamics and how rigid boundaries restricted engagement and increased risk.</w:t>
            </w:r>
          </w:p>
          <w:p w14:paraId="4A814C79" w14:textId="77777777" w:rsidR="00D573DF" w:rsidRPr="00861140" w:rsidRDefault="00D573DF" w:rsidP="00861140">
            <w:pPr>
              <w:spacing w:before="240" w:line="360" w:lineRule="auto"/>
              <w:rPr>
                <w:sz w:val="24"/>
                <w:szCs w:val="24"/>
              </w:rPr>
            </w:pPr>
            <w:r w:rsidRPr="00861140">
              <w:rPr>
                <w:sz w:val="24"/>
                <w:szCs w:val="24"/>
              </w:rPr>
              <w:t xml:space="preserve">Clark (2012) advocates for ethical decision-making that is fluid, responsive, and grounded in dialogue. I felt a personal responsibility and frustration over what “should” </w:t>
            </w:r>
            <w:proofErr w:type="gramStart"/>
            <w:r w:rsidRPr="00861140">
              <w:rPr>
                <w:sz w:val="24"/>
                <w:szCs w:val="24"/>
              </w:rPr>
              <w:t>happen, yet</w:t>
            </w:r>
            <w:proofErr w:type="gramEnd"/>
            <w:r w:rsidRPr="00861140">
              <w:rPr>
                <w:sz w:val="24"/>
                <w:szCs w:val="24"/>
              </w:rPr>
              <w:t xml:space="preserve"> realised 1’s view of autonomy was relational—rooted in his bond with 2—rather than individualistic.</w:t>
            </w:r>
          </w:p>
          <w:p w14:paraId="5D5F9E9D" w14:textId="77777777" w:rsidR="00D573DF" w:rsidRPr="00861140" w:rsidRDefault="00D573DF" w:rsidP="00861140">
            <w:pPr>
              <w:spacing w:before="240" w:line="360" w:lineRule="auto"/>
              <w:rPr>
                <w:sz w:val="24"/>
                <w:szCs w:val="24"/>
              </w:rPr>
            </w:pPr>
            <w:r w:rsidRPr="00861140">
              <w:rPr>
                <w:sz w:val="24"/>
                <w:szCs w:val="24"/>
              </w:rPr>
              <w:t>This insight challenges traditional autonomy and supports a relational view—where autonomy is shaped by context and interdependence. It calls for ethically reflective, person-centred practice that embraces complexity.</w:t>
            </w:r>
          </w:p>
          <w:p w14:paraId="3854D303" w14:textId="77777777" w:rsidR="00D573DF" w:rsidRPr="00861140" w:rsidRDefault="00D573DF" w:rsidP="00861140">
            <w:pPr>
              <w:spacing w:before="240" w:line="360" w:lineRule="auto"/>
              <w:rPr>
                <w:sz w:val="24"/>
                <w:szCs w:val="24"/>
              </w:rPr>
            </w:pPr>
            <w:r w:rsidRPr="00861140">
              <w:rPr>
                <w:sz w:val="24"/>
                <w:szCs w:val="24"/>
              </w:rPr>
              <w:t>Safeguarding often involves moral dilemmas. While we value self-determination, we must probe whether choices are truly free or shaped by fear or oppression. Our ability to intervene is limited without consent, which can leave practitioners feeling they haven’t done enough. Ruiz-Fernandes (2021) notes this sense of resignation is common in social work, with an understanding that those risks may perpetuate and resurface in the future.</w:t>
            </w:r>
          </w:p>
          <w:p w14:paraId="292FFC19" w14:textId="77777777" w:rsidR="00D573DF" w:rsidRPr="00861140" w:rsidRDefault="00D573DF" w:rsidP="00861140">
            <w:pPr>
              <w:spacing w:before="240" w:line="360" w:lineRule="auto"/>
              <w:rPr>
                <w:sz w:val="24"/>
                <w:szCs w:val="24"/>
              </w:rPr>
            </w:pPr>
            <w:r w:rsidRPr="00861140">
              <w:rPr>
                <w:sz w:val="24"/>
                <w:szCs w:val="24"/>
              </w:rPr>
              <w:t xml:space="preserve">The lesson from this case is that non-intervention in cases of risks is often not an option and the work involves the curious questioning to probe why a </w:t>
            </w:r>
            <w:proofErr w:type="gramStart"/>
            <w:r w:rsidRPr="00861140">
              <w:rPr>
                <w:sz w:val="24"/>
                <w:szCs w:val="24"/>
              </w:rPr>
              <w:t>person</w:t>
            </w:r>
            <w:proofErr w:type="gramEnd"/>
            <w:r w:rsidRPr="00861140">
              <w:rPr>
                <w:sz w:val="24"/>
                <w:szCs w:val="24"/>
              </w:rPr>
              <w:t xml:space="preserve"> or persons may act in ways which seem at first to be unsafe and unhealthy.  Probing involves looking beyond the </w:t>
            </w:r>
            <w:r w:rsidRPr="00861140">
              <w:rPr>
                <w:sz w:val="24"/>
                <w:szCs w:val="24"/>
              </w:rPr>
              <w:lastRenderedPageBreak/>
              <w:t>immediately apparent and exploring underlying oppression, experiences and culture to understand what motivates and scares such individuals as well as working creatively with colleagues to explore flexible solutions.</w:t>
            </w:r>
          </w:p>
          <w:p w14:paraId="30E7150A" w14:textId="77777777" w:rsidR="00D573DF" w:rsidRPr="00861140" w:rsidRDefault="00D573DF" w:rsidP="00861140">
            <w:pPr>
              <w:spacing w:before="240" w:line="360" w:lineRule="auto"/>
              <w:rPr>
                <w:sz w:val="24"/>
                <w:szCs w:val="24"/>
              </w:rPr>
            </w:pPr>
          </w:p>
          <w:p w14:paraId="2C1EDED3" w14:textId="342A14EA" w:rsidR="00D573DF" w:rsidRPr="00DD5D21" w:rsidRDefault="00D573DF" w:rsidP="00D573DF">
            <w:pPr>
              <w:spacing w:line="360" w:lineRule="auto"/>
              <w:rPr>
                <w:sz w:val="24"/>
                <w:szCs w:val="24"/>
              </w:rPr>
            </w:pPr>
            <w:r>
              <w:rPr>
                <w:sz w:val="24"/>
                <w:szCs w:val="24"/>
              </w:rPr>
              <w:t>Word count: 3</w:t>
            </w:r>
            <w:r w:rsidR="00861140">
              <w:rPr>
                <w:sz w:val="24"/>
                <w:szCs w:val="24"/>
              </w:rPr>
              <w:t>920</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56050" w14:textId="77777777" w:rsidR="001F370F" w:rsidRDefault="001F370F">
      <w:r>
        <w:separator/>
      </w:r>
    </w:p>
  </w:endnote>
  <w:endnote w:type="continuationSeparator" w:id="0">
    <w:p w14:paraId="235199E5" w14:textId="77777777" w:rsidR="001F370F" w:rsidRDefault="001F3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D5EDE" w14:textId="77777777" w:rsidR="001F370F" w:rsidRDefault="001F370F">
      <w:r>
        <w:separator/>
      </w:r>
    </w:p>
  </w:footnote>
  <w:footnote w:type="continuationSeparator" w:id="0">
    <w:p w14:paraId="6115D007" w14:textId="77777777" w:rsidR="001F370F" w:rsidRDefault="001F3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370F"/>
    <w:rsid w:val="001F4552"/>
    <w:rsid w:val="002019EB"/>
    <w:rsid w:val="00204B58"/>
    <w:rsid w:val="00205051"/>
    <w:rsid w:val="00211F65"/>
    <w:rsid w:val="00214047"/>
    <w:rsid w:val="00216563"/>
    <w:rsid w:val="0021792F"/>
    <w:rsid w:val="00220D06"/>
    <w:rsid w:val="002246A0"/>
    <w:rsid w:val="00230439"/>
    <w:rsid w:val="00232A09"/>
    <w:rsid w:val="00235176"/>
    <w:rsid w:val="0023583B"/>
    <w:rsid w:val="00236061"/>
    <w:rsid w:val="0024100E"/>
    <w:rsid w:val="00241C1B"/>
    <w:rsid w:val="0024288B"/>
    <w:rsid w:val="00243DB0"/>
    <w:rsid w:val="00244C69"/>
    <w:rsid w:val="00247265"/>
    <w:rsid w:val="00260663"/>
    <w:rsid w:val="002657E9"/>
    <w:rsid w:val="0026665E"/>
    <w:rsid w:val="0027147E"/>
    <w:rsid w:val="002761F4"/>
    <w:rsid w:val="002775E1"/>
    <w:rsid w:val="00277979"/>
    <w:rsid w:val="00282DC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39F"/>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056A"/>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60A"/>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6050"/>
    <w:rsid w:val="006179BB"/>
    <w:rsid w:val="0062158D"/>
    <w:rsid w:val="006223FD"/>
    <w:rsid w:val="006326D1"/>
    <w:rsid w:val="00632E0A"/>
    <w:rsid w:val="00633165"/>
    <w:rsid w:val="006447DE"/>
    <w:rsid w:val="00644889"/>
    <w:rsid w:val="006501EB"/>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E0D"/>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3412"/>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092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1140"/>
    <w:rsid w:val="00865B58"/>
    <w:rsid w:val="00866B50"/>
    <w:rsid w:val="00867A63"/>
    <w:rsid w:val="008708F1"/>
    <w:rsid w:val="00871960"/>
    <w:rsid w:val="0087369F"/>
    <w:rsid w:val="00877C37"/>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654C"/>
    <w:rsid w:val="009B7136"/>
    <w:rsid w:val="009C337F"/>
    <w:rsid w:val="009C53E7"/>
    <w:rsid w:val="009C6092"/>
    <w:rsid w:val="009C7342"/>
    <w:rsid w:val="009D4365"/>
    <w:rsid w:val="009D477B"/>
    <w:rsid w:val="009D4E3B"/>
    <w:rsid w:val="009D59C2"/>
    <w:rsid w:val="009D7BC9"/>
    <w:rsid w:val="009E122F"/>
    <w:rsid w:val="009E1982"/>
    <w:rsid w:val="009E29B4"/>
    <w:rsid w:val="009E4D2C"/>
    <w:rsid w:val="009E72F3"/>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4D2D"/>
    <w:rsid w:val="00A85039"/>
    <w:rsid w:val="00A906AA"/>
    <w:rsid w:val="00A94C5E"/>
    <w:rsid w:val="00AA252C"/>
    <w:rsid w:val="00AA666E"/>
    <w:rsid w:val="00AA7960"/>
    <w:rsid w:val="00AB5518"/>
    <w:rsid w:val="00AC3A0E"/>
    <w:rsid w:val="00AC4A04"/>
    <w:rsid w:val="00AC5679"/>
    <w:rsid w:val="00AD2E33"/>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68F"/>
    <w:rsid w:val="00CD7E1F"/>
    <w:rsid w:val="00CE4BC4"/>
    <w:rsid w:val="00CE7199"/>
    <w:rsid w:val="00CE7DA2"/>
    <w:rsid w:val="00CF2F8A"/>
    <w:rsid w:val="00CF3DB3"/>
    <w:rsid w:val="00D0274B"/>
    <w:rsid w:val="00D0503D"/>
    <w:rsid w:val="00D052BC"/>
    <w:rsid w:val="00D07026"/>
    <w:rsid w:val="00D146AE"/>
    <w:rsid w:val="00D22C8F"/>
    <w:rsid w:val="00D262D9"/>
    <w:rsid w:val="00D3203C"/>
    <w:rsid w:val="00D33491"/>
    <w:rsid w:val="00D3442D"/>
    <w:rsid w:val="00D36F00"/>
    <w:rsid w:val="00D44B67"/>
    <w:rsid w:val="00D44F8E"/>
    <w:rsid w:val="00D51FD5"/>
    <w:rsid w:val="00D55DE0"/>
    <w:rsid w:val="00D573DF"/>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55B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0067"/>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15</Pages>
  <Words>4121</Words>
  <Characters>24627</Characters>
  <Application>Microsoft Office Word</Application>
  <DocSecurity>0</DocSecurity>
  <Lines>400</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Karen Ward</cp:lastModifiedBy>
  <cp:revision>20</cp:revision>
  <cp:lastPrinted>2020-02-11T19:20:00Z</cp:lastPrinted>
  <dcterms:created xsi:type="dcterms:W3CDTF">2025-10-09T18:29:00Z</dcterms:created>
  <dcterms:modified xsi:type="dcterms:W3CDTF">2025-10-14T19:03:00Z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