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A27A8D" w14:textId="77777777" w:rsidR="00E44FA5" w:rsidRDefault="00E44FA5">
      <w:pPr>
        <w:rPr>
          <w:rFonts w:ascii="Arial" w:hAnsi="Arial" w:cs="Arial"/>
          <w:b/>
          <w:bCs/>
        </w:rPr>
      </w:pPr>
    </w:p>
    <w:p w14:paraId="2A1BB7D1" w14:textId="547FFD43" w:rsidR="005D2EBB" w:rsidRPr="00B456E6" w:rsidRDefault="00260081">
      <w:pPr>
        <w:rPr>
          <w:rFonts w:ascii="Arial" w:hAnsi="Arial" w:cs="Arial"/>
          <w:b/>
          <w:bCs/>
        </w:rPr>
      </w:pPr>
      <w:r w:rsidRPr="00260081">
        <w:rPr>
          <w:rFonts w:ascii="Arial" w:hAnsi="Arial" w:cs="Arial"/>
          <w:b/>
          <w:bCs/>
        </w:rPr>
        <w:t>Assessment 2</w:t>
      </w:r>
      <w:r w:rsidRPr="00260081">
        <w:rPr>
          <w:rFonts w:ascii="Arial" w:hAnsi="Arial" w:cs="Arial"/>
        </w:rPr>
        <w:t>:</w:t>
      </w:r>
      <w:r w:rsidR="00B456E6" w:rsidRPr="00B456E6">
        <w:rPr>
          <w:rFonts w:ascii="Arial" w:hAnsi="Arial" w:cs="Arial"/>
          <w:b/>
          <w:bCs/>
        </w:rPr>
        <w:t>Student 2007506.</w:t>
      </w:r>
    </w:p>
    <w:p w14:paraId="04CFE0A9" w14:textId="35EA5E68" w:rsidR="00260081" w:rsidRDefault="00260081">
      <w:pPr>
        <w:rPr>
          <w:rFonts w:ascii="Arial" w:hAnsi="Arial" w:cs="Arial"/>
        </w:rPr>
      </w:pPr>
    </w:p>
    <w:p w14:paraId="727F7529" w14:textId="7E2E5D6A" w:rsidR="00260081" w:rsidRPr="00A0679E" w:rsidRDefault="00260081">
      <w:pPr>
        <w:rPr>
          <w:rFonts w:ascii="Arial" w:hAnsi="Arial" w:cs="Arial"/>
          <w:u w:val="single"/>
        </w:rPr>
      </w:pPr>
      <w:r w:rsidRPr="00A0679E">
        <w:rPr>
          <w:rFonts w:ascii="Arial" w:hAnsi="Arial" w:cs="Arial"/>
          <w:u w:val="single"/>
        </w:rPr>
        <w:t>Introduction:</w:t>
      </w:r>
    </w:p>
    <w:p w14:paraId="465EFF4A" w14:textId="4AB5AC74" w:rsidR="003B4945" w:rsidRDefault="001418E7">
      <w:pPr>
        <w:rPr>
          <w:rFonts w:ascii="Arial" w:hAnsi="Arial" w:cs="Arial"/>
        </w:rPr>
      </w:pPr>
      <w:r>
        <w:rPr>
          <w:rFonts w:ascii="Arial" w:hAnsi="Arial" w:cs="Arial"/>
        </w:rPr>
        <w:t>Following on from the period of the Crusades, in the first assessment</w:t>
      </w:r>
      <w:r w:rsidR="00102F23">
        <w:rPr>
          <w:rFonts w:ascii="Arial" w:hAnsi="Arial" w:cs="Arial"/>
        </w:rPr>
        <w:t>,</w:t>
      </w:r>
      <w:r>
        <w:rPr>
          <w:rFonts w:ascii="Arial" w:hAnsi="Arial" w:cs="Arial"/>
        </w:rPr>
        <w:t xml:space="preserve"> the </w:t>
      </w:r>
      <w:r w:rsidR="008B560B">
        <w:rPr>
          <w:rFonts w:ascii="Arial" w:hAnsi="Arial" w:cs="Arial"/>
        </w:rPr>
        <w:t xml:space="preserve">Christian </w:t>
      </w:r>
      <w:r>
        <w:rPr>
          <w:rFonts w:ascii="Arial" w:hAnsi="Arial" w:cs="Arial"/>
        </w:rPr>
        <w:t>missionaries</w:t>
      </w:r>
      <w:r w:rsidR="00102F23">
        <w:rPr>
          <w:rFonts w:ascii="Arial" w:hAnsi="Arial" w:cs="Arial"/>
        </w:rPr>
        <w:t xml:space="preserve"> of the 19</w:t>
      </w:r>
      <w:r w:rsidR="00102F23" w:rsidRPr="00102F23">
        <w:rPr>
          <w:rFonts w:ascii="Arial" w:hAnsi="Arial" w:cs="Arial"/>
          <w:vertAlign w:val="superscript"/>
        </w:rPr>
        <w:t>th</w:t>
      </w:r>
      <w:r w:rsidR="00102F23">
        <w:rPr>
          <w:rFonts w:ascii="Arial" w:hAnsi="Arial" w:cs="Arial"/>
        </w:rPr>
        <w:t xml:space="preserve"> and 20</w:t>
      </w:r>
      <w:r w:rsidR="00102F23" w:rsidRPr="00102F23">
        <w:rPr>
          <w:rFonts w:ascii="Arial" w:hAnsi="Arial" w:cs="Arial"/>
          <w:vertAlign w:val="superscript"/>
        </w:rPr>
        <w:t>th</w:t>
      </w:r>
      <w:r w:rsidR="00102F23">
        <w:rPr>
          <w:rFonts w:ascii="Arial" w:hAnsi="Arial" w:cs="Arial"/>
        </w:rPr>
        <w:t xml:space="preserve"> century,</w:t>
      </w:r>
      <w:r>
        <w:rPr>
          <w:rFonts w:ascii="Arial" w:hAnsi="Arial" w:cs="Arial"/>
        </w:rPr>
        <w:t xml:space="preserve"> described as decedents of the Crusaders became part of a powerful </w:t>
      </w:r>
      <w:r w:rsidR="00FB19CB">
        <w:rPr>
          <w:rFonts w:ascii="Arial" w:hAnsi="Arial" w:cs="Arial"/>
        </w:rPr>
        <w:t xml:space="preserve">complex </w:t>
      </w:r>
      <w:r>
        <w:rPr>
          <w:rFonts w:ascii="Arial" w:hAnsi="Arial" w:cs="Arial"/>
        </w:rPr>
        <w:t>Christian evangelical movement</w:t>
      </w:r>
      <w:r w:rsidR="00D52F84">
        <w:rPr>
          <w:rFonts w:ascii="Arial" w:hAnsi="Arial" w:cs="Arial"/>
        </w:rPr>
        <w:t xml:space="preserve"> (</w:t>
      </w:r>
      <w:r w:rsidR="008913D7">
        <w:rPr>
          <w:rFonts w:ascii="Arial" w:hAnsi="Arial" w:cs="Arial"/>
        </w:rPr>
        <w:t>Sharkey 2004)</w:t>
      </w:r>
    </w:p>
    <w:p w14:paraId="5801B12C" w14:textId="77777777" w:rsidR="003B4945" w:rsidRDefault="00FB19CB" w:rsidP="003B4945">
      <w:pPr>
        <w:rPr>
          <w:rFonts w:ascii="Arial" w:hAnsi="Arial" w:cs="Arial"/>
        </w:rPr>
      </w:pPr>
      <w:r>
        <w:rPr>
          <w:rFonts w:ascii="Arial" w:hAnsi="Arial" w:cs="Arial"/>
        </w:rPr>
        <w:t>These</w:t>
      </w:r>
      <w:r w:rsidR="00D7473E">
        <w:rPr>
          <w:rFonts w:ascii="Arial" w:hAnsi="Arial" w:cs="Arial"/>
        </w:rPr>
        <w:t xml:space="preserve"> missionaries </w:t>
      </w:r>
      <w:r>
        <w:rPr>
          <w:rFonts w:ascii="Arial" w:hAnsi="Arial" w:cs="Arial"/>
        </w:rPr>
        <w:t>endeavoured</w:t>
      </w:r>
      <w:r w:rsidR="00D7473E">
        <w:rPr>
          <w:rFonts w:ascii="Arial" w:hAnsi="Arial" w:cs="Arial"/>
        </w:rPr>
        <w:t xml:space="preserve"> to convert individuals to their </w:t>
      </w:r>
      <w:r>
        <w:rPr>
          <w:rFonts w:ascii="Arial" w:hAnsi="Arial" w:cs="Arial"/>
        </w:rPr>
        <w:t>Christian</w:t>
      </w:r>
      <w:r w:rsidR="00D7473E">
        <w:rPr>
          <w:rFonts w:ascii="Arial" w:hAnsi="Arial" w:cs="Arial"/>
        </w:rPr>
        <w:t xml:space="preserve"> faith </w:t>
      </w:r>
      <w:r>
        <w:rPr>
          <w:rFonts w:ascii="Arial" w:hAnsi="Arial" w:cs="Arial"/>
        </w:rPr>
        <w:t>and t</w:t>
      </w:r>
      <w:r w:rsidR="00D7473E">
        <w:rPr>
          <w:rFonts w:ascii="Arial" w:hAnsi="Arial" w:cs="Arial"/>
        </w:rPr>
        <w:t>he</w:t>
      </w:r>
      <w:r w:rsidR="006C0EB8">
        <w:rPr>
          <w:rFonts w:ascii="Arial" w:hAnsi="Arial" w:cs="Arial"/>
        </w:rPr>
        <w:t xml:space="preserve"> word conversion in relation to religion suggests moving from a set of beliefs previously held to adopting a different religious affiliation.</w:t>
      </w:r>
      <w:r w:rsidR="00D7473E">
        <w:rPr>
          <w:rFonts w:ascii="Arial" w:hAnsi="Arial" w:cs="Arial"/>
        </w:rPr>
        <w:t xml:space="preserve"> </w:t>
      </w:r>
    </w:p>
    <w:p w14:paraId="48CC1BC7" w14:textId="50FCDFB5" w:rsidR="008B560B" w:rsidRDefault="003B4945" w:rsidP="003B4945">
      <w:pPr>
        <w:rPr>
          <w:rFonts w:ascii="Arial" w:hAnsi="Arial" w:cs="Arial"/>
        </w:rPr>
      </w:pPr>
      <w:r>
        <w:rPr>
          <w:rFonts w:ascii="Arial" w:hAnsi="Arial" w:cs="Arial"/>
        </w:rPr>
        <w:t>This assessment will explore the different set of beliefs in the nature of God in Christianity and Islam to gain a deeper understanding of its theological importance</w:t>
      </w:r>
      <w:r w:rsidR="0008297D">
        <w:rPr>
          <w:rFonts w:ascii="Arial" w:hAnsi="Arial" w:cs="Arial"/>
        </w:rPr>
        <w:t xml:space="preserve"> and explore the meaning of conversion and salvation in both religions.</w:t>
      </w:r>
      <w:r w:rsidR="00A0679E">
        <w:rPr>
          <w:rFonts w:ascii="Arial" w:hAnsi="Arial" w:cs="Arial"/>
        </w:rPr>
        <w:t xml:space="preserve"> </w:t>
      </w:r>
    </w:p>
    <w:p w14:paraId="72EBF4AA" w14:textId="6116102C" w:rsidR="00A0679E" w:rsidRDefault="00A0679E" w:rsidP="003B4945">
      <w:pPr>
        <w:rPr>
          <w:rFonts w:ascii="Arial" w:hAnsi="Arial" w:cs="Arial"/>
        </w:rPr>
      </w:pPr>
    </w:p>
    <w:p w14:paraId="26774FE9" w14:textId="180C6FD1" w:rsidR="00A0679E" w:rsidRDefault="00E14D2A" w:rsidP="003B4945">
      <w:pPr>
        <w:rPr>
          <w:rFonts w:ascii="Arial" w:hAnsi="Arial" w:cs="Arial"/>
        </w:rPr>
      </w:pPr>
      <w:r>
        <w:rPr>
          <w:rFonts w:ascii="Arial" w:hAnsi="Arial" w:cs="Arial"/>
        </w:rPr>
        <w:t xml:space="preserve">In Christianity the belief in the Trinity involves the doctrine that God exists as three persons, the </w:t>
      </w:r>
      <w:r w:rsidR="002C62B4">
        <w:rPr>
          <w:rFonts w:ascii="Arial" w:hAnsi="Arial" w:cs="Arial"/>
        </w:rPr>
        <w:t>Father;</w:t>
      </w:r>
      <w:r>
        <w:rPr>
          <w:rFonts w:ascii="Arial" w:hAnsi="Arial" w:cs="Arial"/>
        </w:rPr>
        <w:t xml:space="preserve"> Son and Holy Spirit</w:t>
      </w:r>
      <w:r w:rsidR="002F6654">
        <w:rPr>
          <w:rFonts w:ascii="Arial" w:hAnsi="Arial" w:cs="Arial"/>
        </w:rPr>
        <w:t xml:space="preserve">, </w:t>
      </w:r>
      <w:r w:rsidR="0007655C">
        <w:rPr>
          <w:rFonts w:ascii="Arial" w:hAnsi="Arial" w:cs="Arial"/>
        </w:rPr>
        <w:t>‘though each is divine they are not three gods</w:t>
      </w:r>
      <w:r>
        <w:rPr>
          <w:rFonts w:ascii="Arial" w:hAnsi="Arial" w:cs="Arial"/>
        </w:rPr>
        <w:t xml:space="preserve"> but one God</w:t>
      </w:r>
      <w:r w:rsidR="0007655C">
        <w:rPr>
          <w:rFonts w:ascii="Arial" w:hAnsi="Arial" w:cs="Arial"/>
        </w:rPr>
        <w:t>’(Slater 2021).</w:t>
      </w:r>
    </w:p>
    <w:p w14:paraId="3B945122" w14:textId="103F454B" w:rsidR="002C62B4" w:rsidRDefault="002C62B4" w:rsidP="003B4945">
      <w:pPr>
        <w:rPr>
          <w:rFonts w:ascii="Arial" w:hAnsi="Arial" w:cs="Arial"/>
        </w:rPr>
      </w:pPr>
      <w:r>
        <w:rPr>
          <w:rFonts w:ascii="Arial" w:hAnsi="Arial" w:cs="Arial"/>
        </w:rPr>
        <w:t>Taw</w:t>
      </w:r>
      <w:r w:rsidR="00CF571E">
        <w:rPr>
          <w:rFonts w:ascii="Arial" w:hAnsi="Arial" w:cs="Arial"/>
        </w:rPr>
        <w:t>hid in Islam is the word used to describe God-Allah as being one God</w:t>
      </w:r>
      <w:r w:rsidR="00CE3E61">
        <w:rPr>
          <w:rFonts w:ascii="Arial" w:hAnsi="Arial" w:cs="Arial"/>
        </w:rPr>
        <w:t>,</w:t>
      </w:r>
      <w:r w:rsidR="00CF571E">
        <w:rPr>
          <w:rFonts w:ascii="Arial" w:hAnsi="Arial" w:cs="Arial"/>
        </w:rPr>
        <w:t xml:space="preserve"> </w:t>
      </w:r>
      <w:r w:rsidR="00CE3E61">
        <w:rPr>
          <w:rFonts w:ascii="Arial" w:hAnsi="Arial" w:cs="Arial"/>
        </w:rPr>
        <w:t xml:space="preserve">in contrast to the nature of the divine in the Trinity. </w:t>
      </w:r>
    </w:p>
    <w:p w14:paraId="3B8DABAB" w14:textId="4EAFCBC7" w:rsidR="007640C3" w:rsidRDefault="00CE3E61" w:rsidP="003B4945">
      <w:pPr>
        <w:rPr>
          <w:rFonts w:ascii="Arial" w:hAnsi="Arial" w:cs="Arial"/>
        </w:rPr>
      </w:pPr>
      <w:r>
        <w:rPr>
          <w:rFonts w:ascii="Arial" w:hAnsi="Arial" w:cs="Arial"/>
        </w:rPr>
        <w:t xml:space="preserve">This </w:t>
      </w:r>
      <w:r w:rsidR="003272D8">
        <w:rPr>
          <w:rFonts w:ascii="Arial" w:hAnsi="Arial" w:cs="Arial"/>
        </w:rPr>
        <w:t>difference led to Christianity being accused of polytheism</w:t>
      </w:r>
      <w:r w:rsidR="00027C90">
        <w:rPr>
          <w:rFonts w:ascii="Arial" w:hAnsi="Arial" w:cs="Arial"/>
        </w:rPr>
        <w:t>.</w:t>
      </w:r>
      <w:r w:rsidR="003272D8">
        <w:rPr>
          <w:rFonts w:ascii="Arial" w:hAnsi="Arial" w:cs="Arial"/>
        </w:rPr>
        <w:t xml:space="preserve"> </w:t>
      </w:r>
      <w:r w:rsidR="00027C90">
        <w:rPr>
          <w:rFonts w:ascii="Arial" w:hAnsi="Arial" w:cs="Arial"/>
        </w:rPr>
        <w:t>Beaumont (2012) refers to al-Razi’ interpretation of the sura4:171 where he warns Christians ‘not to speak of three when God is One’. This</w:t>
      </w:r>
      <w:r w:rsidR="003272D8">
        <w:rPr>
          <w:rFonts w:ascii="Arial" w:hAnsi="Arial" w:cs="Arial"/>
        </w:rPr>
        <w:t xml:space="preserve"> resulted in </w:t>
      </w:r>
      <w:r w:rsidR="00D52F84">
        <w:rPr>
          <w:rFonts w:ascii="Arial" w:hAnsi="Arial" w:cs="Arial"/>
        </w:rPr>
        <w:t>a determined defence by Christians in the early Islamic period to convey their faith in the Trinity to Muslim theologians.</w:t>
      </w:r>
      <w:r w:rsidR="00027C90">
        <w:rPr>
          <w:rFonts w:ascii="Arial" w:hAnsi="Arial" w:cs="Arial"/>
        </w:rPr>
        <w:t xml:space="preserve"> John of Damascus was one of the first to write a response to this criticism followed later by Timothy 1 </w:t>
      </w:r>
      <w:r w:rsidR="007640C3">
        <w:rPr>
          <w:rFonts w:ascii="Arial" w:hAnsi="Arial" w:cs="Arial"/>
        </w:rPr>
        <w:t xml:space="preserve">in 780, </w:t>
      </w:r>
      <w:r w:rsidR="00027C90">
        <w:rPr>
          <w:rFonts w:ascii="Arial" w:hAnsi="Arial" w:cs="Arial"/>
        </w:rPr>
        <w:t xml:space="preserve">who answered questions </w:t>
      </w:r>
      <w:r w:rsidR="007640C3">
        <w:rPr>
          <w:rFonts w:ascii="Arial" w:hAnsi="Arial" w:cs="Arial"/>
        </w:rPr>
        <w:t>presented to him by the Muslim Caliph al-Mahdi. One of the questions was in relation to the Christian belief in the Trinity to which Timothy replied that the belief was based on the Father, the Son and the Holy Spirit being three hypostases but combined together, create one God (Beaumont 2012).</w:t>
      </w:r>
    </w:p>
    <w:p w14:paraId="1C67B318" w14:textId="3ECCFC8F" w:rsidR="0061711D" w:rsidRDefault="0061711D" w:rsidP="003B4945">
      <w:pPr>
        <w:rPr>
          <w:rFonts w:ascii="Arial" w:hAnsi="Arial" w:cs="Arial"/>
        </w:rPr>
      </w:pPr>
      <w:r>
        <w:rPr>
          <w:rFonts w:ascii="Arial" w:hAnsi="Arial" w:cs="Arial"/>
        </w:rPr>
        <w:t>St Augustine of Hippo</w:t>
      </w:r>
      <w:r w:rsidR="00A27E83">
        <w:rPr>
          <w:rFonts w:ascii="Arial" w:hAnsi="Arial" w:cs="Arial"/>
        </w:rPr>
        <w:t xml:space="preserve"> emphasised </w:t>
      </w:r>
      <w:r w:rsidR="00C718B5">
        <w:rPr>
          <w:rFonts w:ascii="Arial" w:hAnsi="Arial" w:cs="Arial"/>
        </w:rPr>
        <w:t>often</w:t>
      </w:r>
      <w:r w:rsidR="00B456E6">
        <w:rPr>
          <w:rFonts w:ascii="Arial" w:hAnsi="Arial" w:cs="Arial"/>
        </w:rPr>
        <w:t>,</w:t>
      </w:r>
      <w:r w:rsidR="00C718B5">
        <w:rPr>
          <w:rFonts w:ascii="Arial" w:hAnsi="Arial" w:cs="Arial"/>
        </w:rPr>
        <w:t xml:space="preserve"> through analogies</w:t>
      </w:r>
      <w:r w:rsidR="00B456E6">
        <w:rPr>
          <w:rFonts w:ascii="Arial" w:hAnsi="Arial" w:cs="Arial"/>
        </w:rPr>
        <w:t>,</w:t>
      </w:r>
      <w:r w:rsidR="00C718B5">
        <w:rPr>
          <w:rFonts w:ascii="Arial" w:hAnsi="Arial" w:cs="Arial"/>
        </w:rPr>
        <w:t xml:space="preserve"> </w:t>
      </w:r>
      <w:r w:rsidR="00A27E83">
        <w:rPr>
          <w:rFonts w:ascii="Arial" w:hAnsi="Arial" w:cs="Arial"/>
        </w:rPr>
        <w:t xml:space="preserve">the importance of the Christian’s understanding and acceptance of the </w:t>
      </w:r>
      <w:r w:rsidR="009D66D5">
        <w:rPr>
          <w:rFonts w:ascii="Arial" w:hAnsi="Arial" w:cs="Arial"/>
        </w:rPr>
        <w:t>Trinity,</w:t>
      </w:r>
      <w:r w:rsidR="00A27E83">
        <w:rPr>
          <w:rFonts w:ascii="Arial" w:hAnsi="Arial" w:cs="Arial"/>
        </w:rPr>
        <w:t xml:space="preserve"> </w:t>
      </w:r>
      <w:r w:rsidR="0008297D">
        <w:rPr>
          <w:rFonts w:ascii="Arial" w:hAnsi="Arial" w:cs="Arial"/>
        </w:rPr>
        <w:t>and</w:t>
      </w:r>
      <w:r w:rsidR="00C718B5">
        <w:rPr>
          <w:rFonts w:ascii="Arial" w:hAnsi="Arial" w:cs="Arial"/>
        </w:rPr>
        <w:t xml:space="preserve"> Ayers (2011) suggests  that faith in the Trinity assists us to, not only understand God, but ourselves too. </w:t>
      </w:r>
    </w:p>
    <w:p w14:paraId="228F0816" w14:textId="5901C660" w:rsidR="00C718B5" w:rsidRDefault="00C718B5" w:rsidP="003B4945">
      <w:pPr>
        <w:rPr>
          <w:rFonts w:ascii="Arial" w:hAnsi="Arial" w:cs="Arial"/>
        </w:rPr>
      </w:pPr>
      <w:r>
        <w:rPr>
          <w:rFonts w:ascii="Arial" w:hAnsi="Arial" w:cs="Arial"/>
        </w:rPr>
        <w:t>Augustine uses the</w:t>
      </w:r>
      <w:r w:rsidR="009D66D5">
        <w:rPr>
          <w:rFonts w:ascii="Arial" w:hAnsi="Arial" w:cs="Arial"/>
        </w:rPr>
        <w:t xml:space="preserve"> “</w:t>
      </w:r>
      <w:r>
        <w:rPr>
          <w:rFonts w:ascii="Arial" w:hAnsi="Arial" w:cs="Arial"/>
        </w:rPr>
        <w:t>language of faith to explore the mind and using what he finds there to think through how we might imagine the divine three as distinct and yet never divided</w:t>
      </w:r>
      <w:r w:rsidR="009D66D5">
        <w:rPr>
          <w:rFonts w:ascii="Arial" w:hAnsi="Arial" w:cs="Arial"/>
        </w:rPr>
        <w:t>”</w:t>
      </w:r>
      <w:r>
        <w:rPr>
          <w:rFonts w:ascii="Arial" w:hAnsi="Arial" w:cs="Arial"/>
        </w:rPr>
        <w:t>(</w:t>
      </w:r>
      <w:r w:rsidR="002F15A0">
        <w:rPr>
          <w:rFonts w:ascii="Arial" w:hAnsi="Arial" w:cs="Arial"/>
        </w:rPr>
        <w:t>p</w:t>
      </w:r>
      <w:r>
        <w:rPr>
          <w:rFonts w:ascii="Arial" w:hAnsi="Arial" w:cs="Arial"/>
        </w:rPr>
        <w:t>.</w:t>
      </w:r>
      <w:r w:rsidR="009D66D5">
        <w:rPr>
          <w:rFonts w:ascii="Arial" w:hAnsi="Arial" w:cs="Arial"/>
        </w:rPr>
        <w:t>12)</w:t>
      </w:r>
      <w:r w:rsidR="00B456E6">
        <w:rPr>
          <w:rFonts w:ascii="Arial" w:hAnsi="Arial" w:cs="Arial"/>
        </w:rPr>
        <w:t>.</w:t>
      </w:r>
    </w:p>
    <w:p w14:paraId="360A580F" w14:textId="6C19EE0B" w:rsidR="002F15A0" w:rsidRDefault="009D66D5" w:rsidP="003B4945">
      <w:pPr>
        <w:rPr>
          <w:rFonts w:ascii="Arial" w:hAnsi="Arial" w:cs="Arial"/>
        </w:rPr>
      </w:pPr>
      <w:r>
        <w:rPr>
          <w:rFonts w:ascii="Arial" w:hAnsi="Arial" w:cs="Arial"/>
        </w:rPr>
        <w:t xml:space="preserve">In Islam </w:t>
      </w:r>
      <w:r w:rsidR="003F1361">
        <w:rPr>
          <w:rFonts w:ascii="Arial" w:hAnsi="Arial" w:cs="Arial"/>
        </w:rPr>
        <w:t xml:space="preserve">the central belief is that God is a single God and monotheism is central to the faith </w:t>
      </w:r>
      <w:r w:rsidR="00181525">
        <w:rPr>
          <w:rFonts w:ascii="Arial" w:hAnsi="Arial" w:cs="Arial"/>
        </w:rPr>
        <w:t xml:space="preserve">with </w:t>
      </w:r>
      <w:r w:rsidR="003F1361">
        <w:rPr>
          <w:rFonts w:ascii="Arial" w:hAnsi="Arial" w:cs="Arial"/>
        </w:rPr>
        <w:t>any divergence from this described as ‘shirk’</w:t>
      </w:r>
      <w:r w:rsidR="00B456E6">
        <w:rPr>
          <w:rFonts w:ascii="Arial" w:hAnsi="Arial" w:cs="Arial"/>
        </w:rPr>
        <w:t>,</w:t>
      </w:r>
      <w:r w:rsidR="003F1361">
        <w:rPr>
          <w:rFonts w:ascii="Arial" w:hAnsi="Arial" w:cs="Arial"/>
        </w:rPr>
        <w:t xml:space="preserve"> </w:t>
      </w:r>
      <w:r w:rsidR="003339E2">
        <w:rPr>
          <w:rFonts w:ascii="Arial" w:hAnsi="Arial" w:cs="Arial"/>
        </w:rPr>
        <w:t xml:space="preserve">viewed by Allah as an extreme sin. Burge (2020) states that the Qur’an </w:t>
      </w:r>
      <w:r w:rsidR="00FB773D">
        <w:rPr>
          <w:rFonts w:ascii="Arial" w:hAnsi="Arial" w:cs="Arial"/>
        </w:rPr>
        <w:t xml:space="preserve">places total emphasis on the importance of monotheism(tawhid) and that it remains one of the core beliefs. </w:t>
      </w:r>
    </w:p>
    <w:p w14:paraId="0860EF63" w14:textId="06D860E8" w:rsidR="002B6DDE" w:rsidRDefault="00BA1685" w:rsidP="003B4945">
      <w:pPr>
        <w:rPr>
          <w:rFonts w:ascii="Arial" w:hAnsi="Arial" w:cs="Arial"/>
        </w:rPr>
      </w:pPr>
      <w:r>
        <w:rPr>
          <w:rFonts w:ascii="Arial" w:hAnsi="Arial" w:cs="Arial"/>
        </w:rPr>
        <w:t>Ali (2016) states</w:t>
      </w:r>
      <w:r w:rsidR="00C459E8">
        <w:rPr>
          <w:rFonts w:ascii="Arial" w:hAnsi="Arial" w:cs="Arial"/>
        </w:rPr>
        <w:t xml:space="preserve"> also </w:t>
      </w:r>
      <w:r>
        <w:rPr>
          <w:rFonts w:ascii="Arial" w:hAnsi="Arial" w:cs="Arial"/>
        </w:rPr>
        <w:t>that the Quran, divided into 114 chapters called Sura in Arabic, emphasises the Oness of God, especially in Sura Ikhlas.</w:t>
      </w:r>
    </w:p>
    <w:p w14:paraId="4C485C73" w14:textId="77777777" w:rsidR="00C459E8" w:rsidRDefault="00C459E8" w:rsidP="003B4945">
      <w:pPr>
        <w:rPr>
          <w:rFonts w:ascii="Arial" w:hAnsi="Arial" w:cs="Arial"/>
        </w:rPr>
      </w:pPr>
    </w:p>
    <w:p w14:paraId="57EA51D3" w14:textId="240E1F26" w:rsidR="0007655C" w:rsidRDefault="00FB773D" w:rsidP="003B4945">
      <w:pPr>
        <w:rPr>
          <w:rFonts w:ascii="Arial" w:hAnsi="Arial" w:cs="Arial"/>
        </w:rPr>
      </w:pPr>
      <w:r>
        <w:rPr>
          <w:rFonts w:ascii="Arial" w:hAnsi="Arial" w:cs="Arial"/>
        </w:rPr>
        <w:t>Therefore</w:t>
      </w:r>
      <w:r w:rsidR="00C459E8">
        <w:rPr>
          <w:rFonts w:ascii="Arial" w:hAnsi="Arial" w:cs="Arial"/>
        </w:rPr>
        <w:t>,</w:t>
      </w:r>
      <w:r>
        <w:rPr>
          <w:rFonts w:ascii="Arial" w:hAnsi="Arial" w:cs="Arial"/>
        </w:rPr>
        <w:t xml:space="preserve"> these differing views on the nature of God between Christianity and Islam</w:t>
      </w:r>
      <w:r w:rsidR="00C459E8">
        <w:rPr>
          <w:rFonts w:ascii="Arial" w:hAnsi="Arial" w:cs="Arial"/>
        </w:rPr>
        <w:t xml:space="preserve"> create</w:t>
      </w:r>
      <w:r w:rsidR="00233A4C">
        <w:rPr>
          <w:rFonts w:ascii="Arial" w:hAnsi="Arial" w:cs="Arial"/>
        </w:rPr>
        <w:t>s</w:t>
      </w:r>
      <w:r w:rsidR="00C459E8">
        <w:rPr>
          <w:rFonts w:ascii="Arial" w:hAnsi="Arial" w:cs="Arial"/>
        </w:rPr>
        <w:t xml:space="preserve"> a fundamental theological contrast</w:t>
      </w:r>
      <w:r w:rsidR="00B26195">
        <w:rPr>
          <w:rFonts w:ascii="Arial" w:hAnsi="Arial" w:cs="Arial"/>
        </w:rPr>
        <w:t xml:space="preserve"> and Miner</w:t>
      </w:r>
      <w:r w:rsidR="0030711A">
        <w:rPr>
          <w:rFonts w:ascii="Arial" w:hAnsi="Arial" w:cs="Arial"/>
        </w:rPr>
        <w:t xml:space="preserve"> et al </w:t>
      </w:r>
      <w:r w:rsidR="00B26195">
        <w:rPr>
          <w:rFonts w:ascii="Arial" w:hAnsi="Arial" w:cs="Arial"/>
        </w:rPr>
        <w:t xml:space="preserve">(2014) suggests it has a bearing on how God is perceived to relate to individuals. </w:t>
      </w:r>
      <w:r w:rsidR="0030711A">
        <w:rPr>
          <w:rFonts w:ascii="Arial" w:hAnsi="Arial" w:cs="Arial"/>
        </w:rPr>
        <w:t>They</w:t>
      </w:r>
      <w:r w:rsidR="00B26195">
        <w:rPr>
          <w:rFonts w:ascii="Arial" w:hAnsi="Arial" w:cs="Arial"/>
        </w:rPr>
        <w:t xml:space="preserve"> argue that the Christian belief in the Trinity enables the individual to approach God directly on a personal level and for Muslims “strict monotheism entails a greater emphasis on mediation</w:t>
      </w:r>
      <w:r w:rsidR="00114FE9">
        <w:rPr>
          <w:rFonts w:ascii="Arial" w:hAnsi="Arial" w:cs="Arial"/>
        </w:rPr>
        <w:t xml:space="preserve"> between God and the believer by prophets, other revered human figures</w:t>
      </w:r>
      <w:r w:rsidR="003F1361">
        <w:rPr>
          <w:rFonts w:ascii="Arial" w:hAnsi="Arial" w:cs="Arial"/>
        </w:rPr>
        <w:t xml:space="preserve"> </w:t>
      </w:r>
      <w:r w:rsidR="00114FE9">
        <w:rPr>
          <w:rFonts w:ascii="Arial" w:hAnsi="Arial" w:cs="Arial"/>
        </w:rPr>
        <w:t>or symbols of God----“(p2)</w:t>
      </w:r>
      <w:r w:rsidR="002F15A0">
        <w:rPr>
          <w:rFonts w:ascii="Arial" w:hAnsi="Arial" w:cs="Arial"/>
        </w:rPr>
        <w:t>.</w:t>
      </w:r>
      <w:r w:rsidR="007F2972">
        <w:rPr>
          <w:rFonts w:ascii="Arial" w:hAnsi="Arial" w:cs="Arial"/>
        </w:rPr>
        <w:t xml:space="preserve"> Th</w:t>
      </w:r>
      <w:r w:rsidR="0008297D">
        <w:rPr>
          <w:rFonts w:ascii="Arial" w:hAnsi="Arial" w:cs="Arial"/>
        </w:rPr>
        <w:t>e</w:t>
      </w:r>
      <w:r w:rsidR="007F2972">
        <w:rPr>
          <w:rFonts w:ascii="Arial" w:hAnsi="Arial" w:cs="Arial"/>
        </w:rPr>
        <w:t xml:space="preserve"> study looks at the similarities and differences of spiritual attachment in Christianity and Islam</w:t>
      </w:r>
      <w:r w:rsidR="0030711A">
        <w:rPr>
          <w:rFonts w:ascii="Arial" w:hAnsi="Arial" w:cs="Arial"/>
        </w:rPr>
        <w:t>,</w:t>
      </w:r>
      <w:r w:rsidR="007F2972">
        <w:rPr>
          <w:rFonts w:ascii="Arial" w:hAnsi="Arial" w:cs="Arial"/>
        </w:rPr>
        <w:t xml:space="preserve"> accepting that there is a danger of </w:t>
      </w:r>
      <w:r w:rsidR="007F2972">
        <w:rPr>
          <w:rFonts w:ascii="Arial" w:hAnsi="Arial" w:cs="Arial"/>
        </w:rPr>
        <w:lastRenderedPageBreak/>
        <w:t>describing this i</w:t>
      </w:r>
      <w:r w:rsidR="002F15A0">
        <w:rPr>
          <w:rFonts w:ascii="Arial" w:hAnsi="Arial" w:cs="Arial"/>
        </w:rPr>
        <w:t>n</w:t>
      </w:r>
      <w:r w:rsidR="007F2972">
        <w:rPr>
          <w:rFonts w:ascii="Arial" w:hAnsi="Arial" w:cs="Arial"/>
        </w:rPr>
        <w:t xml:space="preserve"> a way which does not acknowledge the complexities</w:t>
      </w:r>
      <w:r w:rsidR="007B6084">
        <w:rPr>
          <w:rFonts w:ascii="Arial" w:hAnsi="Arial" w:cs="Arial"/>
        </w:rPr>
        <w:t xml:space="preserve">. It </w:t>
      </w:r>
      <w:r w:rsidR="007F2972">
        <w:rPr>
          <w:rFonts w:ascii="Arial" w:hAnsi="Arial" w:cs="Arial"/>
        </w:rPr>
        <w:t xml:space="preserve">concludes that further study is required to deepen our understanding </w:t>
      </w:r>
      <w:r w:rsidR="007B6084">
        <w:rPr>
          <w:rFonts w:ascii="Arial" w:hAnsi="Arial" w:cs="Arial"/>
        </w:rPr>
        <w:t>and</w:t>
      </w:r>
      <w:r w:rsidR="0030711A">
        <w:rPr>
          <w:rFonts w:ascii="Arial" w:hAnsi="Arial" w:cs="Arial"/>
        </w:rPr>
        <w:t xml:space="preserve"> may be a way of creating “inter-religious tolerance and appreciation” (p.14).</w:t>
      </w:r>
    </w:p>
    <w:p w14:paraId="447B6870" w14:textId="393DE8B2" w:rsidR="0030711A" w:rsidRDefault="0030711A" w:rsidP="003B4945">
      <w:pPr>
        <w:rPr>
          <w:rFonts w:ascii="Arial" w:hAnsi="Arial" w:cs="Arial"/>
        </w:rPr>
      </w:pPr>
    </w:p>
    <w:p w14:paraId="1714C42A" w14:textId="439A51BC" w:rsidR="0030711A" w:rsidRDefault="0030711A" w:rsidP="003B4945">
      <w:pPr>
        <w:rPr>
          <w:rFonts w:ascii="Arial" w:hAnsi="Arial" w:cs="Arial"/>
        </w:rPr>
      </w:pPr>
      <w:r>
        <w:rPr>
          <w:rFonts w:ascii="Arial" w:hAnsi="Arial" w:cs="Arial"/>
        </w:rPr>
        <w:t xml:space="preserve">The differing views on God and the individual’s personal relationship with God in Christianity and Islam </w:t>
      </w:r>
      <w:r w:rsidR="00503BFF">
        <w:rPr>
          <w:rFonts w:ascii="Arial" w:hAnsi="Arial" w:cs="Arial"/>
        </w:rPr>
        <w:t>form the foundation for the conversion to either faith.</w:t>
      </w:r>
    </w:p>
    <w:p w14:paraId="212AA1B7" w14:textId="02B83322" w:rsidR="008B69B9" w:rsidRDefault="008B69B9" w:rsidP="003B4945">
      <w:pPr>
        <w:rPr>
          <w:rFonts w:ascii="Arial" w:hAnsi="Arial" w:cs="Arial"/>
        </w:rPr>
      </w:pPr>
      <w:r>
        <w:rPr>
          <w:rFonts w:ascii="Arial" w:hAnsi="Arial" w:cs="Arial"/>
        </w:rPr>
        <w:t xml:space="preserve">Galonnier and Rios (2016) conducted an empirical study in </w:t>
      </w:r>
      <w:r w:rsidR="0088553B">
        <w:rPr>
          <w:rFonts w:ascii="Arial" w:hAnsi="Arial" w:cs="Arial"/>
        </w:rPr>
        <w:t xml:space="preserve">present day </w:t>
      </w:r>
      <w:r>
        <w:rPr>
          <w:rFonts w:ascii="Arial" w:hAnsi="Arial" w:cs="Arial"/>
        </w:rPr>
        <w:t>America</w:t>
      </w:r>
      <w:r w:rsidR="0088553B">
        <w:rPr>
          <w:rFonts w:ascii="Arial" w:hAnsi="Arial" w:cs="Arial"/>
        </w:rPr>
        <w:t>,</w:t>
      </w:r>
      <w:r>
        <w:rPr>
          <w:rFonts w:ascii="Arial" w:hAnsi="Arial" w:cs="Arial"/>
        </w:rPr>
        <w:t xml:space="preserve"> providing an insight into the differences and similarities in the classes for converts to Christianity and Islam</w:t>
      </w:r>
      <w:r w:rsidR="0088553B">
        <w:rPr>
          <w:rFonts w:ascii="Arial" w:hAnsi="Arial" w:cs="Arial"/>
        </w:rPr>
        <w:t>.</w:t>
      </w:r>
      <w:r>
        <w:rPr>
          <w:rFonts w:ascii="Arial" w:hAnsi="Arial" w:cs="Arial"/>
        </w:rPr>
        <w:t xml:space="preserve"> This study introduces the concept of ‘pedagogies of conversion’ (p.60).</w:t>
      </w:r>
    </w:p>
    <w:p w14:paraId="66D33273" w14:textId="07635BE8" w:rsidR="00290E1E" w:rsidRDefault="008B69B9" w:rsidP="003B4945">
      <w:pPr>
        <w:rPr>
          <w:rFonts w:ascii="Arial" w:hAnsi="Arial" w:cs="Arial"/>
        </w:rPr>
      </w:pPr>
      <w:r>
        <w:rPr>
          <w:rFonts w:ascii="Arial" w:hAnsi="Arial" w:cs="Arial"/>
        </w:rPr>
        <w:t>These teaching strategies were similar for both religions emphasising that the conversion on an emotional level</w:t>
      </w:r>
      <w:r w:rsidR="0008297D">
        <w:rPr>
          <w:rFonts w:ascii="Arial" w:hAnsi="Arial" w:cs="Arial"/>
        </w:rPr>
        <w:t xml:space="preserve"> also requires more formal structured learning </w:t>
      </w:r>
      <w:r w:rsidR="00ED349C">
        <w:rPr>
          <w:rFonts w:ascii="Arial" w:hAnsi="Arial" w:cs="Arial"/>
        </w:rPr>
        <w:t>in order to share religious knowledge of the faith. It was interesting to read that the study found Muslim converts experienced “significant forms of discrimination and rejection from their families and the wider community” (p.61)</w:t>
      </w:r>
      <w:r w:rsidR="002F15A0">
        <w:rPr>
          <w:rFonts w:ascii="Arial" w:hAnsi="Arial" w:cs="Arial"/>
        </w:rPr>
        <w:t>, w</w:t>
      </w:r>
      <w:r w:rsidR="00ED349C">
        <w:rPr>
          <w:rFonts w:ascii="Arial" w:hAnsi="Arial" w:cs="Arial"/>
        </w:rPr>
        <w:t xml:space="preserve">here Christian converts did not receive the same level of </w:t>
      </w:r>
      <w:r w:rsidR="00290E1E">
        <w:rPr>
          <w:rFonts w:ascii="Arial" w:hAnsi="Arial" w:cs="Arial"/>
        </w:rPr>
        <w:t>stigma.</w:t>
      </w:r>
    </w:p>
    <w:p w14:paraId="1F786115" w14:textId="35778240" w:rsidR="00233A4C" w:rsidRDefault="00ED349C" w:rsidP="003B4945">
      <w:pPr>
        <w:rPr>
          <w:rFonts w:ascii="Arial" w:hAnsi="Arial" w:cs="Arial"/>
        </w:rPr>
      </w:pPr>
      <w:r>
        <w:rPr>
          <w:rFonts w:ascii="Arial" w:hAnsi="Arial" w:cs="Arial"/>
        </w:rPr>
        <w:t>Prayer and baptism played an important role in the conversion process of the evangelical Christian church which could take longer than the Muslim conversion</w:t>
      </w:r>
      <w:r w:rsidR="007B6084">
        <w:rPr>
          <w:rFonts w:ascii="Arial" w:hAnsi="Arial" w:cs="Arial"/>
        </w:rPr>
        <w:t>.</w:t>
      </w:r>
      <w:r>
        <w:rPr>
          <w:rFonts w:ascii="Arial" w:hAnsi="Arial" w:cs="Arial"/>
        </w:rPr>
        <w:t xml:space="preserve"> </w:t>
      </w:r>
      <w:r w:rsidR="007B6084">
        <w:rPr>
          <w:rFonts w:ascii="Arial" w:hAnsi="Arial" w:cs="Arial"/>
        </w:rPr>
        <w:t>N</w:t>
      </w:r>
      <w:r>
        <w:rPr>
          <w:rFonts w:ascii="Arial" w:hAnsi="Arial" w:cs="Arial"/>
        </w:rPr>
        <w:t xml:space="preserve">o prior training </w:t>
      </w:r>
      <w:r w:rsidR="007B6084">
        <w:rPr>
          <w:rFonts w:ascii="Arial" w:hAnsi="Arial" w:cs="Arial"/>
        </w:rPr>
        <w:t xml:space="preserve">was involved in the Muslim conversion process, </w:t>
      </w:r>
      <w:r>
        <w:rPr>
          <w:rFonts w:ascii="Arial" w:hAnsi="Arial" w:cs="Arial"/>
        </w:rPr>
        <w:t>but emphasis</w:t>
      </w:r>
      <w:r w:rsidR="007B6084">
        <w:rPr>
          <w:rFonts w:ascii="Arial" w:hAnsi="Arial" w:cs="Arial"/>
        </w:rPr>
        <w:t xml:space="preserve"> put upon</w:t>
      </w:r>
      <w:r>
        <w:rPr>
          <w:rFonts w:ascii="Arial" w:hAnsi="Arial" w:cs="Arial"/>
        </w:rPr>
        <w:t xml:space="preserve"> the importance of the individual giving their testimony of faith in the company of other Muslims.</w:t>
      </w:r>
    </w:p>
    <w:p w14:paraId="023D360B" w14:textId="074797CD" w:rsidR="00290E1E" w:rsidRDefault="00290E1E" w:rsidP="003B4945">
      <w:pPr>
        <w:rPr>
          <w:rFonts w:ascii="Arial" w:hAnsi="Arial" w:cs="Arial"/>
        </w:rPr>
      </w:pPr>
      <w:r>
        <w:rPr>
          <w:rFonts w:ascii="Arial" w:hAnsi="Arial" w:cs="Arial"/>
        </w:rPr>
        <w:t>Conversion has been described as an ongoing process</w:t>
      </w:r>
      <w:r w:rsidR="007B6084">
        <w:rPr>
          <w:rFonts w:ascii="Arial" w:hAnsi="Arial" w:cs="Arial"/>
        </w:rPr>
        <w:t>,</w:t>
      </w:r>
      <w:r>
        <w:rPr>
          <w:rFonts w:ascii="Arial" w:hAnsi="Arial" w:cs="Arial"/>
        </w:rPr>
        <w:t xml:space="preserve"> with this study emphasising that it is also a process of learning. It describes how learning in small groups ensures that the individuals learn about not only the religious beliefs but also how they relate to the actual living of day-to-day life.</w:t>
      </w:r>
    </w:p>
    <w:p w14:paraId="6A7CC118" w14:textId="77777777" w:rsidR="0088553B" w:rsidRDefault="0088553B" w:rsidP="003B4945">
      <w:pPr>
        <w:rPr>
          <w:rFonts w:ascii="Arial" w:hAnsi="Arial" w:cs="Arial"/>
        </w:rPr>
      </w:pPr>
    </w:p>
    <w:p w14:paraId="39658A38" w14:textId="77777777" w:rsidR="007B6084" w:rsidRDefault="0088553B" w:rsidP="003B4945">
      <w:pPr>
        <w:rPr>
          <w:rFonts w:ascii="Arial" w:hAnsi="Arial" w:cs="Arial"/>
        </w:rPr>
      </w:pPr>
      <w:r>
        <w:rPr>
          <w:rFonts w:ascii="Arial" w:hAnsi="Arial" w:cs="Arial"/>
        </w:rPr>
        <w:t>Both religions emphasise that accepting the beliefs and taking part in the rituals does not in turn guarantee salvation for the individual.</w:t>
      </w:r>
      <w:r w:rsidR="00C2357B">
        <w:rPr>
          <w:rFonts w:ascii="Arial" w:hAnsi="Arial" w:cs="Arial"/>
        </w:rPr>
        <w:t xml:space="preserve"> </w:t>
      </w:r>
      <w:r>
        <w:rPr>
          <w:rFonts w:ascii="Arial" w:hAnsi="Arial" w:cs="Arial"/>
        </w:rPr>
        <w:t xml:space="preserve">Almirzanah (2021) suggests that </w:t>
      </w:r>
      <w:r w:rsidR="00C2357B">
        <w:rPr>
          <w:rFonts w:ascii="Arial" w:hAnsi="Arial" w:cs="Arial"/>
        </w:rPr>
        <w:t xml:space="preserve">the </w:t>
      </w:r>
      <w:r>
        <w:rPr>
          <w:rFonts w:ascii="Arial" w:hAnsi="Arial" w:cs="Arial"/>
        </w:rPr>
        <w:t>stud</w:t>
      </w:r>
      <w:r w:rsidR="00C2357B">
        <w:rPr>
          <w:rFonts w:ascii="Arial" w:hAnsi="Arial" w:cs="Arial"/>
        </w:rPr>
        <w:t>y of</w:t>
      </w:r>
      <w:r>
        <w:rPr>
          <w:rFonts w:ascii="Arial" w:hAnsi="Arial" w:cs="Arial"/>
        </w:rPr>
        <w:t xml:space="preserve"> Isaiah </w:t>
      </w:r>
      <w:r w:rsidR="00C2357B">
        <w:rPr>
          <w:rFonts w:ascii="Arial" w:hAnsi="Arial" w:cs="Arial"/>
        </w:rPr>
        <w:t>can provide a valuable contribution to the interfaith discussion on salvation for both Christians and Muslims. Both faiths emphasise the importance of the need for individuals to show social justice and ensuring they themselves practice morally right conduct in order to achieve salvation.</w:t>
      </w:r>
      <w:r w:rsidR="00B7610A">
        <w:rPr>
          <w:rFonts w:ascii="Arial" w:hAnsi="Arial" w:cs="Arial"/>
        </w:rPr>
        <w:t xml:space="preserve"> This is referred to in Isaiah as Jews and Gentiles being able to enter God’s Temple they </w:t>
      </w:r>
      <w:r w:rsidR="007B6084">
        <w:rPr>
          <w:rFonts w:ascii="Arial" w:hAnsi="Arial" w:cs="Arial"/>
        </w:rPr>
        <w:t xml:space="preserve">first </w:t>
      </w:r>
      <w:r w:rsidR="00B7610A">
        <w:rPr>
          <w:rFonts w:ascii="Arial" w:hAnsi="Arial" w:cs="Arial"/>
        </w:rPr>
        <w:t>must “carry justice and devotion to a sinless life”(p.4)</w:t>
      </w:r>
      <w:r w:rsidR="000B35B5">
        <w:rPr>
          <w:rFonts w:ascii="Arial" w:hAnsi="Arial" w:cs="Arial"/>
        </w:rPr>
        <w:t xml:space="preserve"> </w:t>
      </w:r>
    </w:p>
    <w:p w14:paraId="14225933" w14:textId="77777777" w:rsidR="007B6084" w:rsidRDefault="007B6084" w:rsidP="003B4945">
      <w:pPr>
        <w:rPr>
          <w:rFonts w:ascii="Arial" w:hAnsi="Arial" w:cs="Arial"/>
        </w:rPr>
      </w:pPr>
    </w:p>
    <w:p w14:paraId="0FF0119F" w14:textId="07744FB4" w:rsidR="00C2318E" w:rsidRDefault="000B35B5" w:rsidP="003B4945">
      <w:pPr>
        <w:rPr>
          <w:rFonts w:ascii="Arial" w:hAnsi="Arial" w:cs="Arial"/>
        </w:rPr>
      </w:pPr>
      <w:r>
        <w:rPr>
          <w:rFonts w:ascii="Arial" w:hAnsi="Arial" w:cs="Arial"/>
        </w:rPr>
        <w:t xml:space="preserve">This suggests that salvation is available to all but there are many examples of exclusivity of Christianity </w:t>
      </w:r>
      <w:r w:rsidR="00872371">
        <w:rPr>
          <w:rFonts w:ascii="Arial" w:hAnsi="Arial" w:cs="Arial"/>
        </w:rPr>
        <w:t>whereby</w:t>
      </w:r>
      <w:r>
        <w:rPr>
          <w:rFonts w:ascii="Arial" w:hAnsi="Arial" w:cs="Arial"/>
        </w:rPr>
        <w:t xml:space="preserve"> </w:t>
      </w:r>
      <w:r w:rsidR="00872371">
        <w:rPr>
          <w:rFonts w:ascii="Arial" w:hAnsi="Arial" w:cs="Arial"/>
        </w:rPr>
        <w:t>Jesus is held as the only mediator for salvation</w:t>
      </w:r>
      <w:r w:rsidR="00C2318E">
        <w:rPr>
          <w:rFonts w:ascii="Arial" w:hAnsi="Arial" w:cs="Arial"/>
        </w:rPr>
        <w:t xml:space="preserve"> but </w:t>
      </w:r>
      <w:r w:rsidR="00872371">
        <w:rPr>
          <w:rFonts w:ascii="Arial" w:hAnsi="Arial" w:cs="Arial"/>
        </w:rPr>
        <w:t>Almirzanah</w:t>
      </w:r>
      <w:r w:rsidR="00D85D86">
        <w:rPr>
          <w:rFonts w:ascii="Arial" w:hAnsi="Arial" w:cs="Arial"/>
        </w:rPr>
        <w:t>(2021)</w:t>
      </w:r>
      <w:r w:rsidR="00872371">
        <w:rPr>
          <w:rFonts w:ascii="Arial" w:hAnsi="Arial" w:cs="Arial"/>
        </w:rPr>
        <w:t xml:space="preserve"> </w:t>
      </w:r>
      <w:r w:rsidR="00D85D86">
        <w:rPr>
          <w:rFonts w:ascii="Arial" w:hAnsi="Arial" w:cs="Arial"/>
        </w:rPr>
        <w:t xml:space="preserve">on the other hand </w:t>
      </w:r>
      <w:r w:rsidR="00872371">
        <w:rPr>
          <w:rFonts w:ascii="Arial" w:hAnsi="Arial" w:cs="Arial"/>
        </w:rPr>
        <w:t>concludes that there are “many ways to salvation and to God”.(p.9)</w:t>
      </w:r>
    </w:p>
    <w:p w14:paraId="7C9A51EA" w14:textId="6BA36A7E" w:rsidR="00D85D86" w:rsidRDefault="00485B12" w:rsidP="003B4945">
      <w:pPr>
        <w:rPr>
          <w:rFonts w:ascii="Arial" w:hAnsi="Arial" w:cs="Arial"/>
        </w:rPr>
      </w:pPr>
      <w:r>
        <w:rPr>
          <w:rFonts w:ascii="Arial" w:hAnsi="Arial" w:cs="Arial"/>
        </w:rPr>
        <w:t xml:space="preserve">For Muslims regardless of the many differing branches, believe that an individual is responsible for ensuring they continually state their faith and engage in prayer and in addition act against injustices which in turn will gain entry to heaven(Jannat) after death(Harcet 2014). </w:t>
      </w:r>
    </w:p>
    <w:p w14:paraId="2B9998FB" w14:textId="77777777" w:rsidR="00A8160A" w:rsidRDefault="00A8160A" w:rsidP="003B4945">
      <w:pPr>
        <w:rPr>
          <w:rFonts w:ascii="Arial" w:hAnsi="Arial" w:cs="Arial"/>
        </w:rPr>
      </w:pPr>
    </w:p>
    <w:p w14:paraId="66A260B2" w14:textId="520A82D3" w:rsidR="00872371" w:rsidRDefault="009C2C67" w:rsidP="003B4945">
      <w:pPr>
        <w:rPr>
          <w:rFonts w:ascii="Arial" w:hAnsi="Arial" w:cs="Arial"/>
        </w:rPr>
      </w:pPr>
      <w:r>
        <w:rPr>
          <w:rFonts w:ascii="Arial" w:hAnsi="Arial" w:cs="Arial"/>
        </w:rPr>
        <w:t xml:space="preserve">Though there are many theological differences between Christianity and </w:t>
      </w:r>
      <w:r w:rsidR="002F15A0">
        <w:rPr>
          <w:rFonts w:ascii="Arial" w:hAnsi="Arial" w:cs="Arial"/>
        </w:rPr>
        <w:t>Islam,</w:t>
      </w:r>
      <w:r>
        <w:rPr>
          <w:rFonts w:ascii="Arial" w:hAnsi="Arial" w:cs="Arial"/>
        </w:rPr>
        <w:t xml:space="preserve"> and it is important not to </w:t>
      </w:r>
      <w:r w:rsidR="002F15A0">
        <w:rPr>
          <w:rFonts w:ascii="Arial" w:hAnsi="Arial" w:cs="Arial"/>
        </w:rPr>
        <w:t>oversimplify</w:t>
      </w:r>
      <w:r>
        <w:rPr>
          <w:rFonts w:ascii="Arial" w:hAnsi="Arial" w:cs="Arial"/>
        </w:rPr>
        <w:t xml:space="preserve"> these </w:t>
      </w:r>
      <w:r w:rsidR="00A62F8A">
        <w:rPr>
          <w:rFonts w:ascii="Arial" w:hAnsi="Arial" w:cs="Arial"/>
        </w:rPr>
        <w:t>differences,</w:t>
      </w:r>
      <w:r w:rsidR="007B6084">
        <w:rPr>
          <w:rFonts w:ascii="Arial" w:hAnsi="Arial" w:cs="Arial"/>
        </w:rPr>
        <w:t xml:space="preserve"> but it</w:t>
      </w:r>
      <w:r>
        <w:rPr>
          <w:rFonts w:ascii="Arial" w:hAnsi="Arial" w:cs="Arial"/>
        </w:rPr>
        <w:t xml:space="preserve"> </w:t>
      </w:r>
      <w:r w:rsidR="002F15A0">
        <w:rPr>
          <w:rFonts w:ascii="Arial" w:hAnsi="Arial" w:cs="Arial"/>
        </w:rPr>
        <w:t xml:space="preserve">is </w:t>
      </w:r>
      <w:r>
        <w:rPr>
          <w:rFonts w:ascii="Arial" w:hAnsi="Arial" w:cs="Arial"/>
        </w:rPr>
        <w:t>encouraging to read many scholars who emphasise the similar strands of both religions</w:t>
      </w:r>
      <w:r w:rsidR="007B6084">
        <w:rPr>
          <w:rFonts w:ascii="Arial" w:hAnsi="Arial" w:cs="Arial"/>
        </w:rPr>
        <w:t>,</w:t>
      </w:r>
      <w:r>
        <w:rPr>
          <w:rFonts w:ascii="Arial" w:hAnsi="Arial" w:cs="Arial"/>
        </w:rPr>
        <w:t xml:space="preserve"> which provides positive foundations for improved interfaith dialogue. </w:t>
      </w:r>
    </w:p>
    <w:p w14:paraId="4A9A1F7C" w14:textId="7F29ED76" w:rsidR="009C2C67" w:rsidRDefault="009C2C67" w:rsidP="009C2C67">
      <w:pPr>
        <w:rPr>
          <w:rFonts w:ascii="Arial" w:hAnsi="Arial" w:cs="Arial"/>
        </w:rPr>
      </w:pPr>
      <w:r>
        <w:rPr>
          <w:rFonts w:ascii="Arial" w:hAnsi="Arial" w:cs="Arial"/>
        </w:rPr>
        <w:t>Kirabaev and Chistyakova (2020) suggest that in the focus on the relationship between God and the individual</w:t>
      </w:r>
      <w:r w:rsidR="008275FE">
        <w:rPr>
          <w:rFonts w:ascii="Arial" w:hAnsi="Arial" w:cs="Arial"/>
        </w:rPr>
        <w:t>,</w:t>
      </w:r>
      <w:r>
        <w:rPr>
          <w:rFonts w:ascii="Arial" w:hAnsi="Arial" w:cs="Arial"/>
        </w:rPr>
        <w:t xml:space="preserve"> both faiths are ‘deeply moral. This in turn offers </w:t>
      </w:r>
      <w:r>
        <w:rPr>
          <w:rFonts w:ascii="Arial" w:hAnsi="Arial" w:cs="Arial"/>
        </w:rPr>
        <w:lastRenderedPageBreak/>
        <w:t>hope for future peace with religion potentially  becoming a means of improved communication in our contemporary world.</w:t>
      </w:r>
    </w:p>
    <w:p w14:paraId="095F8FBF" w14:textId="77777777" w:rsidR="009C2C67" w:rsidRDefault="009C2C67" w:rsidP="009C2C67">
      <w:pPr>
        <w:rPr>
          <w:rFonts w:ascii="Arial" w:hAnsi="Arial" w:cs="Arial"/>
        </w:rPr>
      </w:pPr>
      <w:r>
        <w:rPr>
          <w:rFonts w:ascii="Arial" w:hAnsi="Arial" w:cs="Arial"/>
        </w:rPr>
        <w:t>Beyers(2017) refers to the work of Thomas Aquinas who contributed in his work in the 12</w:t>
      </w:r>
      <w:r w:rsidRPr="009C2C67">
        <w:rPr>
          <w:rFonts w:ascii="Arial" w:hAnsi="Arial" w:cs="Arial"/>
          <w:vertAlign w:val="superscript"/>
        </w:rPr>
        <w:t>th</w:t>
      </w:r>
      <w:r>
        <w:rPr>
          <w:rFonts w:ascii="Arial" w:hAnsi="Arial" w:cs="Arial"/>
        </w:rPr>
        <w:t xml:space="preserve"> century to the relationship of Christianity to other religions. He advocated that all human beings in one way or another were religious and went on to say that “non-Christian religions are not worthless or without merit—“(p.7)</w:t>
      </w:r>
    </w:p>
    <w:p w14:paraId="68A71406" w14:textId="77777777" w:rsidR="00EB65E2" w:rsidRDefault="00EB65E2" w:rsidP="009C2C67">
      <w:pPr>
        <w:rPr>
          <w:rFonts w:ascii="Arial" w:hAnsi="Arial" w:cs="Arial"/>
        </w:rPr>
      </w:pPr>
      <w:r>
        <w:rPr>
          <w:rFonts w:ascii="Arial" w:hAnsi="Arial" w:cs="Arial"/>
        </w:rPr>
        <w:t>Later in history the Catholic theologian of the 16</w:t>
      </w:r>
      <w:r w:rsidRPr="00EB65E2">
        <w:rPr>
          <w:rFonts w:ascii="Arial" w:hAnsi="Arial" w:cs="Arial"/>
          <w:vertAlign w:val="superscript"/>
        </w:rPr>
        <w:t>th</w:t>
      </w:r>
      <w:r>
        <w:rPr>
          <w:rFonts w:ascii="Arial" w:hAnsi="Arial" w:cs="Arial"/>
        </w:rPr>
        <w:t xml:space="preserve"> century created a set of principles based on the earlier work of Thomas Aquinas which referred to salvation as being for all human beings.</w:t>
      </w:r>
    </w:p>
    <w:p w14:paraId="1E4E9211" w14:textId="570EAA46" w:rsidR="009C2C67" w:rsidRDefault="00EB65E2" w:rsidP="009C2C67">
      <w:pPr>
        <w:rPr>
          <w:rFonts w:ascii="Arial" w:hAnsi="Arial" w:cs="Arial"/>
        </w:rPr>
      </w:pPr>
      <w:r>
        <w:rPr>
          <w:rFonts w:ascii="Arial" w:hAnsi="Arial" w:cs="Arial"/>
        </w:rPr>
        <w:t xml:space="preserve">  </w:t>
      </w:r>
      <w:r w:rsidR="009C2C67">
        <w:rPr>
          <w:rFonts w:ascii="Arial" w:hAnsi="Arial" w:cs="Arial"/>
        </w:rPr>
        <w:t xml:space="preserve"> </w:t>
      </w:r>
    </w:p>
    <w:p w14:paraId="462403EF" w14:textId="58608A12" w:rsidR="0061711D" w:rsidRDefault="00EB65E2" w:rsidP="003B4945">
      <w:pPr>
        <w:rPr>
          <w:rFonts w:ascii="Arial" w:hAnsi="Arial" w:cs="Arial"/>
        </w:rPr>
      </w:pPr>
      <w:r>
        <w:rPr>
          <w:rFonts w:ascii="Arial" w:hAnsi="Arial" w:cs="Arial"/>
        </w:rPr>
        <w:t xml:space="preserve">Though there are many differences in the views of Christians and Muslims on the nature of God in more recent works </w:t>
      </w:r>
      <w:r w:rsidR="00C65731">
        <w:rPr>
          <w:rFonts w:ascii="Arial" w:hAnsi="Arial" w:cs="Arial"/>
        </w:rPr>
        <w:t xml:space="preserve">Kuhn(2019) describes how this intense difference in the perception and understanding of the nature of God between Christians and Muslims created a </w:t>
      </w:r>
      <w:r w:rsidR="004C56B4">
        <w:rPr>
          <w:rFonts w:ascii="Arial" w:hAnsi="Arial" w:cs="Arial"/>
        </w:rPr>
        <w:t>gulf between both faiths and suggests that the work of Awwad Sim’an offers a positive contribution towards further understanding between both faiths.</w:t>
      </w:r>
      <w:r w:rsidR="008275FE">
        <w:rPr>
          <w:rFonts w:ascii="Arial" w:hAnsi="Arial" w:cs="Arial"/>
        </w:rPr>
        <w:t xml:space="preserve"> Also</w:t>
      </w:r>
      <w:r w:rsidR="000A166F">
        <w:rPr>
          <w:rFonts w:ascii="Arial" w:hAnsi="Arial" w:cs="Arial"/>
        </w:rPr>
        <w:t>,</w:t>
      </w:r>
      <w:r w:rsidR="008275FE">
        <w:rPr>
          <w:rFonts w:ascii="Arial" w:hAnsi="Arial" w:cs="Arial"/>
        </w:rPr>
        <w:t xml:space="preserve"> </w:t>
      </w:r>
      <w:proofErr w:type="spellStart"/>
      <w:r w:rsidR="008275FE">
        <w:rPr>
          <w:rFonts w:ascii="Arial" w:hAnsi="Arial" w:cs="Arial"/>
        </w:rPr>
        <w:t>Birkel</w:t>
      </w:r>
      <w:proofErr w:type="spellEnd"/>
      <w:r w:rsidR="008275FE">
        <w:rPr>
          <w:rFonts w:ascii="Arial" w:hAnsi="Arial" w:cs="Arial"/>
        </w:rPr>
        <w:t>(2018) states that a fundamental rule “governing the relationship between Muslims and non-Muslims is that of peaceful coexistence, justice and compassion, irrespective of their religious choices”(p.101).</w:t>
      </w:r>
    </w:p>
    <w:p w14:paraId="3A6AB042" w14:textId="5962AA20" w:rsidR="00D7473E" w:rsidRDefault="00D7473E" w:rsidP="009A6EB8">
      <w:pPr>
        <w:rPr>
          <w:rFonts w:ascii="Arial" w:hAnsi="Arial" w:cs="Arial"/>
        </w:rPr>
      </w:pPr>
    </w:p>
    <w:p w14:paraId="0B6C658E" w14:textId="655024EF" w:rsidR="00A8160A" w:rsidRDefault="00A8160A" w:rsidP="00A8160A">
      <w:pPr>
        <w:rPr>
          <w:rFonts w:ascii="Arial" w:hAnsi="Arial" w:cs="Arial"/>
        </w:rPr>
      </w:pPr>
      <w:r>
        <w:rPr>
          <w:rFonts w:ascii="Arial" w:hAnsi="Arial" w:cs="Arial"/>
        </w:rPr>
        <w:t>Netton(2018) suggests that the “theologies of both Islam and Christianity are, at heart, theologies of salvation” (p311)</w:t>
      </w:r>
      <w:r w:rsidR="00BD158C">
        <w:rPr>
          <w:rFonts w:ascii="Arial" w:hAnsi="Arial" w:cs="Arial"/>
        </w:rPr>
        <w:t xml:space="preserve"> which provides further common ground for understanding and for overcoming this gulf</w:t>
      </w:r>
      <w:r>
        <w:rPr>
          <w:rFonts w:ascii="Arial" w:hAnsi="Arial" w:cs="Arial"/>
        </w:rPr>
        <w:t>.</w:t>
      </w:r>
      <w:r w:rsidR="00BD158C">
        <w:rPr>
          <w:rFonts w:ascii="Arial" w:hAnsi="Arial" w:cs="Arial"/>
        </w:rPr>
        <w:t xml:space="preserve"> </w:t>
      </w:r>
      <w:r>
        <w:rPr>
          <w:rFonts w:ascii="Arial" w:hAnsi="Arial" w:cs="Arial"/>
        </w:rPr>
        <w:t xml:space="preserve">He suggests </w:t>
      </w:r>
      <w:r w:rsidR="00BD158C">
        <w:rPr>
          <w:rFonts w:ascii="Arial" w:hAnsi="Arial" w:cs="Arial"/>
        </w:rPr>
        <w:t xml:space="preserve">also </w:t>
      </w:r>
      <w:r>
        <w:rPr>
          <w:rFonts w:ascii="Arial" w:hAnsi="Arial" w:cs="Arial"/>
        </w:rPr>
        <w:t xml:space="preserve">that there are three theologies when discussing salvation in interfaith discussions with a movement from the </w:t>
      </w:r>
      <w:r w:rsidRPr="00E9369E">
        <w:rPr>
          <w:rFonts w:ascii="Arial" w:hAnsi="Arial" w:cs="Arial"/>
          <w:i/>
          <w:iCs/>
        </w:rPr>
        <w:t>theology of difference</w:t>
      </w:r>
      <w:r>
        <w:rPr>
          <w:rFonts w:ascii="Arial" w:hAnsi="Arial" w:cs="Arial"/>
        </w:rPr>
        <w:t xml:space="preserve"> to a </w:t>
      </w:r>
      <w:r w:rsidRPr="00E9369E">
        <w:rPr>
          <w:rFonts w:ascii="Arial" w:hAnsi="Arial" w:cs="Arial"/>
          <w:i/>
          <w:iCs/>
        </w:rPr>
        <w:t>theology of presence</w:t>
      </w:r>
      <w:r>
        <w:rPr>
          <w:rFonts w:ascii="Arial" w:hAnsi="Arial" w:cs="Arial"/>
        </w:rPr>
        <w:t xml:space="preserve"> and the link between these two is the </w:t>
      </w:r>
      <w:r w:rsidRPr="00E9369E">
        <w:rPr>
          <w:rFonts w:ascii="Arial" w:hAnsi="Arial" w:cs="Arial"/>
          <w:i/>
          <w:iCs/>
        </w:rPr>
        <w:t>theology of the bridge</w:t>
      </w:r>
      <w:r>
        <w:rPr>
          <w:rFonts w:ascii="Arial" w:hAnsi="Arial" w:cs="Arial"/>
          <w:i/>
          <w:iCs/>
        </w:rPr>
        <w:t>.</w:t>
      </w:r>
    </w:p>
    <w:p w14:paraId="5880A637" w14:textId="3F6BB170" w:rsidR="00A8160A" w:rsidRDefault="00A8160A" w:rsidP="00A8160A">
      <w:pPr>
        <w:rPr>
          <w:rFonts w:ascii="Arial" w:hAnsi="Arial" w:cs="Arial"/>
        </w:rPr>
      </w:pPr>
    </w:p>
    <w:p w14:paraId="2182EB55" w14:textId="2A5532E3" w:rsidR="00BD158C" w:rsidRDefault="00BD158C" w:rsidP="00A8160A">
      <w:pPr>
        <w:rPr>
          <w:rFonts w:ascii="Arial" w:hAnsi="Arial" w:cs="Arial"/>
        </w:rPr>
      </w:pPr>
      <w:r>
        <w:rPr>
          <w:rFonts w:ascii="Arial" w:hAnsi="Arial" w:cs="Arial"/>
        </w:rPr>
        <w:t>The analogy of the bridge is one which can cross-over a divide and link two areas together in contrast to emphasising the differences which separate</w:t>
      </w:r>
      <w:r w:rsidR="007B6084">
        <w:rPr>
          <w:rFonts w:ascii="Arial" w:hAnsi="Arial" w:cs="Arial"/>
        </w:rPr>
        <w:t xml:space="preserve"> both </w:t>
      </w:r>
      <w:r w:rsidR="00A62F8A">
        <w:rPr>
          <w:rFonts w:ascii="Arial" w:hAnsi="Arial" w:cs="Arial"/>
        </w:rPr>
        <w:t>entities</w:t>
      </w:r>
      <w:r>
        <w:rPr>
          <w:rFonts w:ascii="Arial" w:hAnsi="Arial" w:cs="Arial"/>
        </w:rPr>
        <w:t>.</w:t>
      </w:r>
    </w:p>
    <w:p w14:paraId="2803E7B5" w14:textId="1E48B2AF" w:rsidR="00BD158C" w:rsidRDefault="00303E31" w:rsidP="00A8160A">
      <w:pPr>
        <w:rPr>
          <w:rFonts w:ascii="Arial" w:hAnsi="Arial" w:cs="Arial"/>
        </w:rPr>
      </w:pPr>
      <w:r>
        <w:rPr>
          <w:rFonts w:ascii="Arial" w:hAnsi="Arial" w:cs="Arial"/>
        </w:rPr>
        <w:t xml:space="preserve">Bauschke(2008) suggests that “the plurality of different images of God is a characteristic even of the Bible and the Qur’an”(p.198). These different images ,he states, do not suggest different gods and maintains that we can only maintain meaningful interfaith dialogue if both Christians and Muslims acknowledge that “God is the one and the same God”(p.198). He also refers to a bridge between the Christian and Muslim religions and warns </w:t>
      </w:r>
      <w:r w:rsidR="007B6084">
        <w:rPr>
          <w:rFonts w:ascii="Arial" w:hAnsi="Arial" w:cs="Arial"/>
        </w:rPr>
        <w:t>“</w:t>
      </w:r>
      <w:r>
        <w:rPr>
          <w:rFonts w:ascii="Arial" w:hAnsi="Arial" w:cs="Arial"/>
        </w:rPr>
        <w:t>that if Muslim and Christians are not at peace ,the world cannot be at peace—“(p.205).</w:t>
      </w:r>
    </w:p>
    <w:p w14:paraId="144CC43F" w14:textId="77777777" w:rsidR="00303E31" w:rsidRDefault="00303E31" w:rsidP="00A8160A">
      <w:pPr>
        <w:rPr>
          <w:rFonts w:ascii="Arial" w:hAnsi="Arial" w:cs="Arial"/>
        </w:rPr>
      </w:pPr>
    </w:p>
    <w:p w14:paraId="5DD3F1F1" w14:textId="5D112B47" w:rsidR="00B456E6" w:rsidRDefault="00CE5AA4" w:rsidP="009A6EB8">
      <w:pPr>
        <w:rPr>
          <w:rFonts w:ascii="Arial" w:hAnsi="Arial" w:cs="Arial"/>
        </w:rPr>
      </w:pPr>
      <w:r>
        <w:rPr>
          <w:rFonts w:ascii="Arial" w:hAnsi="Arial" w:cs="Arial"/>
        </w:rPr>
        <w:t>In con</w:t>
      </w:r>
      <w:r w:rsidR="00B456E6">
        <w:rPr>
          <w:rFonts w:ascii="Arial" w:hAnsi="Arial" w:cs="Arial"/>
        </w:rPr>
        <w:t>clusion, h</w:t>
      </w:r>
      <w:r>
        <w:rPr>
          <w:rFonts w:ascii="Arial" w:hAnsi="Arial" w:cs="Arial"/>
        </w:rPr>
        <w:t xml:space="preserve">aving begun the journey of understanding </w:t>
      </w:r>
      <w:r w:rsidR="00B456E6">
        <w:rPr>
          <w:rFonts w:ascii="Arial" w:hAnsi="Arial" w:cs="Arial"/>
        </w:rPr>
        <w:t xml:space="preserve">through </w:t>
      </w:r>
      <w:r>
        <w:rPr>
          <w:rFonts w:ascii="Arial" w:hAnsi="Arial" w:cs="Arial"/>
        </w:rPr>
        <w:t>studying the historical influence of the Crusades</w:t>
      </w:r>
      <w:r w:rsidR="00B456E6">
        <w:rPr>
          <w:rFonts w:ascii="Arial" w:hAnsi="Arial" w:cs="Arial"/>
        </w:rPr>
        <w:t xml:space="preserve"> to now gaining a deeper understanding of the theological contrast between Christianity and Islam</w:t>
      </w:r>
      <w:r w:rsidR="00C53926">
        <w:rPr>
          <w:rFonts w:ascii="Arial" w:hAnsi="Arial" w:cs="Arial"/>
        </w:rPr>
        <w:t>,</w:t>
      </w:r>
      <w:r w:rsidR="00C10411">
        <w:rPr>
          <w:rFonts w:ascii="Arial" w:hAnsi="Arial" w:cs="Arial"/>
        </w:rPr>
        <w:t xml:space="preserve"> </w:t>
      </w:r>
      <w:r w:rsidR="00B456E6">
        <w:rPr>
          <w:rFonts w:ascii="Arial" w:hAnsi="Arial" w:cs="Arial"/>
        </w:rPr>
        <w:t xml:space="preserve">will create a foundation </w:t>
      </w:r>
      <w:r w:rsidR="005938CA">
        <w:rPr>
          <w:rFonts w:ascii="Arial" w:hAnsi="Arial" w:cs="Arial"/>
        </w:rPr>
        <w:t xml:space="preserve">to </w:t>
      </w:r>
      <w:r w:rsidR="00B456E6">
        <w:rPr>
          <w:rFonts w:ascii="Arial" w:hAnsi="Arial" w:cs="Arial"/>
        </w:rPr>
        <w:t xml:space="preserve">explore contemporary interactions between Christian and Islamic communities. </w:t>
      </w:r>
    </w:p>
    <w:p w14:paraId="355A7130" w14:textId="77777777" w:rsidR="00B456E6" w:rsidRDefault="00B456E6" w:rsidP="009A6EB8">
      <w:pPr>
        <w:rPr>
          <w:rFonts w:ascii="Arial" w:hAnsi="Arial" w:cs="Arial"/>
        </w:rPr>
      </w:pPr>
    </w:p>
    <w:p w14:paraId="39256AB0" w14:textId="629AA0B4" w:rsidR="003B4945" w:rsidRDefault="00B456E6" w:rsidP="009A6EB8">
      <w:pPr>
        <w:rPr>
          <w:rFonts w:ascii="Arial" w:hAnsi="Arial" w:cs="Arial"/>
        </w:rPr>
      </w:pPr>
      <w:r w:rsidRPr="00B456E6">
        <w:rPr>
          <w:rFonts w:ascii="Arial" w:hAnsi="Arial" w:cs="Arial"/>
          <w:b/>
          <w:bCs/>
        </w:rPr>
        <w:t>Word Count</w:t>
      </w:r>
      <w:r>
        <w:rPr>
          <w:rFonts w:ascii="Arial" w:hAnsi="Arial" w:cs="Arial"/>
        </w:rPr>
        <w:t>:</w:t>
      </w:r>
      <w:r w:rsidR="00CE5AA4">
        <w:rPr>
          <w:rFonts w:ascii="Arial" w:hAnsi="Arial" w:cs="Arial"/>
        </w:rPr>
        <w:t xml:space="preserve"> </w:t>
      </w:r>
      <w:r w:rsidRPr="00B456E6">
        <w:rPr>
          <w:rFonts w:ascii="Arial" w:hAnsi="Arial" w:cs="Arial"/>
          <w:b/>
          <w:bCs/>
        </w:rPr>
        <w:t>1</w:t>
      </w:r>
      <w:r w:rsidR="00C10411">
        <w:rPr>
          <w:rFonts w:ascii="Arial" w:hAnsi="Arial" w:cs="Arial"/>
          <w:b/>
          <w:bCs/>
        </w:rPr>
        <w:t>499</w:t>
      </w:r>
      <w:r w:rsidRPr="00B456E6">
        <w:rPr>
          <w:rFonts w:ascii="Arial" w:hAnsi="Arial" w:cs="Arial"/>
          <w:b/>
          <w:bCs/>
        </w:rPr>
        <w:t>: Sian Owen: Student 2007506</w:t>
      </w:r>
    </w:p>
    <w:p w14:paraId="5C326D9B" w14:textId="15A3B1A5" w:rsidR="003B4945" w:rsidRDefault="003B4945" w:rsidP="009A6EB8">
      <w:pPr>
        <w:rPr>
          <w:rFonts w:ascii="Arial" w:hAnsi="Arial" w:cs="Arial"/>
        </w:rPr>
      </w:pPr>
    </w:p>
    <w:p w14:paraId="43E2D4B8" w14:textId="70075F26" w:rsidR="003B4945" w:rsidRDefault="003B4945" w:rsidP="009A6EB8">
      <w:pPr>
        <w:rPr>
          <w:rFonts w:ascii="Arial" w:hAnsi="Arial" w:cs="Arial"/>
        </w:rPr>
      </w:pPr>
    </w:p>
    <w:p w14:paraId="65DA1982" w14:textId="7B116EDC" w:rsidR="003B4945" w:rsidRDefault="003B4945" w:rsidP="009A6EB8">
      <w:pPr>
        <w:rPr>
          <w:rFonts w:ascii="Arial" w:hAnsi="Arial" w:cs="Arial"/>
        </w:rPr>
      </w:pPr>
    </w:p>
    <w:p w14:paraId="66D6D792" w14:textId="5B18DA5F" w:rsidR="003B4945" w:rsidRDefault="003B4945" w:rsidP="009A6EB8">
      <w:pPr>
        <w:rPr>
          <w:rFonts w:ascii="Arial" w:hAnsi="Arial" w:cs="Arial"/>
        </w:rPr>
      </w:pPr>
    </w:p>
    <w:p w14:paraId="637E62A6" w14:textId="029B68FA" w:rsidR="003B4945" w:rsidRDefault="003B4945" w:rsidP="009A6EB8">
      <w:pPr>
        <w:rPr>
          <w:rFonts w:ascii="Arial" w:hAnsi="Arial" w:cs="Arial"/>
        </w:rPr>
      </w:pPr>
    </w:p>
    <w:p w14:paraId="1F16FD2A" w14:textId="4FFAEC88" w:rsidR="003B4945" w:rsidRDefault="003B4945" w:rsidP="009A6EB8">
      <w:pPr>
        <w:rPr>
          <w:rFonts w:ascii="Arial" w:hAnsi="Arial" w:cs="Arial"/>
        </w:rPr>
      </w:pPr>
    </w:p>
    <w:p w14:paraId="39A61BA4" w14:textId="77777777" w:rsidR="008B560B" w:rsidRDefault="008B560B" w:rsidP="008B560B">
      <w:pPr>
        <w:pStyle w:val="ListParagraph"/>
        <w:rPr>
          <w:rFonts w:ascii="Arial" w:hAnsi="Arial" w:cs="Arial"/>
        </w:rPr>
      </w:pPr>
    </w:p>
    <w:p w14:paraId="56A04202" w14:textId="77777777" w:rsidR="00C10411" w:rsidRDefault="00C10411" w:rsidP="00653A09">
      <w:pPr>
        <w:autoSpaceDE w:val="0"/>
        <w:autoSpaceDN w:val="0"/>
        <w:adjustRightInd w:val="0"/>
        <w:spacing w:after="240" w:line="360" w:lineRule="auto"/>
        <w:rPr>
          <w:rFonts w:ascii="Arial" w:hAnsi="Arial" w:cs="Arial"/>
          <w:b/>
          <w:bCs/>
          <w:sz w:val="28"/>
          <w:szCs w:val="28"/>
        </w:rPr>
      </w:pPr>
    </w:p>
    <w:p w14:paraId="2EC48A4C" w14:textId="6113FB65" w:rsidR="00653A09" w:rsidRPr="00872119" w:rsidRDefault="00653A09" w:rsidP="00653A09">
      <w:pPr>
        <w:autoSpaceDE w:val="0"/>
        <w:autoSpaceDN w:val="0"/>
        <w:adjustRightInd w:val="0"/>
        <w:spacing w:after="240" w:line="360" w:lineRule="auto"/>
        <w:rPr>
          <w:rFonts w:ascii="Arial" w:hAnsi="Arial" w:cs="Arial"/>
          <w:b/>
          <w:bCs/>
          <w:sz w:val="28"/>
          <w:szCs w:val="28"/>
        </w:rPr>
      </w:pPr>
      <w:r w:rsidRPr="00872119">
        <w:rPr>
          <w:rFonts w:ascii="Arial" w:hAnsi="Arial" w:cs="Arial"/>
          <w:b/>
          <w:bCs/>
          <w:sz w:val="28"/>
          <w:szCs w:val="28"/>
        </w:rPr>
        <w:lastRenderedPageBreak/>
        <w:t>Reference list:</w:t>
      </w:r>
    </w:p>
    <w:p w14:paraId="44FA5722" w14:textId="77777777" w:rsidR="00653A09" w:rsidRPr="00653A09" w:rsidRDefault="00653A09" w:rsidP="00653A09">
      <w:pPr>
        <w:autoSpaceDE w:val="0"/>
        <w:autoSpaceDN w:val="0"/>
        <w:adjustRightInd w:val="0"/>
        <w:spacing w:after="240" w:line="360" w:lineRule="auto"/>
        <w:rPr>
          <w:rFonts w:ascii="Arial" w:hAnsi="Arial" w:cs="Arial"/>
        </w:rPr>
      </w:pPr>
      <w:r w:rsidRPr="00653A09">
        <w:rPr>
          <w:rFonts w:ascii="Arial" w:hAnsi="Arial" w:cs="Arial"/>
        </w:rPr>
        <w:t xml:space="preserve">Ali, Z. (2016). Concepts of God in Islam. </w:t>
      </w:r>
      <w:r w:rsidRPr="00653A09">
        <w:rPr>
          <w:rFonts w:ascii="Arial" w:hAnsi="Arial" w:cs="Arial"/>
          <w:i/>
          <w:iCs/>
        </w:rPr>
        <w:t>Philosophy Compass</w:t>
      </w:r>
      <w:r w:rsidRPr="00653A09">
        <w:rPr>
          <w:rFonts w:ascii="Arial" w:hAnsi="Arial" w:cs="Arial"/>
        </w:rPr>
        <w:t>, 11(12), pp.892–904.</w:t>
      </w:r>
    </w:p>
    <w:p w14:paraId="52ED7ECE" w14:textId="77777777" w:rsidR="00653A09" w:rsidRPr="00653A09" w:rsidRDefault="00653A09" w:rsidP="00653A09">
      <w:pPr>
        <w:autoSpaceDE w:val="0"/>
        <w:autoSpaceDN w:val="0"/>
        <w:adjustRightInd w:val="0"/>
        <w:spacing w:after="240" w:line="360" w:lineRule="auto"/>
        <w:rPr>
          <w:rFonts w:ascii="Arial" w:hAnsi="Arial" w:cs="Arial"/>
        </w:rPr>
      </w:pPr>
      <w:proofErr w:type="spellStart"/>
      <w:r w:rsidRPr="00653A09">
        <w:rPr>
          <w:rFonts w:ascii="Arial" w:hAnsi="Arial" w:cs="Arial"/>
        </w:rPr>
        <w:t>Almirzanah</w:t>
      </w:r>
      <w:proofErr w:type="spellEnd"/>
      <w:r w:rsidRPr="00653A09">
        <w:rPr>
          <w:rFonts w:ascii="Arial" w:hAnsi="Arial" w:cs="Arial"/>
        </w:rPr>
        <w:t xml:space="preserve">, S. (2021). Many ways to God, many ways to salvation (A conversation on Isaiah 56:1–8 with Islamic tradition). </w:t>
      </w:r>
      <w:r w:rsidRPr="00653A09">
        <w:rPr>
          <w:rFonts w:ascii="Arial" w:hAnsi="Arial" w:cs="Arial"/>
          <w:i/>
          <w:iCs/>
        </w:rPr>
        <w:t xml:space="preserve">HTS </w:t>
      </w:r>
      <w:proofErr w:type="spellStart"/>
      <w:r w:rsidRPr="00653A09">
        <w:rPr>
          <w:rFonts w:ascii="Arial" w:hAnsi="Arial" w:cs="Arial"/>
          <w:i/>
          <w:iCs/>
        </w:rPr>
        <w:t>Teologiese</w:t>
      </w:r>
      <w:proofErr w:type="spellEnd"/>
      <w:r w:rsidRPr="00653A09">
        <w:rPr>
          <w:rFonts w:ascii="Arial" w:hAnsi="Arial" w:cs="Arial"/>
          <w:i/>
          <w:iCs/>
        </w:rPr>
        <w:t xml:space="preserve"> Studies / Theological Studies</w:t>
      </w:r>
      <w:r w:rsidRPr="00653A09">
        <w:rPr>
          <w:rFonts w:ascii="Arial" w:hAnsi="Arial" w:cs="Arial"/>
        </w:rPr>
        <w:t>, 77(2).</w:t>
      </w:r>
    </w:p>
    <w:p w14:paraId="7C267B4D" w14:textId="77777777" w:rsidR="00653A09" w:rsidRPr="00653A09" w:rsidRDefault="00653A09" w:rsidP="00653A09">
      <w:pPr>
        <w:autoSpaceDE w:val="0"/>
        <w:autoSpaceDN w:val="0"/>
        <w:adjustRightInd w:val="0"/>
        <w:spacing w:after="240" w:line="360" w:lineRule="auto"/>
        <w:rPr>
          <w:rFonts w:ascii="Arial" w:hAnsi="Arial" w:cs="Arial"/>
        </w:rPr>
      </w:pPr>
      <w:r w:rsidRPr="00653A09">
        <w:rPr>
          <w:rFonts w:ascii="Arial" w:hAnsi="Arial" w:cs="Arial"/>
        </w:rPr>
        <w:t xml:space="preserve">Ayres, L. (2012). Augustine on the Trinity. In: G. Emery and M. Levering, eds., </w:t>
      </w:r>
      <w:r w:rsidRPr="00653A09">
        <w:rPr>
          <w:rFonts w:ascii="Arial" w:hAnsi="Arial" w:cs="Arial"/>
          <w:i/>
          <w:iCs/>
        </w:rPr>
        <w:t>The Oxford Handbook of the Trinity</w:t>
      </w:r>
      <w:r w:rsidRPr="00653A09">
        <w:rPr>
          <w:rFonts w:ascii="Arial" w:hAnsi="Arial" w:cs="Arial"/>
        </w:rPr>
        <w:t>. Oxford University press.</w:t>
      </w:r>
    </w:p>
    <w:p w14:paraId="6B552A56" w14:textId="77777777" w:rsidR="00653A09" w:rsidRPr="00653A09" w:rsidRDefault="00653A09" w:rsidP="00653A09">
      <w:pPr>
        <w:autoSpaceDE w:val="0"/>
        <w:autoSpaceDN w:val="0"/>
        <w:adjustRightInd w:val="0"/>
        <w:spacing w:after="240" w:line="360" w:lineRule="auto"/>
        <w:rPr>
          <w:rFonts w:ascii="Arial" w:hAnsi="Arial" w:cs="Arial"/>
        </w:rPr>
      </w:pPr>
      <w:proofErr w:type="spellStart"/>
      <w:r w:rsidRPr="00653A09">
        <w:rPr>
          <w:rFonts w:ascii="Arial" w:hAnsi="Arial" w:cs="Arial"/>
        </w:rPr>
        <w:t>Bauschke</w:t>
      </w:r>
      <w:proofErr w:type="spellEnd"/>
      <w:r w:rsidRPr="00653A09">
        <w:rPr>
          <w:rFonts w:ascii="Arial" w:hAnsi="Arial" w:cs="Arial"/>
        </w:rPr>
        <w:t xml:space="preserve">, M. (2008). Islam: Jesus and Mohammad as Brothers. In: </w:t>
      </w:r>
      <w:r w:rsidRPr="00653A09">
        <w:rPr>
          <w:rFonts w:ascii="Arial" w:hAnsi="Arial" w:cs="Arial"/>
          <w:i/>
          <w:iCs/>
        </w:rPr>
        <w:t>Christian Approaches to Other Faiths</w:t>
      </w:r>
      <w:r w:rsidRPr="00653A09">
        <w:rPr>
          <w:rFonts w:ascii="Arial" w:hAnsi="Arial" w:cs="Arial"/>
        </w:rPr>
        <w:t>. SCM Press.</w:t>
      </w:r>
    </w:p>
    <w:p w14:paraId="3D461EB4" w14:textId="77777777" w:rsidR="00653A09" w:rsidRPr="00653A09" w:rsidRDefault="00653A09" w:rsidP="00653A09">
      <w:pPr>
        <w:autoSpaceDE w:val="0"/>
        <w:autoSpaceDN w:val="0"/>
        <w:adjustRightInd w:val="0"/>
        <w:spacing w:after="240" w:line="360" w:lineRule="auto"/>
        <w:rPr>
          <w:rFonts w:ascii="Arial" w:hAnsi="Arial" w:cs="Arial"/>
        </w:rPr>
      </w:pPr>
      <w:r w:rsidRPr="00653A09">
        <w:rPr>
          <w:rFonts w:ascii="Arial" w:hAnsi="Arial" w:cs="Arial"/>
        </w:rPr>
        <w:t xml:space="preserve">Beaumont, M. (2012). Speaking of the Triune God: Christian Defence of the Trinity in the Early Islamic Period. </w:t>
      </w:r>
      <w:r w:rsidRPr="00653A09">
        <w:rPr>
          <w:rFonts w:ascii="Arial" w:hAnsi="Arial" w:cs="Arial"/>
          <w:i/>
          <w:iCs/>
        </w:rPr>
        <w:t>Transformation: An International Journal of Holistic Mission Studies</w:t>
      </w:r>
      <w:r w:rsidRPr="00653A09">
        <w:rPr>
          <w:rFonts w:ascii="Arial" w:hAnsi="Arial" w:cs="Arial"/>
        </w:rPr>
        <w:t>, 29(2), pp.111–127.</w:t>
      </w:r>
    </w:p>
    <w:p w14:paraId="4614A3CD" w14:textId="77777777" w:rsidR="00653A09" w:rsidRPr="00653A09" w:rsidRDefault="00653A09" w:rsidP="00653A09">
      <w:pPr>
        <w:autoSpaceDE w:val="0"/>
        <w:autoSpaceDN w:val="0"/>
        <w:adjustRightInd w:val="0"/>
        <w:spacing w:after="240" w:line="360" w:lineRule="auto"/>
        <w:rPr>
          <w:rFonts w:ascii="Arial" w:hAnsi="Arial" w:cs="Arial"/>
        </w:rPr>
      </w:pPr>
      <w:r w:rsidRPr="00653A09">
        <w:rPr>
          <w:rFonts w:ascii="Arial" w:hAnsi="Arial" w:cs="Arial"/>
        </w:rPr>
        <w:t xml:space="preserve">Beyers J (2017). </w:t>
      </w:r>
      <w:r w:rsidRPr="00653A09">
        <w:rPr>
          <w:rFonts w:ascii="Arial" w:hAnsi="Arial" w:cs="Arial"/>
          <w:i/>
          <w:iCs/>
        </w:rPr>
        <w:t>Perspectives on theology of religions</w:t>
      </w:r>
      <w:r w:rsidRPr="00653A09">
        <w:rPr>
          <w:rFonts w:ascii="Arial" w:hAnsi="Arial" w:cs="Arial"/>
        </w:rPr>
        <w:t xml:space="preserve">. Durbanville, South Africa: </w:t>
      </w:r>
      <w:proofErr w:type="spellStart"/>
      <w:r w:rsidRPr="00653A09">
        <w:rPr>
          <w:rFonts w:ascii="Arial" w:hAnsi="Arial" w:cs="Arial"/>
        </w:rPr>
        <w:t>Aosis</w:t>
      </w:r>
      <w:proofErr w:type="spellEnd"/>
      <w:r w:rsidRPr="00653A09">
        <w:rPr>
          <w:rFonts w:ascii="Arial" w:hAnsi="Arial" w:cs="Arial"/>
        </w:rPr>
        <w:t>.</w:t>
      </w:r>
    </w:p>
    <w:p w14:paraId="20DCC318" w14:textId="77777777" w:rsidR="00653A09" w:rsidRPr="00653A09" w:rsidRDefault="00653A09" w:rsidP="00653A09">
      <w:pPr>
        <w:autoSpaceDE w:val="0"/>
        <w:autoSpaceDN w:val="0"/>
        <w:adjustRightInd w:val="0"/>
        <w:spacing w:after="240" w:line="360" w:lineRule="auto"/>
        <w:rPr>
          <w:rFonts w:ascii="Arial" w:hAnsi="Arial" w:cs="Arial"/>
        </w:rPr>
      </w:pPr>
      <w:proofErr w:type="spellStart"/>
      <w:r w:rsidRPr="00653A09">
        <w:rPr>
          <w:rFonts w:ascii="Arial" w:hAnsi="Arial" w:cs="Arial"/>
        </w:rPr>
        <w:t>Birkel</w:t>
      </w:r>
      <w:proofErr w:type="spellEnd"/>
      <w:r w:rsidRPr="00653A09">
        <w:rPr>
          <w:rFonts w:ascii="Arial" w:hAnsi="Arial" w:cs="Arial"/>
        </w:rPr>
        <w:t xml:space="preserve">, M. (2018). A Pedagogy of Listening-Teaching the Qur’an to Non-Muslims. In: E. Patel, J. Peace and N. Silverman, eds., </w:t>
      </w:r>
      <w:r w:rsidRPr="00653A09">
        <w:rPr>
          <w:rFonts w:ascii="Arial" w:hAnsi="Arial" w:cs="Arial"/>
          <w:i/>
          <w:iCs/>
        </w:rPr>
        <w:t>Interreligious/Interfaith Studies-Defining a New Field</w:t>
      </w:r>
      <w:r w:rsidRPr="00653A09">
        <w:rPr>
          <w:rFonts w:ascii="Arial" w:hAnsi="Arial" w:cs="Arial"/>
        </w:rPr>
        <w:t>. Beacon Press.</w:t>
      </w:r>
    </w:p>
    <w:p w14:paraId="50353E78" w14:textId="77777777" w:rsidR="00653A09" w:rsidRPr="00653A09" w:rsidRDefault="00653A09" w:rsidP="00653A09">
      <w:pPr>
        <w:autoSpaceDE w:val="0"/>
        <w:autoSpaceDN w:val="0"/>
        <w:adjustRightInd w:val="0"/>
        <w:spacing w:after="240" w:line="360" w:lineRule="auto"/>
        <w:rPr>
          <w:rFonts w:ascii="Arial" w:hAnsi="Arial" w:cs="Arial"/>
        </w:rPr>
      </w:pPr>
      <w:r w:rsidRPr="00653A09">
        <w:rPr>
          <w:rFonts w:ascii="Arial" w:hAnsi="Arial" w:cs="Arial"/>
        </w:rPr>
        <w:t xml:space="preserve">Burge, S.R. (2020). Doctrine and Dogma in the Qur’an. In: </w:t>
      </w:r>
      <w:r w:rsidRPr="00653A09">
        <w:rPr>
          <w:rFonts w:ascii="Arial" w:hAnsi="Arial" w:cs="Arial"/>
          <w:i/>
          <w:iCs/>
        </w:rPr>
        <w:t xml:space="preserve">The Oxford handbook of </w:t>
      </w:r>
      <w:proofErr w:type="spellStart"/>
      <w:r w:rsidRPr="00653A09">
        <w:rPr>
          <w:rFonts w:ascii="Arial" w:hAnsi="Arial" w:cs="Arial"/>
          <w:i/>
          <w:iCs/>
        </w:rPr>
        <w:t>Qurʼanic</w:t>
      </w:r>
      <w:proofErr w:type="spellEnd"/>
      <w:r w:rsidRPr="00653A09">
        <w:rPr>
          <w:rFonts w:ascii="Arial" w:hAnsi="Arial" w:cs="Arial"/>
          <w:i/>
          <w:iCs/>
        </w:rPr>
        <w:t xml:space="preserve"> studies</w:t>
      </w:r>
      <w:r w:rsidRPr="00653A09">
        <w:rPr>
          <w:rFonts w:ascii="Arial" w:hAnsi="Arial" w:cs="Arial"/>
        </w:rPr>
        <w:t xml:space="preserve">. New York, New York, United States </w:t>
      </w:r>
      <w:proofErr w:type="gramStart"/>
      <w:r w:rsidRPr="00653A09">
        <w:rPr>
          <w:rFonts w:ascii="Arial" w:hAnsi="Arial" w:cs="Arial"/>
        </w:rPr>
        <w:t>Of</w:t>
      </w:r>
      <w:proofErr w:type="gramEnd"/>
      <w:r w:rsidRPr="00653A09">
        <w:rPr>
          <w:rFonts w:ascii="Arial" w:hAnsi="Arial" w:cs="Arial"/>
        </w:rPr>
        <w:t xml:space="preserve"> America: Oxford University Press.</w:t>
      </w:r>
    </w:p>
    <w:p w14:paraId="25AA57C3" w14:textId="77777777" w:rsidR="00653A09" w:rsidRPr="00653A09" w:rsidRDefault="00653A09" w:rsidP="00653A09">
      <w:pPr>
        <w:autoSpaceDE w:val="0"/>
        <w:autoSpaceDN w:val="0"/>
        <w:adjustRightInd w:val="0"/>
        <w:spacing w:after="240" w:line="360" w:lineRule="auto"/>
        <w:rPr>
          <w:rFonts w:ascii="Arial" w:hAnsi="Arial" w:cs="Arial"/>
        </w:rPr>
      </w:pPr>
      <w:r w:rsidRPr="00653A09">
        <w:rPr>
          <w:rFonts w:ascii="Arial" w:hAnsi="Arial" w:cs="Arial"/>
        </w:rPr>
        <w:t xml:space="preserve">Emery, G. and Levering, M. (2014). </w:t>
      </w:r>
      <w:r w:rsidRPr="00653A09">
        <w:rPr>
          <w:rFonts w:ascii="Arial" w:hAnsi="Arial" w:cs="Arial"/>
          <w:i/>
          <w:iCs/>
        </w:rPr>
        <w:t>The Oxford handbook of the Trinity</w:t>
      </w:r>
      <w:r w:rsidRPr="00653A09">
        <w:rPr>
          <w:rFonts w:ascii="Arial" w:hAnsi="Arial" w:cs="Arial"/>
        </w:rPr>
        <w:t>. Oxford: Oxford University Press.</w:t>
      </w:r>
    </w:p>
    <w:p w14:paraId="12F5A956" w14:textId="77777777" w:rsidR="00653A09" w:rsidRPr="00653A09" w:rsidRDefault="00653A09" w:rsidP="00653A09">
      <w:pPr>
        <w:autoSpaceDE w:val="0"/>
        <w:autoSpaceDN w:val="0"/>
        <w:adjustRightInd w:val="0"/>
        <w:spacing w:after="240" w:line="360" w:lineRule="auto"/>
        <w:rPr>
          <w:rFonts w:ascii="Arial" w:hAnsi="Arial" w:cs="Arial"/>
        </w:rPr>
      </w:pPr>
      <w:proofErr w:type="spellStart"/>
      <w:r w:rsidRPr="00653A09">
        <w:rPr>
          <w:rFonts w:ascii="Arial" w:hAnsi="Arial" w:cs="Arial"/>
        </w:rPr>
        <w:t>Galonnier</w:t>
      </w:r>
      <w:proofErr w:type="spellEnd"/>
      <w:r w:rsidRPr="00653A09">
        <w:rPr>
          <w:rFonts w:ascii="Arial" w:hAnsi="Arial" w:cs="Arial"/>
        </w:rPr>
        <w:t xml:space="preserve">, J. and de los Rios, D. (2015). Teaching and Learning to Be Religious: Pedagogies of Conversion to Islam and Christianity. </w:t>
      </w:r>
      <w:r w:rsidRPr="00653A09">
        <w:rPr>
          <w:rFonts w:ascii="Arial" w:hAnsi="Arial" w:cs="Arial"/>
          <w:i/>
          <w:iCs/>
        </w:rPr>
        <w:t>Sociology of Religion</w:t>
      </w:r>
      <w:r w:rsidRPr="00653A09">
        <w:rPr>
          <w:rFonts w:ascii="Arial" w:hAnsi="Arial" w:cs="Arial"/>
        </w:rPr>
        <w:t>, 77(1), pp.59–81.</w:t>
      </w:r>
    </w:p>
    <w:p w14:paraId="756E0561" w14:textId="77777777" w:rsidR="00653A09" w:rsidRPr="00653A09" w:rsidRDefault="00653A09" w:rsidP="00653A09">
      <w:pPr>
        <w:autoSpaceDE w:val="0"/>
        <w:autoSpaceDN w:val="0"/>
        <w:adjustRightInd w:val="0"/>
        <w:spacing w:after="240" w:line="360" w:lineRule="auto"/>
        <w:rPr>
          <w:rFonts w:ascii="Arial" w:hAnsi="Arial" w:cs="Arial"/>
        </w:rPr>
      </w:pPr>
      <w:proofErr w:type="spellStart"/>
      <w:r w:rsidRPr="00653A09">
        <w:rPr>
          <w:rFonts w:ascii="Arial" w:hAnsi="Arial" w:cs="Arial"/>
        </w:rPr>
        <w:t>Harcet</w:t>
      </w:r>
      <w:proofErr w:type="spellEnd"/>
      <w:r w:rsidRPr="00653A09">
        <w:rPr>
          <w:rFonts w:ascii="Arial" w:hAnsi="Arial" w:cs="Arial"/>
        </w:rPr>
        <w:t xml:space="preserve">, M. (2014). Perception of Islamic Soteriology and its Interpretations. </w:t>
      </w:r>
      <w:r w:rsidRPr="00653A09">
        <w:rPr>
          <w:rFonts w:ascii="Arial" w:hAnsi="Arial" w:cs="Arial"/>
          <w:i/>
          <w:iCs/>
        </w:rPr>
        <w:t>Journal for the Study of Religions and Ideologies</w:t>
      </w:r>
      <w:r w:rsidRPr="00653A09">
        <w:rPr>
          <w:rFonts w:ascii="Arial" w:hAnsi="Arial" w:cs="Arial"/>
        </w:rPr>
        <w:t>, 3(38), pp.39–56.</w:t>
      </w:r>
    </w:p>
    <w:p w14:paraId="18D162D6" w14:textId="77777777" w:rsidR="00653A09" w:rsidRPr="00653A09" w:rsidRDefault="00653A09" w:rsidP="00653A09">
      <w:pPr>
        <w:autoSpaceDE w:val="0"/>
        <w:autoSpaceDN w:val="0"/>
        <w:adjustRightInd w:val="0"/>
        <w:spacing w:after="240" w:line="360" w:lineRule="auto"/>
        <w:rPr>
          <w:rFonts w:ascii="Arial" w:hAnsi="Arial" w:cs="Arial"/>
        </w:rPr>
      </w:pPr>
      <w:proofErr w:type="spellStart"/>
      <w:r w:rsidRPr="00653A09">
        <w:rPr>
          <w:rFonts w:ascii="Arial" w:hAnsi="Arial" w:cs="Arial"/>
        </w:rPr>
        <w:lastRenderedPageBreak/>
        <w:t>Kirabaev</w:t>
      </w:r>
      <w:proofErr w:type="spellEnd"/>
      <w:r w:rsidRPr="00653A09">
        <w:rPr>
          <w:rFonts w:ascii="Arial" w:hAnsi="Arial" w:cs="Arial"/>
        </w:rPr>
        <w:t xml:space="preserve">, N. and </w:t>
      </w:r>
      <w:proofErr w:type="spellStart"/>
      <w:r w:rsidRPr="00653A09">
        <w:rPr>
          <w:rFonts w:ascii="Arial" w:hAnsi="Arial" w:cs="Arial"/>
        </w:rPr>
        <w:t>Chistyakova</w:t>
      </w:r>
      <w:proofErr w:type="spellEnd"/>
      <w:r w:rsidRPr="00653A09">
        <w:rPr>
          <w:rFonts w:ascii="Arial" w:hAnsi="Arial" w:cs="Arial"/>
        </w:rPr>
        <w:t xml:space="preserve">, O. (2020). Knowing God in Eastern Christianity and Islamic Tradition: A Comparative Study. </w:t>
      </w:r>
      <w:r w:rsidRPr="00653A09">
        <w:rPr>
          <w:rFonts w:ascii="Arial" w:hAnsi="Arial" w:cs="Arial"/>
          <w:i/>
          <w:iCs/>
        </w:rPr>
        <w:t>Religions</w:t>
      </w:r>
      <w:r w:rsidRPr="00653A09">
        <w:rPr>
          <w:rFonts w:ascii="Arial" w:hAnsi="Arial" w:cs="Arial"/>
        </w:rPr>
        <w:t>, 11(12), p.675.</w:t>
      </w:r>
    </w:p>
    <w:p w14:paraId="33C96450" w14:textId="77777777" w:rsidR="00653A09" w:rsidRPr="00653A09" w:rsidRDefault="00653A09" w:rsidP="00653A09">
      <w:pPr>
        <w:autoSpaceDE w:val="0"/>
        <w:autoSpaceDN w:val="0"/>
        <w:adjustRightInd w:val="0"/>
        <w:spacing w:after="240" w:line="360" w:lineRule="auto"/>
        <w:rPr>
          <w:rFonts w:ascii="Arial" w:hAnsi="Arial" w:cs="Arial"/>
        </w:rPr>
      </w:pPr>
      <w:r w:rsidRPr="00653A09">
        <w:rPr>
          <w:rFonts w:ascii="Arial" w:hAnsi="Arial" w:cs="Arial"/>
        </w:rPr>
        <w:t xml:space="preserve">Kuhn, M. (2019). </w:t>
      </w:r>
      <w:proofErr w:type="spellStart"/>
      <w:r w:rsidRPr="00653A09">
        <w:rPr>
          <w:rFonts w:ascii="Arial" w:hAnsi="Arial" w:cs="Arial"/>
        </w:rPr>
        <w:t>Allāh</w:t>
      </w:r>
      <w:proofErr w:type="spellEnd"/>
      <w:r w:rsidRPr="00653A09">
        <w:rPr>
          <w:rFonts w:ascii="Arial" w:hAnsi="Arial" w:cs="Arial"/>
        </w:rPr>
        <w:t xml:space="preserve">: Internalized Relationality: </w:t>
      </w:r>
      <w:proofErr w:type="spellStart"/>
      <w:r w:rsidRPr="00653A09">
        <w:rPr>
          <w:rFonts w:ascii="Arial" w:hAnsi="Arial" w:cs="Arial"/>
        </w:rPr>
        <w:t>Awwaḍ</w:t>
      </w:r>
      <w:proofErr w:type="spellEnd"/>
      <w:r w:rsidRPr="00653A09">
        <w:rPr>
          <w:rFonts w:ascii="Arial" w:hAnsi="Arial" w:cs="Arial"/>
        </w:rPr>
        <w:t xml:space="preserve"> </w:t>
      </w:r>
      <w:proofErr w:type="spellStart"/>
      <w:r w:rsidRPr="00653A09">
        <w:rPr>
          <w:rFonts w:ascii="Arial" w:hAnsi="Arial" w:cs="Arial"/>
        </w:rPr>
        <w:t>Simʽān</w:t>
      </w:r>
      <w:proofErr w:type="spellEnd"/>
      <w:r w:rsidRPr="00653A09">
        <w:rPr>
          <w:rFonts w:ascii="Arial" w:hAnsi="Arial" w:cs="Arial"/>
        </w:rPr>
        <w:t xml:space="preserve"> on the Trinitarian Nature of God. </w:t>
      </w:r>
      <w:r w:rsidRPr="00653A09">
        <w:rPr>
          <w:rFonts w:ascii="Arial" w:hAnsi="Arial" w:cs="Arial"/>
          <w:i/>
          <w:iCs/>
        </w:rPr>
        <w:t>Transformation: An International Journal of Holistic Mission Studies</w:t>
      </w:r>
      <w:r w:rsidRPr="00653A09">
        <w:rPr>
          <w:rFonts w:ascii="Arial" w:hAnsi="Arial" w:cs="Arial"/>
        </w:rPr>
        <w:t>, 36(3), pp.173–183.</w:t>
      </w:r>
    </w:p>
    <w:p w14:paraId="501A3039" w14:textId="77777777" w:rsidR="00653A09" w:rsidRPr="00653A09" w:rsidRDefault="00653A09" w:rsidP="00653A09">
      <w:pPr>
        <w:autoSpaceDE w:val="0"/>
        <w:autoSpaceDN w:val="0"/>
        <w:adjustRightInd w:val="0"/>
        <w:spacing w:after="240" w:line="360" w:lineRule="auto"/>
        <w:rPr>
          <w:rFonts w:ascii="Arial" w:hAnsi="Arial" w:cs="Arial"/>
        </w:rPr>
      </w:pPr>
      <w:r w:rsidRPr="00653A09">
        <w:rPr>
          <w:rFonts w:ascii="Arial" w:hAnsi="Arial" w:cs="Arial"/>
        </w:rPr>
        <w:t xml:space="preserve">Miner, M., </w:t>
      </w:r>
      <w:proofErr w:type="spellStart"/>
      <w:r w:rsidRPr="00653A09">
        <w:rPr>
          <w:rFonts w:ascii="Arial" w:hAnsi="Arial" w:cs="Arial"/>
        </w:rPr>
        <w:t>Ghobary</w:t>
      </w:r>
      <w:proofErr w:type="spellEnd"/>
      <w:r w:rsidRPr="00653A09">
        <w:rPr>
          <w:rFonts w:ascii="Arial" w:hAnsi="Arial" w:cs="Arial"/>
        </w:rPr>
        <w:t xml:space="preserve">, B., Dowson, M. and Proctor, M.-T. (2012). Spiritual attachment in Islam and Christianity: similarities and differences. </w:t>
      </w:r>
      <w:r w:rsidRPr="00653A09">
        <w:rPr>
          <w:rFonts w:ascii="Arial" w:hAnsi="Arial" w:cs="Arial"/>
          <w:i/>
          <w:iCs/>
        </w:rPr>
        <w:t>Mental Health, Religion &amp; Culture</w:t>
      </w:r>
      <w:r w:rsidRPr="00653A09">
        <w:rPr>
          <w:rFonts w:ascii="Arial" w:hAnsi="Arial" w:cs="Arial"/>
        </w:rPr>
        <w:t>, 17(1), pp.79–93.</w:t>
      </w:r>
    </w:p>
    <w:p w14:paraId="17B8C869" w14:textId="77777777" w:rsidR="00653A09" w:rsidRPr="00653A09" w:rsidRDefault="00653A09" w:rsidP="00653A09">
      <w:pPr>
        <w:autoSpaceDE w:val="0"/>
        <w:autoSpaceDN w:val="0"/>
        <w:adjustRightInd w:val="0"/>
        <w:spacing w:after="240" w:line="360" w:lineRule="auto"/>
        <w:rPr>
          <w:rFonts w:ascii="Arial" w:hAnsi="Arial" w:cs="Arial"/>
        </w:rPr>
      </w:pPr>
      <w:proofErr w:type="spellStart"/>
      <w:r w:rsidRPr="00653A09">
        <w:rPr>
          <w:rFonts w:ascii="Arial" w:hAnsi="Arial" w:cs="Arial"/>
        </w:rPr>
        <w:t>Netton</w:t>
      </w:r>
      <w:proofErr w:type="spellEnd"/>
      <w:r w:rsidRPr="00653A09">
        <w:rPr>
          <w:rFonts w:ascii="Arial" w:hAnsi="Arial" w:cs="Arial"/>
        </w:rPr>
        <w:t xml:space="preserve">, I.R. (2018). Theology and Christian-Muslim Relations. In: D. Thomas, ed., </w:t>
      </w:r>
      <w:r w:rsidRPr="00653A09">
        <w:rPr>
          <w:rFonts w:ascii="Arial" w:hAnsi="Arial" w:cs="Arial"/>
          <w:i/>
          <w:iCs/>
        </w:rPr>
        <w:t>Routledge Handbook on Christian-Muslim Relations</w:t>
      </w:r>
      <w:r w:rsidRPr="00653A09">
        <w:rPr>
          <w:rFonts w:ascii="Arial" w:hAnsi="Arial" w:cs="Arial"/>
        </w:rPr>
        <w:t>. Routledge.</w:t>
      </w:r>
    </w:p>
    <w:p w14:paraId="26ED257C" w14:textId="77777777" w:rsidR="00653A09" w:rsidRPr="00653A09" w:rsidRDefault="00653A09" w:rsidP="00653A09">
      <w:pPr>
        <w:autoSpaceDE w:val="0"/>
        <w:autoSpaceDN w:val="0"/>
        <w:adjustRightInd w:val="0"/>
        <w:spacing w:after="240" w:line="360" w:lineRule="auto"/>
        <w:rPr>
          <w:rFonts w:ascii="Arial" w:hAnsi="Arial" w:cs="Arial"/>
        </w:rPr>
      </w:pPr>
      <w:r w:rsidRPr="00653A09">
        <w:rPr>
          <w:rFonts w:ascii="Arial" w:hAnsi="Arial" w:cs="Arial"/>
        </w:rPr>
        <w:t xml:space="preserve">Sharkey, H.J. (2004). Arabic </w:t>
      </w:r>
      <w:proofErr w:type="spellStart"/>
      <w:r w:rsidRPr="00653A09">
        <w:rPr>
          <w:rFonts w:ascii="Arial" w:hAnsi="Arial" w:cs="Arial"/>
        </w:rPr>
        <w:t>Antimissionary</w:t>
      </w:r>
      <w:proofErr w:type="spellEnd"/>
      <w:r w:rsidRPr="00653A09">
        <w:rPr>
          <w:rFonts w:ascii="Arial" w:hAnsi="Arial" w:cs="Arial"/>
        </w:rPr>
        <w:t xml:space="preserve"> Treatises: Muslim Responses to Christian Evangelism in the Modern Middle East. </w:t>
      </w:r>
      <w:r w:rsidRPr="00653A09">
        <w:rPr>
          <w:rFonts w:ascii="Arial" w:hAnsi="Arial" w:cs="Arial"/>
          <w:i/>
          <w:iCs/>
        </w:rPr>
        <w:t>International Bulletin of Missionary Research</w:t>
      </w:r>
      <w:r w:rsidRPr="00653A09">
        <w:rPr>
          <w:rFonts w:ascii="Arial" w:hAnsi="Arial" w:cs="Arial"/>
        </w:rPr>
        <w:t>, 28(3), pp.98–104.</w:t>
      </w:r>
    </w:p>
    <w:p w14:paraId="72C3C881" w14:textId="77777777" w:rsidR="00653A09" w:rsidRPr="00653A09" w:rsidRDefault="00653A09" w:rsidP="00653A09">
      <w:pPr>
        <w:autoSpaceDE w:val="0"/>
        <w:autoSpaceDN w:val="0"/>
        <w:adjustRightInd w:val="0"/>
        <w:spacing w:after="240" w:line="360" w:lineRule="auto"/>
        <w:rPr>
          <w:rFonts w:ascii="Arial" w:hAnsi="Arial" w:cs="Arial"/>
        </w:rPr>
      </w:pPr>
      <w:r w:rsidRPr="00653A09">
        <w:rPr>
          <w:rFonts w:ascii="Arial" w:hAnsi="Arial" w:cs="Arial"/>
        </w:rPr>
        <w:t xml:space="preserve">Slater, A. (2021). </w:t>
      </w:r>
      <w:r w:rsidRPr="00653A09">
        <w:rPr>
          <w:rFonts w:ascii="Arial" w:hAnsi="Arial" w:cs="Arial"/>
          <w:i/>
          <w:iCs/>
        </w:rPr>
        <w:t>Christian -Muslim Relations-Lecture Notes</w:t>
      </w:r>
      <w:r w:rsidRPr="00653A09">
        <w:rPr>
          <w:rFonts w:ascii="Arial" w:hAnsi="Arial" w:cs="Arial"/>
        </w:rPr>
        <w:t>.</w:t>
      </w:r>
    </w:p>
    <w:p w14:paraId="07278122" w14:textId="7BC09AA7" w:rsidR="006D2D09" w:rsidRDefault="006D2D09">
      <w:pPr>
        <w:rPr>
          <w:rFonts w:ascii="Arial" w:hAnsi="Arial" w:cs="Arial"/>
        </w:rPr>
      </w:pPr>
    </w:p>
    <w:p w14:paraId="26F9F713" w14:textId="5E8857DC" w:rsidR="00872119" w:rsidRDefault="00872119">
      <w:pPr>
        <w:rPr>
          <w:rFonts w:ascii="Arial" w:hAnsi="Arial" w:cs="Arial"/>
        </w:rPr>
      </w:pPr>
    </w:p>
    <w:p w14:paraId="2F9F8976" w14:textId="166934FC" w:rsidR="00872119" w:rsidRDefault="00872119">
      <w:pPr>
        <w:rPr>
          <w:rFonts w:ascii="Arial" w:hAnsi="Arial" w:cs="Arial"/>
        </w:rPr>
      </w:pPr>
    </w:p>
    <w:p w14:paraId="5D22551A" w14:textId="0927B112" w:rsidR="00872119" w:rsidRDefault="00872119">
      <w:pPr>
        <w:rPr>
          <w:rFonts w:ascii="Arial" w:hAnsi="Arial" w:cs="Arial"/>
        </w:rPr>
      </w:pPr>
    </w:p>
    <w:p w14:paraId="52C0C539" w14:textId="485AF2B3" w:rsidR="00872119" w:rsidRDefault="00872119">
      <w:pPr>
        <w:rPr>
          <w:rFonts w:ascii="Arial" w:hAnsi="Arial" w:cs="Arial"/>
        </w:rPr>
      </w:pPr>
    </w:p>
    <w:p w14:paraId="641D9272" w14:textId="5D87FBF3" w:rsidR="00872119" w:rsidRDefault="00872119">
      <w:pPr>
        <w:rPr>
          <w:rFonts w:ascii="Arial" w:hAnsi="Arial" w:cs="Arial"/>
        </w:rPr>
      </w:pPr>
    </w:p>
    <w:p w14:paraId="44D97FA1" w14:textId="670221F9" w:rsidR="00872119" w:rsidRDefault="00872119">
      <w:pPr>
        <w:rPr>
          <w:rFonts w:ascii="Arial" w:hAnsi="Arial" w:cs="Arial"/>
        </w:rPr>
      </w:pPr>
    </w:p>
    <w:p w14:paraId="57DE292B" w14:textId="00DE3D0D" w:rsidR="00872119" w:rsidRDefault="00872119">
      <w:pPr>
        <w:rPr>
          <w:rFonts w:ascii="Arial" w:hAnsi="Arial" w:cs="Arial"/>
        </w:rPr>
      </w:pPr>
    </w:p>
    <w:p w14:paraId="68D8DACF" w14:textId="6CDCCCED" w:rsidR="00872119" w:rsidRPr="00872119" w:rsidRDefault="00872119">
      <w:pPr>
        <w:rPr>
          <w:rFonts w:ascii="Arial" w:hAnsi="Arial" w:cs="Arial"/>
          <w:b/>
          <w:bCs/>
        </w:rPr>
      </w:pPr>
      <w:r w:rsidRPr="00872119">
        <w:rPr>
          <w:rFonts w:ascii="Arial" w:hAnsi="Arial" w:cs="Arial"/>
          <w:b/>
          <w:bCs/>
        </w:rPr>
        <w:t>Sian Owen: Student</w:t>
      </w:r>
      <w:r>
        <w:rPr>
          <w:rFonts w:ascii="Arial" w:hAnsi="Arial" w:cs="Arial"/>
          <w:b/>
          <w:bCs/>
        </w:rPr>
        <w:t>:</w:t>
      </w:r>
      <w:r w:rsidRPr="00872119">
        <w:rPr>
          <w:rFonts w:ascii="Arial" w:hAnsi="Arial" w:cs="Arial"/>
          <w:b/>
          <w:bCs/>
        </w:rPr>
        <w:t xml:space="preserve"> 2007506</w:t>
      </w:r>
    </w:p>
    <w:sectPr w:rsidR="00872119" w:rsidRPr="00872119" w:rsidSect="005A1B0E">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EC67AD" w14:textId="77777777" w:rsidR="00CD64E0" w:rsidRDefault="00CD64E0" w:rsidP="00114FE9">
      <w:r>
        <w:separator/>
      </w:r>
    </w:p>
  </w:endnote>
  <w:endnote w:type="continuationSeparator" w:id="0">
    <w:p w14:paraId="463488A5" w14:textId="77777777" w:rsidR="00CD64E0" w:rsidRDefault="00CD64E0" w:rsidP="00114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notTrueTyp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37230932"/>
      <w:docPartObj>
        <w:docPartGallery w:val="Page Numbers (Bottom of Page)"/>
        <w:docPartUnique/>
      </w:docPartObj>
    </w:sdtPr>
    <w:sdtEndPr>
      <w:rPr>
        <w:rStyle w:val="PageNumber"/>
      </w:rPr>
    </w:sdtEndPr>
    <w:sdtContent>
      <w:p w14:paraId="15E1ADC1" w14:textId="06725743" w:rsidR="00114FE9" w:rsidRDefault="00114FE9" w:rsidP="00613C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ACC3D6" w14:textId="77777777" w:rsidR="00114FE9" w:rsidRDefault="00114FE9" w:rsidP="00114F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9601666"/>
      <w:docPartObj>
        <w:docPartGallery w:val="Page Numbers (Bottom of Page)"/>
        <w:docPartUnique/>
      </w:docPartObj>
    </w:sdtPr>
    <w:sdtEndPr>
      <w:rPr>
        <w:rStyle w:val="PageNumber"/>
      </w:rPr>
    </w:sdtEndPr>
    <w:sdtContent>
      <w:p w14:paraId="4DB80307" w14:textId="7CB089BD" w:rsidR="00114FE9" w:rsidRDefault="00114FE9" w:rsidP="00613C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E0BCCE" w14:textId="77777777" w:rsidR="00114FE9" w:rsidRDefault="00114FE9" w:rsidP="00114F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A6304E" w14:textId="77777777" w:rsidR="00CD64E0" w:rsidRDefault="00CD64E0" w:rsidP="00114FE9">
      <w:r>
        <w:separator/>
      </w:r>
    </w:p>
  </w:footnote>
  <w:footnote w:type="continuationSeparator" w:id="0">
    <w:p w14:paraId="6E938B75" w14:textId="77777777" w:rsidR="00CD64E0" w:rsidRDefault="00CD64E0" w:rsidP="00114F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4B306A"/>
    <w:multiLevelType w:val="hybridMultilevel"/>
    <w:tmpl w:val="33827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D70187"/>
    <w:multiLevelType w:val="hybridMultilevel"/>
    <w:tmpl w:val="7ED88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AF5441"/>
    <w:multiLevelType w:val="hybridMultilevel"/>
    <w:tmpl w:val="1F7E7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5E3E4B"/>
    <w:multiLevelType w:val="multilevel"/>
    <w:tmpl w:val="2822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081"/>
    <w:rsid w:val="00027C90"/>
    <w:rsid w:val="0007655C"/>
    <w:rsid w:val="000779C9"/>
    <w:rsid w:val="0008297D"/>
    <w:rsid w:val="000A166F"/>
    <w:rsid w:val="000B35B5"/>
    <w:rsid w:val="00102F23"/>
    <w:rsid w:val="00114FE9"/>
    <w:rsid w:val="001418E7"/>
    <w:rsid w:val="00173F5E"/>
    <w:rsid w:val="00181525"/>
    <w:rsid w:val="00233A4C"/>
    <w:rsid w:val="00260081"/>
    <w:rsid w:val="00290E1E"/>
    <w:rsid w:val="002B6DDE"/>
    <w:rsid w:val="002C62B4"/>
    <w:rsid w:val="002F15A0"/>
    <w:rsid w:val="002F447C"/>
    <w:rsid w:val="002F6654"/>
    <w:rsid w:val="00303E31"/>
    <w:rsid w:val="0030711A"/>
    <w:rsid w:val="003272D8"/>
    <w:rsid w:val="003339E2"/>
    <w:rsid w:val="00355690"/>
    <w:rsid w:val="003B4945"/>
    <w:rsid w:val="003F1361"/>
    <w:rsid w:val="003F2FEC"/>
    <w:rsid w:val="004168DE"/>
    <w:rsid w:val="004202F6"/>
    <w:rsid w:val="00485B12"/>
    <w:rsid w:val="004C56B4"/>
    <w:rsid w:val="004D5731"/>
    <w:rsid w:val="00503BFF"/>
    <w:rsid w:val="005938CA"/>
    <w:rsid w:val="005A1B0E"/>
    <w:rsid w:val="0061711D"/>
    <w:rsid w:val="0063541E"/>
    <w:rsid w:val="00653A09"/>
    <w:rsid w:val="006C0EB8"/>
    <w:rsid w:val="006D2D09"/>
    <w:rsid w:val="006E33D6"/>
    <w:rsid w:val="0073516F"/>
    <w:rsid w:val="00754E3B"/>
    <w:rsid w:val="007640C3"/>
    <w:rsid w:val="007B6084"/>
    <w:rsid w:val="007C6E30"/>
    <w:rsid w:val="007F2972"/>
    <w:rsid w:val="0082139C"/>
    <w:rsid w:val="008275FE"/>
    <w:rsid w:val="008446F2"/>
    <w:rsid w:val="00872119"/>
    <w:rsid w:val="00872371"/>
    <w:rsid w:val="0088553B"/>
    <w:rsid w:val="008913D7"/>
    <w:rsid w:val="008B560B"/>
    <w:rsid w:val="008B69B9"/>
    <w:rsid w:val="009A420A"/>
    <w:rsid w:val="009A6EB8"/>
    <w:rsid w:val="009C2C67"/>
    <w:rsid w:val="009D66D5"/>
    <w:rsid w:val="00A0679E"/>
    <w:rsid w:val="00A27E83"/>
    <w:rsid w:val="00A33CC4"/>
    <w:rsid w:val="00A62F8A"/>
    <w:rsid w:val="00A8160A"/>
    <w:rsid w:val="00B26195"/>
    <w:rsid w:val="00B456E6"/>
    <w:rsid w:val="00B64519"/>
    <w:rsid w:val="00B7610A"/>
    <w:rsid w:val="00BA1685"/>
    <w:rsid w:val="00BD158C"/>
    <w:rsid w:val="00C10411"/>
    <w:rsid w:val="00C2318E"/>
    <w:rsid w:val="00C2357B"/>
    <w:rsid w:val="00C41C50"/>
    <w:rsid w:val="00C459E8"/>
    <w:rsid w:val="00C53926"/>
    <w:rsid w:val="00C65731"/>
    <w:rsid w:val="00C718B5"/>
    <w:rsid w:val="00CD64E0"/>
    <w:rsid w:val="00CE3E61"/>
    <w:rsid w:val="00CE5AA4"/>
    <w:rsid w:val="00CF571E"/>
    <w:rsid w:val="00D05A90"/>
    <w:rsid w:val="00D52F84"/>
    <w:rsid w:val="00D55532"/>
    <w:rsid w:val="00D7473E"/>
    <w:rsid w:val="00D85D86"/>
    <w:rsid w:val="00DC7665"/>
    <w:rsid w:val="00E14D2A"/>
    <w:rsid w:val="00E44FA5"/>
    <w:rsid w:val="00E748AE"/>
    <w:rsid w:val="00E9369E"/>
    <w:rsid w:val="00EB65E2"/>
    <w:rsid w:val="00ED349C"/>
    <w:rsid w:val="00F74C5F"/>
    <w:rsid w:val="00FB19CB"/>
    <w:rsid w:val="00FB7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5507794"/>
  <w14:defaultImageDpi w14:val="32767"/>
  <w15:chartTrackingRefBased/>
  <w15:docId w15:val="{114132DB-31C7-864E-91F1-94335C2AC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EB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EB8"/>
    <w:rPr>
      <w:rFonts w:asciiTheme="majorHAnsi" w:eastAsiaTheme="majorEastAsia" w:hAnsiTheme="majorHAnsi" w:cstheme="majorBidi"/>
      <w:b/>
      <w:bCs/>
      <w:color w:val="2F5496" w:themeColor="accent1" w:themeShade="BF"/>
      <w:sz w:val="28"/>
      <w:szCs w:val="28"/>
      <w:lang w:val="en-US" w:bidi="en-US"/>
    </w:rPr>
  </w:style>
  <w:style w:type="paragraph" w:styleId="ListParagraph">
    <w:name w:val="List Paragraph"/>
    <w:basedOn w:val="Normal"/>
    <w:uiPriority w:val="34"/>
    <w:qFormat/>
    <w:rsid w:val="00D7473E"/>
    <w:pPr>
      <w:ind w:left="720"/>
      <w:contextualSpacing/>
    </w:pPr>
  </w:style>
  <w:style w:type="paragraph" w:styleId="NormalWeb">
    <w:name w:val="Normal (Web)"/>
    <w:basedOn w:val="Normal"/>
    <w:uiPriority w:val="99"/>
    <w:semiHidden/>
    <w:unhideWhenUsed/>
    <w:rsid w:val="008B560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B560B"/>
  </w:style>
  <w:style w:type="paragraph" w:styleId="Footer">
    <w:name w:val="footer"/>
    <w:basedOn w:val="Normal"/>
    <w:link w:val="FooterChar"/>
    <w:uiPriority w:val="99"/>
    <w:unhideWhenUsed/>
    <w:rsid w:val="00114FE9"/>
    <w:pPr>
      <w:tabs>
        <w:tab w:val="center" w:pos="4680"/>
        <w:tab w:val="right" w:pos="9360"/>
      </w:tabs>
    </w:pPr>
  </w:style>
  <w:style w:type="character" w:customStyle="1" w:styleId="FooterChar">
    <w:name w:val="Footer Char"/>
    <w:basedOn w:val="DefaultParagraphFont"/>
    <w:link w:val="Footer"/>
    <w:uiPriority w:val="99"/>
    <w:rsid w:val="00114FE9"/>
  </w:style>
  <w:style w:type="character" w:styleId="PageNumber">
    <w:name w:val="page number"/>
    <w:basedOn w:val="DefaultParagraphFont"/>
    <w:uiPriority w:val="99"/>
    <w:semiHidden/>
    <w:unhideWhenUsed/>
    <w:rsid w:val="00114FE9"/>
  </w:style>
  <w:style w:type="paragraph" w:styleId="Header">
    <w:name w:val="header"/>
    <w:basedOn w:val="Normal"/>
    <w:link w:val="HeaderChar"/>
    <w:uiPriority w:val="99"/>
    <w:unhideWhenUsed/>
    <w:rsid w:val="0082139C"/>
    <w:pPr>
      <w:tabs>
        <w:tab w:val="center" w:pos="4680"/>
        <w:tab w:val="right" w:pos="9360"/>
      </w:tabs>
    </w:pPr>
  </w:style>
  <w:style w:type="character" w:customStyle="1" w:styleId="HeaderChar">
    <w:name w:val="Header Char"/>
    <w:basedOn w:val="DefaultParagraphFont"/>
    <w:link w:val="Header"/>
    <w:uiPriority w:val="99"/>
    <w:rsid w:val="008213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18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68687B-DB2F-2941-B874-CFECC110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1881</Words>
  <Characters>10290</Characters>
  <Application>Microsoft Office Word</Application>
  <DocSecurity>0</DocSecurity>
  <Lines>201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Mair Owen (2007506)</dc:creator>
  <cp:keywords/>
  <dc:description/>
  <cp:lastModifiedBy>Sian Mair Owen (2007506)</cp:lastModifiedBy>
  <cp:revision>2</cp:revision>
  <cp:lastPrinted>2021-04-15T15:03:00Z</cp:lastPrinted>
  <dcterms:created xsi:type="dcterms:W3CDTF">2021-04-15T15:34:00Z</dcterms:created>
  <dcterms:modified xsi:type="dcterms:W3CDTF">2021-04-15T15:34:00Z</dcterms:modified>
</cp:coreProperties>
</file>