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77777777" w:rsidR="00ED1049" w:rsidRPr="00ED1049" w:rsidRDefault="00ED1049" w:rsidP="00ED1049">
      <w:pPr>
        <w:ind w:left="426"/>
        <w:rPr>
          <w:rFonts w:ascii="Arial" w:hAnsi="Arial" w:cs="Arial"/>
        </w:rPr>
      </w:pPr>
    </w:p>
    <w:p w14:paraId="3A253CFB" w14:textId="46A3E6AB" w:rsidR="00ED1049" w:rsidRPr="00074402" w:rsidRDefault="002154EF" w:rsidP="00ED1049">
      <w:pPr>
        <w:spacing w:line="360" w:lineRule="auto"/>
        <w:ind w:left="426"/>
        <w:rPr>
          <w:rFonts w:ascii="Arial" w:hAnsi="Arial" w:cs="Arial"/>
          <w:szCs w:val="24"/>
        </w:rPr>
      </w:pPr>
      <w:r>
        <w:rPr>
          <w:rFonts w:ascii="Arial" w:hAnsi="Arial" w:cs="Arial"/>
          <w:noProof/>
          <w:szCs w:val="24"/>
        </w:rPr>
        <w:drawing>
          <wp:inline distT="0" distB="0" distL="0" distR="0" wp14:anchorId="50EF9975" wp14:editId="15259F55">
            <wp:extent cx="2596896" cy="1157548"/>
            <wp:effectExtent l="0" t="0" r="0" b="5080"/>
            <wp:docPr id="13827174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96896" cy="1157548"/>
                    </a:xfrm>
                    <a:prstGeom prst="rect">
                      <a:avLst/>
                    </a:prstGeom>
                    <a:noFill/>
                  </pic:spPr>
                </pic:pic>
              </a:graphicData>
            </a:graphic>
          </wp:inline>
        </w:drawing>
      </w:r>
    </w:p>
    <w:p w14:paraId="4FC9800F" w14:textId="695C6063"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name</w:t>
      </w:r>
      <w:r w:rsidRPr="00814A9E">
        <w:rPr>
          <w:rFonts w:ascii="Arial" w:hAnsi="Arial" w:cs="Arial"/>
          <w:sz w:val="28"/>
          <w:szCs w:val="28"/>
          <w:lang w:val="nl-NL"/>
        </w:rPr>
        <w:t>:</w:t>
      </w:r>
      <w:r w:rsidR="00F252C6">
        <w:rPr>
          <w:rFonts w:ascii="Arial" w:hAnsi="Arial" w:cs="Arial"/>
          <w:sz w:val="28"/>
          <w:szCs w:val="28"/>
          <w:lang w:val="nl-NL"/>
        </w:rPr>
        <w:t xml:space="preserve"> </w:t>
      </w:r>
      <w:r w:rsidR="00F252C6" w:rsidRPr="00F252C6">
        <w:rPr>
          <w:rFonts w:ascii="Arial" w:hAnsi="Arial" w:cs="Arial"/>
          <w:sz w:val="28"/>
          <w:szCs w:val="28"/>
          <w:lang w:val="nl-NL"/>
        </w:rPr>
        <w:t>Zawadi Nibigira</w:t>
      </w:r>
    </w:p>
    <w:p w14:paraId="00429E76" w14:textId="565F3641"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ID</w:t>
      </w:r>
      <w:r w:rsidRPr="00814A9E">
        <w:rPr>
          <w:rFonts w:ascii="Arial" w:hAnsi="Arial" w:cs="Arial"/>
          <w:sz w:val="28"/>
          <w:szCs w:val="28"/>
          <w:lang w:val="nl-NL"/>
        </w:rPr>
        <w:t>:</w:t>
      </w:r>
      <w:r w:rsidR="003C0B9D">
        <w:rPr>
          <w:rFonts w:ascii="Arial" w:hAnsi="Arial" w:cs="Arial"/>
          <w:sz w:val="28"/>
          <w:szCs w:val="28"/>
          <w:lang w:val="nl-NL"/>
        </w:rPr>
        <w:t xml:space="preserve"> 2435451</w:t>
      </w:r>
    </w:p>
    <w:p w14:paraId="16C5D4A2" w14:textId="77777777" w:rsidR="00ED1049" w:rsidRPr="00814A9E" w:rsidRDefault="00ED1049" w:rsidP="00ED1049">
      <w:pPr>
        <w:tabs>
          <w:tab w:val="left" w:pos="6540"/>
        </w:tabs>
        <w:spacing w:line="360" w:lineRule="auto"/>
        <w:ind w:left="426"/>
        <w:rPr>
          <w:rFonts w:ascii="Arial" w:hAnsi="Arial" w:cs="Arial"/>
          <w:sz w:val="28"/>
          <w:szCs w:val="28"/>
          <w:lang w:val="nl-NL"/>
        </w:rPr>
      </w:pPr>
    </w:p>
    <w:p w14:paraId="3E7B146F" w14:textId="7A9684A0"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Module name</w:t>
      </w:r>
      <w:r w:rsidRPr="00814A9E">
        <w:rPr>
          <w:rFonts w:ascii="Arial" w:hAnsi="Arial" w:cs="Arial"/>
          <w:sz w:val="28"/>
          <w:szCs w:val="28"/>
          <w:lang w:val="nl-NL"/>
        </w:rPr>
        <w:t xml:space="preserve">: </w:t>
      </w:r>
      <w:r w:rsidR="00463F2F">
        <w:rPr>
          <w:rFonts w:ascii="Arial" w:hAnsi="Arial" w:cs="Arial"/>
          <w:sz w:val="28"/>
          <w:szCs w:val="28"/>
          <w:lang w:val="nl-NL"/>
        </w:rPr>
        <w:t>Introduction to Health and Social</w:t>
      </w:r>
      <w:r w:rsidR="00320702">
        <w:rPr>
          <w:rFonts w:ascii="Arial" w:hAnsi="Arial" w:cs="Arial"/>
          <w:sz w:val="28"/>
          <w:szCs w:val="28"/>
          <w:lang w:val="nl-NL"/>
        </w:rPr>
        <w:t>;</w:t>
      </w:r>
    </w:p>
    <w:p w14:paraId="12CBB668" w14:textId="21F6AFA5" w:rsidR="00ED1049" w:rsidRDefault="00ED1049" w:rsidP="00ED1049">
      <w:pPr>
        <w:tabs>
          <w:tab w:val="left" w:pos="6540"/>
        </w:tabs>
        <w:spacing w:line="360" w:lineRule="auto"/>
        <w:ind w:left="426"/>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320702">
        <w:rPr>
          <w:rFonts w:ascii="Arial" w:hAnsi="Arial" w:cs="Arial"/>
          <w:sz w:val="28"/>
          <w:szCs w:val="28"/>
        </w:rPr>
        <w:t>LCH4003</w:t>
      </w:r>
    </w:p>
    <w:p w14:paraId="2C2175CB" w14:textId="44A6AD73" w:rsidR="00ED1049" w:rsidRDefault="006D2642" w:rsidP="00ED1049">
      <w:pPr>
        <w:tabs>
          <w:tab w:val="left" w:pos="6540"/>
        </w:tabs>
        <w:spacing w:line="360" w:lineRule="auto"/>
        <w:ind w:left="426"/>
        <w:rPr>
          <w:rFonts w:ascii="Arial" w:hAnsi="Arial" w:cs="Arial"/>
          <w:sz w:val="28"/>
          <w:szCs w:val="28"/>
        </w:rPr>
      </w:pPr>
      <w:r>
        <w:rPr>
          <w:rFonts w:ascii="Arial" w:hAnsi="Arial" w:cs="Arial"/>
          <w:b/>
          <w:bCs/>
          <w:sz w:val="28"/>
          <w:szCs w:val="28"/>
        </w:rPr>
        <w:t>Supervisor’s</w:t>
      </w:r>
      <w:r w:rsidR="00ED1049" w:rsidRPr="00074402">
        <w:rPr>
          <w:rFonts w:ascii="Arial" w:hAnsi="Arial" w:cs="Arial"/>
          <w:b/>
          <w:bCs/>
          <w:sz w:val="28"/>
          <w:szCs w:val="28"/>
        </w:rPr>
        <w:t xml:space="preserve"> name</w:t>
      </w:r>
      <w:r w:rsidR="00ED1049">
        <w:rPr>
          <w:rFonts w:ascii="Arial" w:hAnsi="Arial" w:cs="Arial"/>
          <w:sz w:val="28"/>
          <w:szCs w:val="28"/>
        </w:rPr>
        <w:t>:</w:t>
      </w:r>
      <w:r w:rsidR="00EF436D">
        <w:rPr>
          <w:rFonts w:ascii="Arial" w:hAnsi="Arial" w:cs="Arial"/>
          <w:sz w:val="28"/>
          <w:szCs w:val="28"/>
        </w:rPr>
        <w:t xml:space="preserve"> Jolly</w:t>
      </w:r>
      <w:r w:rsidR="00320702">
        <w:rPr>
          <w:rFonts w:ascii="Arial" w:hAnsi="Arial" w:cs="Arial"/>
          <w:sz w:val="28"/>
          <w:szCs w:val="28"/>
        </w:rPr>
        <w:t xml:space="preserve"> </w:t>
      </w:r>
      <w:proofErr w:type="spellStart"/>
      <w:r w:rsidR="00320702">
        <w:rPr>
          <w:rFonts w:ascii="Arial" w:hAnsi="Arial" w:cs="Arial"/>
          <w:sz w:val="28"/>
          <w:szCs w:val="28"/>
        </w:rPr>
        <w:t>Nwankwo</w:t>
      </w:r>
      <w:proofErr w:type="spellEnd"/>
    </w:p>
    <w:p w14:paraId="543861DF" w14:textId="77777777" w:rsidR="00ED1049" w:rsidRPr="00ED1049" w:rsidRDefault="00ED1049">
      <w:pPr>
        <w:rPr>
          <w:rFonts w:ascii="Arial" w:hAnsi="Arial" w:cs="Arial"/>
        </w:rPr>
      </w:pPr>
    </w:p>
    <w:p w14:paraId="160FF05C" w14:textId="77777777" w:rsidR="00CC0A8F" w:rsidRPr="00CC0A8F" w:rsidRDefault="00CC0A8F" w:rsidP="00C46111">
      <w:r w:rsidRPr="00CC0A8F">
        <w:br w:type="page"/>
      </w:r>
    </w:p>
    <w:p w14:paraId="324425A4" w14:textId="60796017" w:rsidR="00F252C6" w:rsidRPr="00FB3CB7" w:rsidRDefault="00F252C6" w:rsidP="00F252C6">
      <w:pPr>
        <w:rPr>
          <w:rFonts w:ascii="Arial" w:hAnsi="Arial" w:cs="Arial"/>
          <w:b/>
          <w:bCs/>
          <w:sz w:val="28"/>
          <w:szCs w:val="28"/>
        </w:rPr>
      </w:pPr>
      <w:r w:rsidRPr="00F252C6">
        <w:rPr>
          <w:rFonts w:ascii="Arial" w:hAnsi="Arial" w:cs="Arial"/>
          <w:b/>
          <w:bCs/>
          <w:sz w:val="28"/>
          <w:szCs w:val="28"/>
        </w:rPr>
        <w:t>Poster: Community Antenatal Midwifery Services</w:t>
      </w:r>
    </w:p>
    <w:p w14:paraId="17E7D233" w14:textId="33930F68" w:rsidR="00F252C6" w:rsidRPr="00FB3CB7" w:rsidRDefault="002154EF" w:rsidP="00F252C6">
      <w:pPr>
        <w:jc w:val="center"/>
        <w:rPr>
          <w:rFonts w:ascii="Arial" w:hAnsi="Arial" w:cs="Arial"/>
          <w:b/>
          <w:bCs/>
        </w:rPr>
      </w:pPr>
      <w:r w:rsidRPr="00FB3CB7">
        <w:rPr>
          <w:rFonts w:ascii="Arial" w:hAnsi="Arial" w:cs="Arial"/>
          <w:b/>
          <w:bCs/>
          <w:noProof/>
        </w:rPr>
        <w:drawing>
          <wp:inline distT="0" distB="0" distL="0" distR="0" wp14:anchorId="66DBCD83" wp14:editId="1DB1524D">
            <wp:extent cx="9144000" cy="6464527"/>
            <wp:effectExtent l="0" t="0" r="0" b="0"/>
            <wp:docPr id="3548634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9144000" cy="6464527"/>
                    </a:xfrm>
                    <a:prstGeom prst="rect">
                      <a:avLst/>
                    </a:prstGeom>
                    <a:noFill/>
                  </pic:spPr>
                </pic:pic>
              </a:graphicData>
            </a:graphic>
          </wp:inline>
        </w:drawing>
      </w:r>
    </w:p>
    <w:p w14:paraId="645F9DE8" w14:textId="77777777" w:rsidR="00FB3CB7" w:rsidRPr="00FB3CB7" w:rsidRDefault="00FB3CB7" w:rsidP="00FB3CB7">
      <w:pPr>
        <w:spacing w:after="0" w:line="360" w:lineRule="auto"/>
        <w:jc w:val="both"/>
        <w:rPr>
          <w:rFonts w:ascii="Arial" w:hAnsi="Arial" w:cs="Arial"/>
          <w:b/>
          <w:bCs/>
          <w:sz w:val="28"/>
          <w:szCs w:val="28"/>
        </w:rPr>
      </w:pPr>
      <w:r w:rsidRPr="00FB3CB7">
        <w:rPr>
          <w:rFonts w:ascii="Arial" w:hAnsi="Arial" w:cs="Arial"/>
          <w:b/>
          <w:bCs/>
          <w:sz w:val="28"/>
          <w:szCs w:val="28"/>
        </w:rPr>
        <w:t>Community Antenatal Midwifery Services</w:t>
      </w:r>
    </w:p>
    <w:p w14:paraId="4339B6DB" w14:textId="2EEC81A1" w:rsidR="00FB3CB7" w:rsidRPr="00FB3CB7" w:rsidRDefault="00FB3CB7" w:rsidP="00FB3CB7">
      <w:pPr>
        <w:spacing w:line="360" w:lineRule="auto"/>
        <w:jc w:val="both"/>
        <w:rPr>
          <w:rFonts w:ascii="Arial" w:hAnsi="Arial" w:cs="Arial"/>
        </w:rPr>
      </w:pPr>
      <w:r w:rsidRPr="00FB3CB7">
        <w:rPr>
          <w:rFonts w:ascii="Arial" w:hAnsi="Arial" w:cs="Arial"/>
        </w:rPr>
        <w:t xml:space="preserve">Community antenatal midwifery services are midwife-led antenatal services provided in the communities i.e. in the home of women, local clinics or community health centers, but not in those of hospitals. These services </w:t>
      </w:r>
      <w:r w:rsidR="008C1946">
        <w:rPr>
          <w:rFonts w:ascii="Arial" w:hAnsi="Arial" w:cs="Arial"/>
        </w:rPr>
        <w:t>provide</w:t>
      </w:r>
      <w:r w:rsidRPr="00FB3CB7">
        <w:rPr>
          <w:rFonts w:ascii="Arial" w:hAnsi="Arial" w:cs="Arial"/>
        </w:rPr>
        <w:t xml:space="preserve"> prenatal tests of pregnancy, check the maternal and fetal health, assess the risks (high blood pressure or gestational diabetes), and provide nutritional, mental, and birth preparation counselling. They further assure of referral to greater level of care in case of complications being detected (Renfrew et al., 2014). Midwives are the professionals that are trained to provide women with the continuity of care throughout the pregnancy since they are not only trained professionals but also educators, counsellors, and agents of advocacy when it comes to </w:t>
      </w:r>
      <w:r w:rsidR="008C1946">
        <w:rPr>
          <w:rFonts w:ascii="Arial" w:hAnsi="Arial" w:cs="Arial"/>
        </w:rPr>
        <w:t>the health of women.</w:t>
      </w:r>
      <w:r w:rsidRPr="00FB3CB7">
        <w:rPr>
          <w:rFonts w:ascii="Arial" w:hAnsi="Arial" w:cs="Arial"/>
        </w:rPr>
        <w:t xml:space="preserve"> (Begum et al., 2020).</w:t>
      </w:r>
    </w:p>
    <w:p w14:paraId="1828C6C7" w14:textId="77777777" w:rsidR="00FB3CB7" w:rsidRPr="00FB3CB7" w:rsidRDefault="00FB3CB7" w:rsidP="005048CD">
      <w:pPr>
        <w:spacing w:after="0" w:line="276" w:lineRule="auto"/>
        <w:jc w:val="both"/>
        <w:rPr>
          <w:rFonts w:ascii="Arial" w:hAnsi="Arial" w:cs="Arial"/>
          <w:b/>
          <w:bCs/>
        </w:rPr>
      </w:pPr>
      <w:r w:rsidRPr="00FB3CB7">
        <w:rPr>
          <w:rFonts w:ascii="Arial" w:hAnsi="Arial" w:cs="Arial"/>
          <w:b/>
          <w:bCs/>
        </w:rPr>
        <w:t>Brief History of the Service</w:t>
      </w:r>
    </w:p>
    <w:p w14:paraId="6F5E8440" w14:textId="2F80B696" w:rsidR="00FB3CB7" w:rsidRPr="00FB3CB7" w:rsidRDefault="00FB3CB7" w:rsidP="00FB3CB7">
      <w:pPr>
        <w:spacing w:line="360" w:lineRule="auto"/>
        <w:jc w:val="both"/>
        <w:rPr>
          <w:rFonts w:ascii="Arial" w:hAnsi="Arial" w:cs="Arial"/>
        </w:rPr>
      </w:pPr>
      <w:r w:rsidRPr="00FB3CB7">
        <w:rPr>
          <w:rFonts w:ascii="Arial" w:hAnsi="Arial" w:cs="Arial"/>
        </w:rPr>
        <w:t>In the past, the antenatal care (ANC) was mostly hospital-based and doctor-</w:t>
      </w:r>
      <w:r w:rsidR="00C97EA7" w:rsidRPr="00FB3CB7">
        <w:rPr>
          <w:rFonts w:ascii="Arial" w:hAnsi="Arial" w:cs="Arial"/>
        </w:rPr>
        <w:t>centered</w:t>
      </w:r>
      <w:r w:rsidRPr="00FB3CB7">
        <w:rPr>
          <w:rFonts w:ascii="Arial" w:hAnsi="Arial" w:cs="Arial"/>
        </w:rPr>
        <w:t xml:space="preserve">, especially in the more affluent countries, and access on community level was </w:t>
      </w:r>
      <w:r w:rsidR="00596100">
        <w:rPr>
          <w:rFonts w:ascii="Arial" w:hAnsi="Arial" w:cs="Arial"/>
        </w:rPr>
        <w:t>insufficient</w:t>
      </w:r>
      <w:r w:rsidRPr="00FB3CB7">
        <w:rPr>
          <w:rFonts w:ascii="Arial" w:hAnsi="Arial" w:cs="Arial"/>
        </w:rPr>
        <w:t xml:space="preserve"> (Crane, 2020). The PHC interest movement played a role in this shift following the Alma-Ata Declaration in 1978 that advocated for the attainment of </w:t>
      </w:r>
      <w:r w:rsidR="00F60AAF">
        <w:rPr>
          <w:rFonts w:ascii="Arial" w:hAnsi="Arial" w:cs="Arial"/>
        </w:rPr>
        <w:t>world wide</w:t>
      </w:r>
      <w:r w:rsidRPr="00FB3CB7">
        <w:rPr>
          <w:rFonts w:ascii="Arial" w:hAnsi="Arial" w:cs="Arial"/>
        </w:rPr>
        <w:t xml:space="preserve"> coverage on basic health system provision (World Health Organization, 1978). Midwifery programs were also introduced to the low resource, middle income countries (LMICs) most needed access and to </w:t>
      </w:r>
      <w:r w:rsidR="00F60AAF">
        <w:rPr>
          <w:rFonts w:ascii="Arial" w:hAnsi="Arial" w:cs="Arial"/>
        </w:rPr>
        <w:t>cut down</w:t>
      </w:r>
      <w:r w:rsidRPr="00FB3CB7">
        <w:rPr>
          <w:rFonts w:ascii="Arial" w:hAnsi="Arial" w:cs="Arial"/>
        </w:rPr>
        <w:t xml:space="preserve"> maternal death. The PHC movement played an important role in this transformation, which was encouraged by the Alma-Ata Declaration of 1978 on Health for All that focused on universality of access to </w:t>
      </w:r>
      <w:r w:rsidR="00F60AAF">
        <w:rPr>
          <w:rFonts w:ascii="Arial" w:hAnsi="Arial" w:cs="Arial"/>
        </w:rPr>
        <w:t xml:space="preserve">fundamental </w:t>
      </w:r>
      <w:r w:rsidRPr="00FB3CB7">
        <w:rPr>
          <w:rFonts w:ascii="Arial" w:hAnsi="Arial" w:cs="Arial"/>
        </w:rPr>
        <w:t>health services (World Health Organization, 1978). Equally, midwife-led community care was adopted in Bangladesh during 2015-2018 as midwives became part of primary health systems (Begum et al., 2020). In developed nations, such as the UK, shifting the policy towards the models of midwife-led continuity of care was a reflection of the increased evidence of better satisfaction and outcomes (Renfrew et al., 2014).</w:t>
      </w:r>
    </w:p>
    <w:p w14:paraId="180481CA" w14:textId="77777777" w:rsidR="00FB3CB7" w:rsidRPr="00FB3CB7" w:rsidRDefault="00FB3CB7" w:rsidP="005048CD">
      <w:pPr>
        <w:spacing w:after="0" w:line="276" w:lineRule="auto"/>
        <w:jc w:val="both"/>
        <w:rPr>
          <w:rFonts w:ascii="Arial" w:hAnsi="Arial" w:cs="Arial"/>
          <w:b/>
          <w:bCs/>
        </w:rPr>
      </w:pPr>
      <w:r w:rsidRPr="00FB3CB7">
        <w:rPr>
          <w:rFonts w:ascii="Arial" w:hAnsi="Arial" w:cs="Arial"/>
          <w:b/>
          <w:bCs/>
        </w:rPr>
        <w:t>Current Functioning of the Service</w:t>
      </w:r>
    </w:p>
    <w:p w14:paraId="7FF3E3A4" w14:textId="019A010A" w:rsidR="00FB3CB7" w:rsidRPr="00FB3CB7" w:rsidRDefault="00FB3CB7" w:rsidP="00FB3CB7">
      <w:pPr>
        <w:spacing w:line="360" w:lineRule="auto"/>
        <w:jc w:val="both"/>
        <w:rPr>
          <w:rFonts w:ascii="Arial" w:hAnsi="Arial" w:cs="Arial"/>
        </w:rPr>
      </w:pPr>
      <w:r w:rsidRPr="00FB3CB7">
        <w:rPr>
          <w:rFonts w:ascii="Arial" w:hAnsi="Arial" w:cs="Arial"/>
        </w:rPr>
        <w:t xml:space="preserve">Modern practice Community antenatal midwifery services work in a continuum of care, adjusted to the structure of local health systems. In developed nations, community midwives visit local clinics and households with routine antenatal check-ups, but in LMICs they make home visits, group meetings, and health promotion (Sharma et al., 2018). The conventional practice is a series of visits every 4-6 weeks at the beginning of pregnancy, which become more frequent in the third trimester (World Health Organization, 2016). Empirical research shows that community-based midwifery has a powerful effect in raising attendance at ANC, as well as early use. A systematic </w:t>
      </w:r>
      <w:r w:rsidR="00652B9E">
        <w:rPr>
          <w:rFonts w:ascii="Arial" w:hAnsi="Arial" w:cs="Arial"/>
        </w:rPr>
        <w:t>evaluation</w:t>
      </w:r>
      <w:r w:rsidRPr="00FB3CB7">
        <w:rPr>
          <w:rFonts w:ascii="Arial" w:hAnsi="Arial" w:cs="Arial"/>
        </w:rPr>
        <w:t xml:space="preserve"> revealed that the proportion of women who attend at least one ANC visit and four or more visits increased to 78 52 49, in a systematic review conducted in South Asia, which employed community participation interventions instead (Sharma et al., 2018). A qualitative analysis of Pregnancy Circles </w:t>
      </w:r>
      <w:r w:rsidR="00657C9F" w:rsidRPr="00FB3CB7">
        <w:rPr>
          <w:rFonts w:ascii="Arial" w:hAnsi="Arial" w:cs="Arial"/>
        </w:rPr>
        <w:t xml:space="preserve">program </w:t>
      </w:r>
      <w:r w:rsidRPr="00FB3CB7">
        <w:rPr>
          <w:rFonts w:ascii="Arial" w:hAnsi="Arial" w:cs="Arial"/>
        </w:rPr>
        <w:t xml:space="preserve"> </w:t>
      </w:r>
      <w:r w:rsidR="00657C9F">
        <w:rPr>
          <w:rFonts w:ascii="Arial" w:hAnsi="Arial" w:cs="Arial"/>
        </w:rPr>
        <w:t xml:space="preserve">found </w:t>
      </w:r>
      <w:r w:rsidRPr="00FB3CB7">
        <w:rPr>
          <w:rFonts w:ascii="Arial" w:hAnsi="Arial" w:cs="Arial"/>
        </w:rPr>
        <w:t>that women had better knowledge and confidence in midwives together with trust through interactive sessions and the continuity of care (Darwent et al., 2023). In addition</w:t>
      </w:r>
      <w:r w:rsidR="00945CF3">
        <w:rPr>
          <w:rFonts w:ascii="Arial" w:hAnsi="Arial" w:cs="Arial"/>
        </w:rPr>
        <w:t xml:space="preserve"> to this</w:t>
      </w:r>
      <w:r w:rsidRPr="00FB3CB7">
        <w:rPr>
          <w:rFonts w:ascii="Arial" w:hAnsi="Arial" w:cs="Arial"/>
        </w:rPr>
        <w:t xml:space="preserve">, midwives can work </w:t>
      </w:r>
      <w:r w:rsidR="00945CF3">
        <w:rPr>
          <w:rFonts w:ascii="Arial" w:hAnsi="Arial" w:cs="Arial"/>
        </w:rPr>
        <w:t xml:space="preserve">together </w:t>
      </w:r>
      <w:r w:rsidRPr="00FB3CB7">
        <w:rPr>
          <w:rFonts w:ascii="Arial" w:hAnsi="Arial" w:cs="Arial"/>
        </w:rPr>
        <w:t>with community health workers and medical teams to have efficient referral mechanisms of high-risk pregnancies (Begum et al., 2020).</w:t>
      </w:r>
    </w:p>
    <w:p w14:paraId="4A7112CC" w14:textId="77777777" w:rsidR="00FB3CB7" w:rsidRPr="00FB3CB7" w:rsidRDefault="00FB3CB7" w:rsidP="005048CD">
      <w:pPr>
        <w:spacing w:after="0" w:line="276" w:lineRule="auto"/>
        <w:jc w:val="both"/>
        <w:rPr>
          <w:rFonts w:ascii="Arial" w:hAnsi="Arial" w:cs="Arial"/>
          <w:b/>
          <w:bCs/>
        </w:rPr>
      </w:pPr>
      <w:r w:rsidRPr="00FB3CB7">
        <w:rPr>
          <w:rFonts w:ascii="Arial" w:hAnsi="Arial" w:cs="Arial"/>
          <w:b/>
          <w:bCs/>
        </w:rPr>
        <w:t>Two Challenges Faced by the Service</w:t>
      </w:r>
    </w:p>
    <w:p w14:paraId="6EEAFEA3" w14:textId="3D6A020E" w:rsidR="00FB3CB7" w:rsidRPr="005048CD" w:rsidRDefault="00FB3CB7" w:rsidP="005048CD">
      <w:pPr>
        <w:pStyle w:val="ListParagraph"/>
        <w:numPr>
          <w:ilvl w:val="0"/>
          <w:numId w:val="8"/>
        </w:numPr>
        <w:spacing w:line="360" w:lineRule="auto"/>
        <w:jc w:val="both"/>
        <w:rPr>
          <w:rFonts w:ascii="Arial" w:hAnsi="Arial" w:cs="Arial"/>
        </w:rPr>
      </w:pPr>
      <w:r w:rsidRPr="005048CD">
        <w:rPr>
          <w:rFonts w:ascii="Arial" w:hAnsi="Arial" w:cs="Arial"/>
        </w:rPr>
        <w:t>Access, Acceptability and Community Trust</w:t>
      </w:r>
    </w:p>
    <w:p w14:paraId="4837ADF2" w14:textId="5D8739B8" w:rsidR="00FB3CB7" w:rsidRPr="00FB3CB7" w:rsidRDefault="00FB3CB7" w:rsidP="00FB3CB7">
      <w:pPr>
        <w:spacing w:line="360" w:lineRule="auto"/>
        <w:jc w:val="both"/>
        <w:rPr>
          <w:rFonts w:ascii="Arial" w:hAnsi="Arial" w:cs="Arial"/>
        </w:rPr>
      </w:pPr>
      <w:r w:rsidRPr="00FB3CB7">
        <w:rPr>
          <w:rFonts w:ascii="Arial" w:hAnsi="Arial" w:cs="Arial"/>
        </w:rPr>
        <w:t xml:space="preserve">In Pakistan, some groups are </w:t>
      </w:r>
      <w:r w:rsidR="00695E56">
        <w:rPr>
          <w:rFonts w:ascii="Arial" w:hAnsi="Arial" w:cs="Arial"/>
        </w:rPr>
        <w:t>not keen on</w:t>
      </w:r>
      <w:r w:rsidRPr="00FB3CB7">
        <w:rPr>
          <w:rFonts w:ascii="Arial" w:hAnsi="Arial" w:cs="Arial"/>
        </w:rPr>
        <w:t xml:space="preserve"> embrac</w:t>
      </w:r>
      <w:r w:rsidR="00695E56">
        <w:rPr>
          <w:rFonts w:ascii="Arial" w:hAnsi="Arial" w:cs="Arial"/>
        </w:rPr>
        <w:t>ing</w:t>
      </w:r>
      <w:r w:rsidRPr="00FB3CB7">
        <w:rPr>
          <w:rFonts w:ascii="Arial" w:hAnsi="Arial" w:cs="Arial"/>
        </w:rPr>
        <w:t xml:space="preserve"> the presence of young and unmarried midwives, and they tend to doubt their working experience and skills in maternity care provision (Zakar et al., 2023). These perceptions have limited the ability of women to prevent unwanted births by obtaining antenatal care, which is evidently high in conservative or rural areas. Besides, inequalities persist even in more advanced environments, with certain ethnic minority and socioeconomically disadvantaged groups showing decreased access to community-based antenatal services (Downe et al., 2019).  </w:t>
      </w:r>
    </w:p>
    <w:p w14:paraId="1B190B23" w14:textId="163863C9" w:rsidR="00FB3CB7" w:rsidRPr="005048CD" w:rsidRDefault="00FB3CB7" w:rsidP="005048CD">
      <w:pPr>
        <w:pStyle w:val="ListParagraph"/>
        <w:numPr>
          <w:ilvl w:val="0"/>
          <w:numId w:val="8"/>
        </w:numPr>
        <w:spacing w:line="360" w:lineRule="auto"/>
        <w:jc w:val="both"/>
        <w:rPr>
          <w:rFonts w:ascii="Arial" w:hAnsi="Arial" w:cs="Arial"/>
        </w:rPr>
      </w:pPr>
      <w:r w:rsidRPr="005048CD">
        <w:rPr>
          <w:rFonts w:ascii="Arial" w:hAnsi="Arial" w:cs="Arial"/>
        </w:rPr>
        <w:t>Resource, Infrastructure and Referral linkage issues</w:t>
      </w:r>
    </w:p>
    <w:p w14:paraId="118750DA" w14:textId="2ACCF89C" w:rsidR="00FB3CB7" w:rsidRDefault="00FB3CB7" w:rsidP="00FB3CB7">
      <w:pPr>
        <w:spacing w:line="360" w:lineRule="auto"/>
        <w:jc w:val="both"/>
        <w:rPr>
          <w:rFonts w:ascii="Arial" w:hAnsi="Arial" w:cs="Arial"/>
        </w:rPr>
      </w:pPr>
      <w:r w:rsidRPr="00FB3CB7">
        <w:rPr>
          <w:rFonts w:ascii="Arial" w:hAnsi="Arial" w:cs="Arial"/>
        </w:rPr>
        <w:t>The studies that have been carried out in Pakistan and Bangladesh clarify the lack of essential resources, inappropriate equipment, unstable transportation, and insufficient supervision of community midwives (Begum et al., 2020; Zakar et al., 2023). Such shortages hinder the provision of quality emergency obstetric and neonatal care particularly in rural or isolated locations where there are complications. Moreover, low connections among community and hospital-based care trigger the delay in the process of high-risk pregnancies referrals, thus increasing the threat of morbidity and mortality (Sharma et al., 2018).</w:t>
      </w:r>
    </w:p>
    <w:p w14:paraId="464DB244" w14:textId="77777777" w:rsidR="005048CD" w:rsidRDefault="005048CD" w:rsidP="00FB3CB7">
      <w:pPr>
        <w:spacing w:line="360" w:lineRule="auto"/>
        <w:jc w:val="both"/>
        <w:rPr>
          <w:rFonts w:ascii="Arial" w:hAnsi="Arial" w:cs="Arial"/>
        </w:rPr>
      </w:pPr>
    </w:p>
    <w:p w14:paraId="38EBC6C0" w14:textId="77777777" w:rsidR="005048CD" w:rsidRDefault="005048CD" w:rsidP="00FB3CB7">
      <w:pPr>
        <w:spacing w:line="360" w:lineRule="auto"/>
        <w:jc w:val="both"/>
        <w:rPr>
          <w:rFonts w:ascii="Arial" w:hAnsi="Arial" w:cs="Arial"/>
        </w:rPr>
      </w:pPr>
    </w:p>
    <w:p w14:paraId="577128AE" w14:textId="77777777" w:rsidR="00FB3CB7" w:rsidRDefault="00FB3CB7" w:rsidP="00FB3CB7">
      <w:pPr>
        <w:spacing w:line="360" w:lineRule="auto"/>
        <w:jc w:val="both"/>
        <w:rPr>
          <w:rFonts w:ascii="Arial" w:hAnsi="Arial" w:cs="Arial"/>
        </w:rPr>
      </w:pPr>
    </w:p>
    <w:p w14:paraId="4885139F" w14:textId="77777777" w:rsidR="00FB3CB7" w:rsidRDefault="00FB3CB7" w:rsidP="00FB3CB7">
      <w:pPr>
        <w:spacing w:line="360" w:lineRule="auto"/>
        <w:jc w:val="both"/>
        <w:rPr>
          <w:rFonts w:ascii="Arial" w:hAnsi="Arial" w:cs="Arial"/>
        </w:rPr>
      </w:pPr>
    </w:p>
    <w:p w14:paraId="4488368D" w14:textId="77777777" w:rsidR="00FB3CB7" w:rsidRDefault="00FB3CB7" w:rsidP="00FB3CB7">
      <w:pPr>
        <w:spacing w:line="360" w:lineRule="auto"/>
        <w:jc w:val="both"/>
        <w:rPr>
          <w:rFonts w:ascii="Arial" w:hAnsi="Arial" w:cs="Arial"/>
        </w:rPr>
      </w:pPr>
    </w:p>
    <w:p w14:paraId="28ED1E55" w14:textId="77777777" w:rsidR="00FB3CB7" w:rsidRDefault="00FB3CB7" w:rsidP="00FB3CB7">
      <w:pPr>
        <w:spacing w:line="360" w:lineRule="auto"/>
        <w:jc w:val="both"/>
        <w:rPr>
          <w:rFonts w:ascii="Arial" w:hAnsi="Arial" w:cs="Arial"/>
        </w:rPr>
      </w:pPr>
    </w:p>
    <w:p w14:paraId="51F67CEE" w14:textId="77777777" w:rsidR="00FB3CB7" w:rsidRDefault="00FB3CB7" w:rsidP="00FB3CB7">
      <w:pPr>
        <w:spacing w:line="360" w:lineRule="auto"/>
        <w:jc w:val="both"/>
        <w:rPr>
          <w:rFonts w:ascii="Arial" w:hAnsi="Arial" w:cs="Arial"/>
        </w:rPr>
      </w:pPr>
    </w:p>
    <w:p w14:paraId="091E57BB" w14:textId="77777777" w:rsidR="00FB3CB7" w:rsidRDefault="00FB3CB7" w:rsidP="00FB3CB7">
      <w:pPr>
        <w:spacing w:line="360" w:lineRule="auto"/>
        <w:jc w:val="both"/>
        <w:rPr>
          <w:rFonts w:ascii="Arial" w:hAnsi="Arial" w:cs="Arial"/>
        </w:rPr>
      </w:pPr>
    </w:p>
    <w:p w14:paraId="7EFA7454" w14:textId="77777777" w:rsidR="00FB3CB7" w:rsidRDefault="00FB3CB7" w:rsidP="00FB3CB7">
      <w:pPr>
        <w:spacing w:line="360" w:lineRule="auto"/>
        <w:jc w:val="both"/>
        <w:rPr>
          <w:rFonts w:ascii="Arial" w:hAnsi="Arial" w:cs="Arial"/>
        </w:rPr>
      </w:pPr>
    </w:p>
    <w:p w14:paraId="1209EA11" w14:textId="501797F4" w:rsidR="00F252C6" w:rsidRPr="00F252C6" w:rsidRDefault="002C7BC7" w:rsidP="00FB3CB7">
      <w:pPr>
        <w:spacing w:line="360" w:lineRule="auto"/>
        <w:rPr>
          <w:rFonts w:ascii="Arial" w:hAnsi="Arial" w:cs="Arial"/>
          <w:sz w:val="28"/>
          <w:szCs w:val="28"/>
        </w:rPr>
      </w:pPr>
      <w:r>
        <w:rPr>
          <w:rFonts w:ascii="Arial" w:hAnsi="Arial" w:cs="Arial"/>
          <w:b/>
          <w:bCs/>
          <w:sz w:val="28"/>
          <w:szCs w:val="28"/>
        </w:rPr>
        <w:t xml:space="preserve">Essay: </w:t>
      </w:r>
      <w:r w:rsidR="00F252C6" w:rsidRPr="00F252C6">
        <w:rPr>
          <w:rFonts w:ascii="Arial" w:hAnsi="Arial" w:cs="Arial"/>
          <w:b/>
          <w:bCs/>
          <w:sz w:val="28"/>
          <w:szCs w:val="28"/>
        </w:rPr>
        <w:t>Origins and Current Structure of the NHS</w:t>
      </w:r>
    </w:p>
    <w:p w14:paraId="3D37EF33" w14:textId="5ABB09A6" w:rsidR="00080F83" w:rsidRPr="00080F83" w:rsidRDefault="00080F83" w:rsidP="00080F83">
      <w:pPr>
        <w:spacing w:line="360" w:lineRule="auto"/>
        <w:jc w:val="both"/>
        <w:rPr>
          <w:rFonts w:ascii="Arial" w:hAnsi="Arial" w:cs="Arial"/>
          <w:sz w:val="24"/>
          <w:szCs w:val="24"/>
        </w:rPr>
      </w:pPr>
      <w:r w:rsidRPr="00080F83">
        <w:rPr>
          <w:rFonts w:ascii="Arial" w:hAnsi="Arial" w:cs="Arial"/>
          <w:sz w:val="24"/>
          <w:szCs w:val="24"/>
        </w:rPr>
        <w:t xml:space="preserve">The history of the National Health Service (NHS) in England and Wales can be traced back to the post-Second World War years when Britain had to face the problem of social, economic, and political reconstruction of the country. The experience of war instilled the feeling of shared responsibility and revealed the inequalities of access to healthcare. Before 1948, health services were separated, they were provided by local governments, voluntary hospitals, charities, and private doctors but this system of separation left a significant portion of the population especially the poor and the working population without proper access (Klein, 2019).  </w:t>
      </w:r>
    </w:p>
    <w:p w14:paraId="275F6EB0" w14:textId="35271491" w:rsidR="00080F83" w:rsidRPr="00080F83" w:rsidRDefault="00080F83" w:rsidP="00080F83">
      <w:pPr>
        <w:spacing w:line="360" w:lineRule="auto"/>
        <w:jc w:val="both"/>
        <w:rPr>
          <w:rFonts w:ascii="Arial" w:hAnsi="Arial" w:cs="Arial"/>
          <w:sz w:val="24"/>
          <w:szCs w:val="24"/>
        </w:rPr>
      </w:pPr>
      <w:r w:rsidRPr="00080F83">
        <w:rPr>
          <w:rFonts w:ascii="Arial" w:hAnsi="Arial" w:cs="Arial"/>
          <w:sz w:val="24"/>
          <w:szCs w:val="24"/>
        </w:rPr>
        <w:t xml:space="preserve">The Beveridge Report of 1942 was the foundation of post-war welfare reform, having suggested social insurance and universal healthcare as the keystones of a welfare state (Greener and Powell, 2018). The report and wartime planning which had already proved that centralized co-ordination was viable, put the case in favour of a nationalised health system to the fore. Clement Attlee, then Health Minister under the Labour Government, proposed the National Health Service Act of 1946 that came into practice 5 July 1948. The Act established a publicly funded, comprehensive health service, which provided free point of care, a universal health service and </w:t>
      </w:r>
      <w:r w:rsidR="00E24373">
        <w:rPr>
          <w:rFonts w:ascii="Arial" w:hAnsi="Arial" w:cs="Arial"/>
          <w:sz w:val="24"/>
          <w:szCs w:val="24"/>
        </w:rPr>
        <w:t>funded</w:t>
      </w:r>
      <w:r w:rsidRPr="00080F83">
        <w:rPr>
          <w:rFonts w:ascii="Arial" w:hAnsi="Arial" w:cs="Arial"/>
          <w:sz w:val="24"/>
          <w:szCs w:val="24"/>
        </w:rPr>
        <w:t xml:space="preserve"> by general taxation (Gorsky, 2018). These three principles are universal, comprehensive, and equity, which are the moral principles of the NHS.  </w:t>
      </w:r>
    </w:p>
    <w:p w14:paraId="37FB99E2" w14:textId="1E6B7761" w:rsidR="00080F83" w:rsidRPr="00080F83" w:rsidRDefault="00080F83" w:rsidP="00080F83">
      <w:pPr>
        <w:spacing w:line="360" w:lineRule="auto"/>
        <w:jc w:val="both"/>
        <w:rPr>
          <w:rFonts w:ascii="Arial" w:hAnsi="Arial" w:cs="Arial"/>
          <w:sz w:val="24"/>
          <w:szCs w:val="24"/>
        </w:rPr>
      </w:pPr>
      <w:r w:rsidRPr="00080F83">
        <w:rPr>
          <w:rFonts w:ascii="Arial" w:hAnsi="Arial" w:cs="Arial"/>
          <w:sz w:val="24"/>
          <w:szCs w:val="24"/>
        </w:rPr>
        <w:t xml:space="preserve">The NHS brought together the hospital, general practice and community services in a single structure. It was ideologically committed as well as practically needed: the war itself had made people believe more in the power of state-based solutions and in united efforts in medical care (Harrison, 2020). Consequently, healthcare became a right rather than a privilege, which reflected the wider welfare -state sensibility of post-war British society.  </w:t>
      </w:r>
    </w:p>
    <w:p w14:paraId="4A4B4CA4" w14:textId="77777777" w:rsidR="00080F83" w:rsidRPr="00080F83" w:rsidRDefault="00080F83" w:rsidP="00080F83">
      <w:pPr>
        <w:spacing w:line="360" w:lineRule="auto"/>
        <w:jc w:val="both"/>
        <w:rPr>
          <w:rFonts w:ascii="Arial" w:hAnsi="Arial" w:cs="Arial"/>
          <w:sz w:val="24"/>
          <w:szCs w:val="24"/>
        </w:rPr>
      </w:pPr>
      <w:r w:rsidRPr="00080F83">
        <w:rPr>
          <w:rFonts w:ascii="Arial" w:hAnsi="Arial" w:cs="Arial"/>
          <w:sz w:val="24"/>
          <w:szCs w:val="24"/>
        </w:rPr>
        <w:t xml:space="preserve">With time however, the NHS has gone through a lot of structural reforms in reaction to political, demographic, and technological changes. It is still publicly funded and is accountable to the Department of Health and Social Care. Today, the NHS is among the largest publicly funded health care services in the world with hospital, community, primary, and specialist services (Baggott, 2019). This system is structured on three levels of the national (policy and funding), regional (NHS England and Integrated Care Boards), and local (service providers, including NHS Trusts, GP practices, and community health teams) levels.  </w:t>
      </w:r>
    </w:p>
    <w:p w14:paraId="45C80BBD" w14:textId="77777777" w:rsidR="00080F83" w:rsidRPr="00080F83" w:rsidRDefault="00080F83" w:rsidP="00080F83">
      <w:pPr>
        <w:spacing w:line="360" w:lineRule="auto"/>
        <w:jc w:val="both"/>
        <w:rPr>
          <w:rFonts w:ascii="Arial" w:hAnsi="Arial" w:cs="Arial"/>
          <w:sz w:val="24"/>
          <w:szCs w:val="24"/>
        </w:rPr>
      </w:pPr>
    </w:p>
    <w:p w14:paraId="27DFB8FA" w14:textId="020DCF33" w:rsidR="00080F83" w:rsidRPr="00080F83" w:rsidRDefault="00080F83" w:rsidP="00080F83">
      <w:pPr>
        <w:spacing w:line="360" w:lineRule="auto"/>
        <w:jc w:val="both"/>
        <w:rPr>
          <w:rFonts w:ascii="Arial" w:hAnsi="Arial" w:cs="Arial"/>
          <w:sz w:val="24"/>
          <w:szCs w:val="24"/>
        </w:rPr>
      </w:pPr>
      <w:r w:rsidRPr="00080F83">
        <w:rPr>
          <w:rFonts w:ascii="Arial" w:hAnsi="Arial" w:cs="Arial"/>
          <w:sz w:val="24"/>
          <w:szCs w:val="24"/>
        </w:rPr>
        <w:t>The reforms as guided are founded on unity and effectiveness. Integrated Care Systems (ICSs) were introduced in the Health and Care Act (2022) to improve hospital, GP to community service integration (Charles et al., 2023). Regardless, The NHS has complex issues. In a qualitative study, primary care provision and the new integrated models were in tension, suggesting that policy ambitions and on-the-ground reality were misaligned (Dalkin et al., 2023).</w:t>
      </w:r>
    </w:p>
    <w:p w14:paraId="34935B2A" w14:textId="66D28023" w:rsidR="00080F83" w:rsidRPr="00080F83" w:rsidRDefault="00080F83" w:rsidP="00080F83">
      <w:pPr>
        <w:spacing w:line="360" w:lineRule="auto"/>
        <w:jc w:val="both"/>
        <w:rPr>
          <w:rFonts w:ascii="Arial" w:hAnsi="Arial" w:cs="Arial"/>
          <w:sz w:val="24"/>
          <w:szCs w:val="24"/>
        </w:rPr>
      </w:pPr>
      <w:r w:rsidRPr="00080F83">
        <w:rPr>
          <w:rFonts w:ascii="Arial" w:hAnsi="Arial" w:cs="Arial"/>
          <w:sz w:val="24"/>
          <w:szCs w:val="24"/>
        </w:rPr>
        <w:t xml:space="preserve">The NHS has come under tremendous pressure due to financial limitations, employee shortages and increasing pressure by an ageing population. An overall analysis of NHS performance (Murray &amp; Charlesworth, 2023) revealed that the system has continued to have problems with resource strain, waiting times, and geographical imbalance. In addition, austerity measures have hindered the capacity of the population to maintain their health, and have increased health disparities since 2010 (Watkins et al., 2020). Although the NHS is still committed to its original care principle of universality, the research shows that socio-economic disparities in access and health outcomes have not been eliminated, especially in service providers of preventive and mental care (Baker,  2021).  </w:t>
      </w:r>
    </w:p>
    <w:p w14:paraId="3DA6E8CD" w14:textId="0C8D5AA0" w:rsidR="00080F83" w:rsidRPr="00080F83" w:rsidRDefault="00080F83" w:rsidP="00080F83">
      <w:pPr>
        <w:spacing w:line="360" w:lineRule="auto"/>
        <w:jc w:val="both"/>
        <w:rPr>
          <w:rFonts w:ascii="Arial" w:hAnsi="Arial" w:cs="Arial"/>
          <w:sz w:val="24"/>
          <w:szCs w:val="24"/>
        </w:rPr>
      </w:pPr>
      <w:r w:rsidRPr="00080F83">
        <w:rPr>
          <w:rFonts w:ascii="Arial" w:hAnsi="Arial" w:cs="Arial"/>
          <w:sz w:val="24"/>
          <w:szCs w:val="24"/>
        </w:rPr>
        <w:t xml:space="preserve">Governance wise, the structure of NHS has been largely criticized as being over complex and fragmented. The result of frequent reorganizations, including the ones after the Health and Social Care Act 2012, presented commissioning systems and competitive market factors, the effect of which, some scholars infer, diluted the accountability and continuity in care (Checkland et al., 2018). Meanwhile, the innovations in digital health, community, and multidisciplinary models are transforming the ways in which the NHS provides services on a mass basis.  </w:t>
      </w:r>
    </w:p>
    <w:p w14:paraId="47B67142" w14:textId="5AA1A9BF" w:rsidR="00F252C6" w:rsidRDefault="00080F83" w:rsidP="00080F83">
      <w:pPr>
        <w:spacing w:line="360" w:lineRule="auto"/>
        <w:jc w:val="both"/>
        <w:rPr>
          <w:rFonts w:ascii="Arial" w:hAnsi="Arial" w:cs="Arial"/>
          <w:sz w:val="24"/>
          <w:szCs w:val="24"/>
        </w:rPr>
      </w:pPr>
      <w:r w:rsidRPr="00080F83">
        <w:rPr>
          <w:rFonts w:ascii="Arial" w:hAnsi="Arial" w:cs="Arial"/>
          <w:sz w:val="24"/>
          <w:szCs w:val="24"/>
        </w:rPr>
        <w:t>Altogether, the NHS was established in 1948 in the reaction to social inequality and as the part of post-war welfare Britain. Based on the ideas of equity, universality, and free access, it continues to be a characteristic institution of the British society. As the NHS goes through its ups and downs today, the pressures that is mounting on the system such as financial, demographic, and systemic are putting it to the test of delivering equitable and high-quality care. The timeless challenge to policy-makers is to streamline the NHS and bring it up to date, preserving its original values, in the face of the twenty-first century imperatives.</w:t>
      </w:r>
    </w:p>
    <w:p w14:paraId="3CCD359E" w14:textId="77777777" w:rsidR="00FB3CB7" w:rsidRDefault="00FB3CB7" w:rsidP="00080F83">
      <w:pPr>
        <w:spacing w:line="360" w:lineRule="auto"/>
        <w:jc w:val="both"/>
        <w:rPr>
          <w:rFonts w:ascii="Arial" w:hAnsi="Arial" w:cs="Arial"/>
          <w:sz w:val="24"/>
          <w:szCs w:val="24"/>
        </w:rPr>
      </w:pPr>
    </w:p>
    <w:p w14:paraId="2C1A7888" w14:textId="77777777" w:rsidR="00FB3CB7" w:rsidRDefault="00FB3CB7" w:rsidP="00080F83">
      <w:pPr>
        <w:spacing w:line="360" w:lineRule="auto"/>
        <w:jc w:val="both"/>
        <w:rPr>
          <w:rFonts w:ascii="Arial" w:hAnsi="Arial" w:cs="Arial"/>
          <w:sz w:val="24"/>
          <w:szCs w:val="24"/>
        </w:rPr>
      </w:pPr>
    </w:p>
    <w:p w14:paraId="15E6A51C" w14:textId="77777777" w:rsidR="00FB3CB7" w:rsidRDefault="00FB3CB7" w:rsidP="00080F83">
      <w:pPr>
        <w:spacing w:line="360" w:lineRule="auto"/>
        <w:jc w:val="both"/>
        <w:rPr>
          <w:rFonts w:ascii="Arial" w:hAnsi="Arial" w:cs="Arial"/>
          <w:sz w:val="24"/>
          <w:szCs w:val="24"/>
        </w:rPr>
      </w:pPr>
    </w:p>
    <w:p w14:paraId="150180FF" w14:textId="153DA116" w:rsidR="00FB3CB7" w:rsidRPr="005048CD" w:rsidRDefault="00FB3CB7" w:rsidP="00C46111">
      <w:pPr>
        <w:rPr>
          <w:rFonts w:ascii="Arial" w:hAnsi="Arial" w:cs="Arial"/>
          <w:b/>
          <w:bCs/>
          <w:sz w:val="28"/>
          <w:szCs w:val="28"/>
        </w:rPr>
      </w:pPr>
      <w:r w:rsidRPr="005048CD">
        <w:rPr>
          <w:rFonts w:ascii="Arial" w:hAnsi="Arial" w:cs="Arial"/>
          <w:b/>
          <w:bCs/>
          <w:sz w:val="28"/>
          <w:szCs w:val="28"/>
        </w:rPr>
        <w:t>References</w:t>
      </w:r>
    </w:p>
    <w:p w14:paraId="47139370" w14:textId="77777777" w:rsidR="005048CD" w:rsidRPr="005048CD" w:rsidRDefault="005048CD" w:rsidP="005048CD">
      <w:pPr>
        <w:spacing w:line="360" w:lineRule="auto"/>
        <w:jc w:val="both"/>
        <w:rPr>
          <w:rFonts w:ascii="Arial" w:hAnsi="Arial" w:cs="Arial"/>
          <w:sz w:val="24"/>
          <w:szCs w:val="24"/>
        </w:rPr>
      </w:pPr>
      <w:r w:rsidRPr="005048CD">
        <w:rPr>
          <w:rFonts w:ascii="Arial" w:hAnsi="Arial" w:cs="Arial"/>
          <w:sz w:val="24"/>
          <w:szCs w:val="24"/>
        </w:rPr>
        <w:t xml:space="preserve">Baggott, R. (2019) Understanding Health Policy, 4th </w:t>
      </w:r>
      <w:proofErr w:type="spellStart"/>
      <w:r w:rsidRPr="005048CD">
        <w:rPr>
          <w:rFonts w:ascii="Arial" w:hAnsi="Arial" w:cs="Arial"/>
          <w:sz w:val="24"/>
          <w:szCs w:val="24"/>
        </w:rPr>
        <w:t>edn</w:t>
      </w:r>
      <w:proofErr w:type="spellEnd"/>
      <w:r w:rsidRPr="005048CD">
        <w:rPr>
          <w:rFonts w:ascii="Arial" w:hAnsi="Arial" w:cs="Arial"/>
          <w:sz w:val="24"/>
          <w:szCs w:val="24"/>
        </w:rPr>
        <w:t>. Bristol: Policy Press.</w:t>
      </w:r>
    </w:p>
    <w:p w14:paraId="550C08A0" w14:textId="77777777" w:rsidR="005048CD" w:rsidRPr="005048CD" w:rsidRDefault="005048CD" w:rsidP="005048CD">
      <w:pPr>
        <w:spacing w:line="360" w:lineRule="auto"/>
        <w:jc w:val="both"/>
        <w:rPr>
          <w:rFonts w:ascii="Arial" w:hAnsi="Arial" w:cs="Arial"/>
          <w:sz w:val="24"/>
          <w:szCs w:val="24"/>
        </w:rPr>
      </w:pPr>
      <w:r w:rsidRPr="005048CD">
        <w:rPr>
          <w:rFonts w:ascii="Arial" w:hAnsi="Arial" w:cs="Arial"/>
          <w:sz w:val="24"/>
          <w:szCs w:val="24"/>
        </w:rPr>
        <w:t>Baker, C. (2021) ‘Health inequalities in England: The Marmot review ten years on’, BMJ, 372(1), n48.</w:t>
      </w:r>
    </w:p>
    <w:p w14:paraId="12BCBC2F" w14:textId="77777777" w:rsidR="005048CD" w:rsidRPr="005048CD" w:rsidRDefault="005048CD" w:rsidP="005048CD">
      <w:pPr>
        <w:spacing w:line="360" w:lineRule="auto"/>
        <w:jc w:val="both"/>
        <w:rPr>
          <w:rFonts w:ascii="Arial" w:hAnsi="Arial" w:cs="Arial"/>
          <w:sz w:val="24"/>
          <w:szCs w:val="24"/>
        </w:rPr>
      </w:pPr>
      <w:r w:rsidRPr="005048CD">
        <w:rPr>
          <w:rFonts w:ascii="Arial" w:hAnsi="Arial" w:cs="Arial"/>
          <w:sz w:val="24"/>
          <w:szCs w:val="24"/>
        </w:rPr>
        <w:t xml:space="preserve">Bohren, M.A., Berger, B.O., Munthe-Kaas, H.M. and </w:t>
      </w:r>
      <w:proofErr w:type="spellStart"/>
      <w:r w:rsidRPr="005048CD">
        <w:rPr>
          <w:rFonts w:ascii="Arial" w:hAnsi="Arial" w:cs="Arial"/>
          <w:sz w:val="24"/>
          <w:szCs w:val="24"/>
        </w:rPr>
        <w:t>Tunçalp</w:t>
      </w:r>
      <w:proofErr w:type="spellEnd"/>
      <w:r w:rsidRPr="005048CD">
        <w:rPr>
          <w:rFonts w:ascii="Arial" w:hAnsi="Arial" w:cs="Arial"/>
          <w:sz w:val="24"/>
          <w:szCs w:val="24"/>
        </w:rPr>
        <w:t>, Ö. (2019) ‘Perceptions and experiences of community midwives in low- and middle-income countries: a qualitative evidence synthesis’, BMC Public Health, 19(1), pp. 55–67.</w:t>
      </w:r>
    </w:p>
    <w:p w14:paraId="6D8C20CD" w14:textId="77777777" w:rsidR="005048CD" w:rsidRPr="005048CD" w:rsidRDefault="005048CD" w:rsidP="005048CD">
      <w:pPr>
        <w:spacing w:line="360" w:lineRule="auto"/>
        <w:jc w:val="both"/>
        <w:rPr>
          <w:rFonts w:ascii="Arial" w:hAnsi="Arial" w:cs="Arial"/>
          <w:sz w:val="24"/>
          <w:szCs w:val="24"/>
        </w:rPr>
      </w:pPr>
      <w:proofErr w:type="spellStart"/>
      <w:r w:rsidRPr="005048CD">
        <w:rPr>
          <w:rFonts w:ascii="Arial" w:hAnsi="Arial" w:cs="Arial"/>
          <w:sz w:val="24"/>
          <w:szCs w:val="24"/>
        </w:rPr>
        <w:t>Checkland</w:t>
      </w:r>
      <w:proofErr w:type="spellEnd"/>
      <w:r w:rsidRPr="005048CD">
        <w:rPr>
          <w:rFonts w:ascii="Arial" w:hAnsi="Arial" w:cs="Arial"/>
          <w:sz w:val="24"/>
          <w:szCs w:val="24"/>
        </w:rPr>
        <w:t>, K., Hammond, J. and Coleman, A. (2018) ‘Accountability and integration in the NHS: the changing face of primary care’, BMC Health Services Research, 18(1), pp. 291–300.</w:t>
      </w:r>
    </w:p>
    <w:p w14:paraId="33D34E7C" w14:textId="77777777" w:rsidR="005048CD" w:rsidRPr="005048CD" w:rsidRDefault="005048CD" w:rsidP="005048CD">
      <w:pPr>
        <w:spacing w:line="360" w:lineRule="auto"/>
        <w:jc w:val="both"/>
        <w:rPr>
          <w:rFonts w:ascii="Arial" w:hAnsi="Arial" w:cs="Arial"/>
          <w:sz w:val="24"/>
          <w:szCs w:val="24"/>
        </w:rPr>
      </w:pPr>
      <w:proofErr w:type="spellStart"/>
      <w:r w:rsidRPr="005048CD">
        <w:rPr>
          <w:rFonts w:ascii="Arial" w:hAnsi="Arial" w:cs="Arial"/>
          <w:sz w:val="24"/>
          <w:szCs w:val="24"/>
        </w:rPr>
        <w:t>Dalkin</w:t>
      </w:r>
      <w:proofErr w:type="spellEnd"/>
      <w:r w:rsidRPr="005048CD">
        <w:rPr>
          <w:rFonts w:ascii="Arial" w:hAnsi="Arial" w:cs="Arial"/>
          <w:sz w:val="24"/>
          <w:szCs w:val="24"/>
        </w:rPr>
        <w:t xml:space="preserve">, S.M., </w:t>
      </w:r>
      <w:proofErr w:type="spellStart"/>
      <w:r w:rsidRPr="005048CD">
        <w:rPr>
          <w:rFonts w:ascii="Arial" w:hAnsi="Arial" w:cs="Arial"/>
          <w:sz w:val="24"/>
          <w:szCs w:val="24"/>
        </w:rPr>
        <w:t>Lhussier</w:t>
      </w:r>
      <w:proofErr w:type="spellEnd"/>
      <w:r w:rsidRPr="005048CD">
        <w:rPr>
          <w:rFonts w:ascii="Arial" w:hAnsi="Arial" w:cs="Arial"/>
          <w:sz w:val="24"/>
          <w:szCs w:val="24"/>
        </w:rPr>
        <w:t>, M., and Burton, C.R. (2023) ‘Primary care in the context of integrated care systems: challenges and opportunities’, BMC Primary Care, 24(1), pp. 77–89.</w:t>
      </w:r>
    </w:p>
    <w:p w14:paraId="4C76C82F" w14:textId="77777777" w:rsidR="005048CD" w:rsidRPr="00FB3CB7" w:rsidRDefault="005048CD" w:rsidP="005048CD">
      <w:pPr>
        <w:spacing w:line="360" w:lineRule="auto"/>
        <w:rPr>
          <w:rFonts w:ascii="Arial" w:hAnsi="Arial" w:cs="Arial"/>
          <w:sz w:val="24"/>
          <w:szCs w:val="24"/>
        </w:rPr>
      </w:pPr>
      <w:r w:rsidRPr="00FB3CB7">
        <w:rPr>
          <w:rFonts w:ascii="Arial" w:hAnsi="Arial" w:cs="Arial"/>
          <w:sz w:val="24"/>
          <w:szCs w:val="24"/>
        </w:rPr>
        <w:t>Gibson, E., Pettinger, K. and Donnelly, L. (2020) ‘Continuity and relationship-building in community-based antenatal care: insights from midwives and service users’, BMC Pregnancy and Childbirth, 20(1), pp. 456–465.</w:t>
      </w:r>
    </w:p>
    <w:p w14:paraId="56E7ED4B" w14:textId="77777777" w:rsidR="005048CD" w:rsidRPr="005048CD" w:rsidRDefault="005048CD" w:rsidP="005048CD">
      <w:pPr>
        <w:spacing w:line="360" w:lineRule="auto"/>
        <w:jc w:val="both"/>
        <w:rPr>
          <w:rFonts w:ascii="Arial" w:hAnsi="Arial" w:cs="Arial"/>
          <w:sz w:val="24"/>
          <w:szCs w:val="24"/>
        </w:rPr>
      </w:pPr>
      <w:r w:rsidRPr="005048CD">
        <w:rPr>
          <w:rFonts w:ascii="Arial" w:hAnsi="Arial" w:cs="Arial"/>
          <w:sz w:val="24"/>
          <w:szCs w:val="24"/>
        </w:rPr>
        <w:t>Gorsky, M. (2018) ‘The British National Health Service 1948–2018: a review of the historiography’, Social History of Medicine, 31(2), pp. 437–460.</w:t>
      </w:r>
    </w:p>
    <w:p w14:paraId="1A8734F5" w14:textId="77777777" w:rsidR="005048CD" w:rsidRPr="005048CD" w:rsidRDefault="005048CD" w:rsidP="005048CD">
      <w:pPr>
        <w:spacing w:line="360" w:lineRule="auto"/>
        <w:jc w:val="both"/>
        <w:rPr>
          <w:rFonts w:ascii="Arial" w:hAnsi="Arial" w:cs="Arial"/>
          <w:sz w:val="24"/>
          <w:szCs w:val="24"/>
        </w:rPr>
      </w:pPr>
      <w:r w:rsidRPr="005048CD">
        <w:rPr>
          <w:rFonts w:ascii="Arial" w:hAnsi="Arial" w:cs="Arial"/>
          <w:sz w:val="24"/>
          <w:szCs w:val="24"/>
        </w:rPr>
        <w:t>Greener, I. and Powell, M. (2018) ‘Health and the National Health Service’, Social Policy &amp; Administration, 52(1), pp. 1–15.</w:t>
      </w:r>
    </w:p>
    <w:p w14:paraId="50076542" w14:textId="77777777" w:rsidR="005048CD" w:rsidRPr="005048CD" w:rsidRDefault="005048CD" w:rsidP="005048CD">
      <w:pPr>
        <w:spacing w:line="360" w:lineRule="auto"/>
        <w:jc w:val="both"/>
        <w:rPr>
          <w:rFonts w:ascii="Arial" w:hAnsi="Arial" w:cs="Arial"/>
          <w:sz w:val="24"/>
          <w:szCs w:val="24"/>
        </w:rPr>
      </w:pPr>
      <w:r w:rsidRPr="005048CD">
        <w:rPr>
          <w:rFonts w:ascii="Arial" w:hAnsi="Arial" w:cs="Arial"/>
          <w:sz w:val="24"/>
          <w:szCs w:val="24"/>
        </w:rPr>
        <w:t>Harrison, S. (2020) ‘The NHS at 70: reform, resilience and renewal’, Journal of Health Services Research &amp; Policy, 25(1), pp. 1–5.</w:t>
      </w:r>
    </w:p>
    <w:p w14:paraId="46C46F0A" w14:textId="77777777" w:rsidR="005048CD" w:rsidRPr="005048CD" w:rsidRDefault="005048CD" w:rsidP="005048CD">
      <w:pPr>
        <w:spacing w:line="360" w:lineRule="auto"/>
        <w:rPr>
          <w:rFonts w:ascii="Arial" w:hAnsi="Arial" w:cs="Arial"/>
          <w:sz w:val="24"/>
          <w:szCs w:val="24"/>
        </w:rPr>
      </w:pPr>
      <w:r w:rsidRPr="005048CD">
        <w:rPr>
          <w:rFonts w:ascii="Arial" w:hAnsi="Arial" w:cs="Arial"/>
          <w:sz w:val="24"/>
          <w:szCs w:val="24"/>
        </w:rPr>
        <w:t>Hassan, N., Saleem, S. and Qureshi, R. (2021) ‘Barriers and facilitators to effective community midwifery services in Pakistan: a qualitative study’, BMC Health Services Research, 21(1), pp. 1104–1116.</w:t>
      </w:r>
    </w:p>
    <w:p w14:paraId="78E4B935" w14:textId="77777777" w:rsidR="005048CD" w:rsidRPr="005048CD" w:rsidRDefault="005048CD" w:rsidP="005048CD">
      <w:pPr>
        <w:spacing w:line="360" w:lineRule="auto"/>
        <w:jc w:val="both"/>
        <w:rPr>
          <w:rFonts w:ascii="Arial" w:hAnsi="Arial" w:cs="Arial"/>
          <w:sz w:val="24"/>
          <w:szCs w:val="24"/>
        </w:rPr>
      </w:pPr>
      <w:r w:rsidRPr="005048CD">
        <w:rPr>
          <w:rFonts w:ascii="Arial" w:hAnsi="Arial" w:cs="Arial"/>
          <w:sz w:val="24"/>
          <w:szCs w:val="24"/>
        </w:rPr>
        <w:t>Hassan, N., Saleem, S. and Qureshi, R. (2021) ‘Barriers and facilitators to effective community midwifery services in Pakistan: a qualitative study’, BMC Health Services Research, 21(1), pp. 1104–1116.</w:t>
      </w:r>
    </w:p>
    <w:p w14:paraId="79A219A4" w14:textId="77777777" w:rsidR="005048CD" w:rsidRPr="005048CD" w:rsidRDefault="005048CD" w:rsidP="005048CD">
      <w:pPr>
        <w:spacing w:line="360" w:lineRule="auto"/>
        <w:jc w:val="both"/>
        <w:rPr>
          <w:rFonts w:ascii="Arial" w:hAnsi="Arial" w:cs="Arial"/>
          <w:sz w:val="24"/>
          <w:szCs w:val="24"/>
        </w:rPr>
      </w:pPr>
      <w:r w:rsidRPr="005048CD">
        <w:rPr>
          <w:rFonts w:ascii="Arial" w:hAnsi="Arial" w:cs="Arial"/>
          <w:sz w:val="24"/>
          <w:szCs w:val="24"/>
        </w:rPr>
        <w:t xml:space="preserve">Klein, R. (2019) The New Politics of the NHS: From Creation to Reinvention, 8th </w:t>
      </w:r>
      <w:proofErr w:type="spellStart"/>
      <w:r w:rsidRPr="005048CD">
        <w:rPr>
          <w:rFonts w:ascii="Arial" w:hAnsi="Arial" w:cs="Arial"/>
          <w:sz w:val="24"/>
          <w:szCs w:val="24"/>
        </w:rPr>
        <w:t>edn</w:t>
      </w:r>
      <w:proofErr w:type="spellEnd"/>
      <w:r w:rsidRPr="005048CD">
        <w:rPr>
          <w:rFonts w:ascii="Arial" w:hAnsi="Arial" w:cs="Arial"/>
          <w:sz w:val="24"/>
          <w:szCs w:val="24"/>
        </w:rPr>
        <w:t>. Abingdon: Routledge.</w:t>
      </w:r>
    </w:p>
    <w:p w14:paraId="5ABE9E4A" w14:textId="77777777" w:rsidR="005048CD" w:rsidRPr="005048CD" w:rsidRDefault="005048CD" w:rsidP="005048CD">
      <w:pPr>
        <w:spacing w:line="360" w:lineRule="auto"/>
        <w:jc w:val="both"/>
        <w:rPr>
          <w:rFonts w:ascii="Arial" w:hAnsi="Arial" w:cs="Arial"/>
          <w:sz w:val="24"/>
          <w:szCs w:val="24"/>
        </w:rPr>
      </w:pPr>
      <w:r w:rsidRPr="005048CD">
        <w:rPr>
          <w:rFonts w:ascii="Arial" w:hAnsi="Arial" w:cs="Arial"/>
          <w:sz w:val="24"/>
          <w:szCs w:val="24"/>
        </w:rPr>
        <w:t>Murray, R. and Charlesworth, A. (2023) ‘The NHS at 75: achievements, challenges, and future prospects’, BMJ, 382, p. e074562.</w:t>
      </w:r>
    </w:p>
    <w:p w14:paraId="5DCB6482" w14:textId="77777777" w:rsidR="005048CD" w:rsidRPr="00FB3CB7" w:rsidRDefault="005048CD" w:rsidP="005048CD">
      <w:pPr>
        <w:spacing w:line="360" w:lineRule="auto"/>
        <w:rPr>
          <w:rFonts w:ascii="Arial" w:hAnsi="Arial" w:cs="Arial"/>
          <w:sz w:val="24"/>
          <w:szCs w:val="24"/>
        </w:rPr>
      </w:pPr>
      <w:r w:rsidRPr="00FB3CB7">
        <w:rPr>
          <w:rFonts w:ascii="Arial" w:hAnsi="Arial" w:cs="Arial"/>
          <w:sz w:val="24"/>
          <w:szCs w:val="24"/>
        </w:rPr>
        <w:t>NHS Digital (2023) Maternity Services Monthly Statistics, England 2023. NHS Digital. Available at: https://digital.nhs.uk</w:t>
      </w:r>
    </w:p>
    <w:p w14:paraId="2D255503" w14:textId="77777777" w:rsidR="005048CD" w:rsidRPr="00FB3CB7" w:rsidRDefault="005048CD" w:rsidP="005048CD">
      <w:pPr>
        <w:spacing w:line="360" w:lineRule="auto"/>
        <w:rPr>
          <w:rFonts w:ascii="Arial" w:hAnsi="Arial" w:cs="Arial"/>
          <w:sz w:val="24"/>
          <w:szCs w:val="24"/>
        </w:rPr>
      </w:pPr>
      <w:r w:rsidRPr="00FB3CB7">
        <w:rPr>
          <w:rFonts w:ascii="Arial" w:hAnsi="Arial" w:cs="Arial"/>
          <w:sz w:val="24"/>
          <w:szCs w:val="24"/>
        </w:rPr>
        <w:t>Renfrew, M.J., Ager, A., McFadden, A., et al. (2019) ‘Midwifery and quality care: findings from a new evidence-informed framework for maternal and newborn care’, The Lancet Global Health, 7(5), e712–e721.</w:t>
      </w:r>
    </w:p>
    <w:p w14:paraId="7A89310E" w14:textId="30CCE9A7" w:rsidR="005048CD" w:rsidRPr="005048CD" w:rsidRDefault="005048CD" w:rsidP="005048CD">
      <w:pPr>
        <w:spacing w:line="360" w:lineRule="auto"/>
        <w:rPr>
          <w:rFonts w:ascii="Arial" w:hAnsi="Arial" w:cs="Arial"/>
          <w:sz w:val="24"/>
          <w:szCs w:val="24"/>
        </w:rPr>
      </w:pPr>
      <w:r w:rsidRPr="005048CD">
        <w:rPr>
          <w:rFonts w:ascii="Arial" w:hAnsi="Arial" w:cs="Arial"/>
          <w:sz w:val="24"/>
          <w:szCs w:val="24"/>
        </w:rPr>
        <w:t>Sandall, J., Tribe, R.M., Avery, L., et al. (2021) ‘Midwife-led continuity models versus other models of care for childbearing women’, Cochrane Database of Systematic Reviews, (2), CD004667.</w:t>
      </w:r>
    </w:p>
    <w:p w14:paraId="7C2BECBB" w14:textId="77777777" w:rsidR="005048CD" w:rsidRPr="005048CD" w:rsidRDefault="005048CD" w:rsidP="005048CD">
      <w:pPr>
        <w:spacing w:line="360" w:lineRule="auto"/>
        <w:jc w:val="both"/>
        <w:rPr>
          <w:rFonts w:ascii="Arial" w:hAnsi="Arial" w:cs="Arial"/>
          <w:sz w:val="24"/>
          <w:szCs w:val="24"/>
        </w:rPr>
      </w:pPr>
      <w:r w:rsidRPr="005048CD">
        <w:rPr>
          <w:rFonts w:ascii="Arial" w:hAnsi="Arial" w:cs="Arial"/>
          <w:sz w:val="24"/>
          <w:szCs w:val="24"/>
        </w:rPr>
        <w:t xml:space="preserve">Watkins, J., </w:t>
      </w:r>
      <w:proofErr w:type="spellStart"/>
      <w:r w:rsidRPr="005048CD">
        <w:rPr>
          <w:rFonts w:ascii="Arial" w:hAnsi="Arial" w:cs="Arial"/>
          <w:sz w:val="24"/>
          <w:szCs w:val="24"/>
        </w:rPr>
        <w:t>Wulaningsih</w:t>
      </w:r>
      <w:proofErr w:type="spellEnd"/>
      <w:r w:rsidRPr="005048CD">
        <w:rPr>
          <w:rFonts w:ascii="Arial" w:hAnsi="Arial" w:cs="Arial"/>
          <w:sz w:val="24"/>
          <w:szCs w:val="24"/>
        </w:rPr>
        <w:t>, W., Da Zhou, C., et al. (2020) ‘Effects of health and social care spending constraints on mortality in England: a time trend analysis’, BMJ Open, 10(2), e033718.</w:t>
      </w:r>
    </w:p>
    <w:sectPr w:rsidR="005048CD" w:rsidRPr="005048CD" w:rsidSect="00C46111">
      <w:headerReference w:type="default" r:id="rId13"/>
      <w:headerReference w:type="first" r:id="rId14"/>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80D9E1" w14:textId="77777777" w:rsidR="00122718" w:rsidRDefault="00122718" w:rsidP="00D210FA">
      <w:pPr>
        <w:spacing w:after="0"/>
      </w:pPr>
      <w:r>
        <w:separator/>
      </w:r>
    </w:p>
  </w:endnote>
  <w:endnote w:type="continuationSeparator" w:id="0">
    <w:p w14:paraId="49544683" w14:textId="77777777" w:rsidR="00122718" w:rsidRDefault="00122718"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1057E0" w14:textId="77777777" w:rsidR="00122718" w:rsidRDefault="00122718" w:rsidP="00D210FA">
      <w:pPr>
        <w:spacing w:after="0"/>
      </w:pPr>
      <w:r>
        <w:separator/>
      </w:r>
    </w:p>
  </w:footnote>
  <w:footnote w:type="continuationSeparator" w:id="0">
    <w:p w14:paraId="71DB4C14" w14:textId="77777777" w:rsidR="00122718" w:rsidRDefault="00122718"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322C6CAC"/>
    <w:multiLevelType w:val="hybridMultilevel"/>
    <w:tmpl w:val="C220F1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1"/>
  </w:num>
  <w:num w:numId="2" w16cid:durableId="66732129">
    <w:abstractNumId w:val="0"/>
  </w:num>
  <w:num w:numId="3" w16cid:durableId="1791968620">
    <w:abstractNumId w:val="6"/>
  </w:num>
  <w:num w:numId="4" w16cid:durableId="67852329">
    <w:abstractNumId w:val="7"/>
  </w:num>
  <w:num w:numId="5" w16cid:durableId="825783799">
    <w:abstractNumId w:val="4"/>
  </w:num>
  <w:num w:numId="6" w16cid:durableId="1203637911">
    <w:abstractNumId w:val="2"/>
  </w:num>
  <w:num w:numId="7" w16cid:durableId="1393117886">
    <w:abstractNumId w:val="5"/>
  </w:num>
  <w:num w:numId="8" w16cid:durableId="185599534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0"/>
  <w:proofState w:spelling="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80F83"/>
    <w:rsid w:val="0008782A"/>
    <w:rsid w:val="000977E3"/>
    <w:rsid w:val="000A065A"/>
    <w:rsid w:val="00106FC5"/>
    <w:rsid w:val="00120DEC"/>
    <w:rsid w:val="00122718"/>
    <w:rsid w:val="00123C19"/>
    <w:rsid w:val="001C55B6"/>
    <w:rsid w:val="001D6CC4"/>
    <w:rsid w:val="00206405"/>
    <w:rsid w:val="002154EF"/>
    <w:rsid w:val="00253267"/>
    <w:rsid w:val="002823CD"/>
    <w:rsid w:val="00287787"/>
    <w:rsid w:val="00291685"/>
    <w:rsid w:val="002B0A3D"/>
    <w:rsid w:val="002C7BC7"/>
    <w:rsid w:val="003007A7"/>
    <w:rsid w:val="00320702"/>
    <w:rsid w:val="003257E1"/>
    <w:rsid w:val="00325DEC"/>
    <w:rsid w:val="00346FFA"/>
    <w:rsid w:val="003A1FD9"/>
    <w:rsid w:val="003A3069"/>
    <w:rsid w:val="003C0B9D"/>
    <w:rsid w:val="003C20B5"/>
    <w:rsid w:val="003E545F"/>
    <w:rsid w:val="003F03D2"/>
    <w:rsid w:val="003F1E1A"/>
    <w:rsid w:val="004045E5"/>
    <w:rsid w:val="00421496"/>
    <w:rsid w:val="00422C27"/>
    <w:rsid w:val="0044367C"/>
    <w:rsid w:val="004478CA"/>
    <w:rsid w:val="00447B6A"/>
    <w:rsid w:val="00463F2F"/>
    <w:rsid w:val="004642F0"/>
    <w:rsid w:val="00500564"/>
    <w:rsid w:val="005048CD"/>
    <w:rsid w:val="0051102B"/>
    <w:rsid w:val="005425E7"/>
    <w:rsid w:val="005838BC"/>
    <w:rsid w:val="00596100"/>
    <w:rsid w:val="005B57E1"/>
    <w:rsid w:val="005E61E0"/>
    <w:rsid w:val="005F0F31"/>
    <w:rsid w:val="006024ED"/>
    <w:rsid w:val="0061793F"/>
    <w:rsid w:val="0062123A"/>
    <w:rsid w:val="00652B9E"/>
    <w:rsid w:val="00657C9F"/>
    <w:rsid w:val="006605F8"/>
    <w:rsid w:val="006676A1"/>
    <w:rsid w:val="006833BD"/>
    <w:rsid w:val="00694A8B"/>
    <w:rsid w:val="00695E56"/>
    <w:rsid w:val="006D2642"/>
    <w:rsid w:val="006E2D42"/>
    <w:rsid w:val="00720FEE"/>
    <w:rsid w:val="00764B6F"/>
    <w:rsid w:val="007C7319"/>
    <w:rsid w:val="007D43B3"/>
    <w:rsid w:val="007F20B4"/>
    <w:rsid w:val="007F525E"/>
    <w:rsid w:val="0082695D"/>
    <w:rsid w:val="0083044C"/>
    <w:rsid w:val="0085182D"/>
    <w:rsid w:val="00867E5F"/>
    <w:rsid w:val="008709F5"/>
    <w:rsid w:val="00877A91"/>
    <w:rsid w:val="00884E86"/>
    <w:rsid w:val="008927FF"/>
    <w:rsid w:val="008B0F18"/>
    <w:rsid w:val="008C1946"/>
    <w:rsid w:val="008E3921"/>
    <w:rsid w:val="0090027B"/>
    <w:rsid w:val="00905238"/>
    <w:rsid w:val="00945CF3"/>
    <w:rsid w:val="0094702A"/>
    <w:rsid w:val="00967DAB"/>
    <w:rsid w:val="00990E76"/>
    <w:rsid w:val="00991A53"/>
    <w:rsid w:val="00996F4E"/>
    <w:rsid w:val="009E07A8"/>
    <w:rsid w:val="009F71FE"/>
    <w:rsid w:val="00A0520F"/>
    <w:rsid w:val="00A31F33"/>
    <w:rsid w:val="00A70A62"/>
    <w:rsid w:val="00A71DA8"/>
    <w:rsid w:val="00AB1210"/>
    <w:rsid w:val="00AB770D"/>
    <w:rsid w:val="00AF2088"/>
    <w:rsid w:val="00AF5FB0"/>
    <w:rsid w:val="00B0080A"/>
    <w:rsid w:val="00B0538C"/>
    <w:rsid w:val="00B37AB8"/>
    <w:rsid w:val="00B418DE"/>
    <w:rsid w:val="00B47FE7"/>
    <w:rsid w:val="00B65C37"/>
    <w:rsid w:val="00B67824"/>
    <w:rsid w:val="00BC5B3E"/>
    <w:rsid w:val="00BE15BA"/>
    <w:rsid w:val="00C20ED0"/>
    <w:rsid w:val="00C348A8"/>
    <w:rsid w:val="00C46111"/>
    <w:rsid w:val="00C83332"/>
    <w:rsid w:val="00C95E04"/>
    <w:rsid w:val="00C97EA7"/>
    <w:rsid w:val="00CC0A8F"/>
    <w:rsid w:val="00CC24B6"/>
    <w:rsid w:val="00CD3A64"/>
    <w:rsid w:val="00CE08CD"/>
    <w:rsid w:val="00D0664A"/>
    <w:rsid w:val="00D210FA"/>
    <w:rsid w:val="00D30F1D"/>
    <w:rsid w:val="00D57231"/>
    <w:rsid w:val="00D87B48"/>
    <w:rsid w:val="00D91203"/>
    <w:rsid w:val="00D94FD1"/>
    <w:rsid w:val="00DD6BC3"/>
    <w:rsid w:val="00E24373"/>
    <w:rsid w:val="00E41692"/>
    <w:rsid w:val="00E55D74"/>
    <w:rsid w:val="00E81234"/>
    <w:rsid w:val="00E9037E"/>
    <w:rsid w:val="00EA120D"/>
    <w:rsid w:val="00EA49C3"/>
    <w:rsid w:val="00EB5E14"/>
    <w:rsid w:val="00EB6F36"/>
    <w:rsid w:val="00ED1049"/>
    <w:rsid w:val="00EE19D9"/>
    <w:rsid w:val="00EF26FC"/>
    <w:rsid w:val="00EF436D"/>
    <w:rsid w:val="00F252C6"/>
    <w:rsid w:val="00F37523"/>
    <w:rsid w:val="00F50168"/>
    <w:rsid w:val="00F50D34"/>
    <w:rsid w:val="00F60AAF"/>
    <w:rsid w:val="00F61360"/>
    <w:rsid w:val="00FB3CB7"/>
    <w:rsid w:val="00FC538A"/>
    <w:rsid w:val="00FE2B9F"/>
    <w:rsid w:val="00FF3C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4:defaultImageDpi w14:val="32767"/>
  <w15:chartTrackingRefBased/>
  <w15:docId w15:val="{441090C1-F18A-43C5-A1F3-5465043CE4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semiHidden/>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eader" Target="header1.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image" Target="media/image2.png" /><Relationship Id="rId2" Type="http://schemas.openxmlformats.org/officeDocument/2006/relationships/customXml" Target="../customXml/item2.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image" Target="media/image1.png" /><Relationship Id="rId5" Type="http://schemas.openxmlformats.org/officeDocument/2006/relationships/numbering" Target="numbering.xml" /><Relationship Id="rId15" Type="http://schemas.openxmlformats.org/officeDocument/2006/relationships/fontTable" Target="fontTable.xml" /><Relationship Id="rId10" Type="http://schemas.openxmlformats.org/officeDocument/2006/relationships/endnotes" Target="endnotes.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eader" Target="header2.xml" /></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0/xmlns/"/>
    <ds:schemaRef ds:uri="http://www.w3.org/2001/XMLSchema"/>
    <ds:schemaRef ds:uri="71af3243-3dd4-4a8d-8c0d-dd76da1f02a5"/>
    <ds:schemaRef ds:uri="16c05727-aa75-4e4a-9b5f-8a80a1165891"/>
  </ds:schemaRefs>
</ds:datastoreItem>
</file>

<file path=customXml/itemProps2.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3.xml><?xml version="1.0" encoding="utf-8"?>
<ds:datastoreItem xmlns:ds="http://schemas.openxmlformats.org/officeDocument/2006/customXml" ds:itemID="{4176C48E-4C0F-468C-B5F5-074B2EE9B9EF}">
  <ds:schemaRefs>
    <ds:schemaRef ds:uri="http://schemas.microsoft.com/office/2006/metadata/properties"/>
    <ds:schemaRef ds:uri="http://www.w3.org/2000/xmlns/"/>
    <ds:schemaRef ds:uri="71af3243-3dd4-4a8d-8c0d-dd76da1f02a5"/>
    <ds:schemaRef ds:uri="http://www.w3.org/2001/XMLSchema-instance"/>
  </ds:schemaRefs>
</ds:datastoreItem>
</file>

<file path=customXml/itemProps4.xml><?xml version="1.0" encoding="utf-8"?>
<ds:datastoreItem xmlns:ds="http://schemas.openxmlformats.org/officeDocument/2006/customXml" ds:itemID="{232B06B9-27AB-40FB-B977-14D6FC8A98C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Education%20brochure.dotx</Template>
  <TotalTime>46</TotalTime>
  <Pages>1</Pages>
  <Words>1902</Words>
  <Characters>10842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Zawadi Nibigira</cp:lastModifiedBy>
  <cp:revision>15</cp:revision>
  <cp:lastPrinted>2025-11-07T19:02:00Z</cp:lastPrinted>
  <dcterms:created xsi:type="dcterms:W3CDTF">2023-06-11T21:34:00Z</dcterms:created>
  <dcterms:modified xsi:type="dcterms:W3CDTF">2025-11-11T15:41:00Z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