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34D2D1E0" w:rsidR="00986B43" w:rsidRPr="00881460" w:rsidRDefault="00986B43" w:rsidP="005D3F07">
            <w:pPr>
              <w:overflowPunct/>
              <w:autoSpaceDE/>
              <w:autoSpaceDN/>
              <w:adjustRightInd/>
              <w:ind w:right="-957"/>
              <w:textAlignment w:val="auto"/>
              <w:rPr>
                <w:rFonts w:ascii="Times New Roman" w:hAnsi="Times New Roman" w:cs="Times New Roman"/>
                <w:b/>
                <w:color w:val="auto"/>
                <w:sz w:val="36"/>
                <w:szCs w:val="36"/>
              </w:rPr>
            </w:pPr>
            <w:r w:rsidRPr="00881460">
              <w:rPr>
                <w:rFonts w:ascii="Times New Roman" w:hAnsi="Times New Roman" w:cs="Times New Roman"/>
                <w:b/>
                <w:color w:val="auto"/>
                <w:sz w:val="36"/>
                <w:szCs w:val="36"/>
              </w:rPr>
              <w:t>Learner’s name:</w:t>
            </w:r>
            <w:r w:rsidR="00247265" w:rsidRPr="00881460">
              <w:rPr>
                <w:rFonts w:ascii="Times New Roman" w:hAnsi="Times New Roman" w:cs="Times New Roman"/>
                <w:b/>
                <w:color w:val="auto"/>
                <w:sz w:val="36"/>
                <w:szCs w:val="36"/>
              </w:rPr>
              <w:t xml:space="preserve"> </w:t>
            </w:r>
            <w:r w:rsidR="00185093" w:rsidRPr="00881460">
              <w:rPr>
                <w:rFonts w:ascii="Times New Roman" w:hAnsi="Times New Roman" w:cs="Times New Roman"/>
                <w:b/>
                <w:color w:val="auto"/>
                <w:sz w:val="36"/>
                <w:szCs w:val="36"/>
              </w:rPr>
              <w:t>Eleanor Barclay</w:t>
            </w:r>
          </w:p>
          <w:p w14:paraId="0B6CD0DB" w14:textId="689515B5" w:rsidR="009C337F" w:rsidRPr="00881460" w:rsidRDefault="009C337F" w:rsidP="005D3F07">
            <w:pPr>
              <w:overflowPunct/>
              <w:autoSpaceDE/>
              <w:autoSpaceDN/>
              <w:adjustRightInd/>
              <w:ind w:right="-957"/>
              <w:textAlignment w:val="auto"/>
              <w:rPr>
                <w:rFonts w:ascii="Times New Roman" w:hAnsi="Times New Roman" w:cs="Times New Roman"/>
                <w:b/>
                <w:color w:val="auto"/>
                <w:sz w:val="36"/>
                <w:szCs w:val="36"/>
              </w:rPr>
            </w:pPr>
          </w:p>
          <w:p w14:paraId="3A6EAAC7" w14:textId="2B9EA803" w:rsidR="009C337F" w:rsidRPr="00C75487" w:rsidRDefault="009C337F" w:rsidP="00C75487">
            <w:pPr>
              <w:ind w:right="-957"/>
              <w:rPr>
                <w:rFonts w:ascii="Times New Roman" w:hAnsi="Times New Roman" w:cs="Times New Roman"/>
                <w:b/>
                <w:sz w:val="36"/>
                <w:szCs w:val="36"/>
              </w:rPr>
            </w:pPr>
            <w:r w:rsidRPr="00881460">
              <w:rPr>
                <w:rFonts w:ascii="Times New Roman" w:hAnsi="Times New Roman" w:cs="Times New Roman"/>
                <w:b/>
                <w:color w:val="auto"/>
                <w:sz w:val="36"/>
                <w:szCs w:val="36"/>
              </w:rPr>
              <w:t>Email address:</w:t>
            </w:r>
            <w:r w:rsidR="00C75487">
              <w:rPr>
                <w:rFonts w:ascii="Times New Roman" w:hAnsi="Times New Roman" w:cs="Times New Roman"/>
                <w:b/>
                <w:color w:val="auto"/>
                <w:sz w:val="36"/>
                <w:szCs w:val="36"/>
              </w:rPr>
              <w:t xml:space="preserve"> </w:t>
            </w:r>
            <w:hyperlink r:id="rId12" w:history="1">
              <w:r w:rsidR="00C75487" w:rsidRPr="00910D1D">
                <w:rPr>
                  <w:rStyle w:val="Hyperlink"/>
                  <w:rFonts w:ascii="Times New Roman" w:hAnsi="Times New Roman" w:cs="Times New Roman"/>
                  <w:b/>
                  <w:color w:val="0D0D0D" w:themeColor="text1" w:themeTint="F2"/>
                  <w:sz w:val="36"/>
                  <w:szCs w:val="36"/>
                </w:rPr>
                <w:t>2419617@student.uwtsd.ac.uk</w:t>
              </w:r>
            </w:hyperlink>
            <w:r w:rsidR="00C75487" w:rsidRPr="00910D1D">
              <w:rPr>
                <w:rFonts w:ascii="Times New Roman" w:hAnsi="Times New Roman" w:cs="Times New Roman"/>
                <w:b/>
                <w:color w:val="0D0D0D" w:themeColor="text1" w:themeTint="F2"/>
                <w:sz w:val="36"/>
                <w:szCs w:val="36"/>
              </w:rPr>
              <w:t> </w:t>
            </w:r>
          </w:p>
          <w:p w14:paraId="22E38809" w14:textId="77777777" w:rsidR="00986B43" w:rsidRPr="00881460" w:rsidRDefault="00986B43" w:rsidP="005D3F07">
            <w:pPr>
              <w:overflowPunct/>
              <w:autoSpaceDE/>
              <w:autoSpaceDN/>
              <w:adjustRightInd/>
              <w:ind w:right="-957"/>
              <w:textAlignment w:val="auto"/>
              <w:rPr>
                <w:rFonts w:ascii="Times New Roman" w:hAnsi="Times New Roman" w:cs="Times New Roman"/>
                <w:b/>
                <w:color w:val="auto"/>
                <w:sz w:val="36"/>
                <w:szCs w:val="36"/>
              </w:rPr>
            </w:pPr>
          </w:p>
          <w:p w14:paraId="0DE696B2" w14:textId="5D93E488" w:rsidR="00F927A1" w:rsidRPr="00881460" w:rsidRDefault="0085230E" w:rsidP="005D3F07">
            <w:pPr>
              <w:overflowPunct/>
              <w:autoSpaceDE/>
              <w:autoSpaceDN/>
              <w:adjustRightInd/>
              <w:ind w:right="-957"/>
              <w:textAlignment w:val="auto"/>
              <w:rPr>
                <w:rFonts w:ascii="Times New Roman" w:hAnsi="Times New Roman" w:cs="Times New Roman"/>
                <w:b/>
                <w:color w:val="auto"/>
                <w:sz w:val="36"/>
                <w:szCs w:val="36"/>
              </w:rPr>
            </w:pPr>
            <w:r w:rsidRPr="00881460">
              <w:rPr>
                <w:rFonts w:ascii="Times New Roman" w:hAnsi="Times New Roman" w:cs="Times New Roman"/>
                <w:b/>
                <w:color w:val="auto"/>
                <w:sz w:val="36"/>
                <w:szCs w:val="36"/>
              </w:rPr>
              <w:t>Learner’s University Registration</w:t>
            </w:r>
            <w:r w:rsidR="00F927A1" w:rsidRPr="00881460">
              <w:rPr>
                <w:rFonts w:ascii="Times New Roman" w:hAnsi="Times New Roman" w:cs="Times New Roman"/>
                <w:b/>
                <w:color w:val="auto"/>
                <w:sz w:val="36"/>
                <w:szCs w:val="36"/>
              </w:rPr>
              <w:t xml:space="preserve"> Number:</w:t>
            </w:r>
            <w:r w:rsidR="00C75487">
              <w:rPr>
                <w:rFonts w:ascii="Times New Roman" w:hAnsi="Times New Roman" w:cs="Times New Roman"/>
                <w:b/>
                <w:color w:val="auto"/>
                <w:sz w:val="36"/>
                <w:szCs w:val="36"/>
              </w:rPr>
              <w:t xml:space="preserve"> 2419617</w:t>
            </w:r>
          </w:p>
          <w:p w14:paraId="622FD17A" w14:textId="77777777" w:rsidR="0085230E" w:rsidRPr="00881460" w:rsidRDefault="0085230E" w:rsidP="005D3F07">
            <w:pPr>
              <w:overflowPunct/>
              <w:autoSpaceDE/>
              <w:autoSpaceDN/>
              <w:adjustRightInd/>
              <w:ind w:right="-957"/>
              <w:textAlignment w:val="auto"/>
              <w:rPr>
                <w:rFonts w:ascii="Times New Roman" w:hAnsi="Times New Roman" w:cs="Times New Roman"/>
                <w:b/>
                <w:color w:val="auto"/>
                <w:sz w:val="36"/>
                <w:szCs w:val="36"/>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881460">
              <w:rPr>
                <w:rFonts w:ascii="Times New Roman" w:hAnsi="Times New Roman" w:cs="Times New Roman"/>
                <w:b/>
                <w:color w:val="auto"/>
                <w:sz w:val="36"/>
                <w:szCs w:val="36"/>
              </w:rPr>
              <w:t xml:space="preserve">Cohort: </w:t>
            </w:r>
            <w:r w:rsidR="0049374F" w:rsidRPr="00881460">
              <w:rPr>
                <w:rFonts w:ascii="Times New Roman" w:hAnsi="Times New Roman" w:cs="Times New Roman"/>
                <w:b/>
                <w:color w:val="auto"/>
                <w:sz w:val="36"/>
                <w:szCs w:val="36"/>
              </w:rPr>
              <w:t>21</w:t>
            </w:r>
            <w:r w:rsidR="00AE6231" w:rsidRPr="00881460">
              <w:rPr>
                <w:rFonts w:ascii="Times New Roman" w:hAnsi="Times New Roman" w:cs="Times New Roman"/>
                <w:b/>
                <w:color w:val="auto"/>
                <w:sz w:val="36"/>
                <w:szCs w:val="36"/>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0318E819" w14:textId="77777777" w:rsidR="00FC0334" w:rsidRDefault="00FC0334" w:rsidP="00FF7EBB">
            <w:pPr>
              <w:jc w:val="both"/>
              <w:rPr>
                <w:sz w:val="24"/>
                <w:szCs w:val="24"/>
              </w:rPr>
            </w:pPr>
          </w:p>
          <w:p w14:paraId="149D0AFC" w14:textId="2BCFD691" w:rsidR="00823823" w:rsidRDefault="00823823" w:rsidP="00823823">
            <w:pPr>
              <w:spacing w:line="360" w:lineRule="auto"/>
              <w:jc w:val="both"/>
              <w:rPr>
                <w:sz w:val="24"/>
                <w:szCs w:val="24"/>
              </w:rPr>
            </w:pPr>
            <w:r w:rsidRPr="00823823">
              <w:rPr>
                <w:sz w:val="24"/>
                <w:szCs w:val="24"/>
              </w:rPr>
              <w:t>The Social Services and Well-being (Wales) Act 2014 provides the legislative framework for safeguarding adults in Wales, underpinned by the principles of well-being, prevention, voice and control, and co-production (Social Care Wales, 2022). Clements (2019) identifies that the Act consolidated previously fragmented social care legislation, establishing clearer statutory responsibilities. Part 7 introduces safeguarding duties, including Section 126, defining an adult at risk, Section 127, requiring local authorities to make enquiries, and Section 128, establishing duties to report adults at risk.</w:t>
            </w:r>
          </w:p>
          <w:p w14:paraId="0B58629E" w14:textId="77777777" w:rsidR="002E686E" w:rsidRPr="00823823" w:rsidRDefault="002E686E" w:rsidP="00823823">
            <w:pPr>
              <w:spacing w:line="360" w:lineRule="auto"/>
              <w:jc w:val="both"/>
              <w:rPr>
                <w:sz w:val="24"/>
                <w:szCs w:val="24"/>
              </w:rPr>
            </w:pPr>
          </w:p>
          <w:p w14:paraId="12A16B7D" w14:textId="1A18FDB8" w:rsidR="00823823" w:rsidRPr="00823823" w:rsidRDefault="00823823" w:rsidP="00823823">
            <w:pPr>
              <w:spacing w:line="360" w:lineRule="auto"/>
              <w:jc w:val="both"/>
              <w:rPr>
                <w:sz w:val="24"/>
                <w:szCs w:val="24"/>
              </w:rPr>
            </w:pPr>
            <w:r w:rsidRPr="00823823">
              <w:rPr>
                <w:sz w:val="24"/>
                <w:szCs w:val="24"/>
              </w:rPr>
              <w:t xml:space="preserve">Safeguarding practice must balance protection from abuse and neglect with individual autonomy and self-determination. The Mental Capacity Act 2005 provides a framework for supporting decision-making and assessing capacity, whilst the Human Rights Act 1998 protects individuals’ fundamental rights. </w:t>
            </w:r>
            <w:r w:rsidR="006654F7">
              <w:rPr>
                <w:sz w:val="24"/>
                <w:szCs w:val="24"/>
              </w:rPr>
              <w:t xml:space="preserve">The </w:t>
            </w:r>
            <w:r w:rsidRPr="00823823">
              <w:rPr>
                <w:sz w:val="24"/>
                <w:szCs w:val="24"/>
              </w:rPr>
              <w:t xml:space="preserve">Equality Act 2010 protects disabled adults from discrimination. At a national level, the Wales Safeguarding Procedures (2019) provide </w:t>
            </w:r>
            <w:r w:rsidR="004139C3">
              <w:rPr>
                <w:sz w:val="24"/>
                <w:szCs w:val="24"/>
              </w:rPr>
              <w:t>the</w:t>
            </w:r>
            <w:r w:rsidRPr="00823823">
              <w:rPr>
                <w:sz w:val="24"/>
                <w:szCs w:val="24"/>
              </w:rPr>
              <w:t xml:space="preserve"> framework for identifying, reporting and responding to safeguarding concerns through multi-agency working. The Welsh Government’s </w:t>
            </w:r>
            <w:r w:rsidRPr="00823823">
              <w:rPr>
                <w:i/>
                <w:iCs/>
                <w:sz w:val="24"/>
                <w:szCs w:val="24"/>
              </w:rPr>
              <w:t>Sustainable Social Services for Wales: A Framework for Action</w:t>
            </w:r>
            <w:r w:rsidRPr="00823823">
              <w:rPr>
                <w:sz w:val="24"/>
                <w:szCs w:val="24"/>
              </w:rPr>
              <w:t xml:space="preserve"> (2011) emphasise</w:t>
            </w:r>
            <w:r w:rsidR="0030785A">
              <w:rPr>
                <w:sz w:val="24"/>
                <w:szCs w:val="24"/>
              </w:rPr>
              <w:t>s</w:t>
            </w:r>
            <w:r w:rsidRPr="00823823">
              <w:rPr>
                <w:sz w:val="24"/>
                <w:szCs w:val="24"/>
              </w:rPr>
              <w:t xml:space="preserve"> citizen-centred services, prevention and professional accountability</w:t>
            </w:r>
            <w:r w:rsidR="0030785A">
              <w:rPr>
                <w:sz w:val="24"/>
                <w:szCs w:val="24"/>
              </w:rPr>
              <w:t xml:space="preserve">. </w:t>
            </w:r>
          </w:p>
          <w:p w14:paraId="14883BA0" w14:textId="22ED301A" w:rsidR="00FC0334" w:rsidRDefault="00823823" w:rsidP="000224B2">
            <w:pPr>
              <w:spacing w:line="360" w:lineRule="auto"/>
              <w:jc w:val="both"/>
              <w:rPr>
                <w:sz w:val="24"/>
                <w:szCs w:val="24"/>
              </w:rPr>
            </w:pPr>
            <w:r w:rsidRPr="00823823">
              <w:rPr>
                <w:sz w:val="24"/>
                <w:szCs w:val="24"/>
              </w:rPr>
              <w:lastRenderedPageBreak/>
              <w:t>At a local level, regional safeguarding boards coordinate safeguarding arrangements and promote collaboration between local authorities, health services, police and third-sector organisations. For example,</w:t>
            </w:r>
            <w:r w:rsidR="009F3C06">
              <w:rPr>
                <w:sz w:val="24"/>
                <w:szCs w:val="24"/>
              </w:rPr>
              <w:t xml:space="preserve"> </w:t>
            </w:r>
            <w:r w:rsidRPr="00823823">
              <w:rPr>
                <w:sz w:val="24"/>
                <w:szCs w:val="24"/>
              </w:rPr>
              <w:t>Safeguarding Board</w:t>
            </w:r>
            <w:r w:rsidR="009F3C06">
              <w:rPr>
                <w:sz w:val="24"/>
                <w:szCs w:val="24"/>
              </w:rPr>
              <w:t>s</w:t>
            </w:r>
            <w:r w:rsidRPr="00823823">
              <w:rPr>
                <w:sz w:val="24"/>
                <w:szCs w:val="24"/>
              </w:rPr>
              <w:t xml:space="preserve"> oversee</w:t>
            </w:r>
            <w:r w:rsidR="009F3C06">
              <w:rPr>
                <w:sz w:val="24"/>
                <w:szCs w:val="24"/>
              </w:rPr>
              <w:t xml:space="preserve"> </w:t>
            </w:r>
            <w:r w:rsidRPr="00823823">
              <w:rPr>
                <w:sz w:val="24"/>
                <w:szCs w:val="24"/>
              </w:rPr>
              <w:t>regional safeguarding arrangements across</w:t>
            </w:r>
            <w:r w:rsidR="009F3C06">
              <w:rPr>
                <w:sz w:val="24"/>
                <w:szCs w:val="24"/>
              </w:rPr>
              <w:t xml:space="preserve"> county areas</w:t>
            </w:r>
            <w:r w:rsidRPr="00823823">
              <w:rPr>
                <w:sz w:val="24"/>
                <w:szCs w:val="24"/>
              </w:rPr>
              <w:t>. At an organisational level, safeguarding practice is governed by safeguarding policies and the Code of Professional Practice for Social Care (Social Care Wales, 2017). These establish professional responsibilities concerning safeguarding, accurate recording, information sharing, confidentiality, reporting concerns and professional accountability</w:t>
            </w:r>
          </w:p>
          <w:p w14:paraId="49641ACD" w14:textId="77777777" w:rsidR="00FC0334" w:rsidRDefault="00FC0334" w:rsidP="00FF7EBB">
            <w:pPr>
              <w:jc w:val="both"/>
              <w:rPr>
                <w:sz w:val="24"/>
                <w:szCs w:val="24"/>
              </w:rPr>
            </w:pPr>
          </w:p>
          <w:p w14:paraId="4AD0613C" w14:textId="77777777" w:rsidR="00EC33FB" w:rsidRPr="00EC33FB" w:rsidRDefault="00EC33FB" w:rsidP="003229AC">
            <w:pPr>
              <w:spacing w:line="360" w:lineRule="auto"/>
              <w:jc w:val="both"/>
              <w:rPr>
                <w:sz w:val="24"/>
                <w:szCs w:val="24"/>
              </w:rPr>
            </w:pPr>
            <w:r w:rsidRPr="00EC33FB">
              <w:rPr>
                <w:sz w:val="24"/>
                <w:szCs w:val="24"/>
              </w:rPr>
              <w:t>Under Part 7 of the Social Services and Well-being (Wales) Act 2014, local authorities have statutory responsibilities to safeguard adults experiencing or at risk of abuse or neglect.</w:t>
            </w:r>
          </w:p>
          <w:p w14:paraId="6A0B7524" w14:textId="18DCFD1D" w:rsidR="00EC33FB" w:rsidRDefault="00EC33FB" w:rsidP="003229AC">
            <w:pPr>
              <w:spacing w:line="360" w:lineRule="auto"/>
              <w:jc w:val="both"/>
              <w:rPr>
                <w:sz w:val="24"/>
                <w:szCs w:val="24"/>
              </w:rPr>
            </w:pPr>
            <w:r w:rsidRPr="00EC33FB">
              <w:rPr>
                <w:sz w:val="24"/>
                <w:szCs w:val="24"/>
              </w:rPr>
              <w:t>Where a practitioner identifies an adult at risk, safeguarding concerns must be reported to the local authority safeguarding team in accordance with Section 128. Where immediate danger exists, emergency services should be contacted.</w:t>
            </w:r>
            <w:r w:rsidR="003229AC">
              <w:rPr>
                <w:sz w:val="24"/>
                <w:szCs w:val="24"/>
              </w:rPr>
              <w:t xml:space="preserve"> </w:t>
            </w:r>
            <w:r w:rsidRPr="00EC33FB">
              <w:rPr>
                <w:sz w:val="24"/>
                <w:szCs w:val="24"/>
              </w:rPr>
              <w:t>Initial Enquiries. Under Section 127, the local authority must make enquiries where there is reasonable cause to suspect an adult is at risk. Information is gathered from relevant professionals to establish the nature and extent of concerns.</w:t>
            </w:r>
            <w:r w:rsidR="003229AC">
              <w:rPr>
                <w:sz w:val="24"/>
                <w:szCs w:val="24"/>
              </w:rPr>
              <w:t xml:space="preserve"> </w:t>
            </w:r>
            <w:r w:rsidRPr="00EC33FB">
              <w:rPr>
                <w:sz w:val="24"/>
                <w:szCs w:val="24"/>
              </w:rPr>
              <w:t>Where appropriate, a multi-agency strategy discussion involving social services, police, health professionals and other agencies determines safeguarding actions and responsibilities.</w:t>
            </w:r>
            <w:r w:rsidR="003229AC">
              <w:rPr>
                <w:sz w:val="24"/>
                <w:szCs w:val="24"/>
              </w:rPr>
              <w:t xml:space="preserve"> </w:t>
            </w:r>
            <w:r w:rsidRPr="00EC33FB">
              <w:rPr>
                <w:sz w:val="24"/>
                <w:szCs w:val="24"/>
              </w:rPr>
              <w:t>Safeguarding Assessment and Planning. Further enquiries establish risks, protective factors and the adult’s wishes. A person-centred protection plan may be developed, identifying interventions to reduce harm while promoting autonomy and well-being. Safeguarding arrangements are reviewed to evaluate effectiveness, reassess risks and determine whether further intervention is required.</w:t>
            </w:r>
            <w:r w:rsidR="003229AC">
              <w:rPr>
                <w:sz w:val="24"/>
                <w:szCs w:val="24"/>
              </w:rPr>
              <w:t xml:space="preserve"> </w:t>
            </w:r>
            <w:r w:rsidRPr="00EC33FB">
              <w:rPr>
                <w:sz w:val="24"/>
                <w:szCs w:val="24"/>
              </w:rPr>
              <w:t>Throughout this process, practitioners must follow the Wales Safeguarding Procedures (2019), ensuring proportionate interventions, professional accountability and respect for individuals’ rights (Social Care Wales, 2022).</w:t>
            </w:r>
          </w:p>
          <w:p w14:paraId="4B118850" w14:textId="77777777" w:rsidR="00A06FF9" w:rsidRDefault="00A06FF9" w:rsidP="003229AC">
            <w:pPr>
              <w:spacing w:line="360" w:lineRule="auto"/>
              <w:jc w:val="both"/>
              <w:rPr>
                <w:sz w:val="24"/>
                <w:szCs w:val="24"/>
              </w:rPr>
            </w:pPr>
          </w:p>
          <w:p w14:paraId="7DD72D91" w14:textId="62DA810A" w:rsidR="00A06FF9" w:rsidRPr="00EC33FB" w:rsidRDefault="00A06FF9" w:rsidP="003229AC">
            <w:pPr>
              <w:spacing w:line="360" w:lineRule="auto"/>
              <w:jc w:val="both"/>
              <w:rPr>
                <w:sz w:val="24"/>
                <w:szCs w:val="24"/>
              </w:rPr>
            </w:pPr>
            <w:r>
              <w:rPr>
                <w:sz w:val="24"/>
                <w:szCs w:val="24"/>
              </w:rPr>
              <w:t>(Word Count 450)</w:t>
            </w:r>
          </w:p>
          <w:p w14:paraId="2A88B372" w14:textId="77777777" w:rsidR="00EC33FB" w:rsidRDefault="00EC33FB" w:rsidP="00FF7EBB">
            <w:pPr>
              <w:jc w:val="both"/>
              <w:rPr>
                <w:sz w:val="24"/>
                <w:szCs w:val="24"/>
              </w:rPr>
            </w:pPr>
          </w:p>
          <w:p w14:paraId="206514B9" w14:textId="77777777" w:rsidR="00FC0334" w:rsidRDefault="00FC0334" w:rsidP="00FF7EBB">
            <w:pPr>
              <w:jc w:val="both"/>
              <w:rPr>
                <w:sz w:val="24"/>
                <w:szCs w:val="24"/>
              </w:rPr>
            </w:pP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795C6051" w14:textId="77777777" w:rsidR="00FC0334" w:rsidRDefault="00FC0334" w:rsidP="004E2432">
            <w:pPr>
              <w:spacing w:line="360" w:lineRule="auto"/>
              <w:jc w:val="both"/>
              <w:rPr>
                <w:sz w:val="24"/>
                <w:szCs w:val="24"/>
              </w:rPr>
            </w:pPr>
          </w:p>
          <w:p w14:paraId="736D71DD" w14:textId="3CD6A4A6" w:rsidR="00BF207C" w:rsidRDefault="00BF207C" w:rsidP="004E2432">
            <w:pPr>
              <w:spacing w:line="360" w:lineRule="auto"/>
              <w:jc w:val="both"/>
              <w:rPr>
                <w:sz w:val="24"/>
                <w:szCs w:val="24"/>
              </w:rPr>
            </w:pPr>
            <w:r w:rsidRPr="00BF207C">
              <w:rPr>
                <w:sz w:val="24"/>
                <w:szCs w:val="24"/>
              </w:rPr>
              <w:t>Safeguarding adults and children in Wales is underpinned by the Social Services and Well-being (Wales) Act 2014, promoting well-being, prevention, voice and control, and protection from abuse and neglect. However, there are significant differences in the legislative responsibilities, assessment processes and application of professional judgement within practice.</w:t>
            </w:r>
            <w:r>
              <w:rPr>
                <w:sz w:val="24"/>
                <w:szCs w:val="24"/>
              </w:rPr>
              <w:t xml:space="preserve"> </w:t>
            </w:r>
            <w:r w:rsidRPr="00BF207C">
              <w:rPr>
                <w:sz w:val="24"/>
                <w:szCs w:val="24"/>
              </w:rPr>
              <w:t>In children’s social work, safeguarding focuses on protecting children from significant harm whilst promoting their developmental needs and well-being. Under Section 47 of the Children Act 1989, local authorities have a duty to investigate where there is reasonable cause to suspect a child is suffering or likely to suffer significant harm. Assessments require a holistic analysis of the child’s developmental needs, parenting capacity and family and environmental factors. Munro (2011) emphasises the importance of child-centred safeguarding, professional judgement and understanding the child’s lived experiences rather than relying solely on procedural processes.</w:t>
            </w:r>
          </w:p>
          <w:p w14:paraId="21B36148" w14:textId="77777777" w:rsidR="00143187" w:rsidRPr="00BF207C" w:rsidRDefault="00143187" w:rsidP="004E2432">
            <w:pPr>
              <w:spacing w:line="360" w:lineRule="auto"/>
              <w:jc w:val="both"/>
              <w:rPr>
                <w:sz w:val="24"/>
                <w:szCs w:val="24"/>
              </w:rPr>
            </w:pPr>
          </w:p>
          <w:p w14:paraId="0F0593B7" w14:textId="60623B58" w:rsidR="00BF207C" w:rsidRPr="00BF207C" w:rsidRDefault="00BF207C" w:rsidP="004E2432">
            <w:pPr>
              <w:spacing w:line="360" w:lineRule="auto"/>
              <w:jc w:val="both"/>
              <w:rPr>
                <w:sz w:val="24"/>
                <w:szCs w:val="24"/>
              </w:rPr>
            </w:pPr>
            <w:r w:rsidRPr="00BF207C">
              <w:rPr>
                <w:sz w:val="24"/>
                <w:szCs w:val="24"/>
              </w:rPr>
              <w:t>In contrast, adult safeguarding places greater emphasis on autonomy, self-determination and the individual’s right to make decisions about their own life. Under Part 7 of the Social Services and Well-being (Wales) Act 2014, local authorities have duties to make enquiries where an adult is suspected to be at risk of abuse or neglect. The Mental Capacity Act 2005 further establishes the presumption of capacity and recognises an individual’s right to make unwise decisions. Disability Wales (2021) emphasises the importance of respecting individuals’ wishes, feelings and control over decisions affecting their well-being.</w:t>
            </w:r>
            <w:r w:rsidR="00143187">
              <w:rPr>
                <w:sz w:val="24"/>
                <w:szCs w:val="24"/>
              </w:rPr>
              <w:t xml:space="preserve"> </w:t>
            </w:r>
            <w:r w:rsidRPr="00BF207C">
              <w:rPr>
                <w:sz w:val="24"/>
                <w:szCs w:val="24"/>
              </w:rPr>
              <w:t>A significant difference concerns balancing risk and individual rights. Within children’s safeguarding, practitioners must consider parental rights alongside the child’s welfare and the need for protective intervention. In adult safeguarding, practitioners must balance protection from harm with an adult’s autonomy, recognising that individuals with capacity may decline safeguarding interventions.</w:t>
            </w:r>
          </w:p>
          <w:p w14:paraId="279B77FB" w14:textId="6114FDDC" w:rsidR="00BF207C" w:rsidRDefault="00BF207C" w:rsidP="004E2432">
            <w:pPr>
              <w:spacing w:line="360" w:lineRule="auto"/>
              <w:jc w:val="both"/>
              <w:rPr>
                <w:sz w:val="24"/>
                <w:szCs w:val="24"/>
              </w:rPr>
            </w:pPr>
            <w:r w:rsidRPr="00BF207C">
              <w:rPr>
                <w:sz w:val="24"/>
                <w:szCs w:val="24"/>
              </w:rPr>
              <w:lastRenderedPageBreak/>
              <w:t>Nevertheless, both areas require strengths-based, systemic and anti-oppressive approaches, multi-agency working and critical analysis of risk and protective factors.</w:t>
            </w:r>
            <w:r w:rsidR="00025AD2">
              <w:rPr>
                <w:sz w:val="24"/>
                <w:szCs w:val="24"/>
              </w:rPr>
              <w:t xml:space="preserve"> </w:t>
            </w:r>
            <w:r w:rsidRPr="00BF207C">
              <w:rPr>
                <w:sz w:val="24"/>
                <w:szCs w:val="24"/>
              </w:rPr>
              <w:t xml:space="preserve">Reflecting on my experience within children’s safeguarding, I recognise that my assessments have focused on analysing risk, parenting capacity and the cumulative impact of adverse childhood experiences. In adult safeguarding, </w:t>
            </w:r>
            <w:r w:rsidR="0085726E">
              <w:rPr>
                <w:sz w:val="24"/>
                <w:szCs w:val="24"/>
              </w:rPr>
              <w:t>assessment would be focussed on</w:t>
            </w:r>
            <w:r w:rsidRPr="00BF207C">
              <w:rPr>
                <w:sz w:val="24"/>
                <w:szCs w:val="24"/>
              </w:rPr>
              <w:t xml:space="preserve"> balancing identified risks against an individual’s autonomy and decision-making capacity.</w:t>
            </w:r>
            <w:r w:rsidR="0085726E">
              <w:rPr>
                <w:sz w:val="24"/>
                <w:szCs w:val="24"/>
              </w:rPr>
              <w:t xml:space="preserve"> </w:t>
            </w:r>
            <w:r w:rsidRPr="00BF207C">
              <w:rPr>
                <w:sz w:val="24"/>
                <w:szCs w:val="24"/>
              </w:rPr>
              <w:t>Ultimately, both areas require relationship-based</w:t>
            </w:r>
            <w:r w:rsidR="004E2432">
              <w:rPr>
                <w:sz w:val="24"/>
                <w:szCs w:val="24"/>
              </w:rPr>
              <w:t xml:space="preserve"> social work</w:t>
            </w:r>
            <w:r w:rsidRPr="00BF207C">
              <w:rPr>
                <w:sz w:val="24"/>
                <w:szCs w:val="24"/>
              </w:rPr>
              <w:t xml:space="preserve"> practice, reflective supervision and professional curiosity. However, the fundamental distinction is that children’s safeguarding places particular emphasis on protection from significant harm, whilst adult safeguarding places greater emphasis on balancing protection with individual autonomy, rights and self-determination.</w:t>
            </w:r>
          </w:p>
          <w:p w14:paraId="488D44E7" w14:textId="77777777" w:rsidR="004E2432" w:rsidRDefault="004E2432" w:rsidP="00BF207C">
            <w:pPr>
              <w:spacing w:line="360" w:lineRule="auto"/>
              <w:jc w:val="both"/>
              <w:rPr>
                <w:sz w:val="24"/>
                <w:szCs w:val="24"/>
              </w:rPr>
            </w:pPr>
          </w:p>
          <w:p w14:paraId="083B801B" w14:textId="085C3077" w:rsidR="004E2432" w:rsidRPr="00BF207C" w:rsidRDefault="004E2432" w:rsidP="00BF207C">
            <w:pPr>
              <w:spacing w:line="360" w:lineRule="auto"/>
              <w:jc w:val="both"/>
              <w:rPr>
                <w:sz w:val="24"/>
                <w:szCs w:val="24"/>
              </w:rPr>
            </w:pPr>
            <w:r>
              <w:rPr>
                <w:sz w:val="24"/>
                <w:szCs w:val="24"/>
              </w:rPr>
              <w:t>(Word Count 402)</w:t>
            </w:r>
          </w:p>
          <w:p w14:paraId="67E7ED72" w14:textId="77777777" w:rsidR="00FC0334" w:rsidRDefault="00FC0334" w:rsidP="00BF207C">
            <w:pPr>
              <w:spacing w:line="360" w:lineRule="auto"/>
              <w:jc w:val="both"/>
              <w:rPr>
                <w:sz w:val="24"/>
                <w:szCs w:val="24"/>
              </w:rPr>
            </w:pPr>
          </w:p>
          <w:p w14:paraId="478D2F84" w14:textId="77777777" w:rsidR="00FC0334" w:rsidRDefault="00FC0334" w:rsidP="00FC0334">
            <w:pPr>
              <w:jc w:val="both"/>
              <w:rPr>
                <w:sz w:val="24"/>
                <w:szCs w:val="24"/>
              </w:rPr>
            </w:pPr>
          </w:p>
          <w:p w14:paraId="0E64B386" w14:textId="77777777" w:rsidR="00FC0334" w:rsidRDefault="00FC0334" w:rsidP="00FC0334">
            <w:pPr>
              <w:jc w:val="both"/>
              <w:rPr>
                <w:sz w:val="24"/>
                <w:szCs w:val="24"/>
              </w:rPr>
            </w:pPr>
          </w:p>
          <w:p w14:paraId="4847C39E" w14:textId="77777777" w:rsidR="00FC0334" w:rsidRDefault="00FC0334" w:rsidP="00FC0334">
            <w:pPr>
              <w:jc w:val="both"/>
              <w:rPr>
                <w:sz w:val="24"/>
                <w:szCs w:val="24"/>
              </w:rPr>
            </w:pPr>
          </w:p>
          <w:p w14:paraId="04285720" w14:textId="77777777" w:rsidR="00FC0334" w:rsidRDefault="00FC0334" w:rsidP="00FC0334">
            <w:pPr>
              <w:jc w:val="both"/>
              <w:rPr>
                <w:sz w:val="24"/>
                <w:szCs w:val="24"/>
              </w:rPr>
            </w:pPr>
          </w:p>
          <w:p w14:paraId="1AA3081F" w14:textId="77777777" w:rsidR="00FC0334" w:rsidRDefault="00FC0334" w:rsidP="00FC0334">
            <w:pPr>
              <w:jc w:val="both"/>
              <w:rPr>
                <w:sz w:val="24"/>
                <w:szCs w:val="24"/>
              </w:rPr>
            </w:pP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3"/>
      <w:footerReference w:type="default" r:id="rId1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CE7786" w14:textId="77777777" w:rsidR="002C209C" w:rsidRDefault="002C209C">
      <w:r>
        <w:separator/>
      </w:r>
    </w:p>
  </w:endnote>
  <w:endnote w:type="continuationSeparator" w:id="0">
    <w:p w14:paraId="044AFD0C" w14:textId="77777777" w:rsidR="002C209C" w:rsidRDefault="002C20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7DF6CE" w14:textId="77777777" w:rsidR="002C209C" w:rsidRDefault="002C209C">
      <w:r>
        <w:separator/>
      </w:r>
    </w:p>
  </w:footnote>
  <w:footnote w:type="continuationSeparator" w:id="0">
    <w:p w14:paraId="333ECF25" w14:textId="77777777" w:rsidR="002C209C" w:rsidRDefault="002C209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24B2"/>
    <w:rsid w:val="0002440E"/>
    <w:rsid w:val="00025AD2"/>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386E"/>
    <w:rsid w:val="00105026"/>
    <w:rsid w:val="0010662B"/>
    <w:rsid w:val="00106DC7"/>
    <w:rsid w:val="00112391"/>
    <w:rsid w:val="00114F52"/>
    <w:rsid w:val="00130119"/>
    <w:rsid w:val="00132812"/>
    <w:rsid w:val="001347F8"/>
    <w:rsid w:val="001359EE"/>
    <w:rsid w:val="00137BB5"/>
    <w:rsid w:val="00137E05"/>
    <w:rsid w:val="00143187"/>
    <w:rsid w:val="001447F6"/>
    <w:rsid w:val="00147DE3"/>
    <w:rsid w:val="00150794"/>
    <w:rsid w:val="00151DA6"/>
    <w:rsid w:val="001608C4"/>
    <w:rsid w:val="001643F4"/>
    <w:rsid w:val="00164832"/>
    <w:rsid w:val="00171418"/>
    <w:rsid w:val="001772BF"/>
    <w:rsid w:val="001772DE"/>
    <w:rsid w:val="00185093"/>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05439"/>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1D7F"/>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09C"/>
    <w:rsid w:val="002C2536"/>
    <w:rsid w:val="002C256A"/>
    <w:rsid w:val="002C3031"/>
    <w:rsid w:val="002C4233"/>
    <w:rsid w:val="002C496D"/>
    <w:rsid w:val="002D05EB"/>
    <w:rsid w:val="002D11A8"/>
    <w:rsid w:val="002D2F29"/>
    <w:rsid w:val="002D46C0"/>
    <w:rsid w:val="002D5A92"/>
    <w:rsid w:val="002D65D2"/>
    <w:rsid w:val="002D6B31"/>
    <w:rsid w:val="002E686E"/>
    <w:rsid w:val="002E6D17"/>
    <w:rsid w:val="002E7017"/>
    <w:rsid w:val="002E7F2C"/>
    <w:rsid w:val="002F1FC7"/>
    <w:rsid w:val="002F2185"/>
    <w:rsid w:val="002F4F6E"/>
    <w:rsid w:val="003015C3"/>
    <w:rsid w:val="0030785A"/>
    <w:rsid w:val="003106DB"/>
    <w:rsid w:val="0031350A"/>
    <w:rsid w:val="00316815"/>
    <w:rsid w:val="003168CA"/>
    <w:rsid w:val="00321255"/>
    <w:rsid w:val="0032230D"/>
    <w:rsid w:val="003229AC"/>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139C3"/>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2432"/>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34524"/>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54F7"/>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3823"/>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5726E"/>
    <w:rsid w:val="00861038"/>
    <w:rsid w:val="00865B58"/>
    <w:rsid w:val="00866B50"/>
    <w:rsid w:val="00867A63"/>
    <w:rsid w:val="008708F1"/>
    <w:rsid w:val="00871960"/>
    <w:rsid w:val="0087369F"/>
    <w:rsid w:val="00880539"/>
    <w:rsid w:val="00881460"/>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CA9"/>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E5F55"/>
    <w:rsid w:val="009F0978"/>
    <w:rsid w:val="009F3AEC"/>
    <w:rsid w:val="009F3C06"/>
    <w:rsid w:val="009F6801"/>
    <w:rsid w:val="00A00081"/>
    <w:rsid w:val="00A06422"/>
    <w:rsid w:val="00A06FF9"/>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BF207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487"/>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3FB"/>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D6E9C"/>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2%34%319%361%37@%73t%75de%6e%74%2e%75%77ts%64.%61%63%2e%75%6b"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D9968FE7E4AD147928C56F4E3E703B4" ma:contentTypeVersion="4" ma:contentTypeDescription="Create a new document." ma:contentTypeScope="" ma:versionID="89a2b7a783f17fe59ac3399f2b4a5dda">
  <xsd:schema xmlns:xsd="http://www.w3.org/2001/XMLSchema" xmlns:xs="http://www.w3.org/2001/XMLSchema" xmlns:p="http://schemas.microsoft.com/office/2006/metadata/properties" xmlns:ns2="26efbe58-47b3-4718-9b64-083ac342c32b" targetNamespace="http://schemas.microsoft.com/office/2006/metadata/properties" ma:root="true" ma:fieldsID="81d0d0136f12139e3be5d69f2ea94d99" ns2:_="">
    <xsd:import namespace="26efbe58-47b3-4718-9b64-083ac342c32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efbe58-47b3-4718-9b64-083ac342c32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97382AE-9BB2-4761-A30F-1B9CFAD2102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6efbe58-47b3-4718-9b64-083ac342c32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4.xml><?xml version="1.0" encoding="utf-8"?>
<ds:datastoreItem xmlns:ds="http://schemas.openxmlformats.org/officeDocument/2006/customXml" ds:itemID="{0299767F-2721-4293-92BA-9A7E02C809E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1168</Words>
  <Characters>6664</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Eleanor Barclay</cp:lastModifiedBy>
  <cp:revision>5</cp:revision>
  <cp:lastPrinted>2020-02-11T19:20:00Z</cp:lastPrinted>
  <dcterms:created xsi:type="dcterms:W3CDTF">2026-10-07T01:00:00Z</dcterms:created>
  <dcterms:modified xsi:type="dcterms:W3CDTF">2026-10-07T10:29:00Z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0x0101007D9968FE7E4AD147928C56F4E3E703B4</vt:lpwstr>
  </property>
</Properties>
</file>