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70B64" w:rsidRPr="00D31A30" w:rsidRDefault="00D01536" w:rsidP="00A70B64">
      <w:pPr>
        <w:jc w:val="center"/>
        <w:rPr>
          <w:sz w:val="36"/>
          <w:szCs w:val="36"/>
          <w:u w:val="single"/>
        </w:rPr>
      </w:pPr>
      <w:r>
        <w:rPr>
          <w:sz w:val="36"/>
          <w:szCs w:val="36"/>
          <w:u w:val="single"/>
        </w:rPr>
        <w:t>Developing Professional Practice Assessment</w:t>
      </w:r>
    </w:p>
    <w:p w:rsidR="00A70B64" w:rsidRPr="00D31A30" w:rsidRDefault="00A70B64" w:rsidP="00A70B64"/>
    <w:p w:rsidR="00A70B64" w:rsidRPr="00D31A30" w:rsidRDefault="00A70B64" w:rsidP="00A70B64">
      <w:pPr>
        <w:rPr>
          <w:sz w:val="36"/>
          <w:szCs w:val="36"/>
        </w:rPr>
      </w:pPr>
    </w:p>
    <w:p w:rsidR="00A70B64" w:rsidRPr="00D31A30" w:rsidRDefault="00A70B64" w:rsidP="00A70B64">
      <w:pPr>
        <w:rPr>
          <w:sz w:val="36"/>
          <w:szCs w:val="36"/>
        </w:rPr>
      </w:pPr>
      <w:r w:rsidRPr="00D31A30">
        <w:rPr>
          <w:sz w:val="36"/>
          <w:szCs w:val="36"/>
        </w:rPr>
        <w:t>Name:</w:t>
      </w:r>
      <w:r w:rsidR="00C66E36">
        <w:rPr>
          <w:sz w:val="36"/>
          <w:szCs w:val="36"/>
        </w:rPr>
        <w:t xml:space="preserve"> Stephen Watts</w:t>
      </w:r>
    </w:p>
    <w:p w:rsidR="00A70B64" w:rsidRPr="00D31A30" w:rsidRDefault="00A70B64" w:rsidP="00A70B64">
      <w:pPr>
        <w:rPr>
          <w:sz w:val="36"/>
          <w:szCs w:val="36"/>
        </w:rPr>
      </w:pPr>
    </w:p>
    <w:p w:rsidR="00A70B64" w:rsidRPr="00D31A30" w:rsidRDefault="00A70B64" w:rsidP="00A70B64">
      <w:pPr>
        <w:rPr>
          <w:sz w:val="36"/>
          <w:szCs w:val="36"/>
        </w:rPr>
      </w:pPr>
      <w:r w:rsidRPr="00D31A30">
        <w:rPr>
          <w:sz w:val="36"/>
          <w:szCs w:val="36"/>
        </w:rPr>
        <w:t>CIPD Membership Number:</w:t>
      </w:r>
      <w:r w:rsidR="003F2148">
        <w:rPr>
          <w:sz w:val="36"/>
          <w:szCs w:val="36"/>
        </w:rPr>
        <w:t xml:space="preserve"> 48698902</w:t>
      </w:r>
    </w:p>
    <w:p w:rsidR="00A70B64" w:rsidRPr="00D31A30" w:rsidRDefault="00A70B64" w:rsidP="00A70B64">
      <w:pPr>
        <w:rPr>
          <w:sz w:val="36"/>
          <w:szCs w:val="36"/>
        </w:rPr>
      </w:pPr>
    </w:p>
    <w:p w:rsidR="00A70B64" w:rsidRPr="00D31A30" w:rsidRDefault="00A70B64" w:rsidP="00A70B64">
      <w:pPr>
        <w:rPr>
          <w:sz w:val="36"/>
          <w:szCs w:val="36"/>
        </w:rPr>
      </w:pPr>
      <w:r w:rsidRPr="00D31A30">
        <w:rPr>
          <w:sz w:val="36"/>
          <w:szCs w:val="36"/>
        </w:rPr>
        <w:t>Date:</w:t>
      </w:r>
      <w:r w:rsidR="00D01536">
        <w:rPr>
          <w:sz w:val="36"/>
          <w:szCs w:val="36"/>
        </w:rPr>
        <w:t xml:space="preserve"> 14</w:t>
      </w:r>
      <w:r w:rsidR="00C66E36">
        <w:rPr>
          <w:sz w:val="36"/>
          <w:szCs w:val="36"/>
        </w:rPr>
        <w:t xml:space="preserve"> </w:t>
      </w:r>
      <w:r w:rsidR="00D01536">
        <w:rPr>
          <w:sz w:val="36"/>
          <w:szCs w:val="36"/>
        </w:rPr>
        <w:t>Novemb</w:t>
      </w:r>
      <w:r w:rsidR="00C66E36">
        <w:rPr>
          <w:sz w:val="36"/>
          <w:szCs w:val="36"/>
        </w:rPr>
        <w:t>er 2017</w:t>
      </w:r>
    </w:p>
    <w:p w:rsidR="00A70B64" w:rsidRPr="00D31A30" w:rsidRDefault="00A70B64" w:rsidP="00A70B64"/>
    <w:p w:rsidR="00A70B64" w:rsidRPr="00D31A30" w:rsidRDefault="00A70B64" w:rsidP="00A70B64"/>
    <w:p w:rsidR="00A70B64" w:rsidRPr="00D31A30" w:rsidRDefault="00A70B64" w:rsidP="00A70B64"/>
    <w:p w:rsidR="00A70B64" w:rsidRPr="00D31A30" w:rsidRDefault="00A70B64" w:rsidP="00A70B64"/>
    <w:p w:rsidR="00B845A0" w:rsidRPr="00D31A30" w:rsidRDefault="00B845A0" w:rsidP="00B845A0">
      <w:pPr>
        <w:spacing w:after="0" w:line="240" w:lineRule="auto"/>
        <w:rPr>
          <w:rFonts w:cs="Arial"/>
        </w:rPr>
      </w:pPr>
      <w:r w:rsidRPr="00D31A30">
        <w:rPr>
          <w:rFonts w:cs="Arial"/>
        </w:rPr>
        <w:t>Word count (max: 2</w:t>
      </w:r>
      <w:r w:rsidR="00D01536">
        <w:rPr>
          <w:rFonts w:cs="Arial"/>
        </w:rPr>
        <w:t>6</w:t>
      </w:r>
      <w:r w:rsidRPr="00D31A30">
        <w:rPr>
          <w:rFonts w:cs="Arial"/>
        </w:rPr>
        <w:t>00 words)</w:t>
      </w:r>
    </w:p>
    <w:p w:rsidR="00A70B64" w:rsidRPr="00D31A30" w:rsidRDefault="00A70B64" w:rsidP="00A70B64">
      <w:pPr>
        <w:rPr>
          <w:b/>
        </w:rPr>
      </w:pPr>
    </w:p>
    <w:p w:rsidR="00A70B64" w:rsidRPr="00D31A30" w:rsidRDefault="00A70B64" w:rsidP="00A70B64"/>
    <w:p w:rsidR="00A70B64" w:rsidRPr="00D31A30" w:rsidRDefault="00A70B64" w:rsidP="00A70B64">
      <w:pPr>
        <w:rPr>
          <w:sz w:val="28"/>
          <w:szCs w:val="28"/>
        </w:rPr>
      </w:pPr>
      <w:r w:rsidRPr="00D31A30">
        <w:rPr>
          <w:sz w:val="28"/>
          <w:szCs w:val="28"/>
        </w:rPr>
        <w:t>I declare that this assignment is my own work and that any information obtained from books and other sources have been appropriately referenced.</w:t>
      </w:r>
    </w:p>
    <w:p w:rsidR="00A70B64" w:rsidRPr="00D31A30" w:rsidRDefault="00A70B64" w:rsidP="00A70B64">
      <w:pPr>
        <w:rPr>
          <w:sz w:val="28"/>
          <w:szCs w:val="28"/>
        </w:rPr>
      </w:pPr>
    </w:p>
    <w:p w:rsidR="00A70B64" w:rsidRPr="00D31A30" w:rsidRDefault="00A70B64" w:rsidP="00A70B64">
      <w:pPr>
        <w:rPr>
          <w:sz w:val="28"/>
          <w:szCs w:val="28"/>
        </w:rPr>
      </w:pPr>
      <w:r w:rsidRPr="00D31A30">
        <w:rPr>
          <w:sz w:val="28"/>
          <w:szCs w:val="28"/>
        </w:rPr>
        <w:t>Signed......</w:t>
      </w:r>
      <w:r w:rsidR="00C66E36">
        <w:rPr>
          <w:sz w:val="28"/>
          <w:szCs w:val="28"/>
        </w:rPr>
        <w:t>Stephen Watts</w:t>
      </w:r>
      <w:r w:rsidRPr="00D31A30">
        <w:rPr>
          <w:sz w:val="28"/>
          <w:szCs w:val="28"/>
        </w:rPr>
        <w:t>........</w:t>
      </w:r>
      <w:r w:rsidR="00C66E36">
        <w:rPr>
          <w:sz w:val="28"/>
          <w:szCs w:val="28"/>
        </w:rPr>
        <w:t>.................</w:t>
      </w:r>
      <w:r w:rsidR="00C66E36">
        <w:rPr>
          <w:sz w:val="28"/>
          <w:szCs w:val="28"/>
        </w:rPr>
        <w:tab/>
        <w:t>Date</w:t>
      </w:r>
      <w:r w:rsidRPr="00D31A30">
        <w:rPr>
          <w:sz w:val="28"/>
          <w:szCs w:val="28"/>
        </w:rPr>
        <w:t>....</w:t>
      </w:r>
      <w:r w:rsidR="00D01536">
        <w:rPr>
          <w:sz w:val="28"/>
          <w:szCs w:val="28"/>
        </w:rPr>
        <w:t>14 Novembe</w:t>
      </w:r>
      <w:r w:rsidR="00C66E36">
        <w:rPr>
          <w:sz w:val="28"/>
          <w:szCs w:val="28"/>
        </w:rPr>
        <w:t>r 2017</w:t>
      </w:r>
      <w:r w:rsidRPr="00D31A30">
        <w:rPr>
          <w:sz w:val="28"/>
          <w:szCs w:val="28"/>
        </w:rPr>
        <w:t>.............</w:t>
      </w: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D01536">
      <w:pPr>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pPr>
        <w:rPr>
          <w:rFonts w:cs="Arial"/>
        </w:rPr>
      </w:pPr>
      <w:r w:rsidRPr="00D31A30">
        <w:rPr>
          <w:rFonts w:cs="Arial"/>
        </w:rPr>
        <w:br w:type="page"/>
      </w:r>
    </w:p>
    <w:sdt>
      <w:sdtPr>
        <w:rPr>
          <w:rFonts w:asciiTheme="minorHAnsi" w:eastAsiaTheme="minorHAnsi" w:hAnsiTheme="minorHAnsi" w:cstheme="minorBidi"/>
          <w:b w:val="0"/>
          <w:bCs w:val="0"/>
          <w:color w:val="auto"/>
          <w:sz w:val="22"/>
          <w:szCs w:val="22"/>
          <w:lang w:val="en-GB" w:eastAsia="en-US"/>
        </w:rPr>
        <w:id w:val="1803415713"/>
        <w:docPartObj>
          <w:docPartGallery w:val="Table of Contents"/>
          <w:docPartUnique/>
        </w:docPartObj>
      </w:sdtPr>
      <w:sdtEndPr>
        <w:rPr>
          <w:noProof/>
        </w:rPr>
      </w:sdtEndPr>
      <w:sdtContent>
        <w:p w:rsidR="00EB5D4E" w:rsidRPr="00D31A30" w:rsidRDefault="00EB5D4E">
          <w:pPr>
            <w:pStyle w:val="TOCHeading"/>
            <w:rPr>
              <w:rFonts w:asciiTheme="minorHAnsi" w:hAnsiTheme="minorHAnsi"/>
            </w:rPr>
          </w:pPr>
          <w:r w:rsidRPr="00D31A30">
            <w:rPr>
              <w:rFonts w:asciiTheme="minorHAnsi" w:hAnsiTheme="minorHAnsi"/>
            </w:rPr>
            <w:t>Contents</w:t>
          </w:r>
        </w:p>
        <w:p w:rsidR="00E065A4" w:rsidRDefault="00EB5D4E">
          <w:pPr>
            <w:pStyle w:val="TOC1"/>
            <w:tabs>
              <w:tab w:val="right" w:leader="dot" w:pos="9016"/>
            </w:tabs>
            <w:rPr>
              <w:rFonts w:eastAsiaTheme="minorEastAsia"/>
              <w:noProof/>
              <w:lang w:val="en-US"/>
            </w:rPr>
          </w:pPr>
          <w:r w:rsidRPr="00D31A30">
            <w:fldChar w:fldCharType="begin"/>
          </w:r>
          <w:r w:rsidRPr="00D31A30">
            <w:instrText xml:space="preserve"> TOC \o "1-3" \h \z \u </w:instrText>
          </w:r>
          <w:r w:rsidRPr="00D31A30">
            <w:fldChar w:fldCharType="separate"/>
          </w:r>
          <w:hyperlink w:anchor="_Toc498600122" w:history="1">
            <w:r w:rsidR="00E065A4" w:rsidRPr="008E5CE9">
              <w:rPr>
                <w:rStyle w:val="Hyperlink"/>
                <w:noProof/>
              </w:rPr>
              <w:t>Activity 1</w:t>
            </w:r>
            <w:r w:rsidR="00E065A4">
              <w:rPr>
                <w:noProof/>
                <w:webHidden/>
              </w:rPr>
              <w:tab/>
            </w:r>
            <w:r w:rsidR="00E065A4">
              <w:rPr>
                <w:noProof/>
                <w:webHidden/>
              </w:rPr>
              <w:fldChar w:fldCharType="begin"/>
            </w:r>
            <w:r w:rsidR="00E065A4">
              <w:rPr>
                <w:noProof/>
                <w:webHidden/>
              </w:rPr>
              <w:instrText xml:space="preserve"> PAGEREF _Toc498600122 \h </w:instrText>
            </w:r>
            <w:r w:rsidR="00E065A4">
              <w:rPr>
                <w:noProof/>
                <w:webHidden/>
              </w:rPr>
            </w:r>
            <w:r w:rsidR="00E065A4">
              <w:rPr>
                <w:noProof/>
                <w:webHidden/>
              </w:rPr>
              <w:fldChar w:fldCharType="separate"/>
            </w:r>
            <w:r w:rsidR="00E065A4">
              <w:rPr>
                <w:noProof/>
                <w:webHidden/>
              </w:rPr>
              <w:t>4</w:t>
            </w:r>
            <w:r w:rsidR="00E065A4">
              <w:rPr>
                <w:noProof/>
                <w:webHidden/>
              </w:rPr>
              <w:fldChar w:fldCharType="end"/>
            </w:r>
          </w:hyperlink>
        </w:p>
        <w:p w:rsidR="00E065A4" w:rsidRDefault="00E065A4">
          <w:pPr>
            <w:pStyle w:val="TOC2"/>
            <w:tabs>
              <w:tab w:val="left" w:pos="880"/>
              <w:tab w:val="right" w:leader="dot" w:pos="9016"/>
            </w:tabs>
            <w:rPr>
              <w:rFonts w:eastAsiaTheme="minorEastAsia"/>
              <w:noProof/>
              <w:lang w:val="en-US"/>
            </w:rPr>
          </w:pPr>
          <w:hyperlink w:anchor="_Toc498600123" w:history="1">
            <w:r w:rsidRPr="008E5CE9">
              <w:rPr>
                <w:rStyle w:val="Hyperlink"/>
                <w:noProof/>
              </w:rPr>
              <w:t>1.1</w:t>
            </w:r>
            <w:r>
              <w:rPr>
                <w:rFonts w:eastAsiaTheme="minorEastAsia"/>
                <w:noProof/>
                <w:lang w:val="en-US"/>
              </w:rPr>
              <w:tab/>
            </w:r>
            <w:r w:rsidRPr="008E5CE9">
              <w:rPr>
                <w:rStyle w:val="Hyperlink"/>
                <w:noProof/>
              </w:rPr>
              <w:t>What is a HR Professional?</w:t>
            </w:r>
            <w:r>
              <w:rPr>
                <w:noProof/>
                <w:webHidden/>
              </w:rPr>
              <w:tab/>
            </w:r>
            <w:r>
              <w:rPr>
                <w:noProof/>
                <w:webHidden/>
              </w:rPr>
              <w:fldChar w:fldCharType="begin"/>
            </w:r>
            <w:r>
              <w:rPr>
                <w:noProof/>
                <w:webHidden/>
              </w:rPr>
              <w:instrText xml:space="preserve"> PAGEREF _Toc498600123 \h </w:instrText>
            </w:r>
            <w:r>
              <w:rPr>
                <w:noProof/>
                <w:webHidden/>
              </w:rPr>
            </w:r>
            <w:r>
              <w:rPr>
                <w:noProof/>
                <w:webHidden/>
              </w:rPr>
              <w:fldChar w:fldCharType="separate"/>
            </w:r>
            <w:r>
              <w:rPr>
                <w:noProof/>
                <w:webHidden/>
              </w:rPr>
              <w:t>4</w:t>
            </w:r>
            <w:r>
              <w:rPr>
                <w:noProof/>
                <w:webHidden/>
              </w:rPr>
              <w:fldChar w:fldCharType="end"/>
            </w:r>
          </w:hyperlink>
        </w:p>
        <w:p w:rsidR="00E065A4" w:rsidRDefault="00E065A4">
          <w:pPr>
            <w:pStyle w:val="TOC2"/>
            <w:tabs>
              <w:tab w:val="right" w:leader="dot" w:pos="9016"/>
            </w:tabs>
            <w:rPr>
              <w:rFonts w:eastAsiaTheme="minorEastAsia"/>
              <w:noProof/>
              <w:lang w:val="en-US"/>
            </w:rPr>
          </w:pPr>
          <w:hyperlink w:anchor="_Toc498600124" w:history="1">
            <w:r w:rsidRPr="008E5CE9">
              <w:rPr>
                <w:rStyle w:val="Hyperlink"/>
                <w:noProof/>
              </w:rPr>
              <w:t>1.2 The CPD Profession Map</w:t>
            </w:r>
            <w:r>
              <w:rPr>
                <w:noProof/>
                <w:webHidden/>
              </w:rPr>
              <w:tab/>
            </w:r>
            <w:r>
              <w:rPr>
                <w:noProof/>
                <w:webHidden/>
              </w:rPr>
              <w:fldChar w:fldCharType="begin"/>
            </w:r>
            <w:r>
              <w:rPr>
                <w:noProof/>
                <w:webHidden/>
              </w:rPr>
              <w:instrText xml:space="preserve"> PAGEREF _Toc498600124 \h </w:instrText>
            </w:r>
            <w:r>
              <w:rPr>
                <w:noProof/>
                <w:webHidden/>
              </w:rPr>
            </w:r>
            <w:r>
              <w:rPr>
                <w:noProof/>
                <w:webHidden/>
              </w:rPr>
              <w:fldChar w:fldCharType="separate"/>
            </w:r>
            <w:r>
              <w:rPr>
                <w:noProof/>
                <w:webHidden/>
              </w:rPr>
              <w:t>4</w:t>
            </w:r>
            <w:r>
              <w:rPr>
                <w:noProof/>
                <w:webHidden/>
              </w:rPr>
              <w:fldChar w:fldCharType="end"/>
            </w:r>
          </w:hyperlink>
        </w:p>
        <w:p w:rsidR="00E065A4" w:rsidRDefault="00E065A4">
          <w:pPr>
            <w:pStyle w:val="TOC2"/>
            <w:tabs>
              <w:tab w:val="right" w:leader="dot" w:pos="9016"/>
            </w:tabs>
            <w:rPr>
              <w:rFonts w:eastAsiaTheme="minorEastAsia"/>
              <w:noProof/>
              <w:lang w:val="en-US"/>
            </w:rPr>
          </w:pPr>
          <w:hyperlink w:anchor="_Toc498600125" w:history="1">
            <w:r w:rsidRPr="008E5CE9">
              <w:rPr>
                <w:rStyle w:val="Hyperlink"/>
                <w:noProof/>
              </w:rPr>
              <w:t>1.2.1 Professional Area and Competencies</w:t>
            </w:r>
            <w:r>
              <w:rPr>
                <w:noProof/>
                <w:webHidden/>
              </w:rPr>
              <w:tab/>
            </w:r>
            <w:r>
              <w:rPr>
                <w:noProof/>
                <w:webHidden/>
              </w:rPr>
              <w:fldChar w:fldCharType="begin"/>
            </w:r>
            <w:r>
              <w:rPr>
                <w:noProof/>
                <w:webHidden/>
              </w:rPr>
              <w:instrText xml:space="preserve"> PAGEREF _Toc498600125 \h </w:instrText>
            </w:r>
            <w:r>
              <w:rPr>
                <w:noProof/>
                <w:webHidden/>
              </w:rPr>
            </w:r>
            <w:r>
              <w:rPr>
                <w:noProof/>
                <w:webHidden/>
              </w:rPr>
              <w:fldChar w:fldCharType="separate"/>
            </w:r>
            <w:r>
              <w:rPr>
                <w:noProof/>
                <w:webHidden/>
              </w:rPr>
              <w:t>5</w:t>
            </w:r>
            <w:r>
              <w:rPr>
                <w:noProof/>
                <w:webHidden/>
              </w:rPr>
              <w:fldChar w:fldCharType="end"/>
            </w:r>
          </w:hyperlink>
        </w:p>
        <w:p w:rsidR="00E065A4" w:rsidRDefault="00E065A4">
          <w:pPr>
            <w:pStyle w:val="TOC1"/>
            <w:tabs>
              <w:tab w:val="right" w:leader="dot" w:pos="9016"/>
            </w:tabs>
            <w:rPr>
              <w:rFonts w:eastAsiaTheme="minorEastAsia"/>
              <w:noProof/>
              <w:lang w:val="en-US"/>
            </w:rPr>
          </w:pPr>
          <w:hyperlink w:anchor="_Toc498600126" w:history="1">
            <w:r w:rsidRPr="008E5CE9">
              <w:rPr>
                <w:rStyle w:val="Hyperlink"/>
                <w:noProof/>
              </w:rPr>
              <w:t>Activity 2</w:t>
            </w:r>
            <w:r>
              <w:rPr>
                <w:noProof/>
                <w:webHidden/>
              </w:rPr>
              <w:tab/>
            </w:r>
            <w:r>
              <w:rPr>
                <w:noProof/>
                <w:webHidden/>
              </w:rPr>
              <w:fldChar w:fldCharType="begin"/>
            </w:r>
            <w:r>
              <w:rPr>
                <w:noProof/>
                <w:webHidden/>
              </w:rPr>
              <w:instrText xml:space="preserve"> PAGEREF _Toc498600126 \h </w:instrText>
            </w:r>
            <w:r>
              <w:rPr>
                <w:noProof/>
                <w:webHidden/>
              </w:rPr>
            </w:r>
            <w:r>
              <w:rPr>
                <w:noProof/>
                <w:webHidden/>
              </w:rPr>
              <w:fldChar w:fldCharType="separate"/>
            </w:r>
            <w:r>
              <w:rPr>
                <w:noProof/>
                <w:webHidden/>
              </w:rPr>
              <w:t>8</w:t>
            </w:r>
            <w:r>
              <w:rPr>
                <w:noProof/>
                <w:webHidden/>
              </w:rPr>
              <w:fldChar w:fldCharType="end"/>
            </w:r>
          </w:hyperlink>
        </w:p>
        <w:p w:rsidR="00E065A4" w:rsidRDefault="00E065A4">
          <w:pPr>
            <w:pStyle w:val="TOC2"/>
            <w:tabs>
              <w:tab w:val="right" w:leader="dot" w:pos="9016"/>
            </w:tabs>
            <w:rPr>
              <w:rFonts w:eastAsiaTheme="minorEastAsia"/>
              <w:noProof/>
              <w:lang w:val="en-US"/>
            </w:rPr>
          </w:pPr>
          <w:hyperlink w:anchor="_Toc498600127" w:history="1">
            <w:r w:rsidRPr="008E5CE9">
              <w:rPr>
                <w:rStyle w:val="Hyperlink"/>
                <w:noProof/>
              </w:rPr>
              <w:t>2.1 Group Dynamics</w:t>
            </w:r>
            <w:r>
              <w:rPr>
                <w:noProof/>
                <w:webHidden/>
              </w:rPr>
              <w:tab/>
            </w:r>
            <w:r>
              <w:rPr>
                <w:noProof/>
                <w:webHidden/>
              </w:rPr>
              <w:fldChar w:fldCharType="begin"/>
            </w:r>
            <w:r>
              <w:rPr>
                <w:noProof/>
                <w:webHidden/>
              </w:rPr>
              <w:instrText xml:space="preserve"> PAGEREF _Toc498600127 \h </w:instrText>
            </w:r>
            <w:r>
              <w:rPr>
                <w:noProof/>
                <w:webHidden/>
              </w:rPr>
            </w:r>
            <w:r>
              <w:rPr>
                <w:noProof/>
                <w:webHidden/>
              </w:rPr>
              <w:fldChar w:fldCharType="separate"/>
            </w:r>
            <w:r>
              <w:rPr>
                <w:noProof/>
                <w:webHidden/>
              </w:rPr>
              <w:t>8</w:t>
            </w:r>
            <w:r>
              <w:rPr>
                <w:noProof/>
                <w:webHidden/>
              </w:rPr>
              <w:fldChar w:fldCharType="end"/>
            </w:r>
          </w:hyperlink>
        </w:p>
        <w:p w:rsidR="00E065A4" w:rsidRDefault="00E065A4">
          <w:pPr>
            <w:pStyle w:val="TOC2"/>
            <w:tabs>
              <w:tab w:val="right" w:leader="dot" w:pos="9016"/>
            </w:tabs>
            <w:rPr>
              <w:rFonts w:eastAsiaTheme="minorEastAsia"/>
              <w:noProof/>
              <w:lang w:val="en-US"/>
            </w:rPr>
          </w:pPr>
          <w:hyperlink w:anchor="_Toc498600128" w:history="1">
            <w:r w:rsidRPr="008E5CE9">
              <w:rPr>
                <w:rStyle w:val="Hyperlink"/>
                <w:noProof/>
              </w:rPr>
              <w:t>2.2 Conflict Resolution</w:t>
            </w:r>
            <w:r>
              <w:rPr>
                <w:noProof/>
                <w:webHidden/>
              </w:rPr>
              <w:tab/>
            </w:r>
            <w:r>
              <w:rPr>
                <w:noProof/>
                <w:webHidden/>
              </w:rPr>
              <w:fldChar w:fldCharType="begin"/>
            </w:r>
            <w:r>
              <w:rPr>
                <w:noProof/>
                <w:webHidden/>
              </w:rPr>
              <w:instrText xml:space="preserve"> PAGEREF _Toc498600128 \h </w:instrText>
            </w:r>
            <w:r>
              <w:rPr>
                <w:noProof/>
                <w:webHidden/>
              </w:rPr>
            </w:r>
            <w:r>
              <w:rPr>
                <w:noProof/>
                <w:webHidden/>
              </w:rPr>
              <w:fldChar w:fldCharType="separate"/>
            </w:r>
            <w:r>
              <w:rPr>
                <w:noProof/>
                <w:webHidden/>
              </w:rPr>
              <w:t>9</w:t>
            </w:r>
            <w:r>
              <w:rPr>
                <w:noProof/>
                <w:webHidden/>
              </w:rPr>
              <w:fldChar w:fldCharType="end"/>
            </w:r>
          </w:hyperlink>
        </w:p>
        <w:p w:rsidR="00E065A4" w:rsidRDefault="00E065A4">
          <w:pPr>
            <w:pStyle w:val="TOC3"/>
            <w:tabs>
              <w:tab w:val="right" w:leader="dot" w:pos="9016"/>
            </w:tabs>
            <w:rPr>
              <w:noProof/>
            </w:rPr>
          </w:pPr>
          <w:hyperlink w:anchor="_Toc498600129" w:history="1">
            <w:r w:rsidRPr="008E5CE9">
              <w:rPr>
                <w:rStyle w:val="Hyperlink"/>
                <w:noProof/>
              </w:rPr>
              <w:t>2.2.1 Active Listening Skills</w:t>
            </w:r>
            <w:r>
              <w:rPr>
                <w:noProof/>
                <w:webHidden/>
              </w:rPr>
              <w:tab/>
            </w:r>
            <w:r>
              <w:rPr>
                <w:noProof/>
                <w:webHidden/>
              </w:rPr>
              <w:fldChar w:fldCharType="begin"/>
            </w:r>
            <w:r>
              <w:rPr>
                <w:noProof/>
                <w:webHidden/>
              </w:rPr>
              <w:instrText xml:space="preserve"> PAGEREF _Toc498600129 \h </w:instrText>
            </w:r>
            <w:r>
              <w:rPr>
                <w:noProof/>
                <w:webHidden/>
              </w:rPr>
            </w:r>
            <w:r>
              <w:rPr>
                <w:noProof/>
                <w:webHidden/>
              </w:rPr>
              <w:fldChar w:fldCharType="separate"/>
            </w:r>
            <w:r>
              <w:rPr>
                <w:noProof/>
                <w:webHidden/>
              </w:rPr>
              <w:t>9</w:t>
            </w:r>
            <w:r>
              <w:rPr>
                <w:noProof/>
                <w:webHidden/>
              </w:rPr>
              <w:fldChar w:fldCharType="end"/>
            </w:r>
          </w:hyperlink>
        </w:p>
        <w:p w:rsidR="00E065A4" w:rsidRDefault="00E065A4">
          <w:pPr>
            <w:pStyle w:val="TOC3"/>
            <w:tabs>
              <w:tab w:val="right" w:leader="dot" w:pos="9016"/>
            </w:tabs>
            <w:rPr>
              <w:noProof/>
            </w:rPr>
          </w:pPr>
          <w:hyperlink w:anchor="_Toc498600130" w:history="1">
            <w:r w:rsidRPr="008E5CE9">
              <w:rPr>
                <w:rStyle w:val="Hyperlink"/>
                <w:noProof/>
              </w:rPr>
              <w:t>2.2.2 Influencing</w:t>
            </w:r>
            <w:r>
              <w:rPr>
                <w:noProof/>
                <w:webHidden/>
              </w:rPr>
              <w:tab/>
            </w:r>
            <w:r>
              <w:rPr>
                <w:noProof/>
                <w:webHidden/>
              </w:rPr>
              <w:fldChar w:fldCharType="begin"/>
            </w:r>
            <w:r>
              <w:rPr>
                <w:noProof/>
                <w:webHidden/>
              </w:rPr>
              <w:instrText xml:space="preserve"> PAGEREF _Toc498600130 \h </w:instrText>
            </w:r>
            <w:r>
              <w:rPr>
                <w:noProof/>
                <w:webHidden/>
              </w:rPr>
            </w:r>
            <w:r>
              <w:rPr>
                <w:noProof/>
                <w:webHidden/>
              </w:rPr>
              <w:fldChar w:fldCharType="separate"/>
            </w:r>
            <w:r>
              <w:rPr>
                <w:noProof/>
                <w:webHidden/>
              </w:rPr>
              <w:t>10</w:t>
            </w:r>
            <w:r>
              <w:rPr>
                <w:noProof/>
                <w:webHidden/>
              </w:rPr>
              <w:fldChar w:fldCharType="end"/>
            </w:r>
          </w:hyperlink>
        </w:p>
        <w:p w:rsidR="00E065A4" w:rsidRDefault="00E065A4">
          <w:pPr>
            <w:pStyle w:val="TOC2"/>
            <w:tabs>
              <w:tab w:val="right" w:leader="dot" w:pos="9016"/>
            </w:tabs>
            <w:rPr>
              <w:rFonts w:eastAsiaTheme="minorEastAsia"/>
              <w:noProof/>
              <w:lang w:val="en-US"/>
            </w:rPr>
          </w:pPr>
          <w:hyperlink w:anchor="_Toc498600131" w:history="1">
            <w:r w:rsidRPr="008E5CE9">
              <w:rPr>
                <w:rStyle w:val="Hyperlink"/>
                <w:noProof/>
              </w:rPr>
              <w:t>2.3 Active Listening and Influencing in a HR context</w:t>
            </w:r>
            <w:r>
              <w:rPr>
                <w:noProof/>
                <w:webHidden/>
              </w:rPr>
              <w:tab/>
            </w:r>
            <w:r>
              <w:rPr>
                <w:noProof/>
                <w:webHidden/>
              </w:rPr>
              <w:fldChar w:fldCharType="begin"/>
            </w:r>
            <w:r>
              <w:rPr>
                <w:noProof/>
                <w:webHidden/>
              </w:rPr>
              <w:instrText xml:space="preserve"> PAGEREF _Toc498600131 \h </w:instrText>
            </w:r>
            <w:r>
              <w:rPr>
                <w:noProof/>
                <w:webHidden/>
              </w:rPr>
            </w:r>
            <w:r>
              <w:rPr>
                <w:noProof/>
                <w:webHidden/>
              </w:rPr>
              <w:fldChar w:fldCharType="separate"/>
            </w:r>
            <w:r>
              <w:rPr>
                <w:noProof/>
                <w:webHidden/>
              </w:rPr>
              <w:t>10</w:t>
            </w:r>
            <w:r>
              <w:rPr>
                <w:noProof/>
                <w:webHidden/>
              </w:rPr>
              <w:fldChar w:fldCharType="end"/>
            </w:r>
          </w:hyperlink>
        </w:p>
        <w:p w:rsidR="00E065A4" w:rsidRDefault="00E065A4">
          <w:pPr>
            <w:pStyle w:val="TOC1"/>
            <w:tabs>
              <w:tab w:val="right" w:leader="dot" w:pos="9016"/>
            </w:tabs>
            <w:rPr>
              <w:rFonts w:eastAsiaTheme="minorEastAsia"/>
              <w:noProof/>
              <w:lang w:val="en-US"/>
            </w:rPr>
          </w:pPr>
          <w:hyperlink w:anchor="_Toc498600132" w:history="1">
            <w:r w:rsidRPr="008E5CE9">
              <w:rPr>
                <w:rStyle w:val="Hyperlink"/>
                <w:noProof/>
              </w:rPr>
              <w:t>Activity 3</w:t>
            </w:r>
            <w:r>
              <w:rPr>
                <w:noProof/>
                <w:webHidden/>
              </w:rPr>
              <w:tab/>
            </w:r>
            <w:r>
              <w:rPr>
                <w:noProof/>
                <w:webHidden/>
              </w:rPr>
              <w:fldChar w:fldCharType="begin"/>
            </w:r>
            <w:r>
              <w:rPr>
                <w:noProof/>
                <w:webHidden/>
              </w:rPr>
              <w:instrText xml:space="preserve"> PAGEREF _Toc498600132 \h </w:instrText>
            </w:r>
            <w:r>
              <w:rPr>
                <w:noProof/>
                <w:webHidden/>
              </w:rPr>
            </w:r>
            <w:r>
              <w:rPr>
                <w:noProof/>
                <w:webHidden/>
              </w:rPr>
              <w:fldChar w:fldCharType="separate"/>
            </w:r>
            <w:r>
              <w:rPr>
                <w:noProof/>
                <w:webHidden/>
              </w:rPr>
              <w:t>10</w:t>
            </w:r>
            <w:r>
              <w:rPr>
                <w:noProof/>
                <w:webHidden/>
              </w:rPr>
              <w:fldChar w:fldCharType="end"/>
            </w:r>
          </w:hyperlink>
        </w:p>
        <w:p w:rsidR="00E065A4" w:rsidRDefault="00E065A4">
          <w:pPr>
            <w:pStyle w:val="TOC2"/>
            <w:tabs>
              <w:tab w:val="right" w:leader="dot" w:pos="9016"/>
            </w:tabs>
            <w:rPr>
              <w:rFonts w:eastAsiaTheme="minorEastAsia"/>
              <w:noProof/>
              <w:lang w:val="en-US"/>
            </w:rPr>
          </w:pPr>
          <w:hyperlink w:anchor="_Toc498600133" w:history="1">
            <w:r w:rsidRPr="008E5CE9">
              <w:rPr>
                <w:rStyle w:val="Hyperlink"/>
                <w:noProof/>
              </w:rPr>
              <w:t>3.1 Project Management</w:t>
            </w:r>
            <w:r>
              <w:rPr>
                <w:noProof/>
                <w:webHidden/>
              </w:rPr>
              <w:tab/>
            </w:r>
            <w:r>
              <w:rPr>
                <w:noProof/>
                <w:webHidden/>
              </w:rPr>
              <w:fldChar w:fldCharType="begin"/>
            </w:r>
            <w:r>
              <w:rPr>
                <w:noProof/>
                <w:webHidden/>
              </w:rPr>
              <w:instrText xml:space="preserve"> PAGEREF _Toc498600133 \h </w:instrText>
            </w:r>
            <w:r>
              <w:rPr>
                <w:noProof/>
                <w:webHidden/>
              </w:rPr>
            </w:r>
            <w:r>
              <w:rPr>
                <w:noProof/>
                <w:webHidden/>
              </w:rPr>
              <w:fldChar w:fldCharType="separate"/>
            </w:r>
            <w:r>
              <w:rPr>
                <w:noProof/>
                <w:webHidden/>
              </w:rPr>
              <w:t>10</w:t>
            </w:r>
            <w:r>
              <w:rPr>
                <w:noProof/>
                <w:webHidden/>
              </w:rPr>
              <w:fldChar w:fldCharType="end"/>
            </w:r>
          </w:hyperlink>
        </w:p>
        <w:p w:rsidR="00E065A4" w:rsidRDefault="00E065A4">
          <w:pPr>
            <w:pStyle w:val="TOC2"/>
            <w:tabs>
              <w:tab w:val="right" w:leader="dot" w:pos="9016"/>
            </w:tabs>
            <w:rPr>
              <w:rFonts w:eastAsiaTheme="minorEastAsia"/>
              <w:noProof/>
              <w:lang w:val="en-US"/>
            </w:rPr>
          </w:pPr>
          <w:hyperlink w:anchor="_Toc498600134" w:history="1">
            <w:r w:rsidRPr="008E5CE9">
              <w:rPr>
                <w:rStyle w:val="Hyperlink"/>
                <w:noProof/>
              </w:rPr>
              <w:t>3.2 Problem Solving Techniques</w:t>
            </w:r>
            <w:r>
              <w:rPr>
                <w:noProof/>
                <w:webHidden/>
              </w:rPr>
              <w:tab/>
            </w:r>
            <w:r>
              <w:rPr>
                <w:noProof/>
                <w:webHidden/>
              </w:rPr>
              <w:fldChar w:fldCharType="begin"/>
            </w:r>
            <w:r>
              <w:rPr>
                <w:noProof/>
                <w:webHidden/>
              </w:rPr>
              <w:instrText xml:space="preserve"> PAGEREF _Toc498600134 \h </w:instrText>
            </w:r>
            <w:r>
              <w:rPr>
                <w:noProof/>
                <w:webHidden/>
              </w:rPr>
            </w:r>
            <w:r>
              <w:rPr>
                <w:noProof/>
                <w:webHidden/>
              </w:rPr>
              <w:fldChar w:fldCharType="separate"/>
            </w:r>
            <w:r>
              <w:rPr>
                <w:noProof/>
                <w:webHidden/>
              </w:rPr>
              <w:t>12</w:t>
            </w:r>
            <w:r>
              <w:rPr>
                <w:noProof/>
                <w:webHidden/>
              </w:rPr>
              <w:fldChar w:fldCharType="end"/>
            </w:r>
          </w:hyperlink>
        </w:p>
        <w:p w:rsidR="00E065A4" w:rsidRDefault="00E065A4">
          <w:pPr>
            <w:pStyle w:val="TOC1"/>
            <w:tabs>
              <w:tab w:val="right" w:leader="dot" w:pos="9016"/>
            </w:tabs>
            <w:rPr>
              <w:rFonts w:eastAsiaTheme="minorEastAsia"/>
              <w:noProof/>
              <w:lang w:val="en-US"/>
            </w:rPr>
          </w:pPr>
          <w:hyperlink w:anchor="_Toc498600135" w:history="1">
            <w:r w:rsidRPr="008E5CE9">
              <w:rPr>
                <w:rStyle w:val="Hyperlink"/>
                <w:noProof/>
              </w:rPr>
              <w:t>Activity 4</w:t>
            </w:r>
            <w:r>
              <w:rPr>
                <w:noProof/>
                <w:webHidden/>
              </w:rPr>
              <w:tab/>
            </w:r>
            <w:r>
              <w:rPr>
                <w:noProof/>
                <w:webHidden/>
              </w:rPr>
              <w:fldChar w:fldCharType="begin"/>
            </w:r>
            <w:r>
              <w:rPr>
                <w:noProof/>
                <w:webHidden/>
              </w:rPr>
              <w:instrText xml:space="preserve"> PAGEREF _Toc498600135 \h </w:instrText>
            </w:r>
            <w:r>
              <w:rPr>
                <w:noProof/>
                <w:webHidden/>
              </w:rPr>
            </w:r>
            <w:r>
              <w:rPr>
                <w:noProof/>
                <w:webHidden/>
              </w:rPr>
              <w:fldChar w:fldCharType="separate"/>
            </w:r>
            <w:r>
              <w:rPr>
                <w:noProof/>
                <w:webHidden/>
              </w:rPr>
              <w:t>12</w:t>
            </w:r>
            <w:r>
              <w:rPr>
                <w:noProof/>
                <w:webHidden/>
              </w:rPr>
              <w:fldChar w:fldCharType="end"/>
            </w:r>
          </w:hyperlink>
        </w:p>
        <w:p w:rsidR="00E065A4" w:rsidRDefault="00E065A4">
          <w:pPr>
            <w:pStyle w:val="TOC2"/>
            <w:tabs>
              <w:tab w:val="right" w:leader="dot" w:pos="9016"/>
            </w:tabs>
            <w:rPr>
              <w:rFonts w:eastAsiaTheme="minorEastAsia"/>
              <w:noProof/>
              <w:lang w:val="en-US"/>
            </w:rPr>
          </w:pPr>
          <w:hyperlink w:anchor="_Toc498600136" w:history="1">
            <w:r w:rsidRPr="008E5CE9">
              <w:rPr>
                <w:rStyle w:val="Hyperlink"/>
                <w:noProof/>
              </w:rPr>
              <w:t>4.1 My PDP</w:t>
            </w:r>
            <w:r>
              <w:rPr>
                <w:noProof/>
                <w:webHidden/>
              </w:rPr>
              <w:tab/>
            </w:r>
            <w:r>
              <w:rPr>
                <w:noProof/>
                <w:webHidden/>
              </w:rPr>
              <w:fldChar w:fldCharType="begin"/>
            </w:r>
            <w:r>
              <w:rPr>
                <w:noProof/>
                <w:webHidden/>
              </w:rPr>
              <w:instrText xml:space="preserve"> PAGEREF _Toc498600136 \h </w:instrText>
            </w:r>
            <w:r>
              <w:rPr>
                <w:noProof/>
                <w:webHidden/>
              </w:rPr>
            </w:r>
            <w:r>
              <w:rPr>
                <w:noProof/>
                <w:webHidden/>
              </w:rPr>
              <w:fldChar w:fldCharType="separate"/>
            </w:r>
            <w:r>
              <w:rPr>
                <w:noProof/>
                <w:webHidden/>
              </w:rPr>
              <w:t>12</w:t>
            </w:r>
            <w:r>
              <w:rPr>
                <w:noProof/>
                <w:webHidden/>
              </w:rPr>
              <w:fldChar w:fldCharType="end"/>
            </w:r>
          </w:hyperlink>
        </w:p>
        <w:p w:rsidR="00E065A4" w:rsidRDefault="00E065A4">
          <w:pPr>
            <w:pStyle w:val="TOC2"/>
            <w:tabs>
              <w:tab w:val="right" w:leader="dot" w:pos="9016"/>
            </w:tabs>
            <w:rPr>
              <w:rFonts w:eastAsiaTheme="minorEastAsia"/>
              <w:noProof/>
              <w:lang w:val="en-US"/>
            </w:rPr>
          </w:pPr>
          <w:hyperlink w:anchor="_Toc498600137" w:history="1">
            <w:r w:rsidRPr="008E5CE9">
              <w:rPr>
                <w:rStyle w:val="Hyperlink"/>
                <w:noProof/>
              </w:rPr>
              <w:t>4.2. Learning Styles – Honey and Mumford</w:t>
            </w:r>
            <w:r>
              <w:rPr>
                <w:noProof/>
                <w:webHidden/>
              </w:rPr>
              <w:tab/>
            </w:r>
            <w:r>
              <w:rPr>
                <w:noProof/>
                <w:webHidden/>
              </w:rPr>
              <w:fldChar w:fldCharType="begin"/>
            </w:r>
            <w:r>
              <w:rPr>
                <w:noProof/>
                <w:webHidden/>
              </w:rPr>
              <w:instrText xml:space="preserve"> PAGEREF _Toc498600137 \h </w:instrText>
            </w:r>
            <w:r>
              <w:rPr>
                <w:noProof/>
                <w:webHidden/>
              </w:rPr>
            </w:r>
            <w:r>
              <w:rPr>
                <w:noProof/>
                <w:webHidden/>
              </w:rPr>
              <w:fldChar w:fldCharType="separate"/>
            </w:r>
            <w:r>
              <w:rPr>
                <w:noProof/>
                <w:webHidden/>
              </w:rPr>
              <w:t>13</w:t>
            </w:r>
            <w:r>
              <w:rPr>
                <w:noProof/>
                <w:webHidden/>
              </w:rPr>
              <w:fldChar w:fldCharType="end"/>
            </w:r>
          </w:hyperlink>
        </w:p>
        <w:p w:rsidR="00E065A4" w:rsidRDefault="00E065A4">
          <w:pPr>
            <w:pStyle w:val="TOC2"/>
            <w:tabs>
              <w:tab w:val="right" w:leader="dot" w:pos="9016"/>
            </w:tabs>
            <w:rPr>
              <w:rFonts w:eastAsiaTheme="minorEastAsia"/>
              <w:noProof/>
              <w:lang w:val="en-US"/>
            </w:rPr>
          </w:pPr>
          <w:hyperlink w:anchor="_Toc498600138" w:history="1">
            <w:r w:rsidRPr="008E5CE9">
              <w:rPr>
                <w:rStyle w:val="Hyperlink"/>
                <w:noProof/>
              </w:rPr>
              <w:t>4.3 Reflective Practice</w:t>
            </w:r>
            <w:r>
              <w:rPr>
                <w:noProof/>
                <w:webHidden/>
              </w:rPr>
              <w:tab/>
            </w:r>
            <w:r>
              <w:rPr>
                <w:noProof/>
                <w:webHidden/>
              </w:rPr>
              <w:fldChar w:fldCharType="begin"/>
            </w:r>
            <w:r>
              <w:rPr>
                <w:noProof/>
                <w:webHidden/>
              </w:rPr>
              <w:instrText xml:space="preserve"> PAGEREF _Toc498600138 \h </w:instrText>
            </w:r>
            <w:r>
              <w:rPr>
                <w:noProof/>
                <w:webHidden/>
              </w:rPr>
            </w:r>
            <w:r>
              <w:rPr>
                <w:noProof/>
                <w:webHidden/>
              </w:rPr>
              <w:fldChar w:fldCharType="separate"/>
            </w:r>
            <w:r>
              <w:rPr>
                <w:noProof/>
                <w:webHidden/>
              </w:rPr>
              <w:t>13</w:t>
            </w:r>
            <w:r>
              <w:rPr>
                <w:noProof/>
                <w:webHidden/>
              </w:rPr>
              <w:fldChar w:fldCharType="end"/>
            </w:r>
          </w:hyperlink>
        </w:p>
        <w:p w:rsidR="00E065A4" w:rsidRDefault="00E065A4">
          <w:pPr>
            <w:pStyle w:val="TOC1"/>
            <w:tabs>
              <w:tab w:val="right" w:leader="dot" w:pos="9016"/>
            </w:tabs>
            <w:rPr>
              <w:rFonts w:eastAsiaTheme="minorEastAsia"/>
              <w:noProof/>
              <w:lang w:val="en-US"/>
            </w:rPr>
          </w:pPr>
          <w:hyperlink w:anchor="_Toc498600139" w:history="1">
            <w:r w:rsidRPr="008E5CE9">
              <w:rPr>
                <w:rStyle w:val="Hyperlink"/>
                <w:noProof/>
              </w:rPr>
              <w:t>References</w:t>
            </w:r>
            <w:r>
              <w:rPr>
                <w:noProof/>
                <w:webHidden/>
              </w:rPr>
              <w:tab/>
            </w:r>
            <w:r>
              <w:rPr>
                <w:noProof/>
                <w:webHidden/>
              </w:rPr>
              <w:fldChar w:fldCharType="begin"/>
            </w:r>
            <w:r>
              <w:rPr>
                <w:noProof/>
                <w:webHidden/>
              </w:rPr>
              <w:instrText xml:space="preserve"> PAGEREF _Toc498600139 \h </w:instrText>
            </w:r>
            <w:r>
              <w:rPr>
                <w:noProof/>
                <w:webHidden/>
              </w:rPr>
            </w:r>
            <w:r>
              <w:rPr>
                <w:noProof/>
                <w:webHidden/>
              </w:rPr>
              <w:fldChar w:fldCharType="separate"/>
            </w:r>
            <w:r>
              <w:rPr>
                <w:noProof/>
                <w:webHidden/>
              </w:rPr>
              <w:t>14</w:t>
            </w:r>
            <w:r>
              <w:rPr>
                <w:noProof/>
                <w:webHidden/>
              </w:rPr>
              <w:fldChar w:fldCharType="end"/>
            </w:r>
          </w:hyperlink>
        </w:p>
        <w:p w:rsidR="00EB5D4E" w:rsidRPr="00D31A30" w:rsidRDefault="00EB5D4E">
          <w:r w:rsidRPr="00D31A30">
            <w:rPr>
              <w:b/>
              <w:bCs/>
              <w:noProof/>
            </w:rPr>
            <w:fldChar w:fldCharType="end"/>
          </w:r>
        </w:p>
      </w:sdtContent>
    </w:sdt>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EB390F" w:rsidP="00EB390F">
      <w:pPr>
        <w:tabs>
          <w:tab w:val="left" w:pos="2780"/>
        </w:tabs>
        <w:spacing w:after="0" w:line="240" w:lineRule="auto"/>
        <w:rPr>
          <w:rFonts w:cs="Arial"/>
        </w:rPr>
      </w:pPr>
      <w:r>
        <w:rPr>
          <w:rFonts w:cs="Arial"/>
        </w:rPr>
        <w:tab/>
      </w:r>
    </w:p>
    <w:p w:rsidR="006E0DE0" w:rsidRPr="00D31A30" w:rsidRDefault="006E0DE0" w:rsidP="00180456">
      <w:pPr>
        <w:spacing w:after="0" w:line="240" w:lineRule="auto"/>
        <w:rPr>
          <w:rFonts w:cs="Arial"/>
          <w:color w:val="002060"/>
        </w:rPr>
      </w:pPr>
    </w:p>
    <w:p w:rsidR="001C195E" w:rsidRPr="00BB5C90" w:rsidRDefault="001C195E" w:rsidP="00BB5C90">
      <w:pPr>
        <w:pStyle w:val="Heading1"/>
        <w:rPr>
          <w:rFonts w:asciiTheme="minorHAnsi" w:hAnsiTheme="minorHAnsi"/>
        </w:rPr>
      </w:pPr>
      <w:bookmarkStart w:id="0" w:name="_Toc498600122"/>
      <w:r>
        <w:rPr>
          <w:rFonts w:asciiTheme="minorHAnsi" w:hAnsiTheme="minorHAnsi"/>
        </w:rPr>
        <w:t xml:space="preserve">Activity </w:t>
      </w:r>
      <w:r w:rsidR="00BB5C90">
        <w:rPr>
          <w:rFonts w:asciiTheme="minorHAnsi" w:hAnsiTheme="minorHAnsi"/>
        </w:rPr>
        <w:t>1</w:t>
      </w:r>
      <w:bookmarkEnd w:id="0"/>
    </w:p>
    <w:p w:rsidR="00BB5C90" w:rsidRDefault="00BB5C90" w:rsidP="005B28AD">
      <w:pPr>
        <w:pStyle w:val="Heading2"/>
        <w:numPr>
          <w:ilvl w:val="1"/>
          <w:numId w:val="9"/>
        </w:numPr>
        <w:rPr>
          <w:b w:val="0"/>
        </w:rPr>
      </w:pPr>
      <w:bookmarkStart w:id="1" w:name="_Toc498600123"/>
      <w:r w:rsidRPr="009F5B17">
        <w:rPr>
          <w:b w:val="0"/>
        </w:rPr>
        <w:t>What is a HR Professional?</w:t>
      </w:r>
      <w:bookmarkEnd w:id="1"/>
    </w:p>
    <w:p w:rsidR="000D3352" w:rsidRPr="00865C08" w:rsidRDefault="00AF3F6B" w:rsidP="000D3352">
      <w:pPr>
        <w:rPr>
          <w:sz w:val="20"/>
          <w:szCs w:val="20"/>
        </w:rPr>
      </w:pPr>
      <w:r w:rsidRPr="00865C08">
        <w:rPr>
          <w:sz w:val="20"/>
          <w:szCs w:val="20"/>
        </w:rPr>
        <w:t>A professional can be defined as many different things from someone who is qualified, who has recognised qualifications, belongs to professional bodies or role model’s great behaviours and leadership.  But what is a HR Professional? Taylor and Woodhams (2016) describe the word ‘Professional’ as some</w:t>
      </w:r>
      <w:r w:rsidR="00DD7E8E" w:rsidRPr="00865C08">
        <w:rPr>
          <w:sz w:val="20"/>
          <w:szCs w:val="20"/>
        </w:rPr>
        <w:t>one</w:t>
      </w:r>
      <w:r w:rsidRPr="00865C08">
        <w:rPr>
          <w:sz w:val="20"/>
          <w:szCs w:val="20"/>
        </w:rPr>
        <w:t xml:space="preserve"> who makes proficient use of expert or specialist knowledge, exercises autonomous thought and judgement and makes a voluntary commitment to a set of principles.  </w:t>
      </w:r>
    </w:p>
    <w:p w:rsidR="00AF3F6B" w:rsidRPr="00865C08" w:rsidRDefault="00DD7E8E" w:rsidP="000D3352">
      <w:pPr>
        <w:rPr>
          <w:sz w:val="20"/>
          <w:szCs w:val="20"/>
          <w:lang w:val="en"/>
        </w:rPr>
      </w:pPr>
      <w:r w:rsidRPr="00865C08">
        <w:rPr>
          <w:sz w:val="20"/>
          <w:szCs w:val="20"/>
        </w:rPr>
        <w:t>A professional is someone who carries out their job to a very high standard regardless of the role.  Within the HR field the CIPD are the professional body for experts of people in work</w:t>
      </w:r>
      <w:r w:rsidR="004A2EB9" w:rsidRPr="00865C08">
        <w:rPr>
          <w:sz w:val="20"/>
          <w:szCs w:val="20"/>
        </w:rPr>
        <w:t xml:space="preserve"> and </w:t>
      </w:r>
      <w:r w:rsidR="004A2EB9" w:rsidRPr="00865C08">
        <w:rPr>
          <w:sz w:val="20"/>
          <w:szCs w:val="20"/>
          <w:lang w:val="en"/>
        </w:rPr>
        <w:t>provide the expertise to drive the HR and L&amp;D professions forward</w:t>
      </w:r>
      <w:r w:rsidR="008D52EA" w:rsidRPr="00865C08">
        <w:rPr>
          <w:sz w:val="20"/>
          <w:szCs w:val="20"/>
          <w:lang w:val="en"/>
        </w:rPr>
        <w:t xml:space="preserve">. </w:t>
      </w:r>
      <w:sdt>
        <w:sdtPr>
          <w:rPr>
            <w:sz w:val="20"/>
            <w:szCs w:val="20"/>
            <w:lang w:val="en"/>
          </w:rPr>
          <w:id w:val="2050719134"/>
          <w:citation/>
        </w:sdtPr>
        <w:sdtContent>
          <w:r w:rsidR="008D52EA" w:rsidRPr="00865C08">
            <w:rPr>
              <w:sz w:val="20"/>
              <w:szCs w:val="20"/>
              <w:lang w:val="en"/>
            </w:rPr>
            <w:fldChar w:fldCharType="begin"/>
          </w:r>
          <w:r w:rsidR="008D52EA" w:rsidRPr="00865C08">
            <w:rPr>
              <w:sz w:val="20"/>
              <w:szCs w:val="20"/>
            </w:rPr>
            <w:instrText xml:space="preserve"> CITATION CIP172 \l 2057 </w:instrText>
          </w:r>
          <w:r w:rsidR="008D52EA" w:rsidRPr="00865C08">
            <w:rPr>
              <w:sz w:val="20"/>
              <w:szCs w:val="20"/>
              <w:lang w:val="en"/>
            </w:rPr>
            <w:fldChar w:fldCharType="separate"/>
          </w:r>
          <w:r w:rsidR="008D52EA" w:rsidRPr="00865C08">
            <w:rPr>
              <w:noProof/>
              <w:sz w:val="20"/>
              <w:szCs w:val="20"/>
            </w:rPr>
            <w:t>(CIPD, 2017)</w:t>
          </w:r>
          <w:r w:rsidR="008D52EA" w:rsidRPr="00865C08">
            <w:rPr>
              <w:sz w:val="20"/>
              <w:szCs w:val="20"/>
              <w:lang w:val="en"/>
            </w:rPr>
            <w:fldChar w:fldCharType="end"/>
          </w:r>
        </w:sdtContent>
      </w:sdt>
    </w:p>
    <w:p w:rsidR="008D52EA" w:rsidRPr="00865C08" w:rsidRDefault="008D52EA" w:rsidP="000D3352">
      <w:pPr>
        <w:rPr>
          <w:sz w:val="20"/>
          <w:szCs w:val="20"/>
        </w:rPr>
      </w:pPr>
      <w:r w:rsidRPr="00865C08">
        <w:rPr>
          <w:sz w:val="20"/>
          <w:szCs w:val="20"/>
          <w:lang w:val="en"/>
        </w:rPr>
        <w:t xml:space="preserve">To ensure HR Professionals remain credible in their field they need to ensure they aim for Continued Professional Development </w:t>
      </w:r>
      <w:sdt>
        <w:sdtPr>
          <w:rPr>
            <w:sz w:val="20"/>
            <w:szCs w:val="20"/>
            <w:lang w:val="en"/>
          </w:rPr>
          <w:id w:val="-352656980"/>
          <w:citation/>
        </w:sdtPr>
        <w:sdtContent>
          <w:r w:rsidRPr="00865C08">
            <w:rPr>
              <w:sz w:val="20"/>
              <w:szCs w:val="20"/>
              <w:lang w:val="en"/>
            </w:rPr>
            <w:fldChar w:fldCharType="begin"/>
          </w:r>
          <w:r w:rsidRPr="00865C08">
            <w:rPr>
              <w:sz w:val="20"/>
              <w:szCs w:val="20"/>
            </w:rPr>
            <w:instrText xml:space="preserve"> CITATION CIP172 \l 2057 </w:instrText>
          </w:r>
          <w:r w:rsidRPr="00865C08">
            <w:rPr>
              <w:sz w:val="20"/>
              <w:szCs w:val="20"/>
              <w:lang w:val="en"/>
            </w:rPr>
            <w:fldChar w:fldCharType="separate"/>
          </w:r>
          <w:r w:rsidRPr="00865C08">
            <w:rPr>
              <w:noProof/>
              <w:sz w:val="20"/>
              <w:szCs w:val="20"/>
            </w:rPr>
            <w:t>(CIPD, 2017)</w:t>
          </w:r>
          <w:r w:rsidRPr="00865C08">
            <w:rPr>
              <w:sz w:val="20"/>
              <w:szCs w:val="20"/>
              <w:lang w:val="en"/>
            </w:rPr>
            <w:fldChar w:fldCharType="end"/>
          </w:r>
        </w:sdtContent>
      </w:sdt>
      <w:r w:rsidRPr="00865C08">
        <w:rPr>
          <w:sz w:val="20"/>
          <w:szCs w:val="20"/>
          <w:lang w:val="en"/>
        </w:rPr>
        <w:t xml:space="preserve"> and seek to be up to date with all new information to provide accurate advice.  To support this the CIPD provide the benchmark for current affairs and also the opportunity to develop your skills and focus your development through the CPD Map.</w:t>
      </w:r>
    </w:p>
    <w:p w:rsidR="009F5B17" w:rsidRPr="009F5B17" w:rsidRDefault="009F5B17" w:rsidP="005A3A38">
      <w:pPr>
        <w:pStyle w:val="Heading2"/>
      </w:pPr>
      <w:bookmarkStart w:id="2" w:name="_Toc498600124"/>
      <w:r w:rsidRPr="009F5B17">
        <w:t>1.2 The CPD Profession Map</w:t>
      </w:r>
      <w:bookmarkEnd w:id="2"/>
    </w:p>
    <w:p w:rsidR="009F5B17" w:rsidRDefault="009F5B17" w:rsidP="009F5B17">
      <w:pPr>
        <w:pStyle w:val="ListParagraph"/>
        <w:spacing w:after="0" w:line="240" w:lineRule="auto"/>
        <w:ind w:left="390"/>
        <w:rPr>
          <w:rFonts w:cs="Arial"/>
          <w:sz w:val="20"/>
          <w:szCs w:val="20"/>
        </w:rPr>
      </w:pPr>
    </w:p>
    <w:p w:rsidR="00EB390F" w:rsidRDefault="009F5B17" w:rsidP="009F5B17">
      <w:pPr>
        <w:pStyle w:val="ListParagraph"/>
        <w:spacing w:after="0" w:line="240" w:lineRule="auto"/>
        <w:ind w:left="390"/>
        <w:rPr>
          <w:rFonts w:cs="Arial"/>
          <w:sz w:val="20"/>
          <w:szCs w:val="20"/>
        </w:rPr>
      </w:pPr>
      <w:r>
        <w:rPr>
          <w:rFonts w:cs="Arial"/>
          <w:sz w:val="20"/>
          <w:szCs w:val="20"/>
        </w:rPr>
        <w:t xml:space="preserve">The CPD Profession Map sets out standards for HR professionals taking in activities, knowledge and behaviours needed for success.  </w:t>
      </w:r>
      <w:r w:rsidR="00EB390F">
        <w:rPr>
          <w:rFonts w:cs="Arial"/>
          <w:sz w:val="20"/>
          <w:szCs w:val="20"/>
        </w:rPr>
        <w:t>It is aimed at all levels from HR Managers, consultants to practitioners.  It simply supports development and builds a framework for progression.</w:t>
      </w:r>
    </w:p>
    <w:p w:rsidR="005B28AD" w:rsidRDefault="005B28AD" w:rsidP="009F5B17">
      <w:pPr>
        <w:pStyle w:val="ListParagraph"/>
        <w:spacing w:after="0" w:line="240" w:lineRule="auto"/>
        <w:ind w:left="390"/>
        <w:rPr>
          <w:rFonts w:cs="Arial"/>
          <w:sz w:val="20"/>
          <w:szCs w:val="20"/>
        </w:rPr>
      </w:pPr>
    </w:p>
    <w:p w:rsidR="004A024F" w:rsidRDefault="004A024F" w:rsidP="009F5B17">
      <w:pPr>
        <w:pStyle w:val="ListParagraph"/>
        <w:spacing w:after="0" w:line="240" w:lineRule="auto"/>
        <w:ind w:left="390"/>
        <w:rPr>
          <w:rFonts w:cs="Arial"/>
          <w:sz w:val="20"/>
          <w:szCs w:val="20"/>
        </w:rPr>
      </w:pPr>
    </w:p>
    <w:p w:rsidR="004A024F" w:rsidRDefault="004A024F" w:rsidP="009F5B17">
      <w:pPr>
        <w:pStyle w:val="ListParagraph"/>
        <w:spacing w:after="0" w:line="240" w:lineRule="auto"/>
        <w:ind w:left="390"/>
        <w:rPr>
          <w:rFonts w:cs="Arial"/>
          <w:sz w:val="20"/>
          <w:szCs w:val="20"/>
        </w:rPr>
      </w:pPr>
    </w:p>
    <w:p w:rsidR="004A024F" w:rsidRDefault="004A024F" w:rsidP="009F5B17">
      <w:pPr>
        <w:pStyle w:val="ListParagraph"/>
        <w:spacing w:after="0" w:line="240" w:lineRule="auto"/>
        <w:ind w:left="390"/>
        <w:rPr>
          <w:rFonts w:cs="Arial"/>
          <w:sz w:val="20"/>
          <w:szCs w:val="20"/>
        </w:rPr>
      </w:pPr>
    </w:p>
    <w:p w:rsidR="004A024F" w:rsidRDefault="004A024F" w:rsidP="009F5B17">
      <w:pPr>
        <w:pStyle w:val="ListParagraph"/>
        <w:spacing w:after="0" w:line="240" w:lineRule="auto"/>
        <w:ind w:left="390"/>
        <w:rPr>
          <w:rFonts w:cs="Arial"/>
          <w:sz w:val="20"/>
          <w:szCs w:val="20"/>
        </w:rPr>
      </w:pPr>
    </w:p>
    <w:p w:rsidR="004A024F" w:rsidRDefault="004A024F" w:rsidP="009F5B17">
      <w:pPr>
        <w:pStyle w:val="ListParagraph"/>
        <w:spacing w:after="0" w:line="240" w:lineRule="auto"/>
        <w:ind w:left="390"/>
        <w:rPr>
          <w:rFonts w:cs="Arial"/>
          <w:sz w:val="20"/>
          <w:szCs w:val="20"/>
        </w:rPr>
      </w:pPr>
    </w:p>
    <w:p w:rsidR="004A024F" w:rsidRDefault="004A024F" w:rsidP="009F5B17">
      <w:pPr>
        <w:pStyle w:val="ListParagraph"/>
        <w:spacing w:after="0" w:line="240" w:lineRule="auto"/>
        <w:ind w:left="390"/>
        <w:rPr>
          <w:rFonts w:cs="Arial"/>
          <w:sz w:val="20"/>
          <w:szCs w:val="20"/>
        </w:rPr>
      </w:pPr>
    </w:p>
    <w:p w:rsidR="004A024F" w:rsidRDefault="004A024F" w:rsidP="009F5B17">
      <w:pPr>
        <w:pStyle w:val="ListParagraph"/>
        <w:spacing w:after="0" w:line="240" w:lineRule="auto"/>
        <w:ind w:left="390"/>
        <w:rPr>
          <w:rFonts w:cs="Arial"/>
          <w:sz w:val="20"/>
          <w:szCs w:val="20"/>
        </w:rPr>
      </w:pPr>
    </w:p>
    <w:p w:rsidR="004A024F" w:rsidRDefault="004A024F" w:rsidP="009F5B17">
      <w:pPr>
        <w:pStyle w:val="ListParagraph"/>
        <w:spacing w:after="0" w:line="240" w:lineRule="auto"/>
        <w:ind w:left="390"/>
        <w:rPr>
          <w:rFonts w:cs="Arial"/>
          <w:sz w:val="20"/>
          <w:szCs w:val="20"/>
        </w:rPr>
      </w:pPr>
    </w:p>
    <w:p w:rsidR="004A024F" w:rsidRDefault="004A024F" w:rsidP="009F5B17">
      <w:pPr>
        <w:pStyle w:val="ListParagraph"/>
        <w:spacing w:after="0" w:line="240" w:lineRule="auto"/>
        <w:ind w:left="390"/>
        <w:rPr>
          <w:rFonts w:cs="Arial"/>
          <w:sz w:val="20"/>
          <w:szCs w:val="20"/>
        </w:rPr>
      </w:pPr>
    </w:p>
    <w:p w:rsidR="004A024F" w:rsidRDefault="004A024F" w:rsidP="009F5B17">
      <w:pPr>
        <w:pStyle w:val="ListParagraph"/>
        <w:spacing w:after="0" w:line="240" w:lineRule="auto"/>
        <w:ind w:left="390"/>
        <w:rPr>
          <w:rFonts w:cs="Arial"/>
          <w:sz w:val="20"/>
          <w:szCs w:val="20"/>
        </w:rPr>
      </w:pPr>
    </w:p>
    <w:p w:rsidR="004A024F" w:rsidRDefault="004A024F" w:rsidP="009F5B17">
      <w:pPr>
        <w:pStyle w:val="ListParagraph"/>
        <w:spacing w:after="0" w:line="240" w:lineRule="auto"/>
        <w:ind w:left="390"/>
        <w:rPr>
          <w:rFonts w:cs="Arial"/>
          <w:sz w:val="20"/>
          <w:szCs w:val="20"/>
        </w:rPr>
      </w:pPr>
    </w:p>
    <w:p w:rsidR="004A024F" w:rsidRDefault="004A024F" w:rsidP="009F5B17">
      <w:pPr>
        <w:pStyle w:val="ListParagraph"/>
        <w:spacing w:after="0" w:line="240" w:lineRule="auto"/>
        <w:ind w:left="390"/>
        <w:rPr>
          <w:rFonts w:cs="Arial"/>
          <w:sz w:val="20"/>
          <w:szCs w:val="20"/>
        </w:rPr>
      </w:pPr>
    </w:p>
    <w:p w:rsidR="005B28AD" w:rsidRDefault="005B28AD" w:rsidP="009F5B17">
      <w:pPr>
        <w:pStyle w:val="ListParagraph"/>
        <w:spacing w:after="0" w:line="240" w:lineRule="auto"/>
        <w:ind w:left="390"/>
        <w:rPr>
          <w:rFonts w:cs="Arial"/>
          <w:sz w:val="20"/>
          <w:szCs w:val="20"/>
        </w:rPr>
      </w:pPr>
      <w:bookmarkStart w:id="3" w:name="_GoBack"/>
      <w:bookmarkEnd w:id="3"/>
      <w:r>
        <w:rPr>
          <w:rFonts w:cs="Arial"/>
          <w:sz w:val="20"/>
          <w:szCs w:val="20"/>
        </w:rPr>
        <w:lastRenderedPageBreak/>
        <w:t xml:space="preserve">Figure 1 – The CIPD </w:t>
      </w:r>
      <w:r w:rsidR="006D6806">
        <w:rPr>
          <w:rFonts w:cs="Arial"/>
          <w:sz w:val="20"/>
          <w:szCs w:val="20"/>
        </w:rPr>
        <w:t xml:space="preserve">Profession Map </w:t>
      </w:r>
      <w:sdt>
        <w:sdtPr>
          <w:rPr>
            <w:rFonts w:cs="Arial"/>
            <w:sz w:val="20"/>
            <w:szCs w:val="20"/>
          </w:rPr>
          <w:id w:val="1044724861"/>
          <w:citation/>
        </w:sdtPr>
        <w:sdtContent>
          <w:r w:rsidR="006D6806">
            <w:rPr>
              <w:rFonts w:cs="Arial"/>
              <w:sz w:val="20"/>
              <w:szCs w:val="20"/>
            </w:rPr>
            <w:fldChar w:fldCharType="begin"/>
          </w:r>
          <w:r w:rsidR="006D6806">
            <w:rPr>
              <w:rFonts w:cs="Arial"/>
              <w:sz w:val="20"/>
              <w:szCs w:val="20"/>
            </w:rPr>
            <w:instrText xml:space="preserve"> CITATION Tay16 \l 2057 </w:instrText>
          </w:r>
          <w:r w:rsidR="006D6806">
            <w:rPr>
              <w:rFonts w:cs="Arial"/>
              <w:sz w:val="20"/>
              <w:szCs w:val="20"/>
            </w:rPr>
            <w:fldChar w:fldCharType="separate"/>
          </w:r>
          <w:r w:rsidR="006D6806" w:rsidRPr="006D6806">
            <w:rPr>
              <w:rFonts w:cs="Arial"/>
              <w:noProof/>
              <w:sz w:val="20"/>
              <w:szCs w:val="20"/>
            </w:rPr>
            <w:t>(Taylor &amp; Woodhams, 2016)</w:t>
          </w:r>
          <w:r w:rsidR="006D6806">
            <w:rPr>
              <w:rFonts w:cs="Arial"/>
              <w:sz w:val="20"/>
              <w:szCs w:val="20"/>
            </w:rPr>
            <w:fldChar w:fldCharType="end"/>
          </w:r>
        </w:sdtContent>
      </w:sdt>
    </w:p>
    <w:p w:rsidR="006D6806" w:rsidRDefault="006D6806" w:rsidP="009F5B17">
      <w:pPr>
        <w:pStyle w:val="ListParagraph"/>
        <w:spacing w:after="0" w:line="240" w:lineRule="auto"/>
        <w:ind w:left="390"/>
        <w:rPr>
          <w:rFonts w:cs="Arial"/>
          <w:sz w:val="20"/>
          <w:szCs w:val="20"/>
        </w:rPr>
      </w:pPr>
    </w:p>
    <w:p w:rsidR="006D6806" w:rsidRDefault="006D6806" w:rsidP="009F5B17">
      <w:pPr>
        <w:pStyle w:val="ListParagraph"/>
        <w:spacing w:after="0" w:line="240" w:lineRule="auto"/>
        <w:ind w:left="390"/>
        <w:rPr>
          <w:rFonts w:cs="Arial"/>
          <w:sz w:val="20"/>
          <w:szCs w:val="20"/>
        </w:rPr>
      </w:pPr>
      <w:r>
        <w:rPr>
          <w:rFonts w:cs="Arial"/>
          <w:noProof/>
          <w:sz w:val="20"/>
          <w:szCs w:val="20"/>
        </w:rPr>
        <w:drawing>
          <wp:inline distT="0" distB="0" distL="0" distR="0">
            <wp:extent cx="5731510" cy="32226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png"/>
                    <pic:cNvPicPr/>
                  </pic:nvPicPr>
                  <pic:blipFill>
                    <a:blip r:embed="rId8">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rsidR="00EB390F" w:rsidRDefault="00EB390F" w:rsidP="009F5B17">
      <w:pPr>
        <w:pStyle w:val="ListParagraph"/>
        <w:spacing w:after="0" w:line="240" w:lineRule="auto"/>
        <w:ind w:left="390"/>
        <w:rPr>
          <w:rFonts w:cs="Arial"/>
          <w:sz w:val="20"/>
          <w:szCs w:val="20"/>
        </w:rPr>
      </w:pPr>
    </w:p>
    <w:p w:rsidR="009F5B17" w:rsidRDefault="006D6806" w:rsidP="009F5B17">
      <w:pPr>
        <w:pStyle w:val="ListParagraph"/>
        <w:spacing w:after="0" w:line="240" w:lineRule="auto"/>
        <w:ind w:left="390"/>
        <w:rPr>
          <w:rFonts w:cs="Arial"/>
          <w:sz w:val="20"/>
          <w:szCs w:val="20"/>
        </w:rPr>
      </w:pPr>
      <w:r>
        <w:rPr>
          <w:rFonts w:cs="Arial"/>
          <w:sz w:val="20"/>
          <w:szCs w:val="20"/>
        </w:rPr>
        <w:t>The map sets out the ten professional areas, eight behaviours and four bands of competency which makes up the CIPD Profession map.</w:t>
      </w:r>
    </w:p>
    <w:p w:rsidR="006D6806" w:rsidRDefault="006D6806" w:rsidP="009F5B17">
      <w:pPr>
        <w:pStyle w:val="ListParagraph"/>
        <w:spacing w:after="0" w:line="240" w:lineRule="auto"/>
        <w:ind w:left="390"/>
        <w:rPr>
          <w:rFonts w:cs="Arial"/>
          <w:sz w:val="20"/>
          <w:szCs w:val="20"/>
        </w:rPr>
      </w:pPr>
    </w:p>
    <w:p w:rsidR="006D6806" w:rsidRDefault="006D6806" w:rsidP="009F5B17">
      <w:pPr>
        <w:pStyle w:val="ListParagraph"/>
        <w:spacing w:after="0" w:line="240" w:lineRule="auto"/>
        <w:ind w:left="390"/>
        <w:rPr>
          <w:rFonts w:cs="Arial"/>
          <w:sz w:val="20"/>
          <w:szCs w:val="20"/>
        </w:rPr>
      </w:pPr>
      <w:r>
        <w:rPr>
          <w:rFonts w:cs="Arial"/>
          <w:sz w:val="20"/>
          <w:szCs w:val="20"/>
        </w:rPr>
        <w:t>There are two areas at the heart of the profession map:</w:t>
      </w:r>
    </w:p>
    <w:p w:rsidR="006D6806" w:rsidRDefault="006D6806" w:rsidP="009F5B17">
      <w:pPr>
        <w:pStyle w:val="ListParagraph"/>
        <w:spacing w:after="0" w:line="240" w:lineRule="auto"/>
        <w:ind w:left="390"/>
        <w:rPr>
          <w:rFonts w:cs="Arial"/>
          <w:sz w:val="20"/>
          <w:szCs w:val="20"/>
        </w:rPr>
      </w:pPr>
    </w:p>
    <w:p w:rsidR="006D6806" w:rsidRDefault="006D6806" w:rsidP="009F5B17">
      <w:pPr>
        <w:pStyle w:val="ListParagraph"/>
        <w:spacing w:after="0" w:line="240" w:lineRule="auto"/>
        <w:ind w:left="390"/>
        <w:rPr>
          <w:rFonts w:cs="Arial"/>
          <w:sz w:val="20"/>
          <w:szCs w:val="20"/>
        </w:rPr>
      </w:pPr>
      <w:r>
        <w:rPr>
          <w:rFonts w:cs="Arial"/>
          <w:sz w:val="20"/>
          <w:szCs w:val="20"/>
        </w:rPr>
        <w:t>Insights, strategy and solutions and Leading HR.</w:t>
      </w:r>
    </w:p>
    <w:p w:rsidR="006D6806" w:rsidRDefault="006D6806" w:rsidP="009F5B17">
      <w:pPr>
        <w:pStyle w:val="ListParagraph"/>
        <w:spacing w:after="0" w:line="240" w:lineRule="auto"/>
        <w:ind w:left="390"/>
        <w:rPr>
          <w:rFonts w:cs="Arial"/>
          <w:sz w:val="20"/>
          <w:szCs w:val="20"/>
        </w:rPr>
      </w:pPr>
    </w:p>
    <w:p w:rsidR="006D6806" w:rsidRDefault="006D6806" w:rsidP="009F5B17">
      <w:pPr>
        <w:pStyle w:val="ListParagraph"/>
        <w:spacing w:after="0" w:line="240" w:lineRule="auto"/>
        <w:ind w:left="390"/>
        <w:rPr>
          <w:rFonts w:cs="Arial"/>
          <w:sz w:val="20"/>
          <w:szCs w:val="20"/>
        </w:rPr>
      </w:pPr>
      <w:r>
        <w:rPr>
          <w:rFonts w:cs="Arial"/>
          <w:sz w:val="20"/>
          <w:szCs w:val="20"/>
        </w:rPr>
        <w:t>The first element is around the skills and behaviours that are needed to develop solutions and meet the needs of organisational issues.  Leading HR is around the individual acting as a role model and maximising contribution supporting and developing across the organisation.  Through these two main areas it allows individuals to then assess/benchmark themselves against the four bandings allowing them to be able to build and plan and tail</w:t>
      </w:r>
      <w:r w:rsidR="005A3A38">
        <w:rPr>
          <w:rFonts w:cs="Arial"/>
          <w:sz w:val="20"/>
          <w:szCs w:val="20"/>
        </w:rPr>
        <w:t>or their plan to their specifics.</w:t>
      </w:r>
    </w:p>
    <w:p w:rsidR="005A3A38" w:rsidRDefault="005A3A38" w:rsidP="009F5B17">
      <w:pPr>
        <w:pStyle w:val="ListParagraph"/>
        <w:spacing w:after="0" w:line="240" w:lineRule="auto"/>
        <w:ind w:left="390"/>
        <w:rPr>
          <w:rFonts w:cs="Arial"/>
          <w:sz w:val="20"/>
          <w:szCs w:val="20"/>
        </w:rPr>
      </w:pPr>
    </w:p>
    <w:p w:rsidR="005A3A38" w:rsidRPr="009F5B17" w:rsidRDefault="005A3A38" w:rsidP="009F5B17">
      <w:pPr>
        <w:pStyle w:val="ListParagraph"/>
        <w:spacing w:after="0" w:line="240" w:lineRule="auto"/>
        <w:ind w:left="390"/>
        <w:rPr>
          <w:rFonts w:cs="Arial"/>
          <w:sz w:val="20"/>
          <w:szCs w:val="20"/>
        </w:rPr>
      </w:pPr>
    </w:p>
    <w:p w:rsidR="009F5B17" w:rsidRDefault="009F5B17" w:rsidP="009F5B17"/>
    <w:p w:rsidR="009F5B17" w:rsidRDefault="005A3A38" w:rsidP="005A3A38">
      <w:pPr>
        <w:pStyle w:val="Heading2"/>
      </w:pPr>
      <w:bookmarkStart w:id="4" w:name="_Toc498600125"/>
      <w:r>
        <w:t xml:space="preserve">1.2.1 Professional </w:t>
      </w:r>
      <w:r w:rsidR="008D52EA">
        <w:t>A</w:t>
      </w:r>
      <w:r>
        <w:t xml:space="preserve">rea and </w:t>
      </w:r>
      <w:r w:rsidR="008D52EA">
        <w:t>C</w:t>
      </w:r>
      <w:r>
        <w:t>ompetencies</w:t>
      </w:r>
      <w:bookmarkEnd w:id="4"/>
    </w:p>
    <w:p w:rsidR="005A3A38" w:rsidRDefault="005A3A38" w:rsidP="005A3A38"/>
    <w:p w:rsidR="00AD0B2F" w:rsidRPr="00865C08" w:rsidRDefault="00AD0B2F" w:rsidP="005A3A38">
      <w:pPr>
        <w:rPr>
          <w:sz w:val="20"/>
          <w:szCs w:val="20"/>
        </w:rPr>
      </w:pPr>
      <w:r w:rsidRPr="00865C08">
        <w:rPr>
          <w:sz w:val="20"/>
          <w:szCs w:val="20"/>
        </w:rPr>
        <w:t>There are a further 8 Professional areas within the map, each will be specific for the practitioner.  In my assignment I have focused on 4 Professional Areas - Insights, Strategy and Solutions, Leading HR, Performance and Reward and Resourcing and Talent Planning as these are specific to my current needs within Tesco.  I have also chosen to assess myself against 1 Behaviour – Curious. (see Figure 2)</w:t>
      </w:r>
    </w:p>
    <w:p w:rsidR="003B3375" w:rsidRDefault="003B3375" w:rsidP="005A3A38">
      <w:pPr>
        <w:rPr>
          <w:noProof/>
        </w:rPr>
      </w:pPr>
      <w:r>
        <w:rPr>
          <w:noProof/>
        </w:rPr>
        <w:t xml:space="preserve">Figure 2 – Highlighting the 4 Professional Areas and 1 Beahvioural I Have chosen </w:t>
      </w:r>
      <w:sdt>
        <w:sdtPr>
          <w:rPr>
            <w:noProof/>
          </w:rPr>
          <w:id w:val="-616290486"/>
          <w:citation/>
        </w:sdtPr>
        <w:sdtContent>
          <w:r>
            <w:rPr>
              <w:noProof/>
            </w:rPr>
            <w:fldChar w:fldCharType="begin"/>
          </w:r>
          <w:r>
            <w:rPr>
              <w:noProof/>
            </w:rPr>
            <w:instrText xml:space="preserve"> CITATION CIP173 \l 2057 </w:instrText>
          </w:r>
          <w:r>
            <w:rPr>
              <w:noProof/>
            </w:rPr>
            <w:fldChar w:fldCharType="separate"/>
          </w:r>
          <w:r w:rsidRPr="003B3375">
            <w:rPr>
              <w:noProof/>
            </w:rPr>
            <w:t>(CIPD, 2017)</w:t>
          </w:r>
          <w:r>
            <w:rPr>
              <w:noProof/>
            </w:rPr>
            <w:fldChar w:fldCharType="end"/>
          </w:r>
        </w:sdtContent>
      </w:sdt>
    </w:p>
    <w:p w:rsidR="008D52EA" w:rsidRDefault="003B3375" w:rsidP="005A3A38">
      <w:r>
        <w:rPr>
          <w:noProof/>
        </w:rPr>
        <w:lastRenderedPageBreak/>
        <w:drawing>
          <wp:inline distT="0" distB="0" distL="0" distR="0">
            <wp:extent cx="5731510" cy="322262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11).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40300" cy="3227567"/>
                    </a:xfrm>
                    <a:prstGeom prst="rect">
                      <a:avLst/>
                    </a:prstGeom>
                  </pic:spPr>
                </pic:pic>
              </a:graphicData>
            </a:graphic>
          </wp:inline>
        </w:drawing>
      </w:r>
      <w:r w:rsidR="00AD0B2F">
        <w:t xml:space="preserve">  </w:t>
      </w:r>
    </w:p>
    <w:p w:rsidR="003B3375" w:rsidRPr="00865C08" w:rsidRDefault="003B3375" w:rsidP="005A3A38">
      <w:pPr>
        <w:rPr>
          <w:sz w:val="20"/>
          <w:szCs w:val="20"/>
        </w:rPr>
      </w:pPr>
      <w:r w:rsidRPr="00865C08">
        <w:rPr>
          <w:sz w:val="20"/>
          <w:szCs w:val="20"/>
        </w:rPr>
        <w:t>When completing a CPD assessment you are required following selection of areas to complete a questionnaire in relation to each area asking you to rate yourself from “emerging” to “Exceeding” (IBID) as shown in Figure 3.</w:t>
      </w:r>
    </w:p>
    <w:p w:rsidR="003B3375" w:rsidRDefault="003B3375" w:rsidP="005A3A38"/>
    <w:p w:rsidR="003B3375" w:rsidRDefault="003B3375" w:rsidP="005A3A38"/>
    <w:p w:rsidR="003B3375" w:rsidRDefault="003B3375" w:rsidP="005A3A38">
      <w:r>
        <w:t xml:space="preserve">Figure 3 – Screenshot showing the 4 Ratings </w:t>
      </w:r>
      <w:sdt>
        <w:sdtPr>
          <w:id w:val="-907450370"/>
          <w:citation/>
        </w:sdtPr>
        <w:sdtContent>
          <w:r>
            <w:fldChar w:fldCharType="begin"/>
          </w:r>
          <w:r>
            <w:instrText xml:space="preserve"> CITATION CIP173 \l 2057 </w:instrText>
          </w:r>
          <w:r>
            <w:fldChar w:fldCharType="separate"/>
          </w:r>
          <w:r w:rsidRPr="003B3375">
            <w:rPr>
              <w:noProof/>
            </w:rPr>
            <w:t>(CIPD, 2017)</w:t>
          </w:r>
          <w:r>
            <w:fldChar w:fldCharType="end"/>
          </w:r>
        </w:sdtContent>
      </w:sdt>
    </w:p>
    <w:p w:rsidR="003B3375" w:rsidRDefault="003B3375" w:rsidP="005A3A38">
      <w:r>
        <w:rPr>
          <w:noProof/>
        </w:rPr>
        <w:drawing>
          <wp:inline distT="0" distB="0" distL="0" distR="0">
            <wp:extent cx="5731510" cy="322580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7).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25800"/>
                    </a:xfrm>
                    <a:prstGeom prst="rect">
                      <a:avLst/>
                    </a:prstGeom>
                  </pic:spPr>
                </pic:pic>
              </a:graphicData>
            </a:graphic>
          </wp:inline>
        </w:drawing>
      </w:r>
    </w:p>
    <w:p w:rsidR="003B3375" w:rsidRPr="00865C08" w:rsidRDefault="00CC10DB" w:rsidP="005A3A38">
      <w:pPr>
        <w:rPr>
          <w:sz w:val="20"/>
          <w:szCs w:val="20"/>
        </w:rPr>
      </w:pPr>
      <w:r w:rsidRPr="00865C08">
        <w:rPr>
          <w:sz w:val="20"/>
          <w:szCs w:val="20"/>
        </w:rPr>
        <w:t>Following completion of all sections and ratings a map is produced outlining which of the selected areas you are more confident in and which are an opportunity.  This is highlighted through density of shading.  It also informs you of where you would sit within the 4 Bandings.</w:t>
      </w:r>
    </w:p>
    <w:p w:rsidR="00CC10DB" w:rsidRDefault="00CC10DB" w:rsidP="005A3A38">
      <w:r>
        <w:lastRenderedPageBreak/>
        <w:t xml:space="preserve">Figure 4 – Screenshot of Results of my CPD Map </w:t>
      </w:r>
      <w:sdt>
        <w:sdtPr>
          <w:id w:val="-927500557"/>
          <w:citation/>
        </w:sdtPr>
        <w:sdtContent>
          <w:r>
            <w:fldChar w:fldCharType="begin"/>
          </w:r>
          <w:r>
            <w:instrText xml:space="preserve"> CITATION CIP173 \l 2057 </w:instrText>
          </w:r>
          <w:r>
            <w:fldChar w:fldCharType="separate"/>
          </w:r>
          <w:r w:rsidRPr="00CC10DB">
            <w:rPr>
              <w:noProof/>
            </w:rPr>
            <w:t>(CIPD, 2017)</w:t>
          </w:r>
          <w:r>
            <w:fldChar w:fldCharType="end"/>
          </w:r>
        </w:sdtContent>
      </w:sdt>
    </w:p>
    <w:p w:rsidR="00CC10DB" w:rsidRDefault="00CC10DB" w:rsidP="005A3A38">
      <w:r>
        <w:rPr>
          <w:noProof/>
        </w:rPr>
        <w:drawing>
          <wp:inline distT="0" distB="0" distL="0" distR="0">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13).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rsidR="00EC0431" w:rsidRDefault="00EC0431" w:rsidP="005A3A38"/>
    <w:p w:rsidR="00CC10DB" w:rsidRPr="00865C08" w:rsidRDefault="00CC10DB" w:rsidP="005A3A38">
      <w:pPr>
        <w:rPr>
          <w:sz w:val="20"/>
          <w:szCs w:val="20"/>
        </w:rPr>
      </w:pPr>
      <w:r w:rsidRPr="00865C08">
        <w:rPr>
          <w:sz w:val="20"/>
          <w:szCs w:val="20"/>
        </w:rPr>
        <w:t>From the Map I can then begin to formulate a PDP to support growth in each of the area’s.  For each area the map will produce recommendations outlined in table 1 below:</w:t>
      </w:r>
    </w:p>
    <w:p w:rsidR="006A0D93" w:rsidRDefault="006A0D93" w:rsidP="005A3A38"/>
    <w:p w:rsidR="00CC10DB" w:rsidRDefault="00CC10DB" w:rsidP="005A3A38">
      <w:r>
        <w:t xml:space="preserve">Table 1 – Output from CPD Map </w:t>
      </w:r>
      <w:sdt>
        <w:sdtPr>
          <w:id w:val="-1897722957"/>
          <w:citation/>
        </w:sdtPr>
        <w:sdtContent>
          <w:r>
            <w:fldChar w:fldCharType="begin"/>
          </w:r>
          <w:r>
            <w:instrText xml:space="preserve"> CITATION CIP173 \l 2057 </w:instrText>
          </w:r>
          <w:r>
            <w:fldChar w:fldCharType="separate"/>
          </w:r>
          <w:r w:rsidRPr="00CC10DB">
            <w:rPr>
              <w:noProof/>
            </w:rPr>
            <w:t>(CIPD, 2017)</w:t>
          </w:r>
          <w:r>
            <w:fldChar w:fldCharType="end"/>
          </w:r>
        </w:sdtContent>
      </w:sdt>
    </w:p>
    <w:tbl>
      <w:tblPr>
        <w:tblStyle w:val="TableGrid"/>
        <w:tblW w:w="0" w:type="auto"/>
        <w:tblLook w:val="04A0" w:firstRow="1" w:lastRow="0" w:firstColumn="1" w:lastColumn="0" w:noHBand="0" w:noVBand="1"/>
      </w:tblPr>
      <w:tblGrid>
        <w:gridCol w:w="3005"/>
        <w:gridCol w:w="3005"/>
        <w:gridCol w:w="3006"/>
      </w:tblGrid>
      <w:tr w:rsidR="00575E14" w:rsidTr="00575E14">
        <w:tc>
          <w:tcPr>
            <w:tcW w:w="3005" w:type="dxa"/>
            <w:shd w:val="clear" w:color="auto" w:fill="BFBFBF" w:themeFill="background1" w:themeFillShade="BF"/>
          </w:tcPr>
          <w:p w:rsidR="00575E14" w:rsidRDefault="00575E14" w:rsidP="00575E14">
            <w:pPr>
              <w:jc w:val="center"/>
            </w:pPr>
            <w:r>
              <w:t>Profession Area and Behaviours</w:t>
            </w:r>
          </w:p>
        </w:tc>
        <w:tc>
          <w:tcPr>
            <w:tcW w:w="3005" w:type="dxa"/>
            <w:shd w:val="clear" w:color="auto" w:fill="BFBFBF" w:themeFill="background1" w:themeFillShade="BF"/>
          </w:tcPr>
          <w:p w:rsidR="00575E14" w:rsidRDefault="00575E14" w:rsidP="00575E14">
            <w:pPr>
              <w:jc w:val="center"/>
            </w:pPr>
            <w:r>
              <w:t>Competent Areas</w:t>
            </w:r>
          </w:p>
        </w:tc>
        <w:tc>
          <w:tcPr>
            <w:tcW w:w="3006" w:type="dxa"/>
            <w:shd w:val="clear" w:color="auto" w:fill="BFBFBF" w:themeFill="background1" w:themeFillShade="BF"/>
          </w:tcPr>
          <w:p w:rsidR="00575E14" w:rsidRDefault="00575E14" w:rsidP="00575E14">
            <w:pPr>
              <w:jc w:val="center"/>
            </w:pPr>
            <w:r>
              <w:t>Gaps</w:t>
            </w:r>
          </w:p>
        </w:tc>
      </w:tr>
      <w:tr w:rsidR="00575E14" w:rsidTr="00575E14">
        <w:tc>
          <w:tcPr>
            <w:tcW w:w="3005" w:type="dxa"/>
          </w:tcPr>
          <w:p w:rsidR="00575E14" w:rsidRDefault="00575E14" w:rsidP="005A3A38">
            <w:r>
              <w:t>Insights Strategy and Solutions</w:t>
            </w:r>
          </w:p>
        </w:tc>
        <w:tc>
          <w:tcPr>
            <w:tcW w:w="3005" w:type="dxa"/>
          </w:tcPr>
          <w:p w:rsidR="00575E14" w:rsidRPr="00E024AF" w:rsidRDefault="00575E14" w:rsidP="00575E14">
            <w:pPr>
              <w:numPr>
                <w:ilvl w:val="0"/>
                <w:numId w:val="10"/>
              </w:numPr>
              <w:spacing w:before="100" w:beforeAutospacing="1" w:after="100" w:afterAutospacing="1"/>
              <w:ind w:left="0"/>
              <w:rPr>
                <w:rFonts w:ascii="GothamBook" w:eastAsia="Times New Roman" w:hAnsi="GothamBook" w:cs="Times New Roman"/>
                <w:sz w:val="16"/>
                <w:szCs w:val="16"/>
                <w:lang w:val="en-US"/>
              </w:rPr>
            </w:pPr>
            <w:r w:rsidRPr="00E024AF">
              <w:rPr>
                <w:rFonts w:ascii="GothamBook" w:eastAsia="Times New Roman" w:hAnsi="GothamBook" w:cs="Times New Roman"/>
                <w:sz w:val="16"/>
                <w:szCs w:val="16"/>
                <w:lang w:val="en-US"/>
              </w:rPr>
              <w:t>Developing an understanding of the organisation using information and own experience</w:t>
            </w:r>
          </w:p>
          <w:p w:rsidR="00575E14" w:rsidRPr="00E024AF" w:rsidRDefault="00575E14" w:rsidP="00575E14">
            <w:pPr>
              <w:numPr>
                <w:ilvl w:val="0"/>
                <w:numId w:val="10"/>
              </w:numPr>
              <w:spacing w:before="100" w:beforeAutospacing="1" w:after="100" w:afterAutospacing="1"/>
              <w:ind w:left="0"/>
              <w:rPr>
                <w:rFonts w:ascii="GothamBook" w:eastAsia="Times New Roman" w:hAnsi="GothamBook" w:cs="Times New Roman"/>
                <w:sz w:val="16"/>
                <w:szCs w:val="16"/>
                <w:lang w:val="en-US"/>
              </w:rPr>
            </w:pPr>
            <w:r w:rsidRPr="00E024AF">
              <w:rPr>
                <w:rFonts w:ascii="GothamBook" w:eastAsia="Times New Roman" w:hAnsi="GothamBook" w:cs="Times New Roman"/>
                <w:sz w:val="16"/>
                <w:szCs w:val="16"/>
                <w:lang w:val="en-US"/>
              </w:rPr>
              <w:t>Specific external factors that impact the organisation (</w:t>
            </w:r>
            <w:proofErr w:type="spellStart"/>
            <w:r w:rsidRPr="00E024AF">
              <w:rPr>
                <w:rFonts w:ascii="GothamBook" w:eastAsia="Times New Roman" w:hAnsi="GothamBook" w:cs="Times New Roman"/>
                <w:sz w:val="16"/>
                <w:szCs w:val="16"/>
                <w:lang w:val="en-US"/>
              </w:rPr>
              <w:t>eg</w:t>
            </w:r>
            <w:proofErr w:type="spellEnd"/>
            <w:r w:rsidRPr="00E024AF">
              <w:rPr>
                <w:rFonts w:ascii="GothamBook" w:eastAsia="Times New Roman" w:hAnsi="GothamBook" w:cs="Times New Roman"/>
                <w:sz w:val="16"/>
                <w:szCs w:val="16"/>
                <w:lang w:val="en-US"/>
              </w:rPr>
              <w:t>, legal, financial, market factors)</w:t>
            </w:r>
          </w:p>
          <w:p w:rsidR="00575E14" w:rsidRPr="00E024AF" w:rsidRDefault="00575E14" w:rsidP="00575E14">
            <w:pPr>
              <w:numPr>
                <w:ilvl w:val="0"/>
                <w:numId w:val="10"/>
              </w:numPr>
              <w:spacing w:before="100" w:beforeAutospacing="1" w:after="100" w:afterAutospacing="1"/>
              <w:ind w:left="0"/>
              <w:rPr>
                <w:rFonts w:ascii="GothamBook" w:eastAsia="Times New Roman" w:hAnsi="GothamBook" w:cs="Times New Roman"/>
                <w:sz w:val="16"/>
                <w:szCs w:val="16"/>
                <w:lang w:val="en-US"/>
              </w:rPr>
            </w:pPr>
            <w:r w:rsidRPr="00E024AF">
              <w:rPr>
                <w:rFonts w:ascii="GothamBook" w:eastAsia="Times New Roman" w:hAnsi="GothamBook" w:cs="Times New Roman"/>
                <w:sz w:val="16"/>
                <w:szCs w:val="16"/>
                <w:lang w:val="en-US"/>
              </w:rPr>
              <w:t>Relevant law for own role (or where to access legal information if required)</w:t>
            </w:r>
          </w:p>
          <w:p w:rsidR="00575E14" w:rsidRPr="00E024AF" w:rsidRDefault="00575E14" w:rsidP="00575E14">
            <w:pPr>
              <w:numPr>
                <w:ilvl w:val="0"/>
                <w:numId w:val="10"/>
              </w:numPr>
              <w:spacing w:before="100" w:beforeAutospacing="1" w:after="100" w:afterAutospacing="1"/>
              <w:ind w:left="0"/>
              <w:rPr>
                <w:rFonts w:ascii="GothamBook" w:eastAsia="Times New Roman" w:hAnsi="GothamBook" w:cs="Times New Roman"/>
                <w:sz w:val="16"/>
                <w:szCs w:val="16"/>
                <w:lang w:val="en-US"/>
              </w:rPr>
            </w:pPr>
            <w:r w:rsidRPr="00E024AF">
              <w:rPr>
                <w:rFonts w:ascii="GothamBook" w:eastAsia="Times New Roman" w:hAnsi="GothamBook" w:cs="Times New Roman"/>
                <w:sz w:val="16"/>
                <w:szCs w:val="16"/>
                <w:lang w:val="en-US"/>
              </w:rPr>
              <w:t>The HR plan for your own part of the business (and how this relates to the wider business strategy)</w:t>
            </w:r>
          </w:p>
          <w:p w:rsidR="00575E14" w:rsidRPr="00E024AF" w:rsidRDefault="00575E14" w:rsidP="005A3A38">
            <w:pPr>
              <w:rPr>
                <w:sz w:val="16"/>
                <w:szCs w:val="16"/>
              </w:rPr>
            </w:pPr>
          </w:p>
        </w:tc>
        <w:tc>
          <w:tcPr>
            <w:tcW w:w="3006" w:type="dxa"/>
          </w:tcPr>
          <w:p w:rsidR="00575E14" w:rsidRPr="00E024AF" w:rsidRDefault="00575E14" w:rsidP="005A3A38">
            <w:pPr>
              <w:rPr>
                <w:sz w:val="16"/>
                <w:szCs w:val="16"/>
              </w:rPr>
            </w:pPr>
            <w:r w:rsidRPr="00E024AF">
              <w:rPr>
                <w:sz w:val="16"/>
                <w:szCs w:val="16"/>
              </w:rPr>
              <w:t>Principles and basic practice of project management</w:t>
            </w:r>
          </w:p>
          <w:p w:rsidR="00575E14" w:rsidRPr="00E024AF" w:rsidRDefault="00575E14" w:rsidP="005A3A38">
            <w:pPr>
              <w:rPr>
                <w:sz w:val="16"/>
                <w:szCs w:val="16"/>
              </w:rPr>
            </w:pPr>
          </w:p>
          <w:p w:rsidR="00575E14" w:rsidRPr="00E024AF" w:rsidRDefault="00575E14" w:rsidP="005A3A38">
            <w:pPr>
              <w:rPr>
                <w:sz w:val="16"/>
                <w:szCs w:val="16"/>
              </w:rPr>
            </w:pPr>
            <w:r w:rsidRPr="00E024AF">
              <w:rPr>
                <w:sz w:val="16"/>
                <w:szCs w:val="16"/>
              </w:rPr>
              <w:t>Using insights from data and good HR practice to spot potential trends and risks for the organisation</w:t>
            </w:r>
          </w:p>
          <w:p w:rsidR="00575E14" w:rsidRPr="00E024AF" w:rsidRDefault="00575E14" w:rsidP="005A3A38">
            <w:pPr>
              <w:rPr>
                <w:sz w:val="16"/>
                <w:szCs w:val="16"/>
              </w:rPr>
            </w:pPr>
          </w:p>
        </w:tc>
      </w:tr>
      <w:tr w:rsidR="00575E14" w:rsidTr="00575E14">
        <w:tc>
          <w:tcPr>
            <w:tcW w:w="3005" w:type="dxa"/>
          </w:tcPr>
          <w:p w:rsidR="00575E14" w:rsidRDefault="00575E14" w:rsidP="005A3A38">
            <w:r>
              <w:t>Leading HR</w:t>
            </w:r>
          </w:p>
        </w:tc>
        <w:tc>
          <w:tcPr>
            <w:tcW w:w="3005" w:type="dxa"/>
          </w:tcPr>
          <w:p w:rsidR="00575E14" w:rsidRPr="00E024AF" w:rsidRDefault="00575E14" w:rsidP="00575E14">
            <w:pPr>
              <w:rPr>
                <w:sz w:val="16"/>
                <w:szCs w:val="16"/>
              </w:rPr>
            </w:pPr>
            <w:r w:rsidRPr="00E024AF">
              <w:rPr>
                <w:sz w:val="16"/>
                <w:szCs w:val="16"/>
              </w:rPr>
              <w:t>Providing advice using sound knowledge of HR policy and practice</w:t>
            </w:r>
          </w:p>
          <w:p w:rsidR="00575E14" w:rsidRPr="00E024AF" w:rsidRDefault="00575E14" w:rsidP="00575E14">
            <w:pPr>
              <w:rPr>
                <w:sz w:val="16"/>
                <w:szCs w:val="16"/>
              </w:rPr>
            </w:pPr>
            <w:r w:rsidRPr="00E024AF">
              <w:rPr>
                <w:sz w:val="16"/>
                <w:szCs w:val="16"/>
              </w:rPr>
              <w:t>Co-ordinating own activity with others in the wider HR team</w:t>
            </w:r>
          </w:p>
          <w:p w:rsidR="00575E14" w:rsidRPr="00E024AF" w:rsidRDefault="00575E14" w:rsidP="00575E14">
            <w:pPr>
              <w:rPr>
                <w:sz w:val="16"/>
                <w:szCs w:val="16"/>
              </w:rPr>
            </w:pPr>
            <w:r w:rsidRPr="00E024AF">
              <w:rPr>
                <w:sz w:val="16"/>
                <w:szCs w:val="16"/>
              </w:rPr>
              <w:t>Sharing ideas and best practice with others in the wider HR team</w:t>
            </w:r>
          </w:p>
          <w:p w:rsidR="00575E14" w:rsidRPr="00E024AF" w:rsidRDefault="00575E14" w:rsidP="00575E14">
            <w:pPr>
              <w:rPr>
                <w:sz w:val="16"/>
                <w:szCs w:val="16"/>
              </w:rPr>
            </w:pPr>
            <w:r w:rsidRPr="00E024AF">
              <w:rPr>
                <w:sz w:val="16"/>
                <w:szCs w:val="16"/>
              </w:rPr>
              <w:t>Adjusting own approach in view of others’ preferred working styles</w:t>
            </w:r>
          </w:p>
          <w:p w:rsidR="00575E14" w:rsidRPr="00E024AF" w:rsidRDefault="00575E14" w:rsidP="00575E14">
            <w:pPr>
              <w:rPr>
                <w:sz w:val="16"/>
                <w:szCs w:val="16"/>
              </w:rPr>
            </w:pPr>
            <w:r w:rsidRPr="00E024AF">
              <w:rPr>
                <w:sz w:val="16"/>
                <w:szCs w:val="16"/>
              </w:rPr>
              <w:t>Seeking out and acting on feedback and development opportunities to develop own HR expertise and capability</w:t>
            </w:r>
          </w:p>
        </w:tc>
        <w:tc>
          <w:tcPr>
            <w:tcW w:w="3006" w:type="dxa"/>
          </w:tcPr>
          <w:p w:rsidR="00575E14" w:rsidRPr="00E024AF" w:rsidRDefault="00575E14" w:rsidP="00575E14">
            <w:pPr>
              <w:rPr>
                <w:sz w:val="16"/>
                <w:szCs w:val="16"/>
              </w:rPr>
            </w:pPr>
            <w:r w:rsidRPr="00E024AF">
              <w:rPr>
                <w:sz w:val="16"/>
                <w:szCs w:val="16"/>
              </w:rPr>
              <w:t xml:space="preserve">Accurately recording HR measures (such as service level agreements, financial data, Key Performance Indicators etc) </w:t>
            </w:r>
          </w:p>
          <w:p w:rsidR="00575E14" w:rsidRPr="00E024AF" w:rsidRDefault="00575E14" w:rsidP="00575E14">
            <w:pPr>
              <w:rPr>
                <w:sz w:val="16"/>
                <w:szCs w:val="16"/>
              </w:rPr>
            </w:pPr>
            <w:r w:rsidRPr="00E024AF">
              <w:rPr>
                <w:sz w:val="16"/>
                <w:szCs w:val="16"/>
              </w:rPr>
              <w:t>Methods for analysing financial and non-financial data</w:t>
            </w:r>
          </w:p>
        </w:tc>
      </w:tr>
      <w:tr w:rsidR="00575E14" w:rsidTr="00575E14">
        <w:tc>
          <w:tcPr>
            <w:tcW w:w="3005" w:type="dxa"/>
          </w:tcPr>
          <w:p w:rsidR="00575E14" w:rsidRDefault="00575E14" w:rsidP="005A3A38">
            <w:r>
              <w:lastRenderedPageBreak/>
              <w:t>Resourcing and Talent Planning</w:t>
            </w:r>
          </w:p>
        </w:tc>
        <w:tc>
          <w:tcPr>
            <w:tcW w:w="3005" w:type="dxa"/>
          </w:tcPr>
          <w:p w:rsidR="00575E14" w:rsidRPr="00E024AF" w:rsidRDefault="00575E14" w:rsidP="00575E14">
            <w:pPr>
              <w:rPr>
                <w:sz w:val="16"/>
                <w:szCs w:val="16"/>
              </w:rPr>
            </w:pPr>
            <w:r w:rsidRPr="00E024AF">
              <w:rPr>
                <w:sz w:val="16"/>
                <w:szCs w:val="16"/>
              </w:rPr>
              <w:t>Collating and analysing resource and talent data (</w:t>
            </w:r>
            <w:proofErr w:type="spellStart"/>
            <w:r w:rsidRPr="00E024AF">
              <w:rPr>
                <w:sz w:val="16"/>
                <w:szCs w:val="16"/>
              </w:rPr>
              <w:t>eg</w:t>
            </w:r>
            <w:proofErr w:type="spellEnd"/>
            <w:r w:rsidRPr="00E024AF">
              <w:rPr>
                <w:sz w:val="16"/>
                <w:szCs w:val="16"/>
              </w:rPr>
              <w:t>, retention, new hires, turnover)</w:t>
            </w:r>
          </w:p>
          <w:p w:rsidR="00575E14" w:rsidRPr="00E024AF" w:rsidRDefault="00575E14" w:rsidP="00575E14">
            <w:pPr>
              <w:rPr>
                <w:sz w:val="16"/>
                <w:szCs w:val="16"/>
              </w:rPr>
            </w:pPr>
            <w:r w:rsidRPr="00E024AF">
              <w:rPr>
                <w:sz w:val="16"/>
                <w:szCs w:val="16"/>
              </w:rPr>
              <w:t>Providing advice to managers and employees about resourcing and talent management processes</w:t>
            </w:r>
          </w:p>
          <w:p w:rsidR="00575E14" w:rsidRPr="00E024AF" w:rsidRDefault="00575E14" w:rsidP="00575E14">
            <w:pPr>
              <w:rPr>
                <w:sz w:val="16"/>
                <w:szCs w:val="16"/>
              </w:rPr>
            </w:pPr>
            <w:r w:rsidRPr="00E024AF">
              <w:rPr>
                <w:sz w:val="16"/>
                <w:szCs w:val="16"/>
              </w:rPr>
              <w:t>The principles of fair and objective assessment</w:t>
            </w:r>
          </w:p>
        </w:tc>
        <w:tc>
          <w:tcPr>
            <w:tcW w:w="3006" w:type="dxa"/>
          </w:tcPr>
          <w:p w:rsidR="00575E14" w:rsidRPr="00E024AF" w:rsidRDefault="00575E14" w:rsidP="00575E14">
            <w:pPr>
              <w:rPr>
                <w:sz w:val="16"/>
                <w:szCs w:val="16"/>
              </w:rPr>
            </w:pPr>
            <w:r w:rsidRPr="00E024AF">
              <w:rPr>
                <w:sz w:val="16"/>
                <w:szCs w:val="16"/>
              </w:rPr>
              <w:t>Researching different recruitment channels and potential sources of talent</w:t>
            </w:r>
          </w:p>
          <w:p w:rsidR="00575E14" w:rsidRPr="00E024AF" w:rsidRDefault="00575E14" w:rsidP="00575E14">
            <w:pPr>
              <w:rPr>
                <w:sz w:val="16"/>
                <w:szCs w:val="16"/>
              </w:rPr>
            </w:pPr>
            <w:r w:rsidRPr="00E024AF">
              <w:rPr>
                <w:sz w:val="16"/>
                <w:szCs w:val="16"/>
              </w:rPr>
              <w:t>Basic approaches to managing talent and succession planning</w:t>
            </w:r>
          </w:p>
        </w:tc>
      </w:tr>
      <w:tr w:rsidR="00575E14" w:rsidTr="00575E14">
        <w:tc>
          <w:tcPr>
            <w:tcW w:w="3005" w:type="dxa"/>
          </w:tcPr>
          <w:p w:rsidR="00575E14" w:rsidRDefault="00575E14" w:rsidP="005A3A38">
            <w:r>
              <w:t>Performance and Reward</w:t>
            </w:r>
          </w:p>
        </w:tc>
        <w:tc>
          <w:tcPr>
            <w:tcW w:w="3005" w:type="dxa"/>
          </w:tcPr>
          <w:p w:rsidR="00575E14" w:rsidRPr="00E024AF" w:rsidRDefault="00575E14" w:rsidP="00575E14">
            <w:pPr>
              <w:rPr>
                <w:sz w:val="16"/>
                <w:szCs w:val="16"/>
              </w:rPr>
            </w:pPr>
            <w:r w:rsidRPr="00E024AF">
              <w:rPr>
                <w:sz w:val="16"/>
                <w:szCs w:val="16"/>
              </w:rPr>
              <w:t>Collating and analysing data to support reward activities (</w:t>
            </w:r>
            <w:proofErr w:type="spellStart"/>
            <w:r w:rsidRPr="00E024AF">
              <w:rPr>
                <w:sz w:val="16"/>
                <w:szCs w:val="16"/>
              </w:rPr>
              <w:t>eg</w:t>
            </w:r>
            <w:proofErr w:type="spellEnd"/>
            <w:r w:rsidRPr="00E024AF">
              <w:rPr>
                <w:sz w:val="16"/>
                <w:szCs w:val="16"/>
              </w:rPr>
              <w:t>, for job evaluation, pay reviews, total reward packages)</w:t>
            </w:r>
          </w:p>
          <w:p w:rsidR="00575E14" w:rsidRPr="00E024AF" w:rsidRDefault="00575E14" w:rsidP="00575E14">
            <w:pPr>
              <w:rPr>
                <w:sz w:val="16"/>
                <w:szCs w:val="16"/>
              </w:rPr>
            </w:pPr>
            <w:r w:rsidRPr="00E024AF">
              <w:rPr>
                <w:sz w:val="16"/>
                <w:szCs w:val="16"/>
              </w:rPr>
              <w:t>Identifying where there may be anomalies in reward or salary packages in terms of legislation</w:t>
            </w:r>
          </w:p>
          <w:p w:rsidR="00575E14" w:rsidRPr="00E024AF" w:rsidRDefault="00575E14" w:rsidP="00575E14">
            <w:pPr>
              <w:rPr>
                <w:sz w:val="16"/>
                <w:szCs w:val="16"/>
              </w:rPr>
            </w:pPr>
            <w:r w:rsidRPr="00E024AF">
              <w:rPr>
                <w:sz w:val="16"/>
                <w:szCs w:val="16"/>
              </w:rPr>
              <w:t>The different elements of a reward package</w:t>
            </w:r>
          </w:p>
        </w:tc>
        <w:tc>
          <w:tcPr>
            <w:tcW w:w="3006" w:type="dxa"/>
          </w:tcPr>
          <w:p w:rsidR="00575E14" w:rsidRPr="00E024AF" w:rsidRDefault="00575E14" w:rsidP="00575E14">
            <w:pPr>
              <w:rPr>
                <w:sz w:val="16"/>
                <w:szCs w:val="16"/>
              </w:rPr>
            </w:pPr>
            <w:r w:rsidRPr="00E024AF">
              <w:rPr>
                <w:sz w:val="16"/>
                <w:szCs w:val="16"/>
              </w:rPr>
              <w:t>The key issues around executive remuneration</w:t>
            </w:r>
          </w:p>
          <w:p w:rsidR="00575E14" w:rsidRPr="00E024AF" w:rsidRDefault="00575E14" w:rsidP="00575E14">
            <w:pPr>
              <w:rPr>
                <w:sz w:val="16"/>
                <w:szCs w:val="16"/>
              </w:rPr>
            </w:pPr>
            <w:r w:rsidRPr="00E024AF">
              <w:rPr>
                <w:sz w:val="16"/>
                <w:szCs w:val="16"/>
              </w:rPr>
              <w:t>Methods for evaluating pay and reward practice</w:t>
            </w:r>
          </w:p>
          <w:p w:rsidR="00575E14" w:rsidRPr="00E024AF" w:rsidRDefault="00575E14" w:rsidP="00575E14">
            <w:pPr>
              <w:rPr>
                <w:sz w:val="16"/>
                <w:szCs w:val="16"/>
              </w:rPr>
            </w:pPr>
            <w:r w:rsidRPr="00E024AF">
              <w:rPr>
                <w:sz w:val="16"/>
                <w:szCs w:val="16"/>
              </w:rPr>
              <w:t>Undertaking research for non-standard or tailored reward packages</w:t>
            </w:r>
          </w:p>
          <w:p w:rsidR="00575E14" w:rsidRPr="00E024AF" w:rsidRDefault="00575E14" w:rsidP="00575E14">
            <w:pPr>
              <w:rPr>
                <w:sz w:val="16"/>
                <w:szCs w:val="16"/>
              </w:rPr>
            </w:pPr>
            <w:r w:rsidRPr="00E024AF">
              <w:rPr>
                <w:sz w:val="16"/>
                <w:szCs w:val="16"/>
              </w:rPr>
              <w:t>Supporting the implementation of performance and reward activities (</w:t>
            </w:r>
            <w:proofErr w:type="spellStart"/>
            <w:r w:rsidRPr="00E024AF">
              <w:rPr>
                <w:sz w:val="16"/>
                <w:szCs w:val="16"/>
              </w:rPr>
              <w:t>eg</w:t>
            </w:r>
            <w:proofErr w:type="spellEnd"/>
            <w:r w:rsidRPr="00E024AF">
              <w:rPr>
                <w:sz w:val="16"/>
                <w:szCs w:val="16"/>
              </w:rPr>
              <w:t>, pay reviews, job sizing, new recognition programmes)</w:t>
            </w:r>
          </w:p>
          <w:p w:rsidR="00575E14" w:rsidRPr="00E024AF" w:rsidRDefault="00575E14" w:rsidP="00575E14">
            <w:pPr>
              <w:rPr>
                <w:sz w:val="16"/>
                <w:szCs w:val="16"/>
              </w:rPr>
            </w:pPr>
            <w:r w:rsidRPr="00E024AF">
              <w:rPr>
                <w:sz w:val="16"/>
                <w:szCs w:val="16"/>
              </w:rPr>
              <w:t>Feeding back responses from managers and employees on reward matters</w:t>
            </w:r>
          </w:p>
        </w:tc>
      </w:tr>
      <w:tr w:rsidR="00575E14" w:rsidTr="00575E14">
        <w:tc>
          <w:tcPr>
            <w:tcW w:w="3005" w:type="dxa"/>
          </w:tcPr>
          <w:p w:rsidR="00575E14" w:rsidRDefault="00575E14" w:rsidP="005A3A38">
            <w:r>
              <w:t>Curious</w:t>
            </w:r>
          </w:p>
        </w:tc>
        <w:tc>
          <w:tcPr>
            <w:tcW w:w="3005" w:type="dxa"/>
          </w:tcPr>
          <w:p w:rsidR="00575E14" w:rsidRPr="00E024AF" w:rsidRDefault="00E024AF" w:rsidP="005A3A38">
            <w:pPr>
              <w:rPr>
                <w:sz w:val="16"/>
                <w:szCs w:val="16"/>
              </w:rPr>
            </w:pPr>
            <w:r w:rsidRPr="00E024AF">
              <w:rPr>
                <w:sz w:val="16"/>
                <w:szCs w:val="16"/>
              </w:rPr>
              <w:t>Being open to trying new ideas, even if they’re not always successful</w:t>
            </w:r>
          </w:p>
        </w:tc>
        <w:tc>
          <w:tcPr>
            <w:tcW w:w="3006" w:type="dxa"/>
          </w:tcPr>
          <w:p w:rsidR="00E024AF" w:rsidRPr="00E024AF" w:rsidRDefault="00E024AF" w:rsidP="00E024AF">
            <w:pPr>
              <w:rPr>
                <w:sz w:val="16"/>
                <w:szCs w:val="16"/>
              </w:rPr>
            </w:pPr>
            <w:r w:rsidRPr="00E024AF">
              <w:rPr>
                <w:sz w:val="16"/>
                <w:szCs w:val="16"/>
              </w:rPr>
              <w:t>Finding out about the connections between wider organisational issues and own role</w:t>
            </w:r>
          </w:p>
          <w:p w:rsidR="00E024AF" w:rsidRPr="00E024AF" w:rsidRDefault="00E024AF" w:rsidP="00E024AF">
            <w:pPr>
              <w:rPr>
                <w:sz w:val="16"/>
                <w:szCs w:val="16"/>
              </w:rPr>
            </w:pPr>
            <w:r w:rsidRPr="00E024AF">
              <w:rPr>
                <w:sz w:val="16"/>
                <w:szCs w:val="16"/>
              </w:rPr>
              <w:t>Being inquisitive: looking below the surface to understand the causes of problems</w:t>
            </w:r>
          </w:p>
          <w:p w:rsidR="00575E14" w:rsidRPr="00E024AF" w:rsidRDefault="00E024AF" w:rsidP="00E024AF">
            <w:pPr>
              <w:rPr>
                <w:sz w:val="16"/>
                <w:szCs w:val="16"/>
              </w:rPr>
            </w:pPr>
            <w:r w:rsidRPr="00E024AF">
              <w:rPr>
                <w:sz w:val="16"/>
                <w:szCs w:val="16"/>
              </w:rPr>
              <w:t>Analysing information and testing out ideas with others</w:t>
            </w:r>
          </w:p>
        </w:tc>
      </w:tr>
    </w:tbl>
    <w:p w:rsidR="005A3A38" w:rsidRPr="005A3A38" w:rsidRDefault="00CC10DB" w:rsidP="005A3A38">
      <w:r>
        <w:t xml:space="preserve"> </w:t>
      </w:r>
    </w:p>
    <w:p w:rsidR="009F5B17" w:rsidRPr="009F5B17" w:rsidRDefault="009F5B17" w:rsidP="009F5B17"/>
    <w:p w:rsidR="00BB5C90" w:rsidRDefault="00BB5C90" w:rsidP="00BB5C90"/>
    <w:p w:rsidR="007646C1" w:rsidRDefault="007646C1" w:rsidP="00BB5C90"/>
    <w:p w:rsidR="00BB5C90" w:rsidRPr="00BB5C90" w:rsidRDefault="00F1524E" w:rsidP="00F1524E">
      <w:pPr>
        <w:pStyle w:val="Heading1"/>
      </w:pPr>
      <w:bookmarkStart w:id="5" w:name="_Toc498600126"/>
      <w:r>
        <w:t>Activity 2</w:t>
      </w:r>
      <w:bookmarkEnd w:id="5"/>
    </w:p>
    <w:p w:rsidR="00BB5C90" w:rsidRDefault="00BB5C90" w:rsidP="00BB5C90">
      <w:pPr>
        <w:spacing w:after="0" w:line="240" w:lineRule="auto"/>
        <w:rPr>
          <w:rFonts w:cs="Arial"/>
          <w:sz w:val="20"/>
          <w:szCs w:val="20"/>
        </w:rPr>
      </w:pPr>
    </w:p>
    <w:p w:rsidR="00807E6B" w:rsidRDefault="00807E6B" w:rsidP="00807E6B">
      <w:pPr>
        <w:pStyle w:val="Heading2"/>
      </w:pPr>
      <w:bookmarkStart w:id="6" w:name="_Toc498600127"/>
      <w:r>
        <w:t>2.1 Group Dynamics</w:t>
      </w:r>
      <w:bookmarkEnd w:id="6"/>
    </w:p>
    <w:p w:rsidR="00F1524E" w:rsidRDefault="00F1524E" w:rsidP="00BB5C90">
      <w:pPr>
        <w:spacing w:after="0" w:line="240" w:lineRule="auto"/>
        <w:rPr>
          <w:rFonts w:cs="Arial"/>
          <w:sz w:val="20"/>
          <w:szCs w:val="20"/>
        </w:rPr>
      </w:pPr>
    </w:p>
    <w:p w:rsidR="00093262" w:rsidRPr="00865C08" w:rsidRDefault="007646C1" w:rsidP="005A3A38">
      <w:pPr>
        <w:spacing w:after="0" w:line="240" w:lineRule="auto"/>
        <w:rPr>
          <w:rFonts w:cs="Arial"/>
          <w:sz w:val="20"/>
          <w:szCs w:val="20"/>
        </w:rPr>
      </w:pPr>
      <w:r w:rsidRPr="00865C08">
        <w:rPr>
          <w:rFonts w:cs="Arial"/>
          <w:sz w:val="20"/>
          <w:szCs w:val="20"/>
        </w:rPr>
        <w:t xml:space="preserve">HR Professionals have to be aware that group dynamics can be impacted many different factors. The diversity of individuals in the group, varying leadership styles, structure of group/team, power and status issues and communication structures or processes can all have a varying impact on the success of a team. </w:t>
      </w:r>
      <w:sdt>
        <w:sdtPr>
          <w:rPr>
            <w:rFonts w:cs="Arial"/>
            <w:sz w:val="20"/>
            <w:szCs w:val="20"/>
          </w:rPr>
          <w:id w:val="838890012"/>
          <w:citation/>
        </w:sdtPr>
        <w:sdtContent>
          <w:r w:rsidRPr="00865C08">
            <w:rPr>
              <w:rFonts w:cs="Arial"/>
              <w:sz w:val="20"/>
              <w:szCs w:val="20"/>
            </w:rPr>
            <w:fldChar w:fldCharType="begin"/>
          </w:r>
          <w:r w:rsidRPr="00865C08">
            <w:rPr>
              <w:rFonts w:cs="Arial"/>
              <w:sz w:val="20"/>
              <w:szCs w:val="20"/>
            </w:rPr>
            <w:instrText xml:space="preserve"> CITATION Tay16 \l 2057 </w:instrText>
          </w:r>
          <w:r w:rsidRPr="00865C08">
            <w:rPr>
              <w:rFonts w:cs="Arial"/>
              <w:sz w:val="20"/>
              <w:szCs w:val="20"/>
            </w:rPr>
            <w:fldChar w:fldCharType="separate"/>
          </w:r>
          <w:r w:rsidRPr="00865C08">
            <w:rPr>
              <w:rFonts w:cs="Arial"/>
              <w:noProof/>
              <w:sz w:val="20"/>
              <w:szCs w:val="20"/>
            </w:rPr>
            <w:t>(Taylor &amp; Woodhams, 2016)</w:t>
          </w:r>
          <w:r w:rsidRPr="00865C08">
            <w:rPr>
              <w:rFonts w:cs="Arial"/>
              <w:sz w:val="20"/>
              <w:szCs w:val="20"/>
            </w:rPr>
            <w:fldChar w:fldCharType="end"/>
          </w:r>
        </w:sdtContent>
      </w:sdt>
    </w:p>
    <w:p w:rsidR="004E0EEC" w:rsidRPr="00865C08" w:rsidRDefault="004E0EEC" w:rsidP="004E4E7A">
      <w:pPr>
        <w:spacing w:after="0" w:line="252" w:lineRule="auto"/>
        <w:rPr>
          <w:rFonts w:cs="Arial"/>
          <w:i/>
          <w:sz w:val="20"/>
          <w:szCs w:val="20"/>
        </w:rPr>
      </w:pPr>
    </w:p>
    <w:p w:rsidR="00711CF5" w:rsidRPr="00865C08" w:rsidRDefault="00711CF5" w:rsidP="00711CF5">
      <w:pPr>
        <w:spacing w:after="0" w:line="240" w:lineRule="auto"/>
        <w:rPr>
          <w:rFonts w:cs="Arial"/>
          <w:sz w:val="20"/>
          <w:szCs w:val="20"/>
        </w:rPr>
      </w:pPr>
    </w:p>
    <w:p w:rsidR="00B845A0" w:rsidRDefault="006A0D93" w:rsidP="00B845A0">
      <w:r w:rsidRPr="00865C08">
        <w:rPr>
          <w:sz w:val="20"/>
          <w:szCs w:val="20"/>
        </w:rPr>
        <w:t>A model published originally in 1965 by Bruce Tuckman outlined four stages to a performing Team – shown in figure</w:t>
      </w:r>
      <w:r>
        <w:t xml:space="preserve"> 5:</w:t>
      </w:r>
    </w:p>
    <w:p w:rsidR="006A0D93" w:rsidRPr="00D31A30" w:rsidRDefault="006A0D93" w:rsidP="00B845A0">
      <w:r>
        <w:rPr>
          <w:noProof/>
        </w:rPr>
        <w:lastRenderedPageBreak/>
        <w:drawing>
          <wp:inline distT="0" distB="0" distL="0" distR="0">
            <wp:extent cx="5731510" cy="322199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15).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3221990"/>
                    </a:xfrm>
                    <a:prstGeom prst="rect">
                      <a:avLst/>
                    </a:prstGeom>
                  </pic:spPr>
                </pic:pic>
              </a:graphicData>
            </a:graphic>
          </wp:inline>
        </w:drawing>
      </w:r>
    </w:p>
    <w:p w:rsidR="00EA5D54" w:rsidRDefault="006A0D93" w:rsidP="00B845A0">
      <w:pPr>
        <w:rPr>
          <w:rFonts w:cs="Arial"/>
          <w:sz w:val="20"/>
          <w:szCs w:val="20"/>
        </w:rPr>
      </w:pPr>
      <w:r>
        <w:rPr>
          <w:rFonts w:cs="Arial"/>
          <w:sz w:val="20"/>
          <w:szCs w:val="20"/>
        </w:rPr>
        <w:t xml:space="preserve">Figure 5 – </w:t>
      </w:r>
      <w:proofErr w:type="spellStart"/>
      <w:r>
        <w:rPr>
          <w:rFonts w:cs="Arial"/>
          <w:sz w:val="20"/>
          <w:szCs w:val="20"/>
        </w:rPr>
        <w:t>Tuckmans</w:t>
      </w:r>
      <w:proofErr w:type="spellEnd"/>
      <w:r>
        <w:rPr>
          <w:rFonts w:cs="Arial"/>
          <w:sz w:val="20"/>
          <w:szCs w:val="20"/>
        </w:rPr>
        <w:t xml:space="preserve"> Forming Storming Team Development Stages Model 1965 </w:t>
      </w:r>
      <w:sdt>
        <w:sdtPr>
          <w:rPr>
            <w:rFonts w:cs="Arial"/>
            <w:sz w:val="20"/>
            <w:szCs w:val="20"/>
          </w:rPr>
          <w:id w:val="-174657082"/>
          <w:citation/>
        </w:sdtPr>
        <w:sdtContent>
          <w:r>
            <w:rPr>
              <w:rFonts w:cs="Arial"/>
              <w:sz w:val="20"/>
              <w:szCs w:val="20"/>
            </w:rPr>
            <w:fldChar w:fldCharType="begin"/>
          </w:r>
          <w:r>
            <w:rPr>
              <w:rFonts w:cs="Arial"/>
              <w:sz w:val="20"/>
              <w:szCs w:val="20"/>
            </w:rPr>
            <w:instrText xml:space="preserve"> CITATION Bru65 \l 2057 </w:instrText>
          </w:r>
          <w:r>
            <w:rPr>
              <w:rFonts w:cs="Arial"/>
              <w:sz w:val="20"/>
              <w:szCs w:val="20"/>
            </w:rPr>
            <w:fldChar w:fldCharType="separate"/>
          </w:r>
          <w:r w:rsidRPr="006A0D93">
            <w:rPr>
              <w:rFonts w:cs="Arial"/>
              <w:noProof/>
              <w:sz w:val="20"/>
              <w:szCs w:val="20"/>
            </w:rPr>
            <w:t>(Tuckman, 1965)</w:t>
          </w:r>
          <w:r>
            <w:rPr>
              <w:rFonts w:cs="Arial"/>
              <w:sz w:val="20"/>
              <w:szCs w:val="20"/>
            </w:rPr>
            <w:fldChar w:fldCharType="end"/>
          </w:r>
        </w:sdtContent>
      </w:sdt>
    </w:p>
    <w:p w:rsidR="008F554B" w:rsidRDefault="008F554B" w:rsidP="00B845A0">
      <w:pPr>
        <w:rPr>
          <w:rFonts w:cs="Arial"/>
          <w:sz w:val="20"/>
          <w:szCs w:val="20"/>
        </w:rPr>
      </w:pPr>
      <w:r>
        <w:rPr>
          <w:rFonts w:cs="Arial"/>
          <w:sz w:val="20"/>
          <w:szCs w:val="20"/>
        </w:rPr>
        <w:t>Table 2 emphasises the features of each phase:</w:t>
      </w:r>
    </w:p>
    <w:tbl>
      <w:tblPr>
        <w:tblStyle w:val="TableGrid"/>
        <w:tblW w:w="0" w:type="auto"/>
        <w:tblLook w:val="04A0" w:firstRow="1" w:lastRow="0" w:firstColumn="1" w:lastColumn="0" w:noHBand="0" w:noVBand="1"/>
      </w:tblPr>
      <w:tblGrid>
        <w:gridCol w:w="9016"/>
      </w:tblGrid>
      <w:tr w:rsidR="006A0D93" w:rsidTr="006A0D93">
        <w:tc>
          <w:tcPr>
            <w:tcW w:w="9016" w:type="dxa"/>
          </w:tcPr>
          <w:p w:rsidR="006A0D93" w:rsidRPr="008F554B" w:rsidRDefault="006A0D93" w:rsidP="006A0D93">
            <w:pPr>
              <w:rPr>
                <w:rFonts w:cs="Arial"/>
                <w:b/>
                <w:sz w:val="12"/>
                <w:szCs w:val="12"/>
              </w:rPr>
            </w:pPr>
            <w:r w:rsidRPr="008F554B">
              <w:rPr>
                <w:rFonts w:cs="Arial"/>
                <w:b/>
                <w:sz w:val="12"/>
                <w:szCs w:val="12"/>
              </w:rPr>
              <w:t>forming - stage 1</w:t>
            </w:r>
          </w:p>
          <w:p w:rsidR="006A0D93" w:rsidRPr="008F554B" w:rsidRDefault="006A0D93" w:rsidP="006A0D93">
            <w:pPr>
              <w:rPr>
                <w:rFonts w:cs="Arial"/>
                <w:sz w:val="12"/>
                <w:szCs w:val="12"/>
              </w:rPr>
            </w:pPr>
            <w:r w:rsidRPr="008F554B">
              <w:rPr>
                <w:rFonts w:cs="Arial"/>
                <w:sz w:val="12"/>
                <w:szCs w:val="12"/>
              </w:rPr>
              <w:t>High dependence on leader for guidance and direction. Little agreement on team aims other than received from leader. Individual roles and responsibilities are unclear. Leader must be prepared to answer lots of questions about the team's purpose, objectives and external relationships. Processes are often ignored. Members test tolerance of system and leader. Leader directs (similar to Situational Leadership® 'Telling' mode).</w:t>
            </w:r>
          </w:p>
          <w:p w:rsidR="006A0D93" w:rsidRPr="008F554B" w:rsidRDefault="006A0D93" w:rsidP="006A0D93">
            <w:pPr>
              <w:rPr>
                <w:rFonts w:cs="Arial"/>
                <w:b/>
                <w:sz w:val="12"/>
                <w:szCs w:val="12"/>
              </w:rPr>
            </w:pPr>
            <w:r w:rsidRPr="008F554B">
              <w:rPr>
                <w:rFonts w:cs="Arial"/>
                <w:b/>
                <w:sz w:val="12"/>
                <w:szCs w:val="12"/>
              </w:rPr>
              <w:t>storming - stage 2</w:t>
            </w:r>
          </w:p>
          <w:p w:rsidR="006A0D93" w:rsidRPr="008F554B" w:rsidRDefault="006A0D93" w:rsidP="006A0D93">
            <w:pPr>
              <w:rPr>
                <w:rFonts w:cs="Arial"/>
                <w:sz w:val="12"/>
                <w:szCs w:val="12"/>
              </w:rPr>
            </w:pPr>
            <w:r w:rsidRPr="008F554B">
              <w:rPr>
                <w:rFonts w:cs="Arial"/>
                <w:sz w:val="12"/>
                <w:szCs w:val="12"/>
              </w:rPr>
              <w:t>Decisions don't come easily within group. Team members vie for position as they attempt to establish themselves in relation to other team members and the leader, who might receive challenges from team members. Clarity of purpose increases but plenty of uncertainties persist. Cliques and factions form and there may be power struggles. The team needs to be focused on its goals to avoid becoming distracted by relationships and emotional issues. Compromises may be required to enable progress. Leader coaches (similar to Situational Leadership® 'Selling' mode).</w:t>
            </w:r>
          </w:p>
          <w:p w:rsidR="006A0D93" w:rsidRPr="008F554B" w:rsidRDefault="006A0D93" w:rsidP="006A0D93">
            <w:pPr>
              <w:rPr>
                <w:rFonts w:cs="Arial"/>
                <w:b/>
                <w:sz w:val="12"/>
                <w:szCs w:val="12"/>
              </w:rPr>
            </w:pPr>
            <w:r w:rsidRPr="008F554B">
              <w:rPr>
                <w:rFonts w:cs="Arial"/>
                <w:b/>
                <w:sz w:val="12"/>
                <w:szCs w:val="12"/>
              </w:rPr>
              <w:t>norming - stage 3</w:t>
            </w:r>
          </w:p>
          <w:p w:rsidR="006A0D93" w:rsidRPr="008F554B" w:rsidRDefault="006A0D93" w:rsidP="006A0D93">
            <w:pPr>
              <w:rPr>
                <w:rFonts w:cs="Arial"/>
                <w:sz w:val="12"/>
                <w:szCs w:val="12"/>
              </w:rPr>
            </w:pPr>
            <w:r w:rsidRPr="008F554B">
              <w:rPr>
                <w:rFonts w:cs="Arial"/>
                <w:sz w:val="12"/>
                <w:szCs w:val="12"/>
              </w:rPr>
              <w:t>Agreement and consensus largely forms among the team, who respond well to facilitation by leader. Roles and responsibilities are clear and accepted. Big decisions are made by group agreement. Smaller decisions may be delegated to individuals or small teams within group. Commitment and unity is strong. The team may engage in fun and social activities. The team discusses and develops its processes and working style. There is general respect for the leader and some of leadership is more shared by the team. Leader facilitates and enables (similar to the Situational Leadership® 'Participating' mode).</w:t>
            </w:r>
          </w:p>
          <w:p w:rsidR="006A0D93" w:rsidRPr="008F554B" w:rsidRDefault="006A0D93" w:rsidP="006A0D93">
            <w:pPr>
              <w:rPr>
                <w:rFonts w:cs="Arial"/>
                <w:b/>
                <w:sz w:val="12"/>
                <w:szCs w:val="12"/>
              </w:rPr>
            </w:pPr>
            <w:r w:rsidRPr="008F554B">
              <w:rPr>
                <w:rFonts w:cs="Arial"/>
                <w:b/>
                <w:sz w:val="12"/>
                <w:szCs w:val="12"/>
              </w:rPr>
              <w:t>performing - stage 4</w:t>
            </w:r>
          </w:p>
          <w:p w:rsidR="006A0D93" w:rsidRDefault="006A0D93" w:rsidP="006A0D93">
            <w:pPr>
              <w:rPr>
                <w:rFonts w:cs="Arial"/>
                <w:sz w:val="20"/>
                <w:szCs w:val="20"/>
              </w:rPr>
            </w:pPr>
            <w:r w:rsidRPr="008F554B">
              <w:rPr>
                <w:rFonts w:cs="Arial"/>
                <w:sz w:val="12"/>
                <w:szCs w:val="12"/>
              </w:rPr>
              <w:t>The team is more strategically aware; the team knows clearly why it is doing what it is doing. The team has a shared vision and is able to stand on its own feet with no interference or participation from the leader. There is a focus on over-achieving goals, and the team makes most of the decisions against criteria agreed with the leader. The team has a high degree of autonomy. Disagreements occur but now they are resolved within the team positively, and necessary changes to processes and structure are made by the team. The team is able to work towards achieving the goal, and also to attend to relationship, style and process issues along the way. Team members look after each other. The team requires delegated tasks and projects from the leader. The team does not need to be instructed or assisted. Team members might ask for assistance from the leader with personal and interpersonal development. Leader delegates and oversees (similar to the Situational Leadership® 'Delegating' mode)</w:t>
            </w:r>
          </w:p>
        </w:tc>
      </w:tr>
    </w:tbl>
    <w:p w:rsidR="006A0D93" w:rsidRDefault="008F554B" w:rsidP="00B845A0">
      <w:pPr>
        <w:rPr>
          <w:rFonts w:cs="Arial"/>
          <w:sz w:val="20"/>
          <w:szCs w:val="20"/>
        </w:rPr>
      </w:pPr>
      <w:r>
        <w:rPr>
          <w:rFonts w:cs="Arial"/>
          <w:sz w:val="20"/>
          <w:szCs w:val="20"/>
        </w:rPr>
        <w:t xml:space="preserve">Table 2 – Features of the 4 Phases </w:t>
      </w:r>
      <w:sdt>
        <w:sdtPr>
          <w:rPr>
            <w:rFonts w:cs="Arial"/>
            <w:sz w:val="20"/>
            <w:szCs w:val="20"/>
          </w:rPr>
          <w:id w:val="-847014528"/>
          <w:citation/>
        </w:sdtPr>
        <w:sdtContent>
          <w:r>
            <w:rPr>
              <w:rFonts w:cs="Arial"/>
              <w:sz w:val="20"/>
              <w:szCs w:val="20"/>
            </w:rPr>
            <w:fldChar w:fldCharType="begin"/>
          </w:r>
          <w:r>
            <w:rPr>
              <w:rFonts w:cs="Arial"/>
              <w:sz w:val="20"/>
              <w:szCs w:val="20"/>
            </w:rPr>
            <w:instrText xml:space="preserve"> CITATION Bru65 \l 2057 </w:instrText>
          </w:r>
          <w:r>
            <w:rPr>
              <w:rFonts w:cs="Arial"/>
              <w:sz w:val="20"/>
              <w:szCs w:val="20"/>
            </w:rPr>
            <w:fldChar w:fldCharType="separate"/>
          </w:r>
          <w:r w:rsidRPr="008F554B">
            <w:rPr>
              <w:rFonts w:cs="Arial"/>
              <w:noProof/>
              <w:sz w:val="20"/>
              <w:szCs w:val="20"/>
            </w:rPr>
            <w:t>(Tuckman, 1965)</w:t>
          </w:r>
          <w:r>
            <w:rPr>
              <w:rFonts w:cs="Arial"/>
              <w:sz w:val="20"/>
              <w:szCs w:val="20"/>
            </w:rPr>
            <w:fldChar w:fldCharType="end"/>
          </w:r>
        </w:sdtContent>
      </w:sdt>
    </w:p>
    <w:p w:rsidR="008F554B" w:rsidRDefault="008F554B" w:rsidP="00B845A0">
      <w:pPr>
        <w:rPr>
          <w:rFonts w:cs="Arial"/>
          <w:sz w:val="20"/>
          <w:szCs w:val="20"/>
        </w:rPr>
      </w:pPr>
      <w:r>
        <w:rPr>
          <w:rFonts w:cs="Arial"/>
          <w:sz w:val="20"/>
          <w:szCs w:val="20"/>
        </w:rPr>
        <w:t>The model is extremely adaptable to any organisation or situation and is widely used within my organisation Tesco as the model to support team working.  However as mentioned earlier dynamics are impacted by a number of factors which can sometimes lead to disagreements or conflict.</w:t>
      </w:r>
    </w:p>
    <w:p w:rsidR="008F554B" w:rsidRDefault="008F554B" w:rsidP="008F554B">
      <w:pPr>
        <w:pStyle w:val="Heading2"/>
      </w:pPr>
      <w:bookmarkStart w:id="7" w:name="_Toc498600128"/>
      <w:r>
        <w:t>2.2 Conflict Resolution</w:t>
      </w:r>
      <w:bookmarkEnd w:id="7"/>
    </w:p>
    <w:p w:rsidR="008F554B" w:rsidRDefault="008F554B" w:rsidP="00B845A0">
      <w:pPr>
        <w:rPr>
          <w:rFonts w:cs="Arial"/>
          <w:sz w:val="20"/>
          <w:szCs w:val="20"/>
        </w:rPr>
      </w:pPr>
    </w:p>
    <w:p w:rsidR="008F554B" w:rsidRDefault="00856B17" w:rsidP="00B845A0">
      <w:pPr>
        <w:rPr>
          <w:rFonts w:cs="Arial"/>
          <w:sz w:val="20"/>
          <w:szCs w:val="20"/>
        </w:rPr>
      </w:pPr>
      <w:r>
        <w:rPr>
          <w:rFonts w:cs="Arial"/>
          <w:sz w:val="20"/>
          <w:szCs w:val="20"/>
        </w:rPr>
        <w:t xml:space="preserve">In any organisation and in many </w:t>
      </w:r>
      <w:r w:rsidR="00452FAB">
        <w:rPr>
          <w:rFonts w:cs="Arial"/>
          <w:sz w:val="20"/>
          <w:szCs w:val="20"/>
        </w:rPr>
        <w:t>team’s</w:t>
      </w:r>
      <w:r>
        <w:rPr>
          <w:rFonts w:cs="Arial"/>
          <w:sz w:val="20"/>
          <w:szCs w:val="20"/>
        </w:rPr>
        <w:t xml:space="preserve"> </w:t>
      </w:r>
      <w:r w:rsidR="00452FAB">
        <w:rPr>
          <w:rFonts w:cs="Arial"/>
          <w:sz w:val="20"/>
          <w:szCs w:val="20"/>
        </w:rPr>
        <w:t xml:space="preserve">relationships become strained.  Personalities clash and conflict arises. </w:t>
      </w:r>
      <w:r w:rsidR="00452FAB" w:rsidRPr="00452FAB">
        <w:rPr>
          <w:rFonts w:cs="Arial"/>
          <w:sz w:val="20"/>
          <w:szCs w:val="20"/>
        </w:rPr>
        <w:t>For the HR professional, it is important to be able to identify conflict in the workplace and know how to quickly and effectively resolve the underlying issues in a positive way. Resolving conflict in a positive manner can lead to much-improved professional and personal relationships</w:t>
      </w:r>
      <w:r w:rsidR="00452FAB">
        <w:rPr>
          <w:rFonts w:cs="Arial"/>
          <w:sz w:val="20"/>
          <w:szCs w:val="20"/>
        </w:rPr>
        <w:t xml:space="preserve">. </w:t>
      </w:r>
    </w:p>
    <w:p w:rsidR="004E4E7A" w:rsidRPr="00D31A30" w:rsidRDefault="00452FAB" w:rsidP="00452FAB">
      <w:pPr>
        <w:pStyle w:val="Heading3"/>
      </w:pPr>
      <w:bookmarkStart w:id="8" w:name="_Toc498600129"/>
      <w:r>
        <w:t>2.2.1 Active Listening Skills</w:t>
      </w:r>
      <w:bookmarkEnd w:id="8"/>
    </w:p>
    <w:p w:rsidR="0073401C" w:rsidRDefault="0073401C" w:rsidP="004C3A11">
      <w:pPr>
        <w:spacing w:after="0" w:line="240" w:lineRule="auto"/>
        <w:rPr>
          <w:rFonts w:cs="Arial"/>
          <w:sz w:val="20"/>
          <w:szCs w:val="20"/>
        </w:rPr>
      </w:pPr>
    </w:p>
    <w:p w:rsidR="0073401C" w:rsidRDefault="00877920" w:rsidP="004C3A11">
      <w:pPr>
        <w:spacing w:after="0" w:line="240" w:lineRule="auto"/>
        <w:rPr>
          <w:rFonts w:cs="Arial"/>
          <w:sz w:val="20"/>
          <w:szCs w:val="20"/>
        </w:rPr>
      </w:pPr>
      <w:r w:rsidRPr="00877920">
        <w:rPr>
          <w:rFonts w:cs="Arial"/>
          <w:sz w:val="20"/>
          <w:szCs w:val="20"/>
        </w:rPr>
        <w:lastRenderedPageBreak/>
        <w:t>Listening is one of the most important skills you can have. How well you listen has a major impact on your job effectiveness, and on the quality of your relationships with others.</w:t>
      </w:r>
      <w:r>
        <w:rPr>
          <w:rFonts w:cs="Arial"/>
          <w:sz w:val="20"/>
          <w:szCs w:val="20"/>
        </w:rPr>
        <w:t xml:space="preserve">  Active listening can form a large part of conflict resolution.   C</w:t>
      </w:r>
      <w:r w:rsidRPr="00877920">
        <w:rPr>
          <w:rFonts w:cs="Arial"/>
          <w:sz w:val="20"/>
          <w:szCs w:val="20"/>
        </w:rPr>
        <w:t>learly, listening is a skill that we can all benefit from improving. By becoming a better listener, you will improve your productivity, as well as your ability to influence, persuade and negotiate. What's more, you'll avoid conflict and misunderstandings.</w:t>
      </w:r>
      <w:r>
        <w:rPr>
          <w:rFonts w:cs="Arial"/>
          <w:sz w:val="20"/>
          <w:szCs w:val="20"/>
        </w:rPr>
        <w:t xml:space="preserve"> </w:t>
      </w:r>
      <w:sdt>
        <w:sdtPr>
          <w:rPr>
            <w:rFonts w:cs="Arial"/>
            <w:sz w:val="20"/>
            <w:szCs w:val="20"/>
          </w:rPr>
          <w:id w:val="1141002694"/>
          <w:citation/>
        </w:sdtPr>
        <w:sdtContent>
          <w:r>
            <w:rPr>
              <w:rFonts w:cs="Arial"/>
              <w:sz w:val="20"/>
              <w:szCs w:val="20"/>
            </w:rPr>
            <w:fldChar w:fldCharType="begin"/>
          </w:r>
          <w:r>
            <w:rPr>
              <w:rFonts w:cs="Arial"/>
              <w:sz w:val="20"/>
              <w:szCs w:val="20"/>
            </w:rPr>
            <w:instrText xml:space="preserve"> CITATION Min17 \l 2057 </w:instrText>
          </w:r>
          <w:r>
            <w:rPr>
              <w:rFonts w:cs="Arial"/>
              <w:sz w:val="20"/>
              <w:szCs w:val="20"/>
            </w:rPr>
            <w:fldChar w:fldCharType="separate"/>
          </w:r>
          <w:r w:rsidRPr="00877920">
            <w:rPr>
              <w:rFonts w:cs="Arial"/>
              <w:noProof/>
              <w:sz w:val="20"/>
              <w:szCs w:val="20"/>
            </w:rPr>
            <w:t>(MindTools, 2017)</w:t>
          </w:r>
          <w:r>
            <w:rPr>
              <w:rFonts w:cs="Arial"/>
              <w:sz w:val="20"/>
              <w:szCs w:val="20"/>
            </w:rPr>
            <w:fldChar w:fldCharType="end"/>
          </w:r>
        </w:sdtContent>
      </w:sdt>
      <w:r w:rsidR="003C2B65">
        <w:rPr>
          <w:rFonts w:cs="Arial"/>
          <w:sz w:val="20"/>
          <w:szCs w:val="20"/>
        </w:rPr>
        <w:t xml:space="preserve">  There are a number of ways in which you can portray active listening, </w:t>
      </w:r>
      <w:r w:rsidR="004255C8">
        <w:rPr>
          <w:rFonts w:cs="Arial"/>
          <w:sz w:val="20"/>
          <w:szCs w:val="20"/>
        </w:rPr>
        <w:t>give the person your full attention, keep eye contact don’t get distracted, show your listening through positive body language, reflect the conversation, show your listening, be impartial with thoughts and respond appropriately.  It also demonstrates a respect for the individual defusing conflict or heated situations.</w:t>
      </w:r>
    </w:p>
    <w:p w:rsidR="004255C8" w:rsidRDefault="004255C8" w:rsidP="004C3A11">
      <w:pPr>
        <w:spacing w:after="0" w:line="240" w:lineRule="auto"/>
        <w:rPr>
          <w:rFonts w:cs="Arial"/>
          <w:sz w:val="20"/>
          <w:szCs w:val="20"/>
        </w:rPr>
      </w:pPr>
    </w:p>
    <w:p w:rsidR="004255C8" w:rsidRDefault="004255C8" w:rsidP="004255C8">
      <w:pPr>
        <w:pStyle w:val="Heading3"/>
      </w:pPr>
      <w:bookmarkStart w:id="9" w:name="_Toc498600130"/>
      <w:r>
        <w:t>2.2.2 Influencing</w:t>
      </w:r>
      <w:bookmarkEnd w:id="9"/>
    </w:p>
    <w:p w:rsidR="0073401C" w:rsidRDefault="0073401C" w:rsidP="004C3A11">
      <w:pPr>
        <w:spacing w:after="0" w:line="240" w:lineRule="auto"/>
        <w:rPr>
          <w:rFonts w:cs="Arial"/>
          <w:sz w:val="20"/>
          <w:szCs w:val="20"/>
        </w:rPr>
      </w:pPr>
    </w:p>
    <w:p w:rsidR="004255C8" w:rsidRDefault="004255C8" w:rsidP="004C3A11">
      <w:pPr>
        <w:spacing w:after="0" w:line="240" w:lineRule="auto"/>
        <w:rPr>
          <w:rFonts w:cs="Arial"/>
          <w:sz w:val="20"/>
          <w:szCs w:val="20"/>
        </w:rPr>
      </w:pPr>
      <w:r>
        <w:rPr>
          <w:rFonts w:cs="Arial"/>
          <w:sz w:val="20"/>
          <w:szCs w:val="20"/>
        </w:rPr>
        <w:t xml:space="preserve">According to Taylor and Woodhams (2016) there are many concepts of influence and negotiation.  They focus on </w:t>
      </w:r>
      <w:sdt>
        <w:sdtPr>
          <w:rPr>
            <w:rFonts w:cs="Arial"/>
            <w:sz w:val="20"/>
            <w:szCs w:val="20"/>
          </w:rPr>
          <w:id w:val="1129505258"/>
          <w:citation/>
        </w:sdtPr>
        <w:sdtContent>
          <w:r>
            <w:rPr>
              <w:rFonts w:cs="Arial"/>
              <w:sz w:val="20"/>
              <w:szCs w:val="20"/>
            </w:rPr>
            <w:fldChar w:fldCharType="begin"/>
          </w:r>
          <w:r>
            <w:rPr>
              <w:rFonts w:cs="Arial"/>
              <w:sz w:val="20"/>
              <w:szCs w:val="20"/>
            </w:rPr>
            <w:instrText xml:space="preserve"> CITATION Yem08 \l 2057 </w:instrText>
          </w:r>
          <w:r>
            <w:rPr>
              <w:rFonts w:cs="Arial"/>
              <w:sz w:val="20"/>
              <w:szCs w:val="20"/>
            </w:rPr>
            <w:fldChar w:fldCharType="separate"/>
          </w:r>
          <w:r w:rsidRPr="004255C8">
            <w:rPr>
              <w:rFonts w:cs="Arial"/>
              <w:noProof/>
              <w:sz w:val="20"/>
              <w:szCs w:val="20"/>
            </w:rPr>
            <w:t>(Yemm, 2008)</w:t>
          </w:r>
          <w:r>
            <w:rPr>
              <w:rFonts w:cs="Arial"/>
              <w:sz w:val="20"/>
              <w:szCs w:val="20"/>
            </w:rPr>
            <w:fldChar w:fldCharType="end"/>
          </w:r>
        </w:sdtContent>
      </w:sdt>
      <w:r>
        <w:rPr>
          <w:rFonts w:cs="Arial"/>
          <w:sz w:val="20"/>
          <w:szCs w:val="20"/>
        </w:rPr>
        <w:t xml:space="preserve"> who argues that in order to successfully influence others, HR Professionals must think message and how they are to deliver it.</w:t>
      </w:r>
      <w:r w:rsidR="00023E97">
        <w:rPr>
          <w:rFonts w:cs="Arial"/>
          <w:sz w:val="20"/>
          <w:szCs w:val="20"/>
        </w:rPr>
        <w:t xml:space="preserve">  It is acknowledged that HR Professionals often need influence others in order to bring about a change or get the commitment to a new way of working/thinking.  There is also </w:t>
      </w:r>
      <w:proofErr w:type="gramStart"/>
      <w:r w:rsidR="00023E97">
        <w:rPr>
          <w:rFonts w:cs="Arial"/>
          <w:sz w:val="20"/>
          <w:szCs w:val="20"/>
        </w:rPr>
        <w:t>a</w:t>
      </w:r>
      <w:proofErr w:type="gramEnd"/>
      <w:r w:rsidR="00023E97">
        <w:rPr>
          <w:rFonts w:cs="Arial"/>
          <w:sz w:val="20"/>
          <w:szCs w:val="20"/>
        </w:rPr>
        <w:t xml:space="preserve"> argument that effective influencers possess key attributes; friendliness, empowerment, vision, the ability to build alliances, expertise and knowledge and bargaining skills. (</w:t>
      </w:r>
      <w:r w:rsidR="00351441">
        <w:rPr>
          <w:rFonts w:cs="Arial"/>
          <w:sz w:val="20"/>
          <w:szCs w:val="20"/>
        </w:rPr>
        <w:t>Ibid) The</w:t>
      </w:r>
      <w:r w:rsidR="00023E97">
        <w:rPr>
          <w:rFonts w:cs="Arial"/>
          <w:sz w:val="20"/>
          <w:szCs w:val="20"/>
        </w:rPr>
        <w:t xml:space="preserve"> key fundamental is to create </w:t>
      </w:r>
      <w:proofErr w:type="spellStart"/>
      <w:proofErr w:type="gramStart"/>
      <w:r w:rsidR="00023E97">
        <w:rPr>
          <w:rFonts w:cs="Arial"/>
          <w:sz w:val="20"/>
          <w:szCs w:val="20"/>
        </w:rPr>
        <w:t>a</w:t>
      </w:r>
      <w:proofErr w:type="spellEnd"/>
      <w:proofErr w:type="gramEnd"/>
      <w:r w:rsidR="00023E97">
        <w:rPr>
          <w:rFonts w:cs="Arial"/>
          <w:sz w:val="20"/>
          <w:szCs w:val="20"/>
        </w:rPr>
        <w:t xml:space="preserve"> atmosphere of trust and ability to come to agreements when in difficult situations.</w:t>
      </w:r>
    </w:p>
    <w:p w:rsidR="0073401C" w:rsidRDefault="0073401C" w:rsidP="004C3A11">
      <w:pPr>
        <w:spacing w:after="0" w:line="240" w:lineRule="auto"/>
        <w:rPr>
          <w:rFonts w:cs="Arial"/>
          <w:sz w:val="20"/>
          <w:szCs w:val="20"/>
        </w:rPr>
      </w:pPr>
    </w:p>
    <w:p w:rsidR="004E4E7A" w:rsidRPr="004C3A11" w:rsidRDefault="004E4E7A" w:rsidP="00023E97">
      <w:pPr>
        <w:pStyle w:val="Heading2"/>
      </w:pPr>
      <w:r w:rsidRPr="004C3A11">
        <w:br/>
      </w:r>
      <w:bookmarkStart w:id="10" w:name="_Toc498600131"/>
      <w:r w:rsidR="00023E97">
        <w:t>2.3 Active Listening and Influencing in a HR context</w:t>
      </w:r>
      <w:bookmarkEnd w:id="10"/>
    </w:p>
    <w:p w:rsidR="005D527D" w:rsidRPr="00D31A30" w:rsidRDefault="005D527D" w:rsidP="00A70B64">
      <w:pPr>
        <w:spacing w:after="0" w:line="240" w:lineRule="auto"/>
        <w:rPr>
          <w:rFonts w:cs="Arial"/>
          <w:color w:val="44546A" w:themeColor="text2"/>
          <w:sz w:val="20"/>
          <w:szCs w:val="20"/>
        </w:rPr>
      </w:pPr>
    </w:p>
    <w:p w:rsidR="00D1378B" w:rsidRDefault="00D1378B" w:rsidP="00B845A0">
      <w:pPr>
        <w:spacing w:after="0" w:line="240" w:lineRule="auto"/>
        <w:rPr>
          <w:rFonts w:cs="Arial"/>
          <w:sz w:val="20"/>
          <w:szCs w:val="20"/>
        </w:rPr>
      </w:pPr>
      <w:r>
        <w:rPr>
          <w:rFonts w:cs="Arial"/>
          <w:sz w:val="20"/>
          <w:szCs w:val="20"/>
        </w:rPr>
        <w:t xml:space="preserve">.  </w:t>
      </w:r>
    </w:p>
    <w:p w:rsidR="00D1378B" w:rsidRDefault="00023E97" w:rsidP="00B845A0">
      <w:pPr>
        <w:spacing w:after="0" w:line="240" w:lineRule="auto"/>
        <w:rPr>
          <w:rFonts w:cs="Arial"/>
          <w:sz w:val="20"/>
          <w:szCs w:val="20"/>
        </w:rPr>
      </w:pPr>
      <w:r>
        <w:rPr>
          <w:rFonts w:cs="Arial"/>
          <w:sz w:val="20"/>
          <w:szCs w:val="20"/>
        </w:rPr>
        <w:t xml:space="preserve">In my role as People Manager with Tesco I have had many situations where I have had to use both active listening and influencing.  A recent example was with a disagreement between a colleague and a manager, where it was alleged that the manager had disrespected the employee through challenging.  It was felt by the employee that it was not done in the professional manner expected which caused offence.  I investigated the matter immediately </w:t>
      </w:r>
      <w:r w:rsidR="00E37090">
        <w:rPr>
          <w:rFonts w:cs="Arial"/>
          <w:sz w:val="20"/>
          <w:szCs w:val="20"/>
        </w:rPr>
        <w:t xml:space="preserve">influencing both parties into holding a mediation session to enable them to air their feelings. </w:t>
      </w:r>
      <w:r>
        <w:rPr>
          <w:rFonts w:cs="Arial"/>
          <w:sz w:val="20"/>
          <w:szCs w:val="20"/>
        </w:rPr>
        <w:t xml:space="preserve">  Prior to this </w:t>
      </w:r>
      <w:r w:rsidR="00E37090">
        <w:rPr>
          <w:rFonts w:cs="Arial"/>
          <w:sz w:val="20"/>
          <w:szCs w:val="20"/>
        </w:rPr>
        <w:t xml:space="preserve">meeting </w:t>
      </w:r>
      <w:r>
        <w:rPr>
          <w:rFonts w:cs="Arial"/>
          <w:sz w:val="20"/>
          <w:szCs w:val="20"/>
        </w:rPr>
        <w:t>I held 121 meetings with each where I was able to listen to the points of each and build a method of delivering in a way which would be constructive</w:t>
      </w:r>
      <w:r w:rsidR="00E37090">
        <w:rPr>
          <w:rFonts w:cs="Arial"/>
          <w:sz w:val="20"/>
          <w:szCs w:val="20"/>
        </w:rPr>
        <w:t xml:space="preserve"> to achieve a positive outcome for both.  Through active listening it was evident that I understood the emotions of each and was able to portray a sense of taking appropriate steps to help resolve.  Following the resultant meeting it was clear that both parties had miscommunication regarding an event which caused a ripple effect of emotions, thus resulting in each being confrontational towards each other.  When there was </w:t>
      </w:r>
      <w:proofErr w:type="spellStart"/>
      <w:proofErr w:type="gramStart"/>
      <w:r w:rsidR="00E37090">
        <w:rPr>
          <w:rFonts w:cs="Arial"/>
          <w:sz w:val="20"/>
          <w:szCs w:val="20"/>
        </w:rPr>
        <w:t>a</w:t>
      </w:r>
      <w:proofErr w:type="spellEnd"/>
      <w:proofErr w:type="gramEnd"/>
      <w:r w:rsidR="00E37090">
        <w:rPr>
          <w:rFonts w:cs="Arial"/>
          <w:sz w:val="20"/>
          <w:szCs w:val="20"/>
        </w:rPr>
        <w:t xml:space="preserve"> opportunity to talk about the facts and have a meaningful dialogue it was easy to arrange a reconcile and a positive outcome for both them and the business.</w:t>
      </w:r>
      <w:r w:rsidR="00122AFC">
        <w:rPr>
          <w:rFonts w:cs="Arial"/>
          <w:sz w:val="20"/>
          <w:szCs w:val="20"/>
        </w:rPr>
        <w:t xml:space="preserve">  I have seen this type of situation many times throughout my career and understand the importance of being a great communicator but listening and influencing are crucial elements of being able to resolve situations and reach a sustainable working solution for all.</w:t>
      </w:r>
    </w:p>
    <w:p w:rsidR="00122AFC" w:rsidRDefault="00122AFC" w:rsidP="00122AFC">
      <w:pPr>
        <w:pStyle w:val="Heading1"/>
      </w:pPr>
      <w:bookmarkStart w:id="11" w:name="_Toc498600132"/>
      <w:r>
        <w:t>Activity 3</w:t>
      </w:r>
      <w:bookmarkEnd w:id="11"/>
    </w:p>
    <w:p w:rsidR="00122AFC" w:rsidRDefault="00122AFC" w:rsidP="00122AFC"/>
    <w:p w:rsidR="00122AFC" w:rsidRDefault="00122AFC" w:rsidP="00122AFC">
      <w:pPr>
        <w:pStyle w:val="Heading2"/>
      </w:pPr>
      <w:bookmarkStart w:id="12" w:name="_Toc498600133"/>
      <w:r>
        <w:t>3.1 Project Management</w:t>
      </w:r>
      <w:bookmarkEnd w:id="12"/>
    </w:p>
    <w:p w:rsidR="00122AFC" w:rsidRDefault="00122AFC" w:rsidP="00122AFC"/>
    <w:p w:rsidR="00122AFC" w:rsidRPr="00865C08" w:rsidRDefault="00122AFC" w:rsidP="00122AFC">
      <w:pPr>
        <w:rPr>
          <w:sz w:val="20"/>
          <w:szCs w:val="20"/>
        </w:rPr>
      </w:pPr>
      <w:r w:rsidRPr="00865C08">
        <w:rPr>
          <w:sz w:val="20"/>
          <w:szCs w:val="20"/>
        </w:rPr>
        <w:t xml:space="preserve">Project Management is a fundamental part of being a HR </w:t>
      </w:r>
      <w:r w:rsidR="00104C4F" w:rsidRPr="00865C08">
        <w:rPr>
          <w:sz w:val="20"/>
          <w:szCs w:val="20"/>
        </w:rPr>
        <w:t>Professional, the</w:t>
      </w:r>
      <w:r w:rsidRPr="00865C08">
        <w:rPr>
          <w:sz w:val="20"/>
          <w:szCs w:val="20"/>
        </w:rPr>
        <w:t xml:space="preserve"> ability to manage small or large projects could be crucial to the success of the organisation.  </w:t>
      </w:r>
      <w:r w:rsidR="00104C4F" w:rsidRPr="00865C08">
        <w:rPr>
          <w:sz w:val="20"/>
          <w:szCs w:val="20"/>
        </w:rPr>
        <w:t>Taylor and Woodhams (2016) describe a project can be split into five basic steps or phases that have to be completed.  Table 3 looks at the stages in more detail:</w:t>
      </w:r>
    </w:p>
    <w:p w:rsidR="00104C4F" w:rsidRDefault="00104C4F" w:rsidP="00122AFC">
      <w:r>
        <w:t xml:space="preserve">Table 3 – Five Stages of Project Management </w:t>
      </w:r>
      <w:sdt>
        <w:sdtPr>
          <w:id w:val="1515653264"/>
          <w:citation/>
        </w:sdtPr>
        <w:sdtContent>
          <w:r>
            <w:fldChar w:fldCharType="begin"/>
          </w:r>
          <w:r>
            <w:instrText xml:space="preserve"> CITATION Tay16 \l 2057 </w:instrText>
          </w:r>
          <w:r>
            <w:fldChar w:fldCharType="separate"/>
          </w:r>
          <w:r w:rsidRPr="00104C4F">
            <w:rPr>
              <w:noProof/>
            </w:rPr>
            <w:t>(Taylor &amp; Woodhams, 2016)</w:t>
          </w:r>
          <w:r>
            <w:fldChar w:fldCharType="end"/>
          </w:r>
        </w:sdtContent>
      </w:sdt>
    </w:p>
    <w:tbl>
      <w:tblPr>
        <w:tblStyle w:val="TableGrid"/>
        <w:tblW w:w="0" w:type="auto"/>
        <w:tblLook w:val="04A0" w:firstRow="1" w:lastRow="0" w:firstColumn="1" w:lastColumn="0" w:noHBand="0" w:noVBand="1"/>
      </w:tblPr>
      <w:tblGrid>
        <w:gridCol w:w="4508"/>
        <w:gridCol w:w="4508"/>
      </w:tblGrid>
      <w:tr w:rsidR="00104C4F" w:rsidTr="00104C4F">
        <w:tc>
          <w:tcPr>
            <w:tcW w:w="4508" w:type="dxa"/>
          </w:tcPr>
          <w:p w:rsidR="00104C4F" w:rsidRDefault="00104C4F" w:rsidP="00104C4F">
            <w:pPr>
              <w:jc w:val="center"/>
            </w:pPr>
            <w:r>
              <w:lastRenderedPageBreak/>
              <w:t>Stages</w:t>
            </w:r>
          </w:p>
        </w:tc>
        <w:tc>
          <w:tcPr>
            <w:tcW w:w="4508" w:type="dxa"/>
          </w:tcPr>
          <w:p w:rsidR="00104C4F" w:rsidRDefault="00104C4F" w:rsidP="00104C4F">
            <w:pPr>
              <w:jc w:val="center"/>
            </w:pPr>
            <w:r>
              <w:t xml:space="preserve">What </w:t>
            </w:r>
          </w:p>
        </w:tc>
      </w:tr>
      <w:tr w:rsidR="00104C4F" w:rsidTr="00104C4F">
        <w:tc>
          <w:tcPr>
            <w:tcW w:w="4508" w:type="dxa"/>
          </w:tcPr>
          <w:p w:rsidR="00104C4F" w:rsidRDefault="00104C4F" w:rsidP="00122AFC">
            <w:r>
              <w:t>Initiation</w:t>
            </w:r>
          </w:p>
        </w:tc>
        <w:tc>
          <w:tcPr>
            <w:tcW w:w="4508" w:type="dxa"/>
          </w:tcPr>
          <w:p w:rsidR="00104C4F" w:rsidRDefault="00104C4F" w:rsidP="00104C4F">
            <w:pPr>
              <w:jc w:val="center"/>
            </w:pPr>
            <w:r>
              <w:t>Overview of the project is determined and developed</w:t>
            </w:r>
          </w:p>
        </w:tc>
      </w:tr>
      <w:tr w:rsidR="00104C4F" w:rsidTr="00104C4F">
        <w:tc>
          <w:tcPr>
            <w:tcW w:w="4508" w:type="dxa"/>
          </w:tcPr>
          <w:p w:rsidR="00104C4F" w:rsidRDefault="00104C4F" w:rsidP="00122AFC">
            <w:r>
              <w:t>Planning and Design</w:t>
            </w:r>
          </w:p>
        </w:tc>
        <w:tc>
          <w:tcPr>
            <w:tcW w:w="4508" w:type="dxa"/>
          </w:tcPr>
          <w:p w:rsidR="00104C4F" w:rsidRDefault="00104C4F" w:rsidP="00104C4F">
            <w:pPr>
              <w:jc w:val="center"/>
            </w:pPr>
            <w:r>
              <w:t xml:space="preserve">Adds the level of detail required </w:t>
            </w:r>
          </w:p>
        </w:tc>
      </w:tr>
      <w:tr w:rsidR="00104C4F" w:rsidTr="00104C4F">
        <w:tc>
          <w:tcPr>
            <w:tcW w:w="4508" w:type="dxa"/>
          </w:tcPr>
          <w:p w:rsidR="00104C4F" w:rsidRDefault="00104C4F" w:rsidP="00122AFC">
            <w:r>
              <w:t>Execution</w:t>
            </w:r>
          </w:p>
        </w:tc>
        <w:tc>
          <w:tcPr>
            <w:tcW w:w="4508" w:type="dxa"/>
          </w:tcPr>
          <w:p w:rsidR="00104C4F" w:rsidRDefault="00104C4F" w:rsidP="00104C4F">
            <w:pPr>
              <w:jc w:val="center"/>
            </w:pPr>
            <w:r>
              <w:t>Putting the plan in to action</w:t>
            </w:r>
          </w:p>
        </w:tc>
      </w:tr>
      <w:tr w:rsidR="00104C4F" w:rsidTr="00104C4F">
        <w:tc>
          <w:tcPr>
            <w:tcW w:w="4508" w:type="dxa"/>
          </w:tcPr>
          <w:p w:rsidR="00104C4F" w:rsidRDefault="00104C4F" w:rsidP="00122AFC">
            <w:r>
              <w:t>Monitoring and Control</w:t>
            </w:r>
          </w:p>
        </w:tc>
        <w:tc>
          <w:tcPr>
            <w:tcW w:w="4508" w:type="dxa"/>
          </w:tcPr>
          <w:p w:rsidR="00104C4F" w:rsidRDefault="00104C4F" w:rsidP="00104C4F">
            <w:pPr>
              <w:jc w:val="center"/>
            </w:pPr>
            <w:r>
              <w:t xml:space="preserve">The in progress reviewing process when project has </w:t>
            </w:r>
            <w:r w:rsidR="00384314">
              <w:t>begun</w:t>
            </w:r>
            <w:r>
              <w:t xml:space="preserve"> to assess and make change along the project to ensure success is achieved</w:t>
            </w:r>
          </w:p>
        </w:tc>
      </w:tr>
      <w:tr w:rsidR="00104C4F" w:rsidTr="00104C4F">
        <w:tc>
          <w:tcPr>
            <w:tcW w:w="4508" w:type="dxa"/>
          </w:tcPr>
          <w:p w:rsidR="00104C4F" w:rsidRDefault="00104C4F" w:rsidP="00122AFC">
            <w:r>
              <w:t>Completion</w:t>
            </w:r>
          </w:p>
        </w:tc>
        <w:tc>
          <w:tcPr>
            <w:tcW w:w="4508" w:type="dxa"/>
          </w:tcPr>
          <w:p w:rsidR="00104C4F" w:rsidRDefault="00104C4F" w:rsidP="00104C4F">
            <w:pPr>
              <w:jc w:val="center"/>
            </w:pPr>
            <w:r>
              <w:t>Evaluation review of project to establish success and learnings</w:t>
            </w:r>
          </w:p>
        </w:tc>
      </w:tr>
    </w:tbl>
    <w:p w:rsidR="00104C4F" w:rsidRDefault="00104C4F" w:rsidP="00122AFC"/>
    <w:p w:rsidR="00384314" w:rsidRPr="00865C08" w:rsidRDefault="00384314" w:rsidP="00122AFC">
      <w:pPr>
        <w:rPr>
          <w:sz w:val="20"/>
          <w:szCs w:val="20"/>
        </w:rPr>
      </w:pPr>
      <w:r w:rsidRPr="00865C08">
        <w:rPr>
          <w:sz w:val="20"/>
          <w:szCs w:val="20"/>
        </w:rPr>
        <w:t xml:space="preserve">A key element of successful project management is a great understanding of change management and the effective ways of maximising opportunities with the workforce to initiate a want to change.  Elements of this have already been discussed with active listening and influencing, however, HR Professionals also have a critical role to play in ensuring the long-term sustainability of a change, through effective </w:t>
      </w:r>
      <w:r w:rsidRPr="00865C08">
        <w:rPr>
          <w:b/>
          <w:sz w:val="20"/>
          <w:szCs w:val="20"/>
        </w:rPr>
        <w:t>design and delivery</w:t>
      </w:r>
      <w:r w:rsidRPr="00865C08">
        <w:rPr>
          <w:sz w:val="20"/>
          <w:szCs w:val="20"/>
        </w:rPr>
        <w:t xml:space="preserve"> of learning initiatives. The key for HR and L&amp;D is to build credible relationships throughout the organisation which enable them to anticipate, design and lead the business through change.  </w:t>
      </w:r>
      <w:sdt>
        <w:sdtPr>
          <w:rPr>
            <w:sz w:val="20"/>
            <w:szCs w:val="20"/>
          </w:rPr>
          <w:id w:val="-1370521778"/>
          <w:citation/>
        </w:sdtPr>
        <w:sdtContent>
          <w:r w:rsidRPr="00865C08">
            <w:rPr>
              <w:sz w:val="20"/>
              <w:szCs w:val="20"/>
            </w:rPr>
            <w:fldChar w:fldCharType="begin"/>
          </w:r>
          <w:r w:rsidRPr="00865C08">
            <w:rPr>
              <w:sz w:val="20"/>
              <w:szCs w:val="20"/>
            </w:rPr>
            <w:instrText xml:space="preserve"> CITATION CIP174 \l 2057 </w:instrText>
          </w:r>
          <w:r w:rsidRPr="00865C08">
            <w:rPr>
              <w:sz w:val="20"/>
              <w:szCs w:val="20"/>
            </w:rPr>
            <w:fldChar w:fldCharType="separate"/>
          </w:r>
          <w:r w:rsidRPr="00865C08">
            <w:rPr>
              <w:noProof/>
              <w:sz w:val="20"/>
              <w:szCs w:val="20"/>
            </w:rPr>
            <w:t>(CIPD, 2017)</w:t>
          </w:r>
          <w:r w:rsidRPr="00865C08">
            <w:rPr>
              <w:sz w:val="20"/>
              <w:szCs w:val="20"/>
            </w:rPr>
            <w:fldChar w:fldCharType="end"/>
          </w:r>
        </w:sdtContent>
      </w:sdt>
    </w:p>
    <w:p w:rsidR="00CF6D4D" w:rsidRPr="00865C08" w:rsidRDefault="00CF6D4D" w:rsidP="00122AFC">
      <w:pPr>
        <w:rPr>
          <w:sz w:val="20"/>
          <w:szCs w:val="20"/>
        </w:rPr>
      </w:pPr>
      <w:r w:rsidRPr="00865C08">
        <w:rPr>
          <w:sz w:val="20"/>
          <w:szCs w:val="20"/>
        </w:rPr>
        <w:t xml:space="preserve">To enable design and delivery of a successful project there are many tools available to support, which ensure review, milestones are all planned to ensure the project kept on track or adjustments made.  One tool that can be used is a Gantt chart, this type of chart shows </w:t>
      </w:r>
      <w:r w:rsidR="00351441" w:rsidRPr="00865C08">
        <w:rPr>
          <w:sz w:val="20"/>
          <w:szCs w:val="20"/>
        </w:rPr>
        <w:t>starts</w:t>
      </w:r>
      <w:r w:rsidRPr="00865C08">
        <w:rPr>
          <w:sz w:val="20"/>
          <w:szCs w:val="20"/>
        </w:rPr>
        <w:t xml:space="preserve"> and end points and highlights location of different tasks or activities.  A useful tool if more than one activity is underway simultaneously and allows you to fully understand where you currently are within the plan. Table 4 shows an example Gantt chart.</w:t>
      </w:r>
    </w:p>
    <w:p w:rsidR="00CF6D4D" w:rsidRDefault="00CF6D4D" w:rsidP="00122AFC"/>
    <w:p w:rsidR="00CF6D4D" w:rsidRDefault="00CF6D4D" w:rsidP="00122AFC"/>
    <w:p w:rsidR="00CF6D4D" w:rsidRDefault="00CF6D4D" w:rsidP="00122AFC"/>
    <w:p w:rsidR="00CF6D4D" w:rsidRDefault="00CF6D4D" w:rsidP="00122AFC"/>
    <w:p w:rsidR="00CF6D4D" w:rsidRDefault="00CF6D4D" w:rsidP="00122AFC"/>
    <w:p w:rsidR="00CF6D4D" w:rsidRDefault="00905BDF" w:rsidP="00122AFC">
      <w:r>
        <w:rPr>
          <w:noProof/>
        </w:rPr>
        <w:drawing>
          <wp:inline distT="0" distB="0" distL="0" distR="0" wp14:anchorId="42C77B3C" wp14:editId="79CF80B7">
            <wp:extent cx="5731510" cy="2122221"/>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17).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122221"/>
                    </a:xfrm>
                    <a:prstGeom prst="rect">
                      <a:avLst/>
                    </a:prstGeom>
                  </pic:spPr>
                </pic:pic>
              </a:graphicData>
            </a:graphic>
          </wp:inline>
        </w:drawing>
      </w:r>
    </w:p>
    <w:p w:rsidR="00CF6D4D" w:rsidRDefault="00CF6D4D" w:rsidP="00122AFC">
      <w:r>
        <w:t>Table 4 – Example Gantt chart</w:t>
      </w:r>
    </w:p>
    <w:p w:rsidR="00CF6D4D" w:rsidRPr="00122AFC" w:rsidRDefault="00CF6D4D" w:rsidP="00122AFC"/>
    <w:p w:rsidR="00E37090" w:rsidRDefault="00E37090" w:rsidP="00B845A0">
      <w:pPr>
        <w:spacing w:after="0" w:line="240" w:lineRule="auto"/>
        <w:rPr>
          <w:rFonts w:cs="Arial"/>
          <w:sz w:val="20"/>
          <w:szCs w:val="20"/>
        </w:rPr>
      </w:pPr>
    </w:p>
    <w:p w:rsidR="004E4E7A" w:rsidRPr="00D31A30" w:rsidRDefault="00CF6D4D" w:rsidP="00B845A0">
      <w:pPr>
        <w:spacing w:after="0" w:line="240" w:lineRule="auto"/>
        <w:rPr>
          <w:rFonts w:cs="Arial"/>
          <w:sz w:val="20"/>
          <w:szCs w:val="20"/>
        </w:rPr>
      </w:pPr>
      <w:r>
        <w:rPr>
          <w:rFonts w:cs="Arial"/>
          <w:sz w:val="20"/>
          <w:szCs w:val="20"/>
        </w:rPr>
        <w:t>In my role as a People Manager with Tesco I have been Involved in numerous projects</w:t>
      </w:r>
      <w:r w:rsidR="007944D9">
        <w:rPr>
          <w:rFonts w:cs="Arial"/>
          <w:sz w:val="20"/>
          <w:szCs w:val="20"/>
        </w:rPr>
        <w:t xml:space="preserve">, a current project which has just concluded is of a transfer of business to a third-party supplier involving TUPE Legislation.  This project followed the 5-stage process outlined by Taylor and Woodhams (2016), where the project was analysed, detailed plan developed and review steps put in place as we made the transition. </w:t>
      </w:r>
      <w:r w:rsidR="001A41B0">
        <w:rPr>
          <w:rFonts w:cs="Arial"/>
          <w:sz w:val="20"/>
          <w:szCs w:val="20"/>
        </w:rPr>
        <w:t xml:space="preserve"> At the early stages a large amount of work was completed in consultation with business leaders to develop the strategy.  When we had concluded and developed the detail of the plan it was created and distributed to stores with clear timelines and milestones to ensure the business change was executed simultaneously throughout the organisation.  Within my store t</w:t>
      </w:r>
      <w:r w:rsidR="007944D9">
        <w:rPr>
          <w:rFonts w:cs="Arial"/>
          <w:sz w:val="20"/>
          <w:szCs w:val="20"/>
        </w:rPr>
        <w:t xml:space="preserve">hroughout the inform period </w:t>
      </w:r>
      <w:r w:rsidR="001A41B0">
        <w:rPr>
          <w:rFonts w:cs="Arial"/>
          <w:sz w:val="20"/>
          <w:szCs w:val="20"/>
        </w:rPr>
        <w:t xml:space="preserve">I ensured </w:t>
      </w:r>
      <w:r w:rsidR="007944D9">
        <w:rPr>
          <w:rFonts w:cs="Arial"/>
          <w:sz w:val="20"/>
          <w:szCs w:val="20"/>
        </w:rPr>
        <w:t>there was consistent open dialogue with colleagues to ensure they had a voice and were being heard</w:t>
      </w:r>
      <w:r w:rsidR="001A41B0">
        <w:rPr>
          <w:rFonts w:cs="Arial"/>
          <w:sz w:val="20"/>
          <w:szCs w:val="20"/>
        </w:rPr>
        <w:t xml:space="preserve"> as it was important to ensure that trust remained. Sticking to the timelines and feeding back when required.  Following the transition, I completed a full review of the process and attended a feedback session to enable developers of the initial program were able to adapt elements for the future rollouts of similar projects. The transition of the business was a success and impact to colleagues was minimal which added further to the success.   During this change it was evident that negotiating techniques were also a key factor between Business leaders to enable the right team of managers to be pulled together from different areas of the organisation to make a success of the project.</w:t>
      </w:r>
    </w:p>
    <w:p w:rsidR="004E4E7A" w:rsidRPr="00D31A30" w:rsidRDefault="004E4E7A" w:rsidP="00A70B64">
      <w:pPr>
        <w:spacing w:after="0" w:line="240" w:lineRule="auto"/>
        <w:rPr>
          <w:rFonts w:cs="Arial"/>
          <w:color w:val="44546A" w:themeColor="text2"/>
        </w:rPr>
      </w:pPr>
    </w:p>
    <w:p w:rsidR="005D527D" w:rsidRPr="00D31A30" w:rsidRDefault="001A41B0" w:rsidP="001C17E1">
      <w:pPr>
        <w:pStyle w:val="Heading2"/>
      </w:pPr>
      <w:bookmarkStart w:id="13" w:name="_Toc498600134"/>
      <w:r>
        <w:t xml:space="preserve">3.2 Problem Solving </w:t>
      </w:r>
      <w:r w:rsidR="001C17E1">
        <w:t>Techniques</w:t>
      </w:r>
      <w:bookmarkEnd w:id="13"/>
    </w:p>
    <w:p w:rsidR="00E1137D" w:rsidRDefault="00E1137D" w:rsidP="00A70B64">
      <w:pPr>
        <w:spacing w:after="0" w:line="240" w:lineRule="auto"/>
        <w:rPr>
          <w:rFonts w:cs="Arial"/>
          <w:color w:val="44546A" w:themeColor="text2"/>
        </w:rPr>
      </w:pPr>
    </w:p>
    <w:p w:rsidR="00E1137D" w:rsidRPr="00865C08" w:rsidRDefault="00905BDF" w:rsidP="00A70B64">
      <w:pPr>
        <w:spacing w:after="0" w:line="240" w:lineRule="auto"/>
        <w:rPr>
          <w:rFonts w:cstheme="minorHAnsi"/>
          <w:sz w:val="20"/>
          <w:szCs w:val="20"/>
        </w:rPr>
      </w:pPr>
      <w:r w:rsidRPr="00865C08">
        <w:rPr>
          <w:rFonts w:cstheme="minorHAnsi"/>
          <w:sz w:val="20"/>
          <w:szCs w:val="20"/>
        </w:rPr>
        <w:t xml:space="preserve">There are a number of different problem-solving techniques available to choose from dependent on the situation and issue, one of the techniques used within Tesco is Plan, Do, Review. </w:t>
      </w:r>
      <w:sdt>
        <w:sdtPr>
          <w:rPr>
            <w:rFonts w:cstheme="minorHAnsi"/>
            <w:sz w:val="20"/>
            <w:szCs w:val="20"/>
          </w:rPr>
          <w:id w:val="953910268"/>
          <w:citation/>
        </w:sdtPr>
        <w:sdtContent>
          <w:r w:rsidRPr="00865C08">
            <w:rPr>
              <w:rFonts w:cstheme="minorHAnsi"/>
              <w:sz w:val="20"/>
              <w:szCs w:val="20"/>
            </w:rPr>
            <w:fldChar w:fldCharType="begin"/>
          </w:r>
          <w:r w:rsidRPr="00865C08">
            <w:rPr>
              <w:rFonts w:cstheme="minorHAnsi"/>
              <w:sz w:val="20"/>
              <w:szCs w:val="20"/>
            </w:rPr>
            <w:instrText xml:space="preserve"> CITATION Tes17 \l 2057 </w:instrText>
          </w:r>
          <w:r w:rsidRPr="00865C08">
            <w:rPr>
              <w:rFonts w:cstheme="minorHAnsi"/>
              <w:sz w:val="20"/>
              <w:szCs w:val="20"/>
            </w:rPr>
            <w:fldChar w:fldCharType="separate"/>
          </w:r>
          <w:r w:rsidRPr="00865C08">
            <w:rPr>
              <w:rFonts w:cstheme="minorHAnsi"/>
              <w:noProof/>
              <w:sz w:val="20"/>
              <w:szCs w:val="20"/>
            </w:rPr>
            <w:t>(Tesco, 2017)</w:t>
          </w:r>
          <w:r w:rsidRPr="00865C08">
            <w:rPr>
              <w:rFonts w:cstheme="minorHAnsi"/>
              <w:sz w:val="20"/>
              <w:szCs w:val="20"/>
            </w:rPr>
            <w:fldChar w:fldCharType="end"/>
          </w:r>
        </w:sdtContent>
      </w:sdt>
      <w:r w:rsidRPr="00865C08">
        <w:rPr>
          <w:rFonts w:cstheme="minorHAnsi"/>
          <w:sz w:val="20"/>
          <w:szCs w:val="20"/>
        </w:rPr>
        <w:t xml:space="preserve">  This is seen as</w:t>
      </w:r>
      <w:r w:rsidR="00967465" w:rsidRPr="00865C08">
        <w:rPr>
          <w:rFonts w:cstheme="minorHAnsi"/>
          <w:sz w:val="20"/>
          <w:szCs w:val="20"/>
        </w:rPr>
        <w:t xml:space="preserve"> </w:t>
      </w:r>
      <w:r w:rsidRPr="00865C08">
        <w:rPr>
          <w:rFonts w:cstheme="minorHAnsi"/>
          <w:sz w:val="20"/>
          <w:szCs w:val="20"/>
        </w:rPr>
        <w:t>a simple process enabling all levels of teams</w:t>
      </w:r>
      <w:r w:rsidR="00967465" w:rsidRPr="00865C08">
        <w:rPr>
          <w:rFonts w:cstheme="minorHAnsi"/>
          <w:sz w:val="20"/>
          <w:szCs w:val="20"/>
        </w:rPr>
        <w:t xml:space="preserve"> to come together to work on problems and put plans in place to deliver a change.  PDR is a simple process to structure the way things are done.   It is used to ensure work is completed effectively and results are captured and learnt from.</w:t>
      </w:r>
    </w:p>
    <w:p w:rsidR="00967465" w:rsidRPr="00865C08" w:rsidRDefault="00967465" w:rsidP="00A70B64">
      <w:pPr>
        <w:spacing w:after="0" w:line="240" w:lineRule="auto"/>
        <w:rPr>
          <w:rFonts w:cstheme="minorHAnsi"/>
          <w:sz w:val="20"/>
          <w:szCs w:val="20"/>
        </w:rPr>
      </w:pPr>
    </w:p>
    <w:p w:rsidR="00967465" w:rsidRPr="00865C08" w:rsidRDefault="00967465" w:rsidP="00A70B64">
      <w:pPr>
        <w:spacing w:after="0" w:line="240" w:lineRule="auto"/>
        <w:rPr>
          <w:rFonts w:cstheme="minorHAnsi"/>
          <w:sz w:val="20"/>
          <w:szCs w:val="20"/>
        </w:rPr>
      </w:pPr>
      <w:r w:rsidRPr="00865C08">
        <w:rPr>
          <w:rFonts w:cstheme="minorHAnsi"/>
          <w:sz w:val="20"/>
          <w:szCs w:val="20"/>
        </w:rPr>
        <w:t xml:space="preserve">An example of this within Tesco was a problem was identified within a waste procedure with colleagues where a detailed review of the waste routine was completed highlighting a number of issues.  A team of colleagues and managers from all levels were pulled together to brainstorm the issue and come up with solutions to resolve the concern.  Following the identification of </w:t>
      </w:r>
      <w:r w:rsidR="00865C08" w:rsidRPr="00865C08">
        <w:rPr>
          <w:rFonts w:cstheme="minorHAnsi"/>
          <w:sz w:val="20"/>
          <w:szCs w:val="20"/>
        </w:rPr>
        <w:t>actions,</w:t>
      </w:r>
      <w:r w:rsidRPr="00865C08">
        <w:rPr>
          <w:rFonts w:cstheme="minorHAnsi"/>
          <w:sz w:val="20"/>
          <w:szCs w:val="20"/>
        </w:rPr>
        <w:t xml:space="preserve"> a comprehensive plan was built to trial the actions in a number of different stores which had different complexities, helping to identify a true solution.  Following a trial for 3 months the data was then collated and analysed for </w:t>
      </w:r>
      <w:r w:rsidR="00865C08" w:rsidRPr="00865C08">
        <w:rPr>
          <w:rFonts w:cstheme="minorHAnsi"/>
          <w:sz w:val="20"/>
          <w:szCs w:val="20"/>
        </w:rPr>
        <w:t xml:space="preserve">positives and negatives of each action tested.  </w:t>
      </w:r>
    </w:p>
    <w:p w:rsidR="00865C08" w:rsidRDefault="00865C08" w:rsidP="00A70B64">
      <w:pPr>
        <w:spacing w:after="0" w:line="240" w:lineRule="auto"/>
        <w:rPr>
          <w:rFonts w:cstheme="minorHAnsi"/>
          <w:color w:val="44546A" w:themeColor="text2"/>
          <w:sz w:val="20"/>
          <w:szCs w:val="20"/>
        </w:rPr>
      </w:pPr>
      <w:r w:rsidRPr="00865C08">
        <w:rPr>
          <w:rFonts w:cstheme="minorHAnsi"/>
          <w:sz w:val="20"/>
          <w:szCs w:val="20"/>
        </w:rPr>
        <w:t xml:space="preserve">The result was the rollout of 2 new processes within waste routines across the format which reduced the time taken to complete tasks as well as a cost saving of nearly £1k in each store trialled across the </w:t>
      </w:r>
      <w:r w:rsidR="00351441" w:rsidRPr="00865C08">
        <w:rPr>
          <w:rFonts w:cstheme="minorHAnsi"/>
          <w:sz w:val="20"/>
          <w:szCs w:val="20"/>
        </w:rPr>
        <w:t>3-month</w:t>
      </w:r>
      <w:r w:rsidRPr="00865C08">
        <w:rPr>
          <w:rFonts w:cstheme="minorHAnsi"/>
          <w:sz w:val="20"/>
          <w:szCs w:val="20"/>
        </w:rPr>
        <w:t xml:space="preserve"> period</w:t>
      </w:r>
      <w:r>
        <w:rPr>
          <w:rFonts w:cstheme="minorHAnsi"/>
          <w:color w:val="44546A" w:themeColor="text2"/>
          <w:sz w:val="20"/>
          <w:szCs w:val="20"/>
        </w:rPr>
        <w:t>.</w:t>
      </w:r>
    </w:p>
    <w:p w:rsidR="00865C08" w:rsidRDefault="00865C08" w:rsidP="00A70B64">
      <w:pPr>
        <w:spacing w:after="0" w:line="240" w:lineRule="auto"/>
        <w:rPr>
          <w:rFonts w:cstheme="minorHAnsi"/>
          <w:color w:val="44546A" w:themeColor="text2"/>
          <w:sz w:val="20"/>
          <w:szCs w:val="20"/>
        </w:rPr>
      </w:pPr>
    </w:p>
    <w:p w:rsidR="00865C08" w:rsidRPr="00905BDF" w:rsidRDefault="00865C08" w:rsidP="00A70B64">
      <w:pPr>
        <w:spacing w:after="0" w:line="240" w:lineRule="auto"/>
        <w:rPr>
          <w:rFonts w:cstheme="minorHAnsi"/>
          <w:color w:val="44546A" w:themeColor="text2"/>
          <w:sz w:val="20"/>
          <w:szCs w:val="20"/>
        </w:rPr>
      </w:pPr>
    </w:p>
    <w:p w:rsidR="00E1137D" w:rsidRPr="00D31A30" w:rsidRDefault="00E1137D" w:rsidP="00A70B64">
      <w:pPr>
        <w:spacing w:after="0" w:line="240" w:lineRule="auto"/>
        <w:rPr>
          <w:rFonts w:cs="Arial"/>
          <w:color w:val="44546A" w:themeColor="text2"/>
        </w:rPr>
      </w:pPr>
    </w:p>
    <w:p w:rsidR="00E1137D" w:rsidRDefault="00865C08" w:rsidP="00865C08">
      <w:pPr>
        <w:pStyle w:val="Heading1"/>
      </w:pPr>
      <w:bookmarkStart w:id="14" w:name="_Toc498600135"/>
      <w:r>
        <w:t>Activity 4</w:t>
      </w:r>
      <w:bookmarkEnd w:id="14"/>
      <w:r>
        <w:t xml:space="preserve"> </w:t>
      </w:r>
    </w:p>
    <w:p w:rsidR="00DB7893" w:rsidRDefault="00DB7893" w:rsidP="00A70B64">
      <w:pPr>
        <w:spacing w:after="0" w:line="240" w:lineRule="auto"/>
        <w:rPr>
          <w:rFonts w:cs="Arial"/>
          <w:color w:val="44546A" w:themeColor="text2"/>
        </w:rPr>
      </w:pPr>
    </w:p>
    <w:p w:rsidR="00865C08" w:rsidRPr="00865C08" w:rsidRDefault="00865C08" w:rsidP="00865C08">
      <w:pPr>
        <w:pStyle w:val="Heading2"/>
      </w:pPr>
      <w:bookmarkStart w:id="15" w:name="_Toc498600136"/>
      <w:r>
        <w:t>4.1 My PDP</w:t>
      </w:r>
      <w:bookmarkEnd w:id="15"/>
    </w:p>
    <w:p w:rsidR="00DB7893" w:rsidRDefault="00DB7893" w:rsidP="00A70B64">
      <w:pPr>
        <w:spacing w:after="0" w:line="240" w:lineRule="auto"/>
        <w:rPr>
          <w:rFonts w:cs="Arial"/>
          <w:color w:val="44546A" w:themeColor="text2"/>
        </w:rPr>
      </w:pPr>
    </w:p>
    <w:p w:rsidR="00DB7893" w:rsidRDefault="00865C08" w:rsidP="00A70B64">
      <w:pPr>
        <w:spacing w:after="0" w:line="240" w:lineRule="auto"/>
        <w:rPr>
          <w:rFonts w:cs="Arial"/>
          <w:sz w:val="20"/>
          <w:szCs w:val="20"/>
        </w:rPr>
      </w:pPr>
      <w:r>
        <w:rPr>
          <w:rFonts w:cs="Arial"/>
          <w:sz w:val="20"/>
          <w:szCs w:val="20"/>
        </w:rPr>
        <w:t xml:space="preserve">At the beginning of this assignment </w:t>
      </w:r>
      <w:r w:rsidR="00252B55">
        <w:rPr>
          <w:rFonts w:cs="Arial"/>
          <w:sz w:val="20"/>
          <w:szCs w:val="20"/>
        </w:rPr>
        <w:t xml:space="preserve">I completed an assessment on the CIPD map which has helped me to formulate a development plan to help support my growth to the next banding. </w:t>
      </w:r>
    </w:p>
    <w:p w:rsidR="00252B55" w:rsidRDefault="00252B55" w:rsidP="00A70B64">
      <w:pPr>
        <w:spacing w:after="0" w:line="240" w:lineRule="auto"/>
        <w:rPr>
          <w:rFonts w:cs="Arial"/>
          <w:sz w:val="20"/>
          <w:szCs w:val="20"/>
        </w:rPr>
      </w:pPr>
    </w:p>
    <w:p w:rsidR="00252B55" w:rsidRDefault="00252B55" w:rsidP="00A70B64">
      <w:pPr>
        <w:spacing w:after="0" w:line="240" w:lineRule="auto"/>
        <w:rPr>
          <w:rFonts w:cs="Arial"/>
          <w:sz w:val="20"/>
          <w:szCs w:val="20"/>
        </w:rPr>
      </w:pPr>
      <w:r>
        <w:rPr>
          <w:rFonts w:cs="Arial"/>
          <w:sz w:val="20"/>
          <w:szCs w:val="20"/>
        </w:rPr>
        <w:t xml:space="preserve">Table 5 – </w:t>
      </w:r>
      <w:bookmarkStart w:id="16" w:name="_Hlk498596194"/>
      <w:r>
        <w:rPr>
          <w:rFonts w:cs="Arial"/>
          <w:sz w:val="20"/>
          <w:szCs w:val="20"/>
        </w:rPr>
        <w:t>Development Plan</w:t>
      </w:r>
      <w:bookmarkEnd w:id="16"/>
    </w:p>
    <w:p w:rsidR="00252B55" w:rsidRDefault="00252B55" w:rsidP="00A70B64">
      <w:pPr>
        <w:spacing w:after="0" w:line="240" w:lineRule="auto"/>
        <w:rPr>
          <w:rFonts w:cs="Arial"/>
          <w:sz w:val="20"/>
          <w:szCs w:val="20"/>
        </w:rPr>
      </w:pPr>
    </w:p>
    <w:tbl>
      <w:tblPr>
        <w:tblStyle w:val="TableGrid"/>
        <w:tblW w:w="0" w:type="auto"/>
        <w:tblLook w:val="04A0" w:firstRow="1" w:lastRow="0" w:firstColumn="1" w:lastColumn="0" w:noHBand="0" w:noVBand="1"/>
      </w:tblPr>
      <w:tblGrid>
        <w:gridCol w:w="1803"/>
        <w:gridCol w:w="1803"/>
        <w:gridCol w:w="1803"/>
        <w:gridCol w:w="1803"/>
        <w:gridCol w:w="1804"/>
      </w:tblGrid>
      <w:tr w:rsidR="00252B55" w:rsidTr="00252B55">
        <w:tc>
          <w:tcPr>
            <w:tcW w:w="1803" w:type="dxa"/>
          </w:tcPr>
          <w:p w:rsidR="00252B55" w:rsidRPr="00252B55" w:rsidRDefault="00252B55" w:rsidP="00A70B64">
            <w:pPr>
              <w:rPr>
                <w:rFonts w:cs="Arial"/>
                <w:b/>
                <w:sz w:val="16"/>
                <w:szCs w:val="16"/>
              </w:rPr>
            </w:pPr>
            <w:bookmarkStart w:id="17" w:name="_Hlk498596163"/>
            <w:r w:rsidRPr="00252B55">
              <w:rPr>
                <w:rFonts w:cs="Arial"/>
                <w:b/>
                <w:sz w:val="16"/>
                <w:szCs w:val="16"/>
              </w:rPr>
              <w:t>What do I Want to Learn</w:t>
            </w:r>
          </w:p>
        </w:tc>
        <w:tc>
          <w:tcPr>
            <w:tcW w:w="1803" w:type="dxa"/>
          </w:tcPr>
          <w:p w:rsidR="00252B55" w:rsidRPr="00252B55" w:rsidRDefault="00252B55" w:rsidP="00A70B64">
            <w:pPr>
              <w:rPr>
                <w:rFonts w:cs="Arial"/>
                <w:b/>
                <w:sz w:val="16"/>
                <w:szCs w:val="16"/>
              </w:rPr>
            </w:pPr>
            <w:r w:rsidRPr="00252B55">
              <w:rPr>
                <w:rFonts w:cs="Arial"/>
                <w:b/>
                <w:sz w:val="16"/>
                <w:szCs w:val="16"/>
              </w:rPr>
              <w:t>What will I do</w:t>
            </w:r>
          </w:p>
        </w:tc>
        <w:tc>
          <w:tcPr>
            <w:tcW w:w="1803" w:type="dxa"/>
          </w:tcPr>
          <w:p w:rsidR="00252B55" w:rsidRPr="00252B55" w:rsidRDefault="00252B55" w:rsidP="00A70B64">
            <w:pPr>
              <w:rPr>
                <w:rFonts w:cs="Arial"/>
                <w:b/>
                <w:sz w:val="16"/>
                <w:szCs w:val="16"/>
              </w:rPr>
            </w:pPr>
            <w:r w:rsidRPr="00252B55">
              <w:rPr>
                <w:rFonts w:cs="Arial"/>
                <w:b/>
                <w:sz w:val="16"/>
                <w:szCs w:val="16"/>
              </w:rPr>
              <w:t>Resources or Support Needed</w:t>
            </w:r>
          </w:p>
        </w:tc>
        <w:tc>
          <w:tcPr>
            <w:tcW w:w="1803" w:type="dxa"/>
          </w:tcPr>
          <w:p w:rsidR="00252B55" w:rsidRPr="00252B55" w:rsidRDefault="00252B55" w:rsidP="00A70B64">
            <w:pPr>
              <w:rPr>
                <w:rFonts w:cs="Arial"/>
                <w:b/>
                <w:sz w:val="16"/>
                <w:szCs w:val="16"/>
              </w:rPr>
            </w:pPr>
            <w:r w:rsidRPr="00252B55">
              <w:rPr>
                <w:rFonts w:cs="Arial"/>
                <w:b/>
                <w:sz w:val="16"/>
                <w:szCs w:val="16"/>
              </w:rPr>
              <w:t>What will the Success be</w:t>
            </w:r>
          </w:p>
        </w:tc>
        <w:tc>
          <w:tcPr>
            <w:tcW w:w="1804" w:type="dxa"/>
          </w:tcPr>
          <w:p w:rsidR="00252B55" w:rsidRPr="00252B55" w:rsidRDefault="00252B55" w:rsidP="00A70B64">
            <w:pPr>
              <w:rPr>
                <w:rFonts w:cs="Arial"/>
                <w:b/>
                <w:sz w:val="16"/>
                <w:szCs w:val="16"/>
              </w:rPr>
            </w:pPr>
            <w:r w:rsidRPr="00252B55">
              <w:rPr>
                <w:rFonts w:cs="Arial"/>
                <w:b/>
                <w:sz w:val="16"/>
                <w:szCs w:val="16"/>
              </w:rPr>
              <w:t>Target Dates/Review</w:t>
            </w:r>
          </w:p>
        </w:tc>
      </w:tr>
      <w:tr w:rsidR="00252B55" w:rsidTr="00252B55">
        <w:tc>
          <w:tcPr>
            <w:tcW w:w="1803" w:type="dxa"/>
          </w:tcPr>
          <w:p w:rsidR="00252B55" w:rsidRPr="00EF1956" w:rsidRDefault="00EF1956" w:rsidP="00A70B64">
            <w:pPr>
              <w:rPr>
                <w:rFonts w:cs="Arial"/>
                <w:sz w:val="16"/>
                <w:szCs w:val="16"/>
              </w:rPr>
            </w:pPr>
            <w:r w:rsidRPr="00EF1956">
              <w:rPr>
                <w:rFonts w:cs="Arial"/>
                <w:sz w:val="16"/>
                <w:szCs w:val="16"/>
              </w:rPr>
              <w:t xml:space="preserve">Stretch knowledge of various Recruitment methods </w:t>
            </w:r>
          </w:p>
        </w:tc>
        <w:tc>
          <w:tcPr>
            <w:tcW w:w="1803" w:type="dxa"/>
          </w:tcPr>
          <w:p w:rsidR="00252B55" w:rsidRPr="00EF1956" w:rsidRDefault="00252B55" w:rsidP="00A70B64">
            <w:pPr>
              <w:rPr>
                <w:rFonts w:cs="Arial"/>
                <w:sz w:val="16"/>
                <w:szCs w:val="16"/>
              </w:rPr>
            </w:pPr>
            <w:r w:rsidRPr="00EF1956">
              <w:rPr>
                <w:rFonts w:cs="Arial"/>
                <w:sz w:val="16"/>
                <w:szCs w:val="16"/>
              </w:rPr>
              <w:t>Researching different recruitment channels and potential sources of talent</w:t>
            </w:r>
            <w:r w:rsidR="00EF1956" w:rsidRPr="00EF1956">
              <w:rPr>
                <w:rFonts w:cs="Arial"/>
                <w:sz w:val="16"/>
                <w:szCs w:val="16"/>
              </w:rPr>
              <w:t xml:space="preserve"> acquisition</w:t>
            </w:r>
          </w:p>
        </w:tc>
        <w:tc>
          <w:tcPr>
            <w:tcW w:w="1803" w:type="dxa"/>
          </w:tcPr>
          <w:p w:rsidR="00252B55" w:rsidRPr="002A4FB9" w:rsidRDefault="002A4FB9" w:rsidP="00A70B64">
            <w:pPr>
              <w:rPr>
                <w:rFonts w:cs="Arial"/>
                <w:sz w:val="16"/>
                <w:szCs w:val="16"/>
              </w:rPr>
            </w:pPr>
            <w:r w:rsidRPr="002A4FB9">
              <w:rPr>
                <w:rFonts w:cs="Arial"/>
                <w:sz w:val="16"/>
                <w:szCs w:val="16"/>
              </w:rPr>
              <w:t>Set time aside to research</w:t>
            </w:r>
            <w:r>
              <w:rPr>
                <w:rFonts w:cs="Arial"/>
                <w:sz w:val="16"/>
                <w:szCs w:val="16"/>
              </w:rPr>
              <w:t>,</w:t>
            </w:r>
            <w:r w:rsidRPr="002A4FB9">
              <w:rPr>
                <w:rFonts w:cs="Arial"/>
                <w:sz w:val="16"/>
                <w:szCs w:val="16"/>
              </w:rPr>
              <w:t xml:space="preserve"> look at connecting with education establishments to </w:t>
            </w:r>
            <w:r w:rsidRPr="002A4FB9">
              <w:rPr>
                <w:rFonts w:cs="Arial"/>
                <w:sz w:val="16"/>
                <w:szCs w:val="16"/>
              </w:rPr>
              <w:lastRenderedPageBreak/>
              <w:t xml:space="preserve">support with recruitment </w:t>
            </w:r>
          </w:p>
        </w:tc>
        <w:tc>
          <w:tcPr>
            <w:tcW w:w="1803" w:type="dxa"/>
          </w:tcPr>
          <w:p w:rsidR="00252B55" w:rsidRPr="00EF1956" w:rsidRDefault="00EF1956" w:rsidP="00A70B64">
            <w:pPr>
              <w:rPr>
                <w:rFonts w:cs="Arial"/>
                <w:sz w:val="16"/>
                <w:szCs w:val="16"/>
              </w:rPr>
            </w:pPr>
            <w:r w:rsidRPr="00EF1956">
              <w:rPr>
                <w:rFonts w:cs="Arial"/>
                <w:sz w:val="16"/>
                <w:szCs w:val="16"/>
              </w:rPr>
              <w:lastRenderedPageBreak/>
              <w:t xml:space="preserve">Overview of all recruitment channels understanding the benefits and concerns of each </w:t>
            </w:r>
          </w:p>
        </w:tc>
        <w:tc>
          <w:tcPr>
            <w:tcW w:w="1804" w:type="dxa"/>
          </w:tcPr>
          <w:p w:rsidR="00252B55" w:rsidRPr="002A4FB9" w:rsidRDefault="00EF1956" w:rsidP="00A70B64">
            <w:pPr>
              <w:rPr>
                <w:rFonts w:cs="Arial"/>
                <w:sz w:val="16"/>
                <w:szCs w:val="16"/>
              </w:rPr>
            </w:pPr>
            <w:r w:rsidRPr="002A4FB9">
              <w:rPr>
                <w:rFonts w:cs="Arial"/>
                <w:sz w:val="16"/>
                <w:szCs w:val="16"/>
              </w:rPr>
              <w:t>February 2018</w:t>
            </w:r>
          </w:p>
        </w:tc>
      </w:tr>
      <w:tr w:rsidR="00252B55" w:rsidTr="00252B55">
        <w:tc>
          <w:tcPr>
            <w:tcW w:w="1803" w:type="dxa"/>
          </w:tcPr>
          <w:p w:rsidR="00252B55" w:rsidRPr="00EF1956" w:rsidRDefault="00EF1956" w:rsidP="00A70B64">
            <w:pPr>
              <w:rPr>
                <w:rFonts w:cs="Arial"/>
                <w:sz w:val="16"/>
                <w:szCs w:val="16"/>
              </w:rPr>
            </w:pPr>
            <w:r w:rsidRPr="00EF1956">
              <w:rPr>
                <w:rFonts w:cs="Arial"/>
                <w:sz w:val="16"/>
                <w:szCs w:val="16"/>
              </w:rPr>
              <w:t>Improve my curiosity into different HR methods and practices</w:t>
            </w:r>
          </w:p>
        </w:tc>
        <w:tc>
          <w:tcPr>
            <w:tcW w:w="1803" w:type="dxa"/>
          </w:tcPr>
          <w:p w:rsidR="00252B55" w:rsidRPr="00EF1956" w:rsidRDefault="00EF1956" w:rsidP="00A70B64">
            <w:pPr>
              <w:rPr>
                <w:rFonts w:cs="Arial"/>
                <w:sz w:val="16"/>
                <w:szCs w:val="16"/>
              </w:rPr>
            </w:pPr>
            <w:r>
              <w:rPr>
                <w:rFonts w:cs="Arial"/>
                <w:sz w:val="16"/>
                <w:szCs w:val="16"/>
              </w:rPr>
              <w:t>Attend different Seminars and network with others to build my connections</w:t>
            </w:r>
          </w:p>
        </w:tc>
        <w:tc>
          <w:tcPr>
            <w:tcW w:w="1803" w:type="dxa"/>
          </w:tcPr>
          <w:p w:rsidR="00252B55" w:rsidRPr="002A4FB9" w:rsidRDefault="00EF1956" w:rsidP="00A70B64">
            <w:pPr>
              <w:rPr>
                <w:rFonts w:cs="Arial"/>
                <w:sz w:val="16"/>
                <w:szCs w:val="16"/>
              </w:rPr>
            </w:pPr>
            <w:r w:rsidRPr="002A4FB9">
              <w:rPr>
                <w:rFonts w:cs="Arial"/>
                <w:sz w:val="16"/>
                <w:szCs w:val="16"/>
              </w:rPr>
              <w:t>Use Eventbrite to schedule</w:t>
            </w:r>
          </w:p>
          <w:p w:rsidR="00EF1956" w:rsidRPr="002A4FB9" w:rsidRDefault="00EF1956" w:rsidP="00A70B64">
            <w:pPr>
              <w:rPr>
                <w:rFonts w:cs="Arial"/>
                <w:sz w:val="16"/>
                <w:szCs w:val="16"/>
              </w:rPr>
            </w:pPr>
            <w:r w:rsidRPr="002A4FB9">
              <w:rPr>
                <w:rFonts w:cs="Arial"/>
                <w:sz w:val="16"/>
                <w:szCs w:val="16"/>
              </w:rPr>
              <w:t xml:space="preserve">Contact other organisations to Twist </w:t>
            </w:r>
          </w:p>
        </w:tc>
        <w:tc>
          <w:tcPr>
            <w:tcW w:w="1803" w:type="dxa"/>
          </w:tcPr>
          <w:p w:rsidR="00252B55" w:rsidRPr="002A4FB9" w:rsidRDefault="00EF1956" w:rsidP="00A70B64">
            <w:pPr>
              <w:rPr>
                <w:rFonts w:cs="Arial"/>
                <w:sz w:val="16"/>
                <w:szCs w:val="16"/>
              </w:rPr>
            </w:pPr>
            <w:r w:rsidRPr="002A4FB9">
              <w:rPr>
                <w:rFonts w:cs="Arial"/>
                <w:sz w:val="16"/>
                <w:szCs w:val="16"/>
              </w:rPr>
              <w:t xml:space="preserve">Being open to trying new ideas, look beyond the 4 walls of my organisation </w:t>
            </w:r>
          </w:p>
        </w:tc>
        <w:tc>
          <w:tcPr>
            <w:tcW w:w="1804" w:type="dxa"/>
          </w:tcPr>
          <w:p w:rsidR="00252B55" w:rsidRPr="002A4FB9" w:rsidRDefault="002A4FB9" w:rsidP="00A70B64">
            <w:pPr>
              <w:rPr>
                <w:rFonts w:cs="Arial"/>
                <w:sz w:val="16"/>
                <w:szCs w:val="16"/>
              </w:rPr>
            </w:pPr>
            <w:r w:rsidRPr="002A4FB9">
              <w:rPr>
                <w:rFonts w:cs="Arial"/>
                <w:sz w:val="16"/>
                <w:szCs w:val="16"/>
              </w:rPr>
              <w:t>April2018</w:t>
            </w:r>
          </w:p>
        </w:tc>
      </w:tr>
      <w:tr w:rsidR="00252B55" w:rsidTr="00252B55">
        <w:tc>
          <w:tcPr>
            <w:tcW w:w="1803" w:type="dxa"/>
          </w:tcPr>
          <w:p w:rsidR="00252B55" w:rsidRPr="002A4FB9" w:rsidRDefault="002A4FB9" w:rsidP="00A70B64">
            <w:pPr>
              <w:rPr>
                <w:rFonts w:cs="Arial"/>
                <w:sz w:val="16"/>
                <w:szCs w:val="16"/>
              </w:rPr>
            </w:pPr>
            <w:r>
              <w:rPr>
                <w:rFonts w:cs="Arial"/>
                <w:sz w:val="16"/>
                <w:szCs w:val="16"/>
              </w:rPr>
              <w:t>Improve my confidence within peer groups</w:t>
            </w:r>
          </w:p>
        </w:tc>
        <w:tc>
          <w:tcPr>
            <w:tcW w:w="1803" w:type="dxa"/>
          </w:tcPr>
          <w:p w:rsidR="00252B55" w:rsidRPr="002A4FB9" w:rsidRDefault="002A4FB9" w:rsidP="00A70B64">
            <w:pPr>
              <w:rPr>
                <w:rFonts w:cs="Arial"/>
                <w:sz w:val="16"/>
                <w:szCs w:val="16"/>
              </w:rPr>
            </w:pPr>
            <w:r>
              <w:rPr>
                <w:rFonts w:cs="Arial"/>
                <w:sz w:val="16"/>
                <w:szCs w:val="16"/>
              </w:rPr>
              <w:t>Plan time with Store Manager for feedback sessions.  Run a session in the next PM meeting on a current topic.</w:t>
            </w:r>
          </w:p>
        </w:tc>
        <w:tc>
          <w:tcPr>
            <w:tcW w:w="1803" w:type="dxa"/>
          </w:tcPr>
          <w:p w:rsidR="00252B55" w:rsidRPr="002A4FB9" w:rsidRDefault="00252B55" w:rsidP="00A70B64">
            <w:pPr>
              <w:rPr>
                <w:rFonts w:cs="Arial"/>
                <w:sz w:val="16"/>
                <w:szCs w:val="16"/>
              </w:rPr>
            </w:pPr>
          </w:p>
        </w:tc>
        <w:tc>
          <w:tcPr>
            <w:tcW w:w="1803" w:type="dxa"/>
          </w:tcPr>
          <w:p w:rsidR="00252B55" w:rsidRPr="002A4FB9" w:rsidRDefault="002A4FB9" w:rsidP="00A70B64">
            <w:pPr>
              <w:rPr>
                <w:rFonts w:cs="Arial"/>
                <w:sz w:val="16"/>
                <w:szCs w:val="16"/>
              </w:rPr>
            </w:pPr>
            <w:r>
              <w:rPr>
                <w:rFonts w:cs="Arial"/>
                <w:sz w:val="16"/>
                <w:szCs w:val="16"/>
              </w:rPr>
              <w:t>Greater confidence in ability.  Have a Voice.</w:t>
            </w:r>
          </w:p>
        </w:tc>
        <w:tc>
          <w:tcPr>
            <w:tcW w:w="1804" w:type="dxa"/>
          </w:tcPr>
          <w:p w:rsidR="00252B55" w:rsidRPr="002A4FB9" w:rsidRDefault="002A4FB9" w:rsidP="00A70B64">
            <w:pPr>
              <w:rPr>
                <w:rFonts w:cs="Arial"/>
                <w:sz w:val="16"/>
                <w:szCs w:val="16"/>
              </w:rPr>
            </w:pPr>
            <w:r>
              <w:rPr>
                <w:rFonts w:cs="Arial"/>
                <w:sz w:val="16"/>
                <w:szCs w:val="16"/>
              </w:rPr>
              <w:t>January 2018</w:t>
            </w:r>
          </w:p>
        </w:tc>
      </w:tr>
      <w:tr w:rsidR="00252B55" w:rsidTr="00252B55">
        <w:tc>
          <w:tcPr>
            <w:tcW w:w="1803" w:type="dxa"/>
          </w:tcPr>
          <w:p w:rsidR="00252B55" w:rsidRPr="002A4FB9" w:rsidRDefault="002A4FB9" w:rsidP="00A70B64">
            <w:pPr>
              <w:rPr>
                <w:rFonts w:cs="Arial"/>
                <w:sz w:val="16"/>
                <w:szCs w:val="16"/>
              </w:rPr>
            </w:pPr>
            <w:r>
              <w:rPr>
                <w:rFonts w:cs="Arial"/>
                <w:sz w:val="16"/>
                <w:szCs w:val="16"/>
              </w:rPr>
              <w:t>Develop an understanding of Employment Law and what is current in my field</w:t>
            </w:r>
          </w:p>
        </w:tc>
        <w:tc>
          <w:tcPr>
            <w:tcW w:w="1803" w:type="dxa"/>
          </w:tcPr>
          <w:p w:rsidR="00252B55" w:rsidRDefault="002A4FB9" w:rsidP="00A70B64">
            <w:pPr>
              <w:rPr>
                <w:rFonts w:cs="Arial"/>
                <w:sz w:val="16"/>
                <w:szCs w:val="16"/>
              </w:rPr>
            </w:pPr>
            <w:r>
              <w:rPr>
                <w:rFonts w:cs="Arial"/>
                <w:sz w:val="16"/>
                <w:szCs w:val="16"/>
              </w:rPr>
              <w:t>Set up a 121 with ER team to discuss trends and patterns</w:t>
            </w:r>
          </w:p>
          <w:p w:rsidR="002A4FB9" w:rsidRPr="002A4FB9" w:rsidRDefault="002A4FB9" w:rsidP="00A70B64">
            <w:pPr>
              <w:rPr>
                <w:rFonts w:cs="Arial"/>
                <w:sz w:val="16"/>
                <w:szCs w:val="16"/>
              </w:rPr>
            </w:pPr>
            <w:r>
              <w:rPr>
                <w:rFonts w:cs="Arial"/>
                <w:sz w:val="16"/>
                <w:szCs w:val="16"/>
              </w:rPr>
              <w:t>Feedback to the team and plan way forward to minimise impact</w:t>
            </w:r>
          </w:p>
        </w:tc>
        <w:tc>
          <w:tcPr>
            <w:tcW w:w="1803" w:type="dxa"/>
          </w:tcPr>
          <w:p w:rsidR="00252B55" w:rsidRPr="002A4FB9" w:rsidRDefault="002A4FB9" w:rsidP="00A70B64">
            <w:pPr>
              <w:rPr>
                <w:rFonts w:cs="Arial"/>
                <w:sz w:val="16"/>
                <w:szCs w:val="16"/>
              </w:rPr>
            </w:pPr>
            <w:r>
              <w:rPr>
                <w:rFonts w:cs="Arial"/>
                <w:sz w:val="16"/>
                <w:szCs w:val="16"/>
              </w:rPr>
              <w:t>Agree time for ER visits and data gathering</w:t>
            </w:r>
          </w:p>
        </w:tc>
        <w:tc>
          <w:tcPr>
            <w:tcW w:w="1803" w:type="dxa"/>
          </w:tcPr>
          <w:p w:rsidR="00252B55" w:rsidRPr="002A4FB9" w:rsidRDefault="002A4FB9" w:rsidP="00A70B64">
            <w:pPr>
              <w:rPr>
                <w:rFonts w:cs="Arial"/>
                <w:sz w:val="16"/>
                <w:szCs w:val="16"/>
              </w:rPr>
            </w:pPr>
            <w:r>
              <w:rPr>
                <w:rFonts w:cs="Arial"/>
                <w:sz w:val="16"/>
                <w:szCs w:val="16"/>
              </w:rPr>
              <w:t>Wider knowledge of current Legal concerns with the organisation and address solution to ensure safe environment within my store.</w:t>
            </w:r>
          </w:p>
        </w:tc>
        <w:tc>
          <w:tcPr>
            <w:tcW w:w="1804" w:type="dxa"/>
          </w:tcPr>
          <w:p w:rsidR="00252B55" w:rsidRPr="002A4FB9" w:rsidRDefault="00C17B6E" w:rsidP="00A70B64">
            <w:pPr>
              <w:rPr>
                <w:rFonts w:cs="Arial"/>
                <w:sz w:val="16"/>
                <w:szCs w:val="16"/>
              </w:rPr>
            </w:pPr>
            <w:r>
              <w:rPr>
                <w:rFonts w:cs="Arial"/>
                <w:sz w:val="16"/>
                <w:szCs w:val="16"/>
              </w:rPr>
              <w:t>April 2017</w:t>
            </w:r>
          </w:p>
        </w:tc>
      </w:tr>
      <w:bookmarkEnd w:id="17"/>
    </w:tbl>
    <w:p w:rsidR="00252B55" w:rsidRDefault="00252B55" w:rsidP="00A70B64">
      <w:pPr>
        <w:spacing w:after="0" w:line="240" w:lineRule="auto"/>
        <w:rPr>
          <w:rFonts w:cs="Arial"/>
          <w:sz w:val="20"/>
          <w:szCs w:val="20"/>
        </w:rPr>
      </w:pPr>
    </w:p>
    <w:p w:rsidR="00C17B6E" w:rsidRDefault="00C17B6E" w:rsidP="00A70B64">
      <w:pPr>
        <w:spacing w:after="0" w:line="240" w:lineRule="auto"/>
        <w:rPr>
          <w:rFonts w:cs="Arial"/>
          <w:sz w:val="20"/>
          <w:szCs w:val="20"/>
        </w:rPr>
      </w:pPr>
    </w:p>
    <w:p w:rsidR="006E2AE3" w:rsidRPr="00865C08" w:rsidRDefault="006E2AE3" w:rsidP="006E2AE3">
      <w:pPr>
        <w:pStyle w:val="Heading2"/>
      </w:pPr>
      <w:bookmarkStart w:id="18" w:name="_Toc498600137"/>
      <w:r>
        <w:t>4.2. Learning Styles – Honey and Mumford</w:t>
      </w:r>
      <w:bookmarkEnd w:id="18"/>
    </w:p>
    <w:p w:rsidR="00DB7893" w:rsidRDefault="00DB7893" w:rsidP="00A70B64">
      <w:pPr>
        <w:spacing w:after="0" w:line="240" w:lineRule="auto"/>
        <w:rPr>
          <w:rFonts w:cs="Arial"/>
          <w:color w:val="44546A" w:themeColor="text2"/>
        </w:rPr>
      </w:pPr>
    </w:p>
    <w:p w:rsidR="00DB7893" w:rsidRDefault="006E2AE3" w:rsidP="00A70B64">
      <w:pPr>
        <w:spacing w:after="0" w:line="240" w:lineRule="auto"/>
        <w:rPr>
          <w:rFonts w:cs="Arial"/>
          <w:sz w:val="20"/>
          <w:szCs w:val="20"/>
        </w:rPr>
      </w:pPr>
      <w:r>
        <w:rPr>
          <w:rFonts w:cs="Arial"/>
          <w:sz w:val="20"/>
          <w:szCs w:val="20"/>
        </w:rPr>
        <w:t xml:space="preserve">To continue my professional </w:t>
      </w:r>
      <w:r w:rsidR="009713E5">
        <w:rPr>
          <w:rFonts w:cs="Arial"/>
          <w:sz w:val="20"/>
          <w:szCs w:val="20"/>
        </w:rPr>
        <w:t>development,</w:t>
      </w:r>
      <w:r>
        <w:rPr>
          <w:rFonts w:cs="Arial"/>
          <w:sz w:val="20"/>
          <w:szCs w:val="20"/>
        </w:rPr>
        <w:t xml:space="preserve"> I wanted to understand what my preferred learning style was to enable me to progress more efficiently while also knowing how to stretch myself.  To support </w:t>
      </w:r>
      <w:r w:rsidR="009713E5">
        <w:rPr>
          <w:rFonts w:cs="Arial"/>
          <w:sz w:val="20"/>
          <w:szCs w:val="20"/>
        </w:rPr>
        <w:t>this,</w:t>
      </w:r>
      <w:r>
        <w:rPr>
          <w:rFonts w:cs="Arial"/>
          <w:sz w:val="20"/>
          <w:szCs w:val="20"/>
        </w:rPr>
        <w:t xml:space="preserve"> I took a Honey and Mumford Questionnaire. </w:t>
      </w:r>
    </w:p>
    <w:p w:rsidR="009713E5" w:rsidRDefault="009713E5" w:rsidP="00A70B64">
      <w:pPr>
        <w:spacing w:after="0" w:line="240" w:lineRule="auto"/>
        <w:rPr>
          <w:rFonts w:cs="Arial"/>
          <w:sz w:val="20"/>
          <w:szCs w:val="20"/>
        </w:rPr>
      </w:pPr>
    </w:p>
    <w:p w:rsidR="00973FD1" w:rsidRDefault="009713E5" w:rsidP="00A70B64">
      <w:pPr>
        <w:spacing w:after="0" w:line="240" w:lineRule="auto"/>
        <w:rPr>
          <w:rFonts w:cs="Arial"/>
          <w:sz w:val="20"/>
          <w:szCs w:val="20"/>
        </w:rPr>
      </w:pPr>
      <w:r>
        <w:rPr>
          <w:rFonts w:cs="Arial"/>
          <w:sz w:val="20"/>
          <w:szCs w:val="20"/>
        </w:rPr>
        <w:t xml:space="preserve">Following completion of the questionnaire my results </w:t>
      </w:r>
      <w:r w:rsidR="00973FD1">
        <w:rPr>
          <w:rFonts w:cs="Arial"/>
          <w:sz w:val="20"/>
          <w:szCs w:val="20"/>
        </w:rPr>
        <w:t>showed that my preferred learning style was a reflector.  Reflectors are deemed to be observers and view from different perspectives, analyse as much data as is available before drawing conclusions. They are cautious and need to view from all angles before committing to a decision and listen to all views before making their own points.  I feel that this style does reflect who I am and in some parts what I am comfortable with.</w:t>
      </w:r>
    </w:p>
    <w:p w:rsidR="00973FD1" w:rsidRDefault="00973FD1" w:rsidP="00A70B64">
      <w:pPr>
        <w:spacing w:after="0" w:line="240" w:lineRule="auto"/>
        <w:rPr>
          <w:rFonts w:cs="Arial"/>
          <w:sz w:val="20"/>
          <w:szCs w:val="20"/>
        </w:rPr>
      </w:pPr>
    </w:p>
    <w:p w:rsidR="00973FD1" w:rsidRDefault="00973FD1" w:rsidP="00A70B64">
      <w:pPr>
        <w:spacing w:after="0" w:line="240" w:lineRule="auto"/>
        <w:rPr>
          <w:rFonts w:cs="Arial"/>
          <w:sz w:val="20"/>
          <w:szCs w:val="20"/>
        </w:rPr>
      </w:pPr>
      <w:r>
        <w:rPr>
          <w:rFonts w:cs="Arial"/>
          <w:sz w:val="20"/>
          <w:szCs w:val="20"/>
        </w:rPr>
        <w:t>From understanding my learning style, I am now able to clearly plan my development and learning around what suits me while also looking for that stretch to take me out of my comfort zone to continue positive steps forward in development.</w:t>
      </w:r>
    </w:p>
    <w:p w:rsidR="00973FD1" w:rsidRDefault="00973FD1" w:rsidP="00A70B64">
      <w:pPr>
        <w:spacing w:after="0" w:line="240" w:lineRule="auto"/>
        <w:rPr>
          <w:rFonts w:cs="Arial"/>
          <w:sz w:val="20"/>
          <w:szCs w:val="20"/>
        </w:rPr>
      </w:pPr>
    </w:p>
    <w:p w:rsidR="00973FD1" w:rsidRDefault="00973FD1" w:rsidP="00A70B64">
      <w:pPr>
        <w:spacing w:after="0" w:line="240" w:lineRule="auto"/>
        <w:rPr>
          <w:rFonts w:cs="Arial"/>
          <w:sz w:val="20"/>
          <w:szCs w:val="20"/>
        </w:rPr>
      </w:pPr>
      <w:r>
        <w:rPr>
          <w:rFonts w:cs="Arial"/>
          <w:sz w:val="20"/>
          <w:szCs w:val="20"/>
        </w:rPr>
        <w:t>Learning methods that I would feel are more suited would be:</w:t>
      </w:r>
    </w:p>
    <w:p w:rsidR="00973FD1" w:rsidRDefault="00973FD1" w:rsidP="00A70B64">
      <w:pPr>
        <w:spacing w:after="0" w:line="240" w:lineRule="auto"/>
        <w:rPr>
          <w:rFonts w:cs="Arial"/>
          <w:sz w:val="20"/>
          <w:szCs w:val="20"/>
        </w:rPr>
      </w:pPr>
    </w:p>
    <w:p w:rsidR="00973FD1" w:rsidRDefault="00973FD1" w:rsidP="00A70B64">
      <w:pPr>
        <w:spacing w:after="0" w:line="240" w:lineRule="auto"/>
        <w:rPr>
          <w:rFonts w:cs="Arial"/>
          <w:sz w:val="20"/>
          <w:szCs w:val="20"/>
        </w:rPr>
      </w:pPr>
      <w:r>
        <w:rPr>
          <w:rFonts w:cs="Arial"/>
          <w:sz w:val="20"/>
          <w:szCs w:val="20"/>
        </w:rPr>
        <w:t>Mentoring – Opportunity to ask questions, 121, etc...</w:t>
      </w:r>
    </w:p>
    <w:p w:rsidR="00973FD1" w:rsidRDefault="00973FD1" w:rsidP="00A70B64">
      <w:pPr>
        <w:spacing w:after="0" w:line="240" w:lineRule="auto"/>
        <w:rPr>
          <w:rFonts w:cs="Arial"/>
          <w:sz w:val="20"/>
          <w:szCs w:val="20"/>
        </w:rPr>
      </w:pPr>
      <w:r>
        <w:rPr>
          <w:rFonts w:cs="Arial"/>
          <w:sz w:val="20"/>
          <w:szCs w:val="20"/>
        </w:rPr>
        <w:t xml:space="preserve">Seminars – opportunity to listen draw conclusions and research further </w:t>
      </w:r>
    </w:p>
    <w:p w:rsidR="00973FD1" w:rsidRDefault="00973FD1" w:rsidP="00A70B64">
      <w:pPr>
        <w:spacing w:after="0" w:line="240" w:lineRule="auto"/>
        <w:rPr>
          <w:rFonts w:cs="Arial"/>
          <w:sz w:val="20"/>
          <w:szCs w:val="20"/>
        </w:rPr>
      </w:pPr>
      <w:r>
        <w:rPr>
          <w:rFonts w:cs="Arial"/>
          <w:sz w:val="20"/>
          <w:szCs w:val="20"/>
        </w:rPr>
        <w:t xml:space="preserve">Reading – wide variety of sources, further insight </w:t>
      </w:r>
    </w:p>
    <w:p w:rsidR="00973FD1" w:rsidRDefault="00973FD1" w:rsidP="00A70B64">
      <w:pPr>
        <w:spacing w:after="0" w:line="240" w:lineRule="auto"/>
        <w:rPr>
          <w:rFonts w:cs="Arial"/>
          <w:sz w:val="20"/>
          <w:szCs w:val="20"/>
        </w:rPr>
      </w:pPr>
      <w:r>
        <w:rPr>
          <w:rFonts w:cs="Arial"/>
          <w:sz w:val="20"/>
          <w:szCs w:val="20"/>
        </w:rPr>
        <w:t xml:space="preserve">Each style has its own pros and cons it is what makes each individual </w:t>
      </w:r>
      <w:r w:rsidR="00410191">
        <w:rPr>
          <w:rFonts w:cs="Arial"/>
          <w:sz w:val="20"/>
          <w:szCs w:val="20"/>
        </w:rPr>
        <w:t>comfortable or stretch that is the real point, but also understanding that not all cap fits all approach can be beneficial in both learning or teaching/coaching.</w:t>
      </w:r>
    </w:p>
    <w:p w:rsidR="00410191" w:rsidRDefault="00410191" w:rsidP="00A70B64">
      <w:pPr>
        <w:spacing w:after="0" w:line="240" w:lineRule="auto"/>
        <w:rPr>
          <w:rFonts w:cs="Arial"/>
          <w:sz w:val="20"/>
          <w:szCs w:val="20"/>
        </w:rPr>
      </w:pPr>
    </w:p>
    <w:p w:rsidR="00410191" w:rsidRPr="006E2AE3" w:rsidRDefault="00410191" w:rsidP="00410191">
      <w:pPr>
        <w:pStyle w:val="Heading2"/>
      </w:pPr>
      <w:bookmarkStart w:id="19" w:name="_Toc498600138"/>
      <w:r>
        <w:t>4.3 Reflective Practice</w:t>
      </w:r>
      <w:bookmarkEnd w:id="19"/>
    </w:p>
    <w:p w:rsidR="00DB7893" w:rsidRPr="00410191" w:rsidRDefault="00DB7893" w:rsidP="00A70B64">
      <w:pPr>
        <w:spacing w:after="0" w:line="240" w:lineRule="auto"/>
        <w:rPr>
          <w:rFonts w:cs="Arial"/>
          <w:sz w:val="20"/>
          <w:szCs w:val="20"/>
        </w:rPr>
      </w:pPr>
    </w:p>
    <w:p w:rsidR="00410191" w:rsidRPr="00410191" w:rsidRDefault="00410191" w:rsidP="00410191">
      <w:pPr>
        <w:spacing w:after="0" w:line="240" w:lineRule="auto"/>
        <w:rPr>
          <w:rFonts w:cs="Arial"/>
          <w:sz w:val="20"/>
          <w:szCs w:val="20"/>
        </w:rPr>
      </w:pPr>
      <w:r w:rsidRPr="00410191">
        <w:rPr>
          <w:rFonts w:cs="Arial"/>
          <w:sz w:val="20"/>
          <w:szCs w:val="20"/>
        </w:rPr>
        <w:t>Many people find that they learn best from experience.  However, if they don't reflect on their experience, and if they don't consciously think about how they could do better next time, it's hard for them to learn anything at all.</w:t>
      </w:r>
    </w:p>
    <w:p w:rsidR="00DB7893" w:rsidRDefault="00410191" w:rsidP="00D660AC">
      <w:pPr>
        <w:spacing w:after="0" w:line="240" w:lineRule="auto"/>
        <w:rPr>
          <w:rFonts w:cs="Arial"/>
          <w:sz w:val="20"/>
          <w:szCs w:val="20"/>
        </w:rPr>
      </w:pPr>
      <w:r w:rsidRPr="00410191">
        <w:rPr>
          <w:rFonts w:cs="Arial"/>
          <w:sz w:val="20"/>
          <w:szCs w:val="20"/>
        </w:rPr>
        <w:t xml:space="preserve">This is where Gibbs' Reflective Cycle is useful. You can use it to help your people make sense of situations, so that they can understand what they did well and what they could do better in the future. </w:t>
      </w:r>
      <w:sdt>
        <w:sdtPr>
          <w:rPr>
            <w:rFonts w:cs="Arial"/>
            <w:sz w:val="20"/>
            <w:szCs w:val="20"/>
          </w:rPr>
          <w:id w:val="1627203496"/>
          <w:citation/>
        </w:sdtPr>
        <w:sdtContent>
          <w:r w:rsidRPr="00410191">
            <w:rPr>
              <w:rFonts w:cs="Arial"/>
              <w:sz w:val="20"/>
              <w:szCs w:val="20"/>
            </w:rPr>
            <w:fldChar w:fldCharType="begin"/>
          </w:r>
          <w:r w:rsidRPr="00410191">
            <w:rPr>
              <w:rFonts w:cs="Arial"/>
              <w:sz w:val="20"/>
              <w:szCs w:val="20"/>
            </w:rPr>
            <w:instrText xml:space="preserve"> CITATION Min16 \l 2057 </w:instrText>
          </w:r>
          <w:r w:rsidRPr="00410191">
            <w:rPr>
              <w:rFonts w:cs="Arial"/>
              <w:sz w:val="20"/>
              <w:szCs w:val="20"/>
            </w:rPr>
            <w:fldChar w:fldCharType="separate"/>
          </w:r>
          <w:r w:rsidRPr="00410191">
            <w:rPr>
              <w:rFonts w:cs="Arial"/>
              <w:noProof/>
              <w:sz w:val="20"/>
              <w:szCs w:val="20"/>
            </w:rPr>
            <w:t>(Mind Tools, 2016)</w:t>
          </w:r>
          <w:r w:rsidRPr="00410191">
            <w:rPr>
              <w:rFonts w:cs="Arial"/>
              <w:sz w:val="20"/>
              <w:szCs w:val="20"/>
            </w:rPr>
            <w:fldChar w:fldCharType="end"/>
          </w:r>
        </w:sdtContent>
      </w:sdt>
    </w:p>
    <w:p w:rsidR="00D660AC" w:rsidRDefault="00D660AC" w:rsidP="00D660AC">
      <w:pPr>
        <w:spacing w:after="0" w:line="240" w:lineRule="auto"/>
        <w:rPr>
          <w:rFonts w:cs="Arial"/>
          <w:sz w:val="20"/>
          <w:szCs w:val="20"/>
        </w:rPr>
      </w:pPr>
    </w:p>
    <w:p w:rsidR="00D660AC" w:rsidRDefault="00D660AC" w:rsidP="00D660AC">
      <w:pPr>
        <w:spacing w:after="0" w:line="240" w:lineRule="auto"/>
        <w:rPr>
          <w:rFonts w:cs="Arial"/>
          <w:sz w:val="20"/>
          <w:szCs w:val="20"/>
        </w:rPr>
      </w:pPr>
      <w:r>
        <w:rPr>
          <w:rFonts w:cs="Arial"/>
          <w:sz w:val="20"/>
          <w:szCs w:val="20"/>
        </w:rPr>
        <w:t>Figure 6 shows the stages and a summary of each:</w:t>
      </w:r>
    </w:p>
    <w:p w:rsidR="00D660AC" w:rsidRDefault="00D660AC" w:rsidP="00D660AC">
      <w:pPr>
        <w:spacing w:after="0" w:line="240" w:lineRule="auto"/>
        <w:rPr>
          <w:rFonts w:cs="Arial"/>
          <w:sz w:val="20"/>
          <w:szCs w:val="20"/>
        </w:rPr>
      </w:pPr>
    </w:p>
    <w:p w:rsidR="00D660AC" w:rsidRDefault="00D660AC" w:rsidP="00D660AC">
      <w:pPr>
        <w:spacing w:after="0" w:line="240" w:lineRule="auto"/>
        <w:rPr>
          <w:rFonts w:cs="Arial"/>
          <w:sz w:val="20"/>
          <w:szCs w:val="20"/>
        </w:rPr>
      </w:pPr>
      <w:r>
        <w:rPr>
          <w:rFonts w:cs="Arial"/>
          <w:noProof/>
          <w:sz w:val="20"/>
          <w:szCs w:val="20"/>
        </w:rPr>
        <w:lastRenderedPageBreak/>
        <w:drawing>
          <wp:inline distT="0" distB="0" distL="0" distR="0">
            <wp:extent cx="5731510" cy="322516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1).png"/>
                    <pic:cNvPicPr/>
                  </pic:nvPicPr>
                  <pic:blipFill>
                    <a:blip r:embed="rId14">
                      <a:extLst>
                        <a:ext uri="{28A0092B-C50C-407E-A947-70E740481C1C}">
                          <a14:useLocalDpi xmlns:a14="http://schemas.microsoft.com/office/drawing/2010/main" val="0"/>
                        </a:ext>
                      </a:extLst>
                    </a:blip>
                    <a:stretch>
                      <a:fillRect/>
                    </a:stretch>
                  </pic:blipFill>
                  <pic:spPr>
                    <a:xfrm>
                      <a:off x="0" y="0"/>
                      <a:ext cx="5731510" cy="3225165"/>
                    </a:xfrm>
                    <a:prstGeom prst="rect">
                      <a:avLst/>
                    </a:prstGeom>
                  </pic:spPr>
                </pic:pic>
              </a:graphicData>
            </a:graphic>
          </wp:inline>
        </w:drawing>
      </w:r>
    </w:p>
    <w:p w:rsidR="00D660AC" w:rsidRDefault="00D660AC" w:rsidP="00D660AC">
      <w:pPr>
        <w:spacing w:after="0" w:line="240" w:lineRule="auto"/>
        <w:rPr>
          <w:rFonts w:cs="Arial"/>
          <w:sz w:val="20"/>
          <w:szCs w:val="20"/>
        </w:rPr>
      </w:pPr>
    </w:p>
    <w:p w:rsidR="00D660AC" w:rsidRDefault="00D660AC" w:rsidP="00D660AC">
      <w:pPr>
        <w:spacing w:after="0" w:line="240" w:lineRule="auto"/>
        <w:rPr>
          <w:rFonts w:cs="Arial"/>
          <w:sz w:val="20"/>
          <w:szCs w:val="20"/>
        </w:rPr>
      </w:pPr>
      <w:r>
        <w:rPr>
          <w:rFonts w:cs="Arial"/>
          <w:sz w:val="20"/>
          <w:szCs w:val="20"/>
        </w:rPr>
        <w:t xml:space="preserve">Figure 6 – Gibbs Reflective Cycle </w:t>
      </w:r>
      <w:sdt>
        <w:sdtPr>
          <w:rPr>
            <w:rFonts w:cs="Arial"/>
            <w:sz w:val="20"/>
            <w:szCs w:val="20"/>
          </w:rPr>
          <w:id w:val="-1159837118"/>
          <w:citation/>
        </w:sdtPr>
        <w:sdtContent>
          <w:r>
            <w:rPr>
              <w:rFonts w:cs="Arial"/>
              <w:sz w:val="20"/>
              <w:szCs w:val="20"/>
            </w:rPr>
            <w:fldChar w:fldCharType="begin"/>
          </w:r>
          <w:r>
            <w:rPr>
              <w:rFonts w:cs="Arial"/>
              <w:sz w:val="20"/>
              <w:szCs w:val="20"/>
            </w:rPr>
            <w:instrText xml:space="preserve"> CITATION Min16 \l 2057 </w:instrText>
          </w:r>
          <w:r>
            <w:rPr>
              <w:rFonts w:cs="Arial"/>
              <w:sz w:val="20"/>
              <w:szCs w:val="20"/>
            </w:rPr>
            <w:fldChar w:fldCharType="separate"/>
          </w:r>
          <w:r w:rsidRPr="00D660AC">
            <w:rPr>
              <w:rFonts w:cs="Arial"/>
              <w:noProof/>
              <w:sz w:val="20"/>
              <w:szCs w:val="20"/>
            </w:rPr>
            <w:t>(Mind Tools, 2016)</w:t>
          </w:r>
          <w:r>
            <w:rPr>
              <w:rFonts w:cs="Arial"/>
              <w:sz w:val="20"/>
              <w:szCs w:val="20"/>
            </w:rPr>
            <w:fldChar w:fldCharType="end"/>
          </w:r>
        </w:sdtContent>
      </w:sdt>
    </w:p>
    <w:p w:rsidR="00D660AC" w:rsidRDefault="00D660AC" w:rsidP="00D660AC">
      <w:pPr>
        <w:spacing w:after="0" w:line="240" w:lineRule="auto"/>
        <w:rPr>
          <w:rFonts w:cs="Arial"/>
          <w:sz w:val="20"/>
          <w:szCs w:val="20"/>
        </w:rPr>
      </w:pPr>
    </w:p>
    <w:p w:rsidR="00D660AC" w:rsidRDefault="00D660AC" w:rsidP="00D660AC">
      <w:pPr>
        <w:spacing w:after="0" w:line="240" w:lineRule="auto"/>
        <w:rPr>
          <w:rFonts w:cs="Arial"/>
          <w:sz w:val="20"/>
          <w:szCs w:val="20"/>
        </w:rPr>
      </w:pPr>
      <w:r>
        <w:rPr>
          <w:rFonts w:cs="Arial"/>
          <w:sz w:val="20"/>
          <w:szCs w:val="20"/>
        </w:rPr>
        <w:t xml:space="preserve">A consistent strategy around reflective practice allows for organisational and personal growth in every project or aspect.  It drives improvements and is healthy in challenging around how we can do things even better.  Within HR there has to be a desire of how to do things better for colleagues, organisation, community.  If we learn today we improve tomorrow.  </w:t>
      </w:r>
      <w:r w:rsidR="00351441">
        <w:rPr>
          <w:rFonts w:cs="Arial"/>
          <w:sz w:val="20"/>
          <w:szCs w:val="20"/>
        </w:rPr>
        <w:t>The great aspect of Gibbs reflective model is it looks at two parts, it looks at the task and equally the feelings, to enable a full evaluation to be completed.</w:t>
      </w:r>
    </w:p>
    <w:p w:rsidR="00351441" w:rsidRDefault="00351441" w:rsidP="00D660AC">
      <w:pPr>
        <w:spacing w:after="0" w:line="240" w:lineRule="auto"/>
        <w:rPr>
          <w:rFonts w:cs="Arial"/>
          <w:sz w:val="20"/>
          <w:szCs w:val="20"/>
        </w:rPr>
      </w:pPr>
    </w:p>
    <w:p w:rsidR="00351441" w:rsidRDefault="00351441" w:rsidP="00D660AC">
      <w:pPr>
        <w:spacing w:after="0" w:line="240" w:lineRule="auto"/>
        <w:rPr>
          <w:rFonts w:cs="Arial"/>
          <w:sz w:val="20"/>
          <w:szCs w:val="20"/>
        </w:rPr>
      </w:pPr>
      <w:r>
        <w:rPr>
          <w:rFonts w:cs="Arial"/>
          <w:sz w:val="20"/>
          <w:szCs w:val="20"/>
        </w:rPr>
        <w:t>Within my current role I believe I do this without thinking about it as I am always striving for further improvements but I also feel that it is part of being a HR Professional.</w:t>
      </w:r>
    </w:p>
    <w:p w:rsidR="00351441" w:rsidRDefault="00351441" w:rsidP="00D660AC">
      <w:pPr>
        <w:spacing w:after="0" w:line="240" w:lineRule="auto"/>
        <w:rPr>
          <w:rFonts w:cs="Arial"/>
          <w:sz w:val="20"/>
          <w:szCs w:val="20"/>
        </w:rPr>
      </w:pPr>
    </w:p>
    <w:p w:rsidR="00351441" w:rsidRDefault="00351441" w:rsidP="00D660AC">
      <w:pPr>
        <w:spacing w:after="0" w:line="240" w:lineRule="auto"/>
        <w:rPr>
          <w:rFonts w:cs="Arial"/>
          <w:sz w:val="20"/>
          <w:szCs w:val="20"/>
        </w:rPr>
      </w:pPr>
      <w:r>
        <w:rPr>
          <w:rFonts w:cs="Arial"/>
          <w:sz w:val="20"/>
          <w:szCs w:val="20"/>
        </w:rPr>
        <w:t>In the last 3 years I have seen a greater emphasis on reflection within my organisation as we shift to collaborate with colleagues to help in problem solving and employee voice.  This is supporting a culture of two-way conversations within the business leading to increased morale, better performance and a culture of not being afraid to challenge the norm.</w:t>
      </w:r>
    </w:p>
    <w:p w:rsidR="00351441" w:rsidRDefault="00351441" w:rsidP="00D660AC">
      <w:pPr>
        <w:spacing w:after="0" w:line="240" w:lineRule="auto"/>
        <w:rPr>
          <w:rFonts w:cs="Arial"/>
          <w:sz w:val="20"/>
          <w:szCs w:val="20"/>
        </w:rPr>
      </w:pPr>
    </w:p>
    <w:bookmarkStart w:id="20" w:name="_Toc498600139" w:displacedByCustomXml="next"/>
    <w:sdt>
      <w:sdtPr>
        <w:id w:val="2047948866"/>
        <w:docPartObj>
          <w:docPartGallery w:val="Bibliographies"/>
          <w:docPartUnique/>
        </w:docPartObj>
      </w:sdtPr>
      <w:sdtEndPr>
        <w:rPr>
          <w:rFonts w:asciiTheme="minorHAnsi" w:eastAsiaTheme="minorHAnsi" w:hAnsiTheme="minorHAnsi" w:cstheme="minorBidi"/>
          <w:b w:val="0"/>
          <w:bCs w:val="0"/>
          <w:color w:val="auto"/>
          <w:sz w:val="22"/>
          <w:szCs w:val="22"/>
        </w:rPr>
      </w:sdtEndPr>
      <w:sdtContent>
        <w:p w:rsidR="00351441" w:rsidRDefault="00351441">
          <w:pPr>
            <w:pStyle w:val="Heading1"/>
          </w:pPr>
          <w:r>
            <w:t>References</w:t>
          </w:r>
          <w:bookmarkEnd w:id="20"/>
        </w:p>
        <w:sdt>
          <w:sdtPr>
            <w:id w:val="-573587230"/>
            <w:bibliography/>
          </w:sdtPr>
          <w:sdtContent>
            <w:p w:rsidR="00351441" w:rsidRDefault="00351441" w:rsidP="00351441">
              <w:pPr>
                <w:pStyle w:val="Bibliography"/>
                <w:rPr>
                  <w:noProof/>
                  <w:sz w:val="24"/>
                  <w:szCs w:val="24"/>
                </w:rPr>
              </w:pPr>
              <w:r>
                <w:fldChar w:fldCharType="begin"/>
              </w:r>
              <w:r>
                <w:instrText xml:space="preserve"> BIBLIOGRAPHY </w:instrText>
              </w:r>
              <w:r>
                <w:fldChar w:fldCharType="separate"/>
              </w:r>
              <w:r>
                <w:rPr>
                  <w:noProof/>
                </w:rPr>
                <w:t xml:space="preserve">CIPD, 2017. </w:t>
              </w:r>
              <w:r>
                <w:rPr>
                  <w:i/>
                  <w:iCs/>
                  <w:noProof/>
                </w:rPr>
                <w:t xml:space="preserve">Change Management. </w:t>
              </w:r>
              <w:r>
                <w:rPr>
                  <w:noProof/>
                </w:rPr>
                <w:t xml:space="preserve">[Online] </w:t>
              </w:r>
              <w:r>
                <w:rPr>
                  <w:noProof/>
                </w:rPr>
                <w:br/>
                <w:t xml:space="preserve">Available at: </w:t>
              </w:r>
              <w:r>
                <w:rPr>
                  <w:noProof/>
                  <w:u w:val="single"/>
                </w:rPr>
                <w:t>https://www.cipd.co.uk/knowledge/strategy/change/management-factsheet</w:t>
              </w:r>
              <w:r>
                <w:rPr>
                  <w:noProof/>
                </w:rPr>
                <w:br/>
                <w:t>[Accessed 14 11 2017].</w:t>
              </w:r>
            </w:p>
            <w:p w:rsidR="00351441" w:rsidRDefault="00351441" w:rsidP="00351441">
              <w:pPr>
                <w:pStyle w:val="Bibliography"/>
                <w:rPr>
                  <w:noProof/>
                </w:rPr>
              </w:pPr>
              <w:r>
                <w:rPr>
                  <w:noProof/>
                </w:rPr>
                <w:t xml:space="preserve">CIPD, 2017. </w:t>
              </w:r>
              <w:r>
                <w:rPr>
                  <w:i/>
                  <w:iCs/>
                  <w:noProof/>
                </w:rPr>
                <w:t xml:space="preserve">CIPD. </w:t>
              </w:r>
              <w:r>
                <w:rPr>
                  <w:noProof/>
                </w:rPr>
                <w:t xml:space="preserve">[Online] </w:t>
              </w:r>
              <w:r>
                <w:rPr>
                  <w:noProof/>
                </w:rPr>
                <w:br/>
                <w:t xml:space="preserve">Available at: </w:t>
              </w:r>
              <w:r>
                <w:rPr>
                  <w:noProof/>
                  <w:u w:val="single"/>
                </w:rPr>
                <w:t>https://www.cipd.co.uk/about/what-we-do</w:t>
              </w:r>
              <w:r>
                <w:rPr>
                  <w:noProof/>
                </w:rPr>
                <w:br/>
                <w:t>[Accessed 14 11 2017].</w:t>
              </w:r>
            </w:p>
            <w:p w:rsidR="00351441" w:rsidRDefault="00351441" w:rsidP="00351441">
              <w:pPr>
                <w:pStyle w:val="Bibliography"/>
                <w:rPr>
                  <w:noProof/>
                </w:rPr>
              </w:pPr>
              <w:r>
                <w:rPr>
                  <w:noProof/>
                </w:rPr>
                <w:t xml:space="preserve">CIPD, 2017. </w:t>
              </w:r>
              <w:r>
                <w:rPr>
                  <w:i/>
                  <w:iCs/>
                  <w:noProof/>
                </w:rPr>
                <w:t xml:space="preserve">CIPD Profession Map. </w:t>
              </w:r>
              <w:r>
                <w:rPr>
                  <w:noProof/>
                </w:rPr>
                <w:t xml:space="preserve">[Online] </w:t>
              </w:r>
              <w:r>
                <w:rPr>
                  <w:noProof/>
                </w:rPr>
                <w:br/>
                <w:t xml:space="preserve">Available at: </w:t>
              </w:r>
              <w:r>
                <w:rPr>
                  <w:noProof/>
                  <w:u w:val="single"/>
                </w:rPr>
                <w:t>http://mycpdmap.cipd.co.uk/area-selection</w:t>
              </w:r>
              <w:r>
                <w:rPr>
                  <w:noProof/>
                </w:rPr>
                <w:br/>
                <w:t>[Accessed 14 11 2017].</w:t>
              </w:r>
            </w:p>
            <w:p w:rsidR="00351441" w:rsidRDefault="00351441" w:rsidP="00351441">
              <w:pPr>
                <w:pStyle w:val="Bibliography"/>
                <w:rPr>
                  <w:noProof/>
                </w:rPr>
              </w:pPr>
              <w:r>
                <w:rPr>
                  <w:noProof/>
                </w:rPr>
                <w:lastRenderedPageBreak/>
                <w:t xml:space="preserve">Mind Tools, 2016. </w:t>
              </w:r>
              <w:r>
                <w:rPr>
                  <w:i/>
                  <w:iCs/>
                  <w:noProof/>
                </w:rPr>
                <w:t xml:space="preserve">Reflective Cycle. </w:t>
              </w:r>
              <w:r>
                <w:rPr>
                  <w:noProof/>
                </w:rPr>
                <w:t xml:space="preserve">[Online] </w:t>
              </w:r>
              <w:r>
                <w:rPr>
                  <w:noProof/>
                </w:rPr>
                <w:br/>
                <w:t xml:space="preserve">Available at: </w:t>
              </w:r>
              <w:r>
                <w:rPr>
                  <w:noProof/>
                  <w:u w:val="single"/>
                </w:rPr>
                <w:t>https://www.mindtools.com/pages/article/reflective-cycle.htm</w:t>
              </w:r>
              <w:r>
                <w:rPr>
                  <w:noProof/>
                </w:rPr>
                <w:br/>
                <w:t>[Accessed 14 11 2017].</w:t>
              </w:r>
            </w:p>
            <w:p w:rsidR="00351441" w:rsidRDefault="00351441" w:rsidP="00351441">
              <w:pPr>
                <w:pStyle w:val="Bibliography"/>
                <w:rPr>
                  <w:noProof/>
                </w:rPr>
              </w:pPr>
              <w:r>
                <w:rPr>
                  <w:noProof/>
                </w:rPr>
                <w:t xml:space="preserve">MindTools, 2017. </w:t>
              </w:r>
              <w:r>
                <w:rPr>
                  <w:i/>
                  <w:iCs/>
                  <w:noProof/>
                </w:rPr>
                <w:t xml:space="preserve">Active Listening. </w:t>
              </w:r>
              <w:r>
                <w:rPr>
                  <w:noProof/>
                </w:rPr>
                <w:t xml:space="preserve">[Online] </w:t>
              </w:r>
              <w:r>
                <w:rPr>
                  <w:noProof/>
                </w:rPr>
                <w:br/>
                <w:t xml:space="preserve">Available at: </w:t>
              </w:r>
              <w:r>
                <w:rPr>
                  <w:noProof/>
                  <w:u w:val="single"/>
                </w:rPr>
                <w:t>https://www.mindtools.com/CommSkll/ActiveListening.htm</w:t>
              </w:r>
              <w:r>
                <w:rPr>
                  <w:noProof/>
                </w:rPr>
                <w:br/>
                <w:t>[Accessed 14 11 2017].</w:t>
              </w:r>
            </w:p>
            <w:p w:rsidR="00351441" w:rsidRDefault="00351441" w:rsidP="00351441">
              <w:pPr>
                <w:pStyle w:val="Bibliography"/>
                <w:rPr>
                  <w:noProof/>
                </w:rPr>
              </w:pPr>
              <w:r>
                <w:rPr>
                  <w:noProof/>
                </w:rPr>
                <w:t xml:space="preserve">Taylor, S; Woodhams , C;, 2016. </w:t>
              </w:r>
              <w:r>
                <w:rPr>
                  <w:i/>
                  <w:iCs/>
                  <w:noProof/>
                </w:rPr>
                <w:t xml:space="preserve">Studying Human Resource Management. </w:t>
              </w:r>
              <w:r>
                <w:rPr>
                  <w:noProof/>
                </w:rPr>
                <w:t>2nd ed. London: CIPD.</w:t>
              </w:r>
            </w:p>
            <w:p w:rsidR="00351441" w:rsidRDefault="00351441" w:rsidP="00351441">
              <w:pPr>
                <w:pStyle w:val="Bibliography"/>
                <w:rPr>
                  <w:noProof/>
                </w:rPr>
              </w:pPr>
              <w:r>
                <w:rPr>
                  <w:noProof/>
                </w:rPr>
                <w:t xml:space="preserve">Tesco, 2017. </w:t>
              </w:r>
              <w:r>
                <w:rPr>
                  <w:i/>
                  <w:iCs/>
                  <w:noProof/>
                </w:rPr>
                <w:t xml:space="preserve">Plan Do Review. </w:t>
              </w:r>
              <w:r>
                <w:rPr>
                  <w:noProof/>
                </w:rPr>
                <w:t xml:space="preserve">[Online] </w:t>
              </w:r>
              <w:r>
                <w:rPr>
                  <w:noProof/>
                </w:rPr>
                <w:br/>
                <w:t xml:space="preserve">Available at: </w:t>
              </w:r>
              <w:r>
                <w:rPr>
                  <w:noProof/>
                  <w:u w:val="single"/>
                </w:rPr>
                <w:t>https://tesco.e-learningportal.com/courses_scorm/86CF8A15-DDB0-6D0E-D10CE1C4C020CC2D/index_lms.html</w:t>
              </w:r>
              <w:r>
                <w:rPr>
                  <w:noProof/>
                </w:rPr>
                <w:br/>
                <w:t>[Accessed 14 11 2017].</w:t>
              </w:r>
            </w:p>
            <w:p w:rsidR="00351441" w:rsidRDefault="00351441" w:rsidP="00351441">
              <w:pPr>
                <w:pStyle w:val="Bibliography"/>
                <w:rPr>
                  <w:noProof/>
                </w:rPr>
              </w:pPr>
              <w:r>
                <w:rPr>
                  <w:noProof/>
                </w:rPr>
                <w:t xml:space="preserve">Tuckman, B., 1965. </w:t>
              </w:r>
              <w:r>
                <w:rPr>
                  <w:i/>
                  <w:iCs/>
                  <w:noProof/>
                </w:rPr>
                <w:t xml:space="preserve">Tuckman Forming Storming Norming Performing model. </w:t>
              </w:r>
              <w:r>
                <w:rPr>
                  <w:noProof/>
                </w:rPr>
                <w:t xml:space="preserve">[Online] </w:t>
              </w:r>
              <w:r>
                <w:rPr>
                  <w:noProof/>
                </w:rPr>
                <w:br/>
                <w:t xml:space="preserve">Available at: </w:t>
              </w:r>
              <w:r>
                <w:rPr>
                  <w:noProof/>
                  <w:u w:val="single"/>
                </w:rPr>
                <w:t>https://www.businessballs.com/team-management/tuckman-forming-storming-norming-performing-model-234</w:t>
              </w:r>
              <w:r>
                <w:rPr>
                  <w:noProof/>
                </w:rPr>
                <w:br/>
                <w:t>[Accessed 14 11 2017].</w:t>
              </w:r>
            </w:p>
            <w:p w:rsidR="00351441" w:rsidRDefault="00351441" w:rsidP="00351441">
              <w:pPr>
                <w:pStyle w:val="Bibliography"/>
                <w:rPr>
                  <w:noProof/>
                </w:rPr>
              </w:pPr>
              <w:r>
                <w:rPr>
                  <w:noProof/>
                </w:rPr>
                <w:t xml:space="preserve">Yemm, G., 2008. Influencing Others - a key skill for all.. </w:t>
              </w:r>
              <w:r>
                <w:rPr>
                  <w:i/>
                  <w:iCs/>
                  <w:noProof/>
                </w:rPr>
                <w:t xml:space="preserve">Management Services, </w:t>
              </w:r>
              <w:r>
                <w:rPr>
                  <w:noProof/>
                </w:rPr>
                <w:t>52(2), pp. 21-4.</w:t>
              </w:r>
            </w:p>
            <w:p w:rsidR="00351441" w:rsidRDefault="00351441" w:rsidP="00351441">
              <w:r>
                <w:rPr>
                  <w:b/>
                  <w:bCs/>
                  <w:noProof/>
                </w:rPr>
                <w:fldChar w:fldCharType="end"/>
              </w:r>
            </w:p>
          </w:sdtContent>
        </w:sdt>
      </w:sdtContent>
    </w:sdt>
    <w:p w:rsidR="00DB7893" w:rsidRPr="00D660AC" w:rsidRDefault="00DB7893" w:rsidP="00D660AC">
      <w:pPr>
        <w:pStyle w:val="Heading1"/>
        <w:rPr>
          <w:rStyle w:val="Heading1Char"/>
          <w:b/>
          <w:bCs/>
        </w:rPr>
      </w:pPr>
    </w:p>
    <w:p w:rsidR="00A70B64" w:rsidRDefault="00A70B64" w:rsidP="00E1137D">
      <w:pPr>
        <w:spacing w:after="0" w:line="240" w:lineRule="auto"/>
        <w:rPr>
          <w:rFonts w:cs="Arial"/>
        </w:rPr>
      </w:pPr>
    </w:p>
    <w:p w:rsidR="0081594E" w:rsidRDefault="0081594E" w:rsidP="00E1137D">
      <w:pPr>
        <w:spacing w:after="0" w:line="240" w:lineRule="auto"/>
        <w:rPr>
          <w:rFonts w:cs="Arial"/>
        </w:rPr>
      </w:pPr>
    </w:p>
    <w:p w:rsidR="0081594E" w:rsidRDefault="0081594E" w:rsidP="00E1137D">
      <w:pPr>
        <w:spacing w:after="0" w:line="240" w:lineRule="auto"/>
        <w:rPr>
          <w:rFonts w:cs="Arial"/>
        </w:rPr>
      </w:pPr>
    </w:p>
    <w:p w:rsidR="009F0961" w:rsidRPr="00D31A30" w:rsidRDefault="009F0961" w:rsidP="00E1137D">
      <w:pPr>
        <w:spacing w:after="0" w:line="240" w:lineRule="auto"/>
        <w:rPr>
          <w:rFonts w:cs="Arial"/>
        </w:rPr>
      </w:pPr>
    </w:p>
    <w:sectPr w:rsidR="009F0961" w:rsidRPr="00D31A30">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83208" w:rsidRDefault="00E83208" w:rsidP="00D31A30">
      <w:pPr>
        <w:spacing w:after="0" w:line="240" w:lineRule="auto"/>
      </w:pPr>
      <w:r>
        <w:separator/>
      </w:r>
    </w:p>
  </w:endnote>
  <w:endnote w:type="continuationSeparator" w:id="0">
    <w:p w:rsidR="00E83208" w:rsidRDefault="00E83208" w:rsidP="00D31A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GothamBook">
    <w:altName w:val="Calibri"/>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0889428"/>
      <w:docPartObj>
        <w:docPartGallery w:val="Page Numbers (Bottom of Page)"/>
        <w:docPartUnique/>
      </w:docPartObj>
    </w:sdtPr>
    <w:sdtEndPr>
      <w:rPr>
        <w:noProof/>
      </w:rPr>
    </w:sdtEndPr>
    <w:sdtContent>
      <w:p w:rsidR="00410191" w:rsidRDefault="00410191">
        <w:pPr>
          <w:pStyle w:val="Footer"/>
          <w:jc w:val="right"/>
        </w:pPr>
        <w:r>
          <w:fldChar w:fldCharType="begin"/>
        </w:r>
        <w:r>
          <w:instrText xml:space="preserve"> PAGE   \* MERGEFORMAT </w:instrText>
        </w:r>
        <w:r>
          <w:fldChar w:fldCharType="separate"/>
        </w:r>
        <w:r w:rsidR="004A024F">
          <w:rPr>
            <w:noProof/>
          </w:rPr>
          <w:t>6</w:t>
        </w:r>
        <w:r>
          <w:rPr>
            <w:noProof/>
          </w:rPr>
          <w:fldChar w:fldCharType="end"/>
        </w:r>
      </w:p>
    </w:sdtContent>
  </w:sdt>
  <w:p w:rsidR="00410191" w:rsidRDefault="004101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83208" w:rsidRDefault="00E83208" w:rsidP="00D31A30">
      <w:pPr>
        <w:spacing w:after="0" w:line="240" w:lineRule="auto"/>
      </w:pPr>
      <w:r>
        <w:separator/>
      </w:r>
    </w:p>
  </w:footnote>
  <w:footnote w:type="continuationSeparator" w:id="0">
    <w:p w:rsidR="00E83208" w:rsidRDefault="00E83208" w:rsidP="00D31A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6D1108"/>
    <w:multiLevelType w:val="multilevel"/>
    <w:tmpl w:val="8ACC41BA"/>
    <w:lvl w:ilvl="0">
      <w:start w:val="1"/>
      <w:numFmt w:val="decimal"/>
      <w:lvlText w:val="%1"/>
      <w:lvlJc w:val="left"/>
      <w:pPr>
        <w:ind w:left="390" w:hanging="390"/>
      </w:pPr>
      <w:rPr>
        <w:rFonts w:hint="default"/>
      </w:rPr>
    </w:lvl>
    <w:lvl w:ilvl="1">
      <w:start w:val="1"/>
      <w:numFmt w:val="decimal"/>
      <w:lvlText w:val="%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052D3B29"/>
    <w:multiLevelType w:val="multilevel"/>
    <w:tmpl w:val="BA8E4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FF64EB"/>
    <w:multiLevelType w:val="hybridMultilevel"/>
    <w:tmpl w:val="A470F43E"/>
    <w:lvl w:ilvl="0" w:tplc="0409000F">
      <w:start w:val="1"/>
      <w:numFmt w:val="decimal"/>
      <w:lvlText w:val="%1."/>
      <w:lvlJc w:val="left"/>
      <w:pPr>
        <w:ind w:left="720" w:hanging="360"/>
      </w:pPr>
      <w:rPr>
        <w:rFonts w:hint="default"/>
        <w:u w:val="no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B387C40"/>
    <w:multiLevelType w:val="multilevel"/>
    <w:tmpl w:val="F3D82FA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1C81B4F"/>
    <w:multiLevelType w:val="hybridMultilevel"/>
    <w:tmpl w:val="975AC8D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5" w15:restartNumberingAfterBreak="0">
    <w:nsid w:val="3CBF1DA5"/>
    <w:multiLevelType w:val="multilevel"/>
    <w:tmpl w:val="8ACC41BA"/>
    <w:lvl w:ilvl="0">
      <w:start w:val="1"/>
      <w:numFmt w:val="decimal"/>
      <w:lvlText w:val="%1"/>
      <w:lvlJc w:val="left"/>
      <w:pPr>
        <w:ind w:left="390" w:hanging="390"/>
      </w:pPr>
      <w:rPr>
        <w:rFonts w:hint="default"/>
      </w:rPr>
    </w:lvl>
    <w:lvl w:ilvl="1">
      <w:start w:val="1"/>
      <w:numFmt w:val="decimal"/>
      <w:lvlText w:val="%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498F3DCE"/>
    <w:multiLevelType w:val="hybridMultilevel"/>
    <w:tmpl w:val="9A48468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7" w15:restartNumberingAfterBreak="0">
    <w:nsid w:val="4AB13FAF"/>
    <w:multiLevelType w:val="hybridMultilevel"/>
    <w:tmpl w:val="EF7AA94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1027651"/>
    <w:multiLevelType w:val="multilevel"/>
    <w:tmpl w:val="ADECDCE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9" w15:restartNumberingAfterBreak="0">
    <w:nsid w:val="63ED5813"/>
    <w:multiLevelType w:val="hybridMultilevel"/>
    <w:tmpl w:val="1FD810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9"/>
  </w:num>
  <w:num w:numId="2">
    <w:abstractNumId w:val="6"/>
  </w:num>
  <w:num w:numId="3">
    <w:abstractNumId w:val="4"/>
  </w:num>
  <w:num w:numId="4">
    <w:abstractNumId w:val="2"/>
  </w:num>
  <w:num w:numId="5">
    <w:abstractNumId w:val="7"/>
  </w:num>
  <w:num w:numId="6">
    <w:abstractNumId w:val="8"/>
  </w:num>
  <w:num w:numId="7">
    <w:abstractNumId w:val="5"/>
  </w:num>
  <w:num w:numId="8">
    <w:abstractNumId w:val="0"/>
  </w:num>
  <w:num w:numId="9">
    <w:abstractNumId w:val="3"/>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0B64"/>
    <w:rsid w:val="000066C6"/>
    <w:rsid w:val="00006B59"/>
    <w:rsid w:val="0002091A"/>
    <w:rsid w:val="00023E97"/>
    <w:rsid w:val="00046378"/>
    <w:rsid w:val="0005259F"/>
    <w:rsid w:val="00093262"/>
    <w:rsid w:val="000D3352"/>
    <w:rsid w:val="000E42BA"/>
    <w:rsid w:val="000F1D14"/>
    <w:rsid w:val="00104C4F"/>
    <w:rsid w:val="00122725"/>
    <w:rsid w:val="00122AFC"/>
    <w:rsid w:val="001348F4"/>
    <w:rsid w:val="0014237E"/>
    <w:rsid w:val="0015746E"/>
    <w:rsid w:val="00173DB5"/>
    <w:rsid w:val="00180456"/>
    <w:rsid w:val="00193288"/>
    <w:rsid w:val="001A41B0"/>
    <w:rsid w:val="001C10CB"/>
    <w:rsid w:val="001C17E1"/>
    <w:rsid w:val="001C195E"/>
    <w:rsid w:val="001D5DB4"/>
    <w:rsid w:val="001D632D"/>
    <w:rsid w:val="00202201"/>
    <w:rsid w:val="002315EF"/>
    <w:rsid w:val="00252B55"/>
    <w:rsid w:val="00254C34"/>
    <w:rsid w:val="002A4FB9"/>
    <w:rsid w:val="002E1EA1"/>
    <w:rsid w:val="003246EA"/>
    <w:rsid w:val="00340F1E"/>
    <w:rsid w:val="00351441"/>
    <w:rsid w:val="00384314"/>
    <w:rsid w:val="003B3375"/>
    <w:rsid w:val="003C2B65"/>
    <w:rsid w:val="003D29BD"/>
    <w:rsid w:val="003D4D38"/>
    <w:rsid w:val="003D7701"/>
    <w:rsid w:val="003E09BF"/>
    <w:rsid w:val="003E2B5E"/>
    <w:rsid w:val="003E7312"/>
    <w:rsid w:val="003F2148"/>
    <w:rsid w:val="00401996"/>
    <w:rsid w:val="00407B67"/>
    <w:rsid w:val="004100D9"/>
    <w:rsid w:val="00410191"/>
    <w:rsid w:val="00417462"/>
    <w:rsid w:val="00421B74"/>
    <w:rsid w:val="004255C8"/>
    <w:rsid w:val="00452FAB"/>
    <w:rsid w:val="004558C9"/>
    <w:rsid w:val="00473D4F"/>
    <w:rsid w:val="00495EBC"/>
    <w:rsid w:val="004A024F"/>
    <w:rsid w:val="004A2EB9"/>
    <w:rsid w:val="004C3A11"/>
    <w:rsid w:val="004D3EB8"/>
    <w:rsid w:val="004E0EEC"/>
    <w:rsid w:val="004E4E7A"/>
    <w:rsid w:val="0056338E"/>
    <w:rsid w:val="00575E14"/>
    <w:rsid w:val="005A0F30"/>
    <w:rsid w:val="005A3A38"/>
    <w:rsid w:val="005B28AD"/>
    <w:rsid w:val="005C19BD"/>
    <w:rsid w:val="005D527D"/>
    <w:rsid w:val="00661019"/>
    <w:rsid w:val="00692376"/>
    <w:rsid w:val="006A0D93"/>
    <w:rsid w:val="006D6806"/>
    <w:rsid w:val="006E0DE0"/>
    <w:rsid w:val="006E2AE3"/>
    <w:rsid w:val="006F053A"/>
    <w:rsid w:val="00711CF5"/>
    <w:rsid w:val="007248FC"/>
    <w:rsid w:val="00726DEF"/>
    <w:rsid w:val="0073401C"/>
    <w:rsid w:val="00762B44"/>
    <w:rsid w:val="007646C1"/>
    <w:rsid w:val="007944D9"/>
    <w:rsid w:val="007A4D2F"/>
    <w:rsid w:val="007C00F2"/>
    <w:rsid w:val="007F762A"/>
    <w:rsid w:val="00807E6B"/>
    <w:rsid w:val="00812C6A"/>
    <w:rsid w:val="0081594E"/>
    <w:rsid w:val="008551EE"/>
    <w:rsid w:val="00856B17"/>
    <w:rsid w:val="0086507C"/>
    <w:rsid w:val="00865C08"/>
    <w:rsid w:val="00877920"/>
    <w:rsid w:val="00897874"/>
    <w:rsid w:val="008D52EA"/>
    <w:rsid w:val="008E0708"/>
    <w:rsid w:val="008E29CE"/>
    <w:rsid w:val="008F04FD"/>
    <w:rsid w:val="008F554B"/>
    <w:rsid w:val="00905BDF"/>
    <w:rsid w:val="00944F92"/>
    <w:rsid w:val="00967465"/>
    <w:rsid w:val="009713E5"/>
    <w:rsid w:val="00973FD1"/>
    <w:rsid w:val="009D0049"/>
    <w:rsid w:val="009F0961"/>
    <w:rsid w:val="009F5B17"/>
    <w:rsid w:val="00A32D01"/>
    <w:rsid w:val="00A70B64"/>
    <w:rsid w:val="00AD0B2F"/>
    <w:rsid w:val="00AF3F6B"/>
    <w:rsid w:val="00B71A8F"/>
    <w:rsid w:val="00B845A0"/>
    <w:rsid w:val="00BA007D"/>
    <w:rsid w:val="00BB5C90"/>
    <w:rsid w:val="00BD1D7D"/>
    <w:rsid w:val="00C064DC"/>
    <w:rsid w:val="00C17B6E"/>
    <w:rsid w:val="00C36C90"/>
    <w:rsid w:val="00C6282B"/>
    <w:rsid w:val="00C66E36"/>
    <w:rsid w:val="00C779AB"/>
    <w:rsid w:val="00C96A51"/>
    <w:rsid w:val="00CA0203"/>
    <w:rsid w:val="00CC0661"/>
    <w:rsid w:val="00CC10DB"/>
    <w:rsid w:val="00CE2D32"/>
    <w:rsid w:val="00CE36DF"/>
    <w:rsid w:val="00CF6D4D"/>
    <w:rsid w:val="00D01536"/>
    <w:rsid w:val="00D1378B"/>
    <w:rsid w:val="00D31A30"/>
    <w:rsid w:val="00D660AC"/>
    <w:rsid w:val="00D82569"/>
    <w:rsid w:val="00DB7893"/>
    <w:rsid w:val="00DD7E8E"/>
    <w:rsid w:val="00E024AF"/>
    <w:rsid w:val="00E065A4"/>
    <w:rsid w:val="00E1137D"/>
    <w:rsid w:val="00E37090"/>
    <w:rsid w:val="00E666DA"/>
    <w:rsid w:val="00E83208"/>
    <w:rsid w:val="00EA5D54"/>
    <w:rsid w:val="00EB390F"/>
    <w:rsid w:val="00EB5D4E"/>
    <w:rsid w:val="00EC0431"/>
    <w:rsid w:val="00EE0AEB"/>
    <w:rsid w:val="00EF1956"/>
    <w:rsid w:val="00F0105B"/>
    <w:rsid w:val="00F1524E"/>
    <w:rsid w:val="00F32B1A"/>
    <w:rsid w:val="00F45999"/>
    <w:rsid w:val="00F76EAC"/>
    <w:rsid w:val="00FF7C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8237AE"/>
  <w15:docId w15:val="{4A6824AF-15C6-4D2F-A9CB-A910312D2A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5D4E"/>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F0105B"/>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unhideWhenUsed/>
    <w:qFormat/>
    <w:rsid w:val="00452FA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0B64"/>
    <w:pPr>
      <w:ind w:left="720"/>
      <w:contextualSpacing/>
    </w:pPr>
    <w:rPr>
      <w:rFonts w:eastAsiaTheme="minorEastAsia"/>
      <w:lang w:eastAsia="en-GB"/>
    </w:rPr>
  </w:style>
  <w:style w:type="character" w:customStyle="1" w:styleId="Heading1Char">
    <w:name w:val="Heading 1 Char"/>
    <w:basedOn w:val="DefaultParagraphFont"/>
    <w:link w:val="Heading1"/>
    <w:uiPriority w:val="9"/>
    <w:rsid w:val="00EB5D4E"/>
    <w:rPr>
      <w:rFonts w:asciiTheme="majorHAnsi" w:eastAsiaTheme="majorEastAsia" w:hAnsiTheme="majorHAnsi" w:cstheme="majorBidi"/>
      <w:b/>
      <w:bCs/>
      <w:color w:val="2F5496" w:themeColor="accent1" w:themeShade="BF"/>
      <w:sz w:val="28"/>
      <w:szCs w:val="28"/>
    </w:rPr>
  </w:style>
  <w:style w:type="paragraph" w:styleId="TOCHeading">
    <w:name w:val="TOC Heading"/>
    <w:basedOn w:val="Heading1"/>
    <w:next w:val="Normal"/>
    <w:uiPriority w:val="39"/>
    <w:semiHidden/>
    <w:unhideWhenUsed/>
    <w:qFormat/>
    <w:rsid w:val="00EB5D4E"/>
    <w:pPr>
      <w:outlineLvl w:val="9"/>
    </w:pPr>
    <w:rPr>
      <w:lang w:val="en-US" w:eastAsia="ja-JP"/>
    </w:rPr>
  </w:style>
  <w:style w:type="paragraph" w:styleId="TOC1">
    <w:name w:val="toc 1"/>
    <w:basedOn w:val="Normal"/>
    <w:next w:val="Normal"/>
    <w:autoRedefine/>
    <w:uiPriority w:val="39"/>
    <w:unhideWhenUsed/>
    <w:rsid w:val="00EB5D4E"/>
    <w:pPr>
      <w:spacing w:after="100"/>
    </w:pPr>
  </w:style>
  <w:style w:type="character" w:styleId="Hyperlink">
    <w:name w:val="Hyperlink"/>
    <w:basedOn w:val="DefaultParagraphFont"/>
    <w:uiPriority w:val="99"/>
    <w:unhideWhenUsed/>
    <w:rsid w:val="00EB5D4E"/>
    <w:rPr>
      <w:color w:val="0563C1" w:themeColor="hyperlink"/>
      <w:u w:val="single"/>
    </w:rPr>
  </w:style>
  <w:style w:type="paragraph" w:styleId="BalloonText">
    <w:name w:val="Balloon Text"/>
    <w:basedOn w:val="Normal"/>
    <w:link w:val="BalloonTextChar"/>
    <w:uiPriority w:val="99"/>
    <w:semiHidden/>
    <w:unhideWhenUsed/>
    <w:rsid w:val="00EB5D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5D4E"/>
    <w:rPr>
      <w:rFonts w:ascii="Tahoma" w:hAnsi="Tahoma" w:cs="Tahoma"/>
      <w:sz w:val="16"/>
      <w:szCs w:val="16"/>
    </w:rPr>
  </w:style>
  <w:style w:type="character" w:customStyle="1" w:styleId="Heading2Char">
    <w:name w:val="Heading 2 Char"/>
    <w:basedOn w:val="DefaultParagraphFont"/>
    <w:link w:val="Heading2"/>
    <w:uiPriority w:val="9"/>
    <w:rsid w:val="00F0105B"/>
    <w:rPr>
      <w:rFonts w:asciiTheme="majorHAnsi" w:eastAsiaTheme="majorEastAsia" w:hAnsiTheme="majorHAnsi" w:cstheme="majorBidi"/>
      <w:b/>
      <w:bCs/>
      <w:color w:val="4472C4" w:themeColor="accent1"/>
      <w:sz w:val="26"/>
      <w:szCs w:val="26"/>
    </w:rPr>
  </w:style>
  <w:style w:type="paragraph" w:styleId="Header">
    <w:name w:val="header"/>
    <w:basedOn w:val="Normal"/>
    <w:link w:val="HeaderChar"/>
    <w:uiPriority w:val="99"/>
    <w:unhideWhenUsed/>
    <w:rsid w:val="00D31A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1A30"/>
  </w:style>
  <w:style w:type="paragraph" w:styleId="Footer">
    <w:name w:val="footer"/>
    <w:basedOn w:val="Normal"/>
    <w:link w:val="FooterChar"/>
    <w:uiPriority w:val="99"/>
    <w:unhideWhenUsed/>
    <w:rsid w:val="00D31A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1A30"/>
  </w:style>
  <w:style w:type="paragraph" w:styleId="TOC2">
    <w:name w:val="toc 2"/>
    <w:basedOn w:val="Normal"/>
    <w:next w:val="Normal"/>
    <w:autoRedefine/>
    <w:uiPriority w:val="39"/>
    <w:unhideWhenUsed/>
    <w:rsid w:val="00661019"/>
    <w:pPr>
      <w:spacing w:after="100"/>
      <w:ind w:left="220"/>
    </w:pPr>
  </w:style>
  <w:style w:type="table" w:styleId="TableGrid">
    <w:name w:val="Table Grid"/>
    <w:basedOn w:val="TableNormal"/>
    <w:uiPriority w:val="59"/>
    <w:rsid w:val="00006B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05259F"/>
  </w:style>
  <w:style w:type="character" w:styleId="FollowedHyperlink">
    <w:name w:val="FollowedHyperlink"/>
    <w:basedOn w:val="DefaultParagraphFont"/>
    <w:uiPriority w:val="99"/>
    <w:semiHidden/>
    <w:unhideWhenUsed/>
    <w:rsid w:val="001348F4"/>
    <w:rPr>
      <w:color w:val="954F72" w:themeColor="followedHyperlink"/>
      <w:u w:val="single"/>
    </w:rPr>
  </w:style>
  <w:style w:type="character" w:customStyle="1" w:styleId="Heading3Char">
    <w:name w:val="Heading 3 Char"/>
    <w:basedOn w:val="DefaultParagraphFont"/>
    <w:link w:val="Heading3"/>
    <w:uiPriority w:val="9"/>
    <w:rsid w:val="00452FAB"/>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E065A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047469">
      <w:bodyDiv w:val="1"/>
      <w:marLeft w:val="0"/>
      <w:marRight w:val="0"/>
      <w:marTop w:val="0"/>
      <w:marBottom w:val="0"/>
      <w:divBdr>
        <w:top w:val="none" w:sz="0" w:space="0" w:color="auto"/>
        <w:left w:val="none" w:sz="0" w:space="0" w:color="auto"/>
        <w:bottom w:val="none" w:sz="0" w:space="0" w:color="auto"/>
        <w:right w:val="none" w:sz="0" w:space="0" w:color="auto"/>
      </w:divBdr>
    </w:div>
    <w:div w:id="90778330">
      <w:bodyDiv w:val="1"/>
      <w:marLeft w:val="0"/>
      <w:marRight w:val="0"/>
      <w:marTop w:val="0"/>
      <w:marBottom w:val="0"/>
      <w:divBdr>
        <w:top w:val="none" w:sz="0" w:space="0" w:color="auto"/>
        <w:left w:val="none" w:sz="0" w:space="0" w:color="auto"/>
        <w:bottom w:val="none" w:sz="0" w:space="0" w:color="auto"/>
        <w:right w:val="none" w:sz="0" w:space="0" w:color="auto"/>
      </w:divBdr>
    </w:div>
    <w:div w:id="180626873">
      <w:bodyDiv w:val="1"/>
      <w:marLeft w:val="0"/>
      <w:marRight w:val="0"/>
      <w:marTop w:val="0"/>
      <w:marBottom w:val="0"/>
      <w:divBdr>
        <w:top w:val="none" w:sz="0" w:space="0" w:color="auto"/>
        <w:left w:val="none" w:sz="0" w:space="0" w:color="auto"/>
        <w:bottom w:val="none" w:sz="0" w:space="0" w:color="auto"/>
        <w:right w:val="none" w:sz="0" w:space="0" w:color="auto"/>
      </w:divBdr>
    </w:div>
    <w:div w:id="189998147">
      <w:bodyDiv w:val="1"/>
      <w:marLeft w:val="0"/>
      <w:marRight w:val="0"/>
      <w:marTop w:val="0"/>
      <w:marBottom w:val="0"/>
      <w:divBdr>
        <w:top w:val="none" w:sz="0" w:space="0" w:color="auto"/>
        <w:left w:val="none" w:sz="0" w:space="0" w:color="auto"/>
        <w:bottom w:val="none" w:sz="0" w:space="0" w:color="auto"/>
        <w:right w:val="none" w:sz="0" w:space="0" w:color="auto"/>
      </w:divBdr>
    </w:div>
    <w:div w:id="199637373">
      <w:bodyDiv w:val="1"/>
      <w:marLeft w:val="0"/>
      <w:marRight w:val="0"/>
      <w:marTop w:val="0"/>
      <w:marBottom w:val="0"/>
      <w:divBdr>
        <w:top w:val="none" w:sz="0" w:space="0" w:color="auto"/>
        <w:left w:val="none" w:sz="0" w:space="0" w:color="auto"/>
        <w:bottom w:val="none" w:sz="0" w:space="0" w:color="auto"/>
        <w:right w:val="none" w:sz="0" w:space="0" w:color="auto"/>
      </w:divBdr>
    </w:div>
    <w:div w:id="222912458">
      <w:bodyDiv w:val="1"/>
      <w:marLeft w:val="0"/>
      <w:marRight w:val="0"/>
      <w:marTop w:val="0"/>
      <w:marBottom w:val="0"/>
      <w:divBdr>
        <w:top w:val="none" w:sz="0" w:space="0" w:color="auto"/>
        <w:left w:val="none" w:sz="0" w:space="0" w:color="auto"/>
        <w:bottom w:val="none" w:sz="0" w:space="0" w:color="auto"/>
        <w:right w:val="none" w:sz="0" w:space="0" w:color="auto"/>
      </w:divBdr>
    </w:div>
    <w:div w:id="225460795">
      <w:bodyDiv w:val="1"/>
      <w:marLeft w:val="0"/>
      <w:marRight w:val="0"/>
      <w:marTop w:val="0"/>
      <w:marBottom w:val="0"/>
      <w:divBdr>
        <w:top w:val="none" w:sz="0" w:space="0" w:color="auto"/>
        <w:left w:val="none" w:sz="0" w:space="0" w:color="auto"/>
        <w:bottom w:val="none" w:sz="0" w:space="0" w:color="auto"/>
        <w:right w:val="none" w:sz="0" w:space="0" w:color="auto"/>
      </w:divBdr>
    </w:div>
    <w:div w:id="266935504">
      <w:bodyDiv w:val="1"/>
      <w:marLeft w:val="0"/>
      <w:marRight w:val="0"/>
      <w:marTop w:val="0"/>
      <w:marBottom w:val="0"/>
      <w:divBdr>
        <w:top w:val="none" w:sz="0" w:space="0" w:color="auto"/>
        <w:left w:val="none" w:sz="0" w:space="0" w:color="auto"/>
        <w:bottom w:val="none" w:sz="0" w:space="0" w:color="auto"/>
        <w:right w:val="none" w:sz="0" w:space="0" w:color="auto"/>
      </w:divBdr>
    </w:div>
    <w:div w:id="276522633">
      <w:bodyDiv w:val="1"/>
      <w:marLeft w:val="0"/>
      <w:marRight w:val="0"/>
      <w:marTop w:val="0"/>
      <w:marBottom w:val="0"/>
      <w:divBdr>
        <w:top w:val="none" w:sz="0" w:space="0" w:color="auto"/>
        <w:left w:val="none" w:sz="0" w:space="0" w:color="auto"/>
        <w:bottom w:val="none" w:sz="0" w:space="0" w:color="auto"/>
        <w:right w:val="none" w:sz="0" w:space="0" w:color="auto"/>
      </w:divBdr>
    </w:div>
    <w:div w:id="278530103">
      <w:bodyDiv w:val="1"/>
      <w:marLeft w:val="0"/>
      <w:marRight w:val="0"/>
      <w:marTop w:val="0"/>
      <w:marBottom w:val="0"/>
      <w:divBdr>
        <w:top w:val="none" w:sz="0" w:space="0" w:color="auto"/>
        <w:left w:val="none" w:sz="0" w:space="0" w:color="auto"/>
        <w:bottom w:val="none" w:sz="0" w:space="0" w:color="auto"/>
        <w:right w:val="none" w:sz="0" w:space="0" w:color="auto"/>
      </w:divBdr>
    </w:div>
    <w:div w:id="321159148">
      <w:bodyDiv w:val="1"/>
      <w:marLeft w:val="0"/>
      <w:marRight w:val="0"/>
      <w:marTop w:val="0"/>
      <w:marBottom w:val="0"/>
      <w:divBdr>
        <w:top w:val="none" w:sz="0" w:space="0" w:color="auto"/>
        <w:left w:val="none" w:sz="0" w:space="0" w:color="auto"/>
        <w:bottom w:val="none" w:sz="0" w:space="0" w:color="auto"/>
        <w:right w:val="none" w:sz="0" w:space="0" w:color="auto"/>
      </w:divBdr>
    </w:div>
    <w:div w:id="380597227">
      <w:bodyDiv w:val="1"/>
      <w:marLeft w:val="0"/>
      <w:marRight w:val="0"/>
      <w:marTop w:val="0"/>
      <w:marBottom w:val="0"/>
      <w:divBdr>
        <w:top w:val="none" w:sz="0" w:space="0" w:color="auto"/>
        <w:left w:val="none" w:sz="0" w:space="0" w:color="auto"/>
        <w:bottom w:val="none" w:sz="0" w:space="0" w:color="auto"/>
        <w:right w:val="none" w:sz="0" w:space="0" w:color="auto"/>
      </w:divBdr>
    </w:div>
    <w:div w:id="395248014">
      <w:bodyDiv w:val="1"/>
      <w:marLeft w:val="0"/>
      <w:marRight w:val="0"/>
      <w:marTop w:val="0"/>
      <w:marBottom w:val="0"/>
      <w:divBdr>
        <w:top w:val="none" w:sz="0" w:space="0" w:color="auto"/>
        <w:left w:val="none" w:sz="0" w:space="0" w:color="auto"/>
        <w:bottom w:val="none" w:sz="0" w:space="0" w:color="auto"/>
        <w:right w:val="none" w:sz="0" w:space="0" w:color="auto"/>
      </w:divBdr>
    </w:div>
    <w:div w:id="453452376">
      <w:bodyDiv w:val="1"/>
      <w:marLeft w:val="0"/>
      <w:marRight w:val="0"/>
      <w:marTop w:val="0"/>
      <w:marBottom w:val="0"/>
      <w:divBdr>
        <w:top w:val="none" w:sz="0" w:space="0" w:color="auto"/>
        <w:left w:val="none" w:sz="0" w:space="0" w:color="auto"/>
        <w:bottom w:val="none" w:sz="0" w:space="0" w:color="auto"/>
        <w:right w:val="none" w:sz="0" w:space="0" w:color="auto"/>
      </w:divBdr>
    </w:div>
    <w:div w:id="493841999">
      <w:bodyDiv w:val="1"/>
      <w:marLeft w:val="0"/>
      <w:marRight w:val="0"/>
      <w:marTop w:val="0"/>
      <w:marBottom w:val="0"/>
      <w:divBdr>
        <w:top w:val="none" w:sz="0" w:space="0" w:color="auto"/>
        <w:left w:val="none" w:sz="0" w:space="0" w:color="auto"/>
        <w:bottom w:val="none" w:sz="0" w:space="0" w:color="auto"/>
        <w:right w:val="none" w:sz="0" w:space="0" w:color="auto"/>
      </w:divBdr>
    </w:div>
    <w:div w:id="505285682">
      <w:bodyDiv w:val="1"/>
      <w:marLeft w:val="0"/>
      <w:marRight w:val="0"/>
      <w:marTop w:val="0"/>
      <w:marBottom w:val="0"/>
      <w:divBdr>
        <w:top w:val="none" w:sz="0" w:space="0" w:color="auto"/>
        <w:left w:val="none" w:sz="0" w:space="0" w:color="auto"/>
        <w:bottom w:val="none" w:sz="0" w:space="0" w:color="auto"/>
        <w:right w:val="none" w:sz="0" w:space="0" w:color="auto"/>
      </w:divBdr>
    </w:div>
    <w:div w:id="522091435">
      <w:bodyDiv w:val="1"/>
      <w:marLeft w:val="0"/>
      <w:marRight w:val="0"/>
      <w:marTop w:val="0"/>
      <w:marBottom w:val="0"/>
      <w:divBdr>
        <w:top w:val="none" w:sz="0" w:space="0" w:color="auto"/>
        <w:left w:val="none" w:sz="0" w:space="0" w:color="auto"/>
        <w:bottom w:val="none" w:sz="0" w:space="0" w:color="auto"/>
        <w:right w:val="none" w:sz="0" w:space="0" w:color="auto"/>
      </w:divBdr>
    </w:div>
    <w:div w:id="542249552">
      <w:bodyDiv w:val="1"/>
      <w:marLeft w:val="0"/>
      <w:marRight w:val="0"/>
      <w:marTop w:val="0"/>
      <w:marBottom w:val="0"/>
      <w:divBdr>
        <w:top w:val="none" w:sz="0" w:space="0" w:color="auto"/>
        <w:left w:val="none" w:sz="0" w:space="0" w:color="auto"/>
        <w:bottom w:val="none" w:sz="0" w:space="0" w:color="auto"/>
        <w:right w:val="none" w:sz="0" w:space="0" w:color="auto"/>
      </w:divBdr>
    </w:div>
    <w:div w:id="556359176">
      <w:bodyDiv w:val="1"/>
      <w:marLeft w:val="0"/>
      <w:marRight w:val="0"/>
      <w:marTop w:val="0"/>
      <w:marBottom w:val="0"/>
      <w:divBdr>
        <w:top w:val="none" w:sz="0" w:space="0" w:color="auto"/>
        <w:left w:val="none" w:sz="0" w:space="0" w:color="auto"/>
        <w:bottom w:val="none" w:sz="0" w:space="0" w:color="auto"/>
        <w:right w:val="none" w:sz="0" w:space="0" w:color="auto"/>
      </w:divBdr>
    </w:div>
    <w:div w:id="591206173">
      <w:bodyDiv w:val="1"/>
      <w:marLeft w:val="0"/>
      <w:marRight w:val="0"/>
      <w:marTop w:val="0"/>
      <w:marBottom w:val="0"/>
      <w:divBdr>
        <w:top w:val="none" w:sz="0" w:space="0" w:color="auto"/>
        <w:left w:val="none" w:sz="0" w:space="0" w:color="auto"/>
        <w:bottom w:val="none" w:sz="0" w:space="0" w:color="auto"/>
        <w:right w:val="none" w:sz="0" w:space="0" w:color="auto"/>
      </w:divBdr>
    </w:div>
    <w:div w:id="670260541">
      <w:bodyDiv w:val="1"/>
      <w:marLeft w:val="0"/>
      <w:marRight w:val="0"/>
      <w:marTop w:val="0"/>
      <w:marBottom w:val="0"/>
      <w:divBdr>
        <w:top w:val="none" w:sz="0" w:space="0" w:color="auto"/>
        <w:left w:val="none" w:sz="0" w:space="0" w:color="auto"/>
        <w:bottom w:val="none" w:sz="0" w:space="0" w:color="auto"/>
        <w:right w:val="none" w:sz="0" w:space="0" w:color="auto"/>
      </w:divBdr>
      <w:divsChild>
        <w:div w:id="548959098">
          <w:marLeft w:val="0"/>
          <w:marRight w:val="0"/>
          <w:marTop w:val="0"/>
          <w:marBottom w:val="0"/>
          <w:divBdr>
            <w:top w:val="none" w:sz="0" w:space="0" w:color="auto"/>
            <w:left w:val="none" w:sz="0" w:space="0" w:color="auto"/>
            <w:bottom w:val="none" w:sz="0" w:space="0" w:color="auto"/>
            <w:right w:val="none" w:sz="0" w:space="0" w:color="auto"/>
          </w:divBdr>
          <w:divsChild>
            <w:div w:id="408306857">
              <w:marLeft w:val="0"/>
              <w:marRight w:val="0"/>
              <w:marTop w:val="0"/>
              <w:marBottom w:val="0"/>
              <w:divBdr>
                <w:top w:val="none" w:sz="0" w:space="0" w:color="auto"/>
                <w:left w:val="none" w:sz="0" w:space="0" w:color="auto"/>
                <w:bottom w:val="none" w:sz="0" w:space="0" w:color="auto"/>
                <w:right w:val="none" w:sz="0" w:space="0" w:color="auto"/>
              </w:divBdr>
              <w:divsChild>
                <w:div w:id="1355881371">
                  <w:marLeft w:val="0"/>
                  <w:marRight w:val="0"/>
                  <w:marTop w:val="0"/>
                  <w:marBottom w:val="0"/>
                  <w:divBdr>
                    <w:top w:val="none" w:sz="0" w:space="0" w:color="auto"/>
                    <w:left w:val="none" w:sz="0" w:space="0" w:color="auto"/>
                    <w:bottom w:val="none" w:sz="0" w:space="0" w:color="auto"/>
                    <w:right w:val="none" w:sz="0" w:space="0" w:color="auto"/>
                  </w:divBdr>
                  <w:divsChild>
                    <w:div w:id="56829313">
                      <w:marLeft w:val="0"/>
                      <w:marRight w:val="0"/>
                      <w:marTop w:val="0"/>
                      <w:marBottom w:val="0"/>
                      <w:divBdr>
                        <w:top w:val="none" w:sz="0" w:space="0" w:color="auto"/>
                        <w:left w:val="none" w:sz="0" w:space="0" w:color="auto"/>
                        <w:bottom w:val="none" w:sz="0" w:space="0" w:color="auto"/>
                        <w:right w:val="none" w:sz="0" w:space="0" w:color="auto"/>
                      </w:divBdr>
                      <w:divsChild>
                        <w:div w:id="1513254483">
                          <w:marLeft w:val="0"/>
                          <w:marRight w:val="0"/>
                          <w:marTop w:val="0"/>
                          <w:marBottom w:val="0"/>
                          <w:divBdr>
                            <w:top w:val="none" w:sz="0" w:space="0" w:color="auto"/>
                            <w:left w:val="none" w:sz="0" w:space="0" w:color="auto"/>
                            <w:bottom w:val="none" w:sz="0" w:space="0" w:color="auto"/>
                            <w:right w:val="none" w:sz="0" w:space="0" w:color="auto"/>
                          </w:divBdr>
                          <w:divsChild>
                            <w:div w:id="235436119">
                              <w:marLeft w:val="0"/>
                              <w:marRight w:val="0"/>
                              <w:marTop w:val="0"/>
                              <w:marBottom w:val="0"/>
                              <w:divBdr>
                                <w:top w:val="none" w:sz="0" w:space="0" w:color="auto"/>
                                <w:left w:val="none" w:sz="0" w:space="0" w:color="auto"/>
                                <w:bottom w:val="none" w:sz="0" w:space="0" w:color="auto"/>
                                <w:right w:val="none" w:sz="0" w:space="0" w:color="auto"/>
                              </w:divBdr>
                              <w:divsChild>
                                <w:div w:id="330639350">
                                  <w:marLeft w:val="0"/>
                                  <w:marRight w:val="0"/>
                                  <w:marTop w:val="0"/>
                                  <w:marBottom w:val="0"/>
                                  <w:divBdr>
                                    <w:top w:val="none" w:sz="0" w:space="0" w:color="auto"/>
                                    <w:left w:val="none" w:sz="0" w:space="0" w:color="auto"/>
                                    <w:bottom w:val="none" w:sz="0" w:space="0" w:color="auto"/>
                                    <w:right w:val="none" w:sz="0" w:space="0" w:color="auto"/>
                                  </w:divBdr>
                                  <w:divsChild>
                                    <w:div w:id="1875533574">
                                      <w:marLeft w:val="0"/>
                                      <w:marRight w:val="0"/>
                                      <w:marTop w:val="0"/>
                                      <w:marBottom w:val="0"/>
                                      <w:divBdr>
                                        <w:top w:val="none" w:sz="0" w:space="0" w:color="auto"/>
                                        <w:left w:val="none" w:sz="0" w:space="0" w:color="auto"/>
                                        <w:bottom w:val="none" w:sz="0" w:space="0" w:color="auto"/>
                                        <w:right w:val="none" w:sz="0" w:space="0" w:color="auto"/>
                                      </w:divBdr>
                                      <w:divsChild>
                                        <w:div w:id="691998540">
                                          <w:marLeft w:val="0"/>
                                          <w:marRight w:val="0"/>
                                          <w:marTop w:val="0"/>
                                          <w:marBottom w:val="0"/>
                                          <w:divBdr>
                                            <w:top w:val="none" w:sz="0" w:space="0" w:color="auto"/>
                                            <w:left w:val="none" w:sz="0" w:space="0" w:color="auto"/>
                                            <w:bottom w:val="none" w:sz="0" w:space="0" w:color="auto"/>
                                            <w:right w:val="none" w:sz="0" w:space="0" w:color="auto"/>
                                          </w:divBdr>
                                          <w:divsChild>
                                            <w:div w:id="2145535786">
                                              <w:marLeft w:val="0"/>
                                              <w:marRight w:val="0"/>
                                              <w:marTop w:val="0"/>
                                              <w:marBottom w:val="0"/>
                                              <w:divBdr>
                                                <w:top w:val="none" w:sz="0" w:space="0" w:color="auto"/>
                                                <w:left w:val="none" w:sz="0" w:space="0" w:color="auto"/>
                                                <w:bottom w:val="none" w:sz="0" w:space="0" w:color="auto"/>
                                                <w:right w:val="none" w:sz="0" w:space="0" w:color="auto"/>
                                              </w:divBdr>
                                              <w:divsChild>
                                                <w:div w:id="1056661701">
                                                  <w:marLeft w:val="0"/>
                                                  <w:marRight w:val="0"/>
                                                  <w:marTop w:val="0"/>
                                                  <w:marBottom w:val="0"/>
                                                  <w:divBdr>
                                                    <w:top w:val="none" w:sz="0" w:space="0" w:color="auto"/>
                                                    <w:left w:val="none" w:sz="0" w:space="0" w:color="auto"/>
                                                    <w:bottom w:val="none" w:sz="0" w:space="0" w:color="auto"/>
                                                    <w:right w:val="none" w:sz="0" w:space="0" w:color="auto"/>
                                                  </w:divBdr>
                                                  <w:divsChild>
                                                    <w:div w:id="1654018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714695093">
      <w:bodyDiv w:val="1"/>
      <w:marLeft w:val="0"/>
      <w:marRight w:val="0"/>
      <w:marTop w:val="0"/>
      <w:marBottom w:val="0"/>
      <w:divBdr>
        <w:top w:val="none" w:sz="0" w:space="0" w:color="auto"/>
        <w:left w:val="none" w:sz="0" w:space="0" w:color="auto"/>
        <w:bottom w:val="none" w:sz="0" w:space="0" w:color="auto"/>
        <w:right w:val="none" w:sz="0" w:space="0" w:color="auto"/>
      </w:divBdr>
    </w:div>
    <w:div w:id="801582694">
      <w:bodyDiv w:val="1"/>
      <w:marLeft w:val="0"/>
      <w:marRight w:val="0"/>
      <w:marTop w:val="0"/>
      <w:marBottom w:val="0"/>
      <w:divBdr>
        <w:top w:val="none" w:sz="0" w:space="0" w:color="auto"/>
        <w:left w:val="none" w:sz="0" w:space="0" w:color="auto"/>
        <w:bottom w:val="none" w:sz="0" w:space="0" w:color="auto"/>
        <w:right w:val="none" w:sz="0" w:space="0" w:color="auto"/>
      </w:divBdr>
    </w:div>
    <w:div w:id="804658655">
      <w:bodyDiv w:val="1"/>
      <w:marLeft w:val="0"/>
      <w:marRight w:val="0"/>
      <w:marTop w:val="0"/>
      <w:marBottom w:val="0"/>
      <w:divBdr>
        <w:top w:val="none" w:sz="0" w:space="0" w:color="auto"/>
        <w:left w:val="none" w:sz="0" w:space="0" w:color="auto"/>
        <w:bottom w:val="none" w:sz="0" w:space="0" w:color="auto"/>
        <w:right w:val="none" w:sz="0" w:space="0" w:color="auto"/>
      </w:divBdr>
    </w:div>
    <w:div w:id="818300635">
      <w:bodyDiv w:val="1"/>
      <w:marLeft w:val="0"/>
      <w:marRight w:val="0"/>
      <w:marTop w:val="0"/>
      <w:marBottom w:val="0"/>
      <w:divBdr>
        <w:top w:val="none" w:sz="0" w:space="0" w:color="auto"/>
        <w:left w:val="none" w:sz="0" w:space="0" w:color="auto"/>
        <w:bottom w:val="none" w:sz="0" w:space="0" w:color="auto"/>
        <w:right w:val="none" w:sz="0" w:space="0" w:color="auto"/>
      </w:divBdr>
    </w:div>
    <w:div w:id="917441453">
      <w:bodyDiv w:val="1"/>
      <w:marLeft w:val="0"/>
      <w:marRight w:val="0"/>
      <w:marTop w:val="0"/>
      <w:marBottom w:val="0"/>
      <w:divBdr>
        <w:top w:val="none" w:sz="0" w:space="0" w:color="auto"/>
        <w:left w:val="none" w:sz="0" w:space="0" w:color="auto"/>
        <w:bottom w:val="none" w:sz="0" w:space="0" w:color="auto"/>
        <w:right w:val="none" w:sz="0" w:space="0" w:color="auto"/>
      </w:divBdr>
    </w:div>
    <w:div w:id="962079939">
      <w:bodyDiv w:val="1"/>
      <w:marLeft w:val="0"/>
      <w:marRight w:val="0"/>
      <w:marTop w:val="0"/>
      <w:marBottom w:val="0"/>
      <w:divBdr>
        <w:top w:val="none" w:sz="0" w:space="0" w:color="auto"/>
        <w:left w:val="none" w:sz="0" w:space="0" w:color="auto"/>
        <w:bottom w:val="none" w:sz="0" w:space="0" w:color="auto"/>
        <w:right w:val="none" w:sz="0" w:space="0" w:color="auto"/>
      </w:divBdr>
    </w:div>
    <w:div w:id="972558754">
      <w:bodyDiv w:val="1"/>
      <w:marLeft w:val="0"/>
      <w:marRight w:val="0"/>
      <w:marTop w:val="0"/>
      <w:marBottom w:val="0"/>
      <w:divBdr>
        <w:top w:val="none" w:sz="0" w:space="0" w:color="auto"/>
        <w:left w:val="none" w:sz="0" w:space="0" w:color="auto"/>
        <w:bottom w:val="none" w:sz="0" w:space="0" w:color="auto"/>
        <w:right w:val="none" w:sz="0" w:space="0" w:color="auto"/>
      </w:divBdr>
    </w:div>
    <w:div w:id="996570386">
      <w:bodyDiv w:val="1"/>
      <w:marLeft w:val="0"/>
      <w:marRight w:val="0"/>
      <w:marTop w:val="0"/>
      <w:marBottom w:val="0"/>
      <w:divBdr>
        <w:top w:val="none" w:sz="0" w:space="0" w:color="auto"/>
        <w:left w:val="none" w:sz="0" w:space="0" w:color="auto"/>
        <w:bottom w:val="none" w:sz="0" w:space="0" w:color="auto"/>
        <w:right w:val="none" w:sz="0" w:space="0" w:color="auto"/>
      </w:divBdr>
    </w:div>
    <w:div w:id="1036537747">
      <w:bodyDiv w:val="1"/>
      <w:marLeft w:val="0"/>
      <w:marRight w:val="0"/>
      <w:marTop w:val="0"/>
      <w:marBottom w:val="0"/>
      <w:divBdr>
        <w:top w:val="none" w:sz="0" w:space="0" w:color="auto"/>
        <w:left w:val="none" w:sz="0" w:space="0" w:color="auto"/>
        <w:bottom w:val="none" w:sz="0" w:space="0" w:color="auto"/>
        <w:right w:val="none" w:sz="0" w:space="0" w:color="auto"/>
      </w:divBdr>
    </w:div>
    <w:div w:id="1066151321">
      <w:bodyDiv w:val="1"/>
      <w:marLeft w:val="0"/>
      <w:marRight w:val="0"/>
      <w:marTop w:val="0"/>
      <w:marBottom w:val="0"/>
      <w:divBdr>
        <w:top w:val="none" w:sz="0" w:space="0" w:color="auto"/>
        <w:left w:val="none" w:sz="0" w:space="0" w:color="auto"/>
        <w:bottom w:val="none" w:sz="0" w:space="0" w:color="auto"/>
        <w:right w:val="none" w:sz="0" w:space="0" w:color="auto"/>
      </w:divBdr>
    </w:div>
    <w:div w:id="1146825575">
      <w:bodyDiv w:val="1"/>
      <w:marLeft w:val="0"/>
      <w:marRight w:val="0"/>
      <w:marTop w:val="0"/>
      <w:marBottom w:val="0"/>
      <w:divBdr>
        <w:top w:val="none" w:sz="0" w:space="0" w:color="auto"/>
        <w:left w:val="none" w:sz="0" w:space="0" w:color="auto"/>
        <w:bottom w:val="none" w:sz="0" w:space="0" w:color="auto"/>
        <w:right w:val="none" w:sz="0" w:space="0" w:color="auto"/>
      </w:divBdr>
    </w:div>
    <w:div w:id="1182088035">
      <w:bodyDiv w:val="1"/>
      <w:marLeft w:val="0"/>
      <w:marRight w:val="0"/>
      <w:marTop w:val="0"/>
      <w:marBottom w:val="0"/>
      <w:divBdr>
        <w:top w:val="none" w:sz="0" w:space="0" w:color="auto"/>
        <w:left w:val="none" w:sz="0" w:space="0" w:color="auto"/>
        <w:bottom w:val="none" w:sz="0" w:space="0" w:color="auto"/>
        <w:right w:val="none" w:sz="0" w:space="0" w:color="auto"/>
      </w:divBdr>
    </w:div>
    <w:div w:id="1183205808">
      <w:bodyDiv w:val="1"/>
      <w:marLeft w:val="0"/>
      <w:marRight w:val="0"/>
      <w:marTop w:val="0"/>
      <w:marBottom w:val="0"/>
      <w:divBdr>
        <w:top w:val="none" w:sz="0" w:space="0" w:color="auto"/>
        <w:left w:val="none" w:sz="0" w:space="0" w:color="auto"/>
        <w:bottom w:val="none" w:sz="0" w:space="0" w:color="auto"/>
        <w:right w:val="none" w:sz="0" w:space="0" w:color="auto"/>
      </w:divBdr>
    </w:div>
    <w:div w:id="1191336424">
      <w:bodyDiv w:val="1"/>
      <w:marLeft w:val="0"/>
      <w:marRight w:val="0"/>
      <w:marTop w:val="0"/>
      <w:marBottom w:val="0"/>
      <w:divBdr>
        <w:top w:val="none" w:sz="0" w:space="0" w:color="auto"/>
        <w:left w:val="none" w:sz="0" w:space="0" w:color="auto"/>
        <w:bottom w:val="none" w:sz="0" w:space="0" w:color="auto"/>
        <w:right w:val="none" w:sz="0" w:space="0" w:color="auto"/>
      </w:divBdr>
    </w:div>
    <w:div w:id="1225215783">
      <w:bodyDiv w:val="1"/>
      <w:marLeft w:val="0"/>
      <w:marRight w:val="0"/>
      <w:marTop w:val="0"/>
      <w:marBottom w:val="0"/>
      <w:divBdr>
        <w:top w:val="none" w:sz="0" w:space="0" w:color="auto"/>
        <w:left w:val="none" w:sz="0" w:space="0" w:color="auto"/>
        <w:bottom w:val="none" w:sz="0" w:space="0" w:color="auto"/>
        <w:right w:val="none" w:sz="0" w:space="0" w:color="auto"/>
      </w:divBdr>
    </w:div>
    <w:div w:id="1243298220">
      <w:bodyDiv w:val="1"/>
      <w:marLeft w:val="0"/>
      <w:marRight w:val="0"/>
      <w:marTop w:val="0"/>
      <w:marBottom w:val="0"/>
      <w:divBdr>
        <w:top w:val="none" w:sz="0" w:space="0" w:color="auto"/>
        <w:left w:val="none" w:sz="0" w:space="0" w:color="auto"/>
        <w:bottom w:val="none" w:sz="0" w:space="0" w:color="auto"/>
        <w:right w:val="none" w:sz="0" w:space="0" w:color="auto"/>
      </w:divBdr>
    </w:div>
    <w:div w:id="1258713715">
      <w:bodyDiv w:val="1"/>
      <w:marLeft w:val="0"/>
      <w:marRight w:val="0"/>
      <w:marTop w:val="0"/>
      <w:marBottom w:val="0"/>
      <w:divBdr>
        <w:top w:val="none" w:sz="0" w:space="0" w:color="auto"/>
        <w:left w:val="none" w:sz="0" w:space="0" w:color="auto"/>
        <w:bottom w:val="none" w:sz="0" w:space="0" w:color="auto"/>
        <w:right w:val="none" w:sz="0" w:space="0" w:color="auto"/>
      </w:divBdr>
    </w:div>
    <w:div w:id="1310208288">
      <w:bodyDiv w:val="1"/>
      <w:marLeft w:val="0"/>
      <w:marRight w:val="0"/>
      <w:marTop w:val="0"/>
      <w:marBottom w:val="0"/>
      <w:divBdr>
        <w:top w:val="none" w:sz="0" w:space="0" w:color="auto"/>
        <w:left w:val="none" w:sz="0" w:space="0" w:color="auto"/>
        <w:bottom w:val="none" w:sz="0" w:space="0" w:color="auto"/>
        <w:right w:val="none" w:sz="0" w:space="0" w:color="auto"/>
      </w:divBdr>
    </w:div>
    <w:div w:id="1381516032">
      <w:bodyDiv w:val="1"/>
      <w:marLeft w:val="0"/>
      <w:marRight w:val="0"/>
      <w:marTop w:val="0"/>
      <w:marBottom w:val="0"/>
      <w:divBdr>
        <w:top w:val="none" w:sz="0" w:space="0" w:color="auto"/>
        <w:left w:val="none" w:sz="0" w:space="0" w:color="auto"/>
        <w:bottom w:val="none" w:sz="0" w:space="0" w:color="auto"/>
        <w:right w:val="none" w:sz="0" w:space="0" w:color="auto"/>
      </w:divBdr>
    </w:div>
    <w:div w:id="1400862517">
      <w:bodyDiv w:val="1"/>
      <w:marLeft w:val="0"/>
      <w:marRight w:val="0"/>
      <w:marTop w:val="0"/>
      <w:marBottom w:val="0"/>
      <w:divBdr>
        <w:top w:val="none" w:sz="0" w:space="0" w:color="auto"/>
        <w:left w:val="none" w:sz="0" w:space="0" w:color="auto"/>
        <w:bottom w:val="none" w:sz="0" w:space="0" w:color="auto"/>
        <w:right w:val="none" w:sz="0" w:space="0" w:color="auto"/>
      </w:divBdr>
    </w:div>
    <w:div w:id="1403799090">
      <w:bodyDiv w:val="1"/>
      <w:marLeft w:val="0"/>
      <w:marRight w:val="0"/>
      <w:marTop w:val="0"/>
      <w:marBottom w:val="0"/>
      <w:divBdr>
        <w:top w:val="none" w:sz="0" w:space="0" w:color="auto"/>
        <w:left w:val="none" w:sz="0" w:space="0" w:color="auto"/>
        <w:bottom w:val="none" w:sz="0" w:space="0" w:color="auto"/>
        <w:right w:val="none" w:sz="0" w:space="0" w:color="auto"/>
      </w:divBdr>
    </w:div>
    <w:div w:id="1459644893">
      <w:bodyDiv w:val="1"/>
      <w:marLeft w:val="0"/>
      <w:marRight w:val="0"/>
      <w:marTop w:val="0"/>
      <w:marBottom w:val="0"/>
      <w:divBdr>
        <w:top w:val="none" w:sz="0" w:space="0" w:color="auto"/>
        <w:left w:val="none" w:sz="0" w:space="0" w:color="auto"/>
        <w:bottom w:val="none" w:sz="0" w:space="0" w:color="auto"/>
        <w:right w:val="none" w:sz="0" w:space="0" w:color="auto"/>
      </w:divBdr>
    </w:div>
    <w:div w:id="1459907248">
      <w:bodyDiv w:val="1"/>
      <w:marLeft w:val="0"/>
      <w:marRight w:val="0"/>
      <w:marTop w:val="0"/>
      <w:marBottom w:val="0"/>
      <w:divBdr>
        <w:top w:val="none" w:sz="0" w:space="0" w:color="auto"/>
        <w:left w:val="none" w:sz="0" w:space="0" w:color="auto"/>
        <w:bottom w:val="none" w:sz="0" w:space="0" w:color="auto"/>
        <w:right w:val="none" w:sz="0" w:space="0" w:color="auto"/>
      </w:divBdr>
    </w:div>
    <w:div w:id="1461722836">
      <w:bodyDiv w:val="1"/>
      <w:marLeft w:val="0"/>
      <w:marRight w:val="0"/>
      <w:marTop w:val="0"/>
      <w:marBottom w:val="0"/>
      <w:divBdr>
        <w:top w:val="none" w:sz="0" w:space="0" w:color="auto"/>
        <w:left w:val="none" w:sz="0" w:space="0" w:color="auto"/>
        <w:bottom w:val="none" w:sz="0" w:space="0" w:color="auto"/>
        <w:right w:val="none" w:sz="0" w:space="0" w:color="auto"/>
      </w:divBdr>
    </w:div>
    <w:div w:id="1488789156">
      <w:bodyDiv w:val="1"/>
      <w:marLeft w:val="0"/>
      <w:marRight w:val="0"/>
      <w:marTop w:val="0"/>
      <w:marBottom w:val="0"/>
      <w:divBdr>
        <w:top w:val="none" w:sz="0" w:space="0" w:color="auto"/>
        <w:left w:val="none" w:sz="0" w:space="0" w:color="auto"/>
        <w:bottom w:val="none" w:sz="0" w:space="0" w:color="auto"/>
        <w:right w:val="none" w:sz="0" w:space="0" w:color="auto"/>
      </w:divBdr>
    </w:div>
    <w:div w:id="1503818215">
      <w:bodyDiv w:val="1"/>
      <w:marLeft w:val="0"/>
      <w:marRight w:val="0"/>
      <w:marTop w:val="0"/>
      <w:marBottom w:val="0"/>
      <w:divBdr>
        <w:top w:val="none" w:sz="0" w:space="0" w:color="auto"/>
        <w:left w:val="none" w:sz="0" w:space="0" w:color="auto"/>
        <w:bottom w:val="none" w:sz="0" w:space="0" w:color="auto"/>
        <w:right w:val="none" w:sz="0" w:space="0" w:color="auto"/>
      </w:divBdr>
    </w:div>
    <w:div w:id="1531381540">
      <w:bodyDiv w:val="1"/>
      <w:marLeft w:val="0"/>
      <w:marRight w:val="0"/>
      <w:marTop w:val="0"/>
      <w:marBottom w:val="0"/>
      <w:divBdr>
        <w:top w:val="none" w:sz="0" w:space="0" w:color="auto"/>
        <w:left w:val="none" w:sz="0" w:space="0" w:color="auto"/>
        <w:bottom w:val="none" w:sz="0" w:space="0" w:color="auto"/>
        <w:right w:val="none" w:sz="0" w:space="0" w:color="auto"/>
      </w:divBdr>
    </w:div>
    <w:div w:id="1536507003">
      <w:bodyDiv w:val="1"/>
      <w:marLeft w:val="0"/>
      <w:marRight w:val="0"/>
      <w:marTop w:val="0"/>
      <w:marBottom w:val="0"/>
      <w:divBdr>
        <w:top w:val="none" w:sz="0" w:space="0" w:color="auto"/>
        <w:left w:val="none" w:sz="0" w:space="0" w:color="auto"/>
        <w:bottom w:val="none" w:sz="0" w:space="0" w:color="auto"/>
        <w:right w:val="none" w:sz="0" w:space="0" w:color="auto"/>
      </w:divBdr>
    </w:div>
    <w:div w:id="1547108934">
      <w:bodyDiv w:val="1"/>
      <w:marLeft w:val="0"/>
      <w:marRight w:val="0"/>
      <w:marTop w:val="0"/>
      <w:marBottom w:val="0"/>
      <w:divBdr>
        <w:top w:val="none" w:sz="0" w:space="0" w:color="auto"/>
        <w:left w:val="none" w:sz="0" w:space="0" w:color="auto"/>
        <w:bottom w:val="none" w:sz="0" w:space="0" w:color="auto"/>
        <w:right w:val="none" w:sz="0" w:space="0" w:color="auto"/>
      </w:divBdr>
    </w:div>
    <w:div w:id="1598248940">
      <w:bodyDiv w:val="1"/>
      <w:marLeft w:val="0"/>
      <w:marRight w:val="0"/>
      <w:marTop w:val="0"/>
      <w:marBottom w:val="0"/>
      <w:divBdr>
        <w:top w:val="none" w:sz="0" w:space="0" w:color="auto"/>
        <w:left w:val="none" w:sz="0" w:space="0" w:color="auto"/>
        <w:bottom w:val="none" w:sz="0" w:space="0" w:color="auto"/>
        <w:right w:val="none" w:sz="0" w:space="0" w:color="auto"/>
      </w:divBdr>
    </w:div>
    <w:div w:id="1616329915">
      <w:bodyDiv w:val="1"/>
      <w:marLeft w:val="0"/>
      <w:marRight w:val="0"/>
      <w:marTop w:val="0"/>
      <w:marBottom w:val="0"/>
      <w:divBdr>
        <w:top w:val="none" w:sz="0" w:space="0" w:color="auto"/>
        <w:left w:val="none" w:sz="0" w:space="0" w:color="auto"/>
        <w:bottom w:val="none" w:sz="0" w:space="0" w:color="auto"/>
        <w:right w:val="none" w:sz="0" w:space="0" w:color="auto"/>
      </w:divBdr>
    </w:div>
    <w:div w:id="1641377703">
      <w:bodyDiv w:val="1"/>
      <w:marLeft w:val="0"/>
      <w:marRight w:val="0"/>
      <w:marTop w:val="0"/>
      <w:marBottom w:val="0"/>
      <w:divBdr>
        <w:top w:val="none" w:sz="0" w:space="0" w:color="auto"/>
        <w:left w:val="none" w:sz="0" w:space="0" w:color="auto"/>
        <w:bottom w:val="none" w:sz="0" w:space="0" w:color="auto"/>
        <w:right w:val="none" w:sz="0" w:space="0" w:color="auto"/>
      </w:divBdr>
    </w:div>
    <w:div w:id="1657562409">
      <w:bodyDiv w:val="1"/>
      <w:marLeft w:val="0"/>
      <w:marRight w:val="0"/>
      <w:marTop w:val="0"/>
      <w:marBottom w:val="0"/>
      <w:divBdr>
        <w:top w:val="none" w:sz="0" w:space="0" w:color="auto"/>
        <w:left w:val="none" w:sz="0" w:space="0" w:color="auto"/>
        <w:bottom w:val="none" w:sz="0" w:space="0" w:color="auto"/>
        <w:right w:val="none" w:sz="0" w:space="0" w:color="auto"/>
      </w:divBdr>
    </w:div>
    <w:div w:id="1665425771">
      <w:bodyDiv w:val="1"/>
      <w:marLeft w:val="0"/>
      <w:marRight w:val="0"/>
      <w:marTop w:val="0"/>
      <w:marBottom w:val="0"/>
      <w:divBdr>
        <w:top w:val="none" w:sz="0" w:space="0" w:color="auto"/>
        <w:left w:val="none" w:sz="0" w:space="0" w:color="auto"/>
        <w:bottom w:val="none" w:sz="0" w:space="0" w:color="auto"/>
        <w:right w:val="none" w:sz="0" w:space="0" w:color="auto"/>
      </w:divBdr>
    </w:div>
    <w:div w:id="1669477308">
      <w:bodyDiv w:val="1"/>
      <w:marLeft w:val="0"/>
      <w:marRight w:val="0"/>
      <w:marTop w:val="0"/>
      <w:marBottom w:val="0"/>
      <w:divBdr>
        <w:top w:val="none" w:sz="0" w:space="0" w:color="auto"/>
        <w:left w:val="none" w:sz="0" w:space="0" w:color="auto"/>
        <w:bottom w:val="none" w:sz="0" w:space="0" w:color="auto"/>
        <w:right w:val="none" w:sz="0" w:space="0" w:color="auto"/>
      </w:divBdr>
      <w:divsChild>
        <w:div w:id="49616056">
          <w:marLeft w:val="0"/>
          <w:marRight w:val="0"/>
          <w:marTop w:val="0"/>
          <w:marBottom w:val="0"/>
          <w:divBdr>
            <w:top w:val="none" w:sz="0" w:space="0" w:color="auto"/>
            <w:left w:val="none" w:sz="0" w:space="0" w:color="auto"/>
            <w:bottom w:val="none" w:sz="0" w:space="0" w:color="auto"/>
            <w:right w:val="none" w:sz="0" w:space="0" w:color="auto"/>
          </w:divBdr>
          <w:divsChild>
            <w:div w:id="517700083">
              <w:marLeft w:val="0"/>
              <w:marRight w:val="0"/>
              <w:marTop w:val="0"/>
              <w:marBottom w:val="0"/>
              <w:divBdr>
                <w:top w:val="none" w:sz="0" w:space="0" w:color="auto"/>
                <w:left w:val="none" w:sz="0" w:space="0" w:color="auto"/>
                <w:bottom w:val="none" w:sz="0" w:space="0" w:color="auto"/>
                <w:right w:val="none" w:sz="0" w:space="0" w:color="auto"/>
              </w:divBdr>
              <w:divsChild>
                <w:div w:id="1474985920">
                  <w:marLeft w:val="0"/>
                  <w:marRight w:val="0"/>
                  <w:marTop w:val="0"/>
                  <w:marBottom w:val="0"/>
                  <w:divBdr>
                    <w:top w:val="none" w:sz="0" w:space="0" w:color="auto"/>
                    <w:left w:val="none" w:sz="0" w:space="0" w:color="auto"/>
                    <w:bottom w:val="none" w:sz="0" w:space="0" w:color="auto"/>
                    <w:right w:val="none" w:sz="0" w:space="0" w:color="auto"/>
                  </w:divBdr>
                  <w:divsChild>
                    <w:div w:id="641546543">
                      <w:marLeft w:val="0"/>
                      <w:marRight w:val="0"/>
                      <w:marTop w:val="0"/>
                      <w:marBottom w:val="0"/>
                      <w:divBdr>
                        <w:top w:val="none" w:sz="0" w:space="0" w:color="auto"/>
                        <w:left w:val="none" w:sz="0" w:space="0" w:color="auto"/>
                        <w:bottom w:val="none" w:sz="0" w:space="0" w:color="auto"/>
                        <w:right w:val="none" w:sz="0" w:space="0" w:color="auto"/>
                      </w:divBdr>
                      <w:divsChild>
                        <w:div w:id="153111121">
                          <w:marLeft w:val="0"/>
                          <w:marRight w:val="0"/>
                          <w:marTop w:val="0"/>
                          <w:marBottom w:val="0"/>
                          <w:divBdr>
                            <w:top w:val="none" w:sz="0" w:space="0" w:color="auto"/>
                            <w:left w:val="none" w:sz="0" w:space="0" w:color="auto"/>
                            <w:bottom w:val="none" w:sz="0" w:space="0" w:color="auto"/>
                            <w:right w:val="none" w:sz="0" w:space="0" w:color="auto"/>
                          </w:divBdr>
                          <w:divsChild>
                            <w:div w:id="1588804839">
                              <w:marLeft w:val="0"/>
                              <w:marRight w:val="0"/>
                              <w:marTop w:val="0"/>
                              <w:marBottom w:val="0"/>
                              <w:divBdr>
                                <w:top w:val="none" w:sz="0" w:space="0" w:color="auto"/>
                                <w:left w:val="none" w:sz="0" w:space="0" w:color="auto"/>
                                <w:bottom w:val="none" w:sz="0" w:space="0" w:color="auto"/>
                                <w:right w:val="none" w:sz="0" w:space="0" w:color="auto"/>
                              </w:divBdr>
                              <w:divsChild>
                                <w:div w:id="1696495260">
                                  <w:marLeft w:val="0"/>
                                  <w:marRight w:val="0"/>
                                  <w:marTop w:val="0"/>
                                  <w:marBottom w:val="0"/>
                                  <w:divBdr>
                                    <w:top w:val="none" w:sz="0" w:space="0" w:color="auto"/>
                                    <w:left w:val="none" w:sz="0" w:space="0" w:color="auto"/>
                                    <w:bottom w:val="none" w:sz="0" w:space="0" w:color="auto"/>
                                    <w:right w:val="none" w:sz="0" w:space="0" w:color="auto"/>
                                  </w:divBdr>
                                  <w:divsChild>
                                    <w:div w:id="202525047">
                                      <w:marLeft w:val="0"/>
                                      <w:marRight w:val="0"/>
                                      <w:marTop w:val="0"/>
                                      <w:marBottom w:val="0"/>
                                      <w:divBdr>
                                        <w:top w:val="none" w:sz="0" w:space="0" w:color="auto"/>
                                        <w:left w:val="none" w:sz="0" w:space="0" w:color="auto"/>
                                        <w:bottom w:val="none" w:sz="0" w:space="0" w:color="auto"/>
                                        <w:right w:val="none" w:sz="0" w:space="0" w:color="auto"/>
                                      </w:divBdr>
                                      <w:divsChild>
                                        <w:div w:id="627704002">
                                          <w:marLeft w:val="0"/>
                                          <w:marRight w:val="0"/>
                                          <w:marTop w:val="0"/>
                                          <w:marBottom w:val="0"/>
                                          <w:divBdr>
                                            <w:top w:val="none" w:sz="0" w:space="0" w:color="auto"/>
                                            <w:left w:val="none" w:sz="0" w:space="0" w:color="auto"/>
                                            <w:bottom w:val="none" w:sz="0" w:space="0" w:color="auto"/>
                                            <w:right w:val="none" w:sz="0" w:space="0" w:color="auto"/>
                                          </w:divBdr>
                                          <w:divsChild>
                                            <w:div w:id="1800298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672561301">
      <w:bodyDiv w:val="1"/>
      <w:marLeft w:val="0"/>
      <w:marRight w:val="0"/>
      <w:marTop w:val="0"/>
      <w:marBottom w:val="0"/>
      <w:divBdr>
        <w:top w:val="none" w:sz="0" w:space="0" w:color="auto"/>
        <w:left w:val="none" w:sz="0" w:space="0" w:color="auto"/>
        <w:bottom w:val="none" w:sz="0" w:space="0" w:color="auto"/>
        <w:right w:val="none" w:sz="0" w:space="0" w:color="auto"/>
      </w:divBdr>
    </w:div>
    <w:div w:id="1754013441">
      <w:bodyDiv w:val="1"/>
      <w:marLeft w:val="0"/>
      <w:marRight w:val="0"/>
      <w:marTop w:val="0"/>
      <w:marBottom w:val="0"/>
      <w:divBdr>
        <w:top w:val="none" w:sz="0" w:space="0" w:color="auto"/>
        <w:left w:val="none" w:sz="0" w:space="0" w:color="auto"/>
        <w:bottom w:val="none" w:sz="0" w:space="0" w:color="auto"/>
        <w:right w:val="none" w:sz="0" w:space="0" w:color="auto"/>
      </w:divBdr>
    </w:div>
    <w:div w:id="1814104535">
      <w:bodyDiv w:val="1"/>
      <w:marLeft w:val="0"/>
      <w:marRight w:val="0"/>
      <w:marTop w:val="0"/>
      <w:marBottom w:val="0"/>
      <w:divBdr>
        <w:top w:val="none" w:sz="0" w:space="0" w:color="auto"/>
        <w:left w:val="none" w:sz="0" w:space="0" w:color="auto"/>
        <w:bottom w:val="none" w:sz="0" w:space="0" w:color="auto"/>
        <w:right w:val="none" w:sz="0" w:space="0" w:color="auto"/>
      </w:divBdr>
    </w:div>
    <w:div w:id="1816020649">
      <w:bodyDiv w:val="1"/>
      <w:marLeft w:val="0"/>
      <w:marRight w:val="0"/>
      <w:marTop w:val="0"/>
      <w:marBottom w:val="0"/>
      <w:divBdr>
        <w:top w:val="none" w:sz="0" w:space="0" w:color="auto"/>
        <w:left w:val="none" w:sz="0" w:space="0" w:color="auto"/>
        <w:bottom w:val="none" w:sz="0" w:space="0" w:color="auto"/>
        <w:right w:val="none" w:sz="0" w:space="0" w:color="auto"/>
      </w:divBdr>
    </w:div>
    <w:div w:id="1861506901">
      <w:bodyDiv w:val="1"/>
      <w:marLeft w:val="0"/>
      <w:marRight w:val="0"/>
      <w:marTop w:val="0"/>
      <w:marBottom w:val="0"/>
      <w:divBdr>
        <w:top w:val="none" w:sz="0" w:space="0" w:color="auto"/>
        <w:left w:val="none" w:sz="0" w:space="0" w:color="auto"/>
        <w:bottom w:val="none" w:sz="0" w:space="0" w:color="auto"/>
        <w:right w:val="none" w:sz="0" w:space="0" w:color="auto"/>
      </w:divBdr>
    </w:div>
    <w:div w:id="1869023198">
      <w:bodyDiv w:val="1"/>
      <w:marLeft w:val="0"/>
      <w:marRight w:val="0"/>
      <w:marTop w:val="0"/>
      <w:marBottom w:val="0"/>
      <w:divBdr>
        <w:top w:val="none" w:sz="0" w:space="0" w:color="auto"/>
        <w:left w:val="none" w:sz="0" w:space="0" w:color="auto"/>
        <w:bottom w:val="none" w:sz="0" w:space="0" w:color="auto"/>
        <w:right w:val="none" w:sz="0" w:space="0" w:color="auto"/>
      </w:divBdr>
    </w:div>
    <w:div w:id="1909655981">
      <w:bodyDiv w:val="1"/>
      <w:marLeft w:val="0"/>
      <w:marRight w:val="0"/>
      <w:marTop w:val="0"/>
      <w:marBottom w:val="0"/>
      <w:divBdr>
        <w:top w:val="none" w:sz="0" w:space="0" w:color="auto"/>
        <w:left w:val="none" w:sz="0" w:space="0" w:color="auto"/>
        <w:bottom w:val="none" w:sz="0" w:space="0" w:color="auto"/>
        <w:right w:val="none" w:sz="0" w:space="0" w:color="auto"/>
      </w:divBdr>
    </w:div>
    <w:div w:id="1934431779">
      <w:bodyDiv w:val="1"/>
      <w:marLeft w:val="0"/>
      <w:marRight w:val="0"/>
      <w:marTop w:val="0"/>
      <w:marBottom w:val="0"/>
      <w:divBdr>
        <w:top w:val="none" w:sz="0" w:space="0" w:color="auto"/>
        <w:left w:val="none" w:sz="0" w:space="0" w:color="auto"/>
        <w:bottom w:val="none" w:sz="0" w:space="0" w:color="auto"/>
        <w:right w:val="none" w:sz="0" w:space="0" w:color="auto"/>
      </w:divBdr>
    </w:div>
    <w:div w:id="1950121128">
      <w:bodyDiv w:val="1"/>
      <w:marLeft w:val="0"/>
      <w:marRight w:val="0"/>
      <w:marTop w:val="0"/>
      <w:marBottom w:val="0"/>
      <w:divBdr>
        <w:top w:val="none" w:sz="0" w:space="0" w:color="auto"/>
        <w:left w:val="none" w:sz="0" w:space="0" w:color="auto"/>
        <w:bottom w:val="none" w:sz="0" w:space="0" w:color="auto"/>
        <w:right w:val="none" w:sz="0" w:space="0" w:color="auto"/>
      </w:divBdr>
    </w:div>
    <w:div w:id="1999190208">
      <w:bodyDiv w:val="1"/>
      <w:marLeft w:val="0"/>
      <w:marRight w:val="0"/>
      <w:marTop w:val="0"/>
      <w:marBottom w:val="0"/>
      <w:divBdr>
        <w:top w:val="none" w:sz="0" w:space="0" w:color="auto"/>
        <w:left w:val="none" w:sz="0" w:space="0" w:color="auto"/>
        <w:bottom w:val="none" w:sz="0" w:space="0" w:color="auto"/>
        <w:right w:val="none" w:sz="0" w:space="0" w:color="auto"/>
      </w:divBdr>
    </w:div>
    <w:div w:id="2037270569">
      <w:bodyDiv w:val="1"/>
      <w:marLeft w:val="0"/>
      <w:marRight w:val="0"/>
      <w:marTop w:val="0"/>
      <w:marBottom w:val="0"/>
      <w:divBdr>
        <w:top w:val="none" w:sz="0" w:space="0" w:color="auto"/>
        <w:left w:val="none" w:sz="0" w:space="0" w:color="auto"/>
        <w:bottom w:val="none" w:sz="0" w:space="0" w:color="auto"/>
        <w:right w:val="none" w:sz="0" w:space="0" w:color="auto"/>
      </w:divBdr>
    </w:div>
    <w:div w:id="2067219962">
      <w:bodyDiv w:val="1"/>
      <w:marLeft w:val="0"/>
      <w:marRight w:val="0"/>
      <w:marTop w:val="0"/>
      <w:marBottom w:val="0"/>
      <w:divBdr>
        <w:top w:val="none" w:sz="0" w:space="0" w:color="auto"/>
        <w:left w:val="none" w:sz="0" w:space="0" w:color="auto"/>
        <w:bottom w:val="none" w:sz="0" w:space="0" w:color="auto"/>
        <w:right w:val="none" w:sz="0" w:space="0" w:color="auto"/>
      </w:divBdr>
    </w:div>
    <w:div w:id="2117094987">
      <w:bodyDiv w:val="1"/>
      <w:marLeft w:val="0"/>
      <w:marRight w:val="0"/>
      <w:marTop w:val="0"/>
      <w:marBottom w:val="0"/>
      <w:divBdr>
        <w:top w:val="none" w:sz="0" w:space="0" w:color="auto"/>
        <w:left w:val="none" w:sz="0" w:space="0" w:color="auto"/>
        <w:bottom w:val="none" w:sz="0" w:space="0" w:color="auto"/>
        <w:right w:val="none" w:sz="0" w:space="0" w:color="auto"/>
      </w:divBdr>
    </w:div>
    <w:div w:id="2118937266">
      <w:bodyDiv w:val="1"/>
      <w:marLeft w:val="0"/>
      <w:marRight w:val="0"/>
      <w:marTop w:val="0"/>
      <w:marBottom w:val="0"/>
      <w:divBdr>
        <w:top w:val="none" w:sz="0" w:space="0" w:color="auto"/>
        <w:left w:val="none" w:sz="0" w:space="0" w:color="auto"/>
        <w:bottom w:val="none" w:sz="0" w:space="0" w:color="auto"/>
        <w:right w:val="none" w:sz="0" w:space="0" w:color="auto"/>
      </w:divBdr>
    </w:div>
    <w:div w:id="21268058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Str06</b:Tag>
    <b:SourceType>JournalArticle</b:SourceType>
    <b:Guid>{53D1AB88-9854-47EB-898A-96BCB073B05D}</b:Guid>
    <b:Title>Worker Participation: some under-considered issues</b:Title>
    <b:Year>2006</b:Year>
    <b:JournalName>Industriel Relations </b:JournalName>
    <b:Pages>778-803</b:Pages>
    <b:Volume>45</b:Volume>
    <b:Issue>4</b:Issue>
    <b:Author>
      <b:Author>
        <b:NameList>
          <b:Person>
            <b:Last>Strauss</b:Last>
            <b:First>G</b:First>
          </b:Person>
        </b:NameList>
      </b:Author>
    </b:Author>
    <b:RefOrder>10</b:RefOrder>
  </b:Source>
  <b:Source>
    <b:Tag>Gol06</b:Tag>
    <b:SourceType>JournalArticle</b:SourceType>
    <b:Guid>{047EE90C-6D29-4BB1-A67E-281154B0DF42}</b:Guid>
    <b:Title>Introduction new roads in Organisational Participation?</b:Title>
    <b:JournalName>Industriel Relations</b:JournalName>
    <b:Year>2006</b:Year>
    <b:Pages>499-501</b:Pages>
    <b:Volume>45</b:Volume>
    <b:Issue>4</b:Issue>
    <b:Author>
      <b:Author>
        <b:NameList>
          <b:Person>
            <b:Last>Gollan</b:Last>
            <b:First>P</b:First>
          </b:Person>
          <b:Person>
            <b:Last>Poutsma</b:Last>
            <b:First>E</b:First>
          </b:Person>
          <b:Person>
            <b:Last>Veersma</b:Last>
            <b:First>U</b:First>
          </b:Person>
        </b:NameList>
      </b:Author>
    </b:Author>
    <b:RefOrder>11</b:RefOrder>
  </b:Source>
  <b:Source>
    <b:Tag>gre08</b:Tag>
    <b:SourceType>JournalArticle</b:SourceType>
    <b:Guid>{31707244-C847-4B99-831D-2763D5057D1D}</b:Guid>
    <b:Title>Leeway for the loyal : a model employee discretion</b:Title>
    <b:JournalName>British Journal of industriel relations</b:JournalName>
    <b:Year>2008</b:Year>
    <b:Pages>1-32</b:Pages>
    <b:Volume>46</b:Volume>
    <b:Issue>1</b:Issue>
    <b:Author>
      <b:Author>
        <b:NameList>
          <b:Person>
            <b:Last>Green</b:Last>
            <b:First>f</b:First>
          </b:Person>
        </b:NameList>
      </b:Author>
    </b:Author>
    <b:RefOrder>12</b:RefOrder>
  </b:Source>
  <b:Source>
    <b:Tag>Tay16</b:Tag>
    <b:SourceType>Book</b:SourceType>
    <b:Guid>{FA93B72C-F311-4D59-A1C7-961BC80F6714}</b:Guid>
    <b:Title>Studying Human Resource Management</b:Title>
    <b:Year>2016</b:Year>
    <b:City>London</b:City>
    <b:Publisher>CIPD</b:Publisher>
    <b:Edition>2nd</b:Edition>
    <b:Author>
      <b:Author>
        <b:Corporate>Taylor, S; Woodhams , C;</b:Corporate>
        <b:NameList>
          <b:Person>
            <b:Last>Taylor</b:Last>
            <b:First>Stephen</b:First>
          </b:Person>
          <b:Person>
            <b:Last>Woodhams</b:Last>
            <b:First>Carol</b:First>
          </b:Person>
        </b:NameList>
      </b:Author>
    </b:Author>
    <b:RefOrder>2</b:RefOrder>
  </b:Source>
  <b:Source>
    <b:Tag>CIP172</b:Tag>
    <b:SourceType>InternetSite</b:SourceType>
    <b:Guid>{3A0BAFE5-0735-45A6-A878-5754C0B600AD}</b:Guid>
    <b:Title>CIPD </b:Title>
    <b:Year>2017</b:Year>
    <b:Author>
      <b:Author>
        <b:NameList>
          <b:Person>
            <b:Last>CIPD</b:Last>
          </b:Person>
        </b:NameList>
      </b:Author>
    </b:Author>
    <b:YearAccessed>2017</b:YearAccessed>
    <b:MonthAccessed>11</b:MonthAccessed>
    <b:DayAccessed>14</b:DayAccessed>
    <b:URL>https://www.cipd.co.uk/about/what-we-do</b:URL>
    <b:RefOrder>1</b:RefOrder>
  </b:Source>
  <b:Source>
    <b:Tag>CIP173</b:Tag>
    <b:SourceType>InternetSite</b:SourceType>
    <b:Guid>{35783EFE-0DE2-4E34-8582-335671005DBD}</b:Guid>
    <b:Author>
      <b:Author>
        <b:Corporate>CIPD</b:Corporate>
      </b:Author>
    </b:Author>
    <b:Title>CIPD Profession Map</b:Title>
    <b:Year>2017</b:Year>
    <b:YearAccessed>2017</b:YearAccessed>
    <b:MonthAccessed>11</b:MonthAccessed>
    <b:DayAccessed>14</b:DayAccessed>
    <b:URL>http://mycpdmap.cipd.co.uk/area-selection</b:URL>
    <b:RefOrder>3</b:RefOrder>
  </b:Source>
  <b:Source>
    <b:Tag>Bru65</b:Tag>
    <b:SourceType>InternetSite</b:SourceType>
    <b:Guid>{36755A76-EB19-4E50-9A8F-F24BA0B14303}</b:Guid>
    <b:Title>Tuckman Forming Storming Norming Performing model</b:Title>
    <b:Year>1965</b:Year>
    <b:YearAccessed>2017</b:YearAccessed>
    <b:MonthAccessed>11</b:MonthAccessed>
    <b:DayAccessed>14</b:DayAccessed>
    <b:URL>https://www.businessballs.com/team-management/tuckman-forming-storming-norming-performing-model-234</b:URL>
    <b:Author>
      <b:Author>
        <b:NameList>
          <b:Person>
            <b:Last>Tuckman</b:Last>
            <b:First>Bruce</b:First>
          </b:Person>
        </b:NameList>
      </b:Author>
    </b:Author>
    <b:RefOrder>4</b:RefOrder>
  </b:Source>
  <b:Source>
    <b:Tag>Min17</b:Tag>
    <b:SourceType>InternetSite</b:SourceType>
    <b:Guid>{44DBBB8C-E1E9-4630-9FE0-7EB68EB34E3A}</b:Guid>
    <b:Title>Active Listening</b:Title>
    <b:Year>2017</b:Year>
    <b:YearAccessed>2017</b:YearAccessed>
    <b:MonthAccessed>11</b:MonthAccessed>
    <b:DayAccessed>14</b:DayAccessed>
    <b:URL>https://www.mindtools.com/CommSkll/ActiveListening.htm</b:URL>
    <b:Author>
      <b:Author>
        <b:Corporate>MindTools</b:Corporate>
      </b:Author>
    </b:Author>
    <b:RefOrder>5</b:RefOrder>
  </b:Source>
  <b:Source>
    <b:Tag>Yem08</b:Tag>
    <b:SourceType>JournalArticle</b:SourceType>
    <b:Guid>{AB77BCD3-05CD-4A88-9182-2E7A08FDBF80}</b:Guid>
    <b:Title>Influencing Others - a key skill for all.</b:Title>
    <b:Year>2008</b:Year>
    <b:Author>
      <b:Author>
        <b:NameList>
          <b:Person>
            <b:Last>Yemm</b:Last>
            <b:First>G</b:First>
          </b:Person>
        </b:NameList>
      </b:Author>
    </b:Author>
    <b:Volume>52</b:Volume>
    <b:Pages>21-4</b:Pages>
    <b:JournalName>Management Services</b:JournalName>
    <b:Issue>2</b:Issue>
    <b:RefOrder>6</b:RefOrder>
  </b:Source>
  <b:Source>
    <b:Tag>CIP174</b:Tag>
    <b:SourceType>DocumentFromInternetSite</b:SourceType>
    <b:Guid>{9EBBC180-5D91-4F64-90BF-9C51D5E2F7FF}</b:Guid>
    <b:Author>
      <b:Author>
        <b:NameList>
          <b:Person>
            <b:Last>CIPD</b:Last>
          </b:Person>
        </b:NameList>
      </b:Author>
    </b:Author>
    <b:Title>Change Management</b:Title>
    <b:Year>2017</b:Year>
    <b:Month>10</b:Month>
    <b:Day>17</b:Day>
    <b:Publisher>CIPD</b:Publisher>
    <b:YearAccessed>2017</b:YearAccessed>
    <b:MonthAccessed>11</b:MonthAccessed>
    <b:DayAccessed>14</b:DayAccessed>
    <b:URL>https://www.cipd.co.uk/knowledge/strategy/change/management-factsheet</b:URL>
    <b:RefOrder>7</b:RefOrder>
  </b:Source>
  <b:Source>
    <b:Tag>Tes17</b:Tag>
    <b:SourceType>DocumentFromInternetSite</b:SourceType>
    <b:Guid>{897ECD6E-AEC8-4DAB-9F45-E6A8CA74C9DD}</b:Guid>
    <b:Author>
      <b:Author>
        <b:Corporate>Tesco</b:Corporate>
      </b:Author>
    </b:Author>
    <b:Title>Plan Do Review</b:Title>
    <b:Year>2017</b:Year>
    <b:Month>1</b:Month>
    <b:Day>6</b:Day>
    <b:YearAccessed>2017</b:YearAccessed>
    <b:MonthAccessed>11</b:MonthAccessed>
    <b:DayAccessed>14</b:DayAccessed>
    <b:URL>https://tesco.e-learningportal.com/courses_scorm/86CF8A15-DDB0-6D0E-D10CE1C4C020CC2D/index_lms.html</b:URL>
    <b:RefOrder>8</b:RefOrder>
  </b:Source>
  <b:Source>
    <b:Tag>Min16</b:Tag>
    <b:SourceType>DocumentFromInternetSite</b:SourceType>
    <b:Guid>{1019DA9B-4488-4E3D-AA1A-5EAA43B6FD09}</b:Guid>
    <b:Author>
      <b:Author>
        <b:Corporate>Mind Tools</b:Corporate>
      </b:Author>
    </b:Author>
    <b:Title>Reflective Cycle</b:Title>
    <b:Year>2016</b:Year>
    <b:Month>10</b:Month>
    <b:Day>2</b:Day>
    <b:YearAccessed>2017</b:YearAccessed>
    <b:MonthAccessed>11</b:MonthAccessed>
    <b:DayAccessed>14</b:DayAccessed>
    <b:URL>https://www.mindtools.com/pages/article/reflective-cycle.htm</b:URL>
    <b:RefOrder>9</b:RefOrder>
  </b:Source>
</b:Sources>
</file>

<file path=customXml/itemProps1.xml><?xml version="1.0" encoding="utf-8"?>
<ds:datastoreItem xmlns:ds="http://schemas.openxmlformats.org/officeDocument/2006/customXml" ds:itemID="{2C3E1945-0F11-4104-9B35-1DC695C9CC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1325</TotalTime>
  <Pages>15</Pages>
  <Words>4048</Words>
  <Characters>23074</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Felicity Healey</dc:creator>
  <cp:lastModifiedBy>Steve Watts</cp:lastModifiedBy>
  <cp:revision>13</cp:revision>
  <dcterms:created xsi:type="dcterms:W3CDTF">2017-11-14T19:51:00Z</dcterms:created>
  <dcterms:modified xsi:type="dcterms:W3CDTF">2017-11-16T12:53:00Z</dcterms:modified>
</cp:coreProperties>
</file>