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94039" w:rsidRPr="00E83FE4" w:rsidRDefault="00894039" w:rsidP="00664E4B">
      <w:pPr>
        <w:spacing w:line="360" w:lineRule="auto"/>
        <w:jc w:val="center"/>
        <w:rPr>
          <w:u w:val="single"/>
        </w:rPr>
      </w:pPr>
      <w:r w:rsidRPr="00E83FE4">
        <w:rPr>
          <w:u w:val="single"/>
          <w:lang w:val="en-GB"/>
        </w:rPr>
        <w:t>HPCS7004</w:t>
      </w:r>
      <w:r w:rsidR="00FA3DA6">
        <w:rPr>
          <w:u w:val="single"/>
          <w:lang w:val="en-GB"/>
        </w:rPr>
        <w:t xml:space="preserve"> - </w:t>
      </w:r>
      <w:r w:rsidR="00FA3DA6" w:rsidRPr="00FA3DA6">
        <w:rPr>
          <w:u w:val="single"/>
        </w:rPr>
        <w:t>Women in the Middle Ages: Sources From the Celtic Regions</w:t>
      </w:r>
    </w:p>
    <w:p w:rsidR="00D86DC9" w:rsidRPr="00FA3DA6" w:rsidRDefault="00894039" w:rsidP="00664E4B">
      <w:pPr>
        <w:spacing w:line="360" w:lineRule="auto"/>
        <w:rPr>
          <w:i/>
          <w:iCs/>
        </w:rPr>
      </w:pPr>
      <w:r w:rsidRPr="00FA3DA6">
        <w:rPr>
          <w:i/>
          <w:iCs/>
          <w:lang w:val="en-GB"/>
        </w:rPr>
        <w:t>What light do the Welsh </w:t>
      </w:r>
      <w:proofErr w:type="spellStart"/>
      <w:r w:rsidRPr="00FA3DA6">
        <w:rPr>
          <w:i/>
          <w:iCs/>
          <w:lang w:val="en-GB"/>
        </w:rPr>
        <w:t>lawcodes</w:t>
      </w:r>
      <w:proofErr w:type="spellEnd"/>
      <w:r w:rsidRPr="00FA3DA6">
        <w:rPr>
          <w:i/>
          <w:iCs/>
          <w:lang w:val="en-GB"/>
        </w:rPr>
        <w:t> shed on virginity, marriage and divorce in medieval Wales?</w:t>
      </w:r>
      <w:r w:rsidRPr="00FA3DA6">
        <w:rPr>
          <w:i/>
          <w:iCs/>
        </w:rPr>
        <w:t> </w:t>
      </w:r>
    </w:p>
    <w:p w:rsidR="0007696C" w:rsidRDefault="0007696C" w:rsidP="00664E4B">
      <w:pPr>
        <w:spacing w:line="360" w:lineRule="auto"/>
        <w:jc w:val="center"/>
      </w:pPr>
      <w:r>
        <w:t>Virgin, Wife, Widow: Women and the Welsh Law Codes</w:t>
      </w:r>
    </w:p>
    <w:p w:rsidR="00FA3DA6" w:rsidRPr="00FA3DA6" w:rsidRDefault="00FA3DA6" w:rsidP="00664E4B">
      <w:pPr>
        <w:spacing w:line="360" w:lineRule="auto"/>
        <w:jc w:val="center"/>
      </w:pPr>
      <w:r>
        <w:t xml:space="preserve">By </w:t>
      </w:r>
      <w:r w:rsidRPr="00FA3DA6">
        <w:rPr>
          <w:lang w:val="en-GB"/>
        </w:rPr>
        <w:t xml:space="preserve">Natalie </w:t>
      </w:r>
      <w:proofErr w:type="spellStart"/>
      <w:r w:rsidRPr="00FA3DA6">
        <w:rPr>
          <w:lang w:val="en-GB"/>
        </w:rPr>
        <w:t>Grueninger</w:t>
      </w:r>
      <w:proofErr w:type="spellEnd"/>
      <w:r w:rsidRPr="00FA3DA6">
        <w:rPr>
          <w:lang w:val="en-GB"/>
        </w:rPr>
        <w:t xml:space="preserve"> (Student number: </w:t>
      </w:r>
      <w:r w:rsidRPr="00FA3DA6">
        <w:t>2501381)</w:t>
      </w:r>
    </w:p>
    <w:p w:rsidR="0007696C" w:rsidRDefault="0007696C" w:rsidP="00664E4B">
      <w:pPr>
        <w:spacing w:line="360" w:lineRule="auto"/>
      </w:pPr>
    </w:p>
    <w:p w:rsidR="00CF009A" w:rsidRDefault="000F1A7D" w:rsidP="00664E4B">
      <w:pPr>
        <w:spacing w:line="360" w:lineRule="auto"/>
      </w:pPr>
      <w:r>
        <w:t xml:space="preserve">The Law of Hywel, also known as the Welsh Law Codes, is the name given to the native Welsh legal system that operated in Wales </w:t>
      </w:r>
      <w:r w:rsidR="007F3636">
        <w:t>throughout</w:t>
      </w:r>
      <w:r>
        <w:t xml:space="preserve"> the Middle Ages</w:t>
      </w:r>
      <w:r w:rsidR="007F3636">
        <w:t xml:space="preserve"> until 1536, when it was abolished by the Acts of Union</w:t>
      </w:r>
      <w:r>
        <w:t>.</w:t>
      </w:r>
      <w:r w:rsidR="00DF3EBA">
        <w:t xml:space="preserve"> </w:t>
      </w:r>
      <w:r>
        <w:t>It is named after</w:t>
      </w:r>
      <w:r w:rsidR="0096048A">
        <w:t xml:space="preserve"> </w:t>
      </w:r>
      <w:r>
        <w:t xml:space="preserve">Hywel ap Cadell, the tenth-century </w:t>
      </w:r>
      <w:r w:rsidR="00745D53">
        <w:t>king</w:t>
      </w:r>
      <w:r>
        <w:t xml:space="preserve"> of Wales in whose reign the laws were first</w:t>
      </w:r>
      <w:r w:rsidR="009F6F71">
        <w:t xml:space="preserve"> said to have been</w:t>
      </w:r>
      <w:r>
        <w:t xml:space="preserve"> developed and codified</w:t>
      </w:r>
      <w:r w:rsidR="009F6F71">
        <w:t>, although no evidence survives to verify this attribution</w:t>
      </w:r>
      <w:r>
        <w:t>.</w:t>
      </w:r>
      <w:r w:rsidR="009F6F71">
        <w:rPr>
          <w:rStyle w:val="FootnoteReference"/>
        </w:rPr>
        <w:footnoteReference w:id="1"/>
      </w:r>
      <w:r>
        <w:t xml:space="preserve"> </w:t>
      </w:r>
      <w:r w:rsidR="00DA2FB9">
        <w:t>The</w:t>
      </w:r>
      <w:r w:rsidR="009E5179">
        <w:t xml:space="preserve"> legal system was compensation based</w:t>
      </w:r>
      <w:r w:rsidR="00137161">
        <w:t xml:space="preserve"> rather than punishment centred</w:t>
      </w:r>
      <w:r w:rsidR="009E5179">
        <w:t xml:space="preserve"> and </w:t>
      </w:r>
      <w:r w:rsidR="00197015">
        <w:t>cover</w:t>
      </w:r>
      <w:r w:rsidR="0008745D">
        <w:t>ed</w:t>
      </w:r>
      <w:r>
        <w:t xml:space="preserve"> a variety of subjects</w:t>
      </w:r>
      <w:r w:rsidR="00456FFE">
        <w:t>,</w:t>
      </w:r>
      <w:r>
        <w:t xml:space="preserve"> </w:t>
      </w:r>
      <w:r w:rsidR="00A03FB2">
        <w:t>including</w:t>
      </w:r>
      <w:r w:rsidR="00B67FE1">
        <w:t xml:space="preserve"> land law, the duties and responsibilities of members of the royal court, and</w:t>
      </w:r>
      <w:r w:rsidR="00A03FB2">
        <w:t xml:space="preserve"> </w:t>
      </w:r>
      <w:r>
        <w:t>the legal rights of women</w:t>
      </w:r>
      <w:r w:rsidR="00B67FE1">
        <w:t>.</w:t>
      </w:r>
      <w:r w:rsidR="000B3993">
        <w:rPr>
          <w:rStyle w:val="FootnoteReference"/>
        </w:rPr>
        <w:footnoteReference w:id="2"/>
      </w:r>
    </w:p>
    <w:p w:rsidR="00880643" w:rsidRDefault="00880643" w:rsidP="00C22D83">
      <w:pPr>
        <w:spacing w:line="360" w:lineRule="auto"/>
        <w:ind w:firstLine="720"/>
      </w:pPr>
      <w:r>
        <w:t xml:space="preserve">This essay will focus on laws pertaining to women and argue that in the Welsh legal texts women occupy an inferior position </w:t>
      </w:r>
      <w:r w:rsidR="00D40E70">
        <w:t>and are essentially treated like chattel</w:t>
      </w:r>
      <w:r>
        <w:t xml:space="preserve">. The laws related to virginity, marriage and divorce portray women as having limited autonomy and control over their own </w:t>
      </w:r>
      <w:r w:rsidR="00A975D7">
        <w:t>bodies and lives</w:t>
      </w:r>
      <w:r>
        <w:t>. Women</w:t>
      </w:r>
      <w:r w:rsidR="00554FA9">
        <w:t xml:space="preserve"> lack juridical power and</w:t>
      </w:r>
      <w:r>
        <w:t xml:space="preserve"> are represented as being either under the authority of their immediate male kin or their husbands. While the law codes contain a wealth of detail about the legal status of women in medieval Wales, </w:t>
      </w:r>
      <w:r w:rsidRPr="00E65ABC">
        <w:t xml:space="preserve">caution is required </w:t>
      </w:r>
      <w:r>
        <w:t xml:space="preserve">as </w:t>
      </w:r>
      <w:r w:rsidR="00456FFE">
        <w:t>they</w:t>
      </w:r>
      <w:r>
        <w:t xml:space="preserve"> may reflect societal ideals rather than actual practices.</w:t>
      </w:r>
      <w:r>
        <w:rPr>
          <w:rStyle w:val="FootnoteReference"/>
        </w:rPr>
        <w:footnoteReference w:id="3"/>
      </w:r>
      <w:r>
        <w:t xml:space="preserve"> Therefore, the limitations of the sources will be discussed alongside a brief introduction to the extant manuscripts that preserve the law codes. This will be followed by an examination of a selection of relevant laws, using translations of the Law of Women tractate, published in </w:t>
      </w:r>
      <w:r>
        <w:lastRenderedPageBreak/>
        <w:t xml:space="preserve">the seminal work by </w:t>
      </w:r>
      <w:proofErr w:type="spellStart"/>
      <w:r>
        <w:t>Dafydd</w:t>
      </w:r>
      <w:proofErr w:type="spellEnd"/>
      <w:r>
        <w:t xml:space="preserve"> Jenkins and </w:t>
      </w:r>
      <w:proofErr w:type="spellStart"/>
      <w:r>
        <w:t>Morfydd</w:t>
      </w:r>
      <w:proofErr w:type="spellEnd"/>
      <w:r>
        <w:t xml:space="preserve"> E. Owen.</w:t>
      </w:r>
      <w:r w:rsidR="009A2332">
        <w:rPr>
          <w:rStyle w:val="FootnoteReference"/>
        </w:rPr>
        <w:footnoteReference w:id="4"/>
      </w:r>
      <w:r>
        <w:t xml:space="preserve"> This</w:t>
      </w:r>
      <w:r w:rsidR="00726E62">
        <w:t xml:space="preserve"> discussion</w:t>
      </w:r>
      <w:r>
        <w:t xml:space="preserve"> will be complemented by considering additional material on women found in the form of legal triads. </w:t>
      </w:r>
      <w:r w:rsidR="00341680">
        <w:t>These contain information on Welsh law, listed in groups of three, and are either incorporated into the law tractates or appended to the text. Some summarise information given in the surrounding text and were probably intended as mnemonic devices to help lawyers recall the main points of Welsh law. Whereas other triads list original material not found in the main legal tractates and provide interesting insights into the development of the law of women.</w:t>
      </w:r>
      <w:r w:rsidR="00341680">
        <w:rPr>
          <w:rStyle w:val="FootnoteReference"/>
        </w:rPr>
        <w:footnoteReference w:id="5"/>
      </w:r>
    </w:p>
    <w:p w:rsidR="00E10E50" w:rsidRDefault="00E10E50" w:rsidP="00664E4B">
      <w:pPr>
        <w:spacing w:line="360" w:lineRule="auto"/>
        <w:ind w:firstLine="720"/>
      </w:pPr>
      <w:r>
        <w:t xml:space="preserve">While King Hywel </w:t>
      </w:r>
      <w:proofErr w:type="spellStart"/>
      <w:r>
        <w:t>Dda</w:t>
      </w:r>
      <w:proofErr w:type="spellEnd"/>
      <w:r>
        <w:t xml:space="preserve"> is credited with codifying the Welsh laws, no law manuscript survives from his lifetime. In fact the </w:t>
      </w:r>
      <w:r w:rsidR="00DB1FB1">
        <w:t>roughly 40</w:t>
      </w:r>
      <w:r>
        <w:t xml:space="preserve"> extant manuscripts that preserve the Welsh law</w:t>
      </w:r>
      <w:r w:rsidR="00C75BFC">
        <w:t xml:space="preserve"> codes</w:t>
      </w:r>
      <w:r>
        <w:t xml:space="preserve"> </w:t>
      </w:r>
      <w:r w:rsidR="003663E2">
        <w:t>were produced considerably later and</w:t>
      </w:r>
      <w:r>
        <w:t xml:space="preserve"> date from </w:t>
      </w:r>
      <w:r w:rsidR="003663E2">
        <w:t xml:space="preserve">the mid-thirteenth century to the </w:t>
      </w:r>
      <w:r w:rsidR="00432E30">
        <w:t>sixteenth</w:t>
      </w:r>
      <w:r w:rsidR="003663E2">
        <w:t xml:space="preserve"> century. </w:t>
      </w:r>
      <w:r w:rsidR="00000A24">
        <w:t>Scholars, however, agree that the manuscripts contain material that may be much earlier in date.</w:t>
      </w:r>
      <w:r w:rsidR="00000A24">
        <w:rPr>
          <w:rStyle w:val="FootnoteReference"/>
        </w:rPr>
        <w:footnoteReference w:id="6"/>
      </w:r>
      <w:r w:rsidR="008B2520">
        <w:t xml:space="preserve"> There are four main groups or redactions of the Welsh law manuscripts</w:t>
      </w:r>
      <w:r w:rsidR="004400FD">
        <w:t xml:space="preserve">. These are known as </w:t>
      </w:r>
      <w:proofErr w:type="spellStart"/>
      <w:r w:rsidR="004400FD">
        <w:t>Cyfnerth</w:t>
      </w:r>
      <w:proofErr w:type="spellEnd"/>
      <w:r w:rsidR="004400FD">
        <w:t xml:space="preserve">, </w:t>
      </w:r>
      <w:proofErr w:type="spellStart"/>
      <w:r w:rsidR="004400FD">
        <w:t>Iorwe</w:t>
      </w:r>
      <w:r w:rsidR="00D8199D">
        <w:t>r</w:t>
      </w:r>
      <w:r w:rsidR="004400FD">
        <w:t>th</w:t>
      </w:r>
      <w:proofErr w:type="spellEnd"/>
      <w:r w:rsidR="00D8199D">
        <w:t xml:space="preserve">, </w:t>
      </w:r>
      <w:proofErr w:type="spellStart"/>
      <w:r w:rsidR="00D8199D">
        <w:t>Blegywryd</w:t>
      </w:r>
      <w:proofErr w:type="spellEnd"/>
      <w:r w:rsidR="00D8199D">
        <w:t xml:space="preserve"> and a group of Latin texts. W</w:t>
      </w:r>
      <w:r w:rsidR="004A217D">
        <w:t>hile the groups demonstrate ‘differences and regional variations’, they contain many of the same tractates, or subject-specific sections</w:t>
      </w:r>
      <w:r w:rsidR="00D8199D">
        <w:t>, including the tractate on the law of women</w:t>
      </w:r>
      <w:r w:rsidR="004A217D">
        <w:t>.</w:t>
      </w:r>
      <w:r w:rsidR="004A217D">
        <w:rPr>
          <w:rStyle w:val="FootnoteReference"/>
        </w:rPr>
        <w:footnoteReference w:id="7"/>
      </w:r>
      <w:r w:rsidR="006E47B3">
        <w:t xml:space="preserve"> </w:t>
      </w:r>
      <w:r w:rsidR="00955BB7">
        <w:t>Most of t</w:t>
      </w:r>
      <w:r w:rsidR="001B0FE3">
        <w:t xml:space="preserve">he </w:t>
      </w:r>
      <w:proofErr w:type="spellStart"/>
      <w:r w:rsidR="006E47B3">
        <w:t>Cyfnerth</w:t>
      </w:r>
      <w:proofErr w:type="spellEnd"/>
      <w:r w:rsidR="001B0FE3">
        <w:t xml:space="preserve"> </w:t>
      </w:r>
      <w:r w:rsidR="00955BB7">
        <w:t>manuscripts</w:t>
      </w:r>
      <w:r w:rsidR="006E47B3">
        <w:t xml:space="preserve"> </w:t>
      </w:r>
      <w:r w:rsidR="00955BB7">
        <w:t>date from the fourteenth century</w:t>
      </w:r>
      <w:r w:rsidR="006E47B3">
        <w:t xml:space="preserve">, </w:t>
      </w:r>
      <w:r w:rsidR="001A7D6E">
        <w:t xml:space="preserve">although Sara Elin Roberts </w:t>
      </w:r>
      <w:r w:rsidR="006E47B3">
        <w:t>notes this redaction ‘probably retains the earliest version of the Welsh laws’.</w:t>
      </w:r>
      <w:r w:rsidR="00FB2F3C">
        <w:rPr>
          <w:rStyle w:val="FootnoteReference"/>
        </w:rPr>
        <w:footnoteReference w:id="8"/>
      </w:r>
      <w:r w:rsidR="006E47B3">
        <w:t xml:space="preserve"> The </w:t>
      </w:r>
      <w:proofErr w:type="spellStart"/>
      <w:r w:rsidR="006E47B3">
        <w:t>Iorwerth</w:t>
      </w:r>
      <w:proofErr w:type="spellEnd"/>
      <w:r w:rsidR="006E47B3">
        <w:t xml:space="preserve"> group may reflect the law in medieval Gwynedd</w:t>
      </w:r>
      <w:r w:rsidR="00834052">
        <w:t xml:space="preserve"> in the thirteenth century</w:t>
      </w:r>
      <w:r w:rsidR="00B90F79">
        <w:t xml:space="preserve"> and </w:t>
      </w:r>
      <w:r w:rsidR="005F7F22">
        <w:t xml:space="preserve">contains the earliest surviving manuscripts. </w:t>
      </w:r>
      <w:r w:rsidR="006C7651">
        <w:t xml:space="preserve">The </w:t>
      </w:r>
      <w:proofErr w:type="spellStart"/>
      <w:r w:rsidR="006C7651">
        <w:t>Blegywryd</w:t>
      </w:r>
      <w:proofErr w:type="spellEnd"/>
      <w:r w:rsidR="006C7651">
        <w:t xml:space="preserve"> </w:t>
      </w:r>
      <w:r w:rsidR="0073330C">
        <w:t xml:space="preserve">group </w:t>
      </w:r>
      <w:r w:rsidR="001B0FE3">
        <w:t xml:space="preserve">of manuscripts date from the fifteenth century and </w:t>
      </w:r>
      <w:r w:rsidR="006C7651">
        <w:t xml:space="preserve">like </w:t>
      </w:r>
      <w:proofErr w:type="spellStart"/>
      <w:r w:rsidR="006C7651">
        <w:t>Cyfnerth</w:t>
      </w:r>
      <w:proofErr w:type="spellEnd"/>
      <w:r w:rsidR="0073330C">
        <w:t xml:space="preserve"> </w:t>
      </w:r>
      <w:r w:rsidR="001B0FE3">
        <w:t>are</w:t>
      </w:r>
      <w:r w:rsidR="0073330C">
        <w:t xml:space="preserve"> associated with the south of Wales.</w:t>
      </w:r>
      <w:r w:rsidR="00627EEE">
        <w:rPr>
          <w:rStyle w:val="FootnoteReference"/>
        </w:rPr>
        <w:footnoteReference w:id="9"/>
      </w:r>
      <w:r w:rsidR="0080776D">
        <w:t xml:space="preserve"> </w:t>
      </w:r>
    </w:p>
    <w:p w:rsidR="00FB185D" w:rsidRDefault="00D01B95" w:rsidP="00664E4B">
      <w:pPr>
        <w:spacing w:line="360" w:lineRule="auto"/>
        <w:ind w:firstLine="720"/>
      </w:pPr>
      <w:r>
        <w:lastRenderedPageBreak/>
        <w:t>T</w:t>
      </w:r>
      <w:r w:rsidR="00583F3A">
        <w:t>his brief foray into</w:t>
      </w:r>
      <w:r>
        <w:t xml:space="preserve"> the extant manuscripts highlights one of the shortcomings of th</w:t>
      </w:r>
      <w:r w:rsidR="00CB4944">
        <w:t>ese</w:t>
      </w:r>
      <w:r>
        <w:t xml:space="preserve"> source</w:t>
      </w:r>
      <w:r w:rsidR="00CB4944">
        <w:t>s</w:t>
      </w:r>
      <w:r>
        <w:t xml:space="preserve">, namely </w:t>
      </w:r>
      <w:r w:rsidR="00496D5A">
        <w:t>the</w:t>
      </w:r>
      <w:r w:rsidR="0007496E">
        <w:t xml:space="preserve"> obvious discrepancy between the date of the text and the manuscripts</w:t>
      </w:r>
      <w:r w:rsidR="00B47A6C">
        <w:t xml:space="preserve"> themselves</w:t>
      </w:r>
      <w:r w:rsidR="0007496E">
        <w:t>.</w:t>
      </w:r>
      <w:r w:rsidR="00780269">
        <w:t xml:space="preserve"> It is impossible to state with any certainty </w:t>
      </w:r>
      <w:r w:rsidR="00D71CC6">
        <w:t>when the laws were enacted or the</w:t>
      </w:r>
      <w:r w:rsidR="007B2D14">
        <w:t xml:space="preserve"> </w:t>
      </w:r>
      <w:r w:rsidR="007A71A3">
        <w:t>exact years</w:t>
      </w:r>
      <w:r w:rsidR="007B2D14">
        <w:t xml:space="preserve"> when </w:t>
      </w:r>
      <w:r w:rsidR="00D71CC6">
        <w:t xml:space="preserve">they were </w:t>
      </w:r>
      <w:r w:rsidR="007B2D14">
        <w:t>in force</w:t>
      </w:r>
      <w:r w:rsidR="00591F95">
        <w:t xml:space="preserve">, if </w:t>
      </w:r>
      <w:r w:rsidR="002C5805">
        <w:t xml:space="preserve">indeed </w:t>
      </w:r>
      <w:r w:rsidR="00591F95">
        <w:t>they ever were.</w:t>
      </w:r>
      <w:r w:rsidR="00B72C05">
        <w:t xml:space="preserve"> What can be</w:t>
      </w:r>
      <w:r w:rsidR="00AC6D12">
        <w:t xml:space="preserve"> </w:t>
      </w:r>
      <w:r w:rsidR="00B833DD">
        <w:t xml:space="preserve">more </w:t>
      </w:r>
      <w:r w:rsidR="007A71A3">
        <w:t>confidently asserted</w:t>
      </w:r>
      <w:r w:rsidR="00B72C05">
        <w:t xml:space="preserve"> is that they were written and redacted at a time of religious and political turmoil and transition. </w:t>
      </w:r>
      <w:r w:rsidR="000F2EFE">
        <w:t>Consequently, t</w:t>
      </w:r>
      <w:r w:rsidR="00496D5A">
        <w:t>he</w:t>
      </w:r>
      <w:r w:rsidR="002B75DE">
        <w:t xml:space="preserve"> </w:t>
      </w:r>
      <w:r w:rsidR="00496D5A">
        <w:t>variations</w:t>
      </w:r>
      <w:r w:rsidR="002B75DE">
        <w:t xml:space="preserve"> that exist</w:t>
      </w:r>
      <w:r w:rsidR="00496D5A">
        <w:t xml:space="preserve"> between the redactions</w:t>
      </w:r>
      <w:r w:rsidR="000F2EFE">
        <w:t xml:space="preserve"> may in part </w:t>
      </w:r>
      <w:r w:rsidR="00D00A6D">
        <w:t>result from</w:t>
      </w:r>
      <w:r w:rsidR="002B75DE">
        <w:t xml:space="preserve"> the varying political agendas of the redactors</w:t>
      </w:r>
      <w:r w:rsidR="00A6758D">
        <w:t xml:space="preserve"> and patrons responsible for commissioning the law texts</w:t>
      </w:r>
      <w:r w:rsidR="002B75DE">
        <w:t xml:space="preserve">. </w:t>
      </w:r>
      <w:r w:rsidR="00C24FE7">
        <w:t>Moreover, w</w:t>
      </w:r>
      <w:r w:rsidR="0073458A">
        <w:t>hile the native law of medieval Wales was separate to English and canon law</w:t>
      </w:r>
      <w:r w:rsidR="00404622">
        <w:t>, Huw Pryce</w:t>
      </w:r>
      <w:r w:rsidR="0073458A">
        <w:t xml:space="preserve"> ha</w:t>
      </w:r>
      <w:r w:rsidR="00404622">
        <w:t>s</w:t>
      </w:r>
      <w:r w:rsidR="0073458A">
        <w:t xml:space="preserve"> drawn attention to the</w:t>
      </w:r>
      <w:r w:rsidR="00A21726">
        <w:t xml:space="preserve"> influence of the Church </w:t>
      </w:r>
      <w:r w:rsidR="00C24FE7">
        <w:t>over both the production of the physical manuscripts and the redactions of the texts.</w:t>
      </w:r>
      <w:r w:rsidR="00C24FE7">
        <w:rPr>
          <w:rStyle w:val="FootnoteReference"/>
        </w:rPr>
        <w:footnoteReference w:id="10"/>
      </w:r>
      <w:r w:rsidR="00F7315B">
        <w:t xml:space="preserve"> Consideration must also be given to the fact that the laws were written by lawyers as manuals for other members of their profession</w:t>
      </w:r>
      <w:r w:rsidR="00855A53">
        <w:t>. Thus, as R. R. Davies argues, are ‘more concerned to display the subtlety of legal argument rather than to provide an insight into actual social situations.’</w:t>
      </w:r>
      <w:r w:rsidR="00855A53">
        <w:rPr>
          <w:rStyle w:val="FootnoteReference"/>
        </w:rPr>
        <w:footnoteReference w:id="11"/>
      </w:r>
      <w:r w:rsidR="00FB185D">
        <w:t xml:space="preserve"> </w:t>
      </w:r>
      <w:r w:rsidR="005A5901">
        <w:t>T</w:t>
      </w:r>
      <w:r w:rsidR="00FB185D" w:rsidRPr="004B1ACA">
        <w:t xml:space="preserve">he question of whether the laws reflect </w:t>
      </w:r>
      <w:r w:rsidR="00C71E0C">
        <w:t>aspiration</w:t>
      </w:r>
      <w:r w:rsidR="00345D97">
        <w:t>s</w:t>
      </w:r>
      <w:r w:rsidR="00C71E0C">
        <w:t xml:space="preserve"> or</w:t>
      </w:r>
      <w:r w:rsidR="00FB185D" w:rsidRPr="004B1ACA">
        <w:t xml:space="preserve"> the </w:t>
      </w:r>
      <w:r w:rsidR="00591F95">
        <w:t>actuality</w:t>
      </w:r>
      <w:r w:rsidR="00FB185D" w:rsidRPr="004B1ACA">
        <w:t xml:space="preserve"> of life for people in medieval Wales</w:t>
      </w:r>
      <w:r w:rsidR="005A5901">
        <w:t xml:space="preserve"> </w:t>
      </w:r>
      <w:r w:rsidR="009D0ECF">
        <w:t>remains</w:t>
      </w:r>
      <w:r w:rsidR="00591F95">
        <w:t xml:space="preserve"> open to interpretation. </w:t>
      </w:r>
      <w:r w:rsidR="00FB185D" w:rsidRPr="004B1ACA">
        <w:t xml:space="preserve"> </w:t>
      </w:r>
    </w:p>
    <w:p w:rsidR="000F1A7D" w:rsidRDefault="007D426C" w:rsidP="00664E4B">
      <w:pPr>
        <w:spacing w:line="360" w:lineRule="auto"/>
        <w:ind w:firstLine="720"/>
      </w:pPr>
      <w:r>
        <w:t xml:space="preserve">While it is important to </w:t>
      </w:r>
      <w:r w:rsidRPr="007D426C">
        <w:t xml:space="preserve">keep these </w:t>
      </w:r>
      <w:r w:rsidR="006465F9">
        <w:t>factors</w:t>
      </w:r>
      <w:r w:rsidRPr="007D426C">
        <w:t xml:space="preserve"> in mind</w:t>
      </w:r>
      <w:r w:rsidR="00A21B2A">
        <w:t>,</w:t>
      </w:r>
      <w:r w:rsidR="00BB261E">
        <w:t xml:space="preserve"> </w:t>
      </w:r>
      <w:r w:rsidR="00A21B2A">
        <w:t>they</w:t>
      </w:r>
      <w:r w:rsidR="00BB261E">
        <w:t xml:space="preserve"> </w:t>
      </w:r>
      <w:r w:rsidR="00F45565">
        <w:t xml:space="preserve">do </w:t>
      </w:r>
      <w:r w:rsidR="00BB261E">
        <w:t xml:space="preserve">not </w:t>
      </w:r>
      <w:r w:rsidR="003C0628">
        <w:t>negate</w:t>
      </w:r>
      <w:r w:rsidR="00BB261E">
        <w:t xml:space="preserve"> the </w:t>
      </w:r>
      <w:r>
        <w:t>usefulness</w:t>
      </w:r>
      <w:r w:rsidR="00BB261E">
        <w:t xml:space="preserve"> of </w:t>
      </w:r>
      <w:r w:rsidR="00A75FD0">
        <w:t>th</w:t>
      </w:r>
      <w:r w:rsidR="00345D97">
        <w:t>ese historical sources</w:t>
      </w:r>
      <w:r w:rsidR="00BB261E">
        <w:t>.</w:t>
      </w:r>
      <w:r w:rsidR="000F1E49">
        <w:t xml:space="preserve"> The laws undoubtedly reflect the preoccupations of people at the time, </w:t>
      </w:r>
      <w:r w:rsidR="00473FE2">
        <w:t>or at the very least the concerns of the men who wrote them.</w:t>
      </w:r>
      <w:r w:rsidR="00BB261E">
        <w:t xml:space="preserve"> </w:t>
      </w:r>
      <w:r w:rsidR="00330E76">
        <w:t>So</w:t>
      </w:r>
      <w:r w:rsidR="001F0DC5">
        <w:t xml:space="preserve"> when it came to women,</w:t>
      </w:r>
      <w:r w:rsidR="00330E76">
        <w:t xml:space="preserve"> what </w:t>
      </w:r>
      <w:r w:rsidR="001F0DC5">
        <w:t xml:space="preserve">were the lawyers interested in regulating? </w:t>
      </w:r>
      <w:r w:rsidR="00B11D75">
        <w:t>Perhaps u</w:t>
      </w:r>
      <w:r w:rsidR="001F0DC5">
        <w:t>nsurprisingly</w:t>
      </w:r>
      <w:r w:rsidR="00B11D75">
        <w:t xml:space="preserve"> for a society that viewed a woman’s main role as that of wife and mother</w:t>
      </w:r>
      <w:r w:rsidR="001F0DC5">
        <w:t xml:space="preserve">, marriage </w:t>
      </w:r>
      <w:r w:rsidR="00862D3B">
        <w:t xml:space="preserve">and a woman’s sexual status </w:t>
      </w:r>
      <w:r w:rsidR="00B11D75">
        <w:t>were</w:t>
      </w:r>
      <w:r w:rsidR="00127500">
        <w:t xml:space="preserve"> </w:t>
      </w:r>
      <w:r w:rsidR="006B1CB0">
        <w:t xml:space="preserve">major </w:t>
      </w:r>
      <w:r w:rsidR="008305D9">
        <w:t>focus</w:t>
      </w:r>
      <w:r w:rsidR="001E3EA7">
        <w:t>es</w:t>
      </w:r>
      <w:r w:rsidR="006B1CB0">
        <w:t xml:space="preserve">. </w:t>
      </w:r>
      <w:r w:rsidR="001F0DC5">
        <w:t xml:space="preserve"> </w:t>
      </w:r>
    </w:p>
    <w:p w:rsidR="00F26BEC" w:rsidRDefault="009C3C88" w:rsidP="00664E4B">
      <w:pPr>
        <w:spacing w:line="360" w:lineRule="auto"/>
        <w:ind w:firstLine="720"/>
      </w:pPr>
      <w:r>
        <w:t xml:space="preserve">In medieval </w:t>
      </w:r>
      <w:r w:rsidR="00222BD0">
        <w:t>Europe</w:t>
      </w:r>
      <w:r>
        <w:t xml:space="preserve">, a great deal of importance was placed </w:t>
      </w:r>
      <w:r w:rsidR="00223C2D">
        <w:t>on</w:t>
      </w:r>
      <w:r w:rsidR="00297B34">
        <w:t xml:space="preserve"> a woman’s</w:t>
      </w:r>
      <w:r w:rsidR="00223C2D">
        <w:t xml:space="preserve"> virginity. </w:t>
      </w:r>
      <w:r w:rsidR="00222BD0">
        <w:t>As</w:t>
      </w:r>
      <w:r w:rsidR="00223C2D">
        <w:t xml:space="preserve"> </w:t>
      </w:r>
      <w:r w:rsidR="00223C2D" w:rsidRPr="00223C2D">
        <w:t xml:space="preserve">José Antonio López </w:t>
      </w:r>
      <w:proofErr w:type="spellStart"/>
      <w:r w:rsidR="00223C2D" w:rsidRPr="00223C2D">
        <w:t>Sabatel</w:t>
      </w:r>
      <w:proofErr w:type="spellEnd"/>
      <w:r w:rsidR="00223C2D">
        <w:t xml:space="preserve"> </w:t>
      </w:r>
      <w:r w:rsidR="00222BD0">
        <w:t>note</w:t>
      </w:r>
      <w:r w:rsidR="00683728">
        <w:t>s</w:t>
      </w:r>
      <w:r w:rsidR="00223C2D">
        <w:t>, it was ‘considered a great asset in the marriage market, and its early loss represented an enormous impairment or even irreversible damage’.</w:t>
      </w:r>
      <w:r w:rsidR="00223C2D">
        <w:rPr>
          <w:rStyle w:val="FootnoteReference"/>
        </w:rPr>
        <w:footnoteReference w:id="12"/>
      </w:r>
      <w:r w:rsidR="00C823CE">
        <w:t xml:space="preserve"> A</w:t>
      </w:r>
      <w:r w:rsidR="00847E40">
        <w:t>s</w:t>
      </w:r>
      <w:r w:rsidR="00C823CE">
        <w:t xml:space="preserve"> </w:t>
      </w:r>
      <w:r w:rsidR="00847E40">
        <w:t xml:space="preserve">a </w:t>
      </w:r>
      <w:r w:rsidR="00D840E5">
        <w:t>girl’s</w:t>
      </w:r>
      <w:r w:rsidR="00C823CE">
        <w:t xml:space="preserve"> honour and </w:t>
      </w:r>
      <w:r w:rsidR="00E03CA6">
        <w:t xml:space="preserve">her </w:t>
      </w:r>
      <w:r w:rsidR="00C823CE">
        <w:t>sexual purity were inextricably linked</w:t>
      </w:r>
      <w:r w:rsidR="00847E40">
        <w:t xml:space="preserve">, </w:t>
      </w:r>
      <w:r w:rsidR="003E148A">
        <w:t xml:space="preserve">it was </w:t>
      </w:r>
      <w:r w:rsidR="002024C8">
        <w:t xml:space="preserve">vitally </w:t>
      </w:r>
      <w:r w:rsidR="003E148A">
        <w:t>important for</w:t>
      </w:r>
      <w:r w:rsidR="00B24F16">
        <w:t xml:space="preserve"> a</w:t>
      </w:r>
      <w:r w:rsidR="003E148A">
        <w:t xml:space="preserve"> </w:t>
      </w:r>
      <w:r w:rsidR="00B95449">
        <w:t>Welsh girl</w:t>
      </w:r>
      <w:r w:rsidR="003E148A">
        <w:t xml:space="preserve"> to remain </w:t>
      </w:r>
      <w:r w:rsidR="002024C8">
        <w:t>in the family home</w:t>
      </w:r>
      <w:r w:rsidR="003E148A">
        <w:t xml:space="preserve">, where her virginity could be </w:t>
      </w:r>
      <w:r w:rsidR="002024C8">
        <w:t>safeguarded and vouched for by her immediate family, until a marriage was negotiated</w:t>
      </w:r>
      <w:r w:rsidR="00900C8C">
        <w:t xml:space="preserve"> for her</w:t>
      </w:r>
      <w:r w:rsidR="002024C8">
        <w:t>.</w:t>
      </w:r>
      <w:r w:rsidR="008D452F">
        <w:t xml:space="preserve"> </w:t>
      </w:r>
      <w:r w:rsidR="008F416E">
        <w:t xml:space="preserve">The minimum </w:t>
      </w:r>
      <w:r w:rsidR="008F416E">
        <w:lastRenderedPageBreak/>
        <w:t>m</w:t>
      </w:r>
      <w:r w:rsidR="00365CDD">
        <w:t>arriageable age for a girl was around</w:t>
      </w:r>
      <w:r w:rsidR="008F416E">
        <w:t xml:space="preserve"> fourteen, although this could vary.</w:t>
      </w:r>
      <w:r w:rsidR="008F416E">
        <w:rPr>
          <w:rStyle w:val="FootnoteReference"/>
        </w:rPr>
        <w:footnoteReference w:id="13"/>
      </w:r>
      <w:r w:rsidR="008F416E">
        <w:t xml:space="preserve"> </w:t>
      </w:r>
      <w:r w:rsidR="00EC1C91">
        <w:t xml:space="preserve">As marriage was considered a contract and not a religious sacrament, goods were exchanged to seal the deal. </w:t>
      </w:r>
      <w:r w:rsidR="00DC4AE9">
        <w:t>The most important commodity in this case was the girl herself. She would be given to her prospective husband</w:t>
      </w:r>
      <w:r w:rsidR="001511A2">
        <w:t xml:space="preserve"> by her kin</w:t>
      </w:r>
      <w:r w:rsidR="00DC4AE9">
        <w:t xml:space="preserve"> and in return he would </w:t>
      </w:r>
      <w:r w:rsidR="0009169F">
        <w:t xml:space="preserve">promise </w:t>
      </w:r>
      <w:r w:rsidR="00DC4AE9">
        <w:t>certain payments to his new bride</w:t>
      </w:r>
      <w:r w:rsidR="008839BD">
        <w:t xml:space="preserve">, including </w:t>
      </w:r>
      <w:proofErr w:type="spellStart"/>
      <w:r w:rsidR="008839BD" w:rsidRPr="008839BD">
        <w:rPr>
          <w:i/>
          <w:iCs/>
        </w:rPr>
        <w:t>agweddi</w:t>
      </w:r>
      <w:proofErr w:type="spellEnd"/>
      <w:r w:rsidR="008839BD">
        <w:t xml:space="preserve"> and </w:t>
      </w:r>
      <w:proofErr w:type="spellStart"/>
      <w:r w:rsidR="008839BD" w:rsidRPr="008839BD">
        <w:rPr>
          <w:i/>
          <w:iCs/>
        </w:rPr>
        <w:t>cowyll</w:t>
      </w:r>
      <w:proofErr w:type="spellEnd"/>
      <w:r w:rsidR="008839BD">
        <w:t>. The former was a share ‘from the common pool of matrimonial property’ which the wife was entitled to in the case of legitimate separation within the first seven years of marriage</w:t>
      </w:r>
      <w:r w:rsidR="001C7FD9">
        <w:t xml:space="preserve"> and the latter was essentially compensation for her virginity.</w:t>
      </w:r>
      <w:r w:rsidR="00203B5F">
        <w:rPr>
          <w:rStyle w:val="FootnoteReference"/>
        </w:rPr>
        <w:footnoteReference w:id="14"/>
      </w:r>
      <w:r w:rsidR="001C7FD9">
        <w:t xml:space="preserve"> </w:t>
      </w:r>
      <w:r w:rsidR="00F26BEC">
        <w:t xml:space="preserve">Another payment worth mentioning is </w:t>
      </w:r>
      <w:proofErr w:type="spellStart"/>
      <w:r w:rsidR="00F26BEC" w:rsidRPr="00F26BEC">
        <w:rPr>
          <w:i/>
          <w:iCs/>
        </w:rPr>
        <w:t>amobr</w:t>
      </w:r>
      <w:proofErr w:type="spellEnd"/>
      <w:r w:rsidR="00F26BEC">
        <w:t>. This was a fee payable to the woman’s</w:t>
      </w:r>
      <w:r w:rsidR="00F6646F">
        <w:t xml:space="preserve"> feudal</w:t>
      </w:r>
      <w:r w:rsidR="00F26BEC">
        <w:t xml:space="preserve"> lord for the loss of her virginity. As </w:t>
      </w:r>
      <w:r w:rsidR="009B2FC6">
        <w:t>it was</w:t>
      </w:r>
      <w:r w:rsidR="00F26BEC">
        <w:t xml:space="preserve"> the traditional responsibility of the lord to protect the virginity of the women who lived in his territory, he was compensated if a </w:t>
      </w:r>
      <w:r w:rsidR="00567A4C">
        <w:t>virgin</w:t>
      </w:r>
      <w:r w:rsidR="00F26BEC">
        <w:t xml:space="preserve"> was given to a man </w:t>
      </w:r>
      <w:r w:rsidR="00567A4C">
        <w:t>in marriage. This payment also applied if a virgin was raped or if a maid took it upon herself to enter into a sexual relationship.</w:t>
      </w:r>
      <w:r w:rsidR="00E3309B">
        <w:rPr>
          <w:rStyle w:val="FootnoteReference"/>
        </w:rPr>
        <w:footnoteReference w:id="15"/>
      </w:r>
      <w:r w:rsidR="00567A4C">
        <w:t xml:space="preserve"> </w:t>
      </w:r>
    </w:p>
    <w:p w:rsidR="00B70D75" w:rsidRDefault="000B77F4" w:rsidP="00664E4B">
      <w:pPr>
        <w:spacing w:line="360" w:lineRule="auto"/>
        <w:ind w:firstLine="720"/>
      </w:pPr>
      <w:r>
        <w:t>In regard</w:t>
      </w:r>
      <w:r w:rsidR="00250571">
        <w:t xml:space="preserve"> to a woman’s right to </w:t>
      </w:r>
      <w:proofErr w:type="spellStart"/>
      <w:r w:rsidR="00250571" w:rsidRPr="008839BD">
        <w:rPr>
          <w:i/>
          <w:iCs/>
        </w:rPr>
        <w:t>agweddi</w:t>
      </w:r>
      <w:proofErr w:type="spellEnd"/>
      <w:r w:rsidR="00250571">
        <w:t xml:space="preserve"> and </w:t>
      </w:r>
      <w:proofErr w:type="spellStart"/>
      <w:r w:rsidR="00250571" w:rsidRPr="008839BD">
        <w:rPr>
          <w:i/>
          <w:iCs/>
        </w:rPr>
        <w:t>cowyll</w:t>
      </w:r>
      <w:proofErr w:type="spellEnd"/>
      <w:r w:rsidR="00250571">
        <w:rPr>
          <w:i/>
          <w:iCs/>
        </w:rPr>
        <w:t>,</w:t>
      </w:r>
      <w:r w:rsidR="00250571">
        <w:t xml:space="preserve"> n</w:t>
      </w:r>
      <w:r w:rsidR="00D73C81">
        <w:t xml:space="preserve">aturally, </w:t>
      </w:r>
      <w:r w:rsidR="00E046D7">
        <w:t xml:space="preserve">these payments </w:t>
      </w:r>
      <w:r w:rsidR="00410AFE">
        <w:t>were</w:t>
      </w:r>
      <w:r w:rsidR="00E046D7">
        <w:t xml:space="preserve"> withheld if she was deemed </w:t>
      </w:r>
      <w:r w:rsidR="00660570">
        <w:t xml:space="preserve">not </w:t>
      </w:r>
      <w:r w:rsidR="00E046D7">
        <w:t xml:space="preserve">a virgin. </w:t>
      </w:r>
      <w:r w:rsidR="00B72CA4">
        <w:t>According to the law, i</w:t>
      </w:r>
      <w:r w:rsidR="00DC4AE9">
        <w:t>f</w:t>
      </w:r>
      <w:r w:rsidR="00C577A1">
        <w:t xml:space="preserve"> </w:t>
      </w:r>
      <w:r w:rsidR="00DC4AE9">
        <w:t xml:space="preserve">on the wedding night </w:t>
      </w:r>
      <w:r w:rsidR="00E046D7">
        <w:t xml:space="preserve">a man </w:t>
      </w:r>
      <w:r w:rsidR="00FE4F57">
        <w:t>found his bride to be</w:t>
      </w:r>
      <w:r w:rsidR="00CC0386">
        <w:t xml:space="preserve"> </w:t>
      </w:r>
      <w:r w:rsidR="00FE4F57">
        <w:t>‘</w:t>
      </w:r>
      <w:r w:rsidR="00CC0386">
        <w:t>deflowered’</w:t>
      </w:r>
      <w:r w:rsidR="00DC4AE9">
        <w:t xml:space="preserve">, </w:t>
      </w:r>
      <w:r w:rsidR="00CA1C49">
        <w:t xml:space="preserve">but chose to remain with her the whole night </w:t>
      </w:r>
      <w:r w:rsidR="00D429BF">
        <w:t>regardless</w:t>
      </w:r>
      <w:r w:rsidR="00CA1C49">
        <w:t xml:space="preserve">, </w:t>
      </w:r>
      <w:r w:rsidR="004852C6">
        <w:t>he could not then</w:t>
      </w:r>
      <w:r w:rsidR="00C577A1">
        <w:t xml:space="preserve"> withhold her</w:t>
      </w:r>
      <w:r w:rsidR="00E046D7">
        <w:t xml:space="preserve"> marriage </w:t>
      </w:r>
      <w:r w:rsidR="00C577A1">
        <w:t>en</w:t>
      </w:r>
      <w:r w:rsidR="00E046D7">
        <w:t>titlements</w:t>
      </w:r>
      <w:r w:rsidR="00CA1C49">
        <w:t>.</w:t>
      </w:r>
      <w:r w:rsidR="00C94B2F">
        <w:rPr>
          <w:rStyle w:val="FootnoteReference"/>
        </w:rPr>
        <w:footnoteReference w:id="16"/>
      </w:r>
      <w:r w:rsidR="00CA1C49">
        <w:t xml:space="preserve"> If, on the other hand, the groom immediately</w:t>
      </w:r>
      <w:r w:rsidR="00AC553E">
        <w:t xml:space="preserve"> leaves the </w:t>
      </w:r>
      <w:r w:rsidR="005D6953">
        <w:t>nuptial bed and</w:t>
      </w:r>
      <w:r w:rsidR="00CA1C49">
        <w:t xml:space="preserve"> ma</w:t>
      </w:r>
      <w:r w:rsidR="005D6953">
        <w:t>kes</w:t>
      </w:r>
      <w:r w:rsidR="00CA1C49">
        <w:t xml:space="preserve"> his case before the wedding guests</w:t>
      </w:r>
      <w:r w:rsidR="00D429BF">
        <w:t xml:space="preserve">, </w:t>
      </w:r>
      <w:r w:rsidR="00AC553E">
        <w:t xml:space="preserve">he </w:t>
      </w:r>
      <w:r w:rsidR="00515532">
        <w:t xml:space="preserve">is </w:t>
      </w:r>
      <w:r w:rsidR="00AC553E">
        <w:t>no longer bound by the usual contractual obligations.</w:t>
      </w:r>
      <w:r w:rsidR="00C97F64">
        <w:t xml:space="preserve"> What it was that led him to </w:t>
      </w:r>
      <w:r w:rsidR="00C42DF2">
        <w:t>conclude that his partner was not a virgin</w:t>
      </w:r>
      <w:r w:rsidR="00C97F64">
        <w:t xml:space="preserve">, however, is not </w:t>
      </w:r>
      <w:r w:rsidR="00052509">
        <w:t>elucidated</w:t>
      </w:r>
      <w:r w:rsidR="00C97F64">
        <w:t xml:space="preserve">. It may have been </w:t>
      </w:r>
      <w:r w:rsidR="00744EC5">
        <w:t>a</w:t>
      </w:r>
      <w:r w:rsidR="00C97F64">
        <w:t xml:space="preserve"> lack of hymeneal blood</w:t>
      </w:r>
      <w:r w:rsidR="00744EC5">
        <w:t xml:space="preserve"> on the </w:t>
      </w:r>
      <w:r w:rsidR="00E35673">
        <w:t xml:space="preserve">bed </w:t>
      </w:r>
      <w:r w:rsidR="00C95ECF">
        <w:t>s</w:t>
      </w:r>
      <w:r w:rsidR="00744EC5">
        <w:t>heets, although it was understood at the time that not all women bleed when they first have sexual intercourse.</w:t>
      </w:r>
      <w:r w:rsidR="00744EC5">
        <w:rPr>
          <w:rStyle w:val="FootnoteReference"/>
        </w:rPr>
        <w:footnoteReference w:id="17"/>
      </w:r>
      <w:r w:rsidR="00744EC5">
        <w:t xml:space="preserve"> </w:t>
      </w:r>
      <w:r w:rsidR="0071377A">
        <w:t>Welsh law</w:t>
      </w:r>
      <w:r w:rsidR="00E72944">
        <w:t xml:space="preserve"> </w:t>
      </w:r>
      <w:r w:rsidR="0071377A">
        <w:t>concede</w:t>
      </w:r>
      <w:r w:rsidR="004976B6">
        <w:t>s</w:t>
      </w:r>
      <w:r w:rsidR="0071377A">
        <w:t xml:space="preserve"> that once a girl </w:t>
      </w:r>
      <w:r w:rsidR="00E72944">
        <w:t xml:space="preserve">is ‘mature’, in other words has reached puberty, it can be difficult to assess whether she is a virgin or not. Therefore, </w:t>
      </w:r>
      <w:r w:rsidR="005F477D">
        <w:t>she is given the opportunity to</w:t>
      </w:r>
      <w:r w:rsidR="005D6953">
        <w:t xml:space="preserve"> </w:t>
      </w:r>
      <w:r w:rsidR="00AC553E">
        <w:t>appeal to her family</w:t>
      </w:r>
      <w:r w:rsidR="004C346C">
        <w:t xml:space="preserve"> for assistance</w:t>
      </w:r>
      <w:r w:rsidR="00AC553E">
        <w:t xml:space="preserve">. The law </w:t>
      </w:r>
      <w:r w:rsidR="00FA73B3">
        <w:t>permit</w:t>
      </w:r>
      <w:r w:rsidR="009A3DD2">
        <w:t>ted</w:t>
      </w:r>
      <w:r w:rsidR="00AC553E">
        <w:t xml:space="preserve"> </w:t>
      </w:r>
      <w:r w:rsidR="00154DCF">
        <w:t>her kin</w:t>
      </w:r>
      <w:r w:rsidR="00AC553E">
        <w:t xml:space="preserve"> to ‘clear her by compurgation’.</w:t>
      </w:r>
      <w:r w:rsidR="00422E3D">
        <w:rPr>
          <w:rStyle w:val="FootnoteReference"/>
        </w:rPr>
        <w:footnoteReference w:id="18"/>
      </w:r>
      <w:r w:rsidR="00AC553E">
        <w:t xml:space="preserve"> Seven of her immediate relatives, including her parents, were required to take an oath </w:t>
      </w:r>
      <w:r w:rsidR="0000776D">
        <w:t>affirming that she had been a virgin before her wedding night</w:t>
      </w:r>
      <w:r w:rsidR="00AC553E">
        <w:t>.</w:t>
      </w:r>
      <w:r w:rsidR="00AE01A6">
        <w:t xml:space="preserve"> </w:t>
      </w:r>
      <w:r w:rsidR="00AC553E">
        <w:t xml:space="preserve">If the girl </w:t>
      </w:r>
      <w:r w:rsidR="005D6953">
        <w:t xml:space="preserve">refused this option or if the family agreed with the </w:t>
      </w:r>
      <w:r w:rsidR="005D6953">
        <w:lastRenderedPageBreak/>
        <w:t xml:space="preserve">groom, then she was deemed a </w:t>
      </w:r>
      <w:proofErr w:type="spellStart"/>
      <w:r w:rsidR="005D6953" w:rsidRPr="005D6953">
        <w:rPr>
          <w:i/>
          <w:iCs/>
        </w:rPr>
        <w:t>twyllforwyn</w:t>
      </w:r>
      <w:proofErr w:type="spellEnd"/>
      <w:r w:rsidR="005D6953">
        <w:t xml:space="preserve"> (a false virgin) and the consequence</w:t>
      </w:r>
      <w:r w:rsidR="00B517B4">
        <w:t>s</w:t>
      </w:r>
      <w:r w:rsidR="005D6953">
        <w:t xml:space="preserve"> w</w:t>
      </w:r>
      <w:r w:rsidR="00B517B4">
        <w:t>ere</w:t>
      </w:r>
      <w:r w:rsidR="005D6953">
        <w:t xml:space="preserve"> cruel and humiliating. </w:t>
      </w:r>
      <w:r w:rsidR="005A730B">
        <w:t>According to the law, ‘let her shift be cut both in front and behind,</w:t>
      </w:r>
      <w:r w:rsidR="004A1F47">
        <w:t xml:space="preserve"> [exposing her genitals],</w:t>
      </w:r>
      <w:r w:rsidR="005A730B">
        <w:t xml:space="preserve"> and a yearling steer be handed to her by its greased tail.’</w:t>
      </w:r>
      <w:r w:rsidR="00842D64">
        <w:rPr>
          <w:rStyle w:val="FootnoteReference"/>
        </w:rPr>
        <w:footnoteReference w:id="19"/>
      </w:r>
      <w:r w:rsidR="005A730B">
        <w:t xml:space="preserve"> If the girl was able to </w:t>
      </w:r>
      <w:r w:rsidR="004A1F47">
        <w:t>keep hold of</w:t>
      </w:r>
      <w:r w:rsidR="005A730B">
        <w:t xml:space="preserve"> the tail, she </w:t>
      </w:r>
      <w:r w:rsidR="00C92862">
        <w:t>was entitled to</w:t>
      </w:r>
      <w:r w:rsidR="00473E65">
        <w:t xml:space="preserve"> keep</w:t>
      </w:r>
      <w:r w:rsidR="00B644DB">
        <w:t xml:space="preserve"> the </w:t>
      </w:r>
      <w:r w:rsidR="005D6288">
        <w:t>animal</w:t>
      </w:r>
      <w:r w:rsidR="005A730B">
        <w:t xml:space="preserve">. </w:t>
      </w:r>
      <w:r w:rsidR="004A1F47">
        <w:t>Presumably,</w:t>
      </w:r>
      <w:r w:rsidR="0006778C">
        <w:t xml:space="preserve"> </w:t>
      </w:r>
      <w:r w:rsidR="00A35255">
        <w:t>this was</w:t>
      </w:r>
      <w:r w:rsidR="00C56A38">
        <w:t xml:space="preserve"> a</w:t>
      </w:r>
      <w:r w:rsidR="0006778C">
        <w:t xml:space="preserve"> form of</w:t>
      </w:r>
      <w:r w:rsidR="00080127">
        <w:t xml:space="preserve"> derisory</w:t>
      </w:r>
      <w:r w:rsidR="0006778C">
        <w:t xml:space="preserve"> compensation as</w:t>
      </w:r>
      <w:r w:rsidR="004A1F47">
        <w:t xml:space="preserve"> she was no longer eligible to receive </w:t>
      </w:r>
      <w:r w:rsidR="00B16A89">
        <w:t>her</w:t>
      </w:r>
      <w:r w:rsidR="004A1F47">
        <w:t xml:space="preserve"> </w:t>
      </w:r>
      <w:proofErr w:type="spellStart"/>
      <w:r w:rsidR="004A1F47" w:rsidRPr="004A1F47">
        <w:rPr>
          <w:i/>
          <w:iCs/>
        </w:rPr>
        <w:t>agweddi</w:t>
      </w:r>
      <w:proofErr w:type="spellEnd"/>
      <w:r w:rsidR="00B16A89">
        <w:t>.</w:t>
      </w:r>
      <w:r w:rsidR="00AE01A6">
        <w:t xml:space="preserve"> </w:t>
      </w:r>
    </w:p>
    <w:p w:rsidR="007E42A2" w:rsidRDefault="005267E1" w:rsidP="00664E4B">
      <w:pPr>
        <w:spacing w:line="360" w:lineRule="auto"/>
        <w:ind w:firstLine="720"/>
      </w:pPr>
      <w:r>
        <w:t>Additional</w:t>
      </w:r>
      <w:r w:rsidR="00B70D75">
        <w:t xml:space="preserve"> </w:t>
      </w:r>
      <w:r>
        <w:t xml:space="preserve">material related to </w:t>
      </w:r>
      <w:r w:rsidR="00B70D75">
        <w:t>false virgins</w:t>
      </w:r>
      <w:r>
        <w:t xml:space="preserve"> is found in </w:t>
      </w:r>
      <w:r w:rsidR="004B4D43">
        <w:t>one of the</w:t>
      </w:r>
      <w:r>
        <w:t xml:space="preserve"> legal triad</w:t>
      </w:r>
      <w:r w:rsidR="004B4D43">
        <w:t>s.</w:t>
      </w:r>
      <w:r w:rsidR="00230326">
        <w:rPr>
          <w:rStyle w:val="FootnoteReference"/>
        </w:rPr>
        <w:footnoteReference w:id="20"/>
      </w:r>
      <w:r w:rsidR="00230326">
        <w:t xml:space="preserve"> The </w:t>
      </w:r>
      <w:r w:rsidR="00B70D75">
        <w:t>law presented differs to that found</w:t>
      </w:r>
      <w:r w:rsidR="00230326">
        <w:t xml:space="preserve"> in the main tractate in that the oaths are sworn and her virginity guaranteed before the man discovers that she is not a virgin.</w:t>
      </w:r>
      <w:r w:rsidR="00B70D75">
        <w:t xml:space="preserve"> </w:t>
      </w:r>
      <w:r w:rsidR="00230326">
        <w:t xml:space="preserve">This implies </w:t>
      </w:r>
      <w:r w:rsidR="00787663">
        <w:t>a more calculated</w:t>
      </w:r>
      <w:r w:rsidR="00230326">
        <w:t xml:space="preserve"> level of deception, which legally entitle</w:t>
      </w:r>
      <w:r w:rsidR="00D5016A">
        <w:t>s</w:t>
      </w:r>
      <w:r w:rsidR="00230326">
        <w:t xml:space="preserve"> </w:t>
      </w:r>
      <w:r w:rsidR="000B7C6F">
        <w:t>him</w:t>
      </w:r>
      <w:r w:rsidR="00230326">
        <w:t xml:space="preserve"> to punish the woman by kicking and beating her.</w:t>
      </w:r>
      <w:r w:rsidR="00E407D3">
        <w:rPr>
          <w:rStyle w:val="FootnoteReference"/>
        </w:rPr>
        <w:footnoteReference w:id="21"/>
      </w:r>
      <w:r w:rsidR="00D35D37">
        <w:t xml:space="preserve"> </w:t>
      </w:r>
    </w:p>
    <w:p w:rsidR="005A730B" w:rsidRDefault="00C54346" w:rsidP="00664E4B">
      <w:pPr>
        <w:spacing w:line="360" w:lineRule="auto"/>
        <w:ind w:firstLine="720"/>
      </w:pPr>
      <w:r>
        <w:t>Whether th</w:t>
      </w:r>
      <w:r w:rsidR="007E42A2">
        <w:t>ese</w:t>
      </w:r>
      <w:r>
        <w:t xml:space="preserve"> humiliating ritual</w:t>
      </w:r>
      <w:r w:rsidR="00D35D37">
        <w:t>s</w:t>
      </w:r>
      <w:r>
        <w:t xml:space="preserve"> w</w:t>
      </w:r>
      <w:r w:rsidR="00D35D37">
        <w:t>ere</w:t>
      </w:r>
      <w:r>
        <w:t xml:space="preserve"> ever carried out is unc</w:t>
      </w:r>
      <w:r w:rsidR="00C349C4">
        <w:t>lear</w:t>
      </w:r>
      <w:r>
        <w:t>,</w:t>
      </w:r>
      <w:r w:rsidR="00EB607D">
        <w:t xml:space="preserve"> as ecclesiastical court records do not survive from</w:t>
      </w:r>
      <w:r w:rsidR="00687A41">
        <w:t xml:space="preserve"> Wales</w:t>
      </w:r>
      <w:r w:rsidR="00447589">
        <w:t xml:space="preserve"> in</w:t>
      </w:r>
      <w:r w:rsidR="00EB607D">
        <w:t xml:space="preserve"> this period.</w:t>
      </w:r>
      <w:r w:rsidR="00DC5791">
        <w:rPr>
          <w:rStyle w:val="FootnoteReference"/>
        </w:rPr>
        <w:footnoteReference w:id="22"/>
      </w:r>
      <w:r>
        <w:t xml:space="preserve"> </w:t>
      </w:r>
      <w:r w:rsidR="00EB607D">
        <w:t>What these laws clearly demonstrate, though,</w:t>
      </w:r>
      <w:r>
        <w:t xml:space="preserve"> is that</w:t>
      </w:r>
      <w:r w:rsidR="00BA2454">
        <w:t xml:space="preserve"> </w:t>
      </w:r>
      <w:r>
        <w:t>virginity was not a private matter and a woman’s sexual organs were seen as the concern and property of her family and</w:t>
      </w:r>
      <w:r w:rsidR="00AA51E5">
        <w:t xml:space="preserve"> </w:t>
      </w:r>
      <w:r>
        <w:t xml:space="preserve">prospective husband. </w:t>
      </w:r>
      <w:r w:rsidR="00AF1F25">
        <w:t xml:space="preserve">Furthermore, </w:t>
      </w:r>
      <w:r w:rsidR="00BA2454">
        <w:t>these laws</w:t>
      </w:r>
      <w:r w:rsidR="00253C67">
        <w:t xml:space="preserve"> </w:t>
      </w:r>
      <w:r w:rsidR="000F3B3A">
        <w:t>undoubtedly served</w:t>
      </w:r>
      <w:r w:rsidR="00253C67">
        <w:t xml:space="preserve"> as a morality tale</w:t>
      </w:r>
      <w:r w:rsidR="006000D3">
        <w:t xml:space="preserve"> about obedience and virtue.</w:t>
      </w:r>
      <w:r w:rsidR="00253C67">
        <w:t xml:space="preserve"> </w:t>
      </w:r>
      <w:r w:rsidR="006000D3">
        <w:t xml:space="preserve">Public shame and disgrace </w:t>
      </w:r>
      <w:r w:rsidR="00253C67">
        <w:t>await</w:t>
      </w:r>
      <w:r w:rsidR="00A31E6E">
        <w:t>ed</w:t>
      </w:r>
      <w:r w:rsidR="00253C67">
        <w:t xml:space="preserve"> a girl who </w:t>
      </w:r>
      <w:r w:rsidR="00AA757F">
        <w:t>failed to</w:t>
      </w:r>
      <w:r w:rsidR="00253C67">
        <w:t xml:space="preserve"> guard her virginity </w:t>
      </w:r>
      <w:r w:rsidR="00623D5C">
        <w:t xml:space="preserve">and </w:t>
      </w:r>
      <w:r w:rsidR="00DF70E4">
        <w:t>attempted</w:t>
      </w:r>
      <w:r w:rsidR="00623D5C">
        <w:t xml:space="preserve"> to deceive her husband</w:t>
      </w:r>
      <w:r w:rsidR="00253C67">
        <w:t>.</w:t>
      </w:r>
      <w:r w:rsidR="00AF1F25">
        <w:t xml:space="preserve"> The survival of a number of recipes for testing virginity further emphasise </w:t>
      </w:r>
      <w:r w:rsidR="000948DB">
        <w:t>th</w:t>
      </w:r>
      <w:r w:rsidR="001A5146">
        <w:t>is</w:t>
      </w:r>
      <w:r w:rsidR="00AF1F25">
        <w:t xml:space="preserve"> desire to control female sexuality.</w:t>
      </w:r>
      <w:r w:rsidR="001A5146">
        <w:rPr>
          <w:rStyle w:val="FootnoteReference"/>
        </w:rPr>
        <w:footnoteReference w:id="23"/>
      </w:r>
      <w:r w:rsidR="00D408E9">
        <w:t xml:space="preserve"> This theme is also frequently addressed in Welsh courtly literature.</w:t>
      </w:r>
      <w:r w:rsidR="00D408E9">
        <w:rPr>
          <w:rStyle w:val="FootnoteReference"/>
        </w:rPr>
        <w:footnoteReference w:id="24"/>
      </w:r>
      <w:r w:rsidR="00AF1F25">
        <w:t xml:space="preserve"> </w:t>
      </w:r>
    </w:p>
    <w:p w:rsidR="00761AA5" w:rsidRDefault="00061055" w:rsidP="00664E4B">
      <w:pPr>
        <w:spacing w:line="360" w:lineRule="auto"/>
        <w:ind w:firstLine="720"/>
      </w:pPr>
      <w:r>
        <w:t>It has already been established that one legitimate form of marital union was when a girl</w:t>
      </w:r>
      <w:r w:rsidR="00522120">
        <w:t xml:space="preserve"> </w:t>
      </w:r>
      <w:r>
        <w:t>was given to a man by her family. There were, however, eight other unions</w:t>
      </w:r>
      <w:r w:rsidR="00A130AD">
        <w:t xml:space="preserve"> </w:t>
      </w:r>
      <w:r>
        <w:t>recognised by medieval Welsh law.</w:t>
      </w:r>
      <w:r w:rsidR="004D55FF">
        <w:rPr>
          <w:rStyle w:val="FootnoteReference"/>
        </w:rPr>
        <w:footnoteReference w:id="25"/>
      </w:r>
      <w:r>
        <w:t xml:space="preserve"> </w:t>
      </w:r>
      <w:r w:rsidR="0011178D">
        <w:t>These</w:t>
      </w:r>
      <w:r w:rsidR="00A130AD">
        <w:t xml:space="preserve"> can be broadly divided into four categories</w:t>
      </w:r>
      <w:r w:rsidR="00BC34A3">
        <w:t xml:space="preserve">. </w:t>
      </w:r>
      <w:r w:rsidR="00A130AD">
        <w:t xml:space="preserve">The first group covers two unions which are by gift of kin. These are, in the eyes of the law, the most </w:t>
      </w:r>
      <w:r w:rsidR="00A130AD">
        <w:lastRenderedPageBreak/>
        <w:t>honourable couplings</w:t>
      </w:r>
      <w:r w:rsidR="00C772A0">
        <w:t xml:space="preserve"> and the unions in which the woman </w:t>
      </w:r>
      <w:r w:rsidR="00FE7B7F">
        <w:t xml:space="preserve">probably had </w:t>
      </w:r>
      <w:r w:rsidR="0004284D">
        <w:t>little to no say</w:t>
      </w:r>
      <w:r w:rsidR="00A130AD">
        <w:t>. The second category</w:t>
      </w:r>
      <w:r w:rsidR="008378AA">
        <w:t xml:space="preserve"> c</w:t>
      </w:r>
      <w:r w:rsidR="00A130AD">
        <w:t>overs three unions that</w:t>
      </w:r>
      <w:r w:rsidR="00D03805">
        <w:t>,</w:t>
      </w:r>
      <w:r w:rsidR="00A130AD">
        <w:t xml:space="preserve"> while not by gift of kin, </w:t>
      </w:r>
      <w:r w:rsidR="009278DE">
        <w:t xml:space="preserve">are transacted with the consent of the kin and the woman herself. An open elopement, for example, would fall into this category. In the third group are two unions which the woman consents to but her family does not, such as a secret </w:t>
      </w:r>
      <w:r w:rsidR="00335122">
        <w:t xml:space="preserve">relationship. The final two </w:t>
      </w:r>
      <w:r w:rsidR="000E65CD">
        <w:t>scenarios</w:t>
      </w:r>
      <w:r w:rsidR="00C772A0">
        <w:t xml:space="preserve"> </w:t>
      </w:r>
      <w:r w:rsidR="00335122">
        <w:t xml:space="preserve">are those which neither the woman </w:t>
      </w:r>
      <w:r w:rsidR="008378AA">
        <w:t>n</w:t>
      </w:r>
      <w:r w:rsidR="00335122">
        <w:t>o</w:t>
      </w:r>
      <w:r w:rsidR="005E762D">
        <w:t>r</w:t>
      </w:r>
      <w:r w:rsidR="00335122">
        <w:t xml:space="preserve"> her kin consent to and include abduction and cases of rape. </w:t>
      </w:r>
      <w:r w:rsidR="00787726">
        <w:t xml:space="preserve">All of the </w:t>
      </w:r>
      <w:r w:rsidR="00825922">
        <w:t>above unions</w:t>
      </w:r>
      <w:r w:rsidR="00787726">
        <w:t xml:space="preserve"> are legitimised by </w:t>
      </w:r>
      <w:r w:rsidR="00825922">
        <w:t>the couple having sexual intercourse rather than by a wedding ceremony.</w:t>
      </w:r>
      <w:r w:rsidR="003A2A6A">
        <w:rPr>
          <w:rStyle w:val="FootnoteReference"/>
        </w:rPr>
        <w:footnoteReference w:id="26"/>
      </w:r>
      <w:r w:rsidR="0048721E">
        <w:t xml:space="preserve"> As mentioned earlier, medieval lawyers were particularly interested in</w:t>
      </w:r>
      <w:r w:rsidR="007D11CD">
        <w:t xml:space="preserve"> regulating</w:t>
      </w:r>
      <w:r w:rsidR="0048721E">
        <w:t xml:space="preserve"> marriage, but this does not presuppose an interest in protecting the rights of women. </w:t>
      </w:r>
      <w:r w:rsidR="005F61F0">
        <w:t>They were most concerned with protecting</w:t>
      </w:r>
      <w:r w:rsidR="0048721E">
        <w:t xml:space="preserve"> the rights of </w:t>
      </w:r>
      <w:r w:rsidR="005F61F0">
        <w:t xml:space="preserve">boys born of these unions and </w:t>
      </w:r>
      <w:r w:rsidR="0048721E">
        <w:t>‘ensuring that sons would inherit without difficulty</w:t>
      </w:r>
      <w:r w:rsidR="005F61F0">
        <w:t>’</w:t>
      </w:r>
      <w:r w:rsidR="0048721E">
        <w:t>.</w:t>
      </w:r>
      <w:r w:rsidR="005F61F0">
        <w:rPr>
          <w:rStyle w:val="FootnoteReference"/>
        </w:rPr>
        <w:footnoteReference w:id="27"/>
      </w:r>
      <w:r w:rsidR="009A24D2">
        <w:t xml:space="preserve"> This underscores the message that in medieval Wales a woman’s most important role was that of a </w:t>
      </w:r>
      <w:r w:rsidR="001A1986">
        <w:t>mother</w:t>
      </w:r>
      <w:r w:rsidR="009A24D2">
        <w:t xml:space="preserve">. </w:t>
      </w:r>
    </w:p>
    <w:p w:rsidR="00320621" w:rsidRDefault="007A7254" w:rsidP="00685668">
      <w:pPr>
        <w:spacing w:line="360" w:lineRule="auto"/>
        <w:ind w:firstLine="720"/>
      </w:pPr>
      <w:r>
        <w:t>Once a woman is legitimately married</w:t>
      </w:r>
      <w:r w:rsidR="003D6C35">
        <w:t>, she essentially</w:t>
      </w:r>
      <w:r w:rsidR="00A57913">
        <w:t xml:space="preserve"> becomes</w:t>
      </w:r>
      <w:r w:rsidR="003D6C35">
        <w:t xml:space="preserve"> the property of her husband and there are many things the law stipulate</w:t>
      </w:r>
      <w:r w:rsidR="00F25AB6">
        <w:t>s</w:t>
      </w:r>
      <w:r w:rsidR="003D6C35">
        <w:t xml:space="preserve"> she cannot do.</w:t>
      </w:r>
      <w:r w:rsidR="00386394">
        <w:t xml:space="preserve"> </w:t>
      </w:r>
      <w:r w:rsidR="00386394" w:rsidRPr="00386394">
        <w:t xml:space="preserve">In the first seven years of marriage, which in Welsh law is considered something of a trial period, the wife is not entitled to enter into contracts on her own account. The </w:t>
      </w:r>
      <w:proofErr w:type="spellStart"/>
      <w:r w:rsidR="00386394" w:rsidRPr="00386394">
        <w:t>Iorwerth</w:t>
      </w:r>
      <w:proofErr w:type="spellEnd"/>
      <w:r w:rsidR="00386394" w:rsidRPr="00386394">
        <w:t xml:space="preserve"> text states that ‘a wife is not entitled to buy and sell, unless she be </w:t>
      </w:r>
      <w:proofErr w:type="spellStart"/>
      <w:r w:rsidR="00386394" w:rsidRPr="00386394">
        <w:rPr>
          <w:i/>
          <w:iCs/>
        </w:rPr>
        <w:t>priod</w:t>
      </w:r>
      <w:proofErr w:type="spellEnd"/>
      <w:r w:rsidR="00386394" w:rsidRPr="00386394">
        <w:t>, without the permission of her husband.’</w:t>
      </w:r>
      <w:r w:rsidR="00386394">
        <w:rPr>
          <w:rStyle w:val="FootnoteReference"/>
        </w:rPr>
        <w:footnoteReference w:id="28"/>
      </w:r>
      <w:r w:rsidR="00386394" w:rsidRPr="00386394">
        <w:t xml:space="preserve"> As Christopher </w:t>
      </w:r>
      <w:proofErr w:type="spellStart"/>
      <w:r w:rsidR="00386394" w:rsidRPr="00386394">
        <w:t>McAll</w:t>
      </w:r>
      <w:proofErr w:type="spellEnd"/>
      <w:r w:rsidR="00386394" w:rsidRPr="00386394">
        <w:t xml:space="preserve"> notes, the precise meaning of some of the terms used to describe the legal status of a wife is not always clear, but </w:t>
      </w:r>
      <w:proofErr w:type="spellStart"/>
      <w:r w:rsidR="00386394" w:rsidRPr="00386394">
        <w:rPr>
          <w:i/>
          <w:iCs/>
        </w:rPr>
        <w:t>priod</w:t>
      </w:r>
      <w:proofErr w:type="spellEnd"/>
      <w:r w:rsidR="00386394" w:rsidRPr="00386394">
        <w:t xml:space="preserve"> probably refers to a wife whose marital union has surpassed the seven-year mark or to a wife whose family endowed her with a </w:t>
      </w:r>
      <w:proofErr w:type="spellStart"/>
      <w:r w:rsidR="00386394" w:rsidRPr="00386394">
        <w:rPr>
          <w:i/>
          <w:iCs/>
        </w:rPr>
        <w:t>gwaddol</w:t>
      </w:r>
      <w:proofErr w:type="spellEnd"/>
      <w:r w:rsidR="00386394" w:rsidRPr="00386394">
        <w:t xml:space="preserve"> or dowry when she first entered the marriage.</w:t>
      </w:r>
      <w:r w:rsidR="00386394">
        <w:rPr>
          <w:rStyle w:val="FootnoteReference"/>
        </w:rPr>
        <w:footnoteReference w:id="29"/>
      </w:r>
      <w:r w:rsidR="00685668">
        <w:t xml:space="preserve"> Regardless of her marital status, a woman is banned </w:t>
      </w:r>
      <w:r w:rsidR="003B2633">
        <w:t>from acting as a witness in court</w:t>
      </w:r>
      <w:r w:rsidR="00BA461A">
        <w:t>,</w:t>
      </w:r>
      <w:r w:rsidR="003B2633">
        <w:t xml:space="preserve"> and, under normal circumstances, </w:t>
      </w:r>
      <w:r w:rsidR="0022656B">
        <w:t>i</w:t>
      </w:r>
      <w:r w:rsidR="003B2633">
        <w:t>s not permitted to hold land or inherit it.</w:t>
      </w:r>
      <w:r w:rsidR="003B2633">
        <w:rPr>
          <w:rStyle w:val="FootnoteReference"/>
        </w:rPr>
        <w:footnoteReference w:id="30"/>
      </w:r>
      <w:r w:rsidR="00165E60">
        <w:t xml:space="preserve"> This seriously limited her importance in society.</w:t>
      </w:r>
      <w:r w:rsidR="00BA461A">
        <w:t xml:space="preserve"> When it came to the more intimate aspects of marriage, </w:t>
      </w:r>
      <w:r w:rsidR="00A57DCB">
        <w:t>a wife who</w:t>
      </w:r>
      <w:r w:rsidR="00BA461A">
        <w:t xml:space="preserve"> left her husband’s bed and denied him his conjugal rights, </w:t>
      </w:r>
      <w:r w:rsidR="00685668">
        <w:t>was required</w:t>
      </w:r>
      <w:r w:rsidR="00BA461A">
        <w:t xml:space="preserve"> to pay a fine before she was permitted to return.</w:t>
      </w:r>
      <w:r w:rsidR="00685668">
        <w:t xml:space="preserve"> She was also fined </w:t>
      </w:r>
      <w:r w:rsidR="00C666BA">
        <w:t xml:space="preserve">for uttering </w:t>
      </w:r>
      <w:r w:rsidR="00D978D7">
        <w:t>‘</w:t>
      </w:r>
      <w:r w:rsidR="007522A2">
        <w:t>a shameful word to her husband’.</w:t>
      </w:r>
      <w:r w:rsidR="00DD671D">
        <w:rPr>
          <w:rStyle w:val="FootnoteReference"/>
        </w:rPr>
        <w:footnoteReference w:id="31"/>
      </w:r>
      <w:r w:rsidR="007522A2">
        <w:t xml:space="preserve"> This might </w:t>
      </w:r>
      <w:r w:rsidR="007522A2">
        <w:lastRenderedPageBreak/>
        <w:t xml:space="preserve">include </w:t>
      </w:r>
      <w:r w:rsidR="008B5F52">
        <w:t>insulting</w:t>
      </w:r>
      <w:r w:rsidR="007522A2">
        <w:t xml:space="preserve"> </w:t>
      </w:r>
      <w:r w:rsidR="00534CB6">
        <w:t>his</w:t>
      </w:r>
      <w:r w:rsidR="007522A2">
        <w:t xml:space="preserve"> beard, wishing dirt on his teeth or calling him a cur.</w:t>
      </w:r>
      <w:r w:rsidR="007522A2">
        <w:rPr>
          <w:rStyle w:val="FootnoteReference"/>
        </w:rPr>
        <w:footnoteReference w:id="32"/>
      </w:r>
      <w:r w:rsidR="007522A2">
        <w:t xml:space="preserve"> </w:t>
      </w:r>
      <w:r w:rsidR="00506548">
        <w:t>The overall message is unambiguous. A woman</w:t>
      </w:r>
      <w:r w:rsidR="00D978D7">
        <w:t xml:space="preserve"> in medieval Wales</w:t>
      </w:r>
      <w:r w:rsidR="0050459E">
        <w:t xml:space="preserve"> had little legal independence</w:t>
      </w:r>
      <w:r w:rsidR="00155033">
        <w:t xml:space="preserve"> and</w:t>
      </w:r>
      <w:r w:rsidR="0050459E">
        <w:t xml:space="preserve"> </w:t>
      </w:r>
      <w:r w:rsidR="00506548">
        <w:t>was expected to be subservient to her husband</w:t>
      </w:r>
      <w:r w:rsidR="00ED6C99">
        <w:t xml:space="preserve"> in all things. </w:t>
      </w:r>
    </w:p>
    <w:p w:rsidR="00EE27EA" w:rsidRDefault="00A57DCB" w:rsidP="00664E4B">
      <w:pPr>
        <w:spacing w:line="360" w:lineRule="auto"/>
        <w:ind w:firstLine="720"/>
      </w:pPr>
      <w:r>
        <w:t>While the situation for</w:t>
      </w:r>
      <w:r w:rsidR="00F9697C">
        <w:t xml:space="preserve"> married</w:t>
      </w:r>
      <w:r>
        <w:t xml:space="preserve"> women</w:t>
      </w:r>
      <w:r w:rsidR="002E3965">
        <w:t xml:space="preserve"> was</w:t>
      </w:r>
      <w:r w:rsidR="001333FC">
        <w:t xml:space="preserve"> evidently</w:t>
      </w:r>
      <w:r w:rsidR="002E3965">
        <w:t xml:space="preserve"> fairly bleak, t</w:t>
      </w:r>
      <w:r w:rsidR="00373A1D">
        <w:t xml:space="preserve">here </w:t>
      </w:r>
      <w:r w:rsidR="00D25423">
        <w:t>was one thing she was expressly permitted to do</w:t>
      </w:r>
      <w:r w:rsidR="00373A1D">
        <w:t xml:space="preserve"> </w:t>
      </w:r>
      <w:r w:rsidR="00F23B5A">
        <w:t xml:space="preserve">without her husband’s consent, </w:t>
      </w:r>
      <w:r w:rsidR="00E51C8E">
        <w:t>namely</w:t>
      </w:r>
      <w:r w:rsidR="00373A1D">
        <w:t xml:space="preserve"> </w:t>
      </w:r>
      <w:r w:rsidR="00F23B5A">
        <w:t xml:space="preserve">lending or giving away </w:t>
      </w:r>
      <w:r w:rsidR="00E51C8E">
        <w:t xml:space="preserve">certain </w:t>
      </w:r>
      <w:r w:rsidR="001A1EE9">
        <w:t>possessions</w:t>
      </w:r>
      <w:r w:rsidR="00E51C8E">
        <w:t>.</w:t>
      </w:r>
      <w:r w:rsidR="000E02AA">
        <w:t xml:space="preserve"> </w:t>
      </w:r>
      <w:r w:rsidR="00E51C8E">
        <w:t xml:space="preserve">The precise details vary depending on </w:t>
      </w:r>
      <w:r w:rsidR="0029788D">
        <w:t>the woman’s</w:t>
      </w:r>
      <w:r w:rsidR="00E51C8E">
        <w:t xml:space="preserve"> status.</w:t>
      </w:r>
      <w:r w:rsidR="00FF32F8">
        <w:rPr>
          <w:rStyle w:val="FootnoteReference"/>
        </w:rPr>
        <w:footnoteReference w:id="33"/>
      </w:r>
      <w:r w:rsidR="004B669E">
        <w:t xml:space="preserve"> For example, the wife of a king was allowed to give away ‘a third of the casual acquisitions which come from the king</w:t>
      </w:r>
      <w:r w:rsidR="000376C1">
        <w:t>’, while a freeman’s wife could part with, among other things, her cloak, shift, headkerchief and shoes. A villein’s wife</w:t>
      </w:r>
      <w:r w:rsidR="0013746F">
        <w:t>,</w:t>
      </w:r>
      <w:r w:rsidR="000376C1">
        <w:t xml:space="preserve"> though</w:t>
      </w:r>
      <w:r w:rsidR="0013746F">
        <w:t>,</w:t>
      </w:r>
      <w:r w:rsidR="000376C1">
        <w:t xml:space="preserve"> could only give away her headgear and lend her sieve.</w:t>
      </w:r>
      <w:r w:rsidR="000376C1">
        <w:rPr>
          <w:rStyle w:val="FootnoteReference"/>
        </w:rPr>
        <w:footnoteReference w:id="34"/>
      </w:r>
      <w:r w:rsidR="000E02AA">
        <w:t xml:space="preserve"> If, however, a wife gifted an item she was not entitled to give, her husband was permitted to beat her. </w:t>
      </w:r>
      <w:r w:rsidR="004E3532">
        <w:t>Being</w:t>
      </w:r>
      <w:r w:rsidR="003D3958">
        <w:t xml:space="preserve"> found with another man or ‘wishing a shame</w:t>
      </w:r>
      <w:r w:rsidR="00155E31">
        <w:t>’</w:t>
      </w:r>
      <w:r w:rsidR="003D3958">
        <w:t xml:space="preserve"> upon </w:t>
      </w:r>
      <w:r w:rsidR="00E66EE3">
        <w:t>her husband’s</w:t>
      </w:r>
      <w:r w:rsidR="00155E31">
        <w:t xml:space="preserve"> beard</w:t>
      </w:r>
      <w:r w:rsidR="004E3532">
        <w:t xml:space="preserve"> were two further grounds for beating</w:t>
      </w:r>
      <w:r w:rsidR="003D3958">
        <w:t>.</w:t>
      </w:r>
      <w:r w:rsidR="00E96F9E">
        <w:rPr>
          <w:rStyle w:val="FootnoteReference"/>
        </w:rPr>
        <w:footnoteReference w:id="35"/>
      </w:r>
      <w:r w:rsidR="0011048A">
        <w:t xml:space="preserve"> According to the law, he could take ‘a rod as long as a man’s forearm and as thick as his middle finger’ and strike her three times anywhere on her body except for her head.</w:t>
      </w:r>
      <w:r w:rsidR="0011048A">
        <w:rPr>
          <w:rStyle w:val="FootnoteReference"/>
        </w:rPr>
        <w:footnoteReference w:id="36"/>
      </w:r>
      <w:r w:rsidR="009719F7">
        <w:t xml:space="preserve"> However, if he chose to physically punish his wife, he was not entitled to </w:t>
      </w:r>
      <w:r w:rsidR="00B62638">
        <w:t xml:space="preserve">any other compensation, </w:t>
      </w:r>
      <w:r w:rsidR="008C76ED">
        <w:t>because</w:t>
      </w:r>
      <w:r w:rsidR="00B62638">
        <w:t xml:space="preserve"> in Welsh law a person had ‘no right to compensation and revenge’ for the same offence.</w:t>
      </w:r>
      <w:r w:rsidR="00A6366C">
        <w:rPr>
          <w:rStyle w:val="FootnoteReference"/>
        </w:rPr>
        <w:footnoteReference w:id="37"/>
      </w:r>
      <w:r w:rsidR="00B62638">
        <w:t xml:space="preserve"> </w:t>
      </w:r>
      <w:r w:rsidR="00A6366C">
        <w:t xml:space="preserve">If he beat her </w:t>
      </w:r>
      <w:r w:rsidR="00701FCB">
        <w:t>for any</w:t>
      </w:r>
      <w:r w:rsidR="00A6366C">
        <w:t xml:space="preserve"> reason other than those specified</w:t>
      </w:r>
      <w:r w:rsidR="00A15F6E">
        <w:t xml:space="preserve">, </w:t>
      </w:r>
      <w:r w:rsidR="00A6366C">
        <w:t>the woman</w:t>
      </w:r>
      <w:r w:rsidR="00A15F6E">
        <w:t xml:space="preserve"> </w:t>
      </w:r>
      <w:r w:rsidR="00EE7A0F">
        <w:t>was</w:t>
      </w:r>
      <w:r w:rsidR="00A15F6E">
        <w:t xml:space="preserve"> eligible for compensation.</w:t>
      </w:r>
      <w:r w:rsidR="006D0FC6">
        <w:rPr>
          <w:rStyle w:val="FootnoteReference"/>
        </w:rPr>
        <w:footnoteReference w:id="38"/>
      </w:r>
      <w:r w:rsidR="008E05B0">
        <w:t xml:space="preserve"> </w:t>
      </w:r>
    </w:p>
    <w:p w:rsidR="0006632F" w:rsidRDefault="0027147F" w:rsidP="00664E4B">
      <w:pPr>
        <w:spacing w:line="360" w:lineRule="auto"/>
        <w:ind w:firstLine="720"/>
      </w:pPr>
      <w:r>
        <w:t xml:space="preserve">At this point, it is prudent to briefly look at the rules of </w:t>
      </w:r>
      <w:proofErr w:type="spellStart"/>
      <w:r w:rsidRPr="0027147F">
        <w:rPr>
          <w:i/>
          <w:iCs/>
        </w:rPr>
        <w:t>galanas</w:t>
      </w:r>
      <w:proofErr w:type="spellEnd"/>
      <w:r>
        <w:t xml:space="preserve"> and </w:t>
      </w:r>
      <w:proofErr w:type="spellStart"/>
      <w:r w:rsidRPr="0027147F">
        <w:rPr>
          <w:i/>
          <w:iCs/>
        </w:rPr>
        <w:t>sarh</w:t>
      </w:r>
      <w:r w:rsidR="00B177B4">
        <w:rPr>
          <w:i/>
          <w:iCs/>
        </w:rPr>
        <w:t>aed</w:t>
      </w:r>
      <w:proofErr w:type="spellEnd"/>
      <w:r>
        <w:t xml:space="preserve"> as they reveal </w:t>
      </w:r>
      <w:r w:rsidR="006A7ED8">
        <w:t>in stark relief how marginalised women were in Welsh society</w:t>
      </w:r>
      <w:r>
        <w:t xml:space="preserve">. </w:t>
      </w:r>
      <w:r w:rsidR="009E2632">
        <w:t>T</w:t>
      </w:r>
      <w:r w:rsidR="00786BB5">
        <w:t>he terms are not easy to define</w:t>
      </w:r>
      <w:r w:rsidR="00932F1D">
        <w:t xml:space="preserve"> and are inextricably linked with complex ideas about honour and shame</w:t>
      </w:r>
      <w:r w:rsidR="00786BB5">
        <w:t xml:space="preserve">. </w:t>
      </w:r>
      <w:r w:rsidR="00C21A53">
        <w:t>As</w:t>
      </w:r>
      <w:r>
        <w:t xml:space="preserve"> </w:t>
      </w:r>
      <w:proofErr w:type="spellStart"/>
      <w:r>
        <w:t>Morfydd</w:t>
      </w:r>
      <w:proofErr w:type="spellEnd"/>
      <w:r>
        <w:t xml:space="preserve"> E. Owen stresse</w:t>
      </w:r>
      <w:r w:rsidR="00701FCB">
        <w:t>s</w:t>
      </w:r>
      <w:r>
        <w:t xml:space="preserve">, </w:t>
      </w:r>
      <w:r w:rsidR="00786BB5">
        <w:t>they both</w:t>
      </w:r>
      <w:r>
        <w:t xml:space="preserve"> have </w:t>
      </w:r>
      <w:r w:rsidR="00786BB5">
        <w:t>‘</w:t>
      </w:r>
      <w:r>
        <w:t>a wide range of meanings and legal implications.’</w:t>
      </w:r>
      <w:r>
        <w:rPr>
          <w:rStyle w:val="FootnoteReference"/>
        </w:rPr>
        <w:footnoteReference w:id="39"/>
      </w:r>
      <w:r w:rsidR="00EE27EA">
        <w:t xml:space="preserve"> </w:t>
      </w:r>
      <w:proofErr w:type="spellStart"/>
      <w:r w:rsidR="00EE27EA" w:rsidRPr="00EE27EA">
        <w:rPr>
          <w:i/>
          <w:iCs/>
        </w:rPr>
        <w:t>Galanas</w:t>
      </w:r>
      <w:proofErr w:type="spellEnd"/>
      <w:r w:rsidR="00EE27EA">
        <w:rPr>
          <w:i/>
          <w:iCs/>
        </w:rPr>
        <w:t xml:space="preserve">, </w:t>
      </w:r>
      <w:r w:rsidR="00EE27EA" w:rsidRPr="00EE27EA">
        <w:t>though</w:t>
      </w:r>
      <w:r w:rsidR="00EE27EA">
        <w:rPr>
          <w:i/>
          <w:iCs/>
        </w:rPr>
        <w:t>,</w:t>
      </w:r>
      <w:r w:rsidR="00EE27EA">
        <w:t xml:space="preserve"> usually means ‘life-price’ or the compensation paid</w:t>
      </w:r>
      <w:r w:rsidR="00682E02">
        <w:t xml:space="preserve"> </w:t>
      </w:r>
      <w:r w:rsidR="00EE27EA">
        <w:t>for committing homicide.</w:t>
      </w:r>
      <w:r w:rsidR="00EE27EA">
        <w:rPr>
          <w:rStyle w:val="FootnoteReference"/>
        </w:rPr>
        <w:footnoteReference w:id="40"/>
      </w:r>
      <w:r w:rsidR="00AF53E3">
        <w:t xml:space="preserve"> Similarly, </w:t>
      </w:r>
      <w:proofErr w:type="spellStart"/>
      <w:r w:rsidR="00AF53E3" w:rsidRPr="00AF53E3">
        <w:rPr>
          <w:i/>
          <w:iCs/>
        </w:rPr>
        <w:t>sarh</w:t>
      </w:r>
      <w:r w:rsidR="00BD78C0">
        <w:rPr>
          <w:i/>
          <w:iCs/>
        </w:rPr>
        <w:t>ae</w:t>
      </w:r>
      <w:r w:rsidR="00AF53E3" w:rsidRPr="00AF53E3">
        <w:rPr>
          <w:i/>
          <w:iCs/>
        </w:rPr>
        <w:t>d</w:t>
      </w:r>
      <w:proofErr w:type="spellEnd"/>
      <w:r w:rsidR="00AF53E3">
        <w:t xml:space="preserve"> means ‘insult’ and is the compensation payable to </w:t>
      </w:r>
      <w:r w:rsidR="00AF53E3">
        <w:lastRenderedPageBreak/>
        <w:t>a victim for</w:t>
      </w:r>
      <w:r w:rsidR="00377C83">
        <w:t xml:space="preserve"> intentional harm and/or</w:t>
      </w:r>
      <w:r w:rsidR="00AF53E3">
        <w:t xml:space="preserve"> an infringement of their honour.</w:t>
      </w:r>
      <w:r w:rsidR="00AF53E3">
        <w:rPr>
          <w:rStyle w:val="FootnoteReference"/>
        </w:rPr>
        <w:footnoteReference w:id="41"/>
      </w:r>
      <w:r w:rsidR="00932F1D">
        <w:t xml:space="preserve"> </w:t>
      </w:r>
      <w:r w:rsidR="00F62267">
        <w:t xml:space="preserve">The value of </w:t>
      </w:r>
      <w:proofErr w:type="spellStart"/>
      <w:r w:rsidR="00F62267" w:rsidRPr="0027147F">
        <w:rPr>
          <w:i/>
          <w:iCs/>
        </w:rPr>
        <w:t>galanas</w:t>
      </w:r>
      <w:proofErr w:type="spellEnd"/>
      <w:r w:rsidR="00F62267">
        <w:t xml:space="preserve"> and </w:t>
      </w:r>
      <w:proofErr w:type="spellStart"/>
      <w:r w:rsidR="00F62267" w:rsidRPr="0027147F">
        <w:rPr>
          <w:i/>
          <w:iCs/>
        </w:rPr>
        <w:t>sarh</w:t>
      </w:r>
      <w:r w:rsidR="00A213A1">
        <w:rPr>
          <w:i/>
          <w:iCs/>
        </w:rPr>
        <w:t>ae</w:t>
      </w:r>
      <w:r w:rsidR="00F62267" w:rsidRPr="0027147F">
        <w:rPr>
          <w:i/>
          <w:iCs/>
        </w:rPr>
        <w:t>d</w:t>
      </w:r>
      <w:proofErr w:type="spellEnd"/>
      <w:r w:rsidR="00F62267">
        <w:rPr>
          <w:i/>
          <w:iCs/>
        </w:rPr>
        <w:t xml:space="preserve"> </w:t>
      </w:r>
      <w:r w:rsidR="00F62267">
        <w:t xml:space="preserve">vary according to </w:t>
      </w:r>
      <w:r w:rsidR="00EB5107">
        <w:t>a</w:t>
      </w:r>
      <w:r w:rsidR="00F62267">
        <w:t xml:space="preserve"> person’s status</w:t>
      </w:r>
      <w:r w:rsidR="00530D63">
        <w:t xml:space="preserve"> and sex</w:t>
      </w:r>
      <w:r w:rsidR="00903FDF">
        <w:t xml:space="preserve"> and</w:t>
      </w:r>
      <w:r w:rsidR="00E71625">
        <w:t xml:space="preserve"> was usually expressed in cattle</w:t>
      </w:r>
      <w:r w:rsidR="00903FDF">
        <w:t>,</w:t>
      </w:r>
      <w:r w:rsidR="00E71625">
        <w:t xml:space="preserve"> and </w:t>
      </w:r>
      <w:proofErr w:type="spellStart"/>
      <w:r w:rsidR="00E71625" w:rsidRPr="00E71625">
        <w:rPr>
          <w:i/>
          <w:iCs/>
        </w:rPr>
        <w:t>sarhaed</w:t>
      </w:r>
      <w:proofErr w:type="spellEnd"/>
      <w:r w:rsidR="00E71625">
        <w:t xml:space="preserve"> in cattle and silver, although </w:t>
      </w:r>
      <w:r w:rsidR="00CD4F83">
        <w:t>different rules applied</w:t>
      </w:r>
      <w:r w:rsidR="00903FDF">
        <w:t xml:space="preserve"> for</w:t>
      </w:r>
      <w:r w:rsidR="00E71625">
        <w:t xml:space="preserve"> the royal family.</w:t>
      </w:r>
      <w:r w:rsidR="00E71625">
        <w:rPr>
          <w:rStyle w:val="FootnoteReference"/>
        </w:rPr>
        <w:footnoteReference w:id="42"/>
      </w:r>
      <w:r w:rsidR="00E71625">
        <w:t xml:space="preserve"> </w:t>
      </w:r>
      <w:r w:rsidR="006213F7">
        <w:t>It is</w:t>
      </w:r>
      <w:r w:rsidR="00440A03">
        <w:t xml:space="preserve"> remarkably</w:t>
      </w:r>
      <w:r w:rsidR="006213F7">
        <w:t xml:space="preserve"> revealing that the </w:t>
      </w:r>
      <w:proofErr w:type="spellStart"/>
      <w:r w:rsidR="006213F7" w:rsidRPr="006213F7">
        <w:rPr>
          <w:i/>
          <w:iCs/>
        </w:rPr>
        <w:t>galanas</w:t>
      </w:r>
      <w:proofErr w:type="spellEnd"/>
      <w:r w:rsidR="006213F7">
        <w:t xml:space="preserve"> of a non-royal woman was equal to half that of her brother</w:t>
      </w:r>
      <w:r w:rsidR="00562611">
        <w:t>,</w:t>
      </w:r>
      <w:r w:rsidR="006213F7">
        <w:t xml:space="preserve"> regardless of her marital status.</w:t>
      </w:r>
      <w:r w:rsidR="00440A03">
        <w:t xml:space="preserve"> This same rule applied to a woman’s </w:t>
      </w:r>
      <w:proofErr w:type="spellStart"/>
      <w:r w:rsidR="00440A03" w:rsidRPr="00440A03">
        <w:rPr>
          <w:i/>
          <w:iCs/>
        </w:rPr>
        <w:t>sarh</w:t>
      </w:r>
      <w:r w:rsidR="00390187">
        <w:rPr>
          <w:i/>
          <w:iCs/>
        </w:rPr>
        <w:t>ae</w:t>
      </w:r>
      <w:r w:rsidR="00440A03" w:rsidRPr="00440A03">
        <w:rPr>
          <w:i/>
          <w:iCs/>
        </w:rPr>
        <w:t>d</w:t>
      </w:r>
      <w:proofErr w:type="spellEnd"/>
      <w:r w:rsidR="00440A03">
        <w:t>, but only before marriage.</w:t>
      </w:r>
      <w:r w:rsidR="00562611">
        <w:t xml:space="preserve"> It was </w:t>
      </w:r>
      <w:r w:rsidR="00ED470A">
        <w:t>subsequently</w:t>
      </w:r>
      <w:r w:rsidR="00440A03">
        <w:t xml:space="preserve"> equivalent to a third of her husband’s. </w:t>
      </w:r>
      <w:r w:rsidR="004A2C86">
        <w:t xml:space="preserve">This </w:t>
      </w:r>
      <w:r w:rsidR="00BB5D11">
        <w:t>further emphasises</w:t>
      </w:r>
      <w:r w:rsidR="004A2C86">
        <w:t xml:space="preserve"> the juridically inferior position that women occupied in society. </w:t>
      </w:r>
    </w:p>
    <w:p w:rsidR="00930A19" w:rsidRDefault="009F2B41" w:rsidP="00664E4B">
      <w:pPr>
        <w:spacing w:line="360" w:lineRule="auto"/>
        <w:ind w:firstLine="720"/>
      </w:pPr>
      <w:r>
        <w:t>The earlier</w:t>
      </w:r>
      <w:r w:rsidR="00DA0FDE">
        <w:t xml:space="preserve"> </w:t>
      </w:r>
      <w:r w:rsidR="0087539F">
        <w:t>reference to</w:t>
      </w:r>
      <w:r w:rsidR="00A802DD">
        <w:t xml:space="preserve"> </w:t>
      </w:r>
      <w:r w:rsidR="0087539F">
        <w:t>a man’s facial hair may appear</w:t>
      </w:r>
      <w:r w:rsidR="00E2068E">
        <w:t xml:space="preserve"> on the surface quite</w:t>
      </w:r>
      <w:r w:rsidR="0087539F">
        <w:t xml:space="preserve"> frivolous</w:t>
      </w:r>
      <w:r w:rsidR="001B052A">
        <w:t>. However,</w:t>
      </w:r>
      <w:r w:rsidR="00DA0FDE">
        <w:t xml:space="preserve"> </w:t>
      </w:r>
      <w:r w:rsidR="008B0CBC">
        <w:t xml:space="preserve">a beard </w:t>
      </w:r>
      <w:r w:rsidR="00DA0FDE">
        <w:t>in the medieval period w</w:t>
      </w:r>
      <w:r w:rsidR="008B0CBC">
        <w:t>as</w:t>
      </w:r>
      <w:r w:rsidR="00DA0FDE">
        <w:t xml:space="preserve"> seen as symbol of a man’s virility </w:t>
      </w:r>
      <w:r w:rsidR="001E2DED">
        <w:t>and so to wish a blemish on it was a deep insult and a public slander.</w:t>
      </w:r>
      <w:r w:rsidR="001E2DED">
        <w:rPr>
          <w:rStyle w:val="FootnoteReference"/>
        </w:rPr>
        <w:footnoteReference w:id="43"/>
      </w:r>
      <w:r w:rsidR="001E2DED">
        <w:t xml:space="preserve"> The ultimate insult, though, that a woman could inflict on her husband was to engage in a sexual relationship with another man.</w:t>
      </w:r>
      <w:r w:rsidR="00FB1D8E">
        <w:t xml:space="preserve"> According to </w:t>
      </w:r>
      <w:r w:rsidR="008E05B0">
        <w:t>the triad headed ‘</w:t>
      </w:r>
      <w:r w:rsidR="001A1D3C">
        <w:t>t</w:t>
      </w:r>
      <w:r w:rsidR="008E05B0">
        <w:t>hese are the three strong scandals of a woman’</w:t>
      </w:r>
      <w:r w:rsidR="00FB1D8E">
        <w:t xml:space="preserve">, a </w:t>
      </w:r>
      <w:r w:rsidR="008E05B0">
        <w:t>wife</w:t>
      </w:r>
      <w:r w:rsidR="00FB1D8E">
        <w:t xml:space="preserve"> can be accused of adultery</w:t>
      </w:r>
      <w:r w:rsidR="00E76CCB">
        <w:t xml:space="preserve"> </w:t>
      </w:r>
      <w:r w:rsidR="00FB1D8E">
        <w:t>in the following three cases:</w:t>
      </w:r>
    </w:p>
    <w:p w:rsidR="00FB1D8E" w:rsidRDefault="00FB1D8E" w:rsidP="00664E4B">
      <w:pPr>
        <w:spacing w:line="360" w:lineRule="auto"/>
      </w:pPr>
    </w:p>
    <w:p w:rsidR="00FB1D8E" w:rsidRDefault="00FB1D8E" w:rsidP="00664E4B">
      <w:pPr>
        <w:spacing w:line="360" w:lineRule="auto"/>
        <w:ind w:left="720"/>
      </w:pPr>
      <w:r>
        <w:t>One is seeing the man and the woman emerging from the same bush one on either side of the bush, the second is finding them both under one blanket, the third is seeing the man between the two thighs of the woman.</w:t>
      </w:r>
      <w:r w:rsidR="005021E6">
        <w:rPr>
          <w:rStyle w:val="FootnoteReference"/>
        </w:rPr>
        <w:footnoteReference w:id="44"/>
      </w:r>
    </w:p>
    <w:p w:rsidR="006551FE" w:rsidRDefault="006551FE" w:rsidP="00664E4B">
      <w:pPr>
        <w:spacing w:line="360" w:lineRule="auto"/>
        <w:ind w:left="720"/>
      </w:pPr>
    </w:p>
    <w:p w:rsidR="007E3A92" w:rsidRDefault="006551FE" w:rsidP="00664E4B">
      <w:pPr>
        <w:spacing w:line="360" w:lineRule="auto"/>
      </w:pPr>
      <w:r>
        <w:t xml:space="preserve">While there is certainly an element of humour involved, Roberts argues that embedded in this triad is sophisticated legal thinking that provides insight into </w:t>
      </w:r>
      <w:r w:rsidR="00C57419">
        <w:t>‘</w:t>
      </w:r>
      <w:r>
        <w:t>the evidence needed to bring a case against a woman.’</w:t>
      </w:r>
      <w:r>
        <w:rPr>
          <w:rStyle w:val="FootnoteReference"/>
        </w:rPr>
        <w:footnoteReference w:id="45"/>
      </w:r>
      <w:r w:rsidR="00C57419">
        <w:t xml:space="preserve"> </w:t>
      </w:r>
      <w:r w:rsidR="00BD7B13">
        <w:t>Should</w:t>
      </w:r>
      <w:r w:rsidR="00AE3241">
        <w:t xml:space="preserve"> the man and the wife deny the adultery, they require people to swear oaths attesting to their innocence.</w:t>
      </w:r>
      <w:r w:rsidR="00777D87">
        <w:rPr>
          <w:rStyle w:val="FootnoteReference"/>
        </w:rPr>
        <w:footnoteReference w:id="46"/>
      </w:r>
      <w:r w:rsidR="00AE3241">
        <w:t xml:space="preserve"> </w:t>
      </w:r>
      <w:r w:rsidR="00486274">
        <w:t>Similarly, a</w:t>
      </w:r>
      <w:r w:rsidR="00A041D4">
        <w:t xml:space="preserve"> husband’s adultery </w:t>
      </w:r>
      <w:r w:rsidR="0082279A">
        <w:t>i</w:t>
      </w:r>
      <w:r w:rsidR="00A041D4">
        <w:t>s considered an insult to his wife</w:t>
      </w:r>
      <w:r w:rsidR="00255F47">
        <w:t xml:space="preserve"> and</w:t>
      </w:r>
      <w:r w:rsidR="00BF241A">
        <w:t xml:space="preserve"> thus call</w:t>
      </w:r>
      <w:r w:rsidR="0082279A">
        <w:t>s</w:t>
      </w:r>
      <w:r w:rsidR="00BF241A">
        <w:t xml:space="preserve"> for compensation</w:t>
      </w:r>
      <w:r w:rsidR="00A041D4">
        <w:t xml:space="preserve">. </w:t>
      </w:r>
      <w:r w:rsidR="005A2768">
        <w:t>Where</w:t>
      </w:r>
      <w:r w:rsidR="001B5851">
        <w:t xml:space="preserve"> an offence </w:t>
      </w:r>
      <w:r w:rsidR="00116763">
        <w:t>i</w:t>
      </w:r>
      <w:r w:rsidR="001B5851">
        <w:t>s committed against the wife by a third party</w:t>
      </w:r>
      <w:r w:rsidR="00116763">
        <w:t xml:space="preserve"> </w:t>
      </w:r>
      <w:r w:rsidR="001B5851">
        <w:t xml:space="preserve">it </w:t>
      </w:r>
      <w:r w:rsidR="00116763">
        <w:t>is</w:t>
      </w:r>
      <w:r w:rsidR="001B5851">
        <w:t xml:space="preserve"> </w:t>
      </w:r>
      <w:r w:rsidR="00F84972">
        <w:t>primarily</w:t>
      </w:r>
      <w:r w:rsidR="001B5851">
        <w:t xml:space="preserve"> </w:t>
      </w:r>
      <w:r w:rsidR="002B4FCD">
        <w:t>seen as</w:t>
      </w:r>
      <w:r w:rsidR="001B5851">
        <w:t xml:space="preserve"> an offence against the husband</w:t>
      </w:r>
      <w:r w:rsidR="00ED0CF5">
        <w:t xml:space="preserve">. However, in </w:t>
      </w:r>
      <w:r w:rsidR="007E3A92">
        <w:t>the</w:t>
      </w:r>
      <w:r w:rsidR="00ED0CF5">
        <w:t xml:space="preserve"> triad on the ‘three </w:t>
      </w:r>
      <w:proofErr w:type="spellStart"/>
      <w:r w:rsidR="00ED0CF5" w:rsidRPr="007E3A92">
        <w:rPr>
          <w:i/>
          <w:iCs/>
        </w:rPr>
        <w:t>sarhaeds</w:t>
      </w:r>
      <w:proofErr w:type="spellEnd"/>
      <w:r w:rsidR="00ED0CF5">
        <w:t xml:space="preserve"> of a woman’, in other words the three occasions when a woman would be compensated for </w:t>
      </w:r>
      <w:r w:rsidR="007E3A92">
        <w:t>an insult, it is stated that:</w:t>
      </w:r>
    </w:p>
    <w:p w:rsidR="007E3A92" w:rsidRDefault="007E3A92" w:rsidP="00664E4B">
      <w:pPr>
        <w:spacing w:line="360" w:lineRule="auto"/>
      </w:pPr>
    </w:p>
    <w:p w:rsidR="00ED0CF5" w:rsidRDefault="007E3A92" w:rsidP="007E3A92">
      <w:pPr>
        <w:spacing w:line="360" w:lineRule="auto"/>
        <w:ind w:left="720"/>
      </w:pPr>
      <w:r>
        <w:t xml:space="preserve">The first is to have intercourse with her against her will, and that is paid to her with one augmentation. The second is to give her a kiss against her will, and that is decreased, a third is lacking from it. The third is to grope her against her will, and that is complete </w:t>
      </w:r>
      <w:proofErr w:type="spellStart"/>
      <w:r w:rsidRPr="007E3A92">
        <w:rPr>
          <w:i/>
          <w:iCs/>
        </w:rPr>
        <w:t>sarhaed</w:t>
      </w:r>
      <w:proofErr w:type="spellEnd"/>
      <w:r>
        <w:t xml:space="preserve"> to her; and if she is married, it is paid to her according to the status of her husband.</w:t>
      </w:r>
      <w:r w:rsidR="0096122A">
        <w:rPr>
          <w:rStyle w:val="FootnoteReference"/>
        </w:rPr>
        <w:footnoteReference w:id="47"/>
      </w:r>
      <w:r>
        <w:t xml:space="preserve"> </w:t>
      </w:r>
    </w:p>
    <w:p w:rsidR="00ED0CF5" w:rsidRDefault="00ED0CF5" w:rsidP="00664E4B">
      <w:pPr>
        <w:spacing w:line="360" w:lineRule="auto"/>
      </w:pPr>
    </w:p>
    <w:p w:rsidR="001D1C2C" w:rsidRDefault="00FF3C0F" w:rsidP="00664E4B">
      <w:pPr>
        <w:spacing w:line="360" w:lineRule="auto"/>
      </w:pPr>
      <w:r>
        <w:t>This triad is particularly illuminating because the woman herself receives the payment in these cases. Had she been a willing participant</w:t>
      </w:r>
      <w:r w:rsidR="00B45824">
        <w:t xml:space="preserve"> </w:t>
      </w:r>
      <w:r>
        <w:t xml:space="preserve">her husband would have been compensated, but as she is clearly unwilling in these situations, </w:t>
      </w:r>
      <w:r w:rsidR="007605B4">
        <w:t>she receives the compensation for the assault on her body.</w:t>
      </w:r>
      <w:r w:rsidR="007605B4">
        <w:rPr>
          <w:rStyle w:val="FootnoteReference"/>
        </w:rPr>
        <w:footnoteReference w:id="48"/>
      </w:r>
      <w:r w:rsidR="00C471A6">
        <w:t xml:space="preserve"> </w:t>
      </w:r>
      <w:r w:rsidR="00B45824">
        <w:t>The status of her husband, however, determines the rate. I</w:t>
      </w:r>
      <w:r w:rsidR="00334D5A">
        <w:t xml:space="preserve">n the case </w:t>
      </w:r>
      <w:r w:rsidR="00B45824">
        <w:t xml:space="preserve">where a married woman is raped, it is </w:t>
      </w:r>
      <w:r w:rsidR="00317121">
        <w:t>also considered</w:t>
      </w:r>
      <w:r w:rsidR="00334D5A">
        <w:t xml:space="preserve"> an insult to her natal family</w:t>
      </w:r>
      <w:r w:rsidR="00522719">
        <w:t>.</w:t>
      </w:r>
      <w:r w:rsidR="00815EA3">
        <w:rPr>
          <w:rStyle w:val="FootnoteReference"/>
        </w:rPr>
        <w:footnoteReference w:id="49"/>
      </w:r>
      <w:r w:rsidR="001B5851">
        <w:t xml:space="preserve"> </w:t>
      </w:r>
      <w:r w:rsidR="00522719">
        <w:t>Thi</w:t>
      </w:r>
      <w:r w:rsidR="00A069BA">
        <w:t>s clearly</w:t>
      </w:r>
      <w:r w:rsidR="001B5851">
        <w:t xml:space="preserve"> </w:t>
      </w:r>
      <w:r w:rsidR="00206797">
        <w:t>shows</w:t>
      </w:r>
      <w:r w:rsidR="00894F9C">
        <w:t xml:space="preserve"> that a woman</w:t>
      </w:r>
      <w:r w:rsidR="001B5851">
        <w:t xml:space="preserve"> </w:t>
      </w:r>
      <w:r w:rsidR="00522719">
        <w:t xml:space="preserve">in medieval Wales </w:t>
      </w:r>
      <w:r w:rsidR="00894F9C">
        <w:t>had no separate legal identity</w:t>
      </w:r>
      <w:r w:rsidR="00FF7514">
        <w:t xml:space="preserve"> and</w:t>
      </w:r>
      <w:r w:rsidR="00522719">
        <w:t xml:space="preserve"> was</w:t>
      </w:r>
      <w:r w:rsidR="00FF7514">
        <w:t xml:space="preserve"> only recognised as an ‘appendage’ to her husband or male </w:t>
      </w:r>
      <w:r w:rsidR="0008226B">
        <w:t>relations.</w:t>
      </w:r>
      <w:r w:rsidR="002D7C2B">
        <w:rPr>
          <w:rStyle w:val="FootnoteReference"/>
        </w:rPr>
        <w:footnoteReference w:id="50"/>
      </w:r>
      <w:r w:rsidR="00FF7514">
        <w:t xml:space="preserve"> </w:t>
      </w:r>
    </w:p>
    <w:p w:rsidR="005B13CB" w:rsidRDefault="005B13CB" w:rsidP="00664E4B">
      <w:pPr>
        <w:spacing w:line="360" w:lineRule="auto"/>
      </w:pPr>
      <w:r>
        <w:tab/>
        <w:t xml:space="preserve">Further details relating to a married woman’s </w:t>
      </w:r>
      <w:r w:rsidR="00537A04">
        <w:t>ties</w:t>
      </w:r>
      <w:r>
        <w:t xml:space="preserve"> to her natal </w:t>
      </w:r>
      <w:r w:rsidR="00A22B56">
        <w:t>kin</w:t>
      </w:r>
      <w:r>
        <w:t xml:space="preserve"> are found in a triad about ‘the three shames of a kindred’</w:t>
      </w:r>
      <w:r w:rsidR="00537A04">
        <w:t xml:space="preserve">, which are </w:t>
      </w:r>
      <w:r>
        <w:t>’abducting her against her will; the second is if her husband brings another woman to the house to encounter her; the third is to despoil her’.</w:t>
      </w:r>
      <w:r>
        <w:rPr>
          <w:rStyle w:val="FootnoteReference"/>
        </w:rPr>
        <w:footnoteReference w:id="51"/>
      </w:r>
      <w:r>
        <w:t xml:space="preserve"> </w:t>
      </w:r>
      <w:r w:rsidR="00537A04">
        <w:t xml:space="preserve">This triad makes it clear that </w:t>
      </w:r>
      <w:r w:rsidR="00ED223D">
        <w:t>a kin group w</w:t>
      </w:r>
      <w:r w:rsidR="003A6ECC">
        <w:t>as</w:t>
      </w:r>
      <w:r w:rsidR="00ED223D">
        <w:t xml:space="preserve"> to a certain extent responsible for protecting a woman relative even after she had married</w:t>
      </w:r>
      <w:r w:rsidR="003A6ECC">
        <w:t>,</w:t>
      </w:r>
      <w:r w:rsidR="00ED223D">
        <w:t xml:space="preserve"> because they </w:t>
      </w:r>
      <w:r w:rsidR="003A6ECC">
        <w:t>would</w:t>
      </w:r>
      <w:r w:rsidR="00ED223D">
        <w:t xml:space="preserve"> all </w:t>
      </w:r>
      <w:r w:rsidR="003A6ECC">
        <w:t xml:space="preserve">be </w:t>
      </w:r>
      <w:r w:rsidR="00ED223D">
        <w:t xml:space="preserve">shamed by </w:t>
      </w:r>
      <w:r w:rsidR="003A6ECC">
        <w:t>her</w:t>
      </w:r>
      <w:r w:rsidR="00ED223D">
        <w:t xml:space="preserve"> mistreatment. </w:t>
      </w:r>
      <w:r w:rsidR="0082610B">
        <w:t xml:space="preserve">Roberts notes, however, that </w:t>
      </w:r>
      <w:r w:rsidR="009D4F49">
        <w:t>‘</w:t>
      </w:r>
      <w:r w:rsidR="0082610B">
        <w:t xml:space="preserve">the basis of this responsibility may be </w:t>
      </w:r>
      <w:r w:rsidR="009D4F49">
        <w:t>financial’ and not born out of genuine ‘sensitivity to her feelings’.</w:t>
      </w:r>
      <w:r w:rsidR="00C57C22">
        <w:rPr>
          <w:rStyle w:val="FootnoteReference"/>
        </w:rPr>
        <w:footnoteReference w:id="52"/>
      </w:r>
    </w:p>
    <w:p w:rsidR="003B4FF5" w:rsidRDefault="008810BF" w:rsidP="00664E4B">
      <w:pPr>
        <w:spacing w:line="360" w:lineRule="auto"/>
        <w:ind w:firstLine="720"/>
      </w:pPr>
      <w:r>
        <w:t>It has been suggested that the Welsh legal system was fairer to women than other contemporary systems.</w:t>
      </w:r>
      <w:r>
        <w:rPr>
          <w:rStyle w:val="FootnoteReference"/>
        </w:rPr>
        <w:footnoteReference w:id="53"/>
      </w:r>
      <w:r>
        <w:t xml:space="preserve"> </w:t>
      </w:r>
      <w:r w:rsidR="00117583">
        <w:t>One</w:t>
      </w:r>
      <w:r w:rsidR="00D6788B">
        <w:t xml:space="preserve"> </w:t>
      </w:r>
      <w:r w:rsidR="00117583">
        <w:t xml:space="preserve">reason </w:t>
      </w:r>
      <w:r w:rsidR="00307139">
        <w:t>for this may be the fact that</w:t>
      </w:r>
      <w:r w:rsidR="0098462E">
        <w:t xml:space="preserve"> in certain situations</w:t>
      </w:r>
      <w:r w:rsidR="00117583">
        <w:t xml:space="preserve"> </w:t>
      </w:r>
      <w:r w:rsidR="00D221F7">
        <w:t>women</w:t>
      </w:r>
      <w:r w:rsidR="00341917">
        <w:t xml:space="preserve"> were permitted</w:t>
      </w:r>
      <w:r w:rsidR="00D221F7">
        <w:t xml:space="preserve"> to </w:t>
      </w:r>
      <w:r w:rsidR="00C72B57">
        <w:t>divorce</w:t>
      </w:r>
      <w:r w:rsidR="00D221F7">
        <w:t xml:space="preserve"> their husbands</w:t>
      </w:r>
      <w:r w:rsidR="00117583">
        <w:t>.</w:t>
      </w:r>
      <w:r w:rsidR="00C72B57">
        <w:t xml:space="preserve"> </w:t>
      </w:r>
      <w:r w:rsidR="00BA0511">
        <w:t>The</w:t>
      </w:r>
      <w:r w:rsidR="00C72B57">
        <w:t xml:space="preserve"> word ‘divorce’ is being used</w:t>
      </w:r>
      <w:r w:rsidR="008413F5">
        <w:t xml:space="preserve"> here</w:t>
      </w:r>
      <w:r w:rsidR="00C72B57">
        <w:t xml:space="preserve"> to </w:t>
      </w:r>
      <w:r w:rsidR="00C72B57">
        <w:lastRenderedPageBreak/>
        <w:t>broadly mean the termination of a legally recognised union.</w:t>
      </w:r>
      <w:r w:rsidR="00D53EC5">
        <w:rPr>
          <w:rStyle w:val="FootnoteReference"/>
        </w:rPr>
        <w:footnoteReference w:id="54"/>
      </w:r>
      <w:r w:rsidR="00C72B57">
        <w:t xml:space="preserve"> </w:t>
      </w:r>
      <w:r w:rsidR="00C70D2A">
        <w:t>If separation occurred within the first seven years of marriage, a woman could take with her</w:t>
      </w:r>
      <w:r w:rsidR="00D663B4">
        <w:t xml:space="preserve"> </w:t>
      </w:r>
      <w:proofErr w:type="spellStart"/>
      <w:r w:rsidR="00D663B4">
        <w:t>her</w:t>
      </w:r>
      <w:proofErr w:type="spellEnd"/>
      <w:r w:rsidR="00C70D2A">
        <w:t xml:space="preserve"> </w:t>
      </w:r>
      <w:proofErr w:type="spellStart"/>
      <w:r w:rsidR="00C70D2A" w:rsidRPr="00C70D2A">
        <w:rPr>
          <w:i/>
          <w:iCs/>
        </w:rPr>
        <w:t>agweddi</w:t>
      </w:r>
      <w:proofErr w:type="spellEnd"/>
      <w:r w:rsidR="00C70D2A">
        <w:t xml:space="preserve">, </w:t>
      </w:r>
      <w:r w:rsidR="00D663B4">
        <w:t xml:space="preserve">her </w:t>
      </w:r>
      <w:proofErr w:type="spellStart"/>
      <w:r w:rsidR="00C70D2A" w:rsidRPr="00C70D2A">
        <w:rPr>
          <w:i/>
          <w:iCs/>
        </w:rPr>
        <w:t>argyfrau</w:t>
      </w:r>
      <w:proofErr w:type="spellEnd"/>
      <w:r w:rsidR="00C70D2A">
        <w:t xml:space="preserve"> (personal possessions), and her </w:t>
      </w:r>
      <w:proofErr w:type="spellStart"/>
      <w:r w:rsidR="00C70D2A" w:rsidRPr="00C70D2A">
        <w:rPr>
          <w:i/>
          <w:iCs/>
        </w:rPr>
        <w:t>cowyll</w:t>
      </w:r>
      <w:proofErr w:type="spellEnd"/>
      <w:r w:rsidR="00D663B4">
        <w:rPr>
          <w:i/>
          <w:iCs/>
        </w:rPr>
        <w:t xml:space="preserve">, </w:t>
      </w:r>
      <w:r w:rsidR="00D663B4" w:rsidRPr="00D663B4">
        <w:t xml:space="preserve">if she could </w:t>
      </w:r>
      <w:r w:rsidR="0029017C">
        <w:t>prove</w:t>
      </w:r>
      <w:r w:rsidR="00D663B4" w:rsidRPr="00D663B4">
        <w:t xml:space="preserve"> that her husband was</w:t>
      </w:r>
      <w:r w:rsidR="00117583">
        <w:t xml:space="preserve"> impotent, had bad breath</w:t>
      </w:r>
      <w:r w:rsidR="00336F33">
        <w:t xml:space="preserve"> </w:t>
      </w:r>
      <w:r w:rsidR="00117583">
        <w:t>or leprosy</w:t>
      </w:r>
      <w:r w:rsidR="00D663B4">
        <w:t>.</w:t>
      </w:r>
      <w:r w:rsidR="006E59EF">
        <w:rPr>
          <w:rStyle w:val="FootnoteReference"/>
        </w:rPr>
        <w:footnoteReference w:id="55"/>
      </w:r>
      <w:r w:rsidR="009B2813">
        <w:t xml:space="preserve"> </w:t>
      </w:r>
      <w:r w:rsidR="00723945">
        <w:t xml:space="preserve">Leprosy and impotence are obviously very serious as </w:t>
      </w:r>
      <w:r w:rsidR="00D221F7">
        <w:t>they</w:t>
      </w:r>
      <w:r w:rsidR="00723945">
        <w:t xml:space="preserve"> </w:t>
      </w:r>
      <w:r w:rsidR="00A3026C">
        <w:t>may</w:t>
      </w:r>
      <w:r w:rsidR="00723945">
        <w:t xml:space="preserve"> interfere with </w:t>
      </w:r>
      <w:r w:rsidR="00394882">
        <w:t>a</w:t>
      </w:r>
      <w:r w:rsidR="00723945">
        <w:t xml:space="preserve"> couple’s ability to have children, which was seen as the main </w:t>
      </w:r>
      <w:r w:rsidR="00943B2E">
        <w:t>purpose of marriage</w:t>
      </w:r>
      <w:r w:rsidR="004E4A96">
        <w:t>, a</w:t>
      </w:r>
      <w:r w:rsidR="003B4FF5">
        <w:t>s would halitosis if it was caused by a serious illness such as kidney or liver disease.</w:t>
      </w:r>
      <w:r w:rsidR="003B4FF5">
        <w:rPr>
          <w:rStyle w:val="FootnoteReference"/>
        </w:rPr>
        <w:footnoteReference w:id="56"/>
      </w:r>
      <w:r w:rsidR="000C3523">
        <w:t xml:space="preserve"> A wife was also entitled to leave her husband if she could prove that he had been unfaithful at least three times.</w:t>
      </w:r>
      <w:r w:rsidR="00BD411B">
        <w:rPr>
          <w:rStyle w:val="FootnoteReference"/>
        </w:rPr>
        <w:footnoteReference w:id="57"/>
      </w:r>
      <w:r w:rsidR="00BD5A34">
        <w:t xml:space="preserve"> </w:t>
      </w:r>
      <w:r w:rsidR="009B2813">
        <w:t xml:space="preserve">In </w:t>
      </w:r>
      <w:r w:rsidR="00C36A1A">
        <w:t>the</w:t>
      </w:r>
      <w:r w:rsidR="009B2813">
        <w:t xml:space="preserve"> case where a husband leaves his wife because of some</w:t>
      </w:r>
      <w:r w:rsidR="001E6619">
        <w:t xml:space="preserve"> proven</w:t>
      </w:r>
      <w:r w:rsidR="009B2813">
        <w:t xml:space="preserve"> wrongdoing on her part, she is still entitled to her </w:t>
      </w:r>
      <w:proofErr w:type="spellStart"/>
      <w:r w:rsidR="009B2813" w:rsidRPr="009B2813">
        <w:rPr>
          <w:i/>
          <w:iCs/>
        </w:rPr>
        <w:t>cowyll</w:t>
      </w:r>
      <w:proofErr w:type="spellEnd"/>
      <w:r w:rsidR="009B2813">
        <w:t xml:space="preserve">, </w:t>
      </w:r>
      <w:proofErr w:type="spellStart"/>
      <w:r w:rsidR="009B2813" w:rsidRPr="009B2813">
        <w:rPr>
          <w:i/>
          <w:iCs/>
        </w:rPr>
        <w:t>argyfrau</w:t>
      </w:r>
      <w:proofErr w:type="spellEnd"/>
      <w:r w:rsidR="009B2813">
        <w:t xml:space="preserve"> and</w:t>
      </w:r>
      <w:r w:rsidR="005D5648">
        <w:t xml:space="preserve"> any compensation already paid to her</w:t>
      </w:r>
      <w:r w:rsidR="009B2813">
        <w:t>.</w:t>
      </w:r>
      <w:r w:rsidR="00DA1E9D">
        <w:rPr>
          <w:rStyle w:val="FootnoteReference"/>
        </w:rPr>
        <w:footnoteReference w:id="58"/>
      </w:r>
      <w:r w:rsidR="00BD5A34">
        <w:t xml:space="preserve"> </w:t>
      </w:r>
      <w:r w:rsidR="00451376">
        <w:t>I</w:t>
      </w:r>
      <w:r w:rsidR="00BD5A34">
        <w:t>f he then ha</w:t>
      </w:r>
      <w:r w:rsidR="00AC093A">
        <w:t>s</w:t>
      </w:r>
      <w:r w:rsidR="00BD5A34">
        <w:t xml:space="preserve"> a change of heart,</w:t>
      </w:r>
      <w:r w:rsidR="00AC093A">
        <w:t xml:space="preserve"> </w:t>
      </w:r>
      <w:r w:rsidR="00BD5A34">
        <w:t>he c</w:t>
      </w:r>
      <w:r w:rsidR="00AC093A">
        <w:t>an</w:t>
      </w:r>
      <w:r w:rsidR="00BD5A34">
        <w:t xml:space="preserve"> reclaim his</w:t>
      </w:r>
      <w:r w:rsidR="00AC093A">
        <w:t xml:space="preserve"> first</w:t>
      </w:r>
      <w:r w:rsidR="00BD5A34">
        <w:t xml:space="preserve"> wife as long as she ha</w:t>
      </w:r>
      <w:r w:rsidR="00016730">
        <w:t>s</w:t>
      </w:r>
      <w:r w:rsidR="00BD5A34">
        <w:t xml:space="preserve"> not consummated a relationship with </w:t>
      </w:r>
      <w:r w:rsidR="00FA393E">
        <w:t>another</w:t>
      </w:r>
      <w:r w:rsidR="00BD5A34">
        <w:t>.</w:t>
      </w:r>
      <w:r w:rsidR="00BD5A34">
        <w:rPr>
          <w:rStyle w:val="FootnoteReference"/>
        </w:rPr>
        <w:footnoteReference w:id="59"/>
      </w:r>
      <w:r w:rsidR="00712AD9">
        <w:t xml:space="preserve"> </w:t>
      </w:r>
      <w:r w:rsidR="004E75A8">
        <w:t>By contrast</w:t>
      </w:r>
      <w:r w:rsidR="00712AD9">
        <w:t>, a woman c</w:t>
      </w:r>
      <w:r w:rsidR="00700846">
        <w:t>an</w:t>
      </w:r>
      <w:r w:rsidR="00712AD9">
        <w:t>not reclaim her husband if he abandon</w:t>
      </w:r>
      <w:r w:rsidR="00700846">
        <w:t>s</w:t>
      </w:r>
      <w:r w:rsidR="00712AD9">
        <w:t xml:space="preserve"> her for another woman</w:t>
      </w:r>
      <w:r w:rsidR="00A75879">
        <w:t xml:space="preserve">. </w:t>
      </w:r>
      <w:r w:rsidR="00E6409E">
        <w:t xml:space="preserve">Interestingly, though, in the event that the two women meet and the first wife murders the woman who supplanted her, there </w:t>
      </w:r>
      <w:r w:rsidR="004D74E6">
        <w:t>are</w:t>
      </w:r>
      <w:r w:rsidR="00E6409E">
        <w:t xml:space="preserve"> no legal consequences.</w:t>
      </w:r>
      <w:r w:rsidR="00B36282">
        <w:rPr>
          <w:rStyle w:val="FootnoteReference"/>
        </w:rPr>
        <w:footnoteReference w:id="60"/>
      </w:r>
      <w:r w:rsidR="00032B75">
        <w:t xml:space="preserve"> </w:t>
      </w:r>
    </w:p>
    <w:p w:rsidR="00677F5B" w:rsidRDefault="00023AC4" w:rsidP="000F47AC">
      <w:pPr>
        <w:spacing w:line="360" w:lineRule="auto"/>
        <w:ind w:firstLine="720"/>
      </w:pPr>
      <w:r>
        <w:t>In cases where the marriage</w:t>
      </w:r>
      <w:r w:rsidR="001E6619">
        <w:t xml:space="preserve"> </w:t>
      </w:r>
      <w:r>
        <w:t>end</w:t>
      </w:r>
      <w:r w:rsidR="00D72400">
        <w:t>s</w:t>
      </w:r>
      <w:r w:rsidR="001E6619">
        <w:t xml:space="preserve"> after the seven year period, the wife </w:t>
      </w:r>
      <w:r w:rsidR="00A03D7A">
        <w:t>i</w:t>
      </w:r>
      <w:r w:rsidR="00A9141F">
        <w:t>s</w:t>
      </w:r>
      <w:r w:rsidR="001E6619">
        <w:t xml:space="preserve"> entitled to half the </w:t>
      </w:r>
      <w:r w:rsidR="005A24BC">
        <w:t>common marital property</w:t>
      </w:r>
      <w:r w:rsidR="00FB396F">
        <w:t>, as outlined in the law texts</w:t>
      </w:r>
      <w:r w:rsidR="00507272">
        <w:t>.</w:t>
      </w:r>
      <w:r w:rsidR="00FB396F">
        <w:rPr>
          <w:rStyle w:val="FootnoteReference"/>
        </w:rPr>
        <w:footnoteReference w:id="61"/>
      </w:r>
      <w:r w:rsidR="00507272">
        <w:t xml:space="preserve"> </w:t>
      </w:r>
      <w:r w:rsidR="00C87257">
        <w:t xml:space="preserve">The most detailed list of the agricultural and domestic possessions each party was entitled to take with them appears in the </w:t>
      </w:r>
      <w:proofErr w:type="spellStart"/>
      <w:r w:rsidR="00C87257">
        <w:t>Iorwerth</w:t>
      </w:r>
      <w:proofErr w:type="spellEnd"/>
      <w:r w:rsidR="00C87257">
        <w:t xml:space="preserve"> text</w:t>
      </w:r>
      <w:r w:rsidR="00EF6CB4">
        <w:t>.</w:t>
      </w:r>
      <w:r w:rsidR="004910A4">
        <w:rPr>
          <w:rStyle w:val="FootnoteReference"/>
        </w:rPr>
        <w:footnoteReference w:id="62"/>
      </w:r>
      <w:r w:rsidR="00EF6CB4">
        <w:t xml:space="preserve"> </w:t>
      </w:r>
      <w:r w:rsidR="000162A4">
        <w:t xml:space="preserve">If taken at face value, the division </w:t>
      </w:r>
      <w:r w:rsidR="00657A91">
        <w:t>seems</w:t>
      </w:r>
      <w:r w:rsidR="000162A4">
        <w:t xml:space="preserve"> quite fair.</w:t>
      </w:r>
      <w:r w:rsidR="000C1031">
        <w:t xml:space="preserve"> Apart from sharing the moveable goods and livestock, any debts incurred during the marriage are divided evenly between </w:t>
      </w:r>
      <w:r w:rsidR="00ED002E">
        <w:t>husband and wife</w:t>
      </w:r>
      <w:r w:rsidR="000C1031">
        <w:t xml:space="preserve">. </w:t>
      </w:r>
      <w:r w:rsidR="000162A4">
        <w:t>Even the children are shared</w:t>
      </w:r>
      <w:r w:rsidR="00902FE1">
        <w:t>.</w:t>
      </w:r>
      <w:r w:rsidR="00CD6BC6">
        <w:t xml:space="preserve"> </w:t>
      </w:r>
      <w:r w:rsidR="009F6A0B">
        <w:t>On closer inspection, however, there are some notable anomalies, which are explored in great detail in Robin Chapman Stacey’s illuminating article on divorce in medieval Wales.</w:t>
      </w:r>
      <w:r w:rsidR="006E4A61">
        <w:rPr>
          <w:rStyle w:val="FootnoteReference"/>
        </w:rPr>
        <w:footnoteReference w:id="63"/>
      </w:r>
      <w:r w:rsidR="00467385">
        <w:t xml:space="preserve"> </w:t>
      </w:r>
      <w:r w:rsidR="00983AB6">
        <w:t xml:space="preserve">For example, the man </w:t>
      </w:r>
      <w:r w:rsidR="00983AB6">
        <w:lastRenderedPageBreak/>
        <w:t>receives the upper stone of the quern and the woman the lower stone, which would render this item essentially unusable.</w:t>
      </w:r>
      <w:r w:rsidR="000F47AC">
        <w:t xml:space="preserve"> Just as perplexing is the </w:t>
      </w:r>
      <w:r w:rsidR="001772F8">
        <w:t xml:space="preserve">division of the sieves. The fine sieve goes to the woman and the riddle to the man, but both these tools are required to make flour. </w:t>
      </w:r>
      <w:r w:rsidR="000F47AC">
        <w:t>Similarly,</w:t>
      </w:r>
      <w:r w:rsidR="003454D0">
        <w:t xml:space="preserve"> despite the fact </w:t>
      </w:r>
      <w:r w:rsidR="00407291">
        <w:t xml:space="preserve">that </w:t>
      </w:r>
      <w:r w:rsidR="003454D0">
        <w:t xml:space="preserve">a </w:t>
      </w:r>
      <w:proofErr w:type="spellStart"/>
      <w:r w:rsidR="003454D0">
        <w:t>plowshare</w:t>
      </w:r>
      <w:proofErr w:type="spellEnd"/>
      <w:r w:rsidR="003454D0">
        <w:t xml:space="preserve"> and </w:t>
      </w:r>
      <w:r w:rsidR="000F47AC">
        <w:t>coulter</w:t>
      </w:r>
      <w:r w:rsidR="003454D0">
        <w:t xml:space="preserve"> are needed to plough land, </w:t>
      </w:r>
      <w:r w:rsidR="00407291">
        <w:t xml:space="preserve">these items are also </w:t>
      </w:r>
      <w:r w:rsidR="00CA6A43">
        <w:t>separated</w:t>
      </w:r>
      <w:r w:rsidR="00407291">
        <w:t>.</w:t>
      </w:r>
      <w:r w:rsidR="000F47AC">
        <w:t xml:space="preserve"> </w:t>
      </w:r>
      <w:r w:rsidR="00983AB6">
        <w:t xml:space="preserve">The allocation of </w:t>
      </w:r>
      <w:r w:rsidR="008E3431">
        <w:t>the heavy broad axe and billhook to the woman and the small wood axe to the man</w:t>
      </w:r>
      <w:r w:rsidR="00B33488">
        <w:t xml:space="preserve"> </w:t>
      </w:r>
      <w:r w:rsidR="00987254">
        <w:t>must</w:t>
      </w:r>
      <w:r w:rsidR="00B33488">
        <w:t xml:space="preserve"> have</w:t>
      </w:r>
      <w:r w:rsidR="00987254">
        <w:t xml:space="preserve"> also</w:t>
      </w:r>
      <w:r w:rsidR="005217F2">
        <w:t xml:space="preserve"> </w:t>
      </w:r>
      <w:r w:rsidR="00B33488">
        <w:t>raised contemporary eyebrows</w:t>
      </w:r>
      <w:r w:rsidR="005217F2">
        <w:t xml:space="preserve"> and elicited laughter. These are merely a </w:t>
      </w:r>
      <w:r w:rsidR="002D47A0">
        <w:t>few</w:t>
      </w:r>
      <w:r w:rsidR="005217F2">
        <w:t xml:space="preserve"> of examples of many that point to a subtext about the ‘futility and infertility’ of divorce.</w:t>
      </w:r>
      <w:r w:rsidR="007822B7">
        <w:rPr>
          <w:rStyle w:val="FootnoteReference"/>
        </w:rPr>
        <w:footnoteReference w:id="64"/>
      </w:r>
      <w:r w:rsidR="005217F2">
        <w:t xml:space="preserve"> </w:t>
      </w:r>
      <w:r w:rsidR="00B57410" w:rsidRPr="00B57410">
        <w:t xml:space="preserve">Stacey highlights a number of other salient points, including that the division of goods reinforces medieval gender norms </w:t>
      </w:r>
      <w:r w:rsidR="00B57410">
        <w:t xml:space="preserve">and </w:t>
      </w:r>
      <w:r w:rsidR="00476E3A">
        <w:t>‘</w:t>
      </w:r>
      <w:r w:rsidR="00151910">
        <w:t>ideas of hierarchy in which men took precedence over women’.</w:t>
      </w:r>
      <w:r w:rsidR="00151910">
        <w:rPr>
          <w:rStyle w:val="FootnoteReference"/>
        </w:rPr>
        <w:footnoteReference w:id="65"/>
      </w:r>
      <w:r w:rsidR="00386394">
        <w:t xml:space="preserve"> </w:t>
      </w:r>
      <w:r w:rsidR="00283DA9">
        <w:t>Overall</w:t>
      </w:r>
      <w:r w:rsidR="00677F5B">
        <w:t xml:space="preserve">, she convincingly argues that the procedure is not intended to facilitate a couple’s separation, but rather emphasise </w:t>
      </w:r>
      <w:r w:rsidR="004C66DB">
        <w:t>its undesirability</w:t>
      </w:r>
      <w:r w:rsidR="002727AC">
        <w:t>.</w:t>
      </w:r>
      <w:r w:rsidR="00467385">
        <w:rPr>
          <w:rStyle w:val="FootnoteReference"/>
        </w:rPr>
        <w:footnoteReference w:id="66"/>
      </w:r>
      <w:r w:rsidR="00F37787">
        <w:t xml:space="preserve"> </w:t>
      </w:r>
      <w:r w:rsidR="00926C9C">
        <w:t xml:space="preserve">While the law clearly attempted to dissuade couples from divorcing, separations </w:t>
      </w:r>
      <w:r w:rsidR="0023641E">
        <w:t>probably</w:t>
      </w:r>
      <w:r w:rsidR="00926C9C">
        <w:t xml:space="preserve"> occurred. On the question of </w:t>
      </w:r>
      <w:r w:rsidR="00AC160B">
        <w:t>the legal rights of</w:t>
      </w:r>
      <w:r w:rsidR="00926C9C">
        <w:t xml:space="preserve"> women </w:t>
      </w:r>
      <w:r w:rsidR="00C737EA">
        <w:t>post-divorce</w:t>
      </w:r>
      <w:r w:rsidR="00BB3D28">
        <w:t xml:space="preserve"> or </w:t>
      </w:r>
      <w:r w:rsidR="00C737EA">
        <w:t>the legal status of widows or women who chose not to marry</w:t>
      </w:r>
      <w:r w:rsidR="00926C9C">
        <w:t xml:space="preserve">, the </w:t>
      </w:r>
      <w:r w:rsidR="00095D88">
        <w:t>law codes</w:t>
      </w:r>
      <w:r w:rsidR="00926C9C">
        <w:t xml:space="preserve"> are</w:t>
      </w:r>
      <w:r w:rsidR="004D37BE">
        <w:t xml:space="preserve"> </w:t>
      </w:r>
      <w:r w:rsidR="009D5B93">
        <w:t xml:space="preserve">virtually </w:t>
      </w:r>
      <w:r w:rsidR="00926C9C">
        <w:t>silent.</w:t>
      </w:r>
      <w:r w:rsidR="001A32CC">
        <w:rPr>
          <w:rStyle w:val="FootnoteReference"/>
        </w:rPr>
        <w:footnoteReference w:id="67"/>
      </w:r>
      <w:r w:rsidR="004D37BE">
        <w:t xml:space="preserve"> </w:t>
      </w:r>
      <w:r w:rsidR="00926C9C">
        <w:t>One can only hope they</w:t>
      </w:r>
      <w:r w:rsidR="00DB4455">
        <w:t xml:space="preserve"> found a little</w:t>
      </w:r>
      <w:r w:rsidR="00C737EA">
        <w:t xml:space="preserve"> </w:t>
      </w:r>
      <w:r w:rsidR="00DB4455">
        <w:t>freedom.</w:t>
      </w:r>
    </w:p>
    <w:p w:rsidR="005917D4" w:rsidRDefault="008E1EF5" w:rsidP="00664E4B">
      <w:pPr>
        <w:spacing w:line="360" w:lineRule="auto"/>
        <w:ind w:firstLine="720"/>
      </w:pPr>
      <w:r>
        <w:t>The</w:t>
      </w:r>
      <w:r w:rsidR="00602046">
        <w:t xml:space="preserve"> </w:t>
      </w:r>
      <w:r>
        <w:t xml:space="preserve">law codes </w:t>
      </w:r>
      <w:r w:rsidR="00CB0FCE">
        <w:t xml:space="preserve">are key </w:t>
      </w:r>
      <w:r>
        <w:t xml:space="preserve">sources for examining </w:t>
      </w:r>
      <w:r w:rsidR="00602046">
        <w:t>medieval Welsh</w:t>
      </w:r>
      <w:r w:rsidR="005B3D87">
        <w:t xml:space="preserve"> beliefs around virginity, marriage and divorce</w:t>
      </w:r>
      <w:r w:rsidR="00283775">
        <w:t xml:space="preserve">, especially given the paucity of </w:t>
      </w:r>
      <w:r w:rsidR="00922CCF">
        <w:t>extant</w:t>
      </w:r>
      <w:r w:rsidR="008977CA">
        <w:t xml:space="preserve"> </w:t>
      </w:r>
      <w:r w:rsidR="00922CCF">
        <w:t>ecclesiastical</w:t>
      </w:r>
      <w:r w:rsidR="000B60AE">
        <w:t xml:space="preserve"> court</w:t>
      </w:r>
      <w:r w:rsidR="00922CCF">
        <w:t xml:space="preserve"> </w:t>
      </w:r>
      <w:r w:rsidR="00283775">
        <w:t>records from th</w:t>
      </w:r>
      <w:r w:rsidR="0088728F">
        <w:t>is</w:t>
      </w:r>
      <w:r w:rsidR="00283775">
        <w:t xml:space="preserve"> period</w:t>
      </w:r>
      <w:r w:rsidR="005B3D87">
        <w:t xml:space="preserve">. These </w:t>
      </w:r>
      <w:r w:rsidR="00BF7064">
        <w:t>subjects</w:t>
      </w:r>
      <w:r w:rsidR="005B3D87">
        <w:t xml:space="preserve"> are largely covered in the </w:t>
      </w:r>
      <w:r w:rsidR="00134C26">
        <w:t>L</w:t>
      </w:r>
      <w:r w:rsidR="005B3D87">
        <w:t xml:space="preserve">aw of </w:t>
      </w:r>
      <w:r w:rsidR="00134C26">
        <w:t>W</w:t>
      </w:r>
      <w:r w:rsidR="005B3D87">
        <w:t>omen tractate and hence shed a valuable light on</w:t>
      </w:r>
      <w:r w:rsidR="00E55426">
        <w:t xml:space="preserve"> societal attitudes towards women and </w:t>
      </w:r>
      <w:r w:rsidR="005B3D87">
        <w:t>the</w:t>
      </w:r>
      <w:r w:rsidR="00E55426">
        <w:t>ir</w:t>
      </w:r>
      <w:r w:rsidR="005B3D87">
        <w:t xml:space="preserve"> legal status in medieval Wales.</w:t>
      </w:r>
      <w:r w:rsidR="00E55426">
        <w:t xml:space="preserve"> </w:t>
      </w:r>
      <w:r w:rsidR="00CC5794">
        <w:t xml:space="preserve">The law gave women little autonomy and no role outside </w:t>
      </w:r>
      <w:r w:rsidR="008815F5">
        <w:t>of the domestic sphere</w:t>
      </w:r>
      <w:r w:rsidR="00CC5794">
        <w:t>.</w:t>
      </w:r>
      <w:r w:rsidR="00536A00">
        <w:t xml:space="preserve"> A woman’s worth</w:t>
      </w:r>
      <w:r w:rsidR="004A4296">
        <w:t xml:space="preserve"> </w:t>
      </w:r>
      <w:r w:rsidR="00536A00">
        <w:t xml:space="preserve">was directly linked to her sexual purity and </w:t>
      </w:r>
      <w:r w:rsidR="005B736A">
        <w:t>subsequently to</w:t>
      </w:r>
      <w:r w:rsidR="00536A00">
        <w:t xml:space="preserve"> her fertility. </w:t>
      </w:r>
      <w:r w:rsidR="00862F3C">
        <w:t xml:space="preserve">Virginity </w:t>
      </w:r>
      <w:r w:rsidR="007E505D">
        <w:t>was</w:t>
      </w:r>
      <w:r w:rsidR="00862F3C">
        <w:t xml:space="preserve"> </w:t>
      </w:r>
      <w:r w:rsidR="00815A72">
        <w:t>extolled</w:t>
      </w:r>
      <w:r w:rsidR="00862F3C">
        <w:t xml:space="preserve"> and </w:t>
      </w:r>
      <w:r w:rsidR="007E505D">
        <w:t>needed to</w:t>
      </w:r>
      <w:r w:rsidR="00D73BE8">
        <w:t xml:space="preserve"> be </w:t>
      </w:r>
      <w:r w:rsidR="00602E3C">
        <w:t>protected</w:t>
      </w:r>
      <w:r w:rsidR="00D73BE8">
        <w:t xml:space="preserve"> until </w:t>
      </w:r>
      <w:r w:rsidR="00335EB0">
        <w:t>marriage</w:t>
      </w:r>
      <w:r w:rsidR="00DC46EE">
        <w:t>, whereupon a woman move</w:t>
      </w:r>
      <w:r w:rsidR="007E505D">
        <w:t>d</w:t>
      </w:r>
      <w:r w:rsidR="00DC46EE">
        <w:t xml:space="preserve"> from the authority of </w:t>
      </w:r>
      <w:r w:rsidR="00B7208E">
        <w:t xml:space="preserve">her male </w:t>
      </w:r>
      <w:r w:rsidR="008815F5">
        <w:t>kin</w:t>
      </w:r>
      <w:r w:rsidR="00B7208E">
        <w:t xml:space="preserve"> to the control of her husband.</w:t>
      </w:r>
      <w:r w:rsidR="009E3661">
        <w:t xml:space="preserve"> Ties with her natal family, however, were not completely severed and they continued to be responsible for her to a certain extent. </w:t>
      </w:r>
      <w:r w:rsidR="00602E3C">
        <w:t>As a wife, she occupied an inferior legal and social position</w:t>
      </w:r>
      <w:r w:rsidR="00FA5ED5">
        <w:t xml:space="preserve"> and was expected to</w:t>
      </w:r>
      <w:r w:rsidR="00006FBF">
        <w:t xml:space="preserve"> bear children and</w:t>
      </w:r>
      <w:r w:rsidR="00FA5ED5">
        <w:t xml:space="preserve"> obey her husband in all matters</w:t>
      </w:r>
      <w:r w:rsidR="00602E3C">
        <w:t>.</w:t>
      </w:r>
      <w:r w:rsidR="00C50F7D">
        <w:t xml:space="preserve"> </w:t>
      </w:r>
      <w:r w:rsidR="001E25A5">
        <w:t xml:space="preserve">While </w:t>
      </w:r>
      <w:r w:rsidR="00D86DC9">
        <w:t>the law demanded subservience from wives</w:t>
      </w:r>
      <w:r w:rsidR="001E25A5">
        <w:t xml:space="preserve">, </w:t>
      </w:r>
      <w:r w:rsidR="0026358C">
        <w:t>Welsh women could initiate divorce on several</w:t>
      </w:r>
      <w:r w:rsidR="001E25A5">
        <w:t xml:space="preserve"> grounds</w:t>
      </w:r>
      <w:r w:rsidR="0050701B">
        <w:t xml:space="preserve">. This lends </w:t>
      </w:r>
      <w:r w:rsidR="0050701B">
        <w:lastRenderedPageBreak/>
        <w:t>an air of fairness to</w:t>
      </w:r>
      <w:r w:rsidR="005917D4">
        <w:t xml:space="preserve"> the Welsh legal system, </w:t>
      </w:r>
      <w:r w:rsidR="001E25A5">
        <w:t>although</w:t>
      </w:r>
      <w:r w:rsidR="007E505D">
        <w:t xml:space="preserve"> in reality </w:t>
      </w:r>
      <w:r w:rsidR="00E97FAA">
        <w:t>divorce</w:t>
      </w:r>
      <w:r w:rsidR="00AC30AB">
        <w:t xml:space="preserve"> was </w:t>
      </w:r>
      <w:r w:rsidR="001E25A5">
        <w:t>vehemently discouraged</w:t>
      </w:r>
      <w:r w:rsidR="00D86DC9">
        <w:t xml:space="preserve">. Barring the discovery of new evidence, </w:t>
      </w:r>
      <w:r w:rsidR="009A28F8">
        <w:t xml:space="preserve">it is impossible to say whether the laws on virginity, marriage and divorce were ever enforced. </w:t>
      </w:r>
      <w:r w:rsidR="00851783">
        <w:t>It is entirely possible then that a great gulf exi</w:t>
      </w:r>
      <w:r w:rsidR="006324AD">
        <w:t>sted</w:t>
      </w:r>
      <w:r w:rsidR="00851783">
        <w:t xml:space="preserve"> between the aspirations of the Welsh lawyers and</w:t>
      </w:r>
      <w:r w:rsidR="001D4E1E">
        <w:t xml:space="preserve"> the</w:t>
      </w:r>
      <w:r w:rsidR="00851783">
        <w:t xml:space="preserve"> </w:t>
      </w:r>
      <w:r w:rsidR="00567022">
        <w:t>lived experience of</w:t>
      </w:r>
      <w:r w:rsidR="00851783">
        <w:t xml:space="preserve"> </w:t>
      </w:r>
      <w:r w:rsidR="001621E5">
        <w:t>women in medieval Wales</w:t>
      </w:r>
      <w:r w:rsidR="00851783">
        <w:t xml:space="preserve">. </w:t>
      </w:r>
    </w:p>
    <w:p w:rsidR="00E71625" w:rsidRDefault="00E71625" w:rsidP="00A37575">
      <w:pPr>
        <w:rPr>
          <w:b/>
          <w:bCs/>
        </w:rPr>
      </w:pPr>
    </w:p>
    <w:p w:rsidR="00E71625" w:rsidRDefault="00E71625" w:rsidP="004E0586">
      <w:pPr>
        <w:jc w:val="center"/>
        <w:rPr>
          <w:b/>
          <w:bCs/>
        </w:rPr>
      </w:pPr>
    </w:p>
    <w:p w:rsidR="004E0586" w:rsidRPr="004E0586" w:rsidRDefault="00D04D2E" w:rsidP="004E0586">
      <w:pPr>
        <w:jc w:val="center"/>
        <w:rPr>
          <w:b/>
          <w:bCs/>
        </w:rPr>
      </w:pPr>
      <w:r w:rsidRPr="004E0586">
        <w:rPr>
          <w:b/>
          <w:bCs/>
        </w:rPr>
        <w:t>Bibliography</w:t>
      </w:r>
    </w:p>
    <w:p w:rsidR="004E0586" w:rsidRPr="0047732B" w:rsidRDefault="004E0586" w:rsidP="00D04D2E">
      <w:r w:rsidRPr="0047732B">
        <w:t xml:space="preserve">Printed Primary Sources </w:t>
      </w:r>
    </w:p>
    <w:p w:rsidR="004E0586" w:rsidRDefault="004E0586" w:rsidP="004E0586"/>
    <w:p w:rsidR="004E0586" w:rsidRDefault="004E0586" w:rsidP="004E0586">
      <w:r>
        <w:t xml:space="preserve">Evans, </w:t>
      </w:r>
      <w:r w:rsidRPr="00D56622">
        <w:t xml:space="preserve">A. W. Wade, </w:t>
      </w:r>
      <w:r w:rsidRPr="00D56622">
        <w:rPr>
          <w:i/>
          <w:iCs/>
        </w:rPr>
        <w:t xml:space="preserve">Welsh medieval law: being a text of the laws of </w:t>
      </w:r>
      <w:proofErr w:type="spellStart"/>
      <w:r w:rsidRPr="00D56622">
        <w:rPr>
          <w:i/>
          <w:iCs/>
        </w:rPr>
        <w:t>Howel</w:t>
      </w:r>
      <w:proofErr w:type="spellEnd"/>
      <w:r w:rsidRPr="00D56622">
        <w:rPr>
          <w:i/>
          <w:iCs/>
        </w:rPr>
        <w:t xml:space="preserve"> the Good, namely the British Museum Harleian </w:t>
      </w:r>
      <w:proofErr w:type="spellStart"/>
      <w:r w:rsidRPr="00D56622">
        <w:rPr>
          <w:i/>
          <w:iCs/>
        </w:rPr>
        <w:t>ms</w:t>
      </w:r>
      <w:proofErr w:type="spellEnd"/>
      <w:r w:rsidRPr="00D56622">
        <w:rPr>
          <w:i/>
          <w:iCs/>
        </w:rPr>
        <w:t xml:space="preserve">. 4353 of the 13th century, with translation, </w:t>
      </w:r>
      <w:proofErr w:type="spellStart"/>
      <w:r w:rsidRPr="00D56622">
        <w:rPr>
          <w:i/>
          <w:iCs/>
        </w:rPr>
        <w:t>introd</w:t>
      </w:r>
      <w:proofErr w:type="spellEnd"/>
      <w:r w:rsidRPr="00D56622">
        <w:rPr>
          <w:i/>
          <w:iCs/>
        </w:rPr>
        <w:t xml:space="preserve">., appendix, glossary, index, and a map, </w:t>
      </w:r>
      <w:r w:rsidRPr="00D56622">
        <w:t>(Oxford: Clarendon Press, 1909),</w:t>
      </w:r>
      <w:r>
        <w:t xml:space="preserve"> </w:t>
      </w:r>
      <w:hyperlink r:id="rId6" w:history="1">
        <w:r w:rsidRPr="00D56622">
          <w:rPr>
            <w:rStyle w:val="Hyperlink"/>
          </w:rPr>
          <w:t>https://archive.org/details/welshmedievallaw00howeuoft</w:t>
        </w:r>
      </w:hyperlink>
      <w:r w:rsidRPr="00D56622">
        <w:t xml:space="preserve"> </w:t>
      </w:r>
    </w:p>
    <w:p w:rsidR="004E0586" w:rsidRDefault="004E0586" w:rsidP="00D04D2E"/>
    <w:p w:rsidR="004E0586" w:rsidRDefault="004E0586" w:rsidP="004E0586">
      <w:r>
        <w:t xml:space="preserve">Jenkins, </w:t>
      </w:r>
      <w:proofErr w:type="spellStart"/>
      <w:r>
        <w:t>Dafydd</w:t>
      </w:r>
      <w:proofErr w:type="spellEnd"/>
      <w:r>
        <w:t xml:space="preserve"> and </w:t>
      </w:r>
      <w:proofErr w:type="spellStart"/>
      <w:r w:rsidRPr="00A94ED0">
        <w:t>Morfydd</w:t>
      </w:r>
      <w:proofErr w:type="spellEnd"/>
      <w:r w:rsidRPr="00A94ED0">
        <w:t xml:space="preserve"> E. Owen</w:t>
      </w:r>
      <w:r>
        <w:t xml:space="preserve">, </w:t>
      </w:r>
      <w:r w:rsidRPr="00A94ED0">
        <w:rPr>
          <w:i/>
          <w:iCs/>
        </w:rPr>
        <w:t>The Welsh Law of Women</w:t>
      </w:r>
      <w:r>
        <w:t xml:space="preserve"> </w:t>
      </w:r>
      <w:r w:rsidRPr="00A94ED0">
        <w:t>(Cardiff: University of Wales Press, 2017)</w:t>
      </w:r>
    </w:p>
    <w:p w:rsidR="004E0586" w:rsidRDefault="004E0586" w:rsidP="004E0586"/>
    <w:p w:rsidR="004E0586" w:rsidRDefault="004E0586" w:rsidP="004E0586">
      <w:r>
        <w:t>Secondary Sources</w:t>
      </w:r>
    </w:p>
    <w:p w:rsidR="00D04D2E" w:rsidRDefault="00D04D2E" w:rsidP="00D04D2E">
      <w:pPr>
        <w:rPr>
          <w:rStyle w:val="Hyperlink"/>
        </w:rPr>
      </w:pPr>
    </w:p>
    <w:p w:rsidR="005E69BA" w:rsidRDefault="005E69BA" w:rsidP="00D04D2E">
      <w:r>
        <w:t>Archives Wales, ‘Beards in the Archives’, 30 November 2022 &lt;</w:t>
      </w:r>
      <w:r w:rsidRPr="001E2DED">
        <w:t xml:space="preserve"> </w:t>
      </w:r>
      <w:hyperlink r:id="rId7" w:history="1">
        <w:r w:rsidRPr="001B02EB">
          <w:rPr>
            <w:rStyle w:val="Hyperlink"/>
          </w:rPr>
          <w:t>https://archives.wales/2022/11/30/beards-in-the-archives</w:t>
        </w:r>
      </w:hyperlink>
      <w:r>
        <w:t xml:space="preserve">&gt; [accessed 11 March 2026] </w:t>
      </w:r>
    </w:p>
    <w:p w:rsidR="005E69BA" w:rsidRDefault="005E69BA" w:rsidP="00D04D2E"/>
    <w:p w:rsidR="00D04D2E" w:rsidRDefault="00D04D2E" w:rsidP="00D04D2E">
      <w:r w:rsidRPr="00D56622">
        <w:t>Cartwright,</w:t>
      </w:r>
      <w:r>
        <w:t xml:space="preserve"> Jane,</w:t>
      </w:r>
      <w:r w:rsidRPr="00D56622">
        <w:t xml:space="preserve"> ‘Virginity and Chastity Tests in Medieval Welsh Prose’, in </w:t>
      </w:r>
      <w:r w:rsidRPr="00D56622">
        <w:rPr>
          <w:i/>
          <w:iCs/>
        </w:rPr>
        <w:t>Medieval Virginities</w:t>
      </w:r>
      <w:r w:rsidRPr="00D56622">
        <w:t xml:space="preserve">, ed. by </w:t>
      </w:r>
      <w:proofErr w:type="spellStart"/>
      <w:r w:rsidRPr="00D56622">
        <w:t>Anke</w:t>
      </w:r>
      <w:proofErr w:type="spellEnd"/>
      <w:r w:rsidRPr="00D56622">
        <w:t xml:space="preserve"> </w:t>
      </w:r>
      <w:proofErr w:type="spellStart"/>
      <w:r w:rsidRPr="00D56622">
        <w:t>Bernau</w:t>
      </w:r>
      <w:proofErr w:type="spellEnd"/>
      <w:r w:rsidRPr="00D56622">
        <w:t>, Ruth Evans and Sarah Salih (University of Wales Press, 2003)</w:t>
      </w:r>
      <w:r>
        <w:t>, pp. 56-79</w:t>
      </w:r>
    </w:p>
    <w:p w:rsidR="00D04D2E" w:rsidRDefault="00D04D2E" w:rsidP="00D04D2E"/>
    <w:p w:rsidR="00D04D2E" w:rsidRDefault="00D04D2E" w:rsidP="00D04D2E">
      <w:r w:rsidRPr="0056766F">
        <w:t>Davies,</w:t>
      </w:r>
      <w:r>
        <w:t xml:space="preserve"> R, R,</w:t>
      </w:r>
      <w:r w:rsidRPr="0056766F">
        <w:t xml:space="preserve"> ‘The Status of Women and the Practice of Marriage in Late-Medieval Wales’, in </w:t>
      </w:r>
      <w:r w:rsidRPr="0056766F">
        <w:rPr>
          <w:i/>
          <w:iCs/>
        </w:rPr>
        <w:t>The Welsh Law of Women</w:t>
      </w:r>
      <w:r w:rsidRPr="0056766F">
        <w:t xml:space="preserve">, ed. by </w:t>
      </w:r>
      <w:proofErr w:type="spellStart"/>
      <w:r w:rsidRPr="0056766F">
        <w:t>Dafydd</w:t>
      </w:r>
      <w:proofErr w:type="spellEnd"/>
      <w:r w:rsidRPr="0056766F">
        <w:t xml:space="preserve"> Jenkins and </w:t>
      </w:r>
      <w:proofErr w:type="spellStart"/>
      <w:r w:rsidRPr="0056766F">
        <w:t>Morfydd</w:t>
      </w:r>
      <w:proofErr w:type="spellEnd"/>
      <w:r w:rsidRPr="0056766F">
        <w:t xml:space="preserve"> E. Owen, </w:t>
      </w:r>
      <w:r w:rsidRPr="00A94ED0">
        <w:t>(Cardiff: University of Wales Press, 2017)</w:t>
      </w:r>
      <w:r>
        <w:t>, pp. 106-130</w:t>
      </w:r>
    </w:p>
    <w:p w:rsidR="00D04D2E" w:rsidRDefault="00D04D2E" w:rsidP="00D04D2E"/>
    <w:p w:rsidR="00D04D2E" w:rsidRDefault="00D04D2E" w:rsidP="00D04D2E">
      <w:r>
        <w:t xml:space="preserve">Edwards, </w:t>
      </w:r>
      <w:r w:rsidRPr="00576DD7">
        <w:t xml:space="preserve">T. M. Charles, ‘Nau </w:t>
      </w:r>
      <w:proofErr w:type="spellStart"/>
      <w:r w:rsidRPr="00576DD7">
        <w:t>Kynywedi</w:t>
      </w:r>
      <w:proofErr w:type="spellEnd"/>
      <w:r w:rsidRPr="00576DD7">
        <w:t xml:space="preserve"> </w:t>
      </w:r>
      <w:proofErr w:type="spellStart"/>
      <w:r w:rsidRPr="00576DD7">
        <w:t>Teithiauc</w:t>
      </w:r>
      <w:proofErr w:type="spellEnd"/>
      <w:r w:rsidRPr="00576DD7">
        <w:t xml:space="preserve">’, in </w:t>
      </w:r>
      <w:r w:rsidRPr="00576DD7">
        <w:rPr>
          <w:i/>
          <w:iCs/>
        </w:rPr>
        <w:t>The Welsh Law of Women</w:t>
      </w:r>
      <w:r w:rsidRPr="00576DD7">
        <w:t xml:space="preserve">, ed. by </w:t>
      </w:r>
      <w:proofErr w:type="spellStart"/>
      <w:r w:rsidRPr="00576DD7">
        <w:t>Dafydd</w:t>
      </w:r>
      <w:proofErr w:type="spellEnd"/>
      <w:r w:rsidRPr="00576DD7">
        <w:t xml:space="preserve"> Jenkins and </w:t>
      </w:r>
      <w:proofErr w:type="spellStart"/>
      <w:r w:rsidRPr="00576DD7">
        <w:t>Morfydd</w:t>
      </w:r>
      <w:proofErr w:type="spellEnd"/>
      <w:r w:rsidRPr="00576DD7">
        <w:t xml:space="preserve"> E. Owen, </w:t>
      </w:r>
      <w:r w:rsidRPr="00A94ED0">
        <w:t>(Cardiff: University of Wales Press, 2017)</w:t>
      </w:r>
      <w:r>
        <w:t xml:space="preserve">, </w:t>
      </w:r>
      <w:r w:rsidR="003C40C3">
        <w:t xml:space="preserve">pp. </w:t>
      </w:r>
      <w:r>
        <w:t>25-43</w:t>
      </w:r>
    </w:p>
    <w:p w:rsidR="00D04D2E" w:rsidRDefault="00D04D2E" w:rsidP="00D04D2E"/>
    <w:p w:rsidR="00D04D2E" w:rsidRDefault="00D04D2E" w:rsidP="00D04D2E">
      <w:r>
        <w:t xml:space="preserve">Harrison, Julian and Eleanor Jackson, eds, </w:t>
      </w:r>
      <w:r w:rsidRPr="00E12809">
        <w:rPr>
          <w:i/>
          <w:iCs/>
        </w:rPr>
        <w:t>Medieval Women: Voices &amp; Visions</w:t>
      </w:r>
      <w:r>
        <w:t xml:space="preserve"> (London: The British Library, 2024)</w:t>
      </w:r>
    </w:p>
    <w:p w:rsidR="00D04D2E" w:rsidRDefault="00D04D2E" w:rsidP="00D04D2E"/>
    <w:p w:rsidR="00D04D2E" w:rsidRDefault="00D04D2E" w:rsidP="00D04D2E">
      <w:proofErr w:type="spellStart"/>
      <w:r>
        <w:t>Leyser</w:t>
      </w:r>
      <w:proofErr w:type="spellEnd"/>
      <w:r>
        <w:t xml:space="preserve">, Henrietta, </w:t>
      </w:r>
      <w:r w:rsidRPr="00A7329C">
        <w:rPr>
          <w:i/>
          <w:iCs/>
        </w:rPr>
        <w:t>Medieval Women: A Social History of Women in England 450-1500</w:t>
      </w:r>
      <w:r>
        <w:t xml:space="preserve"> (London: Phoenix Press, 1996)</w:t>
      </w:r>
    </w:p>
    <w:p w:rsidR="00D04D2E" w:rsidRDefault="00D04D2E" w:rsidP="00D04D2E"/>
    <w:p w:rsidR="00D04D2E" w:rsidRDefault="00D04D2E" w:rsidP="00D04D2E">
      <w:proofErr w:type="spellStart"/>
      <w:r>
        <w:t>McAll</w:t>
      </w:r>
      <w:proofErr w:type="spellEnd"/>
      <w:r>
        <w:t xml:space="preserve">, </w:t>
      </w:r>
      <w:r w:rsidRPr="008F28D8">
        <w:t>Christophe</w:t>
      </w:r>
      <w:r>
        <w:t>r</w:t>
      </w:r>
      <w:r w:rsidRPr="008F28D8">
        <w:t xml:space="preserve">, ‘The Normal Paradigms of a Woman’s Life’, in </w:t>
      </w:r>
      <w:r w:rsidRPr="008F28D8">
        <w:rPr>
          <w:i/>
          <w:iCs/>
        </w:rPr>
        <w:t>The Welsh Law of Women</w:t>
      </w:r>
      <w:r w:rsidRPr="008F28D8">
        <w:t xml:space="preserve">, ed. by </w:t>
      </w:r>
      <w:proofErr w:type="spellStart"/>
      <w:r w:rsidRPr="008F28D8">
        <w:t>Dafydd</w:t>
      </w:r>
      <w:proofErr w:type="spellEnd"/>
      <w:r w:rsidRPr="008F28D8">
        <w:t xml:space="preserve"> Jenkins and </w:t>
      </w:r>
      <w:proofErr w:type="spellStart"/>
      <w:r w:rsidRPr="008F28D8">
        <w:t>Morfydd</w:t>
      </w:r>
      <w:proofErr w:type="spellEnd"/>
      <w:r w:rsidRPr="008F28D8">
        <w:t xml:space="preserve"> E. Owen, </w:t>
      </w:r>
      <w:r w:rsidRPr="00A94ED0">
        <w:t>(Cardiff: University of Wales Press, 2017)</w:t>
      </w:r>
      <w:r>
        <w:t>, pp. 7-24</w:t>
      </w:r>
    </w:p>
    <w:p w:rsidR="00D04D2E" w:rsidRDefault="00D04D2E" w:rsidP="00D04D2E"/>
    <w:p w:rsidR="00D04D2E" w:rsidRDefault="00D04D2E" w:rsidP="00D04D2E">
      <w:r>
        <w:lastRenderedPageBreak/>
        <w:t xml:space="preserve">Owen, </w:t>
      </w:r>
      <w:proofErr w:type="spellStart"/>
      <w:r w:rsidRPr="00084138">
        <w:t>Morfydd</w:t>
      </w:r>
      <w:proofErr w:type="spellEnd"/>
      <w:r w:rsidRPr="00084138">
        <w:t xml:space="preserve"> E, ‘Shame and Reparation: Woman’s Place in the Kin’, in </w:t>
      </w:r>
      <w:r w:rsidRPr="00084138">
        <w:rPr>
          <w:i/>
          <w:iCs/>
        </w:rPr>
        <w:t>The Welsh Law of Women</w:t>
      </w:r>
      <w:r w:rsidRPr="00084138">
        <w:t xml:space="preserve">, ed. by </w:t>
      </w:r>
      <w:proofErr w:type="spellStart"/>
      <w:r w:rsidRPr="00084138">
        <w:t>Dafydd</w:t>
      </w:r>
      <w:proofErr w:type="spellEnd"/>
      <w:r w:rsidRPr="00084138">
        <w:t xml:space="preserve"> Jenkins and </w:t>
      </w:r>
      <w:proofErr w:type="spellStart"/>
      <w:r w:rsidRPr="00084138">
        <w:t>Morfydd</w:t>
      </w:r>
      <w:proofErr w:type="spellEnd"/>
      <w:r w:rsidRPr="00084138">
        <w:t xml:space="preserve"> E. Owen, </w:t>
      </w:r>
      <w:r w:rsidRPr="00A94ED0">
        <w:t>(Cardiff: University of Wales Press, 2017)</w:t>
      </w:r>
      <w:r>
        <w:t>, pp. 44-77</w:t>
      </w:r>
    </w:p>
    <w:p w:rsidR="00D04D2E" w:rsidRDefault="00D04D2E" w:rsidP="00D04D2E"/>
    <w:p w:rsidR="00D04D2E" w:rsidRPr="00A94ED0" w:rsidRDefault="00D04D2E" w:rsidP="00D04D2E">
      <w:r w:rsidRPr="00B4275F">
        <w:t>Pryce,</w:t>
      </w:r>
      <w:r>
        <w:t xml:space="preserve"> Huw,</w:t>
      </w:r>
      <w:r w:rsidRPr="00B4275F">
        <w:t xml:space="preserve"> </w:t>
      </w:r>
      <w:r w:rsidRPr="00B4275F">
        <w:rPr>
          <w:i/>
          <w:iCs/>
        </w:rPr>
        <w:t>Native Law and the Church in Medieval Wales</w:t>
      </w:r>
      <w:r w:rsidRPr="00B4275F">
        <w:t xml:space="preserve">, online ed. (Oxford: Oxford Historical Monographs, 1993), </w:t>
      </w:r>
      <w:hyperlink r:id="rId8" w:history="1">
        <w:r w:rsidRPr="00B4275F">
          <w:rPr>
            <w:rStyle w:val="Hyperlink"/>
          </w:rPr>
          <w:t>https://doi-org.uwtsd.idm.oclc.org/10.1093/acprof:oso/9780198203629.001.0001</w:t>
        </w:r>
      </w:hyperlink>
    </w:p>
    <w:p w:rsidR="00D04D2E" w:rsidRDefault="00D04D2E" w:rsidP="00D04D2E"/>
    <w:p w:rsidR="00D04D2E" w:rsidRDefault="00D04D2E" w:rsidP="00D04D2E">
      <w:r w:rsidRPr="00B4275F">
        <w:t>Roberts,</w:t>
      </w:r>
      <w:r>
        <w:t xml:space="preserve"> Sara Elin,</w:t>
      </w:r>
      <w:r w:rsidRPr="00B4275F">
        <w:t xml:space="preserve"> ‘Emerging from the Bushes: The Welsh Law of Women in the Legal Triads’, in </w:t>
      </w:r>
      <w:r w:rsidRPr="00B4275F">
        <w:rPr>
          <w:i/>
          <w:iCs/>
        </w:rPr>
        <w:t>Law, Literature and Society</w:t>
      </w:r>
      <w:r w:rsidRPr="00B4275F">
        <w:t xml:space="preserve">, ed. by Joseph F. </w:t>
      </w:r>
      <w:proofErr w:type="spellStart"/>
      <w:r w:rsidRPr="00B4275F">
        <w:t>Eska</w:t>
      </w:r>
      <w:proofErr w:type="spellEnd"/>
      <w:r w:rsidRPr="00B4275F">
        <w:t xml:space="preserve"> (Four Courts Press, 2008), pp. 58-76</w:t>
      </w:r>
    </w:p>
    <w:p w:rsidR="00D04D2E" w:rsidRDefault="00D04D2E" w:rsidP="00D04D2E"/>
    <w:p w:rsidR="00D04D2E" w:rsidRPr="009E091E" w:rsidRDefault="00D04D2E" w:rsidP="00D04D2E">
      <w:r>
        <w:t xml:space="preserve">Roberts, </w:t>
      </w:r>
      <w:r w:rsidRPr="009E091E">
        <w:t xml:space="preserve">Sara Elin, ‘Far More Things Forbidden’ – Medieval Women in Wales. Lecture presented for The Honourable Society of </w:t>
      </w:r>
      <w:proofErr w:type="spellStart"/>
      <w:r w:rsidRPr="009E091E">
        <w:t>Cymmrodorion</w:t>
      </w:r>
      <w:proofErr w:type="spellEnd"/>
      <w:r w:rsidRPr="009E091E">
        <w:t xml:space="preserve"> (22 March 2022). </w:t>
      </w:r>
      <w:hyperlink r:id="rId9" w:history="1">
        <w:r w:rsidRPr="009E091E">
          <w:rPr>
            <w:rStyle w:val="Hyperlink"/>
          </w:rPr>
          <w:t>https://www.cymmrodorion.org/talk/far-more-things-forbidden-women-in-medieval-wales</w:t>
        </w:r>
      </w:hyperlink>
      <w:r w:rsidRPr="009E091E">
        <w:t>, [accessed 7 March 2026]</w:t>
      </w:r>
    </w:p>
    <w:p w:rsidR="00D04D2E" w:rsidRDefault="00D04D2E" w:rsidP="00D04D2E"/>
    <w:p w:rsidR="00D04D2E" w:rsidRDefault="00D04D2E" w:rsidP="00D04D2E">
      <w:pPr>
        <w:rPr>
          <w:rStyle w:val="Hyperlink"/>
        </w:rPr>
      </w:pPr>
      <w:r>
        <w:t>Roberts, Sara Elin</w:t>
      </w:r>
      <w:r w:rsidRPr="00AF1677">
        <w:t>,</w:t>
      </w:r>
      <w:r>
        <w:t xml:space="preserve"> ‘</w:t>
      </w:r>
      <w:r w:rsidRPr="00AF1677">
        <w:t xml:space="preserve">Hywel </w:t>
      </w:r>
      <w:proofErr w:type="spellStart"/>
      <w:r w:rsidRPr="00AF1677">
        <w:t>Dda</w:t>
      </w:r>
      <w:proofErr w:type="spellEnd"/>
      <w:r w:rsidRPr="00AF1677">
        <w:t>, Laws</w:t>
      </w:r>
      <w:r>
        <w:t>’, i</w:t>
      </w:r>
      <w:r w:rsidRPr="00AF1677">
        <w:t xml:space="preserve">n </w:t>
      </w:r>
      <w:r w:rsidRPr="00AF1677">
        <w:rPr>
          <w:i/>
          <w:iCs/>
        </w:rPr>
        <w:t>The Encyclopedia of Medieval Literature in Britain</w:t>
      </w:r>
      <w:r>
        <w:t xml:space="preserve">, </w:t>
      </w:r>
      <w:r w:rsidRPr="00AF1677">
        <w:t>ed</w:t>
      </w:r>
      <w:r>
        <w:t>. by</w:t>
      </w:r>
      <w:r w:rsidRPr="00AF1677">
        <w:t xml:space="preserve"> R</w:t>
      </w:r>
      <w:r>
        <w:t>obert</w:t>
      </w:r>
      <w:r w:rsidRPr="00AF1677">
        <w:t xml:space="preserve"> Rouse, S</w:t>
      </w:r>
      <w:r>
        <w:t>ian</w:t>
      </w:r>
      <w:r w:rsidRPr="00AF1677">
        <w:t xml:space="preserve"> </w:t>
      </w:r>
      <w:proofErr w:type="spellStart"/>
      <w:r w:rsidRPr="00AF1677">
        <w:t>Echard</w:t>
      </w:r>
      <w:proofErr w:type="spellEnd"/>
      <w:r w:rsidRPr="00AF1677">
        <w:t>, H</w:t>
      </w:r>
      <w:r>
        <w:t>elen</w:t>
      </w:r>
      <w:r w:rsidRPr="00AF1677">
        <w:t xml:space="preserve"> Fulton, G</w:t>
      </w:r>
      <w:r>
        <w:t>eoff</w:t>
      </w:r>
      <w:r w:rsidRPr="00AF1677">
        <w:t xml:space="preserve"> Rector and J</w:t>
      </w:r>
      <w:r>
        <w:t xml:space="preserve">acqueline </w:t>
      </w:r>
      <w:r w:rsidRPr="00AF1677">
        <w:t>A. Fay</w:t>
      </w:r>
      <w:r>
        <w:t xml:space="preserve"> (Wiley-Blackwell,  2017),</w:t>
      </w:r>
      <w:r w:rsidRPr="00AF1677">
        <w:t> </w:t>
      </w:r>
      <w:hyperlink r:id="rId10" w:history="1">
        <w:r w:rsidRPr="00AF1677">
          <w:rPr>
            <w:rStyle w:val="Hyperlink"/>
          </w:rPr>
          <w:t>https://doi.org/10.1002/9781118396957.wbemlb439</w:t>
        </w:r>
      </w:hyperlink>
    </w:p>
    <w:p w:rsidR="00C65F7D" w:rsidRDefault="00C65F7D" w:rsidP="00D04D2E">
      <w:pPr>
        <w:rPr>
          <w:rStyle w:val="Hyperlink"/>
        </w:rPr>
      </w:pPr>
    </w:p>
    <w:p w:rsidR="00C65F7D" w:rsidRDefault="00C65F7D" w:rsidP="00C65F7D">
      <w:r>
        <w:t>Roberts, Sara Elin and Bryn Jones, ‘Manuscript Contents’, [n.d.] &lt;</w:t>
      </w:r>
      <w:r w:rsidRPr="002779C6">
        <w:t xml:space="preserve"> </w:t>
      </w:r>
      <w:hyperlink r:id="rId11" w:history="1">
        <w:r w:rsidRPr="001B02EB">
          <w:rPr>
            <w:rStyle w:val="Hyperlink"/>
          </w:rPr>
          <w:t>https://www.cyfraith-hywel.org.uk/manuscript/contents</w:t>
        </w:r>
      </w:hyperlink>
      <w:r>
        <w:t>&gt; [accessed 8 March 2026]</w:t>
      </w:r>
    </w:p>
    <w:p w:rsidR="00D04D2E" w:rsidRDefault="00D04D2E" w:rsidP="00D04D2E">
      <w:pPr>
        <w:rPr>
          <w:rStyle w:val="Hyperlink"/>
        </w:rPr>
      </w:pPr>
    </w:p>
    <w:p w:rsidR="00D04D2E" w:rsidRPr="00576DD7" w:rsidRDefault="00D04D2E" w:rsidP="00D04D2E">
      <w:pPr>
        <w:rPr>
          <w:rStyle w:val="Hyperlink"/>
          <w:color w:val="000000" w:themeColor="text1"/>
          <w:u w:val="none"/>
        </w:rPr>
      </w:pPr>
      <w:r>
        <w:rPr>
          <w:color w:val="000000" w:themeColor="text1"/>
        </w:rPr>
        <w:t xml:space="preserve">Roberts, </w:t>
      </w:r>
      <w:r w:rsidRPr="00576DD7">
        <w:rPr>
          <w:color w:val="000000" w:themeColor="text1"/>
        </w:rPr>
        <w:t xml:space="preserve">Sara Elin, ‘Seeking the Middle-Aged Woman in Medieval Wales’, in </w:t>
      </w:r>
      <w:r w:rsidRPr="00576DD7">
        <w:rPr>
          <w:i/>
          <w:iCs/>
          <w:color w:val="000000" w:themeColor="text1"/>
        </w:rPr>
        <w:t xml:space="preserve">Middle-Aged Women in the Middle Ages, </w:t>
      </w:r>
      <w:r w:rsidRPr="00576DD7">
        <w:rPr>
          <w:color w:val="000000" w:themeColor="text1"/>
        </w:rPr>
        <w:t xml:space="preserve">ed. by Sue </w:t>
      </w:r>
      <w:proofErr w:type="spellStart"/>
      <w:r w:rsidRPr="00576DD7">
        <w:rPr>
          <w:color w:val="000000" w:themeColor="text1"/>
        </w:rPr>
        <w:t>Niebrzydowski</w:t>
      </w:r>
      <w:proofErr w:type="spellEnd"/>
      <w:r w:rsidRPr="00576DD7">
        <w:rPr>
          <w:color w:val="000000" w:themeColor="text1"/>
        </w:rPr>
        <w:t xml:space="preserve"> (Boydell &amp; Brewer, 2023), pp. 25-36</w:t>
      </w:r>
    </w:p>
    <w:p w:rsidR="00D04D2E" w:rsidRDefault="00D04D2E" w:rsidP="00D04D2E">
      <w:pPr>
        <w:rPr>
          <w:rStyle w:val="Hyperlink"/>
        </w:rPr>
      </w:pPr>
    </w:p>
    <w:p w:rsidR="00D04D2E" w:rsidRDefault="00D04D2E" w:rsidP="00D04D2E">
      <w:pPr>
        <w:rPr>
          <w:color w:val="000000" w:themeColor="text1"/>
        </w:rPr>
      </w:pPr>
      <w:proofErr w:type="spellStart"/>
      <w:r>
        <w:rPr>
          <w:color w:val="000000" w:themeColor="text1"/>
        </w:rPr>
        <w:t>Sabatel</w:t>
      </w:r>
      <w:proofErr w:type="spellEnd"/>
      <w:r>
        <w:rPr>
          <w:color w:val="000000" w:themeColor="text1"/>
        </w:rPr>
        <w:t xml:space="preserve">, </w:t>
      </w:r>
      <w:r w:rsidRPr="00D317AA">
        <w:rPr>
          <w:color w:val="000000" w:themeColor="text1"/>
        </w:rPr>
        <w:t xml:space="preserve">José López, ‘Perception of Female Virginity in the Medieval West and its Conceptualisation in the Medieval Welsh Law Codes’, </w:t>
      </w:r>
      <w:r w:rsidRPr="00D317AA">
        <w:rPr>
          <w:i/>
          <w:iCs/>
          <w:color w:val="000000" w:themeColor="text1"/>
        </w:rPr>
        <w:t>MUSAS</w:t>
      </w:r>
      <w:r w:rsidRPr="00D317AA">
        <w:rPr>
          <w:color w:val="000000" w:themeColor="text1"/>
        </w:rPr>
        <w:t xml:space="preserve">, 5, (2020), </w:t>
      </w:r>
      <w:hyperlink r:id="rId12" w:history="1">
        <w:r w:rsidRPr="00D317AA">
          <w:rPr>
            <w:rStyle w:val="Hyperlink"/>
            <w:color w:val="000000" w:themeColor="text1"/>
            <w:u w:val="none"/>
          </w:rPr>
          <w:t>https://doi.org/10.1344/musas2020.vol5.num2.6</w:t>
        </w:r>
      </w:hyperlink>
    </w:p>
    <w:p w:rsidR="00D04D2E" w:rsidRDefault="00D04D2E" w:rsidP="00D04D2E">
      <w:pPr>
        <w:rPr>
          <w:color w:val="000000" w:themeColor="text1"/>
        </w:rPr>
      </w:pPr>
    </w:p>
    <w:p w:rsidR="00D04D2E" w:rsidRDefault="00D04D2E" w:rsidP="00D04D2E">
      <w:pPr>
        <w:rPr>
          <w:color w:val="000000" w:themeColor="text1"/>
        </w:rPr>
      </w:pPr>
      <w:r>
        <w:rPr>
          <w:color w:val="000000" w:themeColor="text1"/>
        </w:rPr>
        <w:t xml:space="preserve">Stacey, </w:t>
      </w:r>
      <w:r w:rsidRPr="00992B55">
        <w:rPr>
          <w:color w:val="000000" w:themeColor="text1"/>
        </w:rPr>
        <w:t xml:space="preserve">Robin Chapman, ‘Divorce, Medieval Welsh Style’, </w:t>
      </w:r>
      <w:r w:rsidRPr="00992B55">
        <w:rPr>
          <w:i/>
          <w:iCs/>
          <w:color w:val="000000" w:themeColor="text1"/>
        </w:rPr>
        <w:t>Speculum</w:t>
      </w:r>
      <w:r w:rsidRPr="00992B55">
        <w:rPr>
          <w:color w:val="000000" w:themeColor="text1"/>
        </w:rPr>
        <w:t xml:space="preserve">, Vol. 77, No. 4, (2002), pp. 1107–27, </w:t>
      </w:r>
      <w:hyperlink r:id="rId13" w:history="1">
        <w:r w:rsidRPr="00992B55">
          <w:rPr>
            <w:rStyle w:val="Hyperlink"/>
          </w:rPr>
          <w:t>https://doi.org/10.2307/3301214</w:t>
        </w:r>
      </w:hyperlink>
    </w:p>
    <w:p w:rsidR="00D04D2E" w:rsidRDefault="00D04D2E" w:rsidP="00D04D2E">
      <w:pPr>
        <w:rPr>
          <w:color w:val="000000" w:themeColor="text1"/>
        </w:rPr>
      </w:pPr>
    </w:p>
    <w:p w:rsidR="00D04D2E" w:rsidRPr="00E96ACC" w:rsidRDefault="00D04D2E" w:rsidP="00D04D2E">
      <w:pPr>
        <w:rPr>
          <w:color w:val="000000" w:themeColor="text1"/>
        </w:rPr>
      </w:pPr>
      <w:r w:rsidRPr="00E96ACC">
        <w:rPr>
          <w:color w:val="000000" w:themeColor="text1"/>
        </w:rPr>
        <w:t>The National Library of Wales, ‘</w:t>
      </w:r>
      <w:proofErr w:type="spellStart"/>
      <w:r w:rsidRPr="00E96ACC">
        <w:rPr>
          <w:color w:val="000000" w:themeColor="text1"/>
        </w:rPr>
        <w:t>Peniarth</w:t>
      </w:r>
      <w:proofErr w:type="spellEnd"/>
      <w:r w:rsidRPr="00E96ACC">
        <w:rPr>
          <w:color w:val="000000" w:themeColor="text1"/>
        </w:rPr>
        <w:t xml:space="preserve"> MS 28 (formerly </w:t>
      </w:r>
      <w:proofErr w:type="spellStart"/>
      <w:r w:rsidRPr="00E96ACC">
        <w:rPr>
          <w:color w:val="000000" w:themeColor="text1"/>
        </w:rPr>
        <w:t>Hengwrt</w:t>
      </w:r>
      <w:proofErr w:type="spellEnd"/>
      <w:r w:rsidRPr="00E96ACC">
        <w:rPr>
          <w:color w:val="000000" w:themeColor="text1"/>
        </w:rPr>
        <w:t xml:space="preserve"> MS 7) contains a Latin copy of the Laws of Hywel </w:t>
      </w:r>
      <w:proofErr w:type="spellStart"/>
      <w:r w:rsidRPr="00E96ACC">
        <w:rPr>
          <w:color w:val="000000" w:themeColor="text1"/>
        </w:rPr>
        <w:t>Dda</w:t>
      </w:r>
      <w:proofErr w:type="spellEnd"/>
      <w:r w:rsidRPr="00E96ACC">
        <w:rPr>
          <w:color w:val="000000" w:themeColor="text1"/>
        </w:rPr>
        <w:t xml:space="preserve">’, &lt;https://www.library.wales/discover-learn/digital-exhibitions/manuscripts/the-middle-ages/laws-of-hywel-dda&gt; [accessed 7 March 2026] </w:t>
      </w:r>
    </w:p>
    <w:p w:rsidR="00D04D2E" w:rsidRDefault="00D04D2E" w:rsidP="00D04D2E">
      <w:pPr>
        <w:rPr>
          <w:color w:val="000000" w:themeColor="text1"/>
        </w:rPr>
      </w:pPr>
    </w:p>
    <w:p w:rsidR="00D04D2E" w:rsidRDefault="00D04D2E" w:rsidP="00A05DCD">
      <w:r w:rsidRPr="00096578">
        <w:rPr>
          <w:color w:val="000000" w:themeColor="text1"/>
        </w:rPr>
        <w:t>Walters</w:t>
      </w:r>
      <w:r>
        <w:rPr>
          <w:color w:val="000000" w:themeColor="text1"/>
        </w:rPr>
        <w:t xml:space="preserve"> D. B</w:t>
      </w:r>
      <w:r w:rsidRPr="00096578">
        <w:rPr>
          <w:color w:val="000000" w:themeColor="text1"/>
        </w:rPr>
        <w:t>, ‘The European Legal Context</w:t>
      </w:r>
      <w:r>
        <w:rPr>
          <w:color w:val="000000" w:themeColor="text1"/>
        </w:rPr>
        <w:t xml:space="preserve"> of the Welsh Law of Matrimonial Property</w:t>
      </w:r>
      <w:r w:rsidRPr="00096578">
        <w:rPr>
          <w:color w:val="000000" w:themeColor="text1"/>
        </w:rPr>
        <w:t xml:space="preserve">’, in </w:t>
      </w:r>
      <w:r w:rsidRPr="00096578">
        <w:rPr>
          <w:i/>
          <w:iCs/>
          <w:color w:val="000000" w:themeColor="text1"/>
        </w:rPr>
        <w:t>The Welsh Law of Women</w:t>
      </w:r>
      <w:r w:rsidRPr="00096578">
        <w:rPr>
          <w:color w:val="000000" w:themeColor="text1"/>
        </w:rPr>
        <w:t xml:space="preserve">, ed. by </w:t>
      </w:r>
      <w:proofErr w:type="spellStart"/>
      <w:r w:rsidRPr="00096578">
        <w:rPr>
          <w:color w:val="000000" w:themeColor="text1"/>
        </w:rPr>
        <w:t>Dafydd</w:t>
      </w:r>
      <w:proofErr w:type="spellEnd"/>
      <w:r w:rsidRPr="00096578">
        <w:rPr>
          <w:color w:val="000000" w:themeColor="text1"/>
        </w:rPr>
        <w:t xml:space="preserve"> Jenkins and </w:t>
      </w:r>
      <w:proofErr w:type="spellStart"/>
      <w:r w:rsidRPr="00096578">
        <w:rPr>
          <w:color w:val="000000" w:themeColor="text1"/>
        </w:rPr>
        <w:t>Morfydd</w:t>
      </w:r>
      <w:proofErr w:type="spellEnd"/>
      <w:r w:rsidRPr="00096578">
        <w:rPr>
          <w:color w:val="000000" w:themeColor="text1"/>
        </w:rPr>
        <w:t xml:space="preserve"> E. Owen, </w:t>
      </w:r>
      <w:r w:rsidRPr="00A94ED0">
        <w:t>(Cardiff: University of Wales Press, 2017)</w:t>
      </w:r>
      <w:r>
        <w:t>, pp. 131-150</w:t>
      </w:r>
    </w:p>
    <w:p w:rsidR="00F366C2" w:rsidRDefault="00F366C2" w:rsidP="00A05DCD"/>
    <w:p w:rsidR="00F366C2" w:rsidRPr="00F366C2" w:rsidRDefault="00F366C2" w:rsidP="00F366C2">
      <w:r w:rsidRPr="00F366C2">
        <w:t>Webb,</w:t>
      </w:r>
      <w:r>
        <w:t xml:space="preserve"> Sian,</w:t>
      </w:r>
      <w:r w:rsidRPr="00F366C2">
        <w:t xml:space="preserve"> ‘The Right Thing to be is a Virtuous Girl’, </w:t>
      </w:r>
      <w:r w:rsidRPr="00F366C2">
        <w:rPr>
          <w:i/>
          <w:iCs/>
        </w:rPr>
        <w:t>Journal of Languages, Texts and Society</w:t>
      </w:r>
      <w:r w:rsidRPr="00F366C2">
        <w:t xml:space="preserve">, Vol. 3, (2019), 50-71, &lt; </w:t>
      </w:r>
      <w:hyperlink r:id="rId14" w:history="1">
        <w:r w:rsidRPr="00F366C2">
          <w:rPr>
            <w:rStyle w:val="Hyperlink"/>
          </w:rPr>
          <w:t>https://www.nottingham.ac.uk/research/groups/languagestextssociety/documents/lts-journal/issue-3/webb-women-in-medieval-wales-lts-issue3.pdf</w:t>
        </w:r>
      </w:hyperlink>
      <w:r w:rsidRPr="00F366C2">
        <w:t>&gt; [accessed 15 March 2026]</w:t>
      </w:r>
    </w:p>
    <w:p w:rsidR="00F366C2" w:rsidRDefault="00F366C2" w:rsidP="00A05DCD"/>
    <w:sectPr w:rsidR="00F366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73DFA" w:rsidRDefault="00173DFA" w:rsidP="009F6F71">
      <w:r>
        <w:separator/>
      </w:r>
    </w:p>
  </w:endnote>
  <w:endnote w:type="continuationSeparator" w:id="0">
    <w:p w:rsidR="00173DFA" w:rsidRDefault="00173DFA" w:rsidP="009F6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73DFA" w:rsidRDefault="00173DFA" w:rsidP="009F6F71">
      <w:r>
        <w:separator/>
      </w:r>
    </w:p>
  </w:footnote>
  <w:footnote w:type="continuationSeparator" w:id="0">
    <w:p w:rsidR="00173DFA" w:rsidRDefault="00173DFA" w:rsidP="009F6F71">
      <w:r>
        <w:continuationSeparator/>
      </w:r>
    </w:p>
  </w:footnote>
  <w:footnote w:id="1">
    <w:p w:rsidR="009F6F71" w:rsidRDefault="009F6F71">
      <w:pPr>
        <w:pStyle w:val="FootnoteText"/>
      </w:pPr>
      <w:r>
        <w:rPr>
          <w:rStyle w:val="FootnoteReference"/>
        </w:rPr>
        <w:footnoteRef/>
      </w:r>
      <w:r>
        <w:t xml:space="preserve"> </w:t>
      </w:r>
      <w:r w:rsidR="00AF1677">
        <w:t xml:space="preserve">Sara Elin </w:t>
      </w:r>
      <w:r w:rsidR="00AF1677" w:rsidRPr="00AF1677">
        <w:t>Roberts,</w:t>
      </w:r>
      <w:r w:rsidR="00AF1677">
        <w:t xml:space="preserve"> ‘</w:t>
      </w:r>
      <w:r w:rsidR="00AF1677" w:rsidRPr="00AF1677">
        <w:t xml:space="preserve">Hywel </w:t>
      </w:r>
      <w:proofErr w:type="spellStart"/>
      <w:r w:rsidR="00AF1677" w:rsidRPr="00AF1677">
        <w:t>Dda</w:t>
      </w:r>
      <w:proofErr w:type="spellEnd"/>
      <w:r w:rsidR="00AF1677" w:rsidRPr="00AF1677">
        <w:t>, Laws</w:t>
      </w:r>
      <w:r w:rsidR="00AF1677">
        <w:t>’, i</w:t>
      </w:r>
      <w:r w:rsidR="00AF1677" w:rsidRPr="00AF1677">
        <w:t xml:space="preserve">n </w:t>
      </w:r>
      <w:r w:rsidR="00AF1677" w:rsidRPr="00AF1677">
        <w:rPr>
          <w:i/>
          <w:iCs/>
        </w:rPr>
        <w:t>The Encyclopedia of Medieval Literature in Britain</w:t>
      </w:r>
      <w:r w:rsidR="00AF1677">
        <w:t xml:space="preserve">, </w:t>
      </w:r>
      <w:r w:rsidR="00AF1677" w:rsidRPr="00AF1677">
        <w:t>ed</w:t>
      </w:r>
      <w:r w:rsidR="00AF1677">
        <w:t>. by</w:t>
      </w:r>
      <w:r w:rsidR="00AF1677" w:rsidRPr="00AF1677">
        <w:t xml:space="preserve"> R</w:t>
      </w:r>
      <w:r w:rsidR="00AF1677">
        <w:t>obert</w:t>
      </w:r>
      <w:r w:rsidR="00AF1677" w:rsidRPr="00AF1677">
        <w:t xml:space="preserve"> Rouse, S</w:t>
      </w:r>
      <w:r w:rsidR="00AF1677">
        <w:t>ian</w:t>
      </w:r>
      <w:r w:rsidR="00AF1677" w:rsidRPr="00AF1677">
        <w:t xml:space="preserve"> </w:t>
      </w:r>
      <w:proofErr w:type="spellStart"/>
      <w:r w:rsidR="00AF1677" w:rsidRPr="00AF1677">
        <w:t>Echard</w:t>
      </w:r>
      <w:proofErr w:type="spellEnd"/>
      <w:r w:rsidR="00AF1677" w:rsidRPr="00AF1677">
        <w:t>, H</w:t>
      </w:r>
      <w:r w:rsidR="00AF1677">
        <w:t>elen</w:t>
      </w:r>
      <w:r w:rsidR="00AF1677" w:rsidRPr="00AF1677">
        <w:t xml:space="preserve"> Fulton, G</w:t>
      </w:r>
      <w:r w:rsidR="00AF1677">
        <w:t>eoff</w:t>
      </w:r>
      <w:r w:rsidR="00AF1677" w:rsidRPr="00AF1677">
        <w:t xml:space="preserve"> Rector and J</w:t>
      </w:r>
      <w:r w:rsidR="00AF1677">
        <w:t xml:space="preserve">acqueline </w:t>
      </w:r>
      <w:r w:rsidR="00AF1677" w:rsidRPr="00AF1677">
        <w:t>A. Fay</w:t>
      </w:r>
      <w:r w:rsidR="00AF1677">
        <w:t xml:space="preserve"> (Wiley-Blackwell,  2017),</w:t>
      </w:r>
      <w:r w:rsidR="00AF1677" w:rsidRPr="00AF1677">
        <w:t> </w:t>
      </w:r>
      <w:hyperlink r:id="rId1" w:history="1">
        <w:r w:rsidR="00AF1677" w:rsidRPr="00AF1677">
          <w:rPr>
            <w:rStyle w:val="Hyperlink"/>
          </w:rPr>
          <w:t>https://doi.org/10.1002/9781118396957.wbemlb439</w:t>
        </w:r>
      </w:hyperlink>
    </w:p>
  </w:footnote>
  <w:footnote w:id="2">
    <w:p w:rsidR="000B3993" w:rsidRPr="000B3993" w:rsidRDefault="000B3993">
      <w:pPr>
        <w:pStyle w:val="FootnoteText"/>
      </w:pPr>
      <w:r>
        <w:rPr>
          <w:rStyle w:val="FootnoteReference"/>
        </w:rPr>
        <w:footnoteRef/>
      </w:r>
      <w:r>
        <w:t xml:space="preserve"> A. W. Wade Evans, </w:t>
      </w:r>
      <w:r w:rsidRPr="000B3993">
        <w:rPr>
          <w:i/>
          <w:iCs/>
        </w:rPr>
        <w:t xml:space="preserve">Welsh medieval law: being a text of the laws of </w:t>
      </w:r>
      <w:proofErr w:type="spellStart"/>
      <w:r w:rsidRPr="000B3993">
        <w:rPr>
          <w:i/>
          <w:iCs/>
        </w:rPr>
        <w:t>Howel</w:t>
      </w:r>
      <w:proofErr w:type="spellEnd"/>
      <w:r w:rsidRPr="000B3993">
        <w:rPr>
          <w:i/>
          <w:iCs/>
        </w:rPr>
        <w:t xml:space="preserve"> the Good, namely the British Museum Harleian </w:t>
      </w:r>
      <w:proofErr w:type="spellStart"/>
      <w:r w:rsidRPr="000B3993">
        <w:rPr>
          <w:i/>
          <w:iCs/>
        </w:rPr>
        <w:t>ms</w:t>
      </w:r>
      <w:proofErr w:type="spellEnd"/>
      <w:r w:rsidRPr="000B3993">
        <w:rPr>
          <w:i/>
          <w:iCs/>
        </w:rPr>
        <w:t xml:space="preserve">. 4353 of the 13th century, with translation, </w:t>
      </w:r>
      <w:proofErr w:type="spellStart"/>
      <w:r w:rsidRPr="000B3993">
        <w:rPr>
          <w:i/>
          <w:iCs/>
        </w:rPr>
        <w:t>introd</w:t>
      </w:r>
      <w:proofErr w:type="spellEnd"/>
      <w:r w:rsidRPr="000B3993">
        <w:rPr>
          <w:i/>
          <w:iCs/>
        </w:rPr>
        <w:t>., appendix, glossary, index, and a map</w:t>
      </w:r>
      <w:r>
        <w:rPr>
          <w:i/>
          <w:iCs/>
        </w:rPr>
        <w:t xml:space="preserve">, </w:t>
      </w:r>
      <w:r>
        <w:t>(Oxford: Clarendon Press, 1909), pp. lviii-</w:t>
      </w:r>
      <w:r w:rsidR="009B1842">
        <w:t xml:space="preserve">xcvi. </w:t>
      </w:r>
      <w:hyperlink r:id="rId2" w:history="1">
        <w:r w:rsidR="009B1842" w:rsidRPr="001B02EB">
          <w:rPr>
            <w:rStyle w:val="Hyperlink"/>
          </w:rPr>
          <w:t>https://archive.org/details/welshmedievallaw00howeuoft</w:t>
        </w:r>
      </w:hyperlink>
      <w:r w:rsidR="009B1842">
        <w:t xml:space="preserve"> [accessed 11 March 2026].</w:t>
      </w:r>
    </w:p>
  </w:footnote>
  <w:footnote w:id="3">
    <w:p w:rsidR="00880643" w:rsidRPr="00880643" w:rsidRDefault="00880643" w:rsidP="00880643">
      <w:pPr>
        <w:rPr>
          <w:sz w:val="20"/>
          <w:szCs w:val="20"/>
        </w:rPr>
      </w:pPr>
      <w:r>
        <w:rPr>
          <w:rStyle w:val="FootnoteReference"/>
        </w:rPr>
        <w:footnoteRef/>
      </w:r>
      <w:r>
        <w:t xml:space="preserve"> </w:t>
      </w:r>
      <w:r w:rsidRPr="00880643">
        <w:rPr>
          <w:sz w:val="20"/>
          <w:szCs w:val="20"/>
        </w:rPr>
        <w:t xml:space="preserve">Jane Cartwright, ‘Virginity and Chastity Tests in Medieval Welsh Prose’, in </w:t>
      </w:r>
      <w:r w:rsidRPr="00880643">
        <w:rPr>
          <w:i/>
          <w:iCs/>
          <w:sz w:val="20"/>
          <w:szCs w:val="20"/>
        </w:rPr>
        <w:t>Medieval Virginities</w:t>
      </w:r>
      <w:r w:rsidRPr="00880643">
        <w:rPr>
          <w:sz w:val="20"/>
          <w:szCs w:val="20"/>
        </w:rPr>
        <w:t xml:space="preserve">, ed. by </w:t>
      </w:r>
      <w:proofErr w:type="spellStart"/>
      <w:r w:rsidRPr="00880643">
        <w:rPr>
          <w:sz w:val="20"/>
          <w:szCs w:val="20"/>
        </w:rPr>
        <w:t>Anke</w:t>
      </w:r>
      <w:proofErr w:type="spellEnd"/>
      <w:r w:rsidRPr="00880643">
        <w:rPr>
          <w:sz w:val="20"/>
          <w:szCs w:val="20"/>
        </w:rPr>
        <w:t xml:space="preserve"> </w:t>
      </w:r>
      <w:proofErr w:type="spellStart"/>
      <w:r w:rsidRPr="00880643">
        <w:rPr>
          <w:sz w:val="20"/>
          <w:szCs w:val="20"/>
        </w:rPr>
        <w:t>Bernau</w:t>
      </w:r>
      <w:proofErr w:type="spellEnd"/>
      <w:r w:rsidRPr="00880643">
        <w:rPr>
          <w:sz w:val="20"/>
          <w:szCs w:val="20"/>
        </w:rPr>
        <w:t>, Ruth Evans and Sarah Salih (University of Wales Press, 2003), pp. 56-69 (pp.64-65).</w:t>
      </w:r>
    </w:p>
  </w:footnote>
  <w:footnote w:id="4">
    <w:p w:rsidR="009A2332" w:rsidRDefault="009A2332">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(Cardiff: University of Wales Press, 2017).</w:t>
      </w:r>
    </w:p>
  </w:footnote>
  <w:footnote w:id="5">
    <w:p w:rsidR="00341680" w:rsidRDefault="00341680">
      <w:pPr>
        <w:pStyle w:val="FootnoteText"/>
      </w:pPr>
      <w:r>
        <w:rPr>
          <w:rStyle w:val="FootnoteReference"/>
        </w:rPr>
        <w:footnoteRef/>
      </w:r>
      <w:r>
        <w:t xml:space="preserve"> Sara E. Roberts, ‘Emerging from the Bushes: The Welsh Law of Women in the Legal Triads’, in </w:t>
      </w:r>
      <w:r w:rsidRPr="005E4B15">
        <w:rPr>
          <w:i/>
          <w:iCs/>
        </w:rPr>
        <w:t>Law, Literature and Society</w:t>
      </w:r>
      <w:r>
        <w:t xml:space="preserve">, ed. by Joseph F. </w:t>
      </w:r>
      <w:proofErr w:type="spellStart"/>
      <w:r>
        <w:t>Eska</w:t>
      </w:r>
      <w:proofErr w:type="spellEnd"/>
      <w:r>
        <w:t xml:space="preserve"> (Four Courts Press, 2008), pp. 58-76, (p. 59-62).</w:t>
      </w:r>
    </w:p>
  </w:footnote>
  <w:footnote w:id="6">
    <w:p w:rsidR="00000A24" w:rsidRDefault="00000A24">
      <w:pPr>
        <w:pStyle w:val="FootnoteText"/>
      </w:pPr>
      <w:r>
        <w:rPr>
          <w:rStyle w:val="FootnoteReference"/>
        </w:rPr>
        <w:footnoteRef/>
      </w:r>
      <w:r>
        <w:t xml:space="preserve"> Roberts, ‘Hywel </w:t>
      </w:r>
      <w:proofErr w:type="spellStart"/>
      <w:r>
        <w:t>Dda</w:t>
      </w:r>
      <w:proofErr w:type="spellEnd"/>
      <w:r>
        <w:t>, Laws’ i</w:t>
      </w:r>
      <w:r w:rsidRPr="00AF1677">
        <w:t xml:space="preserve">n </w:t>
      </w:r>
      <w:r w:rsidRPr="00AF1677">
        <w:rPr>
          <w:i/>
          <w:iCs/>
        </w:rPr>
        <w:t>The Encyclopedia of Medieval Literature in Britain</w:t>
      </w:r>
      <w:r>
        <w:t xml:space="preserve">, </w:t>
      </w:r>
      <w:r w:rsidRPr="00AF1677">
        <w:t>ed</w:t>
      </w:r>
      <w:r>
        <w:t>. by</w:t>
      </w:r>
      <w:r w:rsidRPr="00AF1677">
        <w:t xml:space="preserve"> R</w:t>
      </w:r>
      <w:r>
        <w:t>obert</w:t>
      </w:r>
      <w:r w:rsidRPr="00AF1677">
        <w:t xml:space="preserve"> Rouse, S</w:t>
      </w:r>
      <w:r>
        <w:t>ian</w:t>
      </w:r>
      <w:r w:rsidRPr="00AF1677">
        <w:t xml:space="preserve"> </w:t>
      </w:r>
      <w:proofErr w:type="spellStart"/>
      <w:r w:rsidRPr="00AF1677">
        <w:t>Echard</w:t>
      </w:r>
      <w:proofErr w:type="spellEnd"/>
      <w:r w:rsidRPr="00AF1677">
        <w:t>, H</w:t>
      </w:r>
      <w:r>
        <w:t>elen</w:t>
      </w:r>
      <w:r w:rsidRPr="00AF1677">
        <w:t xml:space="preserve"> Fulton, G</w:t>
      </w:r>
      <w:r>
        <w:t>eoff</w:t>
      </w:r>
      <w:r w:rsidRPr="00AF1677">
        <w:t xml:space="preserve"> Rector and J</w:t>
      </w:r>
      <w:r>
        <w:t xml:space="preserve">acqueline </w:t>
      </w:r>
      <w:r w:rsidRPr="00AF1677">
        <w:t>A. Fay</w:t>
      </w:r>
      <w:r>
        <w:t xml:space="preserve">, </w:t>
      </w:r>
      <w:hyperlink r:id="rId3" w:history="1">
        <w:r w:rsidR="008E02AD" w:rsidRPr="00AF1677">
          <w:rPr>
            <w:rStyle w:val="Hyperlink"/>
          </w:rPr>
          <w:t>https://doi.org/10.1002/9781118396957.wbemlb439</w:t>
        </w:r>
      </w:hyperlink>
      <w:r w:rsidR="008E02AD">
        <w:t>; The National Library of Wales, ‘</w:t>
      </w:r>
      <w:proofErr w:type="spellStart"/>
      <w:r w:rsidR="008E02AD" w:rsidRPr="008E02AD">
        <w:t>Peniarth</w:t>
      </w:r>
      <w:proofErr w:type="spellEnd"/>
      <w:r w:rsidR="008E02AD" w:rsidRPr="008E02AD">
        <w:t xml:space="preserve"> MS 28 (formerly </w:t>
      </w:r>
      <w:proofErr w:type="spellStart"/>
      <w:r w:rsidR="008E02AD" w:rsidRPr="008E02AD">
        <w:t>Hengwrt</w:t>
      </w:r>
      <w:proofErr w:type="spellEnd"/>
      <w:r w:rsidR="008E02AD" w:rsidRPr="008E02AD">
        <w:t xml:space="preserve"> MS 7) contains a Latin copy of the Laws of Hywel </w:t>
      </w:r>
      <w:proofErr w:type="spellStart"/>
      <w:r w:rsidR="008E02AD" w:rsidRPr="008E02AD">
        <w:t>Dda</w:t>
      </w:r>
      <w:proofErr w:type="spellEnd"/>
      <w:r w:rsidR="008E02AD">
        <w:t>’, &lt;</w:t>
      </w:r>
      <w:r w:rsidR="008E02AD" w:rsidRPr="008E02AD">
        <w:t>https://www.library.wales/discover-learn/digital-exhibitions/manuscripts/the-middle-ages/laws-of-hywel-dda</w:t>
      </w:r>
      <w:r w:rsidR="008E02AD">
        <w:t>&gt;</w:t>
      </w:r>
      <w:r w:rsidR="008E02AD" w:rsidRPr="008E02AD">
        <w:t xml:space="preserve"> </w:t>
      </w:r>
      <w:r w:rsidR="008E02AD">
        <w:t xml:space="preserve">[accessed 7 March 2026] </w:t>
      </w:r>
    </w:p>
  </w:footnote>
  <w:footnote w:id="7">
    <w:p w:rsidR="004A217D" w:rsidRDefault="004A217D">
      <w:pPr>
        <w:pStyle w:val="FootnoteText"/>
      </w:pPr>
      <w:r>
        <w:rPr>
          <w:rStyle w:val="FootnoteReference"/>
        </w:rPr>
        <w:footnoteRef/>
      </w:r>
      <w:r>
        <w:t xml:space="preserve"> Roberts</w:t>
      </w:r>
      <w:r w:rsidR="005E4B15">
        <w:t xml:space="preserve">, ‘Emerging from the Bushes: The Welsh Law of Women in the Legal Triads’, in </w:t>
      </w:r>
      <w:r w:rsidR="005E4B15" w:rsidRPr="005E4B15">
        <w:rPr>
          <w:i/>
          <w:iCs/>
        </w:rPr>
        <w:t>Law, Literature and Society</w:t>
      </w:r>
      <w:r w:rsidR="005E4B15">
        <w:t xml:space="preserve">, ed. by Joseph F. </w:t>
      </w:r>
      <w:proofErr w:type="spellStart"/>
      <w:r w:rsidR="005E4B15">
        <w:t>Eska</w:t>
      </w:r>
      <w:proofErr w:type="spellEnd"/>
      <w:r w:rsidR="00AE02BE">
        <w:t>,</w:t>
      </w:r>
      <w:r w:rsidR="005E4B15">
        <w:t xml:space="preserve"> p. 59. </w:t>
      </w:r>
    </w:p>
  </w:footnote>
  <w:footnote w:id="8">
    <w:p w:rsidR="00FB2F3C" w:rsidRDefault="00FB2F3C">
      <w:pPr>
        <w:pStyle w:val="FootnoteText"/>
      </w:pPr>
      <w:r>
        <w:rPr>
          <w:rStyle w:val="FootnoteReference"/>
        </w:rPr>
        <w:footnoteRef/>
      </w:r>
      <w:r>
        <w:t xml:space="preserve"> </w:t>
      </w:r>
      <w:r w:rsidR="001A504A" w:rsidRPr="00B05251">
        <w:rPr>
          <w:i/>
          <w:iCs/>
        </w:rPr>
        <w:t>ibid</w:t>
      </w:r>
      <w:r w:rsidR="001A504A">
        <w:t>.</w:t>
      </w:r>
      <w:r>
        <w:t xml:space="preserve">, p. 59. </w:t>
      </w:r>
    </w:p>
  </w:footnote>
  <w:footnote w:id="9">
    <w:p w:rsidR="00AE48B7" w:rsidRPr="00AE48B7" w:rsidRDefault="00627EEE" w:rsidP="00AE48B7">
      <w:pPr>
        <w:pStyle w:val="FootnoteText"/>
      </w:pPr>
      <w:r>
        <w:rPr>
          <w:rStyle w:val="FootnoteReference"/>
        </w:rPr>
        <w:footnoteRef/>
      </w:r>
      <w:r>
        <w:t xml:space="preserve"> Roberts, ‘Hywel </w:t>
      </w:r>
      <w:proofErr w:type="spellStart"/>
      <w:r>
        <w:t>Dda</w:t>
      </w:r>
      <w:proofErr w:type="spellEnd"/>
      <w:r>
        <w:t>, Laws’ i</w:t>
      </w:r>
      <w:r w:rsidRPr="00AF1677">
        <w:t xml:space="preserve">n </w:t>
      </w:r>
      <w:r w:rsidRPr="00AF1677">
        <w:rPr>
          <w:i/>
          <w:iCs/>
        </w:rPr>
        <w:t>The Encyclopedia of Medieval Literature in Britain</w:t>
      </w:r>
      <w:r>
        <w:t xml:space="preserve">, </w:t>
      </w:r>
      <w:r w:rsidRPr="00AF1677">
        <w:t>ed</w:t>
      </w:r>
      <w:r>
        <w:t>. by</w:t>
      </w:r>
      <w:r w:rsidRPr="00AF1677">
        <w:t xml:space="preserve"> R</w:t>
      </w:r>
      <w:r>
        <w:t>obert</w:t>
      </w:r>
      <w:r w:rsidRPr="00AF1677">
        <w:t xml:space="preserve"> Rouse, S</w:t>
      </w:r>
      <w:r>
        <w:t>ian</w:t>
      </w:r>
      <w:r w:rsidRPr="00AF1677">
        <w:t xml:space="preserve"> </w:t>
      </w:r>
      <w:proofErr w:type="spellStart"/>
      <w:r w:rsidRPr="00AF1677">
        <w:t>Echard</w:t>
      </w:r>
      <w:proofErr w:type="spellEnd"/>
      <w:r w:rsidRPr="00AF1677">
        <w:t>, H</w:t>
      </w:r>
      <w:r>
        <w:t>elen</w:t>
      </w:r>
      <w:r w:rsidRPr="00AF1677">
        <w:t xml:space="preserve"> Fulton, G</w:t>
      </w:r>
      <w:r>
        <w:t>eoff</w:t>
      </w:r>
      <w:r w:rsidRPr="00AF1677">
        <w:t xml:space="preserve"> Rector and J</w:t>
      </w:r>
      <w:r>
        <w:t xml:space="preserve">acqueline </w:t>
      </w:r>
      <w:r w:rsidRPr="00AF1677">
        <w:t>A. Fay</w:t>
      </w:r>
      <w:r>
        <w:t xml:space="preserve">, </w:t>
      </w:r>
      <w:hyperlink r:id="rId4" w:history="1">
        <w:r w:rsidRPr="00AF1677">
          <w:rPr>
            <w:rStyle w:val="Hyperlink"/>
          </w:rPr>
          <w:t>https://doi.org/10.1002/9781118396957.wbemlb439</w:t>
        </w:r>
      </w:hyperlink>
      <w:r w:rsidR="00664F5D">
        <w:t>;</w:t>
      </w:r>
      <w:r w:rsidR="00AE48B7">
        <w:t xml:space="preserve"> </w:t>
      </w:r>
      <w:r w:rsidR="00AE48B7" w:rsidRPr="00AE48B7">
        <w:t>Sara Elin</w:t>
      </w:r>
      <w:r w:rsidR="00AE48B7">
        <w:t xml:space="preserve"> Roberts</w:t>
      </w:r>
      <w:r w:rsidR="00AE48B7" w:rsidRPr="00AE48B7">
        <w:t xml:space="preserve"> and Bryn Jones, ‘Manuscript Contents’, [n.d.] &lt; </w:t>
      </w:r>
      <w:hyperlink r:id="rId5" w:history="1">
        <w:r w:rsidR="00AE48B7" w:rsidRPr="00AE48B7">
          <w:rPr>
            <w:rStyle w:val="Hyperlink"/>
          </w:rPr>
          <w:t>https://www.cyfraith-hywel.org.uk/manuscript/contents</w:t>
        </w:r>
      </w:hyperlink>
      <w:r w:rsidR="00AE48B7" w:rsidRPr="00AE48B7">
        <w:t>&gt; [accessed 8 March 2026]</w:t>
      </w:r>
    </w:p>
    <w:p w:rsidR="00664F5D" w:rsidRDefault="00664F5D">
      <w:pPr>
        <w:pStyle w:val="FootnoteText"/>
      </w:pPr>
    </w:p>
  </w:footnote>
  <w:footnote w:id="10">
    <w:p w:rsidR="00C24FE7" w:rsidRDefault="00C24FE7">
      <w:pPr>
        <w:pStyle w:val="FootnoteText"/>
      </w:pPr>
      <w:r>
        <w:rPr>
          <w:rStyle w:val="FootnoteReference"/>
        </w:rPr>
        <w:footnoteRef/>
      </w:r>
      <w:r>
        <w:t xml:space="preserve"> Huw Pryce, </w:t>
      </w:r>
      <w:r w:rsidRPr="00C24FE7">
        <w:rPr>
          <w:i/>
          <w:iCs/>
        </w:rPr>
        <w:t>Native Law and the Church in Medieval Wales</w:t>
      </w:r>
      <w:r w:rsidRPr="00C24FE7">
        <w:t>,</w:t>
      </w:r>
      <w:r>
        <w:t xml:space="preserve"> online ed.</w:t>
      </w:r>
      <w:r w:rsidRPr="00C24FE7">
        <w:t xml:space="preserve"> </w:t>
      </w:r>
      <w:r>
        <w:t xml:space="preserve">(Oxford: </w:t>
      </w:r>
      <w:r w:rsidRPr="00C24FE7">
        <w:t>Oxford Historical</w:t>
      </w:r>
      <w:r>
        <w:t xml:space="preserve"> </w:t>
      </w:r>
      <w:r w:rsidRPr="00C24FE7">
        <w:t>Monographs</w:t>
      </w:r>
      <w:r>
        <w:t xml:space="preserve">, 1993), p. 16. </w:t>
      </w:r>
      <w:hyperlink r:id="rId6" w:history="1">
        <w:r w:rsidRPr="001B02EB">
          <w:rPr>
            <w:rStyle w:val="Hyperlink"/>
          </w:rPr>
          <w:t>https://doi-org.uwtsd.idm.oclc.org/10.1093/acprof:oso/9780198203629.001.0001</w:t>
        </w:r>
      </w:hyperlink>
      <w:r w:rsidRPr="00C24FE7">
        <w:t>, </w:t>
      </w:r>
      <w:r>
        <w:t>[</w:t>
      </w:r>
      <w:r w:rsidRPr="00C24FE7">
        <w:t>accessed 11 Mar</w:t>
      </w:r>
      <w:r>
        <w:t xml:space="preserve"> </w:t>
      </w:r>
      <w:r w:rsidRPr="00C24FE7">
        <w:t>2026</w:t>
      </w:r>
      <w:r>
        <w:t xml:space="preserve">]. </w:t>
      </w:r>
    </w:p>
  </w:footnote>
  <w:footnote w:id="11">
    <w:p w:rsidR="00855A53" w:rsidRDefault="00855A53" w:rsidP="00855A53">
      <w:pPr>
        <w:pStyle w:val="FootnoteText"/>
      </w:pPr>
      <w:r>
        <w:rPr>
          <w:rStyle w:val="FootnoteReference"/>
        </w:rPr>
        <w:footnoteRef/>
      </w:r>
      <w:r>
        <w:t xml:space="preserve"> R. R</w:t>
      </w:r>
      <w:r w:rsidR="00433ECB">
        <w:t>.</w:t>
      </w:r>
      <w:r>
        <w:t xml:space="preserve"> Davies, ‘The Status of Women and the Practice of Marriage in Late-Medieval Wales’, in </w:t>
      </w:r>
      <w:r w:rsidRPr="00CA1A86">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w:t>
      </w:r>
      <w:r w:rsidR="001330EB" w:rsidRPr="001330EB">
        <w:rPr>
          <w:sz w:val="24"/>
          <w:szCs w:val="24"/>
        </w:rPr>
        <w:t xml:space="preserve"> </w:t>
      </w:r>
      <w:r w:rsidR="001330EB" w:rsidRPr="001330EB">
        <w:t>pp. 106-130</w:t>
      </w:r>
      <w:r>
        <w:t xml:space="preserve"> </w:t>
      </w:r>
      <w:r w:rsidR="001330EB">
        <w:t>(</w:t>
      </w:r>
      <w:r>
        <w:t>p. 107</w:t>
      </w:r>
      <w:r w:rsidR="001330EB">
        <w:t>)</w:t>
      </w:r>
      <w:r>
        <w:t>.</w:t>
      </w:r>
    </w:p>
  </w:footnote>
  <w:footnote w:id="12">
    <w:p w:rsidR="00223C2D" w:rsidRDefault="00223C2D">
      <w:pPr>
        <w:pStyle w:val="FootnoteText"/>
      </w:pPr>
      <w:r>
        <w:rPr>
          <w:rStyle w:val="FootnoteReference"/>
        </w:rPr>
        <w:footnoteRef/>
      </w:r>
      <w:r>
        <w:t xml:space="preserve"> </w:t>
      </w:r>
      <w:r w:rsidR="00222BD0" w:rsidRPr="00222BD0">
        <w:t xml:space="preserve">José López </w:t>
      </w:r>
      <w:proofErr w:type="spellStart"/>
      <w:r w:rsidR="00222BD0" w:rsidRPr="00222BD0">
        <w:t>Sabatel</w:t>
      </w:r>
      <w:proofErr w:type="spellEnd"/>
      <w:r w:rsidR="00222BD0" w:rsidRPr="00222BD0">
        <w:t xml:space="preserve">, ‘Perception of Female Virginity in the Medieval West and its Conceptualisation in the Medieval Welsh Law Codes’, </w:t>
      </w:r>
      <w:r w:rsidR="00222BD0" w:rsidRPr="00222BD0">
        <w:rPr>
          <w:i/>
          <w:iCs/>
        </w:rPr>
        <w:t>MUSAS</w:t>
      </w:r>
      <w:r w:rsidR="00222BD0" w:rsidRPr="00222BD0">
        <w:t xml:space="preserve">, 5, (2020), (p. 103), </w:t>
      </w:r>
      <w:hyperlink r:id="rId7" w:history="1">
        <w:r w:rsidR="00222BD0" w:rsidRPr="00222BD0">
          <w:rPr>
            <w:rStyle w:val="Hyperlink"/>
          </w:rPr>
          <w:t>https://doi.org/10.1344/musas2020.vol5.num2.6</w:t>
        </w:r>
      </w:hyperlink>
    </w:p>
  </w:footnote>
  <w:footnote w:id="13">
    <w:p w:rsidR="008F416E" w:rsidRDefault="008F416E">
      <w:pPr>
        <w:pStyle w:val="FootnoteText"/>
      </w:pPr>
      <w:r>
        <w:rPr>
          <w:rStyle w:val="FootnoteReference"/>
        </w:rPr>
        <w:footnoteRef/>
      </w:r>
      <w:r>
        <w:t xml:space="preserve"> Christopher </w:t>
      </w:r>
      <w:proofErr w:type="spellStart"/>
      <w:r>
        <w:t>McAll</w:t>
      </w:r>
      <w:proofErr w:type="spellEnd"/>
      <w:r>
        <w:t xml:space="preserve">, ‘The Normal Paradigms of a Woman’s Life’, in </w:t>
      </w:r>
      <w:r w:rsidRPr="004D55FF">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w:t>
      </w:r>
      <w:r w:rsidRPr="00486C38">
        <w:t>pp. 7-24</w:t>
      </w:r>
      <w:r>
        <w:t xml:space="preserve"> (p. 9).</w:t>
      </w:r>
    </w:p>
  </w:footnote>
  <w:footnote w:id="14">
    <w:p w:rsidR="00203B5F" w:rsidRDefault="00203B5F">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 212</w:t>
      </w:r>
      <w:r w:rsidR="00433ECB">
        <w:t xml:space="preserve">, </w:t>
      </w:r>
      <w:r>
        <w:t>220-221</w:t>
      </w:r>
      <w:r w:rsidR="00F845C6">
        <w:t>.</w:t>
      </w:r>
    </w:p>
  </w:footnote>
  <w:footnote w:id="15">
    <w:p w:rsidR="00E3309B" w:rsidRDefault="00E3309B">
      <w:pPr>
        <w:pStyle w:val="FootnoteText"/>
      </w:pPr>
      <w:r>
        <w:rPr>
          <w:rStyle w:val="FootnoteReference"/>
        </w:rPr>
        <w:footnoteRef/>
      </w:r>
      <w:r>
        <w:t xml:space="preserve"> </w:t>
      </w:r>
      <w:r w:rsidR="00C303F3">
        <w:t xml:space="preserve">Cartwright, ‘Virginity and Chastity Tests in Medieval Welsh Prose’, in </w:t>
      </w:r>
      <w:r w:rsidR="00C303F3" w:rsidRPr="00451664">
        <w:rPr>
          <w:i/>
          <w:iCs/>
        </w:rPr>
        <w:t>Medieval Virginities</w:t>
      </w:r>
      <w:r w:rsidR="00C303F3">
        <w:t xml:space="preserve">, ed. by </w:t>
      </w:r>
      <w:proofErr w:type="spellStart"/>
      <w:r w:rsidR="00C303F3">
        <w:t>Anke</w:t>
      </w:r>
      <w:proofErr w:type="spellEnd"/>
      <w:r w:rsidR="00C303F3">
        <w:t xml:space="preserve"> </w:t>
      </w:r>
      <w:proofErr w:type="spellStart"/>
      <w:r w:rsidR="00C303F3">
        <w:t>Bernau</w:t>
      </w:r>
      <w:proofErr w:type="spellEnd"/>
      <w:r w:rsidR="00C303F3">
        <w:t>, Ruth Evans and Sarah Salih, p. 59.</w:t>
      </w:r>
    </w:p>
  </w:footnote>
  <w:footnote w:id="16">
    <w:p w:rsidR="00C94B2F" w:rsidRDefault="00C94B2F">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 173</w:t>
      </w:r>
      <w:r w:rsidR="002630DF">
        <w:t>.</w:t>
      </w:r>
    </w:p>
  </w:footnote>
  <w:footnote w:id="17">
    <w:p w:rsidR="00744EC5" w:rsidRDefault="00744EC5">
      <w:pPr>
        <w:pStyle w:val="FootnoteText"/>
      </w:pPr>
      <w:r>
        <w:rPr>
          <w:rStyle w:val="FootnoteReference"/>
        </w:rPr>
        <w:footnoteRef/>
      </w:r>
      <w:r>
        <w:t xml:space="preserve"> </w:t>
      </w:r>
      <w:r w:rsidR="00371CE5">
        <w:t xml:space="preserve">The research of Kathleen Coyne Kelly is </w:t>
      </w:r>
      <w:r w:rsidR="00E4702C">
        <w:t>cited</w:t>
      </w:r>
      <w:r w:rsidR="00371CE5">
        <w:t xml:space="preserve"> in </w:t>
      </w:r>
      <w:r>
        <w:t xml:space="preserve">Cartwright, ‘Virginity and Chastity Tests in Medieval Welsh Prose’, in </w:t>
      </w:r>
      <w:r w:rsidRPr="00451664">
        <w:rPr>
          <w:i/>
          <w:iCs/>
        </w:rPr>
        <w:t>Medieval Virginities</w:t>
      </w:r>
      <w:r>
        <w:t xml:space="preserve">, ed. by </w:t>
      </w:r>
      <w:proofErr w:type="spellStart"/>
      <w:r>
        <w:t>Anke</w:t>
      </w:r>
      <w:proofErr w:type="spellEnd"/>
      <w:r>
        <w:t xml:space="preserve"> </w:t>
      </w:r>
      <w:proofErr w:type="spellStart"/>
      <w:r>
        <w:t>Bernau</w:t>
      </w:r>
      <w:proofErr w:type="spellEnd"/>
      <w:r>
        <w:t>, Ruth Evans and Sarah Salih, p. 64.</w:t>
      </w:r>
    </w:p>
  </w:footnote>
  <w:footnote w:id="18">
    <w:p w:rsidR="00422E3D" w:rsidRDefault="00422E3D">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 175.</w:t>
      </w:r>
    </w:p>
  </w:footnote>
  <w:footnote w:id="19">
    <w:p w:rsidR="00842D64" w:rsidRDefault="00842D64">
      <w:pPr>
        <w:pStyle w:val="FootnoteText"/>
      </w:pPr>
      <w:r>
        <w:rPr>
          <w:rStyle w:val="FootnoteReference"/>
        </w:rPr>
        <w:footnoteRef/>
      </w:r>
      <w:r w:rsidR="00904506">
        <w:rPr>
          <w:i/>
          <w:iCs/>
        </w:rPr>
        <w:t xml:space="preserve"> </w:t>
      </w:r>
      <w:r w:rsidR="00E42D1C" w:rsidRPr="00DF3EBA">
        <w:rPr>
          <w:i/>
          <w:iCs/>
        </w:rPr>
        <w:t>The Welsh Law of Women</w:t>
      </w:r>
      <w:r w:rsidR="00E42D1C">
        <w:t xml:space="preserve">, ed. by </w:t>
      </w:r>
      <w:proofErr w:type="spellStart"/>
      <w:r w:rsidR="00E42D1C">
        <w:t>Dafydd</w:t>
      </w:r>
      <w:proofErr w:type="spellEnd"/>
      <w:r w:rsidR="00E42D1C">
        <w:t xml:space="preserve"> Jenkins and </w:t>
      </w:r>
      <w:proofErr w:type="spellStart"/>
      <w:r w:rsidR="00E42D1C">
        <w:t>Morfydd</w:t>
      </w:r>
      <w:proofErr w:type="spellEnd"/>
      <w:r w:rsidR="00E42D1C">
        <w:t xml:space="preserve"> E. Owen</w:t>
      </w:r>
      <w:r w:rsidR="00E42D1C">
        <w:t xml:space="preserve"> </w:t>
      </w:r>
      <w:r>
        <w:t>p. 175.</w:t>
      </w:r>
    </w:p>
  </w:footnote>
  <w:footnote w:id="20">
    <w:p w:rsidR="00230326" w:rsidRDefault="00230326">
      <w:pPr>
        <w:pStyle w:val="FootnoteText"/>
      </w:pPr>
      <w:r>
        <w:rPr>
          <w:rStyle w:val="FootnoteReference"/>
        </w:rPr>
        <w:footnoteRef/>
      </w:r>
      <w:r>
        <w:t xml:space="preserve"> Roberts, ‘Emerging from the Bushes: The Welsh Law of Women in the Legal Triads’, in </w:t>
      </w:r>
      <w:r w:rsidRPr="005E4B15">
        <w:rPr>
          <w:i/>
          <w:iCs/>
        </w:rPr>
        <w:t>Law, Literature and Society</w:t>
      </w:r>
      <w:r>
        <w:t xml:space="preserve">, ed. by Joseph F. </w:t>
      </w:r>
      <w:proofErr w:type="spellStart"/>
      <w:r>
        <w:t>Eska</w:t>
      </w:r>
      <w:proofErr w:type="spellEnd"/>
      <w:r>
        <w:t xml:space="preserve">, p. 71. </w:t>
      </w:r>
    </w:p>
  </w:footnote>
  <w:footnote w:id="21">
    <w:p w:rsidR="00E407D3" w:rsidRDefault="00E407D3">
      <w:pPr>
        <w:pStyle w:val="FootnoteText"/>
      </w:pPr>
      <w:r>
        <w:rPr>
          <w:rStyle w:val="FootnoteReference"/>
        </w:rPr>
        <w:footnoteRef/>
      </w:r>
      <w:r>
        <w:t xml:space="preserve"> </w:t>
      </w:r>
      <w:r w:rsidR="009E4518" w:rsidRPr="00394258">
        <w:rPr>
          <w:i/>
          <w:iCs/>
        </w:rPr>
        <w:t>ibid</w:t>
      </w:r>
      <w:r w:rsidR="009E4518">
        <w:t>.</w:t>
      </w:r>
      <w:r>
        <w:t>, p. 72.</w:t>
      </w:r>
    </w:p>
  </w:footnote>
  <w:footnote w:id="22">
    <w:p w:rsidR="00DC5791" w:rsidRDefault="00DC5791">
      <w:pPr>
        <w:pStyle w:val="FootnoteText"/>
      </w:pPr>
      <w:r>
        <w:rPr>
          <w:rStyle w:val="FootnoteReference"/>
        </w:rPr>
        <w:footnoteRef/>
      </w:r>
      <w:r>
        <w:t xml:space="preserve"> </w:t>
      </w:r>
      <w:r w:rsidRPr="00507272">
        <w:t>Robin Chapman</w:t>
      </w:r>
      <w:r>
        <w:t xml:space="preserve"> Stacey,</w:t>
      </w:r>
      <w:r w:rsidRPr="00507272">
        <w:t xml:space="preserve"> </w:t>
      </w:r>
      <w:r>
        <w:t>‘</w:t>
      </w:r>
      <w:r w:rsidRPr="00507272">
        <w:t>Divorce, Medieval Welsh Style</w:t>
      </w:r>
      <w:r>
        <w:t xml:space="preserve">’, </w:t>
      </w:r>
      <w:r w:rsidRPr="00DC5791">
        <w:rPr>
          <w:i/>
          <w:iCs/>
        </w:rPr>
        <w:t>Speculum</w:t>
      </w:r>
      <w:r>
        <w:t xml:space="preserve">, Vol. 77, No. 4, (2002), </w:t>
      </w:r>
      <w:r w:rsidRPr="00507272">
        <w:t>pp. 1107–27</w:t>
      </w:r>
      <w:r>
        <w:t xml:space="preserve">, (p. 1123), </w:t>
      </w:r>
      <w:r w:rsidRPr="00DC5791">
        <w:t xml:space="preserve">https://doi.org/10.2307/3301214. </w:t>
      </w:r>
    </w:p>
  </w:footnote>
  <w:footnote w:id="23">
    <w:p w:rsidR="001A5146" w:rsidRDefault="001A5146">
      <w:pPr>
        <w:pStyle w:val="FootnoteText"/>
      </w:pPr>
      <w:r>
        <w:rPr>
          <w:rStyle w:val="FootnoteReference"/>
        </w:rPr>
        <w:footnoteRef/>
      </w:r>
      <w:r>
        <w:t xml:space="preserve"> </w:t>
      </w:r>
      <w:r w:rsidR="00686110">
        <w:t xml:space="preserve">Cartwright, ‘Virginity and Chastity Tests in Medieval Welsh Prose’, in </w:t>
      </w:r>
      <w:r w:rsidR="00686110" w:rsidRPr="00451664">
        <w:rPr>
          <w:i/>
          <w:iCs/>
        </w:rPr>
        <w:t>Medieval Virginities</w:t>
      </w:r>
      <w:r w:rsidR="00686110">
        <w:t xml:space="preserve">, ed. by </w:t>
      </w:r>
      <w:proofErr w:type="spellStart"/>
      <w:r w:rsidR="00686110">
        <w:t>Anke</w:t>
      </w:r>
      <w:proofErr w:type="spellEnd"/>
      <w:r w:rsidR="00686110">
        <w:t xml:space="preserve"> </w:t>
      </w:r>
      <w:proofErr w:type="spellStart"/>
      <w:r w:rsidR="00686110">
        <w:t>Bernau</w:t>
      </w:r>
      <w:proofErr w:type="spellEnd"/>
      <w:r w:rsidR="00686110">
        <w:t>, Ruth Evans and Sarah Salih, pp. 69-73.</w:t>
      </w:r>
    </w:p>
  </w:footnote>
  <w:footnote w:id="24">
    <w:p w:rsidR="00D408E9" w:rsidRDefault="00D408E9">
      <w:pPr>
        <w:pStyle w:val="FootnoteText"/>
      </w:pPr>
      <w:r>
        <w:rPr>
          <w:rStyle w:val="FootnoteReference"/>
        </w:rPr>
        <w:footnoteRef/>
      </w:r>
      <w:r>
        <w:t xml:space="preserve"> Sian Webb, </w:t>
      </w:r>
      <w:r w:rsidR="00B72E56">
        <w:t xml:space="preserve">‘The Right Thing to be is a Virtuous Girl’, </w:t>
      </w:r>
      <w:r w:rsidR="00B72E56" w:rsidRPr="00B72E56">
        <w:rPr>
          <w:i/>
          <w:iCs/>
        </w:rPr>
        <w:t>Journal of Languages, Texts and Society</w:t>
      </w:r>
      <w:r w:rsidR="00B72E56">
        <w:t>, Vol. 3, (2019), 50-71, &lt;</w:t>
      </w:r>
      <w:r w:rsidR="00B72E56" w:rsidRPr="00B72E56">
        <w:t xml:space="preserve"> </w:t>
      </w:r>
      <w:hyperlink r:id="rId8" w:history="1">
        <w:r w:rsidR="00B72E56" w:rsidRPr="001B02EB">
          <w:rPr>
            <w:rStyle w:val="Hyperlink"/>
          </w:rPr>
          <w:t>https://www.nottingham.ac.uk/research/groups/languagestextssociety/documents/lts-journal/issue-3/webb-women-in-medieval-wales-lts-issue3.pdf</w:t>
        </w:r>
      </w:hyperlink>
      <w:r w:rsidR="00B72E56">
        <w:t>&gt; [accessed 15 March 2026]</w:t>
      </w:r>
    </w:p>
  </w:footnote>
  <w:footnote w:id="25">
    <w:p w:rsidR="004D55FF" w:rsidRDefault="004D55FF">
      <w:pPr>
        <w:pStyle w:val="FootnoteText"/>
      </w:pPr>
      <w:r>
        <w:rPr>
          <w:rStyle w:val="FootnoteReference"/>
        </w:rPr>
        <w:footnoteRef/>
      </w:r>
      <w:r>
        <w:t xml:space="preserve"> T. M. Charles Edwards, ‘Nau </w:t>
      </w:r>
      <w:proofErr w:type="spellStart"/>
      <w:r>
        <w:t>Kynywedi</w:t>
      </w:r>
      <w:proofErr w:type="spellEnd"/>
      <w:r>
        <w:t xml:space="preserve"> </w:t>
      </w:r>
      <w:proofErr w:type="spellStart"/>
      <w:r>
        <w:t>Teithiauc</w:t>
      </w:r>
      <w:proofErr w:type="spellEnd"/>
      <w:r>
        <w:t xml:space="preserve">’, in </w:t>
      </w:r>
      <w:r w:rsidRPr="004D55FF">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w:t>
      </w:r>
      <w:r w:rsidR="001558DA">
        <w:t xml:space="preserve"> pp. 25-43,</w:t>
      </w:r>
      <w:r>
        <w:t xml:space="preserve"> </w:t>
      </w:r>
      <w:r w:rsidR="001558DA">
        <w:t>(</w:t>
      </w:r>
      <w:r>
        <w:t>p</w:t>
      </w:r>
      <w:r w:rsidR="001558DA">
        <w:t>p</w:t>
      </w:r>
      <w:r>
        <w:t>. 39-40</w:t>
      </w:r>
      <w:r w:rsidR="001558DA">
        <w:t>)</w:t>
      </w:r>
      <w:r w:rsidR="0071453E">
        <w:t>.</w:t>
      </w:r>
    </w:p>
  </w:footnote>
  <w:footnote w:id="26">
    <w:p w:rsidR="003A2A6A" w:rsidRDefault="003A2A6A">
      <w:pPr>
        <w:pStyle w:val="FootnoteText"/>
      </w:pPr>
      <w:r>
        <w:rPr>
          <w:rStyle w:val="FootnoteReference"/>
        </w:rPr>
        <w:footnoteRef/>
      </w:r>
      <w:r>
        <w:t xml:space="preserve"> Cartwright, ‘Virginity and Chastity Tests in Medieval Welsh Prose’, in </w:t>
      </w:r>
      <w:r w:rsidRPr="00451664">
        <w:rPr>
          <w:i/>
          <w:iCs/>
        </w:rPr>
        <w:t>Medieval Virginities</w:t>
      </w:r>
      <w:r>
        <w:t xml:space="preserve">, ed. by </w:t>
      </w:r>
      <w:proofErr w:type="spellStart"/>
      <w:r>
        <w:t>Anke</w:t>
      </w:r>
      <w:proofErr w:type="spellEnd"/>
      <w:r>
        <w:t xml:space="preserve"> </w:t>
      </w:r>
      <w:proofErr w:type="spellStart"/>
      <w:r>
        <w:t>Bernau</w:t>
      </w:r>
      <w:proofErr w:type="spellEnd"/>
      <w:r>
        <w:t>, Ruth Evans and Sarah Salih, p. 56.</w:t>
      </w:r>
    </w:p>
  </w:footnote>
  <w:footnote w:id="27">
    <w:p w:rsidR="005F61F0" w:rsidRDefault="005F61F0">
      <w:pPr>
        <w:pStyle w:val="FootnoteText"/>
      </w:pPr>
      <w:r>
        <w:rPr>
          <w:rStyle w:val="FootnoteReference"/>
        </w:rPr>
        <w:footnoteRef/>
      </w:r>
      <w:r>
        <w:t xml:space="preserve"> Sara Elin Roberts, ‘Seeking the Middle-Aged Woman in Medieval Wales’, in </w:t>
      </w:r>
      <w:r w:rsidRPr="001A32CC">
        <w:rPr>
          <w:i/>
          <w:iCs/>
        </w:rPr>
        <w:t>Middle-Aged Women in the Middle Ages</w:t>
      </w:r>
      <w:r>
        <w:rPr>
          <w:i/>
          <w:iCs/>
        </w:rPr>
        <w:t xml:space="preserve">, </w:t>
      </w:r>
      <w:r>
        <w:t xml:space="preserve">ed. by </w:t>
      </w:r>
      <w:r w:rsidRPr="001A32CC">
        <w:t xml:space="preserve">Sue </w:t>
      </w:r>
      <w:proofErr w:type="spellStart"/>
      <w:r w:rsidRPr="001A32CC">
        <w:t>Niebrzydowski</w:t>
      </w:r>
      <w:proofErr w:type="spellEnd"/>
      <w:r>
        <w:t xml:space="preserve"> (Boydell &amp; Brewer, 2023), pp. 25-36 (p. 33).</w:t>
      </w:r>
    </w:p>
  </w:footnote>
  <w:footnote w:id="28">
    <w:p w:rsidR="00386394" w:rsidRDefault="00386394">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 199.</w:t>
      </w:r>
    </w:p>
  </w:footnote>
  <w:footnote w:id="29">
    <w:p w:rsidR="00386394" w:rsidRDefault="00386394">
      <w:pPr>
        <w:pStyle w:val="FootnoteText"/>
      </w:pPr>
      <w:r>
        <w:rPr>
          <w:rStyle w:val="FootnoteReference"/>
        </w:rPr>
        <w:footnoteRef/>
      </w:r>
      <w:r>
        <w:t xml:space="preserve"> </w:t>
      </w:r>
      <w:proofErr w:type="spellStart"/>
      <w:r>
        <w:t>McAll</w:t>
      </w:r>
      <w:proofErr w:type="spellEnd"/>
      <w:r>
        <w:t xml:space="preserve">, ‘The Normal Paradigms of a Woman’s Life’, in </w:t>
      </w:r>
      <w:r w:rsidRPr="004D55FF">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pp. 17-18</w:t>
      </w:r>
      <w:r w:rsidR="00B05251">
        <w:t xml:space="preserve">. </w:t>
      </w:r>
    </w:p>
  </w:footnote>
  <w:footnote w:id="30">
    <w:p w:rsidR="003B2633" w:rsidRPr="00486C38" w:rsidRDefault="003B2633">
      <w:pPr>
        <w:pStyle w:val="FootnoteText"/>
      </w:pPr>
      <w:r>
        <w:rPr>
          <w:rStyle w:val="FootnoteReference"/>
        </w:rPr>
        <w:footnoteRef/>
      </w:r>
      <w:r>
        <w:t xml:space="preserve"> </w:t>
      </w:r>
      <w:r w:rsidR="002E60B9" w:rsidRPr="00CF39C5">
        <w:rPr>
          <w:i/>
          <w:iCs/>
        </w:rPr>
        <w:t>ibid</w:t>
      </w:r>
      <w:r w:rsidR="002E60B9">
        <w:t>.</w:t>
      </w:r>
      <w:r w:rsidR="006D558E" w:rsidRPr="00486C38">
        <w:t>,</w:t>
      </w:r>
      <w:r w:rsidR="00486C38" w:rsidRPr="00486C38">
        <w:t xml:space="preserve"> </w:t>
      </w:r>
      <w:r w:rsidR="006D558E" w:rsidRPr="00486C38">
        <w:t>p.</w:t>
      </w:r>
      <w:r w:rsidR="00284AFF" w:rsidRPr="00486C38">
        <w:t xml:space="preserve"> </w:t>
      </w:r>
      <w:r w:rsidR="006D558E" w:rsidRPr="00486C38">
        <w:t>21.</w:t>
      </w:r>
    </w:p>
  </w:footnote>
  <w:footnote w:id="31">
    <w:p w:rsidR="00DD671D" w:rsidRDefault="00DD671D">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 1</w:t>
      </w:r>
      <w:r w:rsidR="004C0809">
        <w:t>77</w:t>
      </w:r>
      <w:r>
        <w:t>.</w:t>
      </w:r>
    </w:p>
  </w:footnote>
  <w:footnote w:id="32">
    <w:p w:rsidR="007522A2" w:rsidRDefault="007522A2">
      <w:pPr>
        <w:pStyle w:val="FootnoteText"/>
      </w:pPr>
      <w:r>
        <w:rPr>
          <w:rStyle w:val="FootnoteReference"/>
        </w:rPr>
        <w:footnoteRef/>
      </w:r>
      <w:r>
        <w:t xml:space="preserve"> </w:t>
      </w:r>
      <w:proofErr w:type="spellStart"/>
      <w:r w:rsidR="004C0809" w:rsidRPr="00486C38">
        <w:t>McAll</w:t>
      </w:r>
      <w:proofErr w:type="spellEnd"/>
      <w:r w:rsidR="004C0809" w:rsidRPr="00486C38">
        <w:t xml:space="preserve">, ‘The Normal Paradigms of a Woman’s Life’, in </w:t>
      </w:r>
      <w:r w:rsidR="004C0809" w:rsidRPr="00486C38">
        <w:rPr>
          <w:i/>
          <w:iCs/>
        </w:rPr>
        <w:t>The Welsh Law of Women</w:t>
      </w:r>
      <w:r w:rsidR="004C0809" w:rsidRPr="00486C38">
        <w:t xml:space="preserve">, ed. by </w:t>
      </w:r>
      <w:proofErr w:type="spellStart"/>
      <w:r w:rsidR="004C0809" w:rsidRPr="00486C38">
        <w:t>Dafydd</w:t>
      </w:r>
      <w:proofErr w:type="spellEnd"/>
      <w:r w:rsidR="004C0809" w:rsidRPr="00486C38">
        <w:t xml:space="preserve"> Jenkins and </w:t>
      </w:r>
      <w:proofErr w:type="spellStart"/>
      <w:r w:rsidR="004C0809" w:rsidRPr="00486C38">
        <w:t>Morfydd</w:t>
      </w:r>
      <w:proofErr w:type="spellEnd"/>
      <w:r w:rsidR="004C0809" w:rsidRPr="00486C38">
        <w:t xml:space="preserve"> E. Owen, </w:t>
      </w:r>
      <w:r>
        <w:t>p. 58.</w:t>
      </w:r>
    </w:p>
  </w:footnote>
  <w:footnote w:id="33">
    <w:p w:rsidR="00FF32F8" w:rsidRDefault="00FF32F8">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 195.</w:t>
      </w:r>
    </w:p>
  </w:footnote>
  <w:footnote w:id="34">
    <w:p w:rsidR="000376C1" w:rsidRDefault="000376C1">
      <w:pPr>
        <w:pStyle w:val="FootnoteText"/>
      </w:pPr>
      <w:r>
        <w:rPr>
          <w:rStyle w:val="FootnoteReference"/>
        </w:rPr>
        <w:footnoteRef/>
      </w:r>
      <w:r>
        <w:t xml:space="preserve"> </w:t>
      </w:r>
      <w:r w:rsidR="00E639E4">
        <w:t>i</w:t>
      </w:r>
      <w:r>
        <w:t>bid., p. 195.</w:t>
      </w:r>
    </w:p>
  </w:footnote>
  <w:footnote w:id="35">
    <w:p w:rsidR="00E96F9E" w:rsidRDefault="00E96F9E">
      <w:pPr>
        <w:pStyle w:val="FootnoteText"/>
      </w:pPr>
      <w:r>
        <w:rPr>
          <w:rStyle w:val="FootnoteReference"/>
        </w:rPr>
        <w:footnoteRef/>
      </w:r>
      <w:r>
        <w:t xml:space="preserve"> </w:t>
      </w:r>
      <w:r w:rsidR="004C352C">
        <w:rPr>
          <w:i/>
          <w:iCs/>
        </w:rPr>
        <w:t>ibid.</w:t>
      </w:r>
      <w:r>
        <w:t xml:space="preserve">, p. 195. </w:t>
      </w:r>
    </w:p>
  </w:footnote>
  <w:footnote w:id="36">
    <w:p w:rsidR="0011048A" w:rsidRDefault="0011048A">
      <w:pPr>
        <w:pStyle w:val="FootnoteText"/>
      </w:pPr>
      <w:r>
        <w:rPr>
          <w:rStyle w:val="FootnoteReference"/>
        </w:rPr>
        <w:footnoteRef/>
      </w:r>
      <w:r>
        <w:t xml:space="preserve"> </w:t>
      </w:r>
      <w:proofErr w:type="spellStart"/>
      <w:r>
        <w:t>Morfydd</w:t>
      </w:r>
      <w:proofErr w:type="spellEnd"/>
      <w:r>
        <w:t xml:space="preserve"> E. Owen, ‘Shame and Reparation: Woman’s Place in the Kin’, in </w:t>
      </w:r>
      <w:r w:rsidRPr="004D55FF">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pp. 44-77 (p. 58).</w:t>
      </w:r>
    </w:p>
  </w:footnote>
  <w:footnote w:id="37">
    <w:p w:rsidR="00A6366C" w:rsidRDefault="00A6366C">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 195.</w:t>
      </w:r>
    </w:p>
  </w:footnote>
  <w:footnote w:id="38">
    <w:p w:rsidR="006D0FC6" w:rsidRDefault="006D0FC6">
      <w:pPr>
        <w:pStyle w:val="FootnoteText"/>
      </w:pPr>
      <w:r>
        <w:rPr>
          <w:rStyle w:val="FootnoteReference"/>
        </w:rPr>
        <w:footnoteRef/>
      </w:r>
      <w:r w:rsidR="00DC2BF5">
        <w:t xml:space="preserve"> </w:t>
      </w:r>
      <w:r>
        <w:t xml:space="preserve">Owen, ‘Shame and Reparation: Woman’s Place in the Kin’, in </w:t>
      </w:r>
      <w:r w:rsidRPr="004D55FF">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w:t>
      </w:r>
      <w:r w:rsidR="00041F32">
        <w:t xml:space="preserve"> </w:t>
      </w:r>
      <w:r>
        <w:t>p. 56.</w:t>
      </w:r>
    </w:p>
  </w:footnote>
  <w:footnote w:id="39">
    <w:p w:rsidR="0027147F" w:rsidRDefault="0027147F">
      <w:pPr>
        <w:pStyle w:val="FootnoteText"/>
      </w:pPr>
      <w:r>
        <w:rPr>
          <w:rStyle w:val="FootnoteReference"/>
        </w:rPr>
        <w:footnoteRef/>
      </w:r>
      <w:r>
        <w:t xml:space="preserve"> </w:t>
      </w:r>
      <w:r w:rsidR="00A517EE" w:rsidRPr="00A517EE">
        <w:rPr>
          <w:i/>
          <w:iCs/>
        </w:rPr>
        <w:t>ibid</w:t>
      </w:r>
      <w:r>
        <w:t xml:space="preserve">, p. </w:t>
      </w:r>
      <w:r w:rsidR="00840C67">
        <w:t>44</w:t>
      </w:r>
      <w:r>
        <w:t>.</w:t>
      </w:r>
    </w:p>
  </w:footnote>
  <w:footnote w:id="40">
    <w:p w:rsidR="00EE27EA" w:rsidRDefault="00EE27EA">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 228.</w:t>
      </w:r>
    </w:p>
  </w:footnote>
  <w:footnote w:id="41">
    <w:p w:rsidR="00AF53E3" w:rsidRDefault="00AF53E3">
      <w:pPr>
        <w:pStyle w:val="FootnoteText"/>
      </w:pPr>
      <w:r>
        <w:rPr>
          <w:rStyle w:val="FootnoteReference"/>
        </w:rPr>
        <w:footnoteRef/>
      </w:r>
      <w:r>
        <w:t xml:space="preserve"> </w:t>
      </w:r>
      <w:r w:rsidR="00E42D1C" w:rsidRPr="00DF3EBA">
        <w:rPr>
          <w:i/>
          <w:iCs/>
        </w:rPr>
        <w:t>The Welsh Law of Women</w:t>
      </w:r>
      <w:r w:rsidR="00E42D1C">
        <w:t xml:space="preserve">, ed. by </w:t>
      </w:r>
      <w:proofErr w:type="spellStart"/>
      <w:r w:rsidR="00E42D1C">
        <w:t>Dafydd</w:t>
      </w:r>
      <w:proofErr w:type="spellEnd"/>
      <w:r w:rsidR="00E42D1C">
        <w:t xml:space="preserve"> Jenkins and </w:t>
      </w:r>
      <w:proofErr w:type="spellStart"/>
      <w:r w:rsidR="00E42D1C">
        <w:t>Morfydd</w:t>
      </w:r>
      <w:proofErr w:type="spellEnd"/>
      <w:r w:rsidR="00E42D1C">
        <w:t xml:space="preserve"> E. Owen</w:t>
      </w:r>
      <w:r>
        <w:t>, p</w:t>
      </w:r>
      <w:r w:rsidR="00377C83">
        <w:t>p. 46,</w:t>
      </w:r>
      <w:r>
        <w:t xml:space="preserve"> 242.</w:t>
      </w:r>
    </w:p>
  </w:footnote>
  <w:footnote w:id="42">
    <w:p w:rsidR="00E71625" w:rsidRDefault="00E71625">
      <w:pPr>
        <w:pStyle w:val="FootnoteText"/>
      </w:pPr>
      <w:r>
        <w:rPr>
          <w:rStyle w:val="FootnoteReference"/>
        </w:rPr>
        <w:footnoteRef/>
      </w:r>
      <w:r>
        <w:t xml:space="preserve"> </w:t>
      </w:r>
      <w:r w:rsidR="00607397">
        <w:t xml:space="preserve">Owen, ‘Shame and Reparation: Woman’s Place in the Kin’, in </w:t>
      </w:r>
      <w:r w:rsidR="00607397" w:rsidRPr="004D55FF">
        <w:rPr>
          <w:i/>
          <w:iCs/>
        </w:rPr>
        <w:t>The Welsh Law of Women</w:t>
      </w:r>
      <w:r w:rsidR="00607397">
        <w:t xml:space="preserve">, ed. by </w:t>
      </w:r>
      <w:proofErr w:type="spellStart"/>
      <w:r w:rsidR="00607397">
        <w:t>Dafydd</w:t>
      </w:r>
      <w:proofErr w:type="spellEnd"/>
      <w:r w:rsidR="00607397">
        <w:t xml:space="preserve"> Jenkins and </w:t>
      </w:r>
      <w:proofErr w:type="spellStart"/>
      <w:r w:rsidR="00607397">
        <w:t>Morfydd</w:t>
      </w:r>
      <w:proofErr w:type="spellEnd"/>
      <w:r w:rsidR="00607397">
        <w:t xml:space="preserve"> E. Owen, p. 46-47.</w:t>
      </w:r>
    </w:p>
  </w:footnote>
  <w:footnote w:id="43">
    <w:p w:rsidR="001E2DED" w:rsidRDefault="001E2DED">
      <w:pPr>
        <w:pStyle w:val="FootnoteText"/>
      </w:pPr>
      <w:r>
        <w:rPr>
          <w:rStyle w:val="FootnoteReference"/>
        </w:rPr>
        <w:footnoteRef/>
      </w:r>
      <w:r>
        <w:t xml:space="preserve"> Archives Wales, ‘Beards in the Archives’, 30 November 2022 &lt;</w:t>
      </w:r>
      <w:r w:rsidRPr="001E2DED">
        <w:t xml:space="preserve"> </w:t>
      </w:r>
      <w:hyperlink r:id="rId9" w:history="1">
        <w:r w:rsidRPr="001B02EB">
          <w:rPr>
            <w:rStyle w:val="Hyperlink"/>
          </w:rPr>
          <w:t>https://archives.wales/2022/11/30/beards-in-the-archives</w:t>
        </w:r>
      </w:hyperlink>
      <w:r>
        <w:t>&gt; [accessed 11 March 2026] (para. 3 of 19).</w:t>
      </w:r>
    </w:p>
  </w:footnote>
  <w:footnote w:id="44">
    <w:p w:rsidR="005021E6" w:rsidRDefault="005021E6">
      <w:pPr>
        <w:pStyle w:val="FootnoteText"/>
      </w:pPr>
      <w:r>
        <w:rPr>
          <w:rStyle w:val="FootnoteReference"/>
        </w:rPr>
        <w:footnoteRef/>
      </w:r>
      <w:r>
        <w:t xml:space="preserve"> Roberts, ‘Emerging from the Bushes: The Welsh Law of Women in the Legal Triads’, in </w:t>
      </w:r>
      <w:r w:rsidRPr="005E4B15">
        <w:rPr>
          <w:i/>
          <w:iCs/>
        </w:rPr>
        <w:t>Law, Literature and Society</w:t>
      </w:r>
      <w:r>
        <w:t xml:space="preserve">, ed. by Joseph F. </w:t>
      </w:r>
      <w:proofErr w:type="spellStart"/>
      <w:r>
        <w:t>Eska</w:t>
      </w:r>
      <w:proofErr w:type="spellEnd"/>
      <w:r>
        <w:t xml:space="preserve">, p. 68. </w:t>
      </w:r>
    </w:p>
  </w:footnote>
  <w:footnote w:id="45">
    <w:p w:rsidR="006551FE" w:rsidRDefault="006551FE">
      <w:pPr>
        <w:pStyle w:val="FootnoteText"/>
      </w:pPr>
      <w:r>
        <w:rPr>
          <w:rStyle w:val="FootnoteReference"/>
        </w:rPr>
        <w:footnoteRef/>
      </w:r>
      <w:r>
        <w:t xml:space="preserve"> </w:t>
      </w:r>
      <w:r w:rsidR="005E69BA" w:rsidRPr="003B1424">
        <w:rPr>
          <w:i/>
          <w:iCs/>
        </w:rPr>
        <w:t>ibid</w:t>
      </w:r>
      <w:r w:rsidR="005E69BA">
        <w:t>.</w:t>
      </w:r>
      <w:r>
        <w:t xml:space="preserve">, p. 68. </w:t>
      </w:r>
    </w:p>
  </w:footnote>
  <w:footnote w:id="46">
    <w:p w:rsidR="00777D87" w:rsidRDefault="00777D87">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w:t>
      </w:r>
      <w:r w:rsidR="00E42D1C">
        <w:t xml:space="preserve"> </w:t>
      </w:r>
      <w:r>
        <w:t>p. 189.</w:t>
      </w:r>
    </w:p>
  </w:footnote>
  <w:footnote w:id="47">
    <w:p w:rsidR="0096122A" w:rsidRDefault="0096122A">
      <w:pPr>
        <w:pStyle w:val="FootnoteText"/>
      </w:pPr>
      <w:r>
        <w:rPr>
          <w:rStyle w:val="FootnoteReference"/>
        </w:rPr>
        <w:footnoteRef/>
      </w:r>
      <w:r>
        <w:t xml:space="preserve"> Roberts, ‘Emerging from the Bushes: The Welsh Law of Women in the Legal Triads’, in </w:t>
      </w:r>
      <w:r w:rsidRPr="005E4B15">
        <w:rPr>
          <w:i/>
          <w:iCs/>
        </w:rPr>
        <w:t>Law, Literature and Society</w:t>
      </w:r>
      <w:r>
        <w:t xml:space="preserve">, ed. by Joseph F. </w:t>
      </w:r>
      <w:proofErr w:type="spellStart"/>
      <w:r>
        <w:t>Eska</w:t>
      </w:r>
      <w:proofErr w:type="spellEnd"/>
      <w:r>
        <w:t>, p. 66.</w:t>
      </w:r>
    </w:p>
  </w:footnote>
  <w:footnote w:id="48">
    <w:p w:rsidR="007605B4" w:rsidRDefault="007605B4">
      <w:pPr>
        <w:pStyle w:val="FootnoteText"/>
      </w:pPr>
      <w:r>
        <w:rPr>
          <w:rStyle w:val="FootnoteReference"/>
        </w:rPr>
        <w:footnoteRef/>
      </w:r>
      <w:r>
        <w:t xml:space="preserve"> </w:t>
      </w:r>
      <w:r w:rsidRPr="003B1424">
        <w:rPr>
          <w:i/>
          <w:iCs/>
        </w:rPr>
        <w:t>ibid</w:t>
      </w:r>
      <w:r>
        <w:t>, p</w:t>
      </w:r>
      <w:r w:rsidR="003B1424">
        <w:t>p</w:t>
      </w:r>
      <w:r>
        <w:t>. 66-67.</w:t>
      </w:r>
    </w:p>
  </w:footnote>
  <w:footnote w:id="49">
    <w:p w:rsidR="00815EA3" w:rsidRDefault="00815EA3">
      <w:pPr>
        <w:pStyle w:val="FootnoteText"/>
      </w:pPr>
      <w:r>
        <w:rPr>
          <w:rStyle w:val="FootnoteReference"/>
        </w:rPr>
        <w:footnoteRef/>
      </w:r>
      <w:r>
        <w:t xml:space="preserve"> Owen, ‘Shame and Reparation: Woman’s Place in the Kin’, in </w:t>
      </w:r>
      <w:r w:rsidRPr="004D55FF">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pp. 55-56, 60.</w:t>
      </w:r>
    </w:p>
  </w:footnote>
  <w:footnote w:id="50">
    <w:p w:rsidR="002D7C2B" w:rsidRDefault="002D7C2B">
      <w:pPr>
        <w:pStyle w:val="FootnoteText"/>
      </w:pPr>
      <w:r>
        <w:rPr>
          <w:rStyle w:val="FootnoteReference"/>
        </w:rPr>
        <w:footnoteRef/>
      </w:r>
      <w:r>
        <w:t xml:space="preserve"> </w:t>
      </w:r>
      <w:r w:rsidR="003B6936">
        <w:t>ibid.</w:t>
      </w:r>
      <w:r>
        <w:t>, p. 44.</w:t>
      </w:r>
    </w:p>
  </w:footnote>
  <w:footnote w:id="51">
    <w:p w:rsidR="005B13CB" w:rsidRDefault="005B13CB">
      <w:pPr>
        <w:pStyle w:val="FootnoteText"/>
      </w:pPr>
      <w:r>
        <w:rPr>
          <w:rStyle w:val="FootnoteReference"/>
        </w:rPr>
        <w:footnoteRef/>
      </w:r>
      <w:r>
        <w:t xml:space="preserve"> Roberts, ‘Emerging from the Bushes: The Welsh Law of Women in the Legal Triads’, in </w:t>
      </w:r>
      <w:r w:rsidRPr="005E4B15">
        <w:rPr>
          <w:i/>
          <w:iCs/>
        </w:rPr>
        <w:t>Law, Literature and Society</w:t>
      </w:r>
      <w:r>
        <w:t xml:space="preserve">, ed. by Joseph F. </w:t>
      </w:r>
      <w:proofErr w:type="spellStart"/>
      <w:r>
        <w:t>Eska</w:t>
      </w:r>
      <w:proofErr w:type="spellEnd"/>
      <w:r>
        <w:t>, p. 67.</w:t>
      </w:r>
    </w:p>
  </w:footnote>
  <w:footnote w:id="52">
    <w:p w:rsidR="00C57C22" w:rsidRDefault="00C57C22">
      <w:pPr>
        <w:pStyle w:val="FootnoteText"/>
      </w:pPr>
      <w:r>
        <w:rPr>
          <w:rStyle w:val="FootnoteReference"/>
        </w:rPr>
        <w:footnoteRef/>
      </w:r>
      <w:r>
        <w:t xml:space="preserve"> </w:t>
      </w:r>
      <w:r w:rsidRPr="00C57C22">
        <w:rPr>
          <w:i/>
          <w:iCs/>
        </w:rPr>
        <w:t>ibid</w:t>
      </w:r>
      <w:r>
        <w:t>., p. 67.</w:t>
      </w:r>
    </w:p>
  </w:footnote>
  <w:footnote w:id="53">
    <w:p w:rsidR="008810BF" w:rsidRDefault="008810BF">
      <w:pPr>
        <w:pStyle w:val="FootnoteText"/>
      </w:pPr>
      <w:r>
        <w:rPr>
          <w:rStyle w:val="FootnoteReference"/>
        </w:rPr>
        <w:footnoteRef/>
      </w:r>
      <w:r>
        <w:t xml:space="preserve"> </w:t>
      </w:r>
      <w:r w:rsidRPr="008810BF">
        <w:t xml:space="preserve">Sara Elin Roberts, ‘Far More Things Forbidden’ – Medieval Women in Wales. Lecture presented for The Honourable Society of </w:t>
      </w:r>
      <w:proofErr w:type="spellStart"/>
      <w:r w:rsidRPr="008810BF">
        <w:t>Cymmrodorion</w:t>
      </w:r>
      <w:proofErr w:type="spellEnd"/>
      <w:r w:rsidRPr="008810BF">
        <w:t xml:space="preserve"> (22 March 2022). </w:t>
      </w:r>
      <w:hyperlink r:id="rId10" w:history="1">
        <w:r w:rsidRPr="008810BF">
          <w:rPr>
            <w:rStyle w:val="Hyperlink"/>
          </w:rPr>
          <w:t>https://www.cymmrodorion.org/talk/far-more-things-forbidden-women-in-medieval-wales</w:t>
        </w:r>
      </w:hyperlink>
      <w:r w:rsidRPr="008810BF">
        <w:t xml:space="preserve">, [accessed 7 March 2026]. </w:t>
      </w:r>
    </w:p>
  </w:footnote>
  <w:footnote w:id="54">
    <w:p w:rsidR="00D53EC5" w:rsidRDefault="00D53EC5">
      <w:pPr>
        <w:pStyle w:val="FootnoteText"/>
      </w:pPr>
      <w:r>
        <w:rPr>
          <w:rStyle w:val="FootnoteReference"/>
        </w:rPr>
        <w:footnoteRef/>
      </w:r>
      <w:r>
        <w:t xml:space="preserve"> </w:t>
      </w:r>
      <w:r w:rsidR="009600CB">
        <w:t xml:space="preserve">For a discussion on the varied meaning of the term ‘divorce’ see </w:t>
      </w:r>
      <w:r>
        <w:t xml:space="preserve">D. B Walters, ‘The European Legal Context’, in </w:t>
      </w:r>
      <w:r w:rsidRPr="004D55FF">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w:t>
      </w:r>
      <w:r w:rsidR="008D4B05">
        <w:t xml:space="preserve"> pp. 131-150</w:t>
      </w:r>
      <w:r>
        <w:t xml:space="preserve"> </w:t>
      </w:r>
      <w:r w:rsidR="008D4B05">
        <w:t>(</w:t>
      </w:r>
      <w:r>
        <w:t>p. 138</w:t>
      </w:r>
      <w:r w:rsidR="008D4B05">
        <w:t>)</w:t>
      </w:r>
      <w:r>
        <w:t>.</w:t>
      </w:r>
    </w:p>
  </w:footnote>
  <w:footnote w:id="55">
    <w:p w:rsidR="006E59EF" w:rsidRDefault="006E59EF">
      <w:pPr>
        <w:pStyle w:val="FootnoteText"/>
      </w:pPr>
      <w:r>
        <w:rPr>
          <w:rStyle w:val="FootnoteReference"/>
        </w:rPr>
        <w:footnoteRef/>
      </w:r>
      <w:r>
        <w:t xml:space="preserve"> </w:t>
      </w:r>
      <w:r w:rsidR="000751D1">
        <w:rPr>
          <w:i/>
          <w:iCs/>
        </w:rPr>
        <w:t>ibid.</w:t>
      </w:r>
      <w:r>
        <w:t>,</w:t>
      </w:r>
      <w:r w:rsidR="0029017C">
        <w:t xml:space="preserve"> </w:t>
      </w:r>
      <w:r>
        <w:t>p. 159</w:t>
      </w:r>
      <w:r w:rsidR="00D663B4">
        <w:t xml:space="preserve">; </w:t>
      </w:r>
      <w:proofErr w:type="spellStart"/>
      <w:r w:rsidR="00D663B4">
        <w:t>McAll</w:t>
      </w:r>
      <w:proofErr w:type="spellEnd"/>
      <w:r w:rsidR="00D663B4">
        <w:t xml:space="preserve">, ‘The Normal Paradigms of a Woman’s Life’, in </w:t>
      </w:r>
      <w:r w:rsidR="00D663B4" w:rsidRPr="004D55FF">
        <w:rPr>
          <w:i/>
          <w:iCs/>
        </w:rPr>
        <w:t>The Welsh Law of Women</w:t>
      </w:r>
      <w:r w:rsidR="00D663B4">
        <w:t xml:space="preserve">, ed. by </w:t>
      </w:r>
      <w:proofErr w:type="spellStart"/>
      <w:r w:rsidR="00D663B4">
        <w:t>Dafydd</w:t>
      </w:r>
      <w:proofErr w:type="spellEnd"/>
      <w:r w:rsidR="00D663B4">
        <w:t xml:space="preserve"> Jenkins and </w:t>
      </w:r>
      <w:proofErr w:type="spellStart"/>
      <w:r w:rsidR="00D663B4">
        <w:t>Morfydd</w:t>
      </w:r>
      <w:proofErr w:type="spellEnd"/>
      <w:r w:rsidR="00D663B4">
        <w:t xml:space="preserve"> E. Owen, p</w:t>
      </w:r>
      <w:r w:rsidR="009645BF">
        <w:t>p</w:t>
      </w:r>
      <w:r w:rsidR="00D663B4">
        <w:t>. 20-21.</w:t>
      </w:r>
      <w:r w:rsidR="0029017C">
        <w:t xml:space="preserve"> For how a woman should prove her husband’s impotence see p. 199</w:t>
      </w:r>
      <w:r w:rsidR="0027467C">
        <w:t>-200</w:t>
      </w:r>
      <w:r w:rsidR="0029017C">
        <w:t>.</w:t>
      </w:r>
    </w:p>
  </w:footnote>
  <w:footnote w:id="56">
    <w:p w:rsidR="003B4FF5" w:rsidRDefault="003B4FF5">
      <w:pPr>
        <w:pStyle w:val="FootnoteText"/>
      </w:pPr>
      <w:r>
        <w:rPr>
          <w:rStyle w:val="FootnoteReference"/>
        </w:rPr>
        <w:footnoteRef/>
      </w:r>
      <w:r>
        <w:t xml:space="preserve"> Roberts, ‘Emerging from the Bushes: The Welsh Law of Women in the Legal Triads’, in </w:t>
      </w:r>
      <w:r w:rsidRPr="005E4B15">
        <w:rPr>
          <w:i/>
          <w:iCs/>
        </w:rPr>
        <w:t>Law, Literature and Society</w:t>
      </w:r>
      <w:r>
        <w:t xml:space="preserve">, ed. by Joseph F. </w:t>
      </w:r>
      <w:proofErr w:type="spellStart"/>
      <w:r>
        <w:t>Eska</w:t>
      </w:r>
      <w:proofErr w:type="spellEnd"/>
      <w:r>
        <w:t xml:space="preserve">, p. 63. </w:t>
      </w:r>
    </w:p>
  </w:footnote>
  <w:footnote w:id="57">
    <w:p w:rsidR="00BD411B" w:rsidRDefault="00BD411B">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Owen, p. 179.</w:t>
      </w:r>
    </w:p>
  </w:footnote>
  <w:footnote w:id="58">
    <w:p w:rsidR="00DA1E9D" w:rsidRDefault="00DA1E9D">
      <w:pPr>
        <w:pStyle w:val="FootnoteText"/>
      </w:pPr>
      <w:r>
        <w:rPr>
          <w:rStyle w:val="FootnoteReference"/>
        </w:rPr>
        <w:footnoteRef/>
      </w:r>
      <w:r>
        <w:t xml:space="preserve"> </w:t>
      </w:r>
      <w:r w:rsidR="00764568">
        <w:rPr>
          <w:i/>
          <w:iCs/>
        </w:rPr>
        <w:t>ibid.</w:t>
      </w:r>
      <w:r>
        <w:t>, p. 1</w:t>
      </w:r>
      <w:r w:rsidR="00936C11">
        <w:t>59.</w:t>
      </w:r>
    </w:p>
  </w:footnote>
  <w:footnote w:id="59">
    <w:p w:rsidR="00BD5A34" w:rsidRDefault="00BD5A34">
      <w:pPr>
        <w:pStyle w:val="FootnoteText"/>
      </w:pPr>
      <w:r>
        <w:rPr>
          <w:rStyle w:val="FootnoteReference"/>
        </w:rPr>
        <w:footnoteRef/>
      </w:r>
      <w:r>
        <w:t xml:space="preserve"> </w:t>
      </w:r>
      <w:r w:rsidR="00643B72">
        <w:rPr>
          <w:i/>
          <w:iCs/>
        </w:rPr>
        <w:t>ibid.</w:t>
      </w:r>
      <w:r>
        <w:t>, p. 189.</w:t>
      </w:r>
    </w:p>
  </w:footnote>
  <w:footnote w:id="60">
    <w:p w:rsidR="00B36282" w:rsidRDefault="00B36282">
      <w:pPr>
        <w:pStyle w:val="FootnoteText"/>
      </w:pPr>
      <w:r>
        <w:rPr>
          <w:rStyle w:val="FootnoteReference"/>
        </w:rPr>
        <w:footnoteRef/>
      </w:r>
      <w:r>
        <w:t xml:space="preserve"> Roberts, ‘Emerging from the Bushes: The Welsh Law of Women in the Legal Triads’, in </w:t>
      </w:r>
      <w:r w:rsidRPr="005E4B15">
        <w:rPr>
          <w:i/>
          <w:iCs/>
        </w:rPr>
        <w:t>Law, Literature and Society</w:t>
      </w:r>
      <w:r>
        <w:t xml:space="preserve">, ed. by Joseph F. </w:t>
      </w:r>
      <w:proofErr w:type="spellStart"/>
      <w:r>
        <w:t>Eska</w:t>
      </w:r>
      <w:proofErr w:type="spellEnd"/>
      <w:r>
        <w:t>, p. 71.</w:t>
      </w:r>
    </w:p>
  </w:footnote>
  <w:footnote w:id="61">
    <w:p w:rsidR="00FB396F" w:rsidRDefault="00FB396F">
      <w:pPr>
        <w:pStyle w:val="FootnoteText"/>
      </w:pPr>
      <w:r>
        <w:rPr>
          <w:rStyle w:val="FootnoteReference"/>
        </w:rPr>
        <w:footnoteRef/>
      </w:r>
      <w:r>
        <w:t xml:space="preserve"> </w:t>
      </w:r>
      <w:r w:rsidRPr="00DF3EBA">
        <w:rPr>
          <w:i/>
          <w:iCs/>
        </w:rPr>
        <w:t>The Welsh Law of Women</w:t>
      </w:r>
      <w:r>
        <w:t xml:space="preserve">, ed. by </w:t>
      </w:r>
      <w:proofErr w:type="spellStart"/>
      <w:r>
        <w:t>Dafydd</w:t>
      </w:r>
      <w:proofErr w:type="spellEnd"/>
      <w:r>
        <w:t xml:space="preserve"> Jenkins and </w:t>
      </w:r>
      <w:proofErr w:type="spellStart"/>
      <w:r>
        <w:t>Morfydd</w:t>
      </w:r>
      <w:proofErr w:type="spellEnd"/>
      <w:r>
        <w:t xml:space="preserve"> E. </w:t>
      </w:r>
      <w:proofErr w:type="spellStart"/>
      <w:r>
        <w:t>Owen,p</w:t>
      </w:r>
      <w:proofErr w:type="spellEnd"/>
      <w:r>
        <w:t>. 185.</w:t>
      </w:r>
    </w:p>
  </w:footnote>
  <w:footnote w:id="62">
    <w:p w:rsidR="004910A4" w:rsidRDefault="004910A4">
      <w:pPr>
        <w:pStyle w:val="FootnoteText"/>
      </w:pPr>
      <w:r>
        <w:rPr>
          <w:rStyle w:val="FootnoteReference"/>
        </w:rPr>
        <w:footnoteRef/>
      </w:r>
      <w:r>
        <w:t xml:space="preserve"> </w:t>
      </w:r>
      <w:r w:rsidR="0037452A">
        <w:rPr>
          <w:i/>
          <w:iCs/>
        </w:rPr>
        <w:t>ibid.</w:t>
      </w:r>
      <w:r>
        <w:t>, p</w:t>
      </w:r>
      <w:r w:rsidR="00E1060D">
        <w:t>p</w:t>
      </w:r>
      <w:r>
        <w:t>. 185-187.</w:t>
      </w:r>
    </w:p>
  </w:footnote>
  <w:footnote w:id="63">
    <w:p w:rsidR="006E4A61" w:rsidRDefault="006E4A61">
      <w:pPr>
        <w:pStyle w:val="FootnoteText"/>
      </w:pPr>
      <w:r>
        <w:rPr>
          <w:rStyle w:val="FootnoteReference"/>
        </w:rPr>
        <w:footnoteRef/>
      </w:r>
      <w:r>
        <w:t xml:space="preserve"> </w:t>
      </w:r>
      <w:r w:rsidRPr="00507272">
        <w:t>Robin Chapman</w:t>
      </w:r>
      <w:r>
        <w:t xml:space="preserve"> Stacey,</w:t>
      </w:r>
      <w:r w:rsidRPr="00507272">
        <w:t xml:space="preserve"> </w:t>
      </w:r>
      <w:r>
        <w:t>‘</w:t>
      </w:r>
      <w:r w:rsidRPr="00507272">
        <w:t>Divorce, Medieval Welsh Style</w:t>
      </w:r>
      <w:r>
        <w:t xml:space="preserve">’ </w:t>
      </w:r>
      <w:r w:rsidRPr="00507272">
        <w:t>pp. 1107–27</w:t>
      </w:r>
      <w:r>
        <w:t>.</w:t>
      </w:r>
    </w:p>
  </w:footnote>
  <w:footnote w:id="64">
    <w:p w:rsidR="007822B7" w:rsidRDefault="007822B7">
      <w:pPr>
        <w:pStyle w:val="FootnoteText"/>
      </w:pPr>
      <w:r>
        <w:rPr>
          <w:rStyle w:val="FootnoteReference"/>
        </w:rPr>
        <w:footnoteRef/>
      </w:r>
      <w:r>
        <w:t xml:space="preserve"> </w:t>
      </w:r>
      <w:r w:rsidR="00BB66C7" w:rsidRPr="00507272">
        <w:t>Robin Chapman</w:t>
      </w:r>
      <w:r w:rsidR="00BB66C7">
        <w:t xml:space="preserve"> Stacey,</w:t>
      </w:r>
      <w:r w:rsidR="00BB66C7" w:rsidRPr="00507272">
        <w:t xml:space="preserve"> </w:t>
      </w:r>
      <w:r w:rsidR="00BB66C7">
        <w:t>‘</w:t>
      </w:r>
      <w:r w:rsidR="00BB66C7" w:rsidRPr="00507272">
        <w:t>Divorce, Medieval Welsh Style</w:t>
      </w:r>
      <w:r w:rsidR="00BB66C7">
        <w:t>’</w:t>
      </w:r>
      <w:r w:rsidR="00BB66C7">
        <w:t xml:space="preserve"> </w:t>
      </w:r>
      <w:r w:rsidRPr="00507272">
        <w:t>p. 11</w:t>
      </w:r>
      <w:r>
        <w:t>16.</w:t>
      </w:r>
    </w:p>
  </w:footnote>
  <w:footnote w:id="65">
    <w:p w:rsidR="00151910" w:rsidRDefault="00151910">
      <w:pPr>
        <w:pStyle w:val="FootnoteText"/>
      </w:pPr>
      <w:r>
        <w:rPr>
          <w:rStyle w:val="FootnoteReference"/>
        </w:rPr>
        <w:footnoteRef/>
      </w:r>
      <w:r>
        <w:t xml:space="preserve"> </w:t>
      </w:r>
      <w:r w:rsidR="00BB24D1" w:rsidRPr="00E42D1C">
        <w:rPr>
          <w:i/>
          <w:iCs/>
        </w:rPr>
        <w:t>ibid</w:t>
      </w:r>
      <w:r w:rsidR="00BB24D1">
        <w:t>.,</w:t>
      </w:r>
      <w:r>
        <w:t xml:space="preserve"> </w:t>
      </w:r>
      <w:r w:rsidRPr="00507272">
        <w:t>p. 11</w:t>
      </w:r>
      <w:r>
        <w:t>14.</w:t>
      </w:r>
    </w:p>
  </w:footnote>
  <w:footnote w:id="66">
    <w:p w:rsidR="00467385" w:rsidRDefault="00467385">
      <w:pPr>
        <w:pStyle w:val="FootnoteText"/>
      </w:pPr>
      <w:r>
        <w:rPr>
          <w:rStyle w:val="FootnoteReference"/>
        </w:rPr>
        <w:footnoteRef/>
      </w:r>
      <w:r>
        <w:t xml:space="preserve"> </w:t>
      </w:r>
      <w:r w:rsidR="00DA6068" w:rsidRPr="00E42D1C">
        <w:rPr>
          <w:i/>
          <w:iCs/>
        </w:rPr>
        <w:t>ibid</w:t>
      </w:r>
      <w:r w:rsidR="00DA6068">
        <w:t>.,</w:t>
      </w:r>
      <w:r>
        <w:t xml:space="preserve"> </w:t>
      </w:r>
      <w:r w:rsidRPr="00507272">
        <w:t>pp. 11</w:t>
      </w:r>
      <w:r>
        <w:t>19</w:t>
      </w:r>
      <w:r w:rsidR="00502EC6">
        <w:t>, 1122</w:t>
      </w:r>
      <w:r>
        <w:t>.</w:t>
      </w:r>
    </w:p>
  </w:footnote>
  <w:footnote w:id="67">
    <w:p w:rsidR="001A32CC" w:rsidRPr="001A32CC" w:rsidRDefault="001A32CC" w:rsidP="001A32CC">
      <w:pPr>
        <w:pStyle w:val="FootnoteText"/>
      </w:pPr>
      <w:r>
        <w:rPr>
          <w:rStyle w:val="FootnoteReference"/>
        </w:rPr>
        <w:footnoteRef/>
      </w:r>
      <w:r>
        <w:t xml:space="preserve"> Roberts, ‘Seeking the Middle-Aged Woman in Medieval Wales’, in </w:t>
      </w:r>
      <w:r w:rsidRPr="001A32CC">
        <w:rPr>
          <w:i/>
          <w:iCs/>
        </w:rPr>
        <w:t>Middle-Aged Women in the Middle Ages</w:t>
      </w:r>
      <w:r>
        <w:rPr>
          <w:i/>
          <w:iCs/>
        </w:rPr>
        <w:t xml:space="preserve">, </w:t>
      </w:r>
      <w:r>
        <w:t xml:space="preserve">ed. by </w:t>
      </w:r>
      <w:r w:rsidRPr="001A32CC">
        <w:t xml:space="preserve">Sue </w:t>
      </w:r>
      <w:proofErr w:type="spellStart"/>
      <w:r w:rsidRPr="001A32CC">
        <w:t>Niebrzydowski</w:t>
      </w:r>
      <w:proofErr w:type="spellEnd"/>
      <w:r w:rsidR="00D3466B">
        <w:t xml:space="preserve">, </w:t>
      </w:r>
      <w:r>
        <w:t>p. 33.</w:t>
      </w:r>
    </w:p>
    <w:p w:rsidR="001A32CC" w:rsidRPr="001A32CC" w:rsidRDefault="001A32CC">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039"/>
    <w:rsid w:val="0000071D"/>
    <w:rsid w:val="00000A24"/>
    <w:rsid w:val="00005092"/>
    <w:rsid w:val="00006182"/>
    <w:rsid w:val="000064AC"/>
    <w:rsid w:val="00006FBF"/>
    <w:rsid w:val="0000776D"/>
    <w:rsid w:val="00007D54"/>
    <w:rsid w:val="0001361A"/>
    <w:rsid w:val="000162A4"/>
    <w:rsid w:val="00016730"/>
    <w:rsid w:val="00023AC4"/>
    <w:rsid w:val="00024B0C"/>
    <w:rsid w:val="00032B75"/>
    <w:rsid w:val="00033894"/>
    <w:rsid w:val="000349D3"/>
    <w:rsid w:val="000376C1"/>
    <w:rsid w:val="00040303"/>
    <w:rsid w:val="00041F32"/>
    <w:rsid w:val="0004284D"/>
    <w:rsid w:val="00042E5E"/>
    <w:rsid w:val="00052509"/>
    <w:rsid w:val="00053D98"/>
    <w:rsid w:val="00061055"/>
    <w:rsid w:val="00061909"/>
    <w:rsid w:val="00062359"/>
    <w:rsid w:val="00063913"/>
    <w:rsid w:val="00065FC9"/>
    <w:rsid w:val="0006632F"/>
    <w:rsid w:val="0006778C"/>
    <w:rsid w:val="0007496E"/>
    <w:rsid w:val="000751D1"/>
    <w:rsid w:val="0007696C"/>
    <w:rsid w:val="00080017"/>
    <w:rsid w:val="00080127"/>
    <w:rsid w:val="0008226B"/>
    <w:rsid w:val="00082329"/>
    <w:rsid w:val="00082686"/>
    <w:rsid w:val="0008745D"/>
    <w:rsid w:val="000879B8"/>
    <w:rsid w:val="00087D3A"/>
    <w:rsid w:val="000900A8"/>
    <w:rsid w:val="0009169F"/>
    <w:rsid w:val="000948DB"/>
    <w:rsid w:val="00095D88"/>
    <w:rsid w:val="000A412D"/>
    <w:rsid w:val="000B0CCF"/>
    <w:rsid w:val="000B0D44"/>
    <w:rsid w:val="000B3993"/>
    <w:rsid w:val="000B5BA3"/>
    <w:rsid w:val="000B60AE"/>
    <w:rsid w:val="000B77F4"/>
    <w:rsid w:val="000B7C6F"/>
    <w:rsid w:val="000C1031"/>
    <w:rsid w:val="000C3523"/>
    <w:rsid w:val="000C3C48"/>
    <w:rsid w:val="000C68EA"/>
    <w:rsid w:val="000C7B70"/>
    <w:rsid w:val="000D00F0"/>
    <w:rsid w:val="000E02AA"/>
    <w:rsid w:val="000E2576"/>
    <w:rsid w:val="000E65CD"/>
    <w:rsid w:val="000F1A7D"/>
    <w:rsid w:val="000F1E49"/>
    <w:rsid w:val="000F2A51"/>
    <w:rsid w:val="000F2EFE"/>
    <w:rsid w:val="000F3B3A"/>
    <w:rsid w:val="000F3E1A"/>
    <w:rsid w:val="000F47AC"/>
    <w:rsid w:val="0010399F"/>
    <w:rsid w:val="0010471C"/>
    <w:rsid w:val="00105219"/>
    <w:rsid w:val="0011048A"/>
    <w:rsid w:val="0011178D"/>
    <w:rsid w:val="0011416C"/>
    <w:rsid w:val="0011433E"/>
    <w:rsid w:val="00116763"/>
    <w:rsid w:val="00117583"/>
    <w:rsid w:val="0012146E"/>
    <w:rsid w:val="00127500"/>
    <w:rsid w:val="00131EE7"/>
    <w:rsid w:val="001330EB"/>
    <w:rsid w:val="001333FC"/>
    <w:rsid w:val="00134C26"/>
    <w:rsid w:val="00134E2A"/>
    <w:rsid w:val="00136CA4"/>
    <w:rsid w:val="00137161"/>
    <w:rsid w:val="0013746F"/>
    <w:rsid w:val="00146CCF"/>
    <w:rsid w:val="001502AD"/>
    <w:rsid w:val="001511A2"/>
    <w:rsid w:val="00151910"/>
    <w:rsid w:val="00154CB9"/>
    <w:rsid w:val="00154DCF"/>
    <w:rsid w:val="00155033"/>
    <w:rsid w:val="001558DA"/>
    <w:rsid w:val="00155E31"/>
    <w:rsid w:val="001621E5"/>
    <w:rsid w:val="00165896"/>
    <w:rsid w:val="00165E60"/>
    <w:rsid w:val="00166B9D"/>
    <w:rsid w:val="00166CA4"/>
    <w:rsid w:val="00171E1C"/>
    <w:rsid w:val="00171E4A"/>
    <w:rsid w:val="00173DFA"/>
    <w:rsid w:val="001772F8"/>
    <w:rsid w:val="00184247"/>
    <w:rsid w:val="00186E3B"/>
    <w:rsid w:val="00192FE2"/>
    <w:rsid w:val="00194974"/>
    <w:rsid w:val="00196055"/>
    <w:rsid w:val="00196AC3"/>
    <w:rsid w:val="00197015"/>
    <w:rsid w:val="001A1986"/>
    <w:rsid w:val="001A1D3C"/>
    <w:rsid w:val="001A1EE9"/>
    <w:rsid w:val="001A233C"/>
    <w:rsid w:val="001A32CC"/>
    <w:rsid w:val="001A504A"/>
    <w:rsid w:val="001A5146"/>
    <w:rsid w:val="001A5302"/>
    <w:rsid w:val="001A7D11"/>
    <w:rsid w:val="001A7D6E"/>
    <w:rsid w:val="001B052A"/>
    <w:rsid w:val="001B0FE3"/>
    <w:rsid w:val="001B2612"/>
    <w:rsid w:val="001B4B42"/>
    <w:rsid w:val="001B5851"/>
    <w:rsid w:val="001B769A"/>
    <w:rsid w:val="001C33C9"/>
    <w:rsid w:val="001C7FD9"/>
    <w:rsid w:val="001D0550"/>
    <w:rsid w:val="001D0FFD"/>
    <w:rsid w:val="001D1C2C"/>
    <w:rsid w:val="001D4E1E"/>
    <w:rsid w:val="001E0DFF"/>
    <w:rsid w:val="001E25A5"/>
    <w:rsid w:val="001E2DED"/>
    <w:rsid w:val="001E3EA7"/>
    <w:rsid w:val="001E6619"/>
    <w:rsid w:val="001F0DC5"/>
    <w:rsid w:val="001F2322"/>
    <w:rsid w:val="001F24C0"/>
    <w:rsid w:val="00201B0B"/>
    <w:rsid w:val="002024C8"/>
    <w:rsid w:val="00203B5F"/>
    <w:rsid w:val="00206797"/>
    <w:rsid w:val="002103CA"/>
    <w:rsid w:val="0022091A"/>
    <w:rsid w:val="00222BD0"/>
    <w:rsid w:val="00223C2D"/>
    <w:rsid w:val="0022656B"/>
    <w:rsid w:val="00230326"/>
    <w:rsid w:val="00233039"/>
    <w:rsid w:val="0023641E"/>
    <w:rsid w:val="00242AA4"/>
    <w:rsid w:val="0024635D"/>
    <w:rsid w:val="00246ABF"/>
    <w:rsid w:val="00246C4D"/>
    <w:rsid w:val="00250571"/>
    <w:rsid w:val="002516E9"/>
    <w:rsid w:val="00252BBB"/>
    <w:rsid w:val="00253C67"/>
    <w:rsid w:val="00255F47"/>
    <w:rsid w:val="00260541"/>
    <w:rsid w:val="002630DF"/>
    <w:rsid w:val="0026358C"/>
    <w:rsid w:val="002659B4"/>
    <w:rsid w:val="0027147F"/>
    <w:rsid w:val="00271EEC"/>
    <w:rsid w:val="002727AC"/>
    <w:rsid w:val="00273059"/>
    <w:rsid w:val="0027467C"/>
    <w:rsid w:val="00283775"/>
    <w:rsid w:val="00283DA9"/>
    <w:rsid w:val="00284AFF"/>
    <w:rsid w:val="002863C5"/>
    <w:rsid w:val="0029017C"/>
    <w:rsid w:val="00293FFA"/>
    <w:rsid w:val="0029788D"/>
    <w:rsid w:val="00297B34"/>
    <w:rsid w:val="002A30DF"/>
    <w:rsid w:val="002A631D"/>
    <w:rsid w:val="002A6332"/>
    <w:rsid w:val="002A6807"/>
    <w:rsid w:val="002A6CE7"/>
    <w:rsid w:val="002B389F"/>
    <w:rsid w:val="002B4FCD"/>
    <w:rsid w:val="002B52A4"/>
    <w:rsid w:val="002B75DE"/>
    <w:rsid w:val="002C1007"/>
    <w:rsid w:val="002C15F5"/>
    <w:rsid w:val="002C3796"/>
    <w:rsid w:val="002C5805"/>
    <w:rsid w:val="002D47A0"/>
    <w:rsid w:val="002D51CB"/>
    <w:rsid w:val="002D6620"/>
    <w:rsid w:val="002D7C2B"/>
    <w:rsid w:val="002E3965"/>
    <w:rsid w:val="002E60B9"/>
    <w:rsid w:val="002E6BDD"/>
    <w:rsid w:val="002F0875"/>
    <w:rsid w:val="0030133A"/>
    <w:rsid w:val="00303FC2"/>
    <w:rsid w:val="0030488D"/>
    <w:rsid w:val="00307139"/>
    <w:rsid w:val="00312E47"/>
    <w:rsid w:val="0031322B"/>
    <w:rsid w:val="00317121"/>
    <w:rsid w:val="003175F5"/>
    <w:rsid w:val="00320621"/>
    <w:rsid w:val="003215BB"/>
    <w:rsid w:val="00326650"/>
    <w:rsid w:val="00330E76"/>
    <w:rsid w:val="00331679"/>
    <w:rsid w:val="00331A51"/>
    <w:rsid w:val="00334D5A"/>
    <w:rsid w:val="00335122"/>
    <w:rsid w:val="003352BE"/>
    <w:rsid w:val="00335EB0"/>
    <w:rsid w:val="00336F33"/>
    <w:rsid w:val="00340F07"/>
    <w:rsid w:val="00341680"/>
    <w:rsid w:val="00341917"/>
    <w:rsid w:val="00341AD3"/>
    <w:rsid w:val="00341CC6"/>
    <w:rsid w:val="00342EA6"/>
    <w:rsid w:val="003454D0"/>
    <w:rsid w:val="00345D97"/>
    <w:rsid w:val="00356B98"/>
    <w:rsid w:val="0035753D"/>
    <w:rsid w:val="00365CDD"/>
    <w:rsid w:val="003663E2"/>
    <w:rsid w:val="0036736F"/>
    <w:rsid w:val="00371CE5"/>
    <w:rsid w:val="00373A1D"/>
    <w:rsid w:val="0037452A"/>
    <w:rsid w:val="00374EBC"/>
    <w:rsid w:val="00375659"/>
    <w:rsid w:val="0037714A"/>
    <w:rsid w:val="00377C83"/>
    <w:rsid w:val="00380810"/>
    <w:rsid w:val="00381493"/>
    <w:rsid w:val="0038149A"/>
    <w:rsid w:val="00381719"/>
    <w:rsid w:val="00386394"/>
    <w:rsid w:val="00390187"/>
    <w:rsid w:val="00390769"/>
    <w:rsid w:val="003921D7"/>
    <w:rsid w:val="00394258"/>
    <w:rsid w:val="00394882"/>
    <w:rsid w:val="003A0AC4"/>
    <w:rsid w:val="003A2A6A"/>
    <w:rsid w:val="003A6ECC"/>
    <w:rsid w:val="003B1424"/>
    <w:rsid w:val="003B2633"/>
    <w:rsid w:val="003B28B8"/>
    <w:rsid w:val="003B4FF5"/>
    <w:rsid w:val="003B56C2"/>
    <w:rsid w:val="003B6936"/>
    <w:rsid w:val="003C0628"/>
    <w:rsid w:val="003C1B97"/>
    <w:rsid w:val="003C2B26"/>
    <w:rsid w:val="003C40C3"/>
    <w:rsid w:val="003D33E9"/>
    <w:rsid w:val="003D36CA"/>
    <w:rsid w:val="003D3958"/>
    <w:rsid w:val="003D3A4F"/>
    <w:rsid w:val="003D4676"/>
    <w:rsid w:val="003D6118"/>
    <w:rsid w:val="003D6C35"/>
    <w:rsid w:val="003E148A"/>
    <w:rsid w:val="003E28F9"/>
    <w:rsid w:val="003F52C5"/>
    <w:rsid w:val="003F6378"/>
    <w:rsid w:val="00404622"/>
    <w:rsid w:val="00407291"/>
    <w:rsid w:val="00407B5A"/>
    <w:rsid w:val="00410AFE"/>
    <w:rsid w:val="00412FB1"/>
    <w:rsid w:val="00415693"/>
    <w:rsid w:val="0041725B"/>
    <w:rsid w:val="00422E3D"/>
    <w:rsid w:val="004239A5"/>
    <w:rsid w:val="00427E5A"/>
    <w:rsid w:val="00431A8D"/>
    <w:rsid w:val="00432E30"/>
    <w:rsid w:val="00433ECB"/>
    <w:rsid w:val="00436239"/>
    <w:rsid w:val="00437434"/>
    <w:rsid w:val="004400FD"/>
    <w:rsid w:val="00440A03"/>
    <w:rsid w:val="0044680A"/>
    <w:rsid w:val="00447589"/>
    <w:rsid w:val="004507A9"/>
    <w:rsid w:val="00451376"/>
    <w:rsid w:val="00451664"/>
    <w:rsid w:val="00454A1F"/>
    <w:rsid w:val="00456FFE"/>
    <w:rsid w:val="0046155D"/>
    <w:rsid w:val="0046705D"/>
    <w:rsid w:val="00467385"/>
    <w:rsid w:val="00470D4D"/>
    <w:rsid w:val="004736F0"/>
    <w:rsid w:val="00473E65"/>
    <w:rsid w:val="00473FE2"/>
    <w:rsid w:val="00476E3A"/>
    <w:rsid w:val="0047732B"/>
    <w:rsid w:val="00481CBF"/>
    <w:rsid w:val="004852C6"/>
    <w:rsid w:val="00486274"/>
    <w:rsid w:val="00486C38"/>
    <w:rsid w:val="0048721E"/>
    <w:rsid w:val="004910A4"/>
    <w:rsid w:val="004924CE"/>
    <w:rsid w:val="00495E52"/>
    <w:rsid w:val="00496D5A"/>
    <w:rsid w:val="004976B6"/>
    <w:rsid w:val="004A1F47"/>
    <w:rsid w:val="004A217D"/>
    <w:rsid w:val="004A2C86"/>
    <w:rsid w:val="004A3881"/>
    <w:rsid w:val="004A4296"/>
    <w:rsid w:val="004A6A74"/>
    <w:rsid w:val="004B153E"/>
    <w:rsid w:val="004B3927"/>
    <w:rsid w:val="004B4AC6"/>
    <w:rsid w:val="004B4D43"/>
    <w:rsid w:val="004B669E"/>
    <w:rsid w:val="004B6F96"/>
    <w:rsid w:val="004B73E7"/>
    <w:rsid w:val="004B79A3"/>
    <w:rsid w:val="004C0809"/>
    <w:rsid w:val="004C3029"/>
    <w:rsid w:val="004C346C"/>
    <w:rsid w:val="004C352C"/>
    <w:rsid w:val="004C3701"/>
    <w:rsid w:val="004C66DB"/>
    <w:rsid w:val="004D37BE"/>
    <w:rsid w:val="004D55FF"/>
    <w:rsid w:val="004D74E6"/>
    <w:rsid w:val="004D75C5"/>
    <w:rsid w:val="004E0586"/>
    <w:rsid w:val="004E1ECF"/>
    <w:rsid w:val="004E21FC"/>
    <w:rsid w:val="004E3532"/>
    <w:rsid w:val="004E4A96"/>
    <w:rsid w:val="004E4CAB"/>
    <w:rsid w:val="004E5A1D"/>
    <w:rsid w:val="004E6CDD"/>
    <w:rsid w:val="004E75A8"/>
    <w:rsid w:val="004F2109"/>
    <w:rsid w:val="004F43AA"/>
    <w:rsid w:val="004F452C"/>
    <w:rsid w:val="00501E32"/>
    <w:rsid w:val="005021E6"/>
    <w:rsid w:val="00502AA1"/>
    <w:rsid w:val="00502EC6"/>
    <w:rsid w:val="0050459E"/>
    <w:rsid w:val="00504EB9"/>
    <w:rsid w:val="00506323"/>
    <w:rsid w:val="00506548"/>
    <w:rsid w:val="0050701B"/>
    <w:rsid w:val="00507272"/>
    <w:rsid w:val="005126C3"/>
    <w:rsid w:val="00515281"/>
    <w:rsid w:val="00515532"/>
    <w:rsid w:val="005167FD"/>
    <w:rsid w:val="005217F2"/>
    <w:rsid w:val="00522120"/>
    <w:rsid w:val="00522719"/>
    <w:rsid w:val="005267E1"/>
    <w:rsid w:val="005279D5"/>
    <w:rsid w:val="00530D63"/>
    <w:rsid w:val="00534CB6"/>
    <w:rsid w:val="0053519C"/>
    <w:rsid w:val="00535620"/>
    <w:rsid w:val="00536A00"/>
    <w:rsid w:val="00537A04"/>
    <w:rsid w:val="0054064B"/>
    <w:rsid w:val="00541B03"/>
    <w:rsid w:val="00544A45"/>
    <w:rsid w:val="00554FA9"/>
    <w:rsid w:val="00555242"/>
    <w:rsid w:val="005603F8"/>
    <w:rsid w:val="00562611"/>
    <w:rsid w:val="00567022"/>
    <w:rsid w:val="00567A4C"/>
    <w:rsid w:val="00580625"/>
    <w:rsid w:val="00580941"/>
    <w:rsid w:val="00583F3A"/>
    <w:rsid w:val="0059047B"/>
    <w:rsid w:val="005917D4"/>
    <w:rsid w:val="00591F95"/>
    <w:rsid w:val="00592645"/>
    <w:rsid w:val="00593B9B"/>
    <w:rsid w:val="00594FC3"/>
    <w:rsid w:val="005A24BC"/>
    <w:rsid w:val="005A2768"/>
    <w:rsid w:val="005A43B6"/>
    <w:rsid w:val="005A5901"/>
    <w:rsid w:val="005A730B"/>
    <w:rsid w:val="005B13BD"/>
    <w:rsid w:val="005B13CB"/>
    <w:rsid w:val="005B3D87"/>
    <w:rsid w:val="005B3E0B"/>
    <w:rsid w:val="005B6ED3"/>
    <w:rsid w:val="005B736A"/>
    <w:rsid w:val="005B7C06"/>
    <w:rsid w:val="005D121A"/>
    <w:rsid w:val="005D5648"/>
    <w:rsid w:val="005D6288"/>
    <w:rsid w:val="005D6953"/>
    <w:rsid w:val="005E3F38"/>
    <w:rsid w:val="005E4B15"/>
    <w:rsid w:val="005E69BA"/>
    <w:rsid w:val="005E762D"/>
    <w:rsid w:val="005E7B8C"/>
    <w:rsid w:val="005F3F99"/>
    <w:rsid w:val="005F477D"/>
    <w:rsid w:val="005F61F0"/>
    <w:rsid w:val="005F7F22"/>
    <w:rsid w:val="006000D3"/>
    <w:rsid w:val="0060167C"/>
    <w:rsid w:val="00602046"/>
    <w:rsid w:val="00602E3C"/>
    <w:rsid w:val="006039B9"/>
    <w:rsid w:val="00604A79"/>
    <w:rsid w:val="00606C92"/>
    <w:rsid w:val="00607397"/>
    <w:rsid w:val="00617197"/>
    <w:rsid w:val="0061773D"/>
    <w:rsid w:val="006213F7"/>
    <w:rsid w:val="0062152C"/>
    <w:rsid w:val="00623D5C"/>
    <w:rsid w:val="00627EEE"/>
    <w:rsid w:val="006324AD"/>
    <w:rsid w:val="00634109"/>
    <w:rsid w:val="00636679"/>
    <w:rsid w:val="00642E08"/>
    <w:rsid w:val="00643B72"/>
    <w:rsid w:val="006465F9"/>
    <w:rsid w:val="006537EB"/>
    <w:rsid w:val="006547EB"/>
    <w:rsid w:val="006551FE"/>
    <w:rsid w:val="00657A91"/>
    <w:rsid w:val="00660570"/>
    <w:rsid w:val="006645BE"/>
    <w:rsid w:val="00664E4B"/>
    <w:rsid w:val="00664F5D"/>
    <w:rsid w:val="00670CF1"/>
    <w:rsid w:val="00677F5B"/>
    <w:rsid w:val="00681AB8"/>
    <w:rsid w:val="006824C6"/>
    <w:rsid w:val="00682E02"/>
    <w:rsid w:val="00683728"/>
    <w:rsid w:val="00685668"/>
    <w:rsid w:val="00685E96"/>
    <w:rsid w:val="00686110"/>
    <w:rsid w:val="00686996"/>
    <w:rsid w:val="00687A41"/>
    <w:rsid w:val="00692CCE"/>
    <w:rsid w:val="00693BC7"/>
    <w:rsid w:val="006973B8"/>
    <w:rsid w:val="006A39C3"/>
    <w:rsid w:val="006A6D17"/>
    <w:rsid w:val="006A7ED8"/>
    <w:rsid w:val="006B1CB0"/>
    <w:rsid w:val="006C3FD2"/>
    <w:rsid w:val="006C5FA0"/>
    <w:rsid w:val="006C7651"/>
    <w:rsid w:val="006D0DCA"/>
    <w:rsid w:val="006D0FC6"/>
    <w:rsid w:val="006D558E"/>
    <w:rsid w:val="006D6AA2"/>
    <w:rsid w:val="006E2B32"/>
    <w:rsid w:val="006E2E47"/>
    <w:rsid w:val="006E47B3"/>
    <w:rsid w:val="006E4A61"/>
    <w:rsid w:val="006E59EF"/>
    <w:rsid w:val="006E6373"/>
    <w:rsid w:val="006F01BC"/>
    <w:rsid w:val="006F5E83"/>
    <w:rsid w:val="00700846"/>
    <w:rsid w:val="00701BA6"/>
    <w:rsid w:val="00701FCB"/>
    <w:rsid w:val="007026F6"/>
    <w:rsid w:val="0071191B"/>
    <w:rsid w:val="00712AD9"/>
    <w:rsid w:val="0071377A"/>
    <w:rsid w:val="0071453E"/>
    <w:rsid w:val="00716662"/>
    <w:rsid w:val="007221B7"/>
    <w:rsid w:val="00723945"/>
    <w:rsid w:val="00726E62"/>
    <w:rsid w:val="0073330C"/>
    <w:rsid w:val="0073399A"/>
    <w:rsid w:val="0073458A"/>
    <w:rsid w:val="0074144B"/>
    <w:rsid w:val="00741BCC"/>
    <w:rsid w:val="00744EC5"/>
    <w:rsid w:val="00745D53"/>
    <w:rsid w:val="007464E7"/>
    <w:rsid w:val="007504CF"/>
    <w:rsid w:val="00750E7D"/>
    <w:rsid w:val="007522A2"/>
    <w:rsid w:val="007544A3"/>
    <w:rsid w:val="00755C2F"/>
    <w:rsid w:val="007605B4"/>
    <w:rsid w:val="00761AA5"/>
    <w:rsid w:val="00762E96"/>
    <w:rsid w:val="0076390B"/>
    <w:rsid w:val="00764568"/>
    <w:rsid w:val="00767464"/>
    <w:rsid w:val="007767C5"/>
    <w:rsid w:val="00777D87"/>
    <w:rsid w:val="00780269"/>
    <w:rsid w:val="007822B7"/>
    <w:rsid w:val="007835C6"/>
    <w:rsid w:val="007858E3"/>
    <w:rsid w:val="00786BB5"/>
    <w:rsid w:val="00787663"/>
    <w:rsid w:val="00787726"/>
    <w:rsid w:val="007949D3"/>
    <w:rsid w:val="00794BCB"/>
    <w:rsid w:val="007A5549"/>
    <w:rsid w:val="007A5995"/>
    <w:rsid w:val="007A71A3"/>
    <w:rsid w:val="007A7254"/>
    <w:rsid w:val="007A7A96"/>
    <w:rsid w:val="007B2D14"/>
    <w:rsid w:val="007D02A6"/>
    <w:rsid w:val="007D11CD"/>
    <w:rsid w:val="007D1F00"/>
    <w:rsid w:val="007D426C"/>
    <w:rsid w:val="007E1140"/>
    <w:rsid w:val="007E3A92"/>
    <w:rsid w:val="007E42A2"/>
    <w:rsid w:val="007E505D"/>
    <w:rsid w:val="007E76C5"/>
    <w:rsid w:val="007F23BB"/>
    <w:rsid w:val="007F3636"/>
    <w:rsid w:val="00804C6A"/>
    <w:rsid w:val="00806A71"/>
    <w:rsid w:val="0080776D"/>
    <w:rsid w:val="00807D83"/>
    <w:rsid w:val="00815A72"/>
    <w:rsid w:val="00815EA3"/>
    <w:rsid w:val="0082279A"/>
    <w:rsid w:val="00825922"/>
    <w:rsid w:val="0082610B"/>
    <w:rsid w:val="008305D9"/>
    <w:rsid w:val="00832288"/>
    <w:rsid w:val="008337D8"/>
    <w:rsid w:val="00834052"/>
    <w:rsid w:val="008378AA"/>
    <w:rsid w:val="00840C67"/>
    <w:rsid w:val="008413F5"/>
    <w:rsid w:val="00842D64"/>
    <w:rsid w:val="008442BA"/>
    <w:rsid w:val="00847E40"/>
    <w:rsid w:val="00851783"/>
    <w:rsid w:val="00854E5C"/>
    <w:rsid w:val="00855A53"/>
    <w:rsid w:val="008578D5"/>
    <w:rsid w:val="00862D3B"/>
    <w:rsid w:val="00862F3C"/>
    <w:rsid w:val="00865EC0"/>
    <w:rsid w:val="008712D6"/>
    <w:rsid w:val="008742B7"/>
    <w:rsid w:val="0087539F"/>
    <w:rsid w:val="00880643"/>
    <w:rsid w:val="008810BF"/>
    <w:rsid w:val="008815F5"/>
    <w:rsid w:val="00883373"/>
    <w:rsid w:val="008839BD"/>
    <w:rsid w:val="0088607C"/>
    <w:rsid w:val="00886569"/>
    <w:rsid w:val="0088728F"/>
    <w:rsid w:val="00894039"/>
    <w:rsid w:val="00894F9C"/>
    <w:rsid w:val="008977CA"/>
    <w:rsid w:val="008A051F"/>
    <w:rsid w:val="008A471F"/>
    <w:rsid w:val="008A5090"/>
    <w:rsid w:val="008B0B44"/>
    <w:rsid w:val="008B0CBC"/>
    <w:rsid w:val="008B159F"/>
    <w:rsid w:val="008B2520"/>
    <w:rsid w:val="008B4A1C"/>
    <w:rsid w:val="008B5F52"/>
    <w:rsid w:val="008B65E7"/>
    <w:rsid w:val="008C6B69"/>
    <w:rsid w:val="008C76ED"/>
    <w:rsid w:val="008D0916"/>
    <w:rsid w:val="008D1F6B"/>
    <w:rsid w:val="008D452F"/>
    <w:rsid w:val="008D4B05"/>
    <w:rsid w:val="008D7823"/>
    <w:rsid w:val="008E02AD"/>
    <w:rsid w:val="008E05B0"/>
    <w:rsid w:val="008E14C9"/>
    <w:rsid w:val="008E1EF5"/>
    <w:rsid w:val="008E3431"/>
    <w:rsid w:val="008F416E"/>
    <w:rsid w:val="008F4E73"/>
    <w:rsid w:val="00900C8C"/>
    <w:rsid w:val="0090149E"/>
    <w:rsid w:val="00902BCB"/>
    <w:rsid w:val="00902FE1"/>
    <w:rsid w:val="00903FDF"/>
    <w:rsid w:val="00904506"/>
    <w:rsid w:val="00904F5A"/>
    <w:rsid w:val="0090575A"/>
    <w:rsid w:val="00913429"/>
    <w:rsid w:val="00916AF0"/>
    <w:rsid w:val="00922CCF"/>
    <w:rsid w:val="00923C1F"/>
    <w:rsid w:val="00926C9C"/>
    <w:rsid w:val="009278DE"/>
    <w:rsid w:val="00930A19"/>
    <w:rsid w:val="0093200E"/>
    <w:rsid w:val="00932F1D"/>
    <w:rsid w:val="009352B2"/>
    <w:rsid w:val="00936C11"/>
    <w:rsid w:val="00943068"/>
    <w:rsid w:val="00943B2E"/>
    <w:rsid w:val="00947141"/>
    <w:rsid w:val="0095142A"/>
    <w:rsid w:val="00955910"/>
    <w:rsid w:val="00955BB7"/>
    <w:rsid w:val="009600CB"/>
    <w:rsid w:val="0096048A"/>
    <w:rsid w:val="0096122A"/>
    <w:rsid w:val="009645BF"/>
    <w:rsid w:val="0096565A"/>
    <w:rsid w:val="009719F7"/>
    <w:rsid w:val="00973AE1"/>
    <w:rsid w:val="009759ED"/>
    <w:rsid w:val="00983AB6"/>
    <w:rsid w:val="0098462E"/>
    <w:rsid w:val="00984D14"/>
    <w:rsid w:val="00985F71"/>
    <w:rsid w:val="00986D3E"/>
    <w:rsid w:val="00987254"/>
    <w:rsid w:val="00994097"/>
    <w:rsid w:val="009A1B07"/>
    <w:rsid w:val="009A2332"/>
    <w:rsid w:val="009A24D2"/>
    <w:rsid w:val="009A28F8"/>
    <w:rsid w:val="009A2DE9"/>
    <w:rsid w:val="009A3DD2"/>
    <w:rsid w:val="009A540E"/>
    <w:rsid w:val="009A62F0"/>
    <w:rsid w:val="009B078D"/>
    <w:rsid w:val="009B1842"/>
    <w:rsid w:val="009B2813"/>
    <w:rsid w:val="009B2FC6"/>
    <w:rsid w:val="009B569A"/>
    <w:rsid w:val="009C2405"/>
    <w:rsid w:val="009C3C88"/>
    <w:rsid w:val="009C7284"/>
    <w:rsid w:val="009D0ECF"/>
    <w:rsid w:val="009D4F49"/>
    <w:rsid w:val="009D5B93"/>
    <w:rsid w:val="009D661D"/>
    <w:rsid w:val="009D686D"/>
    <w:rsid w:val="009E2632"/>
    <w:rsid w:val="009E3661"/>
    <w:rsid w:val="009E4518"/>
    <w:rsid w:val="009E48FE"/>
    <w:rsid w:val="009E5179"/>
    <w:rsid w:val="009E593E"/>
    <w:rsid w:val="009E6F90"/>
    <w:rsid w:val="009F1EF3"/>
    <w:rsid w:val="009F2B41"/>
    <w:rsid w:val="009F5CFC"/>
    <w:rsid w:val="009F6A0B"/>
    <w:rsid w:val="009F6F71"/>
    <w:rsid w:val="00A03656"/>
    <w:rsid w:val="00A03D7A"/>
    <w:rsid w:val="00A03FB2"/>
    <w:rsid w:val="00A041D4"/>
    <w:rsid w:val="00A05DCD"/>
    <w:rsid w:val="00A069BA"/>
    <w:rsid w:val="00A07367"/>
    <w:rsid w:val="00A1040F"/>
    <w:rsid w:val="00A12BAA"/>
    <w:rsid w:val="00A130AD"/>
    <w:rsid w:val="00A1425B"/>
    <w:rsid w:val="00A15F6E"/>
    <w:rsid w:val="00A20033"/>
    <w:rsid w:val="00A212E1"/>
    <w:rsid w:val="00A213A1"/>
    <w:rsid w:val="00A21726"/>
    <w:rsid w:val="00A21AC3"/>
    <w:rsid w:val="00A21B2A"/>
    <w:rsid w:val="00A22B56"/>
    <w:rsid w:val="00A3026C"/>
    <w:rsid w:val="00A31E6E"/>
    <w:rsid w:val="00A35255"/>
    <w:rsid w:val="00A353D4"/>
    <w:rsid w:val="00A360F3"/>
    <w:rsid w:val="00A37575"/>
    <w:rsid w:val="00A50843"/>
    <w:rsid w:val="00A517EE"/>
    <w:rsid w:val="00A563EB"/>
    <w:rsid w:val="00A564E9"/>
    <w:rsid w:val="00A57913"/>
    <w:rsid w:val="00A57DCB"/>
    <w:rsid w:val="00A60C79"/>
    <w:rsid w:val="00A62D86"/>
    <w:rsid w:val="00A6366C"/>
    <w:rsid w:val="00A6758D"/>
    <w:rsid w:val="00A70A79"/>
    <w:rsid w:val="00A715DF"/>
    <w:rsid w:val="00A75879"/>
    <w:rsid w:val="00A75FD0"/>
    <w:rsid w:val="00A77D61"/>
    <w:rsid w:val="00A802DD"/>
    <w:rsid w:val="00A83BA8"/>
    <w:rsid w:val="00A900D0"/>
    <w:rsid w:val="00A9141F"/>
    <w:rsid w:val="00A938C7"/>
    <w:rsid w:val="00A95192"/>
    <w:rsid w:val="00A975D7"/>
    <w:rsid w:val="00AA51E5"/>
    <w:rsid w:val="00AA7130"/>
    <w:rsid w:val="00AA757F"/>
    <w:rsid w:val="00AB2F51"/>
    <w:rsid w:val="00AC093A"/>
    <w:rsid w:val="00AC14EC"/>
    <w:rsid w:val="00AC160B"/>
    <w:rsid w:val="00AC30AB"/>
    <w:rsid w:val="00AC553E"/>
    <w:rsid w:val="00AC6D12"/>
    <w:rsid w:val="00AD6C79"/>
    <w:rsid w:val="00AE01A6"/>
    <w:rsid w:val="00AE02BE"/>
    <w:rsid w:val="00AE12BC"/>
    <w:rsid w:val="00AE3241"/>
    <w:rsid w:val="00AE4094"/>
    <w:rsid w:val="00AE48B7"/>
    <w:rsid w:val="00AE4EE8"/>
    <w:rsid w:val="00AF1677"/>
    <w:rsid w:val="00AF1F25"/>
    <w:rsid w:val="00AF53E3"/>
    <w:rsid w:val="00B01F84"/>
    <w:rsid w:val="00B020FA"/>
    <w:rsid w:val="00B03F89"/>
    <w:rsid w:val="00B05251"/>
    <w:rsid w:val="00B06E4B"/>
    <w:rsid w:val="00B11253"/>
    <w:rsid w:val="00B11D75"/>
    <w:rsid w:val="00B12A30"/>
    <w:rsid w:val="00B16A89"/>
    <w:rsid w:val="00B177B4"/>
    <w:rsid w:val="00B17E2E"/>
    <w:rsid w:val="00B23F61"/>
    <w:rsid w:val="00B24F16"/>
    <w:rsid w:val="00B30B34"/>
    <w:rsid w:val="00B33488"/>
    <w:rsid w:val="00B36044"/>
    <w:rsid w:val="00B36282"/>
    <w:rsid w:val="00B41AEC"/>
    <w:rsid w:val="00B42C64"/>
    <w:rsid w:val="00B43AA8"/>
    <w:rsid w:val="00B45824"/>
    <w:rsid w:val="00B45ED6"/>
    <w:rsid w:val="00B47A6C"/>
    <w:rsid w:val="00B50A9A"/>
    <w:rsid w:val="00B517B4"/>
    <w:rsid w:val="00B57410"/>
    <w:rsid w:val="00B57B52"/>
    <w:rsid w:val="00B62638"/>
    <w:rsid w:val="00B644DB"/>
    <w:rsid w:val="00B65A15"/>
    <w:rsid w:val="00B67FE1"/>
    <w:rsid w:val="00B70D75"/>
    <w:rsid w:val="00B71543"/>
    <w:rsid w:val="00B7208E"/>
    <w:rsid w:val="00B72408"/>
    <w:rsid w:val="00B72C05"/>
    <w:rsid w:val="00B72CA4"/>
    <w:rsid w:val="00B72E56"/>
    <w:rsid w:val="00B7527B"/>
    <w:rsid w:val="00B756C3"/>
    <w:rsid w:val="00B760B2"/>
    <w:rsid w:val="00B80984"/>
    <w:rsid w:val="00B833DD"/>
    <w:rsid w:val="00B90F79"/>
    <w:rsid w:val="00B93337"/>
    <w:rsid w:val="00B95449"/>
    <w:rsid w:val="00B95E3E"/>
    <w:rsid w:val="00B96504"/>
    <w:rsid w:val="00B97C2A"/>
    <w:rsid w:val="00BA0511"/>
    <w:rsid w:val="00BA2454"/>
    <w:rsid w:val="00BA461A"/>
    <w:rsid w:val="00BA6558"/>
    <w:rsid w:val="00BB039A"/>
    <w:rsid w:val="00BB24D1"/>
    <w:rsid w:val="00BB261E"/>
    <w:rsid w:val="00BB3D28"/>
    <w:rsid w:val="00BB5D11"/>
    <w:rsid w:val="00BB66C7"/>
    <w:rsid w:val="00BC34A3"/>
    <w:rsid w:val="00BD204D"/>
    <w:rsid w:val="00BD411B"/>
    <w:rsid w:val="00BD5A34"/>
    <w:rsid w:val="00BD77F1"/>
    <w:rsid w:val="00BD78C0"/>
    <w:rsid w:val="00BD7B13"/>
    <w:rsid w:val="00BE08D3"/>
    <w:rsid w:val="00BE5632"/>
    <w:rsid w:val="00BF241A"/>
    <w:rsid w:val="00BF3C4A"/>
    <w:rsid w:val="00BF6E79"/>
    <w:rsid w:val="00BF7064"/>
    <w:rsid w:val="00C0620B"/>
    <w:rsid w:val="00C07649"/>
    <w:rsid w:val="00C15E73"/>
    <w:rsid w:val="00C21A53"/>
    <w:rsid w:val="00C22D83"/>
    <w:rsid w:val="00C241D6"/>
    <w:rsid w:val="00C24FE7"/>
    <w:rsid w:val="00C303F3"/>
    <w:rsid w:val="00C349C4"/>
    <w:rsid w:val="00C36A1A"/>
    <w:rsid w:val="00C425DA"/>
    <w:rsid w:val="00C42DF2"/>
    <w:rsid w:val="00C471A6"/>
    <w:rsid w:val="00C50F7D"/>
    <w:rsid w:val="00C54346"/>
    <w:rsid w:val="00C54DB8"/>
    <w:rsid w:val="00C559DB"/>
    <w:rsid w:val="00C56A38"/>
    <w:rsid w:val="00C5705B"/>
    <w:rsid w:val="00C57419"/>
    <w:rsid w:val="00C577A1"/>
    <w:rsid w:val="00C57C22"/>
    <w:rsid w:val="00C65F7D"/>
    <w:rsid w:val="00C666BA"/>
    <w:rsid w:val="00C67075"/>
    <w:rsid w:val="00C70D2A"/>
    <w:rsid w:val="00C71E0C"/>
    <w:rsid w:val="00C72B57"/>
    <w:rsid w:val="00C737EA"/>
    <w:rsid w:val="00C75BFC"/>
    <w:rsid w:val="00C772A0"/>
    <w:rsid w:val="00C823CE"/>
    <w:rsid w:val="00C86E47"/>
    <w:rsid w:val="00C87257"/>
    <w:rsid w:val="00C92862"/>
    <w:rsid w:val="00C94B2F"/>
    <w:rsid w:val="00C95ECF"/>
    <w:rsid w:val="00C97F64"/>
    <w:rsid w:val="00CA1A86"/>
    <w:rsid w:val="00CA1C49"/>
    <w:rsid w:val="00CA24EF"/>
    <w:rsid w:val="00CA276F"/>
    <w:rsid w:val="00CA6A43"/>
    <w:rsid w:val="00CA7E3F"/>
    <w:rsid w:val="00CB0FCE"/>
    <w:rsid w:val="00CB3C32"/>
    <w:rsid w:val="00CB4944"/>
    <w:rsid w:val="00CB5DD3"/>
    <w:rsid w:val="00CC0386"/>
    <w:rsid w:val="00CC1D77"/>
    <w:rsid w:val="00CC2E58"/>
    <w:rsid w:val="00CC5794"/>
    <w:rsid w:val="00CC6552"/>
    <w:rsid w:val="00CC7E24"/>
    <w:rsid w:val="00CD099F"/>
    <w:rsid w:val="00CD4F83"/>
    <w:rsid w:val="00CD6BC6"/>
    <w:rsid w:val="00CE003F"/>
    <w:rsid w:val="00CE118A"/>
    <w:rsid w:val="00CE2879"/>
    <w:rsid w:val="00CF009A"/>
    <w:rsid w:val="00CF39C5"/>
    <w:rsid w:val="00CF6B77"/>
    <w:rsid w:val="00D00329"/>
    <w:rsid w:val="00D00A6D"/>
    <w:rsid w:val="00D00CD4"/>
    <w:rsid w:val="00D01B95"/>
    <w:rsid w:val="00D0312F"/>
    <w:rsid w:val="00D03805"/>
    <w:rsid w:val="00D04D2E"/>
    <w:rsid w:val="00D100E7"/>
    <w:rsid w:val="00D1207E"/>
    <w:rsid w:val="00D13E1B"/>
    <w:rsid w:val="00D177E1"/>
    <w:rsid w:val="00D20429"/>
    <w:rsid w:val="00D217A4"/>
    <w:rsid w:val="00D221F7"/>
    <w:rsid w:val="00D25423"/>
    <w:rsid w:val="00D26DBA"/>
    <w:rsid w:val="00D332EC"/>
    <w:rsid w:val="00D3466B"/>
    <w:rsid w:val="00D35D37"/>
    <w:rsid w:val="00D408E9"/>
    <w:rsid w:val="00D40E70"/>
    <w:rsid w:val="00D429BF"/>
    <w:rsid w:val="00D45F37"/>
    <w:rsid w:val="00D5016A"/>
    <w:rsid w:val="00D517DA"/>
    <w:rsid w:val="00D53EC5"/>
    <w:rsid w:val="00D60264"/>
    <w:rsid w:val="00D65DF5"/>
    <w:rsid w:val="00D663B4"/>
    <w:rsid w:val="00D6788B"/>
    <w:rsid w:val="00D71CC6"/>
    <w:rsid w:val="00D72400"/>
    <w:rsid w:val="00D73BE8"/>
    <w:rsid w:val="00D73C81"/>
    <w:rsid w:val="00D74C5F"/>
    <w:rsid w:val="00D77A7F"/>
    <w:rsid w:val="00D80284"/>
    <w:rsid w:val="00D8199D"/>
    <w:rsid w:val="00D82A74"/>
    <w:rsid w:val="00D840E5"/>
    <w:rsid w:val="00D842C4"/>
    <w:rsid w:val="00D84D51"/>
    <w:rsid w:val="00D855AC"/>
    <w:rsid w:val="00D86DC9"/>
    <w:rsid w:val="00D978D7"/>
    <w:rsid w:val="00DA079A"/>
    <w:rsid w:val="00DA0FDE"/>
    <w:rsid w:val="00DA1E9D"/>
    <w:rsid w:val="00DA2268"/>
    <w:rsid w:val="00DA2FB9"/>
    <w:rsid w:val="00DA30EC"/>
    <w:rsid w:val="00DA6068"/>
    <w:rsid w:val="00DB1FB1"/>
    <w:rsid w:val="00DB3131"/>
    <w:rsid w:val="00DB4455"/>
    <w:rsid w:val="00DB6629"/>
    <w:rsid w:val="00DC029E"/>
    <w:rsid w:val="00DC1610"/>
    <w:rsid w:val="00DC1867"/>
    <w:rsid w:val="00DC2BF5"/>
    <w:rsid w:val="00DC46EE"/>
    <w:rsid w:val="00DC4AE9"/>
    <w:rsid w:val="00DC50DA"/>
    <w:rsid w:val="00DC53F4"/>
    <w:rsid w:val="00DC5791"/>
    <w:rsid w:val="00DD5357"/>
    <w:rsid w:val="00DD671D"/>
    <w:rsid w:val="00DD6FB3"/>
    <w:rsid w:val="00DD71E6"/>
    <w:rsid w:val="00DE5E32"/>
    <w:rsid w:val="00DE7819"/>
    <w:rsid w:val="00DE7DBD"/>
    <w:rsid w:val="00DF0213"/>
    <w:rsid w:val="00DF081B"/>
    <w:rsid w:val="00DF3EBA"/>
    <w:rsid w:val="00DF69C8"/>
    <w:rsid w:val="00DF6E29"/>
    <w:rsid w:val="00DF70E4"/>
    <w:rsid w:val="00E00C33"/>
    <w:rsid w:val="00E03CA6"/>
    <w:rsid w:val="00E046D7"/>
    <w:rsid w:val="00E0623B"/>
    <w:rsid w:val="00E1060D"/>
    <w:rsid w:val="00E10E50"/>
    <w:rsid w:val="00E2068E"/>
    <w:rsid w:val="00E213E3"/>
    <w:rsid w:val="00E255C6"/>
    <w:rsid w:val="00E25BEE"/>
    <w:rsid w:val="00E30E0C"/>
    <w:rsid w:val="00E3309B"/>
    <w:rsid w:val="00E35673"/>
    <w:rsid w:val="00E37EAE"/>
    <w:rsid w:val="00E40536"/>
    <w:rsid w:val="00E407D3"/>
    <w:rsid w:val="00E40A6A"/>
    <w:rsid w:val="00E42D1C"/>
    <w:rsid w:val="00E4702C"/>
    <w:rsid w:val="00E47999"/>
    <w:rsid w:val="00E51181"/>
    <w:rsid w:val="00E51C8E"/>
    <w:rsid w:val="00E52B4B"/>
    <w:rsid w:val="00E55426"/>
    <w:rsid w:val="00E57A3B"/>
    <w:rsid w:val="00E639E4"/>
    <w:rsid w:val="00E6409E"/>
    <w:rsid w:val="00E65ABC"/>
    <w:rsid w:val="00E66EE3"/>
    <w:rsid w:val="00E71625"/>
    <w:rsid w:val="00E72944"/>
    <w:rsid w:val="00E76CCB"/>
    <w:rsid w:val="00E800D4"/>
    <w:rsid w:val="00E81748"/>
    <w:rsid w:val="00E83FE4"/>
    <w:rsid w:val="00E84866"/>
    <w:rsid w:val="00E86F5F"/>
    <w:rsid w:val="00E87E11"/>
    <w:rsid w:val="00E906B8"/>
    <w:rsid w:val="00E96850"/>
    <w:rsid w:val="00E96F9E"/>
    <w:rsid w:val="00E97E23"/>
    <w:rsid w:val="00E97FAA"/>
    <w:rsid w:val="00EA022D"/>
    <w:rsid w:val="00EA3B4E"/>
    <w:rsid w:val="00EB082F"/>
    <w:rsid w:val="00EB5107"/>
    <w:rsid w:val="00EB607D"/>
    <w:rsid w:val="00EB7189"/>
    <w:rsid w:val="00EC1C91"/>
    <w:rsid w:val="00EC7B40"/>
    <w:rsid w:val="00ED002E"/>
    <w:rsid w:val="00ED0CF5"/>
    <w:rsid w:val="00ED223D"/>
    <w:rsid w:val="00ED470A"/>
    <w:rsid w:val="00ED6C99"/>
    <w:rsid w:val="00ED7D3D"/>
    <w:rsid w:val="00EE27EA"/>
    <w:rsid w:val="00EE7A0F"/>
    <w:rsid w:val="00EF38C1"/>
    <w:rsid w:val="00EF3A8B"/>
    <w:rsid w:val="00EF6CB4"/>
    <w:rsid w:val="00F034D4"/>
    <w:rsid w:val="00F146C4"/>
    <w:rsid w:val="00F20B08"/>
    <w:rsid w:val="00F21502"/>
    <w:rsid w:val="00F23845"/>
    <w:rsid w:val="00F23B5A"/>
    <w:rsid w:val="00F25AB6"/>
    <w:rsid w:val="00F26BEC"/>
    <w:rsid w:val="00F3525B"/>
    <w:rsid w:val="00F366C2"/>
    <w:rsid w:val="00F37787"/>
    <w:rsid w:val="00F4106B"/>
    <w:rsid w:val="00F45565"/>
    <w:rsid w:val="00F46F57"/>
    <w:rsid w:val="00F54963"/>
    <w:rsid w:val="00F57812"/>
    <w:rsid w:val="00F62267"/>
    <w:rsid w:val="00F6646F"/>
    <w:rsid w:val="00F7315B"/>
    <w:rsid w:val="00F75539"/>
    <w:rsid w:val="00F808C1"/>
    <w:rsid w:val="00F845C6"/>
    <w:rsid w:val="00F84972"/>
    <w:rsid w:val="00F84EEF"/>
    <w:rsid w:val="00F93699"/>
    <w:rsid w:val="00F9697C"/>
    <w:rsid w:val="00FA0AD3"/>
    <w:rsid w:val="00FA393E"/>
    <w:rsid w:val="00FA3DA6"/>
    <w:rsid w:val="00FA5ED5"/>
    <w:rsid w:val="00FA73B3"/>
    <w:rsid w:val="00FB185D"/>
    <w:rsid w:val="00FB1D8E"/>
    <w:rsid w:val="00FB2F3C"/>
    <w:rsid w:val="00FB396F"/>
    <w:rsid w:val="00FD102F"/>
    <w:rsid w:val="00FD30B8"/>
    <w:rsid w:val="00FD3EAD"/>
    <w:rsid w:val="00FD4F0A"/>
    <w:rsid w:val="00FE4F57"/>
    <w:rsid w:val="00FE6ACC"/>
    <w:rsid w:val="00FE7B7F"/>
    <w:rsid w:val="00FF2D6F"/>
    <w:rsid w:val="00FF32F8"/>
    <w:rsid w:val="00FF3C0F"/>
    <w:rsid w:val="00FF4FBF"/>
    <w:rsid w:val="00FF751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F68BA07"/>
  <w15:chartTrackingRefBased/>
  <w15:docId w15:val="{C99971C6-361A-C047-97CD-96EA3286E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2CC"/>
    <w:rPr>
      <w:kern w:val="2"/>
      <w14:ligatures w14:val="standardContextual"/>
    </w:rPr>
  </w:style>
  <w:style w:type="paragraph" w:styleId="Heading1">
    <w:name w:val="heading 1"/>
    <w:basedOn w:val="Normal"/>
    <w:next w:val="Normal"/>
    <w:link w:val="Heading1Char"/>
    <w:uiPriority w:val="9"/>
    <w:qFormat/>
    <w:rsid w:val="00E83FE4"/>
    <w:pPr>
      <w:keepNext/>
      <w:keepLines/>
      <w:spacing w:before="24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F6F71"/>
    <w:rPr>
      <w:kern w:val="0"/>
      <w:sz w:val="20"/>
      <w:szCs w:val="20"/>
      <w14:ligatures w14:val="none"/>
    </w:rPr>
  </w:style>
  <w:style w:type="character" w:customStyle="1" w:styleId="FootnoteTextChar">
    <w:name w:val="Footnote Text Char"/>
    <w:basedOn w:val="DefaultParagraphFont"/>
    <w:link w:val="FootnoteText"/>
    <w:uiPriority w:val="99"/>
    <w:semiHidden/>
    <w:rsid w:val="009F6F71"/>
    <w:rPr>
      <w:sz w:val="20"/>
      <w:szCs w:val="20"/>
    </w:rPr>
  </w:style>
  <w:style w:type="character" w:styleId="FootnoteReference">
    <w:name w:val="footnote reference"/>
    <w:basedOn w:val="DefaultParagraphFont"/>
    <w:uiPriority w:val="99"/>
    <w:semiHidden/>
    <w:unhideWhenUsed/>
    <w:rsid w:val="009F6F71"/>
    <w:rPr>
      <w:vertAlign w:val="superscript"/>
    </w:rPr>
  </w:style>
  <w:style w:type="character" w:styleId="Hyperlink">
    <w:name w:val="Hyperlink"/>
    <w:basedOn w:val="DefaultParagraphFont"/>
    <w:uiPriority w:val="99"/>
    <w:unhideWhenUsed/>
    <w:rsid w:val="00AF1677"/>
    <w:rPr>
      <w:color w:val="0563C1" w:themeColor="hyperlink"/>
      <w:u w:val="single"/>
    </w:rPr>
  </w:style>
  <w:style w:type="character" w:styleId="UnresolvedMention">
    <w:name w:val="Unresolved Mention"/>
    <w:basedOn w:val="DefaultParagraphFont"/>
    <w:uiPriority w:val="99"/>
    <w:semiHidden/>
    <w:unhideWhenUsed/>
    <w:rsid w:val="00AF1677"/>
    <w:rPr>
      <w:color w:val="605E5C"/>
      <w:shd w:val="clear" w:color="auto" w:fill="E1DFDD"/>
    </w:rPr>
  </w:style>
  <w:style w:type="character" w:customStyle="1" w:styleId="Heading1Char">
    <w:name w:val="Heading 1 Char"/>
    <w:basedOn w:val="DefaultParagraphFont"/>
    <w:link w:val="Heading1"/>
    <w:uiPriority w:val="9"/>
    <w:rsid w:val="00E83FE4"/>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C24F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30921">
      <w:bodyDiv w:val="1"/>
      <w:marLeft w:val="0"/>
      <w:marRight w:val="0"/>
      <w:marTop w:val="0"/>
      <w:marBottom w:val="0"/>
      <w:divBdr>
        <w:top w:val="none" w:sz="0" w:space="0" w:color="auto"/>
        <w:left w:val="none" w:sz="0" w:space="0" w:color="auto"/>
        <w:bottom w:val="none" w:sz="0" w:space="0" w:color="auto"/>
        <w:right w:val="none" w:sz="0" w:space="0" w:color="auto"/>
      </w:divBdr>
    </w:div>
    <w:div w:id="451438276">
      <w:bodyDiv w:val="1"/>
      <w:marLeft w:val="0"/>
      <w:marRight w:val="0"/>
      <w:marTop w:val="0"/>
      <w:marBottom w:val="0"/>
      <w:divBdr>
        <w:top w:val="none" w:sz="0" w:space="0" w:color="auto"/>
        <w:left w:val="none" w:sz="0" w:space="0" w:color="auto"/>
        <w:bottom w:val="none" w:sz="0" w:space="0" w:color="auto"/>
        <w:right w:val="none" w:sz="0" w:space="0" w:color="auto"/>
      </w:divBdr>
    </w:div>
    <w:div w:id="1310402904">
      <w:bodyDiv w:val="1"/>
      <w:marLeft w:val="0"/>
      <w:marRight w:val="0"/>
      <w:marTop w:val="0"/>
      <w:marBottom w:val="0"/>
      <w:divBdr>
        <w:top w:val="none" w:sz="0" w:space="0" w:color="auto"/>
        <w:left w:val="none" w:sz="0" w:space="0" w:color="auto"/>
        <w:bottom w:val="none" w:sz="0" w:space="0" w:color="auto"/>
        <w:right w:val="none" w:sz="0" w:space="0" w:color="auto"/>
      </w:divBdr>
      <w:divsChild>
        <w:div w:id="487013392">
          <w:marLeft w:val="0"/>
          <w:marRight w:val="0"/>
          <w:marTop w:val="0"/>
          <w:marBottom w:val="75"/>
          <w:divBdr>
            <w:top w:val="none" w:sz="0" w:space="0" w:color="auto"/>
            <w:left w:val="none" w:sz="0" w:space="0" w:color="auto"/>
            <w:bottom w:val="none" w:sz="0" w:space="0" w:color="auto"/>
            <w:right w:val="none" w:sz="0" w:space="0" w:color="auto"/>
          </w:divBdr>
          <w:divsChild>
            <w:div w:id="699939695">
              <w:marLeft w:val="-75"/>
              <w:marRight w:val="0"/>
              <w:marTop w:val="0"/>
              <w:marBottom w:val="0"/>
              <w:divBdr>
                <w:top w:val="none" w:sz="0" w:space="0" w:color="auto"/>
                <w:left w:val="none" w:sz="0" w:space="0" w:color="auto"/>
                <w:bottom w:val="none" w:sz="0" w:space="0" w:color="auto"/>
                <w:right w:val="none" w:sz="0" w:space="0" w:color="auto"/>
              </w:divBdr>
              <w:divsChild>
                <w:div w:id="142456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19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uwtsd.idm.oclc.org/10.1093/acprof:oso/9780198203629.001.0001" TargetMode="External"/><Relationship Id="rId13" Type="http://schemas.openxmlformats.org/officeDocument/2006/relationships/hyperlink" Target="https://doi.org/10.2307/3301214" TargetMode="External"/><Relationship Id="rId3" Type="http://schemas.openxmlformats.org/officeDocument/2006/relationships/webSettings" Target="webSettings.xml"/><Relationship Id="rId7" Type="http://schemas.openxmlformats.org/officeDocument/2006/relationships/hyperlink" Target="https://archives.wales/2022/11/30/beards-in-the-archives" TargetMode="External"/><Relationship Id="rId12" Type="http://schemas.openxmlformats.org/officeDocument/2006/relationships/hyperlink" Target="https://doi.org/10.1344/musas2020.vol5.num2.6"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rchive.org/details/welshmedievallaw00howeuoft" TargetMode="External"/><Relationship Id="rId11" Type="http://schemas.openxmlformats.org/officeDocument/2006/relationships/hyperlink" Target="https://www.cyfraith-hywel.org.uk/manuscript/content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doi.org/10.1002/9781118396957.wbemlb439" TargetMode="External"/><Relationship Id="rId4" Type="http://schemas.openxmlformats.org/officeDocument/2006/relationships/footnotes" Target="footnotes.xml"/><Relationship Id="rId9" Type="http://schemas.openxmlformats.org/officeDocument/2006/relationships/hyperlink" Target="https://www.cymmrodorion.org/talk/far-more-things-forbidden-women-in-medieval-wales" TargetMode="External"/><Relationship Id="rId14" Type="http://schemas.openxmlformats.org/officeDocument/2006/relationships/hyperlink" Target="https://www.nottingham.ac.uk/research/groups/languagestextssociety/documents/lts-journal/issue-3/webb-women-in-medieval-wales-lts-issue3.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ottingham.ac.uk/research/groups/languagestextssociety/documents/lts-journal/issue-3/webb-women-in-medieval-wales-lts-issue3.pdf" TargetMode="External"/><Relationship Id="rId3" Type="http://schemas.openxmlformats.org/officeDocument/2006/relationships/hyperlink" Target="https://doi.org/10.1002/9781118396957.wbemlb439" TargetMode="External"/><Relationship Id="rId7" Type="http://schemas.openxmlformats.org/officeDocument/2006/relationships/hyperlink" Target="https://doi.org/10.1344/musas2020.vol5.num2.6" TargetMode="External"/><Relationship Id="rId2" Type="http://schemas.openxmlformats.org/officeDocument/2006/relationships/hyperlink" Target="https://archive.org/details/welshmedievallaw00howeuoft" TargetMode="External"/><Relationship Id="rId1" Type="http://schemas.openxmlformats.org/officeDocument/2006/relationships/hyperlink" Target="https://doi.org/10.1002/9781118396957.wbemlb439" TargetMode="External"/><Relationship Id="rId6" Type="http://schemas.openxmlformats.org/officeDocument/2006/relationships/hyperlink" Target="https://doi-org.uwtsd.idm.oclc.org/10.1093/acprof:oso/9780198203629.001.0001" TargetMode="External"/><Relationship Id="rId5" Type="http://schemas.openxmlformats.org/officeDocument/2006/relationships/hyperlink" Target="https://www.cyfraith-hywel.org.uk/manuscript/contents" TargetMode="External"/><Relationship Id="rId10" Type="http://schemas.openxmlformats.org/officeDocument/2006/relationships/hyperlink" Target="https://www.cymmrodorion.org/talk/far-more-things-forbidden-women-in-medieval-wales" TargetMode="External"/><Relationship Id="rId4" Type="http://schemas.openxmlformats.org/officeDocument/2006/relationships/hyperlink" Target="https://doi.org/10.1002/9781118396957.wbemlb439" TargetMode="External"/><Relationship Id="rId9" Type="http://schemas.openxmlformats.org/officeDocument/2006/relationships/hyperlink" Target="https://archives.wales/2022/11/30/beards-in-the-arch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3143</TotalTime>
  <Pages>13</Pages>
  <Words>4173</Words>
  <Characters>23792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1030</cp:revision>
  <cp:lastPrinted>2026-03-16T06:35:00Z</cp:lastPrinted>
  <dcterms:created xsi:type="dcterms:W3CDTF">2026-03-06T23:18:00Z</dcterms:created>
  <dcterms:modified xsi:type="dcterms:W3CDTF">2026-03-16T07:58:00Z</dcterms:modified>
</cp:coreProperties>
</file>