
<file path=[Content_Types].xml><?xml version="1.0" encoding="utf-8"?>
<Types xmlns="http://schemas.openxmlformats.org/package/2006/content-types">
  <Default Extension="C" ContentType="image/png"/>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1BD8C" w14:textId="77777777" w:rsidR="00B6313A" w:rsidRPr="002E24B3" w:rsidRDefault="00B6313A" w:rsidP="004F3F82">
      <w:pPr>
        <w:pStyle w:val="Title"/>
        <w:tabs>
          <w:tab w:val="left" w:pos="2352"/>
          <w:tab w:val="center" w:pos="4513"/>
        </w:tabs>
        <w:jc w:val="both"/>
        <w:rPr>
          <w:rFonts w:ascii="Arial" w:hAnsi="Arial" w:cs="Arial"/>
          <w:bCs/>
          <w:sz w:val="24"/>
          <w:szCs w:val="24"/>
        </w:rPr>
      </w:pPr>
      <w:r w:rsidRPr="002E24B3">
        <w:rPr>
          <w:rFonts w:ascii="Arial" w:hAnsi="Arial" w:cs="Arial"/>
          <w:noProof/>
          <w:sz w:val="24"/>
          <w:szCs w:val="24"/>
        </w:rPr>
        <w:drawing>
          <wp:anchor distT="0" distB="0" distL="114300" distR="114300" simplePos="0" relativeHeight="251659264" behindDoc="0" locked="0" layoutInCell="1" allowOverlap="1" wp14:anchorId="6D72E09A" wp14:editId="6B1F5BCB">
            <wp:simplePos x="0" y="0"/>
            <wp:positionH relativeFrom="column">
              <wp:posOffset>1722120</wp:posOffset>
            </wp:positionH>
            <wp:positionV relativeFrom="paragraph">
              <wp:posOffset>0</wp:posOffset>
            </wp:positionV>
            <wp:extent cx="2491740" cy="101346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491740" cy="1013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C17742" w14:textId="77777777" w:rsidR="00B6313A" w:rsidRPr="002E24B3" w:rsidRDefault="00B6313A" w:rsidP="004F3F82">
      <w:pPr>
        <w:pStyle w:val="Title"/>
        <w:tabs>
          <w:tab w:val="left" w:pos="2352"/>
          <w:tab w:val="center" w:pos="4513"/>
        </w:tabs>
        <w:jc w:val="both"/>
        <w:rPr>
          <w:rFonts w:ascii="Arial" w:hAnsi="Arial" w:cs="Arial"/>
          <w:bCs/>
          <w:sz w:val="24"/>
          <w:szCs w:val="24"/>
        </w:rPr>
      </w:pPr>
    </w:p>
    <w:p w14:paraId="3A08D8D2" w14:textId="77777777" w:rsidR="00B6313A" w:rsidRPr="002E24B3" w:rsidRDefault="00B6313A" w:rsidP="004F3F82">
      <w:pPr>
        <w:pStyle w:val="Title"/>
        <w:tabs>
          <w:tab w:val="left" w:pos="2352"/>
          <w:tab w:val="center" w:pos="4513"/>
        </w:tabs>
        <w:jc w:val="both"/>
        <w:rPr>
          <w:rFonts w:ascii="Arial" w:hAnsi="Arial" w:cs="Arial"/>
          <w:bCs/>
          <w:sz w:val="24"/>
          <w:szCs w:val="24"/>
        </w:rPr>
      </w:pPr>
    </w:p>
    <w:p w14:paraId="0072D2D3" w14:textId="77777777" w:rsidR="00B6313A" w:rsidRPr="002E24B3" w:rsidRDefault="00B6313A" w:rsidP="004F3F82">
      <w:pPr>
        <w:spacing w:line="240" w:lineRule="auto"/>
        <w:jc w:val="both"/>
        <w:rPr>
          <w:rFonts w:ascii="Arial" w:hAnsi="Arial" w:cs="Arial"/>
          <w:sz w:val="24"/>
          <w:szCs w:val="24"/>
        </w:rPr>
      </w:pPr>
    </w:p>
    <w:p w14:paraId="2A1C593B" w14:textId="7D5B9363" w:rsidR="00B6313A" w:rsidRDefault="00B6313A" w:rsidP="00B62F35">
      <w:pPr>
        <w:pStyle w:val="Title"/>
        <w:tabs>
          <w:tab w:val="left" w:pos="2352"/>
          <w:tab w:val="center" w:pos="4513"/>
        </w:tabs>
        <w:jc w:val="center"/>
        <w:rPr>
          <w:rFonts w:ascii="Arial" w:hAnsi="Arial" w:cs="Arial"/>
          <w:bCs/>
          <w:sz w:val="24"/>
          <w:szCs w:val="24"/>
        </w:rPr>
      </w:pPr>
    </w:p>
    <w:p w14:paraId="49EE9D20" w14:textId="77777777" w:rsidR="00B62F35" w:rsidRDefault="00B62F35" w:rsidP="00B62F35"/>
    <w:p w14:paraId="3F60A59C" w14:textId="77777777" w:rsidR="00B62F35" w:rsidRPr="00972CA6" w:rsidRDefault="00B62F35" w:rsidP="00B62F35">
      <w:pPr>
        <w:pStyle w:val="Title"/>
        <w:tabs>
          <w:tab w:val="left" w:pos="2352"/>
          <w:tab w:val="center" w:pos="4513"/>
        </w:tabs>
        <w:jc w:val="center"/>
        <w:rPr>
          <w:rFonts w:ascii="Arial" w:hAnsi="Arial" w:cs="Arial"/>
          <w:bCs/>
          <w:sz w:val="52"/>
          <w:szCs w:val="52"/>
        </w:rPr>
      </w:pPr>
      <w:r w:rsidRPr="00972CA6">
        <w:rPr>
          <w:rFonts w:ascii="Arial" w:hAnsi="Arial" w:cs="Arial"/>
          <w:bCs/>
          <w:sz w:val="52"/>
          <w:szCs w:val="52"/>
        </w:rPr>
        <w:t>Master of Business Administration</w:t>
      </w:r>
    </w:p>
    <w:p w14:paraId="697B6F10" w14:textId="77777777" w:rsidR="00B62F35" w:rsidRPr="00B62F35" w:rsidRDefault="00B62F35" w:rsidP="00B62F35"/>
    <w:p w14:paraId="1C97FDA9" w14:textId="77777777" w:rsidR="00B6313A" w:rsidRPr="00B62F35" w:rsidRDefault="00B6313A" w:rsidP="004F3F82">
      <w:pPr>
        <w:pStyle w:val="Title"/>
        <w:jc w:val="center"/>
        <w:rPr>
          <w:rFonts w:ascii="Arial" w:hAnsi="Arial" w:cs="Arial"/>
          <w:bCs/>
          <w:sz w:val="48"/>
          <w:szCs w:val="48"/>
        </w:rPr>
      </w:pPr>
      <w:r w:rsidRPr="00B62F35">
        <w:rPr>
          <w:rFonts w:ascii="Arial" w:hAnsi="Arial" w:cs="Arial"/>
          <w:bCs/>
          <w:sz w:val="48"/>
          <w:szCs w:val="48"/>
        </w:rPr>
        <w:t>Financial</w:t>
      </w:r>
      <w:r w:rsidRPr="00B62F35">
        <w:rPr>
          <w:rFonts w:ascii="Arial" w:hAnsi="Arial" w:cs="Arial"/>
          <w:b/>
          <w:sz w:val="48"/>
          <w:szCs w:val="48"/>
        </w:rPr>
        <w:t xml:space="preserve"> </w:t>
      </w:r>
      <w:r w:rsidRPr="00B62F35">
        <w:rPr>
          <w:rFonts w:ascii="Arial" w:hAnsi="Arial" w:cs="Arial"/>
          <w:bCs/>
          <w:sz w:val="48"/>
          <w:szCs w:val="48"/>
        </w:rPr>
        <w:t>Management</w:t>
      </w:r>
    </w:p>
    <w:p w14:paraId="0DEAEBFA" w14:textId="77777777" w:rsidR="00B6313A" w:rsidRPr="00B62F35" w:rsidRDefault="00B6313A" w:rsidP="004F3F82">
      <w:pPr>
        <w:pStyle w:val="Title"/>
        <w:jc w:val="center"/>
        <w:rPr>
          <w:rFonts w:ascii="Arial" w:hAnsi="Arial" w:cs="Arial"/>
          <w:bCs/>
          <w:sz w:val="48"/>
          <w:szCs w:val="48"/>
        </w:rPr>
      </w:pPr>
      <w:r w:rsidRPr="00B62F35">
        <w:rPr>
          <w:rFonts w:ascii="Arial" w:hAnsi="Arial" w:cs="Arial"/>
          <w:bCs/>
          <w:sz w:val="48"/>
          <w:szCs w:val="48"/>
        </w:rPr>
        <w:t>(LCMB7002)</w:t>
      </w:r>
    </w:p>
    <w:p w14:paraId="086B966A" w14:textId="77777777" w:rsidR="00B6313A" w:rsidRPr="002E24B3" w:rsidRDefault="00B6313A" w:rsidP="004F3F82">
      <w:pPr>
        <w:pStyle w:val="Title"/>
        <w:jc w:val="center"/>
        <w:rPr>
          <w:rFonts w:ascii="Arial" w:hAnsi="Arial" w:cs="Arial"/>
          <w:bCs/>
          <w:sz w:val="24"/>
          <w:szCs w:val="24"/>
        </w:rPr>
      </w:pPr>
    </w:p>
    <w:p w14:paraId="227603A7" w14:textId="77777777" w:rsidR="00B6313A" w:rsidRPr="002E24B3" w:rsidRDefault="00B6313A" w:rsidP="004F3F82">
      <w:pPr>
        <w:spacing w:line="240" w:lineRule="auto"/>
        <w:jc w:val="center"/>
        <w:rPr>
          <w:rFonts w:ascii="Arial" w:hAnsi="Arial" w:cs="Arial"/>
          <w:sz w:val="24"/>
          <w:szCs w:val="24"/>
        </w:rPr>
      </w:pPr>
    </w:p>
    <w:p w14:paraId="2476D86A" w14:textId="77777777" w:rsidR="00B6313A" w:rsidRPr="00B62F35" w:rsidRDefault="00B6313A" w:rsidP="004F3F82">
      <w:pPr>
        <w:pStyle w:val="Title"/>
        <w:jc w:val="center"/>
        <w:rPr>
          <w:rFonts w:ascii="Arial" w:hAnsi="Arial" w:cs="Arial"/>
          <w:bCs/>
          <w:sz w:val="40"/>
          <w:szCs w:val="40"/>
        </w:rPr>
      </w:pPr>
      <w:r w:rsidRPr="00B62F35">
        <w:rPr>
          <w:rFonts w:ascii="Arial" w:hAnsi="Arial" w:cs="Arial"/>
          <w:bCs/>
          <w:sz w:val="40"/>
          <w:szCs w:val="40"/>
        </w:rPr>
        <w:t xml:space="preserve">Lecturer: </w:t>
      </w:r>
      <w:r w:rsidRPr="00B62F35">
        <w:rPr>
          <w:rFonts w:ascii="Arial" w:hAnsi="Arial" w:cs="Arial"/>
          <w:b/>
          <w:bCs/>
          <w:sz w:val="40"/>
          <w:szCs w:val="40"/>
        </w:rPr>
        <w:t>Patrick Yeboah</w:t>
      </w:r>
    </w:p>
    <w:p w14:paraId="7E591D91" w14:textId="77777777" w:rsidR="00B6313A" w:rsidRPr="002E24B3" w:rsidRDefault="00B6313A" w:rsidP="004F3F82">
      <w:pPr>
        <w:pStyle w:val="Title"/>
        <w:jc w:val="center"/>
        <w:rPr>
          <w:rFonts w:ascii="Arial" w:hAnsi="Arial" w:cs="Arial"/>
          <w:bCs/>
          <w:sz w:val="24"/>
          <w:szCs w:val="24"/>
        </w:rPr>
      </w:pPr>
    </w:p>
    <w:p w14:paraId="3BD03352" w14:textId="77777777" w:rsidR="00B6313A" w:rsidRPr="00B62F35" w:rsidRDefault="00B6313A" w:rsidP="004F3F82">
      <w:pPr>
        <w:spacing w:line="240" w:lineRule="auto"/>
        <w:jc w:val="center"/>
        <w:rPr>
          <w:rFonts w:ascii="Arial" w:hAnsi="Arial" w:cs="Arial"/>
          <w:sz w:val="40"/>
          <w:szCs w:val="40"/>
        </w:rPr>
      </w:pPr>
    </w:p>
    <w:p w14:paraId="3D4D9D24" w14:textId="77777777" w:rsidR="00B6313A" w:rsidRPr="00B62F35" w:rsidRDefault="00B6313A" w:rsidP="004F3F82">
      <w:pPr>
        <w:pStyle w:val="Title"/>
        <w:jc w:val="both"/>
        <w:rPr>
          <w:rFonts w:ascii="Arial" w:hAnsi="Arial" w:cs="Arial"/>
          <w:bCs/>
          <w:sz w:val="40"/>
          <w:szCs w:val="40"/>
        </w:rPr>
      </w:pPr>
      <w:r w:rsidRPr="00B62F35">
        <w:rPr>
          <w:rFonts w:ascii="Arial" w:hAnsi="Arial" w:cs="Arial"/>
          <w:bCs/>
          <w:sz w:val="40"/>
          <w:szCs w:val="40"/>
        </w:rPr>
        <w:t xml:space="preserve">Student name: Priyanka </w:t>
      </w:r>
      <w:proofErr w:type="spellStart"/>
      <w:r w:rsidRPr="00B62F35">
        <w:rPr>
          <w:rFonts w:ascii="Arial" w:hAnsi="Arial" w:cs="Arial"/>
          <w:bCs/>
          <w:sz w:val="40"/>
          <w:szCs w:val="40"/>
        </w:rPr>
        <w:t>DigeshKumar</w:t>
      </w:r>
      <w:proofErr w:type="spellEnd"/>
      <w:r w:rsidRPr="00B62F35">
        <w:rPr>
          <w:rFonts w:ascii="Arial" w:hAnsi="Arial" w:cs="Arial"/>
          <w:bCs/>
          <w:sz w:val="40"/>
          <w:szCs w:val="40"/>
        </w:rPr>
        <w:t xml:space="preserve"> Bhavsar</w:t>
      </w:r>
    </w:p>
    <w:p w14:paraId="65924B70" w14:textId="77777777" w:rsidR="00B6313A" w:rsidRPr="00B62F35" w:rsidRDefault="00B6313A" w:rsidP="004F3F82">
      <w:pPr>
        <w:pStyle w:val="Title"/>
        <w:jc w:val="both"/>
        <w:rPr>
          <w:rFonts w:ascii="Arial" w:hAnsi="Arial" w:cs="Arial"/>
          <w:b/>
          <w:bCs/>
          <w:sz w:val="40"/>
          <w:szCs w:val="40"/>
        </w:rPr>
      </w:pPr>
      <w:r w:rsidRPr="00B62F35">
        <w:rPr>
          <w:rFonts w:ascii="Arial" w:hAnsi="Arial" w:cs="Arial"/>
          <w:bCs/>
          <w:sz w:val="40"/>
          <w:szCs w:val="40"/>
        </w:rPr>
        <w:t>Student ID number: 2535480</w:t>
      </w:r>
    </w:p>
    <w:p w14:paraId="3864EDF7" w14:textId="77777777" w:rsidR="00B6313A" w:rsidRPr="00B62F35" w:rsidRDefault="00B6313A" w:rsidP="004F3F82">
      <w:pPr>
        <w:spacing w:line="240" w:lineRule="auto"/>
        <w:jc w:val="both"/>
        <w:rPr>
          <w:rFonts w:ascii="Arial" w:hAnsi="Arial" w:cs="Arial"/>
          <w:sz w:val="40"/>
          <w:szCs w:val="40"/>
        </w:rPr>
      </w:pPr>
    </w:p>
    <w:p w14:paraId="1309F440" w14:textId="62873330" w:rsidR="00B6313A" w:rsidRPr="00B62F35" w:rsidRDefault="00B6313A" w:rsidP="004F3F82">
      <w:pPr>
        <w:spacing w:line="240" w:lineRule="auto"/>
        <w:jc w:val="both"/>
        <w:rPr>
          <w:rFonts w:ascii="Arial" w:hAnsi="Arial" w:cs="Arial"/>
          <w:sz w:val="40"/>
          <w:szCs w:val="40"/>
        </w:rPr>
      </w:pPr>
      <w:r w:rsidRPr="00B62F35">
        <w:rPr>
          <w:rFonts w:ascii="Arial" w:hAnsi="Arial" w:cs="Arial"/>
          <w:sz w:val="40"/>
          <w:szCs w:val="40"/>
        </w:rPr>
        <w:t xml:space="preserve">Word count: </w:t>
      </w:r>
      <w:r w:rsidR="00F718E9" w:rsidRPr="00B62F35">
        <w:rPr>
          <w:rFonts w:ascii="Arial" w:hAnsi="Arial" w:cs="Arial"/>
          <w:sz w:val="40"/>
          <w:szCs w:val="40"/>
        </w:rPr>
        <w:t>5122</w:t>
      </w:r>
    </w:p>
    <w:p w14:paraId="7FEBF4B7" w14:textId="77777777" w:rsidR="00B6313A" w:rsidRPr="00B62F35" w:rsidRDefault="00B6313A" w:rsidP="004F3F82">
      <w:pPr>
        <w:spacing w:line="240" w:lineRule="auto"/>
        <w:jc w:val="both"/>
        <w:rPr>
          <w:rFonts w:ascii="Arial" w:hAnsi="Arial" w:cs="Arial"/>
          <w:sz w:val="40"/>
          <w:szCs w:val="40"/>
        </w:rPr>
      </w:pPr>
      <w:r w:rsidRPr="00B62F35">
        <w:rPr>
          <w:rFonts w:ascii="Arial" w:hAnsi="Arial" w:cs="Arial"/>
          <w:sz w:val="40"/>
          <w:szCs w:val="40"/>
        </w:rPr>
        <w:t>Submission Date: Friday, 24</w:t>
      </w:r>
      <w:r w:rsidRPr="00B62F35">
        <w:rPr>
          <w:rFonts w:ascii="Arial" w:hAnsi="Arial" w:cs="Arial"/>
          <w:sz w:val="40"/>
          <w:szCs w:val="40"/>
          <w:vertAlign w:val="superscript"/>
        </w:rPr>
        <w:t>th</w:t>
      </w:r>
      <w:r w:rsidRPr="00B62F35">
        <w:rPr>
          <w:rFonts w:ascii="Arial" w:hAnsi="Arial" w:cs="Arial"/>
          <w:sz w:val="40"/>
          <w:szCs w:val="40"/>
        </w:rPr>
        <w:t xml:space="preserve"> July 2026 by 2 pm</w:t>
      </w:r>
    </w:p>
    <w:p w14:paraId="1A181CE6" w14:textId="77777777" w:rsidR="00B6313A" w:rsidRPr="002E24B3" w:rsidRDefault="00B6313A" w:rsidP="004F3F82">
      <w:pPr>
        <w:pStyle w:val="ListParagraph"/>
        <w:spacing w:line="240" w:lineRule="auto"/>
        <w:jc w:val="both"/>
        <w:rPr>
          <w:rFonts w:ascii="Arial" w:hAnsi="Arial" w:cs="Arial"/>
          <w:bCs/>
          <w:sz w:val="24"/>
          <w:szCs w:val="24"/>
        </w:rPr>
      </w:pPr>
    </w:p>
    <w:p w14:paraId="2A196651" w14:textId="77777777" w:rsidR="00B6313A" w:rsidRPr="002E24B3" w:rsidRDefault="00B6313A" w:rsidP="004F3F82">
      <w:pPr>
        <w:pStyle w:val="ListParagraph"/>
        <w:spacing w:line="240" w:lineRule="auto"/>
        <w:jc w:val="both"/>
        <w:rPr>
          <w:rFonts w:ascii="Arial" w:hAnsi="Arial" w:cs="Arial"/>
          <w:bCs/>
          <w:sz w:val="24"/>
          <w:szCs w:val="24"/>
        </w:rPr>
      </w:pPr>
    </w:p>
    <w:p w14:paraId="2B770532" w14:textId="77777777" w:rsidR="00B6313A" w:rsidRPr="002E24B3" w:rsidRDefault="00B6313A" w:rsidP="004F3F82">
      <w:pPr>
        <w:pStyle w:val="ListParagraph"/>
        <w:spacing w:line="240" w:lineRule="auto"/>
        <w:jc w:val="both"/>
        <w:rPr>
          <w:rFonts w:ascii="Arial" w:hAnsi="Arial" w:cs="Arial"/>
          <w:bCs/>
          <w:sz w:val="24"/>
          <w:szCs w:val="24"/>
        </w:rPr>
      </w:pPr>
    </w:p>
    <w:p w14:paraId="100F2BDB" w14:textId="77777777" w:rsidR="00B6313A" w:rsidRPr="002E24B3" w:rsidRDefault="00B6313A" w:rsidP="004F3F82">
      <w:pPr>
        <w:pStyle w:val="ListParagraph"/>
        <w:spacing w:line="240" w:lineRule="auto"/>
        <w:jc w:val="both"/>
        <w:rPr>
          <w:rFonts w:ascii="Arial" w:hAnsi="Arial" w:cs="Arial"/>
          <w:bCs/>
          <w:sz w:val="24"/>
          <w:szCs w:val="24"/>
        </w:rPr>
      </w:pPr>
    </w:p>
    <w:p w14:paraId="3112181F" w14:textId="77777777" w:rsidR="00B6313A" w:rsidRPr="002E24B3" w:rsidRDefault="00B6313A" w:rsidP="004F3F82">
      <w:pPr>
        <w:pStyle w:val="ListParagraph"/>
        <w:spacing w:line="240" w:lineRule="auto"/>
        <w:jc w:val="both"/>
        <w:rPr>
          <w:rFonts w:ascii="Arial" w:hAnsi="Arial" w:cs="Arial"/>
          <w:bCs/>
          <w:sz w:val="24"/>
          <w:szCs w:val="24"/>
        </w:rPr>
      </w:pPr>
    </w:p>
    <w:p w14:paraId="1E343382" w14:textId="77777777" w:rsidR="00B6313A" w:rsidRPr="002E24B3" w:rsidRDefault="00B6313A" w:rsidP="004F3F82">
      <w:pPr>
        <w:pStyle w:val="ListParagraph"/>
        <w:spacing w:line="240" w:lineRule="auto"/>
        <w:jc w:val="both"/>
        <w:rPr>
          <w:rFonts w:ascii="Arial" w:hAnsi="Arial" w:cs="Arial"/>
          <w:bCs/>
          <w:sz w:val="24"/>
          <w:szCs w:val="24"/>
        </w:rPr>
      </w:pPr>
    </w:p>
    <w:p w14:paraId="53A8B853" w14:textId="77777777" w:rsidR="00B6313A" w:rsidRPr="002E24B3" w:rsidRDefault="00B6313A" w:rsidP="004F3F82">
      <w:pPr>
        <w:pStyle w:val="ListParagraph"/>
        <w:spacing w:line="240" w:lineRule="auto"/>
        <w:jc w:val="both"/>
        <w:rPr>
          <w:rFonts w:ascii="Arial" w:hAnsi="Arial" w:cs="Arial"/>
          <w:bCs/>
          <w:sz w:val="24"/>
          <w:szCs w:val="24"/>
        </w:rPr>
      </w:pPr>
    </w:p>
    <w:p w14:paraId="0AB4278A" w14:textId="77777777" w:rsidR="00B6313A" w:rsidRPr="002E24B3" w:rsidRDefault="00B6313A" w:rsidP="004F3F82">
      <w:pPr>
        <w:pStyle w:val="ListParagraph"/>
        <w:spacing w:line="240" w:lineRule="auto"/>
        <w:jc w:val="both"/>
        <w:rPr>
          <w:rFonts w:ascii="Arial" w:hAnsi="Arial" w:cs="Arial"/>
          <w:bCs/>
          <w:sz w:val="24"/>
          <w:szCs w:val="24"/>
        </w:rPr>
      </w:pPr>
    </w:p>
    <w:p w14:paraId="3C5D9560" w14:textId="77777777" w:rsidR="00B6313A" w:rsidRPr="002E24B3" w:rsidRDefault="00B6313A" w:rsidP="004F3F82">
      <w:pPr>
        <w:pStyle w:val="ListParagraph"/>
        <w:spacing w:line="240" w:lineRule="auto"/>
        <w:jc w:val="both"/>
        <w:rPr>
          <w:rFonts w:ascii="Arial" w:hAnsi="Arial" w:cs="Arial"/>
          <w:bCs/>
          <w:sz w:val="24"/>
          <w:szCs w:val="24"/>
        </w:rPr>
      </w:pPr>
    </w:p>
    <w:p w14:paraId="6D385F36" w14:textId="77777777" w:rsidR="00B6313A" w:rsidRPr="002E24B3" w:rsidRDefault="00B6313A" w:rsidP="004F3F82">
      <w:pPr>
        <w:pStyle w:val="ListParagraph"/>
        <w:spacing w:line="240" w:lineRule="auto"/>
        <w:jc w:val="both"/>
        <w:rPr>
          <w:rFonts w:ascii="Arial" w:hAnsi="Arial" w:cs="Arial"/>
          <w:bCs/>
          <w:sz w:val="24"/>
          <w:szCs w:val="24"/>
        </w:rPr>
      </w:pPr>
    </w:p>
    <w:p w14:paraId="26A98491" w14:textId="77777777" w:rsidR="00B6313A" w:rsidRPr="002E24B3" w:rsidRDefault="00B6313A" w:rsidP="004F3F82">
      <w:pPr>
        <w:pStyle w:val="ListParagraph"/>
        <w:spacing w:line="240" w:lineRule="auto"/>
        <w:jc w:val="both"/>
        <w:rPr>
          <w:rFonts w:ascii="Arial" w:hAnsi="Arial" w:cs="Arial"/>
          <w:bCs/>
          <w:sz w:val="24"/>
          <w:szCs w:val="24"/>
        </w:rPr>
      </w:pPr>
    </w:p>
    <w:p w14:paraId="504F8285" w14:textId="77777777" w:rsidR="00B6313A" w:rsidRPr="002E24B3" w:rsidRDefault="00B6313A" w:rsidP="004F3F82">
      <w:pPr>
        <w:pStyle w:val="ListParagraph"/>
        <w:spacing w:line="240" w:lineRule="auto"/>
        <w:jc w:val="both"/>
        <w:rPr>
          <w:rFonts w:ascii="Arial" w:hAnsi="Arial" w:cs="Arial"/>
          <w:bCs/>
          <w:sz w:val="24"/>
          <w:szCs w:val="24"/>
        </w:rPr>
      </w:pPr>
    </w:p>
    <w:p w14:paraId="154F0BF9" w14:textId="77777777" w:rsidR="00B6313A" w:rsidRPr="002E24B3" w:rsidRDefault="00B6313A" w:rsidP="004F3F82">
      <w:pPr>
        <w:pStyle w:val="ListParagraph"/>
        <w:spacing w:line="240" w:lineRule="auto"/>
        <w:jc w:val="both"/>
        <w:rPr>
          <w:rFonts w:ascii="Arial" w:hAnsi="Arial" w:cs="Arial"/>
          <w:bCs/>
          <w:sz w:val="24"/>
          <w:szCs w:val="24"/>
        </w:rPr>
      </w:pPr>
    </w:p>
    <w:p w14:paraId="148B1944" w14:textId="77777777" w:rsidR="00B6313A" w:rsidRPr="002E24B3" w:rsidRDefault="00B6313A" w:rsidP="004F3F82">
      <w:pPr>
        <w:pStyle w:val="ListParagraph"/>
        <w:spacing w:line="240" w:lineRule="auto"/>
        <w:jc w:val="both"/>
        <w:rPr>
          <w:rFonts w:ascii="Arial" w:hAnsi="Arial" w:cs="Arial"/>
          <w:bCs/>
          <w:sz w:val="24"/>
          <w:szCs w:val="24"/>
        </w:rPr>
      </w:pPr>
    </w:p>
    <w:p w14:paraId="19B752B0" w14:textId="77777777" w:rsidR="00E86F21" w:rsidRPr="002E24B3" w:rsidRDefault="00E86F21" w:rsidP="004F3F82">
      <w:pPr>
        <w:spacing w:line="240" w:lineRule="auto"/>
        <w:jc w:val="center"/>
        <w:rPr>
          <w:rFonts w:ascii="Arial" w:hAnsi="Arial" w:cs="Arial"/>
          <w:b/>
          <w:sz w:val="24"/>
          <w:szCs w:val="24"/>
        </w:rPr>
      </w:pPr>
    </w:p>
    <w:p w14:paraId="3754F5F5" w14:textId="3EB0A504" w:rsidR="00B6313A" w:rsidRPr="00104111" w:rsidRDefault="00B6313A" w:rsidP="004F3F82">
      <w:pPr>
        <w:spacing w:line="240" w:lineRule="auto"/>
        <w:jc w:val="center"/>
        <w:rPr>
          <w:rFonts w:ascii="Arial" w:hAnsi="Arial" w:cs="Arial"/>
          <w:bCs/>
          <w:sz w:val="24"/>
          <w:szCs w:val="24"/>
        </w:rPr>
      </w:pPr>
      <w:r w:rsidRPr="00104111">
        <w:rPr>
          <w:rFonts w:ascii="Arial" w:hAnsi="Arial" w:cs="Arial"/>
          <w:bCs/>
          <w:sz w:val="24"/>
          <w:szCs w:val="24"/>
        </w:rPr>
        <w:lastRenderedPageBreak/>
        <w:t>Contents</w:t>
      </w:r>
    </w:p>
    <w:p w14:paraId="516C90F1" w14:textId="77777777" w:rsidR="00B6313A" w:rsidRPr="00104111" w:rsidRDefault="00B6313A" w:rsidP="004F3F82">
      <w:pPr>
        <w:spacing w:line="240" w:lineRule="auto"/>
        <w:jc w:val="both"/>
        <w:rPr>
          <w:rFonts w:ascii="Arial" w:hAnsi="Arial" w:cs="Arial"/>
          <w:bCs/>
          <w:sz w:val="24"/>
          <w:szCs w:val="24"/>
        </w:rPr>
      </w:pPr>
    </w:p>
    <w:p w14:paraId="4D015EB1" w14:textId="77777777" w:rsidR="00B6313A" w:rsidRPr="00104111" w:rsidRDefault="00B6313A" w:rsidP="004F3F82">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rPr>
        <w:t>Introduction………….……………………………………………………………</w:t>
      </w:r>
      <w:proofErr w:type="gramStart"/>
      <w:r w:rsidRPr="00104111">
        <w:rPr>
          <w:rFonts w:ascii="Arial" w:hAnsi="Arial" w:cs="Arial"/>
          <w:bCs/>
          <w:sz w:val="24"/>
          <w:szCs w:val="24"/>
        </w:rPr>
        <w:t>.....</w:t>
      </w:r>
      <w:proofErr w:type="gramEnd"/>
      <w:r w:rsidRPr="00104111">
        <w:rPr>
          <w:rFonts w:ascii="Arial" w:hAnsi="Arial" w:cs="Arial"/>
          <w:bCs/>
          <w:sz w:val="24"/>
          <w:szCs w:val="24"/>
        </w:rPr>
        <w:t>3</w:t>
      </w:r>
    </w:p>
    <w:p w14:paraId="489A90C8" w14:textId="77777777" w:rsidR="00B6313A" w:rsidRPr="00104111" w:rsidRDefault="00B6313A" w:rsidP="004F3F82">
      <w:pPr>
        <w:pStyle w:val="ListParagraph"/>
        <w:spacing w:line="240" w:lineRule="auto"/>
        <w:jc w:val="both"/>
        <w:rPr>
          <w:rFonts w:ascii="Arial" w:hAnsi="Arial" w:cs="Arial"/>
          <w:bCs/>
          <w:sz w:val="24"/>
          <w:szCs w:val="24"/>
        </w:rPr>
      </w:pPr>
    </w:p>
    <w:p w14:paraId="6CB11262" w14:textId="73663733" w:rsidR="00B6313A" w:rsidRPr="00104111" w:rsidRDefault="00B6313A" w:rsidP="00DF3F55">
      <w:pPr>
        <w:pStyle w:val="ListParagraph"/>
        <w:spacing w:line="240" w:lineRule="auto"/>
        <w:jc w:val="both"/>
        <w:rPr>
          <w:rFonts w:ascii="Arial" w:hAnsi="Arial" w:cs="Arial"/>
          <w:bCs/>
          <w:sz w:val="24"/>
          <w:szCs w:val="24"/>
        </w:rPr>
      </w:pPr>
      <w:r w:rsidRPr="00104111">
        <w:rPr>
          <w:rFonts w:ascii="Arial" w:hAnsi="Arial" w:cs="Arial"/>
          <w:bCs/>
          <w:sz w:val="24"/>
          <w:szCs w:val="24"/>
        </w:rPr>
        <w:t xml:space="preserve">Task </w:t>
      </w:r>
      <w:r w:rsidR="00DF3F55" w:rsidRPr="00104111">
        <w:rPr>
          <w:rFonts w:ascii="Arial" w:hAnsi="Arial" w:cs="Arial"/>
          <w:bCs/>
          <w:sz w:val="24"/>
          <w:szCs w:val="24"/>
        </w:rPr>
        <w:t>1</w:t>
      </w:r>
      <w:r w:rsidRPr="00104111">
        <w:rPr>
          <w:rFonts w:ascii="Arial" w:hAnsi="Arial" w:cs="Arial"/>
          <w:bCs/>
          <w:sz w:val="24"/>
          <w:szCs w:val="24"/>
        </w:rPr>
        <w:t>: Financial Health Check</w:t>
      </w:r>
    </w:p>
    <w:p w14:paraId="601B2F9D" w14:textId="77777777" w:rsidR="00B6313A" w:rsidRPr="00104111" w:rsidRDefault="00B6313A" w:rsidP="004F3F82">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rPr>
        <w:t>A. Analysis of Financial Statements……………………………………………</w:t>
      </w:r>
      <w:proofErr w:type="gramStart"/>
      <w:r w:rsidRPr="00104111">
        <w:rPr>
          <w:rFonts w:ascii="Arial" w:hAnsi="Arial" w:cs="Arial"/>
          <w:bCs/>
          <w:sz w:val="24"/>
          <w:szCs w:val="24"/>
        </w:rPr>
        <w:t>…..</w:t>
      </w:r>
      <w:proofErr w:type="gramEnd"/>
      <w:r w:rsidRPr="00104111">
        <w:rPr>
          <w:rFonts w:ascii="Arial" w:hAnsi="Arial" w:cs="Arial"/>
          <w:bCs/>
          <w:sz w:val="24"/>
          <w:szCs w:val="24"/>
        </w:rPr>
        <w:t>3</w:t>
      </w:r>
    </w:p>
    <w:p w14:paraId="0DFE772D" w14:textId="77777777" w:rsidR="00B6313A" w:rsidRPr="00104111" w:rsidRDefault="00B6313A" w:rsidP="004F3F82">
      <w:pPr>
        <w:pStyle w:val="ListParagraph"/>
        <w:spacing w:line="240" w:lineRule="auto"/>
        <w:jc w:val="both"/>
        <w:rPr>
          <w:rFonts w:ascii="Arial" w:hAnsi="Arial" w:cs="Arial"/>
          <w:bCs/>
          <w:sz w:val="24"/>
          <w:szCs w:val="24"/>
        </w:rPr>
      </w:pPr>
      <w:r w:rsidRPr="00104111">
        <w:rPr>
          <w:rFonts w:ascii="Arial" w:hAnsi="Arial" w:cs="Arial"/>
          <w:bCs/>
          <w:sz w:val="24"/>
          <w:szCs w:val="24"/>
        </w:rPr>
        <w:t>A.1. Income Statement Analysis……………………………………………………3</w:t>
      </w:r>
    </w:p>
    <w:p w14:paraId="762EA45B" w14:textId="77777777" w:rsidR="00B6313A" w:rsidRPr="00104111" w:rsidRDefault="00B6313A" w:rsidP="004F3F82">
      <w:pPr>
        <w:pStyle w:val="ListParagraph"/>
        <w:spacing w:line="240" w:lineRule="auto"/>
        <w:jc w:val="both"/>
        <w:rPr>
          <w:rFonts w:ascii="Arial" w:hAnsi="Arial" w:cs="Arial"/>
          <w:bCs/>
          <w:sz w:val="24"/>
          <w:szCs w:val="24"/>
        </w:rPr>
      </w:pPr>
      <w:r w:rsidRPr="00104111">
        <w:rPr>
          <w:rFonts w:ascii="Arial" w:hAnsi="Arial" w:cs="Arial"/>
          <w:bCs/>
          <w:sz w:val="24"/>
          <w:szCs w:val="24"/>
        </w:rPr>
        <w:t>A.2. Balance Sheet Analysis……………………………………………………</w:t>
      </w:r>
      <w:proofErr w:type="gramStart"/>
      <w:r w:rsidRPr="00104111">
        <w:rPr>
          <w:rFonts w:ascii="Arial" w:hAnsi="Arial" w:cs="Arial"/>
          <w:bCs/>
          <w:sz w:val="24"/>
          <w:szCs w:val="24"/>
        </w:rPr>
        <w:t>…..</w:t>
      </w:r>
      <w:proofErr w:type="gramEnd"/>
      <w:r w:rsidRPr="00104111">
        <w:rPr>
          <w:rFonts w:ascii="Arial" w:hAnsi="Arial" w:cs="Arial"/>
          <w:bCs/>
          <w:sz w:val="24"/>
          <w:szCs w:val="24"/>
        </w:rPr>
        <w:t>4</w:t>
      </w:r>
    </w:p>
    <w:p w14:paraId="796A47F8" w14:textId="668CF51D" w:rsidR="00B6313A" w:rsidRPr="00104111" w:rsidRDefault="00B6313A" w:rsidP="00C64D55">
      <w:pPr>
        <w:pStyle w:val="ListParagraph"/>
        <w:spacing w:line="240" w:lineRule="auto"/>
        <w:jc w:val="both"/>
        <w:rPr>
          <w:rFonts w:ascii="Arial" w:hAnsi="Arial" w:cs="Arial"/>
          <w:bCs/>
          <w:sz w:val="24"/>
          <w:szCs w:val="24"/>
        </w:rPr>
      </w:pPr>
      <w:r w:rsidRPr="00104111">
        <w:rPr>
          <w:rFonts w:ascii="Arial" w:hAnsi="Arial" w:cs="Arial"/>
          <w:bCs/>
          <w:sz w:val="24"/>
          <w:szCs w:val="24"/>
        </w:rPr>
        <w:t>A.3. Cash Flow Statement Analysis……………………………………………</w:t>
      </w:r>
      <w:proofErr w:type="gramStart"/>
      <w:r w:rsidRPr="00104111">
        <w:rPr>
          <w:rFonts w:ascii="Arial" w:hAnsi="Arial" w:cs="Arial"/>
          <w:bCs/>
          <w:sz w:val="24"/>
          <w:szCs w:val="24"/>
        </w:rPr>
        <w:t>…..</w:t>
      </w:r>
      <w:proofErr w:type="gramEnd"/>
      <w:r w:rsidR="00DF3F55" w:rsidRPr="00104111">
        <w:rPr>
          <w:rFonts w:ascii="Arial" w:hAnsi="Arial" w:cs="Arial"/>
          <w:bCs/>
          <w:sz w:val="24"/>
          <w:szCs w:val="24"/>
        </w:rPr>
        <w:t>4</w:t>
      </w:r>
    </w:p>
    <w:p w14:paraId="7D57ECC0" w14:textId="7D333A7A" w:rsidR="00B6313A" w:rsidRPr="00104111" w:rsidRDefault="00B6313A" w:rsidP="004F3F82">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rPr>
        <w:t xml:space="preserve">B. </w:t>
      </w:r>
      <w:r w:rsidRPr="00104111">
        <w:rPr>
          <w:rFonts w:ascii="Arial" w:hAnsi="Arial" w:cs="Arial"/>
          <w:bCs/>
          <w:sz w:val="24"/>
          <w:szCs w:val="24"/>
          <w:lang w:val="en-US"/>
        </w:rPr>
        <w:t xml:space="preserve">Comprehensive </w:t>
      </w:r>
      <w:r w:rsidR="00704D18" w:rsidRPr="00104111">
        <w:rPr>
          <w:rFonts w:ascii="Arial" w:hAnsi="Arial" w:cs="Arial"/>
          <w:bCs/>
          <w:sz w:val="24"/>
          <w:szCs w:val="24"/>
          <w:lang w:val="en-US"/>
        </w:rPr>
        <w:t>Ratio Analysis</w:t>
      </w:r>
      <w:r w:rsidRPr="00104111">
        <w:rPr>
          <w:rFonts w:ascii="Arial" w:hAnsi="Arial" w:cs="Arial"/>
          <w:bCs/>
          <w:sz w:val="24"/>
          <w:szCs w:val="24"/>
          <w:lang w:val="en-US"/>
        </w:rPr>
        <w:t>…………………………………………</w:t>
      </w:r>
      <w:proofErr w:type="gramStart"/>
      <w:r w:rsidRPr="00104111">
        <w:rPr>
          <w:rFonts w:ascii="Arial" w:hAnsi="Arial" w:cs="Arial"/>
          <w:bCs/>
          <w:sz w:val="24"/>
          <w:szCs w:val="24"/>
          <w:lang w:val="en-US"/>
        </w:rPr>
        <w:t>…</w:t>
      </w:r>
      <w:r w:rsidR="00104111">
        <w:rPr>
          <w:rFonts w:ascii="Arial" w:hAnsi="Arial" w:cs="Arial"/>
          <w:bCs/>
          <w:sz w:val="24"/>
          <w:szCs w:val="24"/>
          <w:lang w:val="en-US"/>
        </w:rPr>
        <w:t>..</w:t>
      </w:r>
      <w:proofErr w:type="gramEnd"/>
      <w:r w:rsidRPr="00104111">
        <w:rPr>
          <w:rFonts w:ascii="Arial" w:hAnsi="Arial" w:cs="Arial"/>
          <w:bCs/>
          <w:sz w:val="24"/>
          <w:szCs w:val="24"/>
          <w:lang w:val="en-US"/>
        </w:rPr>
        <w:t>…...5</w:t>
      </w:r>
    </w:p>
    <w:p w14:paraId="3122851A" w14:textId="77777777" w:rsidR="00B6313A" w:rsidRPr="00104111" w:rsidRDefault="00B6313A" w:rsidP="004F3F82">
      <w:pPr>
        <w:pStyle w:val="ListParagraph"/>
        <w:spacing w:line="240" w:lineRule="auto"/>
        <w:jc w:val="both"/>
        <w:rPr>
          <w:rFonts w:ascii="Arial" w:hAnsi="Arial" w:cs="Arial"/>
          <w:bCs/>
          <w:sz w:val="24"/>
          <w:szCs w:val="24"/>
        </w:rPr>
      </w:pPr>
      <w:r w:rsidRPr="00104111">
        <w:rPr>
          <w:rFonts w:ascii="Arial" w:hAnsi="Arial" w:cs="Arial"/>
          <w:bCs/>
          <w:sz w:val="24"/>
          <w:szCs w:val="24"/>
          <w:lang w:val="en-US"/>
        </w:rPr>
        <w:t xml:space="preserve">B.1. </w:t>
      </w:r>
      <w:r w:rsidRPr="00104111">
        <w:rPr>
          <w:rFonts w:ascii="Arial" w:hAnsi="Arial" w:cs="Arial"/>
          <w:bCs/>
          <w:sz w:val="24"/>
          <w:szCs w:val="24"/>
        </w:rPr>
        <w:t>Profitability Ratio Analysis…………………………………………………</w:t>
      </w:r>
      <w:proofErr w:type="gramStart"/>
      <w:r w:rsidRPr="00104111">
        <w:rPr>
          <w:rFonts w:ascii="Arial" w:hAnsi="Arial" w:cs="Arial"/>
          <w:bCs/>
          <w:sz w:val="24"/>
          <w:szCs w:val="24"/>
        </w:rPr>
        <w:t>…..</w:t>
      </w:r>
      <w:proofErr w:type="gramEnd"/>
      <w:r w:rsidRPr="00104111">
        <w:rPr>
          <w:rFonts w:ascii="Arial" w:hAnsi="Arial" w:cs="Arial"/>
          <w:bCs/>
          <w:sz w:val="24"/>
          <w:szCs w:val="24"/>
        </w:rPr>
        <w:t>5</w:t>
      </w:r>
    </w:p>
    <w:p w14:paraId="1458F9F5" w14:textId="77777777" w:rsidR="00B6313A" w:rsidRPr="00104111" w:rsidRDefault="00B6313A" w:rsidP="004F3F82">
      <w:pPr>
        <w:pStyle w:val="ListParagraph"/>
        <w:spacing w:line="240" w:lineRule="auto"/>
        <w:jc w:val="both"/>
        <w:rPr>
          <w:rFonts w:ascii="Arial" w:hAnsi="Arial" w:cs="Arial"/>
          <w:bCs/>
          <w:sz w:val="24"/>
          <w:szCs w:val="24"/>
        </w:rPr>
      </w:pPr>
      <w:r w:rsidRPr="00104111">
        <w:rPr>
          <w:rFonts w:ascii="Arial" w:hAnsi="Arial" w:cs="Arial"/>
          <w:bCs/>
          <w:sz w:val="24"/>
          <w:szCs w:val="24"/>
        </w:rPr>
        <w:t>B.2. Liquidity Ratio Analysis………………………………………………………...6</w:t>
      </w:r>
    </w:p>
    <w:p w14:paraId="40B35592" w14:textId="17AAB839" w:rsidR="00C64D55" w:rsidRPr="00104111" w:rsidRDefault="00B6313A" w:rsidP="00C64D55">
      <w:pPr>
        <w:pStyle w:val="ListParagraph"/>
        <w:spacing w:line="240" w:lineRule="auto"/>
        <w:jc w:val="both"/>
        <w:rPr>
          <w:rFonts w:ascii="Arial" w:hAnsi="Arial" w:cs="Arial"/>
          <w:bCs/>
          <w:sz w:val="24"/>
          <w:szCs w:val="24"/>
        </w:rPr>
      </w:pPr>
      <w:r w:rsidRPr="00104111">
        <w:rPr>
          <w:rFonts w:ascii="Arial" w:hAnsi="Arial" w:cs="Arial"/>
          <w:bCs/>
          <w:sz w:val="24"/>
          <w:szCs w:val="24"/>
        </w:rPr>
        <w:t>B.3. Efficiency Ratio Analysis……………………………………………………….</w:t>
      </w:r>
      <w:r w:rsidR="00DF3F55" w:rsidRPr="00104111">
        <w:rPr>
          <w:rFonts w:ascii="Arial" w:hAnsi="Arial" w:cs="Arial"/>
          <w:bCs/>
          <w:sz w:val="24"/>
          <w:szCs w:val="24"/>
        </w:rPr>
        <w:t>7</w:t>
      </w:r>
    </w:p>
    <w:p w14:paraId="38CC3CE1" w14:textId="419F5233" w:rsidR="00C64D55" w:rsidRPr="00104111" w:rsidRDefault="00DF3F55" w:rsidP="00C64D55">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rPr>
        <w:t>C.</w:t>
      </w:r>
      <w:r w:rsidRPr="00104111">
        <w:rPr>
          <w:rFonts w:ascii="Arial" w:hAnsi="Arial" w:cs="Arial"/>
          <w:bCs/>
          <w:sz w:val="24"/>
          <w:szCs w:val="24"/>
          <w:lang w:val="en-US"/>
        </w:rPr>
        <w:t>Identify trends, strengths, and potential threats……………</w:t>
      </w:r>
      <w:r w:rsidR="00B62F35" w:rsidRPr="00104111">
        <w:rPr>
          <w:rFonts w:ascii="Arial" w:hAnsi="Arial" w:cs="Arial"/>
          <w:bCs/>
          <w:sz w:val="24"/>
          <w:szCs w:val="24"/>
          <w:lang w:val="en-US"/>
        </w:rPr>
        <w:t>…</w:t>
      </w:r>
      <w:r w:rsidRPr="00104111">
        <w:rPr>
          <w:rFonts w:ascii="Arial" w:hAnsi="Arial" w:cs="Arial"/>
          <w:bCs/>
          <w:sz w:val="24"/>
          <w:szCs w:val="24"/>
          <w:lang w:val="en-US"/>
        </w:rPr>
        <w:t>……………</w:t>
      </w:r>
      <w:proofErr w:type="gramStart"/>
      <w:r w:rsidRPr="00104111">
        <w:rPr>
          <w:rFonts w:ascii="Arial" w:hAnsi="Arial" w:cs="Arial"/>
          <w:bCs/>
          <w:sz w:val="24"/>
          <w:szCs w:val="24"/>
          <w:lang w:val="en-US"/>
        </w:rPr>
        <w:t>…..</w:t>
      </w:r>
      <w:proofErr w:type="gramEnd"/>
      <w:r w:rsidRPr="00104111">
        <w:rPr>
          <w:rFonts w:ascii="Arial" w:hAnsi="Arial" w:cs="Arial"/>
          <w:bCs/>
          <w:sz w:val="24"/>
          <w:szCs w:val="24"/>
          <w:lang w:val="en-US"/>
        </w:rPr>
        <w:t>8</w:t>
      </w:r>
    </w:p>
    <w:p w14:paraId="17A79ECB" w14:textId="7EEE916F" w:rsidR="00DF3F55" w:rsidRPr="00104111" w:rsidRDefault="00DF3F55" w:rsidP="00C64D55">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rPr>
        <w:t>D.</w:t>
      </w:r>
      <w:r w:rsidR="00704D18" w:rsidRPr="00104111">
        <w:rPr>
          <w:rFonts w:ascii="Arial" w:hAnsi="Arial" w:cs="Arial"/>
          <w:bCs/>
          <w:sz w:val="24"/>
          <w:szCs w:val="24"/>
        </w:rPr>
        <w:t xml:space="preserve"> </w:t>
      </w:r>
      <w:r w:rsidRPr="00104111">
        <w:rPr>
          <w:rFonts w:ascii="Arial" w:hAnsi="Arial" w:cs="Arial"/>
          <w:bCs/>
          <w:sz w:val="24"/>
          <w:szCs w:val="24"/>
        </w:rPr>
        <w:t>Comparison of liquidity ratios with industry benchmarks………………</w:t>
      </w:r>
      <w:proofErr w:type="gramStart"/>
      <w:r w:rsidRPr="00104111">
        <w:rPr>
          <w:rFonts w:ascii="Arial" w:hAnsi="Arial" w:cs="Arial"/>
          <w:bCs/>
          <w:sz w:val="24"/>
          <w:szCs w:val="24"/>
        </w:rPr>
        <w:t>…</w:t>
      </w:r>
      <w:r w:rsidR="00704D18" w:rsidRPr="00104111">
        <w:rPr>
          <w:rFonts w:ascii="Arial" w:hAnsi="Arial" w:cs="Arial"/>
          <w:bCs/>
          <w:sz w:val="24"/>
          <w:szCs w:val="24"/>
        </w:rPr>
        <w:t>..</w:t>
      </w:r>
      <w:proofErr w:type="gramEnd"/>
      <w:r w:rsidRPr="00104111">
        <w:rPr>
          <w:rFonts w:ascii="Arial" w:hAnsi="Arial" w:cs="Arial"/>
          <w:bCs/>
          <w:sz w:val="24"/>
          <w:szCs w:val="24"/>
        </w:rPr>
        <w:t>…8</w:t>
      </w:r>
    </w:p>
    <w:p w14:paraId="1D4D8632" w14:textId="77777777" w:rsidR="00C64D55" w:rsidRPr="00104111" w:rsidRDefault="00C64D55" w:rsidP="00C64D55">
      <w:pPr>
        <w:pStyle w:val="ListParagraph"/>
        <w:spacing w:line="240" w:lineRule="auto"/>
        <w:jc w:val="both"/>
        <w:rPr>
          <w:rFonts w:ascii="Arial" w:hAnsi="Arial" w:cs="Arial"/>
          <w:bCs/>
          <w:sz w:val="24"/>
          <w:szCs w:val="24"/>
        </w:rPr>
      </w:pPr>
    </w:p>
    <w:p w14:paraId="4C0B0A17" w14:textId="5A6929DC" w:rsidR="00C64D55" w:rsidRPr="00104111" w:rsidRDefault="00C64D55" w:rsidP="00C64D55">
      <w:pPr>
        <w:pStyle w:val="ListParagraph"/>
        <w:spacing w:line="240" w:lineRule="auto"/>
        <w:jc w:val="both"/>
        <w:rPr>
          <w:rFonts w:ascii="Arial" w:hAnsi="Arial" w:cs="Arial"/>
          <w:bCs/>
          <w:sz w:val="24"/>
          <w:szCs w:val="24"/>
        </w:rPr>
      </w:pPr>
      <w:r w:rsidRPr="00104111">
        <w:rPr>
          <w:rFonts w:ascii="Arial" w:hAnsi="Arial" w:cs="Arial"/>
          <w:bCs/>
          <w:sz w:val="24"/>
          <w:szCs w:val="24"/>
        </w:rPr>
        <w:t xml:space="preserve">Task 2: </w:t>
      </w:r>
      <w:r w:rsidRPr="00104111">
        <w:rPr>
          <w:rFonts w:ascii="Arial" w:hAnsi="Arial" w:cs="Arial"/>
          <w:bCs/>
          <w:sz w:val="24"/>
          <w:szCs w:val="24"/>
          <w:lang w:val="en-US"/>
        </w:rPr>
        <w:t xml:space="preserve">Working Capital Management Analysis </w:t>
      </w:r>
    </w:p>
    <w:p w14:paraId="2AA74A35" w14:textId="41EB970D" w:rsidR="00C64D55" w:rsidRPr="00104111" w:rsidRDefault="002C4B6C" w:rsidP="002C4B6C">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lang w:val="en-US"/>
        </w:rPr>
        <w:t xml:space="preserve">A. Assess the cash operating </w:t>
      </w:r>
      <w:r w:rsidR="00704D18" w:rsidRPr="00104111">
        <w:rPr>
          <w:rFonts w:ascii="Arial" w:hAnsi="Arial" w:cs="Arial"/>
          <w:bCs/>
          <w:sz w:val="24"/>
          <w:szCs w:val="24"/>
          <w:lang w:val="en-US"/>
        </w:rPr>
        <w:t>cycle.</w:t>
      </w:r>
      <w:r w:rsidR="00C64D55" w:rsidRPr="00104111">
        <w:rPr>
          <w:rFonts w:ascii="Arial" w:hAnsi="Arial" w:cs="Arial"/>
          <w:bCs/>
          <w:sz w:val="24"/>
          <w:szCs w:val="24"/>
        </w:rPr>
        <w:t>……………………………………</w:t>
      </w:r>
      <w:r w:rsidR="00704D18" w:rsidRPr="00104111">
        <w:rPr>
          <w:rFonts w:ascii="Arial" w:hAnsi="Arial" w:cs="Arial"/>
          <w:bCs/>
          <w:sz w:val="24"/>
          <w:szCs w:val="24"/>
        </w:rPr>
        <w:t>.</w:t>
      </w:r>
      <w:r w:rsidR="00C64D55" w:rsidRPr="00104111">
        <w:rPr>
          <w:rFonts w:ascii="Arial" w:hAnsi="Arial" w:cs="Arial"/>
          <w:bCs/>
          <w:sz w:val="24"/>
          <w:szCs w:val="24"/>
        </w:rPr>
        <w:t>…</w:t>
      </w:r>
      <w:r w:rsidR="00104111">
        <w:rPr>
          <w:rFonts w:ascii="Arial" w:hAnsi="Arial" w:cs="Arial"/>
          <w:bCs/>
          <w:sz w:val="24"/>
          <w:szCs w:val="24"/>
        </w:rPr>
        <w:t>.</w:t>
      </w:r>
      <w:r w:rsidR="00C64D55" w:rsidRPr="00104111">
        <w:rPr>
          <w:rFonts w:ascii="Arial" w:hAnsi="Arial" w:cs="Arial"/>
          <w:bCs/>
          <w:sz w:val="24"/>
          <w:szCs w:val="24"/>
        </w:rPr>
        <w:t>…</w:t>
      </w:r>
      <w:proofErr w:type="gramStart"/>
      <w:r w:rsidR="00C64D55" w:rsidRPr="00104111">
        <w:rPr>
          <w:rFonts w:ascii="Arial" w:hAnsi="Arial" w:cs="Arial"/>
          <w:bCs/>
          <w:sz w:val="24"/>
          <w:szCs w:val="24"/>
        </w:rPr>
        <w:t>…</w:t>
      </w:r>
      <w:r w:rsidRPr="00104111">
        <w:rPr>
          <w:rFonts w:ascii="Arial" w:hAnsi="Arial" w:cs="Arial"/>
          <w:bCs/>
          <w:sz w:val="24"/>
          <w:szCs w:val="24"/>
        </w:rPr>
        <w:t>.</w:t>
      </w:r>
      <w:r w:rsidR="00B62F35" w:rsidRPr="00104111">
        <w:rPr>
          <w:rFonts w:ascii="Arial" w:hAnsi="Arial" w:cs="Arial"/>
          <w:bCs/>
          <w:sz w:val="24"/>
          <w:szCs w:val="24"/>
        </w:rPr>
        <w:t>.</w:t>
      </w:r>
      <w:proofErr w:type="gramEnd"/>
      <w:r w:rsidRPr="00104111">
        <w:rPr>
          <w:rFonts w:ascii="Arial" w:hAnsi="Arial" w:cs="Arial"/>
          <w:bCs/>
          <w:sz w:val="24"/>
          <w:szCs w:val="24"/>
        </w:rPr>
        <w:t>9</w:t>
      </w:r>
    </w:p>
    <w:p w14:paraId="6ED6A200" w14:textId="49D4E978" w:rsidR="00C64D55" w:rsidRPr="00104111" w:rsidRDefault="002C4B6C" w:rsidP="00C64D55">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lang w:val="en-US"/>
        </w:rPr>
        <w:t>B. Recommend strategies….…………</w:t>
      </w:r>
      <w:r w:rsidR="00C64D55" w:rsidRPr="00104111">
        <w:rPr>
          <w:rFonts w:ascii="Arial" w:hAnsi="Arial" w:cs="Arial"/>
          <w:bCs/>
          <w:sz w:val="24"/>
          <w:szCs w:val="24"/>
          <w:lang w:val="en-US"/>
        </w:rPr>
        <w:t>…………………………………………</w:t>
      </w:r>
      <w:r w:rsidR="00B62F35" w:rsidRPr="00104111">
        <w:rPr>
          <w:rFonts w:ascii="Arial" w:hAnsi="Arial" w:cs="Arial"/>
          <w:bCs/>
          <w:sz w:val="24"/>
          <w:szCs w:val="24"/>
          <w:lang w:val="en-US"/>
        </w:rPr>
        <w:t>...</w:t>
      </w:r>
      <w:r w:rsidRPr="00104111">
        <w:rPr>
          <w:rFonts w:ascii="Arial" w:hAnsi="Arial" w:cs="Arial"/>
          <w:bCs/>
          <w:sz w:val="24"/>
          <w:szCs w:val="24"/>
          <w:lang w:val="en-US"/>
        </w:rPr>
        <w:t>10</w:t>
      </w:r>
    </w:p>
    <w:p w14:paraId="351DAEFE" w14:textId="2A560ADD" w:rsidR="000D4F25" w:rsidRPr="00104111" w:rsidRDefault="00C64D55" w:rsidP="000D4F25">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rPr>
        <w:t>C.</w:t>
      </w:r>
      <w:r w:rsidR="002C4B6C" w:rsidRPr="00104111">
        <w:rPr>
          <w:rFonts w:ascii="Arial" w:hAnsi="Arial" w:cs="Arial"/>
          <w:bCs/>
          <w:sz w:val="24"/>
          <w:szCs w:val="24"/>
          <w:lang w:val="en-US"/>
        </w:rPr>
        <w:t xml:space="preserve"> Compare short-term vs long-term financing options</w:t>
      </w:r>
      <w:r w:rsidRPr="00104111">
        <w:rPr>
          <w:rFonts w:ascii="Arial" w:hAnsi="Arial" w:cs="Arial"/>
          <w:bCs/>
          <w:sz w:val="24"/>
          <w:szCs w:val="24"/>
          <w:lang w:val="en-US"/>
        </w:rPr>
        <w:t>……</w:t>
      </w:r>
      <w:r w:rsidR="002C4B6C" w:rsidRPr="00104111">
        <w:rPr>
          <w:rFonts w:ascii="Arial" w:hAnsi="Arial" w:cs="Arial"/>
          <w:bCs/>
          <w:sz w:val="24"/>
          <w:szCs w:val="24"/>
          <w:lang w:val="en-US"/>
        </w:rPr>
        <w:t>…………</w:t>
      </w:r>
      <w:proofErr w:type="gramStart"/>
      <w:r w:rsidR="00104111">
        <w:rPr>
          <w:rFonts w:ascii="Arial" w:hAnsi="Arial" w:cs="Arial"/>
          <w:bCs/>
          <w:sz w:val="24"/>
          <w:szCs w:val="24"/>
          <w:lang w:val="en-US"/>
        </w:rPr>
        <w:t>…..</w:t>
      </w:r>
      <w:proofErr w:type="gramEnd"/>
      <w:r w:rsidR="002C4B6C" w:rsidRPr="00104111">
        <w:rPr>
          <w:rFonts w:ascii="Arial" w:hAnsi="Arial" w:cs="Arial"/>
          <w:bCs/>
          <w:sz w:val="24"/>
          <w:szCs w:val="24"/>
          <w:lang w:val="en-US"/>
        </w:rPr>
        <w:t>……</w:t>
      </w:r>
      <w:r w:rsidR="00B62F35" w:rsidRPr="00104111">
        <w:rPr>
          <w:rFonts w:ascii="Arial" w:hAnsi="Arial" w:cs="Arial"/>
          <w:bCs/>
          <w:sz w:val="24"/>
          <w:szCs w:val="24"/>
          <w:lang w:val="en-US"/>
        </w:rPr>
        <w:t>.</w:t>
      </w:r>
      <w:r w:rsidR="002C4B6C" w:rsidRPr="00104111">
        <w:rPr>
          <w:rFonts w:ascii="Arial" w:hAnsi="Arial" w:cs="Arial"/>
          <w:bCs/>
          <w:sz w:val="24"/>
          <w:szCs w:val="24"/>
          <w:lang w:val="en-US"/>
        </w:rPr>
        <w:t>10</w:t>
      </w:r>
    </w:p>
    <w:p w14:paraId="23D2C583" w14:textId="77777777" w:rsidR="000D4F25" w:rsidRPr="00104111" w:rsidRDefault="000D4F25" w:rsidP="000D4F25">
      <w:pPr>
        <w:pStyle w:val="ListParagraph"/>
        <w:spacing w:line="240" w:lineRule="auto"/>
        <w:jc w:val="both"/>
        <w:rPr>
          <w:rFonts w:ascii="Arial" w:hAnsi="Arial" w:cs="Arial"/>
          <w:bCs/>
          <w:sz w:val="24"/>
          <w:szCs w:val="24"/>
        </w:rPr>
      </w:pPr>
    </w:p>
    <w:p w14:paraId="2DE7D4D4" w14:textId="633FDB73" w:rsidR="002157E6" w:rsidRPr="00104111" w:rsidRDefault="000D4F25" w:rsidP="000D4F25">
      <w:pPr>
        <w:pStyle w:val="ListParagraph"/>
        <w:spacing w:line="240" w:lineRule="auto"/>
        <w:jc w:val="both"/>
        <w:rPr>
          <w:rFonts w:ascii="Arial" w:hAnsi="Arial" w:cs="Arial"/>
          <w:bCs/>
          <w:sz w:val="24"/>
          <w:szCs w:val="24"/>
        </w:rPr>
      </w:pPr>
      <w:r w:rsidRPr="00104111">
        <w:rPr>
          <w:rFonts w:ascii="Arial" w:hAnsi="Arial" w:cs="Arial"/>
          <w:bCs/>
          <w:sz w:val="24"/>
          <w:szCs w:val="24"/>
        </w:rPr>
        <w:t>Task 3:</w:t>
      </w:r>
      <w:r w:rsidRPr="00104111">
        <w:rPr>
          <w:rFonts w:ascii="Arial" w:hAnsi="Arial" w:cs="Arial"/>
          <w:bCs/>
          <w:sz w:val="24"/>
          <w:szCs w:val="24"/>
          <w:lang w:val="en-US"/>
        </w:rPr>
        <w:t xml:space="preserve"> </w:t>
      </w:r>
      <w:r w:rsidR="00F65768" w:rsidRPr="00104111">
        <w:rPr>
          <w:rFonts w:ascii="Arial" w:hAnsi="Arial" w:cs="Arial"/>
          <w:bCs/>
          <w:sz w:val="24"/>
          <w:szCs w:val="24"/>
          <w:lang w:val="en-US"/>
        </w:rPr>
        <w:t>Strategic Financial Restructuring Plan</w:t>
      </w:r>
    </w:p>
    <w:p w14:paraId="7622B676" w14:textId="55A6FE9E" w:rsidR="00F65768" w:rsidRPr="00104111" w:rsidRDefault="002157E6" w:rsidP="002157E6">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A. Recommend financial restructuring…………………...………………………11</w:t>
      </w:r>
    </w:p>
    <w:p w14:paraId="61F7C7B8" w14:textId="484D7E80" w:rsidR="002157E6" w:rsidRPr="00104111" w:rsidRDefault="002157E6" w:rsidP="002157E6">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B.</w:t>
      </w:r>
      <w:r w:rsidR="00104111" w:rsidRPr="00104111">
        <w:rPr>
          <w:rFonts w:ascii="Arial" w:hAnsi="Arial" w:cs="Arial"/>
          <w:bCs/>
          <w:sz w:val="24"/>
          <w:szCs w:val="24"/>
          <w:lang w:val="en-US"/>
        </w:rPr>
        <w:t xml:space="preserve"> </w:t>
      </w:r>
      <w:r w:rsidRPr="00104111">
        <w:rPr>
          <w:rFonts w:ascii="Arial" w:hAnsi="Arial" w:cs="Arial"/>
          <w:bCs/>
          <w:sz w:val="24"/>
          <w:szCs w:val="24"/>
          <w:lang w:val="en-US"/>
        </w:rPr>
        <w:t>Evaluate impact on shareholder value, debt structure, and</w:t>
      </w:r>
      <w:r w:rsidR="00104111" w:rsidRPr="00104111">
        <w:rPr>
          <w:rFonts w:ascii="Arial" w:hAnsi="Arial" w:cs="Arial"/>
          <w:bCs/>
          <w:sz w:val="24"/>
          <w:szCs w:val="24"/>
          <w:lang w:val="en-US"/>
        </w:rPr>
        <w:t xml:space="preserve"> </w:t>
      </w:r>
      <w:r w:rsidRPr="00104111">
        <w:rPr>
          <w:rFonts w:ascii="Arial" w:hAnsi="Arial" w:cs="Arial"/>
          <w:bCs/>
          <w:sz w:val="24"/>
          <w:szCs w:val="24"/>
          <w:lang w:val="en-US"/>
        </w:rPr>
        <w:t>operational flexibility</w:t>
      </w:r>
      <w:r w:rsidR="00104111" w:rsidRPr="00104111">
        <w:rPr>
          <w:rFonts w:ascii="Arial" w:hAnsi="Arial" w:cs="Arial"/>
          <w:bCs/>
          <w:sz w:val="24"/>
          <w:szCs w:val="24"/>
          <w:lang w:val="en-US"/>
        </w:rPr>
        <w:t>…………………………………………………………………………</w:t>
      </w:r>
      <w:proofErr w:type="gramStart"/>
      <w:r w:rsidR="00104111" w:rsidRPr="00104111">
        <w:rPr>
          <w:rFonts w:ascii="Arial" w:hAnsi="Arial" w:cs="Arial"/>
          <w:bCs/>
          <w:sz w:val="24"/>
          <w:szCs w:val="24"/>
          <w:lang w:val="en-US"/>
        </w:rPr>
        <w:t>…..</w:t>
      </w:r>
      <w:proofErr w:type="gramEnd"/>
      <w:r w:rsidR="00104111" w:rsidRPr="00104111">
        <w:rPr>
          <w:rFonts w:ascii="Arial" w:hAnsi="Arial" w:cs="Arial"/>
          <w:bCs/>
          <w:sz w:val="24"/>
          <w:szCs w:val="24"/>
          <w:lang w:val="en-US"/>
        </w:rPr>
        <w:t>1</w:t>
      </w:r>
      <w:r w:rsidRPr="00104111">
        <w:rPr>
          <w:rFonts w:ascii="Arial" w:hAnsi="Arial" w:cs="Arial"/>
          <w:bCs/>
          <w:sz w:val="24"/>
          <w:szCs w:val="24"/>
          <w:lang w:val="en-US"/>
        </w:rPr>
        <w:t>2</w:t>
      </w:r>
    </w:p>
    <w:p w14:paraId="27ED547E" w14:textId="19F7021B" w:rsidR="002157E6" w:rsidRPr="00104111" w:rsidRDefault="002157E6" w:rsidP="002157E6">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 xml:space="preserve">C. </w:t>
      </w:r>
      <w:r w:rsidR="00704D18" w:rsidRPr="00104111">
        <w:rPr>
          <w:rFonts w:ascii="Arial" w:hAnsi="Arial" w:cs="Arial"/>
          <w:bCs/>
          <w:sz w:val="24"/>
          <w:szCs w:val="24"/>
          <w:lang w:val="en-US"/>
        </w:rPr>
        <w:t>International</w:t>
      </w:r>
      <w:r w:rsidRPr="00104111">
        <w:rPr>
          <w:rFonts w:ascii="Arial" w:hAnsi="Arial" w:cs="Arial"/>
          <w:bCs/>
          <w:sz w:val="24"/>
          <w:szCs w:val="24"/>
          <w:lang w:val="en-US"/>
        </w:rPr>
        <w:t xml:space="preserve"> and ethical considerations………………………………………13</w:t>
      </w:r>
    </w:p>
    <w:p w14:paraId="0D107953" w14:textId="77777777" w:rsidR="00C64D55" w:rsidRPr="00104111" w:rsidRDefault="00C64D55" w:rsidP="00C64D55">
      <w:pPr>
        <w:pStyle w:val="ListParagraph"/>
        <w:spacing w:line="240" w:lineRule="auto"/>
        <w:jc w:val="both"/>
        <w:rPr>
          <w:rFonts w:ascii="Arial" w:hAnsi="Arial" w:cs="Arial"/>
          <w:bCs/>
          <w:sz w:val="24"/>
          <w:szCs w:val="24"/>
        </w:rPr>
      </w:pPr>
    </w:p>
    <w:p w14:paraId="3E2AB2F5" w14:textId="77777777" w:rsidR="00780B2D" w:rsidRPr="00104111" w:rsidRDefault="00780B2D" w:rsidP="00780B2D">
      <w:pPr>
        <w:pStyle w:val="ListParagraph"/>
        <w:spacing w:line="240" w:lineRule="auto"/>
        <w:jc w:val="both"/>
        <w:rPr>
          <w:rFonts w:ascii="Arial" w:hAnsi="Arial" w:cs="Arial"/>
          <w:bCs/>
          <w:sz w:val="24"/>
          <w:szCs w:val="24"/>
          <w:lang w:val="en-US"/>
        </w:rPr>
      </w:pPr>
      <w:r w:rsidRPr="00104111">
        <w:rPr>
          <w:rFonts w:ascii="Arial" w:hAnsi="Arial" w:cs="Arial"/>
          <w:bCs/>
          <w:sz w:val="24"/>
          <w:szCs w:val="24"/>
        </w:rPr>
        <w:t xml:space="preserve">Task 4: </w:t>
      </w:r>
      <w:r w:rsidRPr="00104111">
        <w:rPr>
          <w:rFonts w:ascii="Arial" w:hAnsi="Arial" w:cs="Arial"/>
          <w:bCs/>
          <w:sz w:val="24"/>
          <w:szCs w:val="24"/>
          <w:lang w:val="en-US"/>
        </w:rPr>
        <w:t>Investment Appraisal and Capital Budgeting</w:t>
      </w:r>
    </w:p>
    <w:p w14:paraId="318F1107" w14:textId="16BE1CA5" w:rsidR="00780B2D" w:rsidRPr="00104111" w:rsidRDefault="00780B2D" w:rsidP="00780B2D">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rPr>
        <w:t xml:space="preserve"> A. Investment Appraisal of Proposed Projects………………………………….14</w:t>
      </w:r>
    </w:p>
    <w:p w14:paraId="61864158" w14:textId="59BFAE8C" w:rsidR="00B6313A" w:rsidRPr="00104111" w:rsidRDefault="00780B2D" w:rsidP="00780B2D">
      <w:pPr>
        <w:pStyle w:val="ListParagraph"/>
        <w:spacing w:line="240" w:lineRule="auto"/>
        <w:jc w:val="both"/>
        <w:rPr>
          <w:rFonts w:ascii="Arial" w:hAnsi="Arial" w:cs="Arial"/>
          <w:bCs/>
          <w:sz w:val="24"/>
          <w:szCs w:val="24"/>
          <w:lang w:val="en-US"/>
        </w:rPr>
      </w:pPr>
      <w:r w:rsidRPr="00104111">
        <w:rPr>
          <w:rFonts w:ascii="Arial" w:hAnsi="Arial" w:cs="Arial"/>
          <w:bCs/>
          <w:sz w:val="24"/>
          <w:szCs w:val="24"/>
        </w:rPr>
        <w:t xml:space="preserve">A.1. </w:t>
      </w:r>
      <w:r w:rsidRPr="00104111">
        <w:rPr>
          <w:rFonts w:ascii="Arial" w:hAnsi="Arial" w:cs="Arial"/>
          <w:bCs/>
          <w:sz w:val="24"/>
          <w:szCs w:val="24"/>
          <w:lang w:val="en-US"/>
        </w:rPr>
        <w:t>PBP…………………………………………………………………………….14</w:t>
      </w:r>
    </w:p>
    <w:p w14:paraId="2DE2EE30" w14:textId="696B8315" w:rsidR="00780B2D" w:rsidRPr="00104111" w:rsidRDefault="00780B2D" w:rsidP="00780B2D">
      <w:pPr>
        <w:pStyle w:val="ListParagraph"/>
        <w:spacing w:line="240" w:lineRule="auto"/>
        <w:jc w:val="both"/>
        <w:rPr>
          <w:rFonts w:ascii="Arial" w:hAnsi="Arial" w:cs="Arial"/>
          <w:bCs/>
          <w:sz w:val="24"/>
          <w:szCs w:val="24"/>
          <w:lang w:val="en-US"/>
        </w:rPr>
      </w:pPr>
      <w:r w:rsidRPr="00104111">
        <w:rPr>
          <w:rFonts w:ascii="Arial" w:hAnsi="Arial" w:cs="Arial"/>
          <w:bCs/>
          <w:sz w:val="24"/>
          <w:szCs w:val="24"/>
        </w:rPr>
        <w:t>A.</w:t>
      </w:r>
      <w:r w:rsidRPr="00104111">
        <w:rPr>
          <w:rFonts w:ascii="Arial" w:hAnsi="Arial" w:cs="Arial"/>
          <w:bCs/>
          <w:sz w:val="24"/>
          <w:szCs w:val="24"/>
          <w:lang w:val="en-US"/>
        </w:rPr>
        <w:t>2. ARR…………………………………………………………………………….14</w:t>
      </w:r>
    </w:p>
    <w:p w14:paraId="6DAFED18" w14:textId="008529F2" w:rsidR="00780B2D" w:rsidRPr="00104111" w:rsidRDefault="00780B2D" w:rsidP="00780B2D">
      <w:pPr>
        <w:pStyle w:val="ListParagraph"/>
        <w:spacing w:line="240" w:lineRule="auto"/>
        <w:jc w:val="both"/>
        <w:rPr>
          <w:rFonts w:ascii="Arial" w:hAnsi="Arial" w:cs="Arial"/>
          <w:bCs/>
          <w:sz w:val="24"/>
          <w:szCs w:val="24"/>
          <w:lang w:val="en-US"/>
        </w:rPr>
      </w:pPr>
      <w:r w:rsidRPr="00104111">
        <w:rPr>
          <w:rFonts w:ascii="Arial" w:hAnsi="Arial" w:cs="Arial"/>
          <w:bCs/>
          <w:sz w:val="24"/>
          <w:szCs w:val="24"/>
        </w:rPr>
        <w:t>A.</w:t>
      </w:r>
      <w:r w:rsidRPr="00104111">
        <w:rPr>
          <w:rFonts w:ascii="Arial" w:hAnsi="Arial" w:cs="Arial"/>
          <w:bCs/>
          <w:sz w:val="24"/>
          <w:szCs w:val="24"/>
          <w:lang w:val="en-US"/>
        </w:rPr>
        <w:t>3. NPV…………………………………………………………………………….14</w:t>
      </w:r>
    </w:p>
    <w:p w14:paraId="1754BCB5" w14:textId="58E0DE7E" w:rsidR="00780B2D" w:rsidRPr="00104111" w:rsidRDefault="00780B2D" w:rsidP="00780B2D">
      <w:pPr>
        <w:pStyle w:val="ListParagraph"/>
        <w:spacing w:line="240" w:lineRule="auto"/>
        <w:jc w:val="both"/>
        <w:rPr>
          <w:rFonts w:ascii="Arial" w:hAnsi="Arial" w:cs="Arial"/>
          <w:bCs/>
          <w:sz w:val="24"/>
          <w:szCs w:val="24"/>
          <w:lang w:val="en-US"/>
        </w:rPr>
      </w:pPr>
      <w:r w:rsidRPr="00104111">
        <w:rPr>
          <w:rFonts w:ascii="Arial" w:hAnsi="Arial" w:cs="Arial"/>
          <w:bCs/>
          <w:sz w:val="24"/>
          <w:szCs w:val="24"/>
        </w:rPr>
        <w:t>A.</w:t>
      </w:r>
      <w:r w:rsidRPr="00104111">
        <w:rPr>
          <w:rFonts w:ascii="Arial" w:hAnsi="Arial" w:cs="Arial"/>
          <w:bCs/>
          <w:sz w:val="24"/>
          <w:szCs w:val="24"/>
          <w:lang w:val="en-US"/>
        </w:rPr>
        <w:t>4. PI…………………………………………………………………</w:t>
      </w:r>
      <w:proofErr w:type="gramStart"/>
      <w:r w:rsidRPr="00104111">
        <w:rPr>
          <w:rFonts w:ascii="Arial" w:hAnsi="Arial" w:cs="Arial"/>
          <w:bCs/>
          <w:sz w:val="24"/>
          <w:szCs w:val="24"/>
          <w:lang w:val="en-US"/>
        </w:rPr>
        <w:t>…..</w:t>
      </w:r>
      <w:proofErr w:type="gramEnd"/>
      <w:r w:rsidRPr="00104111">
        <w:rPr>
          <w:rFonts w:ascii="Arial" w:hAnsi="Arial" w:cs="Arial"/>
          <w:bCs/>
          <w:sz w:val="24"/>
          <w:szCs w:val="24"/>
          <w:lang w:val="en-US"/>
        </w:rPr>
        <w:t>…………15</w:t>
      </w:r>
    </w:p>
    <w:p w14:paraId="7685BF62" w14:textId="413C46CB" w:rsidR="00B6313A" w:rsidRPr="00104111" w:rsidRDefault="00780B2D" w:rsidP="00780B2D">
      <w:pPr>
        <w:pStyle w:val="ListParagraph"/>
        <w:spacing w:line="240" w:lineRule="auto"/>
        <w:jc w:val="both"/>
        <w:rPr>
          <w:rFonts w:ascii="Arial" w:hAnsi="Arial" w:cs="Arial"/>
          <w:bCs/>
          <w:sz w:val="24"/>
          <w:szCs w:val="24"/>
          <w:lang w:val="en-US"/>
        </w:rPr>
      </w:pPr>
      <w:r w:rsidRPr="00104111">
        <w:rPr>
          <w:rFonts w:ascii="Arial" w:hAnsi="Arial" w:cs="Arial"/>
          <w:bCs/>
          <w:sz w:val="24"/>
          <w:szCs w:val="24"/>
        </w:rPr>
        <w:t>A.</w:t>
      </w:r>
      <w:r w:rsidRPr="00104111">
        <w:rPr>
          <w:rFonts w:ascii="Arial" w:hAnsi="Arial" w:cs="Arial"/>
          <w:bCs/>
          <w:sz w:val="24"/>
          <w:szCs w:val="24"/>
          <w:lang w:val="en-US"/>
        </w:rPr>
        <w:t>5. IRR…</w:t>
      </w:r>
      <w:r w:rsidR="00104111" w:rsidRPr="00104111">
        <w:rPr>
          <w:rFonts w:ascii="Arial" w:hAnsi="Arial" w:cs="Arial"/>
          <w:bCs/>
          <w:sz w:val="24"/>
          <w:szCs w:val="24"/>
          <w:lang w:val="en-US"/>
        </w:rPr>
        <w:t>...</w:t>
      </w:r>
      <w:r w:rsidRPr="00104111">
        <w:rPr>
          <w:rFonts w:ascii="Arial" w:hAnsi="Arial" w:cs="Arial"/>
          <w:bCs/>
          <w:sz w:val="24"/>
          <w:szCs w:val="24"/>
          <w:lang w:val="en-US"/>
        </w:rPr>
        <w:t>……………………………………………………………</w:t>
      </w:r>
      <w:proofErr w:type="gramStart"/>
      <w:r w:rsidRPr="00104111">
        <w:rPr>
          <w:rFonts w:ascii="Arial" w:hAnsi="Arial" w:cs="Arial"/>
          <w:bCs/>
          <w:sz w:val="24"/>
          <w:szCs w:val="24"/>
          <w:lang w:val="en-US"/>
        </w:rPr>
        <w:t>…..</w:t>
      </w:r>
      <w:proofErr w:type="gramEnd"/>
      <w:r w:rsidRPr="00104111">
        <w:rPr>
          <w:rFonts w:ascii="Arial" w:hAnsi="Arial" w:cs="Arial"/>
          <w:bCs/>
          <w:sz w:val="24"/>
          <w:szCs w:val="24"/>
          <w:lang w:val="en-US"/>
        </w:rPr>
        <w:t>……….15</w:t>
      </w:r>
    </w:p>
    <w:p w14:paraId="157C9A0E" w14:textId="17C4B386" w:rsidR="00780B2D" w:rsidRPr="00104111" w:rsidRDefault="00780B2D" w:rsidP="00780B2D">
      <w:pPr>
        <w:pStyle w:val="ListParagraph"/>
        <w:numPr>
          <w:ilvl w:val="0"/>
          <w:numId w:val="1"/>
        </w:numPr>
        <w:spacing w:after="0" w:line="240" w:lineRule="auto"/>
        <w:jc w:val="both"/>
        <w:rPr>
          <w:rFonts w:ascii="Arial" w:hAnsi="Arial" w:cs="Arial"/>
          <w:bCs/>
          <w:sz w:val="24"/>
          <w:szCs w:val="24"/>
        </w:rPr>
      </w:pPr>
      <w:r w:rsidRPr="00104111">
        <w:rPr>
          <w:rFonts w:ascii="Arial" w:hAnsi="Arial" w:cs="Arial"/>
          <w:bCs/>
          <w:sz w:val="24"/>
          <w:szCs w:val="24"/>
        </w:rPr>
        <w:t>B. Recommendation of the Best Project………………………………………….16</w:t>
      </w:r>
    </w:p>
    <w:p w14:paraId="7B780798" w14:textId="2BA7F6D4" w:rsidR="00780B2D" w:rsidRPr="00104111" w:rsidRDefault="00780B2D" w:rsidP="003E168B">
      <w:pPr>
        <w:pStyle w:val="ListParagraph"/>
        <w:numPr>
          <w:ilvl w:val="0"/>
          <w:numId w:val="1"/>
        </w:numPr>
        <w:spacing w:after="0" w:line="240" w:lineRule="auto"/>
        <w:jc w:val="both"/>
        <w:rPr>
          <w:rFonts w:ascii="Arial" w:hAnsi="Arial" w:cs="Arial"/>
          <w:bCs/>
          <w:sz w:val="24"/>
          <w:szCs w:val="24"/>
        </w:rPr>
      </w:pPr>
      <w:r w:rsidRPr="00104111">
        <w:rPr>
          <w:rFonts w:ascii="Arial" w:hAnsi="Arial" w:cs="Arial"/>
          <w:bCs/>
          <w:sz w:val="24"/>
          <w:szCs w:val="24"/>
          <w:lang w:val="en-US"/>
        </w:rPr>
        <w:t xml:space="preserve">C. </w:t>
      </w:r>
      <w:r w:rsidR="003E168B" w:rsidRPr="00104111">
        <w:rPr>
          <w:rFonts w:ascii="Arial" w:hAnsi="Arial" w:cs="Arial"/>
          <w:bCs/>
          <w:sz w:val="24"/>
          <w:szCs w:val="24"/>
        </w:rPr>
        <w:t>Combination of projects by using Capital Rationing………………………….17</w:t>
      </w:r>
    </w:p>
    <w:p w14:paraId="040BFA75" w14:textId="77777777" w:rsidR="00B6313A" w:rsidRPr="00104111" w:rsidRDefault="00B6313A" w:rsidP="004F3F82">
      <w:pPr>
        <w:pStyle w:val="ListParagraph"/>
        <w:spacing w:line="240" w:lineRule="auto"/>
        <w:jc w:val="both"/>
        <w:rPr>
          <w:rFonts w:ascii="Arial" w:hAnsi="Arial" w:cs="Arial"/>
          <w:bCs/>
          <w:sz w:val="24"/>
          <w:szCs w:val="24"/>
        </w:rPr>
      </w:pPr>
    </w:p>
    <w:p w14:paraId="6105FF13" w14:textId="445AD1D8" w:rsidR="000D4F25" w:rsidRPr="00104111" w:rsidRDefault="000D4F25" w:rsidP="000D4F25">
      <w:pPr>
        <w:pStyle w:val="ListParagraph"/>
        <w:spacing w:line="240" w:lineRule="auto"/>
        <w:jc w:val="both"/>
        <w:rPr>
          <w:rFonts w:ascii="Arial" w:hAnsi="Arial" w:cs="Arial"/>
          <w:bCs/>
          <w:sz w:val="24"/>
          <w:szCs w:val="24"/>
        </w:rPr>
      </w:pPr>
      <w:r w:rsidRPr="00104111">
        <w:rPr>
          <w:rFonts w:ascii="Arial" w:hAnsi="Arial" w:cs="Arial"/>
          <w:bCs/>
          <w:sz w:val="24"/>
          <w:szCs w:val="24"/>
        </w:rPr>
        <w:t>Task 5:</w:t>
      </w:r>
      <w:r w:rsidRPr="00104111">
        <w:rPr>
          <w:rFonts w:ascii="Arial" w:hAnsi="Arial" w:cs="Arial"/>
          <w:bCs/>
          <w:sz w:val="24"/>
          <w:szCs w:val="24"/>
          <w:lang w:val="en-US"/>
        </w:rPr>
        <w:t xml:space="preserve"> Critical Reflection on AI Usage </w:t>
      </w:r>
    </w:p>
    <w:p w14:paraId="3E17695F" w14:textId="238C430C" w:rsidR="000D4F25" w:rsidRPr="00104111" w:rsidRDefault="000D4F25" w:rsidP="000D4F25">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A. Tool Disclosure……………</w:t>
      </w:r>
      <w:proofErr w:type="gramStart"/>
      <w:r w:rsidRPr="00104111">
        <w:rPr>
          <w:rFonts w:ascii="Arial" w:hAnsi="Arial" w:cs="Arial"/>
          <w:bCs/>
          <w:sz w:val="24"/>
          <w:szCs w:val="24"/>
          <w:lang w:val="en-US"/>
        </w:rPr>
        <w:t>…..</w:t>
      </w:r>
      <w:proofErr w:type="gramEnd"/>
      <w:r w:rsidRPr="00104111">
        <w:rPr>
          <w:rFonts w:ascii="Arial" w:hAnsi="Arial" w:cs="Arial"/>
          <w:bCs/>
          <w:sz w:val="24"/>
          <w:szCs w:val="24"/>
          <w:lang w:val="en-US"/>
        </w:rPr>
        <w:t>…………………...…</w:t>
      </w:r>
      <w:proofErr w:type="gramStart"/>
      <w:r w:rsidRPr="00104111">
        <w:rPr>
          <w:rFonts w:ascii="Arial" w:hAnsi="Arial" w:cs="Arial"/>
          <w:bCs/>
          <w:sz w:val="24"/>
          <w:szCs w:val="24"/>
          <w:lang w:val="en-US"/>
        </w:rPr>
        <w:t>…</w:t>
      </w:r>
      <w:r w:rsidR="00104111">
        <w:rPr>
          <w:rFonts w:ascii="Arial" w:hAnsi="Arial" w:cs="Arial"/>
          <w:bCs/>
          <w:sz w:val="24"/>
          <w:szCs w:val="24"/>
          <w:lang w:val="en-US"/>
        </w:rPr>
        <w:t>..</w:t>
      </w:r>
      <w:proofErr w:type="gramEnd"/>
      <w:r w:rsidRPr="00104111">
        <w:rPr>
          <w:rFonts w:ascii="Arial" w:hAnsi="Arial" w:cs="Arial"/>
          <w:bCs/>
          <w:sz w:val="24"/>
          <w:szCs w:val="24"/>
          <w:lang w:val="en-US"/>
        </w:rPr>
        <w:t>…………</w:t>
      </w:r>
      <w:r w:rsidR="00104111" w:rsidRPr="00104111">
        <w:rPr>
          <w:rFonts w:ascii="Arial" w:hAnsi="Arial" w:cs="Arial"/>
          <w:bCs/>
          <w:sz w:val="24"/>
          <w:szCs w:val="24"/>
          <w:lang w:val="en-US"/>
        </w:rPr>
        <w:t>…...</w:t>
      </w:r>
      <w:r w:rsidRPr="00104111">
        <w:rPr>
          <w:rFonts w:ascii="Arial" w:hAnsi="Arial" w:cs="Arial"/>
          <w:bCs/>
          <w:sz w:val="24"/>
          <w:szCs w:val="24"/>
          <w:lang w:val="en-US"/>
        </w:rPr>
        <w:t>…</w:t>
      </w:r>
      <w:proofErr w:type="gramStart"/>
      <w:r w:rsidRPr="00104111">
        <w:rPr>
          <w:rFonts w:ascii="Arial" w:hAnsi="Arial" w:cs="Arial"/>
          <w:bCs/>
          <w:sz w:val="24"/>
          <w:szCs w:val="24"/>
          <w:lang w:val="en-US"/>
        </w:rPr>
        <w:t>…..</w:t>
      </w:r>
      <w:proofErr w:type="gramEnd"/>
      <w:r w:rsidRPr="00104111">
        <w:rPr>
          <w:rFonts w:ascii="Arial" w:hAnsi="Arial" w:cs="Arial"/>
          <w:bCs/>
          <w:sz w:val="24"/>
          <w:szCs w:val="24"/>
          <w:lang w:val="en-US"/>
        </w:rPr>
        <w:t>18</w:t>
      </w:r>
    </w:p>
    <w:p w14:paraId="233249D0" w14:textId="43DAF852" w:rsidR="000D4F25" w:rsidRPr="00104111" w:rsidRDefault="000D4F25" w:rsidP="000D4F25">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B. Critical Evaluation of AI Output……………………</w:t>
      </w:r>
      <w:r w:rsidR="00104111">
        <w:rPr>
          <w:rFonts w:ascii="Arial" w:hAnsi="Arial" w:cs="Arial"/>
          <w:bCs/>
          <w:sz w:val="24"/>
          <w:szCs w:val="24"/>
          <w:lang w:val="en-US"/>
        </w:rPr>
        <w:t>….</w:t>
      </w:r>
      <w:r w:rsidRPr="00104111">
        <w:rPr>
          <w:rFonts w:ascii="Arial" w:hAnsi="Arial" w:cs="Arial"/>
          <w:bCs/>
          <w:sz w:val="24"/>
          <w:szCs w:val="24"/>
          <w:lang w:val="en-US"/>
        </w:rPr>
        <w:t>………………………</w:t>
      </w:r>
      <w:r w:rsidR="00104111" w:rsidRPr="00104111">
        <w:rPr>
          <w:rFonts w:ascii="Arial" w:hAnsi="Arial" w:cs="Arial"/>
          <w:bCs/>
          <w:sz w:val="24"/>
          <w:szCs w:val="24"/>
          <w:lang w:val="en-US"/>
        </w:rPr>
        <w:t>.</w:t>
      </w:r>
      <w:r w:rsidRPr="00104111">
        <w:rPr>
          <w:rFonts w:ascii="Arial" w:hAnsi="Arial" w:cs="Arial"/>
          <w:bCs/>
          <w:sz w:val="24"/>
          <w:szCs w:val="24"/>
          <w:lang w:val="en-US"/>
        </w:rPr>
        <w:t>18</w:t>
      </w:r>
    </w:p>
    <w:p w14:paraId="5B468468" w14:textId="4269C6C3" w:rsidR="000D4F25" w:rsidRPr="00104111" w:rsidRDefault="000D4F25" w:rsidP="000D4F25">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C. Contribution Analysis……………………………………</w:t>
      </w:r>
      <w:r w:rsidR="00104111">
        <w:rPr>
          <w:rFonts w:ascii="Arial" w:hAnsi="Arial" w:cs="Arial"/>
          <w:bCs/>
          <w:sz w:val="24"/>
          <w:szCs w:val="24"/>
          <w:lang w:val="en-US"/>
        </w:rPr>
        <w:t>….</w:t>
      </w:r>
      <w:r w:rsidRPr="00104111">
        <w:rPr>
          <w:rFonts w:ascii="Arial" w:hAnsi="Arial" w:cs="Arial"/>
          <w:bCs/>
          <w:sz w:val="24"/>
          <w:szCs w:val="24"/>
          <w:lang w:val="en-US"/>
        </w:rPr>
        <w:t>………………</w:t>
      </w:r>
      <w:proofErr w:type="gramStart"/>
      <w:r w:rsidRPr="00104111">
        <w:rPr>
          <w:rFonts w:ascii="Arial" w:hAnsi="Arial" w:cs="Arial"/>
          <w:bCs/>
          <w:sz w:val="24"/>
          <w:szCs w:val="24"/>
          <w:lang w:val="en-US"/>
        </w:rPr>
        <w:t>…</w:t>
      </w:r>
      <w:r w:rsidR="00104111" w:rsidRPr="00104111">
        <w:rPr>
          <w:rFonts w:ascii="Arial" w:hAnsi="Arial" w:cs="Arial"/>
          <w:bCs/>
          <w:sz w:val="24"/>
          <w:szCs w:val="24"/>
          <w:lang w:val="en-US"/>
        </w:rPr>
        <w:t>..</w:t>
      </w:r>
      <w:proofErr w:type="gramEnd"/>
      <w:r w:rsidRPr="00104111">
        <w:rPr>
          <w:rFonts w:ascii="Arial" w:hAnsi="Arial" w:cs="Arial"/>
          <w:bCs/>
          <w:sz w:val="24"/>
          <w:szCs w:val="24"/>
          <w:lang w:val="en-US"/>
        </w:rPr>
        <w:t>18</w:t>
      </w:r>
    </w:p>
    <w:p w14:paraId="17825EAA" w14:textId="3F08FBDB" w:rsidR="000D4F25" w:rsidRPr="00104111" w:rsidRDefault="000D4F25" w:rsidP="000D4F25">
      <w:pPr>
        <w:pStyle w:val="ListParagraph"/>
        <w:numPr>
          <w:ilvl w:val="0"/>
          <w:numId w:val="1"/>
        </w:numPr>
        <w:spacing w:line="240" w:lineRule="auto"/>
        <w:jc w:val="both"/>
        <w:rPr>
          <w:rFonts w:ascii="Arial" w:hAnsi="Arial" w:cs="Arial"/>
          <w:bCs/>
          <w:sz w:val="24"/>
          <w:szCs w:val="24"/>
          <w:lang w:val="en-US"/>
        </w:rPr>
      </w:pPr>
      <w:r w:rsidRPr="00104111">
        <w:rPr>
          <w:rFonts w:ascii="Arial" w:hAnsi="Arial" w:cs="Arial"/>
          <w:bCs/>
          <w:sz w:val="24"/>
          <w:szCs w:val="24"/>
          <w:lang w:val="en-US"/>
        </w:rPr>
        <w:t>D. Ethical &amp; Professional Reflection…………………………</w:t>
      </w:r>
      <w:r w:rsidR="00104111">
        <w:rPr>
          <w:rFonts w:ascii="Arial" w:hAnsi="Arial" w:cs="Arial"/>
          <w:bCs/>
          <w:sz w:val="24"/>
          <w:szCs w:val="24"/>
          <w:lang w:val="en-US"/>
        </w:rPr>
        <w:t>….</w:t>
      </w:r>
      <w:r w:rsidRPr="00104111">
        <w:rPr>
          <w:rFonts w:ascii="Arial" w:hAnsi="Arial" w:cs="Arial"/>
          <w:bCs/>
          <w:sz w:val="24"/>
          <w:szCs w:val="24"/>
          <w:lang w:val="en-US"/>
        </w:rPr>
        <w:t>……………</w:t>
      </w:r>
      <w:proofErr w:type="gramStart"/>
      <w:r w:rsidRPr="00104111">
        <w:rPr>
          <w:rFonts w:ascii="Arial" w:hAnsi="Arial" w:cs="Arial"/>
          <w:bCs/>
          <w:sz w:val="24"/>
          <w:szCs w:val="24"/>
          <w:lang w:val="en-US"/>
        </w:rPr>
        <w:t>…</w:t>
      </w:r>
      <w:r w:rsidR="00104111" w:rsidRPr="00104111">
        <w:rPr>
          <w:rFonts w:ascii="Arial" w:hAnsi="Arial" w:cs="Arial"/>
          <w:bCs/>
          <w:sz w:val="24"/>
          <w:szCs w:val="24"/>
          <w:lang w:val="en-US"/>
        </w:rPr>
        <w:t>..</w:t>
      </w:r>
      <w:proofErr w:type="gramEnd"/>
      <w:r w:rsidRPr="00104111">
        <w:rPr>
          <w:rFonts w:ascii="Arial" w:hAnsi="Arial" w:cs="Arial"/>
          <w:bCs/>
          <w:sz w:val="24"/>
          <w:szCs w:val="24"/>
          <w:lang w:val="en-US"/>
        </w:rPr>
        <w:t>19</w:t>
      </w:r>
    </w:p>
    <w:p w14:paraId="7B84B7E3" w14:textId="252F5B37" w:rsidR="00B6313A" w:rsidRPr="00104111" w:rsidRDefault="000D4F25" w:rsidP="004F3F82">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lang w:val="en-US"/>
        </w:rPr>
        <w:t>Appendices………………………………………………………</w:t>
      </w:r>
      <w:proofErr w:type="gramStart"/>
      <w:r w:rsidRPr="00104111">
        <w:rPr>
          <w:rFonts w:ascii="Arial" w:hAnsi="Arial" w:cs="Arial"/>
          <w:bCs/>
          <w:sz w:val="24"/>
          <w:szCs w:val="24"/>
          <w:lang w:val="en-US"/>
        </w:rPr>
        <w:t>…</w:t>
      </w:r>
      <w:r w:rsidR="00104111">
        <w:rPr>
          <w:rFonts w:ascii="Arial" w:hAnsi="Arial" w:cs="Arial"/>
          <w:bCs/>
          <w:sz w:val="24"/>
          <w:szCs w:val="24"/>
          <w:lang w:val="en-US"/>
        </w:rPr>
        <w:t>..</w:t>
      </w:r>
      <w:proofErr w:type="gramEnd"/>
      <w:r w:rsidRPr="00104111">
        <w:rPr>
          <w:rFonts w:ascii="Arial" w:hAnsi="Arial" w:cs="Arial"/>
          <w:bCs/>
          <w:sz w:val="24"/>
          <w:szCs w:val="24"/>
          <w:lang w:val="en-US"/>
        </w:rPr>
        <w:t>……</w:t>
      </w:r>
      <w:r w:rsidR="00104111" w:rsidRPr="00104111">
        <w:rPr>
          <w:rFonts w:ascii="Arial" w:hAnsi="Arial" w:cs="Arial"/>
          <w:bCs/>
          <w:sz w:val="24"/>
          <w:szCs w:val="24"/>
          <w:lang w:val="en-US"/>
        </w:rPr>
        <w:t>...</w:t>
      </w:r>
      <w:r w:rsidRPr="00104111">
        <w:rPr>
          <w:rFonts w:ascii="Arial" w:hAnsi="Arial" w:cs="Arial"/>
          <w:bCs/>
          <w:sz w:val="24"/>
          <w:szCs w:val="24"/>
          <w:lang w:val="en-US"/>
        </w:rPr>
        <w:t>……...19</w:t>
      </w:r>
    </w:p>
    <w:p w14:paraId="71558027" w14:textId="07996CA6" w:rsidR="000D4F25" w:rsidRPr="00104111" w:rsidRDefault="000D4F25" w:rsidP="004F3F82">
      <w:pPr>
        <w:pStyle w:val="ListParagraph"/>
        <w:numPr>
          <w:ilvl w:val="0"/>
          <w:numId w:val="1"/>
        </w:numPr>
        <w:spacing w:line="240" w:lineRule="auto"/>
        <w:jc w:val="both"/>
        <w:rPr>
          <w:rFonts w:ascii="Arial" w:hAnsi="Arial" w:cs="Arial"/>
          <w:bCs/>
          <w:sz w:val="24"/>
          <w:szCs w:val="24"/>
        </w:rPr>
      </w:pPr>
      <w:r w:rsidRPr="00104111">
        <w:rPr>
          <w:rFonts w:ascii="Arial" w:hAnsi="Arial" w:cs="Arial"/>
          <w:bCs/>
          <w:sz w:val="24"/>
          <w:szCs w:val="24"/>
          <w:lang w:val="en-US"/>
        </w:rPr>
        <w:t>References………………………………………………………</w:t>
      </w:r>
      <w:r w:rsidR="00104111" w:rsidRPr="00104111">
        <w:rPr>
          <w:rFonts w:ascii="Arial" w:hAnsi="Arial" w:cs="Arial"/>
          <w:bCs/>
          <w:sz w:val="24"/>
          <w:szCs w:val="24"/>
          <w:lang w:val="en-US"/>
        </w:rPr>
        <w:t>…</w:t>
      </w:r>
      <w:r w:rsidRPr="00104111">
        <w:rPr>
          <w:rFonts w:ascii="Arial" w:hAnsi="Arial" w:cs="Arial"/>
          <w:bCs/>
          <w:sz w:val="24"/>
          <w:szCs w:val="24"/>
          <w:lang w:val="en-US"/>
        </w:rPr>
        <w:t>…</w:t>
      </w:r>
      <w:r w:rsidR="00104111">
        <w:rPr>
          <w:rFonts w:ascii="Arial" w:hAnsi="Arial" w:cs="Arial"/>
          <w:bCs/>
          <w:sz w:val="24"/>
          <w:szCs w:val="24"/>
          <w:lang w:val="en-US"/>
        </w:rPr>
        <w:t>.</w:t>
      </w:r>
      <w:r w:rsidRPr="00104111">
        <w:rPr>
          <w:rFonts w:ascii="Arial" w:hAnsi="Arial" w:cs="Arial"/>
          <w:bCs/>
          <w:sz w:val="24"/>
          <w:szCs w:val="24"/>
          <w:lang w:val="en-US"/>
        </w:rPr>
        <w:t>……………20</w:t>
      </w:r>
    </w:p>
    <w:p w14:paraId="2D8F8B82" w14:textId="77777777" w:rsidR="00B6313A" w:rsidRPr="00104111" w:rsidRDefault="00B6313A" w:rsidP="004F3F82">
      <w:pPr>
        <w:spacing w:line="240" w:lineRule="auto"/>
        <w:jc w:val="both"/>
        <w:rPr>
          <w:rFonts w:ascii="Arial" w:hAnsi="Arial" w:cs="Arial"/>
          <w:bCs/>
          <w:sz w:val="24"/>
          <w:szCs w:val="24"/>
        </w:rPr>
      </w:pPr>
    </w:p>
    <w:p w14:paraId="76E7C06E" w14:textId="77777777" w:rsidR="00B6313A" w:rsidRPr="00104111" w:rsidRDefault="00B6313A" w:rsidP="004F3F82">
      <w:pPr>
        <w:spacing w:line="240" w:lineRule="auto"/>
        <w:jc w:val="both"/>
        <w:rPr>
          <w:rFonts w:ascii="Arial" w:hAnsi="Arial" w:cs="Arial"/>
          <w:bCs/>
          <w:sz w:val="24"/>
          <w:szCs w:val="24"/>
        </w:rPr>
      </w:pPr>
    </w:p>
    <w:p w14:paraId="33CE43BB" w14:textId="77777777" w:rsidR="00B6313A" w:rsidRPr="002E24B3" w:rsidRDefault="00B6313A" w:rsidP="004F3F82">
      <w:pPr>
        <w:spacing w:line="240" w:lineRule="auto"/>
        <w:jc w:val="both"/>
        <w:rPr>
          <w:rFonts w:ascii="Arial" w:hAnsi="Arial" w:cs="Arial"/>
          <w:bCs/>
          <w:sz w:val="24"/>
          <w:szCs w:val="24"/>
        </w:rPr>
      </w:pPr>
    </w:p>
    <w:p w14:paraId="0DE0D2F0" w14:textId="77777777" w:rsidR="00AE2A67" w:rsidRPr="002E24B3" w:rsidRDefault="00AE2A67" w:rsidP="004F3F82">
      <w:pPr>
        <w:spacing w:line="240" w:lineRule="auto"/>
        <w:jc w:val="both"/>
        <w:rPr>
          <w:rFonts w:ascii="Arial" w:hAnsi="Arial" w:cs="Arial"/>
          <w:bCs/>
          <w:sz w:val="24"/>
          <w:szCs w:val="24"/>
        </w:rPr>
      </w:pPr>
    </w:p>
    <w:p w14:paraId="251D01F9" w14:textId="68CFFB19"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rPr>
        <w:t xml:space="preserve">Introduction: </w:t>
      </w:r>
    </w:p>
    <w:p w14:paraId="3484CFFA" w14:textId="77777777" w:rsidR="00192C46" w:rsidRPr="002E24B3" w:rsidRDefault="00192C46" w:rsidP="004F3F82">
      <w:pPr>
        <w:spacing w:line="240" w:lineRule="auto"/>
        <w:jc w:val="both"/>
        <w:rPr>
          <w:rFonts w:ascii="Arial" w:hAnsi="Arial" w:cs="Arial"/>
          <w:sz w:val="24"/>
          <w:szCs w:val="24"/>
        </w:rPr>
      </w:pPr>
      <w:r w:rsidRPr="002E24B3">
        <w:rPr>
          <w:rFonts w:ascii="Arial" w:hAnsi="Arial" w:cs="Arial"/>
          <w:sz w:val="24"/>
          <w:szCs w:val="24"/>
        </w:rPr>
        <w:t>Marriott International, Inc. is one of the world's leading hospitality companies, offering its services through over 9,000 hotels and more than 30 brands in over 140 countries and territories. The company mainly follows an asset-light business model, successfully operating globally through franchising and management contracts. Plus, the Marriott Bonvoy loyalty programme helps the company boost customer loyalty and encourage long-term growth.</w:t>
      </w:r>
    </w:p>
    <w:p w14:paraId="2EE9E017" w14:textId="3B4C744E" w:rsidR="00B6313A" w:rsidRPr="002E24B3" w:rsidRDefault="00192C46" w:rsidP="004F3F82">
      <w:pPr>
        <w:spacing w:line="240" w:lineRule="auto"/>
        <w:jc w:val="both"/>
        <w:rPr>
          <w:rFonts w:ascii="Arial" w:hAnsi="Arial" w:cs="Arial"/>
          <w:sz w:val="24"/>
          <w:szCs w:val="24"/>
        </w:rPr>
      </w:pPr>
      <w:r w:rsidRPr="002E24B3">
        <w:rPr>
          <w:rFonts w:ascii="Arial" w:hAnsi="Arial" w:cs="Arial"/>
          <w:sz w:val="24"/>
          <w:szCs w:val="24"/>
        </w:rPr>
        <w:t>This report provides a detailed analysis of Marriott International's financial performance from 2021 to 2025. It evaluates the company's revenue, profitability, liquidity, efficiency, working capital management, financing, and investment appraisal. Based on this analysis, the report outlines the company's financial position, key strengths, potential risks, and strategic recommendations for the future.</w:t>
      </w:r>
    </w:p>
    <w:p w14:paraId="21FCDEDA" w14:textId="77777777" w:rsidR="00192C46" w:rsidRPr="002E24B3" w:rsidRDefault="00192C46" w:rsidP="004F3F82">
      <w:pPr>
        <w:spacing w:line="240" w:lineRule="auto"/>
        <w:jc w:val="both"/>
        <w:rPr>
          <w:rFonts w:ascii="Arial" w:hAnsi="Arial" w:cs="Arial"/>
          <w:sz w:val="24"/>
          <w:szCs w:val="24"/>
        </w:rPr>
      </w:pPr>
    </w:p>
    <w:p w14:paraId="5D46951D"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highlight w:val="darkGray"/>
        </w:rPr>
        <w:t>Task 1. Financial Health Check: Marriott International (2021–2025)</w:t>
      </w:r>
    </w:p>
    <w:p w14:paraId="77D373AA" w14:textId="77777777" w:rsidR="00B6313A" w:rsidRPr="002E24B3" w:rsidRDefault="00B6313A" w:rsidP="004F3F82">
      <w:pPr>
        <w:pStyle w:val="ListParagraph"/>
        <w:numPr>
          <w:ilvl w:val="0"/>
          <w:numId w:val="5"/>
        </w:numPr>
        <w:spacing w:line="240" w:lineRule="auto"/>
        <w:jc w:val="center"/>
        <w:rPr>
          <w:rFonts w:ascii="Arial" w:hAnsi="Arial" w:cs="Arial"/>
          <w:b/>
          <w:bCs/>
          <w:sz w:val="24"/>
          <w:szCs w:val="24"/>
        </w:rPr>
      </w:pPr>
      <w:r w:rsidRPr="002E24B3">
        <w:rPr>
          <w:rFonts w:ascii="Arial" w:hAnsi="Arial" w:cs="Arial"/>
          <w:b/>
          <w:bCs/>
          <w:sz w:val="24"/>
          <w:szCs w:val="24"/>
        </w:rPr>
        <w:t>Analysis of Financial Statements</w:t>
      </w:r>
    </w:p>
    <w:p w14:paraId="060943D0"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rPr>
        <w:t>A.1. Income Statement Analysis</w:t>
      </w:r>
    </w:p>
    <w:p w14:paraId="2C7B2A33"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Analysis of Marriott International's income statement shows that the company has achieved strong financial growth consistently from 2021 to 2025. Following COVID-19, improvements in the global travel industry, increased room bookings, the Marriott Bonvoy loyalty programme, and a franchise-based business model have led to a significant rise in the company's revenue and operating profit (Marriott International, 2026)</w:t>
      </w:r>
    </w:p>
    <w:p w14:paraId="0C0EC3BE"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drawing>
          <wp:inline distT="0" distB="0" distL="0" distR="0" wp14:anchorId="2D1171A9" wp14:editId="11421E10">
            <wp:extent cx="4915586" cy="2991267"/>
            <wp:effectExtent l="0" t="0" r="0" b="0"/>
            <wp:docPr id="16834427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442785" name="Picture 1683442785"/>
                    <pic:cNvPicPr/>
                  </pic:nvPicPr>
                  <pic:blipFill>
                    <a:blip r:embed="rId7">
                      <a:extLst>
                        <a:ext uri="{28A0092B-C50C-407E-A947-70E740481C1C}">
                          <a14:useLocalDpi xmlns:a14="http://schemas.microsoft.com/office/drawing/2010/main" val="0"/>
                        </a:ext>
                      </a:extLst>
                    </a:blip>
                    <a:stretch>
                      <a:fillRect/>
                    </a:stretch>
                  </pic:blipFill>
                  <pic:spPr>
                    <a:xfrm>
                      <a:off x="0" y="0"/>
                      <a:ext cx="4915586" cy="2991267"/>
                    </a:xfrm>
                    <a:prstGeom prst="rect">
                      <a:avLst/>
                    </a:prstGeom>
                  </pic:spPr>
                </pic:pic>
              </a:graphicData>
            </a:graphic>
          </wp:inline>
        </w:drawing>
      </w:r>
    </w:p>
    <w:p w14:paraId="1FC473F1" w14:textId="1DE9D10B" w:rsidR="00D4084E" w:rsidRPr="002E24B3" w:rsidRDefault="00D4084E"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r w:rsidR="000C7EED" w:rsidRPr="002E24B3">
        <w:rPr>
          <w:rFonts w:ascii="Arial" w:hAnsi="Arial" w:cs="Arial"/>
          <w:sz w:val="24"/>
          <w:szCs w:val="24"/>
        </w:rPr>
        <w:t>(</w:t>
      </w:r>
      <w:proofErr w:type="gramEnd"/>
      <w:r w:rsidR="000C7EED" w:rsidRPr="002E24B3">
        <w:rPr>
          <w:rFonts w:ascii="Arial" w:hAnsi="Arial" w:cs="Arial"/>
          <w:sz w:val="24"/>
          <w:szCs w:val="24"/>
        </w:rPr>
        <w:t>see Appendix A</w:t>
      </w:r>
      <w:r w:rsidR="007711D4" w:rsidRPr="002E24B3">
        <w:rPr>
          <w:rFonts w:ascii="Arial" w:hAnsi="Arial" w:cs="Arial"/>
          <w:sz w:val="24"/>
          <w:szCs w:val="24"/>
        </w:rPr>
        <w:t>.1</w:t>
      </w:r>
      <w:r w:rsidR="000C7EED" w:rsidRPr="002E24B3">
        <w:rPr>
          <w:rFonts w:ascii="Arial" w:hAnsi="Arial" w:cs="Arial"/>
          <w:sz w:val="24"/>
          <w:szCs w:val="24"/>
        </w:rPr>
        <w:t>))</w:t>
      </w:r>
    </w:p>
    <w:p w14:paraId="6FF199C1" w14:textId="342237D3"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Between 2021 and 2025,</w:t>
      </w:r>
      <w:r w:rsidR="00D4084E" w:rsidRPr="002E24B3">
        <w:rPr>
          <w:rFonts w:ascii="Arial" w:hAnsi="Arial" w:cs="Arial"/>
          <w:sz w:val="24"/>
          <w:szCs w:val="24"/>
        </w:rPr>
        <w:t xml:space="preserve"> </w:t>
      </w:r>
      <w:r w:rsidRPr="002E24B3">
        <w:rPr>
          <w:rFonts w:ascii="Arial" w:hAnsi="Arial" w:cs="Arial"/>
          <w:sz w:val="24"/>
          <w:szCs w:val="24"/>
        </w:rPr>
        <w:t xml:space="preserve">Marriott International saw strong financial growth. The company's revenue grew from US$13.86 billion to US$26.19 billion, showing about an 89% increase. This growth was mainly due to improvements in the global travel </w:t>
      </w:r>
      <w:r w:rsidRPr="002E24B3">
        <w:rPr>
          <w:rFonts w:ascii="Arial" w:hAnsi="Arial" w:cs="Arial"/>
          <w:sz w:val="24"/>
          <w:szCs w:val="24"/>
        </w:rPr>
        <w:lastRenderedPageBreak/>
        <w:t>industry, new franchise and management deals, and international expansion (Marriott International, 2026). The company's net income rose from US$1.10 billion (2021) to US$2.60 billion (2025), although there was a temporary dip in 2024 due to rising operating costs, interest, and taxes (Marriott International, 2026). Marriott's asset-light and franchise-based business model helps maintain strong profitability, but constant focus on cost control is needed for long-term growth (Grant, 2022; Brigham &amp; Ehrhardt, 2023).</w:t>
      </w:r>
    </w:p>
    <w:p w14:paraId="22A48690"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rPr>
        <w:t>A.2.:  Balance Sheet Analysis</w:t>
      </w:r>
    </w:p>
    <w:p w14:paraId="1CCB091F"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 xml:space="preserve">Marriott International's balance sheet shows a strong financial position from 2021 to 2025. Thanks to the company's asset-light business model, they earn more from management and franchise agreements, so the share of goodwill, brands and intangible assets is high. Liabilities have increased due to global expansion and share buybacks, while the main reason for negative shareholders' equity is </w:t>
      </w:r>
      <w:proofErr w:type="gramStart"/>
      <w:r w:rsidRPr="002E24B3">
        <w:rPr>
          <w:rFonts w:ascii="Arial" w:hAnsi="Arial" w:cs="Arial"/>
          <w:sz w:val="24"/>
          <w:szCs w:val="24"/>
        </w:rPr>
        <w:t>share</w:t>
      </w:r>
      <w:proofErr w:type="gramEnd"/>
      <w:r w:rsidRPr="002E24B3">
        <w:rPr>
          <w:rFonts w:ascii="Arial" w:hAnsi="Arial" w:cs="Arial"/>
          <w:sz w:val="24"/>
          <w:szCs w:val="24"/>
        </w:rPr>
        <w:t xml:space="preserve"> buybacks, not weak financial performance (Marriott International, 2026).</w:t>
      </w:r>
    </w:p>
    <w:p w14:paraId="3429B6B1"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drawing>
          <wp:inline distT="0" distB="0" distL="0" distR="0" wp14:anchorId="30881219" wp14:editId="6F2B0B17">
            <wp:extent cx="4563112" cy="2724530"/>
            <wp:effectExtent l="0" t="0" r="8890" b="0"/>
            <wp:docPr id="15680603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060390" name="Picture 1568060390"/>
                    <pic:cNvPicPr/>
                  </pic:nvPicPr>
                  <pic:blipFill>
                    <a:blip r:embed="rId8">
                      <a:extLst>
                        <a:ext uri="{28A0092B-C50C-407E-A947-70E740481C1C}">
                          <a14:useLocalDpi xmlns:a14="http://schemas.microsoft.com/office/drawing/2010/main" val="0"/>
                        </a:ext>
                      </a:extLst>
                    </a:blip>
                    <a:stretch>
                      <a:fillRect/>
                    </a:stretch>
                  </pic:blipFill>
                  <pic:spPr>
                    <a:xfrm>
                      <a:off x="0" y="0"/>
                      <a:ext cx="4563112" cy="2724530"/>
                    </a:xfrm>
                    <a:prstGeom prst="rect">
                      <a:avLst/>
                    </a:prstGeom>
                  </pic:spPr>
                </pic:pic>
              </a:graphicData>
            </a:graphic>
          </wp:inline>
        </w:drawing>
      </w:r>
    </w:p>
    <w:p w14:paraId="0344B75C" w14:textId="3103F852" w:rsidR="000C7EED" w:rsidRPr="002E24B3" w:rsidRDefault="00D4084E"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Inc</w:t>
      </w:r>
      <w:r w:rsidR="000C7EED" w:rsidRPr="002E24B3">
        <w:rPr>
          <w:rFonts w:ascii="Arial" w:hAnsi="Arial" w:cs="Arial"/>
          <w:sz w:val="24"/>
          <w:szCs w:val="24"/>
        </w:rPr>
        <w:t>. (see Appendix A</w:t>
      </w:r>
      <w:r w:rsidR="007711D4" w:rsidRPr="002E24B3">
        <w:rPr>
          <w:rFonts w:ascii="Arial" w:hAnsi="Arial" w:cs="Arial"/>
          <w:sz w:val="24"/>
          <w:szCs w:val="24"/>
        </w:rPr>
        <w:t>.2</w:t>
      </w:r>
      <w:r w:rsidR="000C7EED" w:rsidRPr="002E24B3">
        <w:rPr>
          <w:rFonts w:ascii="Arial" w:hAnsi="Arial" w:cs="Arial"/>
          <w:sz w:val="24"/>
          <w:szCs w:val="24"/>
        </w:rPr>
        <w:t>))</w:t>
      </w:r>
    </w:p>
    <w:p w14:paraId="5690ACDC" w14:textId="78983C0D"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Between 2021 and 2025, total assets rose from US$25.1 billion to US$27.9 billion and total liabilities increased from US$28.6 billion to US$31.4 billion, showing the company's consistent growth. However, shareholders' equity remained consistently negative (around –US$3.5 billion), mainly due to share buybacks rather than weak financial performance. Proper management of debt and liquidity is essential for long-term financial stability (Marriott International Annual Reports, 2021–2025; Brigham &amp; Ehrhardt, 2023).</w:t>
      </w:r>
    </w:p>
    <w:p w14:paraId="07444BD1"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rPr>
        <w:t>A.3. Cash Flow Statement Analysis</w:t>
      </w:r>
    </w:p>
    <w:p w14:paraId="621D46DF"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Between 2021 and 2025, Marriott International maintained strong operating cash flow. Thanks to the company's asset-light and franchise-based business model, cash kept coming in, while investing and financing cash flow were mainly negative due to investments, share buybacks, dividends and debt repayments (Marriott International Annual Reports, 2021–2025).</w:t>
      </w:r>
    </w:p>
    <w:p w14:paraId="1834D0D3"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lastRenderedPageBreak/>
        <w:drawing>
          <wp:inline distT="0" distB="0" distL="0" distR="0" wp14:anchorId="61557288" wp14:editId="2617AAF1">
            <wp:extent cx="4563112" cy="2734057"/>
            <wp:effectExtent l="0" t="0" r="0" b="9525"/>
            <wp:docPr id="678884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884416" name="Picture 678884416"/>
                    <pic:cNvPicPr/>
                  </pic:nvPicPr>
                  <pic:blipFill>
                    <a:blip r:embed="rId9">
                      <a:extLst>
                        <a:ext uri="{28A0092B-C50C-407E-A947-70E740481C1C}">
                          <a14:useLocalDpi xmlns:a14="http://schemas.microsoft.com/office/drawing/2010/main" val="0"/>
                        </a:ext>
                      </a:extLst>
                    </a:blip>
                    <a:stretch>
                      <a:fillRect/>
                    </a:stretch>
                  </pic:blipFill>
                  <pic:spPr>
                    <a:xfrm>
                      <a:off x="0" y="0"/>
                      <a:ext cx="4563112" cy="2734057"/>
                    </a:xfrm>
                    <a:prstGeom prst="rect">
                      <a:avLst/>
                    </a:prstGeom>
                  </pic:spPr>
                </pic:pic>
              </a:graphicData>
            </a:graphic>
          </wp:inline>
        </w:drawing>
      </w:r>
    </w:p>
    <w:p w14:paraId="3D3BF323" w14:textId="77777777" w:rsidR="00B6313A" w:rsidRPr="002E24B3" w:rsidRDefault="00B6313A" w:rsidP="004F3F82">
      <w:pPr>
        <w:spacing w:line="240" w:lineRule="auto"/>
        <w:jc w:val="both"/>
        <w:rPr>
          <w:rFonts w:ascii="Arial" w:hAnsi="Arial" w:cs="Arial"/>
          <w:vanish/>
          <w:sz w:val="24"/>
          <w:szCs w:val="24"/>
        </w:rPr>
      </w:pPr>
      <w:r w:rsidRPr="002E24B3">
        <w:rPr>
          <w:rFonts w:ascii="Arial" w:hAnsi="Arial" w:cs="Arial"/>
          <w:noProof/>
          <w:vanish/>
          <w:sz w:val="24"/>
          <w:szCs w:val="24"/>
        </w:rPr>
        <w:drawing>
          <wp:anchor distT="0" distB="0" distL="114300" distR="114300" simplePos="0" relativeHeight="251660288" behindDoc="0" locked="0" layoutInCell="1" allowOverlap="1" wp14:anchorId="7505A9BA" wp14:editId="754D3E07">
            <wp:simplePos x="0" y="0"/>
            <wp:positionH relativeFrom="margin">
              <wp:align>left</wp:align>
            </wp:positionH>
            <wp:positionV relativeFrom="margin">
              <wp:align>top</wp:align>
            </wp:positionV>
            <wp:extent cx="4563112" cy="2734057"/>
            <wp:effectExtent l="0" t="0" r="0" b="9525"/>
            <wp:wrapSquare wrapText="bothSides"/>
            <wp:docPr id="9659079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907989" name="Picture 965907989"/>
                    <pic:cNvPicPr/>
                  </pic:nvPicPr>
                  <pic:blipFill>
                    <a:blip r:embed="rId9">
                      <a:extLst>
                        <a:ext uri="{28A0092B-C50C-407E-A947-70E740481C1C}">
                          <a14:useLocalDpi xmlns:a14="http://schemas.microsoft.com/office/drawing/2010/main" val="0"/>
                        </a:ext>
                      </a:extLst>
                    </a:blip>
                    <a:stretch>
                      <a:fillRect/>
                    </a:stretch>
                  </pic:blipFill>
                  <pic:spPr>
                    <a:xfrm>
                      <a:off x="0" y="0"/>
                      <a:ext cx="4563112" cy="2734057"/>
                    </a:xfrm>
                    <a:prstGeom prst="rect">
                      <a:avLst/>
                    </a:prstGeom>
                  </pic:spPr>
                </pic:pic>
              </a:graphicData>
            </a:graphic>
          </wp:anchor>
        </w:drawing>
      </w:r>
      <w:r w:rsidRPr="002E24B3">
        <w:rPr>
          <w:rFonts w:ascii="Arial" w:hAnsi="Arial" w:cs="Arial"/>
          <w:noProof/>
          <w:vanish/>
          <w:sz w:val="24"/>
          <w:szCs w:val="24"/>
        </w:rPr>
        <w:drawing>
          <wp:inline distT="0" distB="0" distL="0" distR="0" wp14:anchorId="2F517D51" wp14:editId="6441601E">
            <wp:extent cx="4563112" cy="2734057"/>
            <wp:effectExtent l="0" t="0" r="0" b="9525"/>
            <wp:docPr id="17351820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182038" name="Picture 1735182038"/>
                    <pic:cNvPicPr/>
                  </pic:nvPicPr>
                  <pic:blipFill>
                    <a:blip r:embed="rId9">
                      <a:extLst>
                        <a:ext uri="{28A0092B-C50C-407E-A947-70E740481C1C}">
                          <a14:useLocalDpi xmlns:a14="http://schemas.microsoft.com/office/drawing/2010/main" val="0"/>
                        </a:ext>
                      </a:extLst>
                    </a:blip>
                    <a:stretch>
                      <a:fillRect/>
                    </a:stretch>
                  </pic:blipFill>
                  <pic:spPr>
                    <a:xfrm>
                      <a:off x="0" y="0"/>
                      <a:ext cx="4563112" cy="2734057"/>
                    </a:xfrm>
                    <a:prstGeom prst="rect">
                      <a:avLst/>
                    </a:prstGeom>
                  </pic:spPr>
                </pic:pic>
              </a:graphicData>
            </a:graphic>
          </wp:inline>
        </w:drawing>
      </w:r>
      <w:r w:rsidRPr="002E24B3">
        <w:rPr>
          <w:rFonts w:ascii="Arial" w:hAnsi="Arial" w:cs="Arial"/>
          <w:noProof/>
          <w:vanish/>
          <w:sz w:val="24"/>
          <w:szCs w:val="24"/>
        </w:rPr>
        <w:drawing>
          <wp:inline distT="0" distB="0" distL="0" distR="0" wp14:anchorId="3B115AFB" wp14:editId="23DC213B">
            <wp:extent cx="4563112" cy="2734057"/>
            <wp:effectExtent l="0" t="0" r="0" b="9525"/>
            <wp:docPr id="9454923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492395" name="Picture 945492395"/>
                    <pic:cNvPicPr/>
                  </pic:nvPicPr>
                  <pic:blipFill>
                    <a:blip r:embed="rId9">
                      <a:extLst>
                        <a:ext uri="{28A0092B-C50C-407E-A947-70E740481C1C}">
                          <a14:useLocalDpi xmlns:a14="http://schemas.microsoft.com/office/drawing/2010/main" val="0"/>
                        </a:ext>
                      </a:extLst>
                    </a:blip>
                    <a:stretch>
                      <a:fillRect/>
                    </a:stretch>
                  </pic:blipFill>
                  <pic:spPr>
                    <a:xfrm>
                      <a:off x="0" y="0"/>
                      <a:ext cx="4563112" cy="2734057"/>
                    </a:xfrm>
                    <a:prstGeom prst="rect">
                      <a:avLst/>
                    </a:prstGeom>
                  </pic:spPr>
                </pic:pic>
              </a:graphicData>
            </a:graphic>
          </wp:inline>
        </w:drawing>
      </w:r>
    </w:p>
    <w:p w14:paraId="3FEB604E" w14:textId="77777777" w:rsidR="00B6313A" w:rsidRPr="002E24B3" w:rsidRDefault="00B6313A" w:rsidP="004F3F82">
      <w:pPr>
        <w:spacing w:line="240" w:lineRule="auto"/>
        <w:jc w:val="both"/>
        <w:rPr>
          <w:rFonts w:ascii="Arial" w:hAnsi="Arial" w:cs="Arial"/>
          <w:vanish/>
          <w:sz w:val="24"/>
          <w:szCs w:val="24"/>
        </w:rPr>
      </w:pPr>
    </w:p>
    <w:p w14:paraId="43DA5AF7" w14:textId="77777777" w:rsidR="00B6313A" w:rsidRPr="002E24B3" w:rsidRDefault="00B6313A" w:rsidP="004F3F82">
      <w:pPr>
        <w:spacing w:line="240" w:lineRule="auto"/>
        <w:jc w:val="both"/>
        <w:rPr>
          <w:rFonts w:ascii="Arial" w:hAnsi="Arial" w:cs="Arial"/>
          <w:vanish/>
          <w:sz w:val="24"/>
          <w:szCs w:val="24"/>
        </w:rPr>
      </w:pPr>
    </w:p>
    <w:p w14:paraId="2AE08C46" w14:textId="77777777" w:rsidR="00B6313A" w:rsidRPr="002E24B3" w:rsidRDefault="00B6313A" w:rsidP="004F3F82">
      <w:pPr>
        <w:spacing w:line="240" w:lineRule="auto"/>
        <w:jc w:val="both"/>
        <w:rPr>
          <w:rFonts w:ascii="Arial" w:hAnsi="Arial" w:cs="Arial"/>
          <w:vanish/>
          <w:sz w:val="24"/>
          <w:szCs w:val="24"/>
        </w:rPr>
      </w:pPr>
    </w:p>
    <w:p w14:paraId="03722B68" w14:textId="77777777" w:rsidR="00B6313A" w:rsidRPr="002E24B3" w:rsidRDefault="00B6313A" w:rsidP="004F3F82">
      <w:pPr>
        <w:spacing w:line="240" w:lineRule="auto"/>
        <w:jc w:val="both"/>
        <w:rPr>
          <w:rFonts w:ascii="Arial" w:hAnsi="Arial" w:cs="Arial"/>
          <w:vanish/>
          <w:sz w:val="24"/>
          <w:szCs w:val="24"/>
        </w:rPr>
      </w:pPr>
    </w:p>
    <w:p w14:paraId="440F9648" w14:textId="00C47EBB" w:rsidR="00D4084E" w:rsidRPr="002E24B3" w:rsidRDefault="00D4084E"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Inc.</w:t>
      </w:r>
      <w:r w:rsidR="000C7EED" w:rsidRPr="002E24B3">
        <w:rPr>
          <w:rFonts w:ascii="Arial" w:hAnsi="Arial" w:cs="Arial"/>
          <w:sz w:val="24"/>
          <w:szCs w:val="24"/>
        </w:rPr>
        <w:t xml:space="preserve"> (see Appendix A</w:t>
      </w:r>
      <w:r w:rsidR="007711D4" w:rsidRPr="002E24B3">
        <w:rPr>
          <w:rFonts w:ascii="Arial" w:hAnsi="Arial" w:cs="Arial"/>
          <w:sz w:val="24"/>
          <w:szCs w:val="24"/>
        </w:rPr>
        <w:t>.3</w:t>
      </w:r>
      <w:r w:rsidR="000C7EED" w:rsidRPr="002E24B3">
        <w:rPr>
          <w:rFonts w:ascii="Arial" w:hAnsi="Arial" w:cs="Arial"/>
          <w:sz w:val="24"/>
          <w:szCs w:val="24"/>
        </w:rPr>
        <w:t>))</w:t>
      </w:r>
    </w:p>
    <w:p w14:paraId="38F25088"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In 2025, Operating Cash Flow reached US$3.21 billion, showing the company's strong ability to generate cash. However, Financing Cash Flow remained consistently negative, so balanced management of cash flow, debt, and capital spending is needed to maintain long-term financial stability (Brigham &amp; Ehrhardt, 2023).</w:t>
      </w:r>
    </w:p>
    <w:p w14:paraId="43083EA8" w14:textId="77777777" w:rsidR="00B6313A" w:rsidRPr="002E24B3" w:rsidRDefault="00B6313A" w:rsidP="004F3F82">
      <w:pPr>
        <w:pStyle w:val="ListParagraph"/>
        <w:numPr>
          <w:ilvl w:val="0"/>
          <w:numId w:val="5"/>
        </w:numPr>
        <w:spacing w:line="240" w:lineRule="auto"/>
        <w:jc w:val="center"/>
        <w:rPr>
          <w:rFonts w:ascii="Arial" w:hAnsi="Arial" w:cs="Arial"/>
          <w:b/>
          <w:bCs/>
          <w:sz w:val="24"/>
          <w:szCs w:val="24"/>
        </w:rPr>
      </w:pPr>
      <w:r w:rsidRPr="002E24B3">
        <w:rPr>
          <w:rFonts w:ascii="Arial" w:hAnsi="Arial" w:cs="Arial"/>
          <w:b/>
          <w:bCs/>
          <w:sz w:val="24"/>
          <w:szCs w:val="24"/>
          <w:lang w:val="en-US"/>
        </w:rPr>
        <w:t>Comprehensive ratio analysis</w:t>
      </w:r>
    </w:p>
    <w:p w14:paraId="2E589749"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lang w:val="en-US"/>
        </w:rPr>
        <w:t xml:space="preserve">B.1. </w:t>
      </w:r>
      <w:r w:rsidRPr="002E24B3">
        <w:rPr>
          <w:rFonts w:ascii="Arial" w:hAnsi="Arial" w:cs="Arial"/>
          <w:b/>
          <w:bCs/>
          <w:sz w:val="24"/>
          <w:szCs w:val="24"/>
        </w:rPr>
        <w:t>Profitability Ratio Analysis</w:t>
      </w:r>
    </w:p>
    <w:p w14:paraId="17B0A6B6"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Profitability ratios show how effectively a company earns profit from its income. Marriott's asset-light business model keeps profitability strong. Therefore, Net Profit Margin, Operating Profit Margin, Return on Assets (ROA), and Return on Equity (ROE) have been analysed.</w:t>
      </w:r>
    </w:p>
    <w:p w14:paraId="6EF849C3"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drawing>
          <wp:inline distT="0" distB="0" distL="0" distR="0" wp14:anchorId="4EF3AA4D" wp14:editId="74D92BF4">
            <wp:extent cx="3671455" cy="2209800"/>
            <wp:effectExtent l="0" t="0" r="5715" b="0"/>
            <wp:docPr id="1567106638" name="Chart 1">
              <a:extLst xmlns:a="http://schemas.openxmlformats.org/drawingml/2006/main">
                <a:ext uri="{FF2B5EF4-FFF2-40B4-BE49-F238E27FC236}">
                  <a16:creationId xmlns:a16="http://schemas.microsoft.com/office/drawing/2014/main" id="{8F8BB0B3-FF1A-E30F-035C-EB6C492A8B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D210408" w14:textId="02D83D0D" w:rsidR="007711D4" w:rsidRPr="002E24B3" w:rsidRDefault="007711D4"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Inc. (see Appendix B.1))</w:t>
      </w:r>
    </w:p>
    <w:p w14:paraId="2401FA20"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B.1.1. Operating Profit Margin Analysis</w:t>
      </w:r>
    </w:p>
    <w:p w14:paraId="7AE55751"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 xml:space="preserve">Marriott's Operating Profit Margin was 16.30% in 2023, which dropped to 15.01% in 2024 due to rising operating costs and restructuring expenses. However, it went up again to 15.81% in 2025, showing effective cost control and improved franchise and management fee income. Maintaining an operating margin above 15% throughout the </w:t>
      </w:r>
      <w:r w:rsidRPr="002E24B3">
        <w:rPr>
          <w:rFonts w:ascii="Arial" w:hAnsi="Arial" w:cs="Arial"/>
          <w:sz w:val="24"/>
          <w:szCs w:val="24"/>
        </w:rPr>
        <w:lastRenderedPageBreak/>
        <w:t>period reflects the company's strong operational efficiency and successful asset-light business model. Still, to sustain long-term profitability, the company should keep a close check on operating costs and focus on increasing fee-based revenue (Brigham &amp; Ehrhardt, 2023; Marriott International, 2026).</w:t>
      </w:r>
    </w:p>
    <w:p w14:paraId="4B53B962"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B.1.2.: Net Profit Margin Analysis</w:t>
      </w:r>
    </w:p>
    <w:p w14:paraId="65FBC149"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 xml:space="preserve">Marriott's net profit margin was 13.00% in </w:t>
      </w:r>
      <w:proofErr w:type="gramStart"/>
      <w:r w:rsidRPr="002E24B3">
        <w:rPr>
          <w:rFonts w:ascii="Arial" w:hAnsi="Arial" w:cs="Arial"/>
          <w:sz w:val="24"/>
          <w:szCs w:val="24"/>
        </w:rPr>
        <w:t>2023, but</w:t>
      </w:r>
      <w:proofErr w:type="gramEnd"/>
      <w:r w:rsidRPr="002E24B3">
        <w:rPr>
          <w:rFonts w:ascii="Arial" w:hAnsi="Arial" w:cs="Arial"/>
          <w:sz w:val="24"/>
          <w:szCs w:val="24"/>
        </w:rPr>
        <w:t xml:space="preserve"> fell to 9.46% in 2024 due to rising interest expenses and taxes. In 2025, it slightly recovered to 9.93%, showing a balance between effective cost control and revenue growth. However, rising financing costs put pressure on profits. Therefore, to strengthen profitability in the future, the company needs to focus on reducing debt, controlling interest expenses, and maintaining steady income through its franchise-based business model (Brigham &amp; Ehrhardt, 2023; Marriott International, 2026).</w:t>
      </w:r>
    </w:p>
    <w:p w14:paraId="063301D0"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rPr>
        <w:t>B.2. Liquidity Ratio Analysis</w:t>
      </w:r>
    </w:p>
    <w:p w14:paraId="6DD93870"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This ratio shows a company's ability to pay off its short-term financial obligations. Strong liquidity is needed in the hospitality industry to maintain daily operations and cash flow. So, Marriott International's liquidity has been evaluated using the Current Ratio and Quick Ratio (Brigham &amp; Ehrhardt, 2023).</w:t>
      </w:r>
    </w:p>
    <w:p w14:paraId="41572383"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drawing>
          <wp:inline distT="0" distB="0" distL="0" distR="0" wp14:anchorId="4A7823A1" wp14:editId="7DFBB838">
            <wp:extent cx="4572000" cy="2743200"/>
            <wp:effectExtent l="0" t="0" r="0" b="0"/>
            <wp:docPr id="153881235" name="Chart 1">
              <a:extLst xmlns:a="http://schemas.openxmlformats.org/drawingml/2006/main">
                <a:ext uri="{FF2B5EF4-FFF2-40B4-BE49-F238E27FC236}">
                  <a16:creationId xmlns:a16="http://schemas.microsoft.com/office/drawing/2014/main" id="{DB997345-E422-C37D-DB73-47EC85CDCE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FA3820" w14:textId="77777777" w:rsidR="00B6313A" w:rsidRPr="002E24B3" w:rsidRDefault="00B6313A" w:rsidP="004F3F82">
      <w:pPr>
        <w:spacing w:line="240" w:lineRule="auto"/>
        <w:jc w:val="both"/>
        <w:rPr>
          <w:rFonts w:ascii="Arial" w:hAnsi="Arial" w:cs="Arial"/>
          <w:vanish/>
          <w:sz w:val="24"/>
          <w:szCs w:val="24"/>
        </w:rPr>
      </w:pPr>
    </w:p>
    <w:p w14:paraId="0847EDCF" w14:textId="77777777" w:rsidR="00B6313A" w:rsidRPr="002E24B3" w:rsidRDefault="00B6313A" w:rsidP="004F3F82">
      <w:pPr>
        <w:spacing w:line="240" w:lineRule="auto"/>
        <w:jc w:val="both"/>
        <w:rPr>
          <w:rFonts w:ascii="Arial" w:hAnsi="Arial" w:cs="Arial"/>
          <w:vanish/>
          <w:sz w:val="24"/>
          <w:szCs w:val="24"/>
        </w:rPr>
      </w:pPr>
    </w:p>
    <w:p w14:paraId="5B7563A0" w14:textId="454745F4" w:rsidR="007711D4" w:rsidRPr="002E24B3" w:rsidRDefault="007711D4"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Inc. (see Appendix B.2))</w:t>
      </w:r>
    </w:p>
    <w:p w14:paraId="63C7F728"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B.2.1.: Current Ratio Analysis</w:t>
      </w:r>
    </w:p>
    <w:p w14:paraId="0961AC8D"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Marriott's Current Ratio has stayed below 1 over the past five years, which is normal due to its asset-light business model. Since the company's revenue mainly comes from franchise and management fees, and it has strong Operating Cash Flow, it can effectively meet its short-term obligations. So, even with a low Current Ratio, it doesn't indicate poor liquidity. However, keeping a constant focus on working capital management and cash reserves is important for long-term financial stability (Brigham &amp; Ehrhardt, 2023).</w:t>
      </w:r>
    </w:p>
    <w:p w14:paraId="032549BC"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B.2.2.: Quick Ratio Analysis</w:t>
      </w:r>
    </w:p>
    <w:p w14:paraId="488A60BA"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 xml:space="preserve">Marriott's Quick Ratio, excluding inventory, shows the company's ability to make immediate payments. Since the company has a low proportion of inventory, this ratio </w:t>
      </w:r>
      <w:r w:rsidRPr="002E24B3">
        <w:rPr>
          <w:rFonts w:ascii="Arial" w:hAnsi="Arial" w:cs="Arial"/>
          <w:sz w:val="24"/>
          <w:szCs w:val="24"/>
        </w:rPr>
        <w:lastRenderedPageBreak/>
        <w:t>provides a more accurate measure of its actual liquidity. Even if the Quick Ratio is lower than the industry average, the company's recurring franchise revenue and strong Operating Cash Flow help maintain short-term liquidity. Still, considering rising interest rates and economic uncertainty, the company needs to strengthen cash management (Brigham &amp; Ehrhardt, 2023).</w:t>
      </w:r>
    </w:p>
    <w:p w14:paraId="7FAD9895" w14:textId="77777777" w:rsidR="00B6313A" w:rsidRPr="002E24B3" w:rsidRDefault="00B6313A" w:rsidP="004F3F82">
      <w:pPr>
        <w:spacing w:line="240" w:lineRule="auto"/>
        <w:rPr>
          <w:rFonts w:ascii="Arial" w:hAnsi="Arial" w:cs="Arial"/>
          <w:b/>
          <w:bCs/>
          <w:sz w:val="24"/>
          <w:szCs w:val="24"/>
        </w:rPr>
      </w:pPr>
      <w:r w:rsidRPr="002E24B3">
        <w:rPr>
          <w:rFonts w:ascii="Arial" w:hAnsi="Arial" w:cs="Arial"/>
          <w:b/>
          <w:bCs/>
          <w:sz w:val="24"/>
          <w:szCs w:val="24"/>
        </w:rPr>
        <w:t>B.3. Cash Flow Ratio Analysis</w:t>
      </w:r>
    </w:p>
    <w:p w14:paraId="41C39B3E" w14:textId="77777777" w:rsidR="00B6313A" w:rsidRPr="002E24B3" w:rsidRDefault="00B6313A" w:rsidP="004F3F82">
      <w:pPr>
        <w:spacing w:line="240" w:lineRule="auto"/>
        <w:rPr>
          <w:rFonts w:ascii="Arial" w:hAnsi="Arial" w:cs="Arial"/>
          <w:sz w:val="24"/>
          <w:szCs w:val="24"/>
        </w:rPr>
      </w:pPr>
      <w:r w:rsidRPr="002E24B3">
        <w:rPr>
          <w:rFonts w:ascii="Arial" w:hAnsi="Arial" w:cs="Arial"/>
          <w:sz w:val="24"/>
          <w:szCs w:val="24"/>
        </w:rPr>
        <w:t>This ratio evaluates a company's ability to generate cash and meet its short and long-term financial obligations. In the hospitality industry, strong cash flow is crucial for daily operations, paying debts, and future investments. So, for Marriott International, the Operating Cash Flow Ratio and Cash Flow to Debt Ratio have been analysed (Brigham &amp; Ehrhardt, 2023).</w:t>
      </w:r>
    </w:p>
    <w:p w14:paraId="082770F8" w14:textId="77777777" w:rsidR="00B6313A" w:rsidRPr="002E24B3" w:rsidRDefault="00B6313A" w:rsidP="004F3F82">
      <w:pPr>
        <w:spacing w:line="240" w:lineRule="auto"/>
        <w:rPr>
          <w:rFonts w:ascii="Arial" w:hAnsi="Arial" w:cs="Arial"/>
          <w:sz w:val="24"/>
          <w:szCs w:val="24"/>
        </w:rPr>
      </w:pPr>
      <w:r w:rsidRPr="002E24B3">
        <w:rPr>
          <w:rFonts w:ascii="Arial" w:hAnsi="Arial" w:cs="Arial"/>
          <w:noProof/>
          <w:sz w:val="24"/>
          <w:szCs w:val="24"/>
        </w:rPr>
        <w:drawing>
          <wp:inline distT="0" distB="0" distL="0" distR="0" wp14:anchorId="3CD7294A" wp14:editId="2557D9EB">
            <wp:extent cx="4572000" cy="2743200"/>
            <wp:effectExtent l="0" t="0" r="0" b="0"/>
            <wp:docPr id="1147845757" name="Chart 1">
              <a:extLst xmlns:a="http://schemas.openxmlformats.org/drawingml/2006/main">
                <a:ext uri="{FF2B5EF4-FFF2-40B4-BE49-F238E27FC236}">
                  <a16:creationId xmlns:a16="http://schemas.microsoft.com/office/drawing/2014/main" id="{CDDB996B-8CDA-D7D9-8FAF-16B99C12D5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A53757C" w14:textId="53F8B15C" w:rsidR="007711D4" w:rsidRPr="002E24B3" w:rsidRDefault="007711D4"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Inc. (see Appendix B.3))</w:t>
      </w:r>
    </w:p>
    <w:p w14:paraId="778F8D64" w14:textId="77777777" w:rsidR="00B6313A" w:rsidRPr="002E24B3" w:rsidRDefault="00B6313A" w:rsidP="004F3F82">
      <w:pPr>
        <w:spacing w:line="240" w:lineRule="auto"/>
        <w:rPr>
          <w:rFonts w:ascii="Arial" w:hAnsi="Arial" w:cs="Arial"/>
          <w:sz w:val="24"/>
          <w:szCs w:val="24"/>
        </w:rPr>
      </w:pPr>
      <w:r w:rsidRPr="002E24B3">
        <w:rPr>
          <w:rFonts w:ascii="Arial" w:hAnsi="Arial" w:cs="Arial"/>
          <w:sz w:val="24"/>
          <w:szCs w:val="24"/>
        </w:rPr>
        <w:t>B.3.1.: Operating Cash Flow Ratio Analysis</w:t>
      </w:r>
    </w:p>
    <w:p w14:paraId="59301E00" w14:textId="77777777" w:rsidR="00B6313A" w:rsidRPr="002E24B3" w:rsidRDefault="00B6313A" w:rsidP="004F3F82">
      <w:pPr>
        <w:spacing w:line="240" w:lineRule="auto"/>
        <w:rPr>
          <w:rFonts w:ascii="Arial" w:hAnsi="Arial" w:cs="Arial"/>
          <w:sz w:val="24"/>
          <w:szCs w:val="24"/>
        </w:rPr>
      </w:pPr>
      <w:r w:rsidRPr="002E24B3">
        <w:rPr>
          <w:rFonts w:ascii="Arial" w:hAnsi="Arial" w:cs="Arial"/>
          <w:sz w:val="24"/>
          <w:szCs w:val="24"/>
        </w:rPr>
        <w:t>From 2021 to 2025, Marriott maintained a strong Operating Cash Flow Ratio, with Operating Cash Flow reaching US$3.21 billion in 2025, showing the company's good ability to pay off short-term liabilities (Marriott International Annual Reports, 2021–2025). However, in the future, an economic slowdown or a decline in the travel sector could affect cash flow, so it's important to keep focusing on working capital management and cash generation for long-term financial stability (Brigham &amp; Ehrhardt, 2023).</w:t>
      </w:r>
    </w:p>
    <w:p w14:paraId="25FBDCC3" w14:textId="77777777" w:rsidR="00B6313A" w:rsidRPr="002E24B3" w:rsidRDefault="00B6313A" w:rsidP="004F3F82">
      <w:pPr>
        <w:spacing w:line="240" w:lineRule="auto"/>
        <w:rPr>
          <w:rFonts w:ascii="Arial" w:hAnsi="Arial" w:cs="Arial"/>
          <w:sz w:val="24"/>
          <w:szCs w:val="24"/>
        </w:rPr>
      </w:pPr>
      <w:r w:rsidRPr="002E24B3">
        <w:rPr>
          <w:rFonts w:ascii="Arial" w:hAnsi="Arial" w:cs="Arial"/>
          <w:sz w:val="24"/>
          <w:szCs w:val="24"/>
        </w:rPr>
        <w:t>B.3.2.: Cash Flow to Debt Ratio Analysis</w:t>
      </w:r>
    </w:p>
    <w:p w14:paraId="41963037" w14:textId="5C4D2691" w:rsidR="00A41818" w:rsidRDefault="00B6313A" w:rsidP="004F3F82">
      <w:pPr>
        <w:spacing w:line="240" w:lineRule="auto"/>
        <w:rPr>
          <w:rFonts w:ascii="Arial" w:hAnsi="Arial" w:cs="Arial"/>
          <w:sz w:val="24"/>
          <w:szCs w:val="24"/>
        </w:rPr>
      </w:pPr>
      <w:r w:rsidRPr="002E24B3">
        <w:rPr>
          <w:rFonts w:ascii="Arial" w:hAnsi="Arial" w:cs="Arial"/>
          <w:sz w:val="24"/>
          <w:szCs w:val="24"/>
        </w:rPr>
        <w:t>Between 2021 and 2025, Marriott's Cash Flow to Debt Ratio stayed strong, as Operating Cash Flow reached US$3.21 billion in 2025, allowing the company to meet its financial obligations effectively despite high debt (Marriott International Annual Reports, 2021–2025). However, considering rising interest rates and high debt levels, maintaining debt management, refinancing, and a strong operating cash flow is necessary for long-term financial stability (Brigham &amp; Ehrhardt, 2023).</w:t>
      </w:r>
    </w:p>
    <w:p w14:paraId="03144A44" w14:textId="77777777" w:rsidR="002E24B3" w:rsidRPr="002E24B3" w:rsidRDefault="002E24B3" w:rsidP="004F3F82">
      <w:pPr>
        <w:spacing w:line="240" w:lineRule="auto"/>
        <w:rPr>
          <w:rFonts w:ascii="Arial" w:hAnsi="Arial" w:cs="Arial"/>
          <w:sz w:val="24"/>
          <w:szCs w:val="24"/>
        </w:rPr>
      </w:pPr>
    </w:p>
    <w:p w14:paraId="1FB4917B" w14:textId="77777777" w:rsidR="00B6313A" w:rsidRPr="002E24B3" w:rsidRDefault="00B6313A" w:rsidP="004F3F82">
      <w:pPr>
        <w:pStyle w:val="ListParagraph"/>
        <w:numPr>
          <w:ilvl w:val="0"/>
          <w:numId w:val="5"/>
        </w:numPr>
        <w:spacing w:line="240" w:lineRule="auto"/>
        <w:jc w:val="center"/>
        <w:rPr>
          <w:rFonts w:ascii="Arial" w:hAnsi="Arial" w:cs="Arial"/>
          <w:b/>
          <w:bCs/>
          <w:sz w:val="24"/>
          <w:szCs w:val="24"/>
        </w:rPr>
      </w:pPr>
      <w:r w:rsidRPr="002E24B3">
        <w:rPr>
          <w:rFonts w:ascii="Arial" w:hAnsi="Arial" w:cs="Arial"/>
          <w:b/>
          <w:bCs/>
          <w:sz w:val="24"/>
          <w:szCs w:val="24"/>
        </w:rPr>
        <w:t>Financial Trends, Strengths and Potential Threats</w:t>
      </w:r>
    </w:p>
    <w:p w14:paraId="6D3DE111" w14:textId="77777777" w:rsidR="00B6313A" w:rsidRPr="002E24B3" w:rsidRDefault="00B6313A" w:rsidP="004F3F82">
      <w:pPr>
        <w:spacing w:line="240" w:lineRule="auto"/>
        <w:rPr>
          <w:rFonts w:ascii="Arial" w:hAnsi="Arial" w:cs="Arial"/>
          <w:sz w:val="24"/>
          <w:szCs w:val="24"/>
        </w:rPr>
      </w:pPr>
      <w:r w:rsidRPr="002E24B3">
        <w:rPr>
          <w:rFonts w:ascii="Arial" w:hAnsi="Arial" w:cs="Arial"/>
          <w:sz w:val="24"/>
          <w:szCs w:val="24"/>
        </w:rPr>
        <w:lastRenderedPageBreak/>
        <w:t>The financial analysis of the last five years looks at Marriott International's financial performance, main strengths, and future risks, helping us understand the company's long-term financial stability and growth potential (Marriott International, 2026; Brigham &amp; Ehrhardt, 2023).</w:t>
      </w:r>
    </w:p>
    <w:p w14:paraId="23DB4498" w14:textId="16A8BA73" w:rsidR="00E25774"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drawing>
          <wp:inline distT="0" distB="0" distL="0" distR="0" wp14:anchorId="364FE4A3" wp14:editId="32031A02">
            <wp:extent cx="5731510" cy="2045970"/>
            <wp:effectExtent l="0" t="0" r="2540" b="0"/>
            <wp:docPr id="13978571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857195" name="Picture 1397857195"/>
                    <pic:cNvPicPr/>
                  </pic:nvPicPr>
                  <pic:blipFill>
                    <a:blip r:embed="rId13">
                      <a:extLst>
                        <a:ext uri="{28A0092B-C50C-407E-A947-70E740481C1C}">
                          <a14:useLocalDpi xmlns:a14="http://schemas.microsoft.com/office/drawing/2010/main" val="0"/>
                        </a:ext>
                      </a:extLst>
                    </a:blip>
                    <a:stretch>
                      <a:fillRect/>
                    </a:stretch>
                  </pic:blipFill>
                  <pic:spPr>
                    <a:xfrm>
                      <a:off x="0" y="0"/>
                      <a:ext cx="5731510" cy="2045970"/>
                    </a:xfrm>
                    <a:prstGeom prst="rect">
                      <a:avLst/>
                    </a:prstGeom>
                  </pic:spPr>
                </pic:pic>
              </a:graphicData>
            </a:graphic>
          </wp:inline>
        </w:drawing>
      </w:r>
    </w:p>
    <w:p w14:paraId="4F4CFC10" w14:textId="2F546426" w:rsidR="00E25774" w:rsidRPr="002E24B3" w:rsidRDefault="00E25774"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see Appendix C.1))</w:t>
      </w:r>
    </w:p>
    <w:p w14:paraId="0DA15503" w14:textId="1F089700"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Over the past five years, Marriott has consistently reported financial growth. The increase in Revenue, Operating Income, and Operating Cash Flow shows the company's strong performance. Thanks to its asset-light franchise business model, the company has been able to generate more income with less capital. These activities strengthen Marriott's long-term growth and financial stability (Marriott International, 2026).</w:t>
      </w:r>
    </w:p>
    <w:p w14:paraId="01470FD0"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Marriott's biggest strength is its asset-light business model, which generates steady income with low capital investment. The Marriott Bonvoy loyalty programme boosts customer loyalty and repeat bookings. The company's global brand and presence in over 140 countries give it a strong competitive position. As a result, Marriott can maintain profitability and shareholder value in the long run (Grant, 2022; Marriott International, 2026).</w:t>
      </w:r>
    </w:p>
    <w:p w14:paraId="1E364920"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Marriott's high debt and negative shareholders' equity could increase financial risk in the future. Rising interest rates, a global economic slowdown, and increasing competition might affect the company's profitability. So, it's important to keep focusing on debt management, liquidity monitoring, and cost control. Also, balanced global expansion will help maintain the company's long-term financial stability and competitiveness (Brigham &amp; Ehrhardt, 2023; Marriott International, 2026).</w:t>
      </w:r>
    </w:p>
    <w:p w14:paraId="23A00AB3" w14:textId="77777777" w:rsidR="00B6313A" w:rsidRPr="002E24B3" w:rsidRDefault="00B6313A" w:rsidP="004F3F82">
      <w:pPr>
        <w:pStyle w:val="ListParagraph"/>
        <w:numPr>
          <w:ilvl w:val="0"/>
          <w:numId w:val="5"/>
        </w:numPr>
        <w:spacing w:line="240" w:lineRule="auto"/>
        <w:jc w:val="center"/>
        <w:rPr>
          <w:rFonts w:ascii="Arial" w:hAnsi="Arial" w:cs="Arial"/>
          <w:sz w:val="24"/>
          <w:szCs w:val="24"/>
        </w:rPr>
      </w:pPr>
      <w:r w:rsidRPr="002E24B3">
        <w:rPr>
          <w:rFonts w:ascii="Arial" w:hAnsi="Arial" w:cs="Arial"/>
          <w:b/>
          <w:bCs/>
          <w:sz w:val="24"/>
          <w:szCs w:val="24"/>
        </w:rPr>
        <w:t>Comparison of Liquidity Ratios with Industry Benchmarks</w:t>
      </w:r>
    </w:p>
    <w:p w14:paraId="4DC72B3D"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The liquidity ratio assesses the company's ability to meet its short-term financial obligations. Marriott International's liquidity has been compared with Hilton Worldwide and InterContinental Hotels Group (IHG) to evaluate its performance against industry standards (Brigham &amp; Ehrhardt, 2023).</w:t>
      </w:r>
    </w:p>
    <w:p w14:paraId="6CD299D0"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lastRenderedPageBreak/>
        <w:drawing>
          <wp:inline distT="0" distB="0" distL="0" distR="0" wp14:anchorId="3C097B92" wp14:editId="52D65665">
            <wp:extent cx="5731510" cy="1515745"/>
            <wp:effectExtent l="0" t="0" r="2540" b="8255"/>
            <wp:docPr id="8016924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692451" name="Picture 801692451"/>
                    <pic:cNvPicPr/>
                  </pic:nvPicPr>
                  <pic:blipFill>
                    <a:blip r:embed="rId14">
                      <a:extLst>
                        <a:ext uri="{28A0092B-C50C-407E-A947-70E740481C1C}">
                          <a14:useLocalDpi xmlns:a14="http://schemas.microsoft.com/office/drawing/2010/main" val="0"/>
                        </a:ext>
                      </a:extLst>
                    </a:blip>
                    <a:stretch>
                      <a:fillRect/>
                    </a:stretch>
                  </pic:blipFill>
                  <pic:spPr>
                    <a:xfrm>
                      <a:off x="0" y="0"/>
                      <a:ext cx="5731510" cy="1515745"/>
                    </a:xfrm>
                    <a:prstGeom prst="rect">
                      <a:avLst/>
                    </a:prstGeom>
                  </pic:spPr>
                </pic:pic>
              </a:graphicData>
            </a:graphic>
          </wp:inline>
        </w:drawing>
      </w:r>
    </w:p>
    <w:p w14:paraId="7BFB7E05" w14:textId="7EB7EEC4" w:rsidR="00171738" w:rsidRPr="002E24B3" w:rsidRDefault="00171738"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see Appendix C.2))</w:t>
      </w:r>
    </w:p>
    <w:p w14:paraId="196BAD9C"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In 2025, Marriott's current ratio was 0.43, which is lower than Hilton (0.67) and IHG (0.97), so its liquidity is considered relatively weak. However, Marriott's asset-light and franchise-based business model helps cover short-term financial obligations through strong operating cash flow. On the other hand, Hilton and IHG show stronger liquidity, making them more capable against short-term financial risks (Marriott International, 2026; Hilton Worldwide, 2026; IHG Hotels &amp; Resorts, 2026).</w:t>
      </w:r>
    </w:p>
    <w:p w14:paraId="52EFF0AB" w14:textId="77777777" w:rsidR="00B6313A" w:rsidRPr="002E24B3" w:rsidRDefault="00B6313A" w:rsidP="004F3F82">
      <w:pPr>
        <w:spacing w:line="240" w:lineRule="auto"/>
        <w:jc w:val="both"/>
        <w:rPr>
          <w:rFonts w:ascii="Arial" w:hAnsi="Arial" w:cs="Arial"/>
          <w:b/>
          <w:bCs/>
          <w:sz w:val="24"/>
          <w:szCs w:val="24"/>
        </w:rPr>
      </w:pPr>
      <w:r w:rsidRPr="002E24B3">
        <w:rPr>
          <w:rFonts w:ascii="Arial" w:hAnsi="Arial" w:cs="Arial"/>
          <w:b/>
          <w:bCs/>
          <w:sz w:val="24"/>
          <w:szCs w:val="24"/>
          <w:highlight w:val="darkGray"/>
        </w:rPr>
        <w:t>Task 2: Working Capital Management Analysis</w:t>
      </w:r>
    </w:p>
    <w:p w14:paraId="59F0B666"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Working capital management helps keep daily operations running smoothly by effectively managing a company's short-term assets and liabilities. For a global hospitality company like Marriott International, the cash operating cycle (COC) is very important because the company constantly needs cash flow for hotel operations, employee wages, payments to suppliers, and customer services (Brigham and Ehrhardt, 2023).</w:t>
      </w:r>
    </w:p>
    <w:p w14:paraId="02923E93" w14:textId="77777777" w:rsidR="00B6313A" w:rsidRPr="002E24B3" w:rsidRDefault="00B6313A" w:rsidP="004F3F82">
      <w:pPr>
        <w:pStyle w:val="ListParagraph"/>
        <w:numPr>
          <w:ilvl w:val="0"/>
          <w:numId w:val="2"/>
        </w:numPr>
        <w:spacing w:line="240" w:lineRule="auto"/>
        <w:jc w:val="center"/>
        <w:rPr>
          <w:rFonts w:ascii="Arial" w:hAnsi="Arial" w:cs="Arial"/>
          <w:b/>
          <w:bCs/>
          <w:sz w:val="24"/>
          <w:szCs w:val="24"/>
        </w:rPr>
      </w:pPr>
      <w:r w:rsidRPr="002E24B3">
        <w:rPr>
          <w:rFonts w:ascii="Arial" w:hAnsi="Arial" w:cs="Arial"/>
          <w:b/>
          <w:bCs/>
          <w:sz w:val="24"/>
          <w:szCs w:val="24"/>
        </w:rPr>
        <w:t>Assessment of the Cash Operating Cycle</w:t>
      </w:r>
    </w:p>
    <w:p w14:paraId="3F7746DF"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Cash Operating Cycle measures the time it takes a company to convert the money invested in daily operations back into cash. This ratio helps assess a company's working capital efficiency and liquidity management. Its formula is as follows (Brigham &amp; Ehrhardt, 2023).</w:t>
      </w:r>
    </w:p>
    <w:p w14:paraId="5DE6BF11" w14:textId="77777777" w:rsidR="00B6313A" w:rsidRPr="002E24B3" w:rsidRDefault="00B6313A" w:rsidP="004F3F82">
      <w:pPr>
        <w:spacing w:line="240" w:lineRule="auto"/>
        <w:jc w:val="both"/>
        <w:rPr>
          <w:rFonts w:ascii="Arial" w:hAnsi="Arial" w:cs="Arial"/>
          <w:sz w:val="24"/>
          <w:szCs w:val="24"/>
        </w:rPr>
      </w:pPr>
      <w:r w:rsidRPr="002E24B3">
        <w:rPr>
          <w:rFonts w:ascii="Arial" w:hAnsi="Arial" w:cs="Arial"/>
          <w:noProof/>
          <w:sz w:val="24"/>
          <w:szCs w:val="24"/>
        </w:rPr>
        <w:drawing>
          <wp:inline distT="0" distB="0" distL="0" distR="0" wp14:anchorId="03BD500A" wp14:editId="10B43FF7">
            <wp:extent cx="5731510" cy="1432560"/>
            <wp:effectExtent l="0" t="0" r="2540" b="0"/>
            <wp:docPr id="20889160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916069" name="Picture 2088916069"/>
                    <pic:cNvPicPr/>
                  </pic:nvPicPr>
                  <pic:blipFill>
                    <a:blip r:embed="rId15">
                      <a:extLst>
                        <a:ext uri="{28A0092B-C50C-407E-A947-70E740481C1C}">
                          <a14:useLocalDpi xmlns:a14="http://schemas.microsoft.com/office/drawing/2010/main" val="0"/>
                        </a:ext>
                      </a:extLst>
                    </a:blip>
                    <a:stretch>
                      <a:fillRect/>
                    </a:stretch>
                  </pic:blipFill>
                  <pic:spPr>
                    <a:xfrm>
                      <a:off x="0" y="0"/>
                      <a:ext cx="5731510" cy="1432560"/>
                    </a:xfrm>
                    <a:prstGeom prst="rect">
                      <a:avLst/>
                    </a:prstGeom>
                  </pic:spPr>
                </pic:pic>
              </a:graphicData>
            </a:graphic>
          </wp:inline>
        </w:drawing>
      </w:r>
    </w:p>
    <w:p w14:paraId="714FD268" w14:textId="3906FE0E" w:rsidR="00171738" w:rsidRPr="002E24B3" w:rsidRDefault="00171738" w:rsidP="004F3F82">
      <w:pPr>
        <w:spacing w:line="240" w:lineRule="auto"/>
        <w:jc w:val="both"/>
        <w:rPr>
          <w:rFonts w:ascii="Arial" w:hAnsi="Arial" w:cs="Arial"/>
          <w:sz w:val="24"/>
          <w:szCs w:val="24"/>
        </w:rPr>
      </w:pPr>
      <w:r w:rsidRPr="002E24B3">
        <w:rPr>
          <w:rFonts w:ascii="Arial" w:hAnsi="Arial" w:cs="Arial"/>
          <w:sz w:val="24"/>
          <w:szCs w:val="24"/>
        </w:rPr>
        <w:t xml:space="preserve">(Created by </w:t>
      </w:r>
      <w:r w:rsidR="002E24B3" w:rsidRPr="002E24B3">
        <w:rPr>
          <w:rFonts w:ascii="Arial" w:hAnsi="Arial" w:cs="Arial"/>
          <w:sz w:val="24"/>
          <w:szCs w:val="24"/>
        </w:rPr>
        <w:t>self-based</w:t>
      </w:r>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see Appendix C.3))</w:t>
      </w:r>
    </w:p>
    <w:p w14:paraId="12F1C593" w14:textId="60355205" w:rsidR="00C64D55" w:rsidRPr="002E24B3" w:rsidRDefault="00B6313A" w:rsidP="004F3F82">
      <w:pPr>
        <w:spacing w:line="240" w:lineRule="auto"/>
        <w:jc w:val="both"/>
        <w:rPr>
          <w:rFonts w:ascii="Arial" w:hAnsi="Arial" w:cs="Arial"/>
          <w:sz w:val="24"/>
          <w:szCs w:val="24"/>
        </w:rPr>
      </w:pPr>
      <w:r w:rsidRPr="002E24B3">
        <w:rPr>
          <w:rFonts w:ascii="Arial" w:hAnsi="Arial" w:cs="Arial"/>
          <w:sz w:val="24"/>
          <w:szCs w:val="24"/>
        </w:rPr>
        <w:t>Marriott International's Cash Operating Cycle in 2025 was 27.07 days, indicating effective working capital management. The company's asset-light model resulted in 0 days of Inventory Days, 40.55 days of Receivable Days, and 13.48 days of Payable Days. Additionally, the company's US$3.21 billion Operating Cash Flow and Current Ratio of 0.43 indicate strong cash generation, although continued attention to receivables collection, cash flow management, and working capital optimisation is required to further strengthen liquidity (Marriott International, 2025; Brigham &amp; Ehrhardt, 2023).</w:t>
      </w:r>
    </w:p>
    <w:p w14:paraId="611F176A" w14:textId="77777777" w:rsidR="00B6313A" w:rsidRPr="002E24B3" w:rsidRDefault="00B6313A" w:rsidP="004F3F82">
      <w:pPr>
        <w:pStyle w:val="ListParagraph"/>
        <w:numPr>
          <w:ilvl w:val="0"/>
          <w:numId w:val="2"/>
        </w:numPr>
        <w:spacing w:after="0" w:line="240" w:lineRule="auto"/>
        <w:jc w:val="center"/>
        <w:rPr>
          <w:rFonts w:ascii="Arial" w:hAnsi="Arial" w:cs="Arial"/>
          <w:b/>
          <w:bCs/>
          <w:sz w:val="24"/>
          <w:szCs w:val="24"/>
        </w:rPr>
      </w:pPr>
      <w:r w:rsidRPr="002E24B3">
        <w:rPr>
          <w:rFonts w:ascii="Arial" w:hAnsi="Arial" w:cs="Arial"/>
          <w:b/>
          <w:bCs/>
          <w:sz w:val="24"/>
          <w:szCs w:val="24"/>
          <w:lang w:val="en-US"/>
        </w:rPr>
        <w:lastRenderedPageBreak/>
        <w:t>Recommend strategies to improve liquidity through working capital reforms.</w:t>
      </w:r>
    </w:p>
    <w:p w14:paraId="00D237F2" w14:textId="77777777" w:rsidR="00B6313A" w:rsidRPr="002E24B3" w:rsidRDefault="00B6313A" w:rsidP="004F3F82">
      <w:pPr>
        <w:spacing w:after="0" w:line="240" w:lineRule="auto"/>
        <w:rPr>
          <w:rFonts w:ascii="Arial" w:hAnsi="Arial" w:cs="Arial"/>
          <w:b/>
          <w:bCs/>
          <w:sz w:val="24"/>
          <w:szCs w:val="24"/>
        </w:rPr>
      </w:pPr>
      <w:r w:rsidRPr="002E24B3">
        <w:rPr>
          <w:rFonts w:ascii="Arial" w:hAnsi="Arial" w:cs="Arial"/>
          <w:b/>
          <w:bCs/>
          <w:noProof/>
          <w:sz w:val="24"/>
          <w:szCs w:val="24"/>
        </w:rPr>
        <w:drawing>
          <wp:inline distT="0" distB="0" distL="0" distR="0" wp14:anchorId="6E06A046" wp14:editId="0F3F8A74">
            <wp:extent cx="6097091" cy="1738745"/>
            <wp:effectExtent l="0" t="0" r="0" b="0"/>
            <wp:docPr id="14886128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612802" name="Picture 1488612802"/>
                    <pic:cNvPicPr/>
                  </pic:nvPicPr>
                  <pic:blipFill>
                    <a:blip r:embed="rId16">
                      <a:extLst>
                        <a:ext uri="{28A0092B-C50C-407E-A947-70E740481C1C}">
                          <a14:useLocalDpi xmlns:a14="http://schemas.microsoft.com/office/drawing/2010/main" val="0"/>
                        </a:ext>
                      </a:extLst>
                    </a:blip>
                    <a:stretch>
                      <a:fillRect/>
                    </a:stretch>
                  </pic:blipFill>
                  <pic:spPr>
                    <a:xfrm>
                      <a:off x="0" y="0"/>
                      <a:ext cx="6114729" cy="1743775"/>
                    </a:xfrm>
                    <a:prstGeom prst="rect">
                      <a:avLst/>
                    </a:prstGeom>
                  </pic:spPr>
                </pic:pic>
              </a:graphicData>
            </a:graphic>
          </wp:inline>
        </w:drawing>
      </w:r>
    </w:p>
    <w:p w14:paraId="1BB8EAC0" w14:textId="520D31F6" w:rsidR="00B6313A" w:rsidRPr="002E24B3" w:rsidRDefault="00171738"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see Appendix C.4))</w:t>
      </w:r>
    </w:p>
    <w:p w14:paraId="20128532"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should adopt a digital payment system and strict credit controls to speed up the collection of management and franchise fees. This will reduce Receivable Days (40.55 days), increase cash flow, and strengthen the company's short-term liquidity (Marriott International, 2025; Brigham &amp; Ehrhardt, 2023).</w:t>
      </w:r>
    </w:p>
    <w:p w14:paraId="018C8C0C" w14:textId="77777777" w:rsidR="00B6313A" w:rsidRPr="002E24B3" w:rsidRDefault="00B6313A" w:rsidP="004F3F82">
      <w:pPr>
        <w:spacing w:after="0" w:line="240" w:lineRule="auto"/>
        <w:jc w:val="both"/>
        <w:rPr>
          <w:rFonts w:ascii="Arial" w:hAnsi="Arial" w:cs="Arial"/>
          <w:sz w:val="24"/>
          <w:szCs w:val="24"/>
        </w:rPr>
      </w:pPr>
    </w:p>
    <w:p w14:paraId="07E55F06"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Maintaining adequate cash reserves and adopting effective cash flow forecasting can help a company continue to operate smoothly even during an economic downturn or a decline in the travel industry. As Marriott has a Current Ratio of 0.43, this strategy will help increase its liquidity and financial stability (Marriott International, 2025; Brigham &amp; Ehrhardt, 2023).</w:t>
      </w:r>
    </w:p>
    <w:p w14:paraId="057B1CEC" w14:textId="77777777" w:rsidR="00B6313A" w:rsidRPr="002E24B3" w:rsidRDefault="00B6313A" w:rsidP="004F3F82">
      <w:pPr>
        <w:spacing w:after="0" w:line="240" w:lineRule="auto"/>
        <w:jc w:val="both"/>
        <w:rPr>
          <w:rFonts w:ascii="Arial" w:hAnsi="Arial" w:cs="Arial"/>
          <w:sz w:val="24"/>
          <w:szCs w:val="24"/>
        </w:rPr>
      </w:pPr>
    </w:p>
    <w:p w14:paraId="5F1145C0"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should refinance its high-interest debt with lower-interest long-term debt. This will reduce interest costs, improve cash flow, and increase the company's long-term financial flexibility (Marriott International, 2025; Brigham &amp; Ehrhardt, 2023).</w:t>
      </w:r>
    </w:p>
    <w:p w14:paraId="34ADC38C" w14:textId="77777777" w:rsidR="00B6313A" w:rsidRPr="002E24B3" w:rsidRDefault="00B6313A" w:rsidP="004F3F82">
      <w:pPr>
        <w:spacing w:after="0" w:line="240" w:lineRule="auto"/>
        <w:jc w:val="both"/>
        <w:rPr>
          <w:rFonts w:ascii="Arial" w:hAnsi="Arial" w:cs="Arial"/>
          <w:sz w:val="24"/>
          <w:szCs w:val="24"/>
        </w:rPr>
      </w:pPr>
    </w:p>
    <w:p w14:paraId="0933A1D0"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Marriott should improve cash flow monitoring and maintain </w:t>
      </w:r>
      <w:proofErr w:type="spellStart"/>
      <w:r w:rsidRPr="002E24B3">
        <w:rPr>
          <w:rFonts w:ascii="Arial" w:hAnsi="Arial" w:cs="Arial"/>
          <w:sz w:val="24"/>
          <w:szCs w:val="24"/>
        </w:rPr>
        <w:t>favorable</w:t>
      </w:r>
      <w:proofErr w:type="spellEnd"/>
      <w:r w:rsidRPr="002E24B3">
        <w:rPr>
          <w:rFonts w:ascii="Arial" w:hAnsi="Arial" w:cs="Arial"/>
          <w:sz w:val="24"/>
          <w:szCs w:val="24"/>
        </w:rPr>
        <w:t xml:space="preserve"> payment terms with suppliers to effectively manage working capital. This will make cash flow more efficient and help maintain US$3.21 billion Operating Cash Flow over the long term (Marriott International, 2025; Brigham &amp; Ehrhardt, 2023).</w:t>
      </w:r>
    </w:p>
    <w:p w14:paraId="1CD354C6" w14:textId="77777777" w:rsidR="00B6313A" w:rsidRPr="002E24B3" w:rsidRDefault="00B6313A" w:rsidP="004F3F82">
      <w:pPr>
        <w:spacing w:after="0" w:line="240" w:lineRule="auto"/>
        <w:jc w:val="both"/>
        <w:rPr>
          <w:rFonts w:ascii="Arial" w:hAnsi="Arial" w:cs="Arial"/>
          <w:sz w:val="24"/>
          <w:szCs w:val="24"/>
        </w:rPr>
      </w:pPr>
    </w:p>
    <w:p w14:paraId="7267E9D9" w14:textId="77777777" w:rsidR="00B6313A" w:rsidRDefault="00B6313A" w:rsidP="004F3F82">
      <w:pPr>
        <w:pStyle w:val="ListParagraph"/>
        <w:numPr>
          <w:ilvl w:val="0"/>
          <w:numId w:val="2"/>
        </w:numPr>
        <w:spacing w:after="0" w:line="240" w:lineRule="auto"/>
        <w:jc w:val="center"/>
        <w:rPr>
          <w:rFonts w:ascii="Arial" w:hAnsi="Arial" w:cs="Arial"/>
          <w:b/>
          <w:bCs/>
          <w:sz w:val="24"/>
          <w:szCs w:val="24"/>
        </w:rPr>
      </w:pPr>
      <w:r w:rsidRPr="002E24B3">
        <w:rPr>
          <w:rFonts w:ascii="Arial" w:hAnsi="Arial" w:cs="Arial"/>
          <w:b/>
          <w:bCs/>
          <w:sz w:val="24"/>
          <w:szCs w:val="24"/>
        </w:rPr>
        <w:t>Comparison of Short-term vs Long-term Financing Options</w:t>
      </w:r>
    </w:p>
    <w:p w14:paraId="59E21A55" w14:textId="77777777" w:rsidR="00C82FBE" w:rsidRPr="002E24B3" w:rsidRDefault="00C82FBE" w:rsidP="00C82FBE">
      <w:pPr>
        <w:pStyle w:val="ListParagraph"/>
        <w:spacing w:after="0" w:line="240" w:lineRule="auto"/>
        <w:rPr>
          <w:rFonts w:ascii="Arial" w:hAnsi="Arial" w:cs="Arial"/>
          <w:b/>
          <w:bCs/>
          <w:sz w:val="24"/>
          <w:szCs w:val="24"/>
        </w:rPr>
      </w:pPr>
    </w:p>
    <w:p w14:paraId="17831355"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Choosing the right financing source for a global hospitality company like Marriott International directly affects liquidity, financial flexibility and long-term growth. Both short-term and long-term financing have different pros and cons, so the company should pick the option that best fits its financial needs (Brigham and Ehrhardt, 2023).</w:t>
      </w:r>
    </w:p>
    <w:p w14:paraId="1A897421" w14:textId="77777777" w:rsidR="00B6313A" w:rsidRPr="002E24B3" w:rsidRDefault="00B6313A" w:rsidP="004F3F82">
      <w:pPr>
        <w:spacing w:after="0" w:line="240" w:lineRule="auto"/>
        <w:jc w:val="both"/>
        <w:rPr>
          <w:rFonts w:ascii="Arial" w:hAnsi="Arial" w:cs="Arial"/>
          <w:sz w:val="24"/>
          <w:szCs w:val="24"/>
        </w:rPr>
      </w:pPr>
    </w:p>
    <w:tbl>
      <w:tblPr>
        <w:tblW w:w="7340" w:type="dxa"/>
        <w:tblLook w:val="04A0" w:firstRow="1" w:lastRow="0" w:firstColumn="1" w:lastColumn="0" w:noHBand="0" w:noVBand="1"/>
      </w:tblPr>
      <w:tblGrid>
        <w:gridCol w:w="1780"/>
        <w:gridCol w:w="2540"/>
        <w:gridCol w:w="3020"/>
      </w:tblGrid>
      <w:tr w:rsidR="00B6313A" w:rsidRPr="002E24B3" w14:paraId="1EBD4AB0" w14:textId="77777777" w:rsidTr="003F730A">
        <w:trPr>
          <w:trHeight w:val="312"/>
        </w:trPr>
        <w:tc>
          <w:tcPr>
            <w:tcW w:w="1780" w:type="dxa"/>
            <w:tcBorders>
              <w:top w:val="single" w:sz="8" w:space="0" w:color="auto"/>
              <w:left w:val="single" w:sz="8" w:space="0" w:color="auto"/>
              <w:bottom w:val="single" w:sz="4" w:space="0" w:color="auto"/>
              <w:right w:val="single" w:sz="4" w:space="0" w:color="auto"/>
            </w:tcBorders>
            <w:vAlign w:val="center"/>
            <w:hideMark/>
          </w:tcPr>
          <w:p w14:paraId="2638DE12"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Criteria</w:t>
            </w:r>
          </w:p>
        </w:tc>
        <w:tc>
          <w:tcPr>
            <w:tcW w:w="2540" w:type="dxa"/>
            <w:tcBorders>
              <w:top w:val="single" w:sz="8" w:space="0" w:color="auto"/>
              <w:left w:val="nil"/>
              <w:bottom w:val="single" w:sz="4" w:space="0" w:color="auto"/>
              <w:right w:val="single" w:sz="4" w:space="0" w:color="auto"/>
            </w:tcBorders>
            <w:vAlign w:val="center"/>
            <w:hideMark/>
          </w:tcPr>
          <w:p w14:paraId="6EAC2856"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Short-term Financing</w:t>
            </w:r>
          </w:p>
        </w:tc>
        <w:tc>
          <w:tcPr>
            <w:tcW w:w="3020" w:type="dxa"/>
            <w:tcBorders>
              <w:top w:val="single" w:sz="8" w:space="0" w:color="auto"/>
              <w:left w:val="nil"/>
              <w:bottom w:val="single" w:sz="4" w:space="0" w:color="auto"/>
              <w:right w:val="single" w:sz="8" w:space="0" w:color="auto"/>
            </w:tcBorders>
            <w:vAlign w:val="center"/>
            <w:hideMark/>
          </w:tcPr>
          <w:p w14:paraId="5D94563D"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Long-term Financing</w:t>
            </w:r>
          </w:p>
        </w:tc>
      </w:tr>
      <w:tr w:rsidR="00B6313A" w:rsidRPr="002E24B3" w14:paraId="6F1B2F05" w14:textId="77777777" w:rsidTr="003F730A">
        <w:trPr>
          <w:trHeight w:val="900"/>
        </w:trPr>
        <w:tc>
          <w:tcPr>
            <w:tcW w:w="1780" w:type="dxa"/>
            <w:tcBorders>
              <w:top w:val="nil"/>
              <w:left w:val="single" w:sz="8" w:space="0" w:color="auto"/>
              <w:bottom w:val="single" w:sz="4" w:space="0" w:color="auto"/>
              <w:right w:val="single" w:sz="4" w:space="0" w:color="auto"/>
            </w:tcBorders>
            <w:vAlign w:val="center"/>
            <w:hideMark/>
          </w:tcPr>
          <w:p w14:paraId="5EE70453"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Source</w:t>
            </w:r>
          </w:p>
        </w:tc>
        <w:tc>
          <w:tcPr>
            <w:tcW w:w="2540" w:type="dxa"/>
            <w:tcBorders>
              <w:top w:val="nil"/>
              <w:left w:val="nil"/>
              <w:bottom w:val="single" w:sz="4" w:space="0" w:color="auto"/>
              <w:right w:val="single" w:sz="4" w:space="0" w:color="auto"/>
            </w:tcBorders>
            <w:vAlign w:val="center"/>
            <w:hideMark/>
          </w:tcPr>
          <w:p w14:paraId="5F9DBB71"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Bank overdraft, trade credit, short-term loans</w:t>
            </w:r>
          </w:p>
        </w:tc>
        <w:tc>
          <w:tcPr>
            <w:tcW w:w="3020" w:type="dxa"/>
            <w:tcBorders>
              <w:top w:val="nil"/>
              <w:left w:val="nil"/>
              <w:bottom w:val="single" w:sz="4" w:space="0" w:color="auto"/>
              <w:right w:val="single" w:sz="8" w:space="0" w:color="auto"/>
            </w:tcBorders>
            <w:vAlign w:val="center"/>
            <w:hideMark/>
          </w:tcPr>
          <w:p w14:paraId="412CCF58"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Bonds, long-term bank loans, equity finance</w:t>
            </w:r>
          </w:p>
        </w:tc>
      </w:tr>
      <w:tr w:rsidR="00B6313A" w:rsidRPr="002E24B3" w14:paraId="4D5A500B" w14:textId="77777777" w:rsidTr="003F730A">
        <w:trPr>
          <w:trHeight w:val="624"/>
        </w:trPr>
        <w:tc>
          <w:tcPr>
            <w:tcW w:w="1780" w:type="dxa"/>
            <w:tcBorders>
              <w:top w:val="nil"/>
              <w:left w:val="single" w:sz="8" w:space="0" w:color="auto"/>
              <w:bottom w:val="single" w:sz="4" w:space="0" w:color="auto"/>
              <w:right w:val="single" w:sz="4" w:space="0" w:color="auto"/>
            </w:tcBorders>
            <w:vAlign w:val="center"/>
            <w:hideMark/>
          </w:tcPr>
          <w:p w14:paraId="00E7BAAC"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Repayment Period</w:t>
            </w:r>
          </w:p>
        </w:tc>
        <w:tc>
          <w:tcPr>
            <w:tcW w:w="2540" w:type="dxa"/>
            <w:tcBorders>
              <w:top w:val="nil"/>
              <w:left w:val="nil"/>
              <w:bottom w:val="single" w:sz="4" w:space="0" w:color="auto"/>
              <w:right w:val="single" w:sz="4" w:space="0" w:color="auto"/>
            </w:tcBorders>
            <w:vAlign w:val="center"/>
            <w:hideMark/>
          </w:tcPr>
          <w:p w14:paraId="54F102AB"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Less than one year</w:t>
            </w:r>
          </w:p>
        </w:tc>
        <w:tc>
          <w:tcPr>
            <w:tcW w:w="3020" w:type="dxa"/>
            <w:tcBorders>
              <w:top w:val="nil"/>
              <w:left w:val="nil"/>
              <w:bottom w:val="single" w:sz="4" w:space="0" w:color="auto"/>
              <w:right w:val="single" w:sz="8" w:space="0" w:color="auto"/>
            </w:tcBorders>
            <w:vAlign w:val="center"/>
            <w:hideMark/>
          </w:tcPr>
          <w:p w14:paraId="3D003E14"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More than one year</w:t>
            </w:r>
          </w:p>
        </w:tc>
      </w:tr>
      <w:tr w:rsidR="00B6313A" w:rsidRPr="002E24B3" w14:paraId="67F6B792" w14:textId="77777777" w:rsidTr="003F730A">
        <w:trPr>
          <w:trHeight w:val="900"/>
        </w:trPr>
        <w:tc>
          <w:tcPr>
            <w:tcW w:w="1780" w:type="dxa"/>
            <w:tcBorders>
              <w:top w:val="nil"/>
              <w:left w:val="single" w:sz="8" w:space="0" w:color="auto"/>
              <w:bottom w:val="single" w:sz="4" w:space="0" w:color="auto"/>
              <w:right w:val="single" w:sz="4" w:space="0" w:color="auto"/>
            </w:tcBorders>
            <w:vAlign w:val="center"/>
            <w:hideMark/>
          </w:tcPr>
          <w:p w14:paraId="1CBD9A7A"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lastRenderedPageBreak/>
              <w:t>Cost</w:t>
            </w:r>
          </w:p>
        </w:tc>
        <w:tc>
          <w:tcPr>
            <w:tcW w:w="2540" w:type="dxa"/>
            <w:tcBorders>
              <w:top w:val="nil"/>
              <w:left w:val="nil"/>
              <w:bottom w:val="single" w:sz="4" w:space="0" w:color="auto"/>
              <w:right w:val="single" w:sz="4" w:space="0" w:color="auto"/>
            </w:tcBorders>
            <w:vAlign w:val="center"/>
            <w:hideMark/>
          </w:tcPr>
          <w:p w14:paraId="30DC040D"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Lower initial cost but variable interest rates</w:t>
            </w:r>
          </w:p>
        </w:tc>
        <w:tc>
          <w:tcPr>
            <w:tcW w:w="3020" w:type="dxa"/>
            <w:tcBorders>
              <w:top w:val="nil"/>
              <w:left w:val="nil"/>
              <w:bottom w:val="single" w:sz="4" w:space="0" w:color="auto"/>
              <w:right w:val="single" w:sz="8" w:space="0" w:color="auto"/>
            </w:tcBorders>
            <w:vAlign w:val="center"/>
            <w:hideMark/>
          </w:tcPr>
          <w:p w14:paraId="03943660"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Higher initial cost but more stable financing costs</w:t>
            </w:r>
          </w:p>
        </w:tc>
      </w:tr>
      <w:tr w:rsidR="00B6313A" w:rsidRPr="002E24B3" w14:paraId="0891EF1F" w14:textId="77777777" w:rsidTr="003F730A">
        <w:trPr>
          <w:trHeight w:val="1200"/>
        </w:trPr>
        <w:tc>
          <w:tcPr>
            <w:tcW w:w="1780" w:type="dxa"/>
            <w:tcBorders>
              <w:top w:val="nil"/>
              <w:left w:val="single" w:sz="8" w:space="0" w:color="auto"/>
              <w:bottom w:val="single" w:sz="4" w:space="0" w:color="auto"/>
              <w:right w:val="single" w:sz="4" w:space="0" w:color="auto"/>
            </w:tcBorders>
            <w:vAlign w:val="center"/>
            <w:hideMark/>
          </w:tcPr>
          <w:p w14:paraId="7EED4CCD"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Risk</w:t>
            </w:r>
          </w:p>
        </w:tc>
        <w:tc>
          <w:tcPr>
            <w:tcW w:w="2540" w:type="dxa"/>
            <w:tcBorders>
              <w:top w:val="nil"/>
              <w:left w:val="nil"/>
              <w:bottom w:val="single" w:sz="4" w:space="0" w:color="auto"/>
              <w:right w:val="single" w:sz="4" w:space="0" w:color="auto"/>
            </w:tcBorders>
            <w:vAlign w:val="center"/>
            <w:hideMark/>
          </w:tcPr>
          <w:p w14:paraId="70A862D5"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Higher refinancing and liquidity risk</w:t>
            </w:r>
          </w:p>
        </w:tc>
        <w:tc>
          <w:tcPr>
            <w:tcW w:w="3020" w:type="dxa"/>
            <w:tcBorders>
              <w:top w:val="nil"/>
              <w:left w:val="nil"/>
              <w:bottom w:val="single" w:sz="4" w:space="0" w:color="auto"/>
              <w:right w:val="single" w:sz="8" w:space="0" w:color="auto"/>
            </w:tcBorders>
            <w:vAlign w:val="center"/>
            <w:hideMark/>
          </w:tcPr>
          <w:p w14:paraId="06E48A15"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Lower refinancing risk but involves a long-term financial commitment</w:t>
            </w:r>
          </w:p>
        </w:tc>
      </w:tr>
      <w:tr w:rsidR="00B6313A" w:rsidRPr="002E24B3" w14:paraId="2FE391B4" w14:textId="77777777" w:rsidTr="003F730A">
        <w:trPr>
          <w:trHeight w:val="912"/>
        </w:trPr>
        <w:tc>
          <w:tcPr>
            <w:tcW w:w="1780" w:type="dxa"/>
            <w:tcBorders>
              <w:top w:val="nil"/>
              <w:left w:val="single" w:sz="8" w:space="0" w:color="auto"/>
              <w:bottom w:val="single" w:sz="8" w:space="0" w:color="auto"/>
              <w:right w:val="single" w:sz="4" w:space="0" w:color="auto"/>
            </w:tcBorders>
            <w:vAlign w:val="center"/>
            <w:hideMark/>
          </w:tcPr>
          <w:p w14:paraId="618F212C" w14:textId="77777777" w:rsidR="00B6313A" w:rsidRPr="002E24B3" w:rsidRDefault="00B6313A"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Purpose</w:t>
            </w:r>
          </w:p>
        </w:tc>
        <w:tc>
          <w:tcPr>
            <w:tcW w:w="2540" w:type="dxa"/>
            <w:tcBorders>
              <w:top w:val="nil"/>
              <w:left w:val="nil"/>
              <w:bottom w:val="single" w:sz="8" w:space="0" w:color="auto"/>
              <w:right w:val="single" w:sz="4" w:space="0" w:color="auto"/>
            </w:tcBorders>
            <w:vAlign w:val="center"/>
            <w:hideMark/>
          </w:tcPr>
          <w:p w14:paraId="4AF87591"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Supports day-to-day operations and working capital needs</w:t>
            </w:r>
          </w:p>
        </w:tc>
        <w:tc>
          <w:tcPr>
            <w:tcW w:w="3020" w:type="dxa"/>
            <w:tcBorders>
              <w:top w:val="nil"/>
              <w:left w:val="nil"/>
              <w:bottom w:val="single" w:sz="8" w:space="0" w:color="auto"/>
              <w:right w:val="single" w:sz="8" w:space="0" w:color="auto"/>
            </w:tcBorders>
            <w:vAlign w:val="center"/>
            <w:hideMark/>
          </w:tcPr>
          <w:p w14:paraId="38C31AB0" w14:textId="77777777" w:rsidR="00B6313A" w:rsidRPr="002E24B3" w:rsidRDefault="00B6313A"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Funds business expansion and strategic investments</w:t>
            </w:r>
          </w:p>
        </w:tc>
      </w:tr>
    </w:tbl>
    <w:p w14:paraId="48596FF8" w14:textId="7838B152" w:rsidR="00B6313A" w:rsidRPr="002E24B3" w:rsidRDefault="009D371F" w:rsidP="004F3F82">
      <w:pPr>
        <w:spacing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see Appendix C.5))</w:t>
      </w:r>
    </w:p>
    <w:p w14:paraId="2A29652C"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Short-term financing is suitable for Marriott to cover seasonal working capital needs, payroll, supplier payments and other daily expenses. However, rising interest rates or instability in the credit market could increase refinancing risk. On the other hand, long-term financing provides the company with stable financial support for big projects like hotel development, technology investment and international expansion. But it also comes with long-term interest payments and financial commitments.</w:t>
      </w:r>
    </w:p>
    <w:p w14:paraId="111B07ED"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Critical Analysis and Recommendation</w:t>
      </w:r>
    </w:p>
    <w:p w14:paraId="550BD8C0" w14:textId="77777777" w:rsidR="00B6313A" w:rsidRPr="002E24B3" w:rsidRDefault="00B6313A" w:rsidP="004F3F82">
      <w:pPr>
        <w:spacing w:after="0" w:line="240" w:lineRule="auto"/>
        <w:jc w:val="both"/>
        <w:rPr>
          <w:rFonts w:ascii="Arial" w:hAnsi="Arial" w:cs="Arial"/>
          <w:sz w:val="24"/>
          <w:szCs w:val="24"/>
        </w:rPr>
      </w:pPr>
    </w:p>
    <w:p w14:paraId="42872CCB"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As a CFO, a balanced financing strategy would be best for Marriott. The company should use limited short-term financing for daily operations and seasonal cash needs, while long-term financing is more suitable for long-term projects like global expansion, digital transformation, and ESG investments. Marriott's strong operating cash flow and franchise-based business model can support long-term debt responsibilities. Additionally, adopting a diversified financing structure can reduce interest rate risk, refinancing risk, and liquidity risk, which will increase both shareholder value and financial stability in the long run.</w:t>
      </w:r>
    </w:p>
    <w:p w14:paraId="56CE48ED" w14:textId="77777777" w:rsidR="00B6313A" w:rsidRPr="002E24B3" w:rsidRDefault="00B6313A" w:rsidP="004F3F82">
      <w:pPr>
        <w:spacing w:after="0" w:line="240" w:lineRule="auto"/>
        <w:jc w:val="both"/>
        <w:rPr>
          <w:rFonts w:ascii="Arial" w:hAnsi="Arial" w:cs="Arial"/>
          <w:sz w:val="24"/>
          <w:szCs w:val="24"/>
        </w:rPr>
      </w:pPr>
    </w:p>
    <w:p w14:paraId="42D09C7E"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International’s working capital management is effective due to its asset-light and franchise-based business model. A cash operating cycle of 27.07 days, operating cash flow of US$3.21 billion, and a sound financing strategy support the company’s liquidity and long-term financial stability. However, continued focus on receivables collection, cash flow management, and balanced short-term and long-term financing can help the company achieve sustainable growth while reducing future financial risks (Marriott International, 2025; Brigham &amp; Ehrhardt, 2023).</w:t>
      </w:r>
    </w:p>
    <w:p w14:paraId="581052EE" w14:textId="77777777" w:rsidR="00B6313A" w:rsidRPr="002E24B3" w:rsidRDefault="00B6313A" w:rsidP="004F3F82">
      <w:pPr>
        <w:spacing w:after="0" w:line="240" w:lineRule="auto"/>
        <w:jc w:val="both"/>
        <w:rPr>
          <w:rFonts w:ascii="Arial" w:hAnsi="Arial" w:cs="Arial"/>
          <w:sz w:val="24"/>
          <w:szCs w:val="24"/>
        </w:rPr>
      </w:pPr>
    </w:p>
    <w:p w14:paraId="054A6768"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highlight w:val="darkGray"/>
        </w:rPr>
        <w:t>Task 3. Strategic Financial Restructuring Plan</w:t>
      </w:r>
    </w:p>
    <w:p w14:paraId="126DA653" w14:textId="77777777" w:rsidR="00B6313A" w:rsidRPr="002E24B3" w:rsidRDefault="00B6313A" w:rsidP="004F3F82">
      <w:pPr>
        <w:spacing w:after="0" w:line="240" w:lineRule="auto"/>
        <w:jc w:val="both"/>
        <w:rPr>
          <w:rFonts w:ascii="Arial" w:hAnsi="Arial" w:cs="Arial"/>
          <w:sz w:val="24"/>
          <w:szCs w:val="24"/>
        </w:rPr>
      </w:pPr>
    </w:p>
    <w:p w14:paraId="29E17140" w14:textId="1E99705E"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Strategic Financial Restructuring is important for improving a company’s capital structure, liquidity, and long-term financial stability. Marriott International needs effective financial restructuring </w:t>
      </w:r>
      <w:proofErr w:type="gramStart"/>
      <w:r w:rsidRPr="002E24B3">
        <w:rPr>
          <w:rFonts w:ascii="Arial" w:hAnsi="Arial" w:cs="Arial"/>
          <w:sz w:val="24"/>
          <w:szCs w:val="24"/>
        </w:rPr>
        <w:t>in light of</w:t>
      </w:r>
      <w:proofErr w:type="gramEnd"/>
      <w:r w:rsidRPr="002E24B3">
        <w:rPr>
          <w:rFonts w:ascii="Arial" w:hAnsi="Arial" w:cs="Arial"/>
          <w:sz w:val="24"/>
          <w:szCs w:val="24"/>
        </w:rPr>
        <w:t xml:space="preserve"> its asset-light and franchise-based business model, given its increasing debt levels. This section assesses the financial restructuring options appropriate for the company, their financial impact, and the international and ethical issues (Brigham &amp; Ehrhardt, 2023; Marriott International, 2025).</w:t>
      </w:r>
    </w:p>
    <w:p w14:paraId="4EAD6077" w14:textId="77777777" w:rsidR="00F75113" w:rsidRPr="002E24B3" w:rsidRDefault="00F75113" w:rsidP="004F3F82">
      <w:pPr>
        <w:spacing w:after="0" w:line="240" w:lineRule="auto"/>
        <w:jc w:val="both"/>
        <w:rPr>
          <w:rFonts w:ascii="Arial" w:hAnsi="Arial" w:cs="Arial"/>
          <w:sz w:val="24"/>
          <w:szCs w:val="24"/>
        </w:rPr>
      </w:pPr>
    </w:p>
    <w:p w14:paraId="48C279BE" w14:textId="7ED740C1" w:rsidR="00B6313A" w:rsidRPr="00C82FBE" w:rsidRDefault="00B6313A" w:rsidP="00C82FBE">
      <w:pPr>
        <w:pStyle w:val="ListParagraph"/>
        <w:numPr>
          <w:ilvl w:val="0"/>
          <w:numId w:val="10"/>
        </w:numPr>
        <w:spacing w:after="0" w:line="240" w:lineRule="auto"/>
        <w:jc w:val="center"/>
        <w:rPr>
          <w:rFonts w:ascii="Arial" w:hAnsi="Arial" w:cs="Arial"/>
          <w:sz w:val="24"/>
          <w:szCs w:val="24"/>
        </w:rPr>
      </w:pPr>
      <w:r w:rsidRPr="00C82FBE">
        <w:rPr>
          <w:rFonts w:ascii="Arial" w:hAnsi="Arial" w:cs="Arial"/>
          <w:sz w:val="24"/>
          <w:szCs w:val="24"/>
        </w:rPr>
        <w:t>Recommended Financial Restructuring Options</w:t>
      </w:r>
    </w:p>
    <w:p w14:paraId="17D58A47" w14:textId="77777777" w:rsidR="00B6313A" w:rsidRPr="002E24B3" w:rsidRDefault="00B6313A" w:rsidP="004F3F82">
      <w:pPr>
        <w:spacing w:after="0" w:line="240" w:lineRule="auto"/>
        <w:rPr>
          <w:rFonts w:ascii="Arial" w:hAnsi="Arial" w:cs="Arial"/>
          <w:sz w:val="24"/>
          <w:szCs w:val="24"/>
        </w:rPr>
      </w:pPr>
      <w:r w:rsidRPr="002E24B3">
        <w:rPr>
          <w:rFonts w:ascii="Arial" w:hAnsi="Arial" w:cs="Arial"/>
          <w:noProof/>
          <w:sz w:val="24"/>
          <w:szCs w:val="24"/>
        </w:rPr>
        <w:lastRenderedPageBreak/>
        <w:drawing>
          <wp:inline distT="0" distB="0" distL="0" distR="0" wp14:anchorId="13AF42B5" wp14:editId="459EE6EE">
            <wp:extent cx="5731510" cy="2799080"/>
            <wp:effectExtent l="0" t="0" r="2540" b="1270"/>
            <wp:docPr id="5736555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55580" name="Picture 573655580"/>
                    <pic:cNvPicPr/>
                  </pic:nvPicPr>
                  <pic:blipFill>
                    <a:blip r:embed="rId17">
                      <a:extLst>
                        <a:ext uri="{28A0092B-C50C-407E-A947-70E740481C1C}">
                          <a14:useLocalDpi xmlns:a14="http://schemas.microsoft.com/office/drawing/2010/main" val="0"/>
                        </a:ext>
                      </a:extLst>
                    </a:blip>
                    <a:stretch>
                      <a:fillRect/>
                    </a:stretch>
                  </pic:blipFill>
                  <pic:spPr>
                    <a:xfrm>
                      <a:off x="0" y="0"/>
                      <a:ext cx="5731510" cy="2799080"/>
                    </a:xfrm>
                    <a:prstGeom prst="rect">
                      <a:avLst/>
                    </a:prstGeom>
                  </pic:spPr>
                </pic:pic>
              </a:graphicData>
            </a:graphic>
          </wp:inline>
        </w:drawing>
      </w:r>
    </w:p>
    <w:p w14:paraId="76267E49" w14:textId="70B53C83" w:rsidR="00B6313A" w:rsidRPr="002E24B3" w:rsidRDefault="00F75113" w:rsidP="004F3F82">
      <w:pPr>
        <w:spacing w:line="240" w:lineRule="auto"/>
        <w:jc w:val="both"/>
        <w:rPr>
          <w:rFonts w:ascii="Arial" w:hAnsi="Arial" w:cs="Arial"/>
          <w:sz w:val="24"/>
          <w:szCs w:val="24"/>
        </w:rPr>
      </w:pPr>
      <w:r w:rsidRPr="002E24B3">
        <w:rPr>
          <w:rFonts w:ascii="Arial" w:hAnsi="Arial" w:cs="Arial"/>
          <w:sz w:val="24"/>
          <w:szCs w:val="24"/>
        </w:rPr>
        <w:t xml:space="preserve"> (Created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see Appendix C.6))</w:t>
      </w:r>
    </w:p>
    <w:p w14:paraId="3DC7B513"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should continue its asset-light strategy by reducing investment in low-income or non-core properties. This will free up additional cash, reduce capital requirements, and strengthen the company's liquidity and financial flexibility (Marriott International, 2025).</w:t>
      </w:r>
    </w:p>
    <w:p w14:paraId="317A6BCD" w14:textId="77777777" w:rsidR="00B6313A" w:rsidRPr="002E24B3" w:rsidRDefault="00B6313A" w:rsidP="004F3F82">
      <w:pPr>
        <w:spacing w:after="0" w:line="240" w:lineRule="auto"/>
        <w:jc w:val="both"/>
        <w:rPr>
          <w:rFonts w:ascii="Arial" w:hAnsi="Arial" w:cs="Arial"/>
          <w:sz w:val="24"/>
          <w:szCs w:val="24"/>
        </w:rPr>
      </w:pPr>
    </w:p>
    <w:p w14:paraId="40865F67"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Although Marriott generated US$3.21 billion in operating cash flow in 2025, the company has significant long-term debt. Refinancing high-interest debt with low-interest long-term debt will reduce interest costs, improve cash flow, and reduce financial risk (Marriott International, 2025; Brigham &amp; Ehrhardt, 2023).</w:t>
      </w:r>
    </w:p>
    <w:p w14:paraId="7E06DAA4" w14:textId="77777777" w:rsidR="00B6313A" w:rsidRPr="002E24B3" w:rsidRDefault="00B6313A" w:rsidP="004F3F82">
      <w:pPr>
        <w:spacing w:after="0" w:line="240" w:lineRule="auto"/>
        <w:jc w:val="both"/>
        <w:rPr>
          <w:rFonts w:ascii="Arial" w:hAnsi="Arial" w:cs="Arial"/>
          <w:sz w:val="24"/>
          <w:szCs w:val="24"/>
        </w:rPr>
      </w:pPr>
    </w:p>
    <w:p w14:paraId="67FEB8D1"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should only consider strategic acquisitions or partnerships that strengthen its global presence, digital capabilities, or brand portfolio. The right strategic expansion can increase revenue, market share, and competitive advantage in the long run, but financial and strategic evaluations are required before each investment (Grant, 2022; Marriott International, 2025).</w:t>
      </w:r>
    </w:p>
    <w:p w14:paraId="320511DA" w14:textId="77777777" w:rsidR="00B6313A" w:rsidRPr="002E24B3" w:rsidRDefault="00B6313A" w:rsidP="004F3F82">
      <w:pPr>
        <w:spacing w:after="0" w:line="240" w:lineRule="auto"/>
        <w:jc w:val="both"/>
        <w:rPr>
          <w:rFonts w:ascii="Arial" w:hAnsi="Arial" w:cs="Arial"/>
          <w:sz w:val="24"/>
          <w:szCs w:val="24"/>
        </w:rPr>
      </w:pPr>
    </w:p>
    <w:p w14:paraId="078AAF91"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currently generates strong operating cash flow, so the need for a large equity injection is limited. However, raising limited equity for future large strategic investments or global expansion could make the capital structure more balanced and reduce reliance on debt (Brigham &amp; Ehrhardt, 2023; Marriott International, 2025).</w:t>
      </w:r>
    </w:p>
    <w:p w14:paraId="6E7DF935" w14:textId="77777777" w:rsidR="00B6313A" w:rsidRPr="002E24B3" w:rsidRDefault="00B6313A" w:rsidP="004F3F82">
      <w:pPr>
        <w:spacing w:after="0" w:line="240" w:lineRule="auto"/>
        <w:jc w:val="both"/>
        <w:rPr>
          <w:rFonts w:ascii="Arial" w:hAnsi="Arial" w:cs="Arial"/>
          <w:sz w:val="24"/>
          <w:szCs w:val="24"/>
        </w:rPr>
      </w:pPr>
    </w:p>
    <w:p w14:paraId="71CE548C" w14:textId="64AB5060" w:rsidR="00B6313A" w:rsidRPr="009E5048" w:rsidRDefault="00B6313A" w:rsidP="009E5048">
      <w:pPr>
        <w:pStyle w:val="ListParagraph"/>
        <w:numPr>
          <w:ilvl w:val="0"/>
          <w:numId w:val="10"/>
        </w:numPr>
        <w:spacing w:after="0" w:line="240" w:lineRule="auto"/>
        <w:jc w:val="center"/>
        <w:rPr>
          <w:rFonts w:ascii="Arial" w:hAnsi="Arial" w:cs="Arial"/>
          <w:sz w:val="24"/>
          <w:szCs w:val="24"/>
        </w:rPr>
      </w:pPr>
      <w:r w:rsidRPr="009E5048">
        <w:rPr>
          <w:rFonts w:ascii="Arial" w:hAnsi="Arial" w:cs="Arial"/>
          <w:sz w:val="24"/>
          <w:szCs w:val="24"/>
        </w:rPr>
        <w:t>Impact on Shareholder Value, Debt Structure and Operational Flexibility</w:t>
      </w:r>
    </w:p>
    <w:p w14:paraId="138E6716" w14:textId="77777777" w:rsidR="00B6313A" w:rsidRPr="002E24B3" w:rsidRDefault="00B6313A" w:rsidP="004F3F82">
      <w:pPr>
        <w:spacing w:after="0" w:line="240" w:lineRule="auto"/>
        <w:jc w:val="both"/>
        <w:rPr>
          <w:rFonts w:ascii="Arial" w:hAnsi="Arial" w:cs="Arial"/>
          <w:sz w:val="24"/>
          <w:szCs w:val="24"/>
        </w:rPr>
      </w:pPr>
    </w:p>
    <w:p w14:paraId="591583F1"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The proposed financial restructuring strategies could have a positive impact on Marriott International's shareholder value, debt structure, and operational flexibility. First, the divestiture of non-core assets would provide additional cash, which would make it easier to reduce debt or fund strategic investments. This would increase the company's financial stability and investor confidence (Marriott International, 2025).</w:t>
      </w:r>
    </w:p>
    <w:p w14:paraId="2973A34C" w14:textId="77777777" w:rsidR="00B6313A" w:rsidRPr="002E24B3" w:rsidRDefault="00B6313A" w:rsidP="004F3F82">
      <w:pPr>
        <w:spacing w:after="0" w:line="240" w:lineRule="auto"/>
        <w:jc w:val="both"/>
        <w:rPr>
          <w:rFonts w:ascii="Arial" w:hAnsi="Arial" w:cs="Arial"/>
          <w:sz w:val="24"/>
          <w:szCs w:val="24"/>
        </w:rPr>
      </w:pPr>
    </w:p>
    <w:p w14:paraId="544C5FEB"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Second, replacing high-interest debt with low-interest long-term debt through debt refinancing will reduce interest costs and improve cash flow. This will make the company's debt structure more balanced, reduce refinancing risk, and increase financial flexibility in the future (Brigham &amp; Ehrhardt, 2023).</w:t>
      </w:r>
    </w:p>
    <w:p w14:paraId="110894E3" w14:textId="77777777" w:rsidR="00B6313A" w:rsidRPr="002E24B3" w:rsidRDefault="00B6313A" w:rsidP="004F3F82">
      <w:pPr>
        <w:spacing w:after="0" w:line="240" w:lineRule="auto"/>
        <w:jc w:val="both"/>
        <w:rPr>
          <w:rFonts w:ascii="Arial" w:hAnsi="Arial" w:cs="Arial"/>
          <w:sz w:val="24"/>
          <w:szCs w:val="24"/>
        </w:rPr>
      </w:pPr>
    </w:p>
    <w:p w14:paraId="11448C21"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Additionally, the right strategic acquisitions or partnerships will help Marriott enter new markets, increase digital capabilities, and expand its brand portfolio, which will increase revenue and shareholder value in the long run. However, careful assessment of financial returns and risk is essential before each investment (Grant, 2022).</w:t>
      </w:r>
    </w:p>
    <w:p w14:paraId="0DC0824B" w14:textId="77777777" w:rsidR="00B6313A" w:rsidRPr="002E24B3" w:rsidRDefault="00B6313A" w:rsidP="004F3F82">
      <w:pPr>
        <w:spacing w:after="0" w:line="240" w:lineRule="auto"/>
        <w:jc w:val="both"/>
        <w:rPr>
          <w:rFonts w:ascii="Arial" w:hAnsi="Arial" w:cs="Arial"/>
          <w:sz w:val="24"/>
          <w:szCs w:val="24"/>
        </w:rPr>
      </w:pPr>
    </w:p>
    <w:p w14:paraId="2D53227B"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Finally, Marriott's asset-light and franchise-based business model, coupled with strong Operating Cash Flow (US$3.21 billion), provides the company with greater operational flexibility for day-to-day operations, global expansion, and investment in new technologies. Therefore, a balanced capital structure and effective financial restructuring will play a critical role in enhancing the company's competitiveness, shareholder value, and financial stability in the long term (Marriott International, 2025; Brigham &amp; Ehrhardt, 2023).</w:t>
      </w:r>
    </w:p>
    <w:p w14:paraId="695E9B1A" w14:textId="77777777" w:rsidR="00B6313A" w:rsidRPr="002E24B3" w:rsidRDefault="00B6313A" w:rsidP="004F3F82">
      <w:pPr>
        <w:spacing w:after="0" w:line="240" w:lineRule="auto"/>
        <w:jc w:val="both"/>
        <w:rPr>
          <w:rFonts w:ascii="Arial" w:hAnsi="Arial" w:cs="Arial"/>
          <w:sz w:val="24"/>
          <w:szCs w:val="24"/>
        </w:rPr>
      </w:pPr>
    </w:p>
    <w:p w14:paraId="6D712D27" w14:textId="0929EB25" w:rsidR="00B6313A" w:rsidRPr="009E5048" w:rsidRDefault="00B6313A" w:rsidP="009E5048">
      <w:pPr>
        <w:pStyle w:val="ListParagraph"/>
        <w:numPr>
          <w:ilvl w:val="0"/>
          <w:numId w:val="10"/>
        </w:numPr>
        <w:spacing w:after="0" w:line="240" w:lineRule="auto"/>
        <w:jc w:val="center"/>
        <w:rPr>
          <w:rFonts w:ascii="Arial" w:hAnsi="Arial" w:cs="Arial"/>
          <w:sz w:val="24"/>
          <w:szCs w:val="24"/>
        </w:rPr>
      </w:pPr>
      <w:r w:rsidRPr="009E5048">
        <w:rPr>
          <w:rFonts w:ascii="Arial" w:hAnsi="Arial" w:cs="Arial"/>
          <w:sz w:val="24"/>
          <w:szCs w:val="24"/>
        </w:rPr>
        <w:t>International and Ethical Considerations</w:t>
      </w:r>
    </w:p>
    <w:p w14:paraId="29DE22E9" w14:textId="77777777" w:rsidR="00B6313A" w:rsidRPr="002E24B3" w:rsidRDefault="00B6313A" w:rsidP="004F3F82">
      <w:pPr>
        <w:spacing w:after="0" w:line="240" w:lineRule="auto"/>
        <w:jc w:val="both"/>
        <w:rPr>
          <w:rFonts w:ascii="Arial" w:hAnsi="Arial" w:cs="Arial"/>
          <w:sz w:val="24"/>
          <w:szCs w:val="24"/>
        </w:rPr>
      </w:pPr>
    </w:p>
    <w:p w14:paraId="49EE144B"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As Marriott International operates globally, it is important to consider international and ethical factors when planning its financial restructuring. First, the company must fully comply with tax regulations, as different countries have different tax regulations and corporate tax rates. Effective tax planning can increase financial efficiency, but aggressive tax avoidance is essential to maintain the company's reputation and investor confidence (OECD, 2023).</w:t>
      </w:r>
    </w:p>
    <w:p w14:paraId="4D8D5E4E" w14:textId="77777777" w:rsidR="00B6313A" w:rsidRPr="002E24B3" w:rsidRDefault="00B6313A" w:rsidP="004F3F82">
      <w:pPr>
        <w:spacing w:after="0" w:line="240" w:lineRule="auto"/>
        <w:jc w:val="both"/>
        <w:rPr>
          <w:rFonts w:ascii="Arial" w:hAnsi="Arial" w:cs="Arial"/>
          <w:sz w:val="24"/>
          <w:szCs w:val="24"/>
        </w:rPr>
      </w:pPr>
    </w:p>
    <w:p w14:paraId="4367C71A"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also faces risks such as currency exchange risk and inflation due to its global operations. Changes in exchange rates due to revenues and expenses being denominated in different currencies can affect profitability and cash flow. Therefore, the company should mitigate these risks by adopting hedging strategies and effective financial risk management (Brigham &amp; Ehrhardt, 2023).</w:t>
      </w:r>
    </w:p>
    <w:p w14:paraId="7F4E1871" w14:textId="77777777" w:rsidR="00B6313A" w:rsidRPr="002E24B3" w:rsidRDefault="00B6313A" w:rsidP="004F3F82">
      <w:pPr>
        <w:spacing w:after="0" w:line="240" w:lineRule="auto"/>
        <w:jc w:val="both"/>
        <w:rPr>
          <w:rFonts w:ascii="Arial" w:hAnsi="Arial" w:cs="Arial"/>
          <w:sz w:val="24"/>
          <w:szCs w:val="24"/>
        </w:rPr>
      </w:pPr>
    </w:p>
    <w:p w14:paraId="720CABBF"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From an ethical perspective, Marriott should strengthen its Corporate Social Responsibility (CSR) and Environmental, Social and Governance (ESG) commitments. Initiatives such as energy efficiency, carbon emission reduction, employee well-being, and support for local communities strengthen the company’s long-term sustainable growth and brand reputation. In addition, responsible financial decisions and transparent corporate governance increase investor confidence and help create shareholder value over the long term (Marriott International, 2025; Grant, 2022).</w:t>
      </w:r>
    </w:p>
    <w:p w14:paraId="6B25B299" w14:textId="77777777" w:rsidR="00B6313A" w:rsidRPr="002E24B3" w:rsidRDefault="00B6313A" w:rsidP="004F3F82">
      <w:pPr>
        <w:spacing w:after="0" w:line="240" w:lineRule="auto"/>
        <w:jc w:val="both"/>
        <w:rPr>
          <w:rFonts w:ascii="Arial" w:hAnsi="Arial" w:cs="Arial"/>
          <w:sz w:val="24"/>
          <w:szCs w:val="24"/>
        </w:rPr>
      </w:pPr>
    </w:p>
    <w:p w14:paraId="20418D4C"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For Marriott International, strategies such as divestiture, debt refinancing, and selective strategic investments will help improve financial stability and liquidity. Along with a focus on ESG, tax compliance, and currency risk management, it will enhance shareholder value, financial flexibility, and sustainable growth over the long term (Marriott International, 2025; Brigham &amp; Ehrhardt, 2023).</w:t>
      </w:r>
    </w:p>
    <w:p w14:paraId="0DD65DE0" w14:textId="77777777" w:rsidR="00B6313A" w:rsidRPr="002E24B3" w:rsidRDefault="00B6313A" w:rsidP="004F3F82">
      <w:pPr>
        <w:spacing w:after="0" w:line="240" w:lineRule="auto"/>
        <w:jc w:val="both"/>
        <w:rPr>
          <w:rFonts w:ascii="Arial" w:hAnsi="Arial" w:cs="Arial"/>
          <w:sz w:val="24"/>
          <w:szCs w:val="24"/>
        </w:rPr>
      </w:pPr>
    </w:p>
    <w:p w14:paraId="73DC15DD" w14:textId="77777777" w:rsidR="00B6313A" w:rsidRPr="002E24B3" w:rsidRDefault="00B6313A" w:rsidP="004F3F82">
      <w:pPr>
        <w:spacing w:after="0" w:line="240" w:lineRule="auto"/>
        <w:jc w:val="both"/>
        <w:rPr>
          <w:rFonts w:ascii="Arial" w:hAnsi="Arial" w:cs="Arial"/>
          <w:sz w:val="24"/>
          <w:szCs w:val="24"/>
          <w:lang w:val="en-US"/>
        </w:rPr>
      </w:pPr>
      <w:r w:rsidRPr="002E24B3">
        <w:rPr>
          <w:rFonts w:ascii="Arial" w:hAnsi="Arial" w:cs="Arial"/>
          <w:sz w:val="24"/>
          <w:szCs w:val="24"/>
          <w:highlight w:val="darkGray"/>
        </w:rPr>
        <w:t xml:space="preserve">Task 4. </w:t>
      </w:r>
      <w:r w:rsidRPr="002E24B3">
        <w:rPr>
          <w:rFonts w:ascii="Arial" w:hAnsi="Arial" w:cs="Arial"/>
          <w:sz w:val="24"/>
          <w:szCs w:val="24"/>
          <w:highlight w:val="darkGray"/>
          <w:lang w:val="en-US"/>
        </w:rPr>
        <w:t>Investment Appraisal and Capital Budgeting</w:t>
      </w:r>
    </w:p>
    <w:p w14:paraId="5D3FC807" w14:textId="77777777" w:rsidR="00B6313A" w:rsidRPr="002E24B3" w:rsidRDefault="00B6313A" w:rsidP="004F3F82">
      <w:pPr>
        <w:spacing w:after="0" w:line="240" w:lineRule="auto"/>
        <w:jc w:val="both"/>
        <w:rPr>
          <w:rFonts w:ascii="Arial" w:hAnsi="Arial" w:cs="Arial"/>
          <w:sz w:val="24"/>
          <w:szCs w:val="24"/>
          <w:lang w:val="en-US"/>
        </w:rPr>
      </w:pPr>
    </w:p>
    <w:p w14:paraId="72E9A169" w14:textId="77777777" w:rsidR="00B6313A" w:rsidRPr="002E24B3" w:rsidRDefault="00B6313A" w:rsidP="004F3F82">
      <w:pPr>
        <w:spacing w:after="0" w:line="240" w:lineRule="auto"/>
        <w:jc w:val="both"/>
        <w:rPr>
          <w:rFonts w:ascii="Arial" w:hAnsi="Arial" w:cs="Arial"/>
          <w:sz w:val="24"/>
          <w:szCs w:val="24"/>
          <w:lang w:val="en-US"/>
        </w:rPr>
      </w:pPr>
      <w:r w:rsidRPr="002E24B3">
        <w:rPr>
          <w:rFonts w:ascii="Arial" w:hAnsi="Arial" w:cs="Arial"/>
          <w:sz w:val="24"/>
          <w:szCs w:val="24"/>
          <w:lang w:val="en-US"/>
        </w:rPr>
        <w:t xml:space="preserve">Investment appraisal helps the company to select the best project from the long-term investments. In this section, three proposed projects will be evaluated by Payback Period (PBP), ARR, NPV, PI and IRR and the most suitable investment option will be </w:t>
      </w:r>
      <w:r w:rsidRPr="002E24B3">
        <w:rPr>
          <w:rFonts w:ascii="Arial" w:hAnsi="Arial" w:cs="Arial"/>
          <w:sz w:val="24"/>
          <w:szCs w:val="24"/>
          <w:lang w:val="en-US"/>
        </w:rPr>
        <w:lastRenderedPageBreak/>
        <w:t>recommended based on Marriott International's financial position and £100 million capital rationing (Brigham &amp; Ehrhardt, 2023).</w:t>
      </w:r>
    </w:p>
    <w:p w14:paraId="07E2366E" w14:textId="77777777" w:rsidR="00B6313A" w:rsidRPr="002E24B3" w:rsidRDefault="00B6313A" w:rsidP="004F3F82">
      <w:pPr>
        <w:spacing w:after="0" w:line="240" w:lineRule="auto"/>
        <w:jc w:val="both"/>
        <w:rPr>
          <w:rFonts w:ascii="Arial" w:hAnsi="Arial" w:cs="Arial"/>
          <w:sz w:val="24"/>
          <w:szCs w:val="24"/>
          <w:lang w:val="en-US"/>
        </w:rPr>
      </w:pPr>
    </w:p>
    <w:p w14:paraId="0C4EC20D" w14:textId="36AC8151" w:rsidR="00B6313A" w:rsidRPr="002E24B3" w:rsidRDefault="00B6313A" w:rsidP="0054393F">
      <w:pPr>
        <w:pStyle w:val="ListParagraph"/>
        <w:numPr>
          <w:ilvl w:val="0"/>
          <w:numId w:val="9"/>
        </w:numPr>
        <w:spacing w:after="0" w:line="240" w:lineRule="auto"/>
        <w:jc w:val="center"/>
        <w:rPr>
          <w:rFonts w:ascii="Arial" w:hAnsi="Arial" w:cs="Arial"/>
          <w:sz w:val="24"/>
          <w:szCs w:val="24"/>
        </w:rPr>
      </w:pPr>
      <w:r w:rsidRPr="002E24B3">
        <w:rPr>
          <w:rFonts w:ascii="Arial" w:hAnsi="Arial" w:cs="Arial"/>
          <w:sz w:val="24"/>
          <w:szCs w:val="24"/>
        </w:rPr>
        <w:t>Investment Appraisal of Proposed Projects</w:t>
      </w:r>
    </w:p>
    <w:p w14:paraId="44772704" w14:textId="77777777" w:rsidR="00B6313A" w:rsidRPr="002E24B3" w:rsidRDefault="00B6313A" w:rsidP="004F3F82">
      <w:pPr>
        <w:spacing w:after="0" w:line="240" w:lineRule="auto"/>
        <w:jc w:val="both"/>
        <w:rPr>
          <w:rFonts w:ascii="Arial" w:hAnsi="Arial" w:cs="Arial"/>
          <w:sz w:val="24"/>
          <w:szCs w:val="24"/>
        </w:rPr>
      </w:pPr>
    </w:p>
    <w:p w14:paraId="2A20AA6F"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A.1. Payback Period (PBP)</w:t>
      </w:r>
    </w:p>
    <w:p w14:paraId="42371FF8" w14:textId="77777777" w:rsidR="00B6313A" w:rsidRPr="002E24B3" w:rsidRDefault="00B6313A" w:rsidP="004F3F82">
      <w:pPr>
        <w:spacing w:after="0" w:line="240" w:lineRule="auto"/>
        <w:jc w:val="both"/>
        <w:rPr>
          <w:rFonts w:ascii="Arial" w:hAnsi="Arial" w:cs="Arial"/>
          <w:sz w:val="24"/>
          <w:szCs w:val="24"/>
        </w:rPr>
      </w:pPr>
    </w:p>
    <w:p w14:paraId="57D2370C"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PBP indicates how long it takes to recover the initial investment. This method helps in assessing the risk of an investment and the quick recovery of cash. In general, a project with a shorter Payback Period is considered more </w:t>
      </w:r>
      <w:proofErr w:type="spellStart"/>
      <w:r w:rsidRPr="002E24B3">
        <w:rPr>
          <w:rFonts w:ascii="Arial" w:hAnsi="Arial" w:cs="Arial"/>
          <w:sz w:val="24"/>
          <w:szCs w:val="24"/>
        </w:rPr>
        <w:t>favorable</w:t>
      </w:r>
      <w:proofErr w:type="spellEnd"/>
      <w:r w:rsidRPr="002E24B3">
        <w:rPr>
          <w:rFonts w:ascii="Arial" w:hAnsi="Arial" w:cs="Arial"/>
          <w:sz w:val="24"/>
          <w:szCs w:val="24"/>
        </w:rPr>
        <w:t xml:space="preserve"> (Brigham &amp; Ehrhardt, 2023).</w:t>
      </w:r>
    </w:p>
    <w:p w14:paraId="3696ABEA" w14:textId="77777777" w:rsidR="00B6313A" w:rsidRPr="002E24B3" w:rsidRDefault="00B6313A" w:rsidP="004F3F82">
      <w:pPr>
        <w:spacing w:after="0" w:line="240" w:lineRule="auto"/>
        <w:jc w:val="both"/>
        <w:rPr>
          <w:rFonts w:ascii="Arial" w:hAnsi="Arial" w:cs="Arial"/>
          <w:sz w:val="24"/>
          <w:szCs w:val="24"/>
        </w:rPr>
      </w:pPr>
    </w:p>
    <w:tbl>
      <w:tblPr>
        <w:tblW w:w="9120" w:type="dxa"/>
        <w:tblLook w:val="04A0" w:firstRow="1" w:lastRow="0" w:firstColumn="1" w:lastColumn="0" w:noHBand="0" w:noVBand="1"/>
      </w:tblPr>
      <w:tblGrid>
        <w:gridCol w:w="3420"/>
        <w:gridCol w:w="2920"/>
        <w:gridCol w:w="2780"/>
      </w:tblGrid>
      <w:tr w:rsidR="00B6313A" w:rsidRPr="002E24B3" w14:paraId="07E1BC1B" w14:textId="77777777" w:rsidTr="003F730A">
        <w:trPr>
          <w:trHeight w:val="324"/>
        </w:trPr>
        <w:tc>
          <w:tcPr>
            <w:tcW w:w="3420" w:type="dxa"/>
            <w:tcBorders>
              <w:top w:val="single" w:sz="8" w:space="0" w:color="auto"/>
              <w:left w:val="single" w:sz="8" w:space="0" w:color="auto"/>
              <w:bottom w:val="single" w:sz="8" w:space="0" w:color="auto"/>
              <w:right w:val="single" w:sz="4" w:space="0" w:color="auto"/>
            </w:tcBorders>
            <w:vAlign w:val="center"/>
            <w:hideMark/>
          </w:tcPr>
          <w:p w14:paraId="4D4E00B5"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w:t>
            </w:r>
          </w:p>
        </w:tc>
        <w:tc>
          <w:tcPr>
            <w:tcW w:w="2920" w:type="dxa"/>
            <w:tcBorders>
              <w:top w:val="single" w:sz="8" w:space="0" w:color="auto"/>
              <w:left w:val="nil"/>
              <w:bottom w:val="single" w:sz="8" w:space="0" w:color="auto"/>
              <w:right w:val="single" w:sz="4" w:space="0" w:color="auto"/>
            </w:tcBorders>
            <w:vAlign w:val="center"/>
            <w:hideMark/>
          </w:tcPr>
          <w:p w14:paraId="447DEB48"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Payback Period (Years)</w:t>
            </w:r>
          </w:p>
        </w:tc>
        <w:tc>
          <w:tcPr>
            <w:tcW w:w="2780" w:type="dxa"/>
            <w:tcBorders>
              <w:top w:val="single" w:sz="8" w:space="0" w:color="auto"/>
              <w:left w:val="nil"/>
              <w:bottom w:val="single" w:sz="8" w:space="0" w:color="auto"/>
              <w:right w:val="single" w:sz="8" w:space="0" w:color="auto"/>
            </w:tcBorders>
            <w:vAlign w:val="center"/>
            <w:hideMark/>
          </w:tcPr>
          <w:p w14:paraId="2DB80698"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Rank</w:t>
            </w:r>
          </w:p>
        </w:tc>
      </w:tr>
      <w:tr w:rsidR="00B6313A" w:rsidRPr="002E24B3" w14:paraId="2E688A97" w14:textId="77777777" w:rsidTr="003F730A">
        <w:trPr>
          <w:trHeight w:val="300"/>
        </w:trPr>
        <w:tc>
          <w:tcPr>
            <w:tcW w:w="3420" w:type="dxa"/>
            <w:tcBorders>
              <w:top w:val="nil"/>
              <w:left w:val="single" w:sz="8" w:space="0" w:color="auto"/>
              <w:bottom w:val="single" w:sz="4" w:space="0" w:color="auto"/>
              <w:right w:val="single" w:sz="4" w:space="0" w:color="auto"/>
            </w:tcBorders>
            <w:vAlign w:val="center"/>
            <w:hideMark/>
          </w:tcPr>
          <w:p w14:paraId="79FA04D6"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 A</w:t>
            </w:r>
          </w:p>
        </w:tc>
        <w:tc>
          <w:tcPr>
            <w:tcW w:w="2920" w:type="dxa"/>
            <w:tcBorders>
              <w:top w:val="nil"/>
              <w:left w:val="nil"/>
              <w:bottom w:val="single" w:sz="4" w:space="0" w:color="auto"/>
              <w:right w:val="single" w:sz="4" w:space="0" w:color="auto"/>
            </w:tcBorders>
            <w:vAlign w:val="center"/>
            <w:hideMark/>
          </w:tcPr>
          <w:p w14:paraId="07988C51"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4.5</w:t>
            </w:r>
          </w:p>
        </w:tc>
        <w:tc>
          <w:tcPr>
            <w:tcW w:w="2780" w:type="dxa"/>
            <w:tcBorders>
              <w:top w:val="nil"/>
              <w:left w:val="nil"/>
              <w:bottom w:val="single" w:sz="4" w:space="0" w:color="auto"/>
              <w:right w:val="single" w:sz="8" w:space="0" w:color="auto"/>
            </w:tcBorders>
            <w:vAlign w:val="center"/>
            <w:hideMark/>
          </w:tcPr>
          <w:p w14:paraId="024BBB99"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2</w:t>
            </w:r>
          </w:p>
        </w:tc>
      </w:tr>
      <w:tr w:rsidR="00B6313A" w:rsidRPr="002E24B3" w14:paraId="619E664F" w14:textId="77777777" w:rsidTr="003F730A">
        <w:trPr>
          <w:trHeight w:val="300"/>
        </w:trPr>
        <w:tc>
          <w:tcPr>
            <w:tcW w:w="3420" w:type="dxa"/>
            <w:tcBorders>
              <w:top w:val="nil"/>
              <w:left w:val="single" w:sz="8" w:space="0" w:color="auto"/>
              <w:bottom w:val="single" w:sz="4" w:space="0" w:color="auto"/>
              <w:right w:val="single" w:sz="4" w:space="0" w:color="auto"/>
            </w:tcBorders>
            <w:vAlign w:val="center"/>
            <w:hideMark/>
          </w:tcPr>
          <w:p w14:paraId="7B998A90"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 B</w:t>
            </w:r>
          </w:p>
        </w:tc>
        <w:tc>
          <w:tcPr>
            <w:tcW w:w="2920" w:type="dxa"/>
            <w:tcBorders>
              <w:top w:val="nil"/>
              <w:left w:val="nil"/>
              <w:bottom w:val="single" w:sz="4" w:space="0" w:color="auto"/>
              <w:right w:val="single" w:sz="4" w:space="0" w:color="auto"/>
            </w:tcBorders>
            <w:vAlign w:val="center"/>
            <w:hideMark/>
          </w:tcPr>
          <w:p w14:paraId="4C65A0A3"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4.55</w:t>
            </w:r>
          </w:p>
        </w:tc>
        <w:tc>
          <w:tcPr>
            <w:tcW w:w="2780" w:type="dxa"/>
            <w:tcBorders>
              <w:top w:val="nil"/>
              <w:left w:val="nil"/>
              <w:bottom w:val="single" w:sz="4" w:space="0" w:color="auto"/>
              <w:right w:val="single" w:sz="8" w:space="0" w:color="auto"/>
            </w:tcBorders>
            <w:vAlign w:val="center"/>
            <w:hideMark/>
          </w:tcPr>
          <w:p w14:paraId="71D05D76"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3</w:t>
            </w:r>
          </w:p>
        </w:tc>
      </w:tr>
      <w:tr w:rsidR="00B6313A" w:rsidRPr="002E24B3" w14:paraId="33F4D159" w14:textId="77777777" w:rsidTr="003F730A">
        <w:trPr>
          <w:trHeight w:val="312"/>
        </w:trPr>
        <w:tc>
          <w:tcPr>
            <w:tcW w:w="3420" w:type="dxa"/>
            <w:tcBorders>
              <w:top w:val="nil"/>
              <w:left w:val="single" w:sz="8" w:space="0" w:color="auto"/>
              <w:bottom w:val="single" w:sz="8" w:space="0" w:color="auto"/>
              <w:right w:val="single" w:sz="4" w:space="0" w:color="auto"/>
            </w:tcBorders>
            <w:vAlign w:val="center"/>
            <w:hideMark/>
          </w:tcPr>
          <w:p w14:paraId="14C7DB04"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 C</w:t>
            </w:r>
          </w:p>
        </w:tc>
        <w:tc>
          <w:tcPr>
            <w:tcW w:w="2920" w:type="dxa"/>
            <w:tcBorders>
              <w:top w:val="nil"/>
              <w:left w:val="nil"/>
              <w:bottom w:val="single" w:sz="8" w:space="0" w:color="auto"/>
              <w:right w:val="single" w:sz="4" w:space="0" w:color="auto"/>
            </w:tcBorders>
            <w:vAlign w:val="center"/>
            <w:hideMark/>
          </w:tcPr>
          <w:p w14:paraId="5229D4A9"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3.6</w:t>
            </w:r>
          </w:p>
        </w:tc>
        <w:tc>
          <w:tcPr>
            <w:tcW w:w="2780" w:type="dxa"/>
            <w:tcBorders>
              <w:top w:val="nil"/>
              <w:left w:val="nil"/>
              <w:bottom w:val="single" w:sz="8" w:space="0" w:color="auto"/>
              <w:right w:val="single" w:sz="8" w:space="0" w:color="auto"/>
            </w:tcBorders>
            <w:vAlign w:val="center"/>
            <w:hideMark/>
          </w:tcPr>
          <w:p w14:paraId="29D037AE"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1</w:t>
            </w:r>
          </w:p>
        </w:tc>
      </w:tr>
    </w:tbl>
    <w:p w14:paraId="18682BDC" w14:textId="3254C5AD" w:rsidR="00F17A9F" w:rsidRPr="002E24B3" w:rsidRDefault="00F17A9F"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w:t>
      </w:r>
      <w:r w:rsidRPr="002E24B3">
        <w:rPr>
          <w:rFonts w:ascii="Arial" w:eastAsia="Times New Roman" w:hAnsi="Arial" w:cs="Arial"/>
          <w:color w:val="000000"/>
          <w:sz w:val="24"/>
          <w:szCs w:val="24"/>
          <w:lang w:eastAsia="en-IN"/>
        </w:rPr>
        <w:t>Appendix D.1)</w:t>
      </w:r>
    </w:p>
    <w:p w14:paraId="4DCC0336" w14:textId="77777777" w:rsidR="00B6313A" w:rsidRPr="002E24B3" w:rsidRDefault="00B6313A" w:rsidP="004F3F82">
      <w:pPr>
        <w:spacing w:after="0" w:line="240" w:lineRule="auto"/>
        <w:jc w:val="both"/>
        <w:rPr>
          <w:rFonts w:ascii="Arial" w:hAnsi="Arial" w:cs="Arial"/>
          <w:sz w:val="24"/>
          <w:szCs w:val="24"/>
        </w:rPr>
      </w:pPr>
    </w:p>
    <w:p w14:paraId="26A3FE6B"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Based on the Payback Period, Project C is the best option, as it recovers the initial investment in just 3.60 years, while Project A and Project B take 4.50 and 4.55 years, respectively. A shorter Payback Period improves the liquidity of the company, reduces the risk of the investment, and ensures quick availability of cash. Therefore, Project C is given </w:t>
      </w:r>
      <w:proofErr w:type="gramStart"/>
      <w:r w:rsidRPr="002E24B3">
        <w:rPr>
          <w:rFonts w:ascii="Arial" w:hAnsi="Arial" w:cs="Arial"/>
          <w:sz w:val="24"/>
          <w:szCs w:val="24"/>
        </w:rPr>
        <w:t>first priority</w:t>
      </w:r>
      <w:proofErr w:type="gramEnd"/>
      <w:r w:rsidRPr="002E24B3">
        <w:rPr>
          <w:rFonts w:ascii="Arial" w:hAnsi="Arial" w:cs="Arial"/>
          <w:sz w:val="24"/>
          <w:szCs w:val="24"/>
        </w:rPr>
        <w:t xml:space="preserve"> based on this method alone (Brigham &amp; Ehrhardt, 2023).</w:t>
      </w:r>
    </w:p>
    <w:p w14:paraId="7C641381" w14:textId="77777777" w:rsidR="00B6313A" w:rsidRPr="002E24B3" w:rsidRDefault="00B6313A" w:rsidP="004F3F82">
      <w:pPr>
        <w:spacing w:after="0" w:line="240" w:lineRule="auto"/>
        <w:jc w:val="both"/>
        <w:rPr>
          <w:rFonts w:ascii="Arial" w:hAnsi="Arial" w:cs="Arial"/>
          <w:sz w:val="24"/>
          <w:szCs w:val="24"/>
        </w:rPr>
      </w:pPr>
    </w:p>
    <w:p w14:paraId="264D2464"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A.2. Accounting Rate of Return (ARR)</w:t>
      </w:r>
    </w:p>
    <w:p w14:paraId="7879D2C9" w14:textId="77777777" w:rsidR="00B6313A" w:rsidRPr="002E24B3" w:rsidRDefault="00B6313A" w:rsidP="004F3F82">
      <w:pPr>
        <w:spacing w:after="0" w:line="240" w:lineRule="auto"/>
        <w:jc w:val="both"/>
        <w:rPr>
          <w:rFonts w:ascii="Arial" w:hAnsi="Arial" w:cs="Arial"/>
          <w:sz w:val="24"/>
          <w:szCs w:val="24"/>
        </w:rPr>
      </w:pPr>
    </w:p>
    <w:p w14:paraId="74986DA4"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ARR measures the profitability of a project by comparing its average annual profit to its initial investment. A project with a higher ARR is considered more profitable (Brigham &amp; Ehrhardt, 2023).</w:t>
      </w:r>
    </w:p>
    <w:p w14:paraId="16B319E7" w14:textId="77777777" w:rsidR="00B6313A" w:rsidRPr="002E24B3" w:rsidRDefault="00B6313A" w:rsidP="004F3F82">
      <w:pPr>
        <w:spacing w:after="0" w:line="240" w:lineRule="auto"/>
        <w:jc w:val="both"/>
        <w:rPr>
          <w:rFonts w:ascii="Arial" w:hAnsi="Arial" w:cs="Arial"/>
          <w:sz w:val="24"/>
          <w:szCs w:val="24"/>
        </w:rPr>
      </w:pPr>
    </w:p>
    <w:tbl>
      <w:tblPr>
        <w:tblW w:w="7380" w:type="dxa"/>
        <w:tblLook w:val="04A0" w:firstRow="1" w:lastRow="0" w:firstColumn="1" w:lastColumn="0" w:noHBand="0" w:noVBand="1"/>
      </w:tblPr>
      <w:tblGrid>
        <w:gridCol w:w="2820"/>
        <w:gridCol w:w="2360"/>
        <w:gridCol w:w="2200"/>
      </w:tblGrid>
      <w:tr w:rsidR="00B6313A" w:rsidRPr="002E24B3" w14:paraId="799E64EF" w14:textId="77777777" w:rsidTr="003F730A">
        <w:trPr>
          <w:trHeight w:val="324"/>
        </w:trPr>
        <w:tc>
          <w:tcPr>
            <w:tcW w:w="2820" w:type="dxa"/>
            <w:tcBorders>
              <w:top w:val="single" w:sz="8" w:space="0" w:color="auto"/>
              <w:left w:val="single" w:sz="8" w:space="0" w:color="auto"/>
              <w:bottom w:val="single" w:sz="8" w:space="0" w:color="auto"/>
              <w:right w:val="single" w:sz="4" w:space="0" w:color="auto"/>
            </w:tcBorders>
            <w:vAlign w:val="center"/>
            <w:hideMark/>
          </w:tcPr>
          <w:p w14:paraId="6FF566FE"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w:t>
            </w:r>
          </w:p>
        </w:tc>
        <w:tc>
          <w:tcPr>
            <w:tcW w:w="2360" w:type="dxa"/>
            <w:tcBorders>
              <w:top w:val="single" w:sz="8" w:space="0" w:color="auto"/>
              <w:left w:val="nil"/>
              <w:bottom w:val="single" w:sz="8" w:space="0" w:color="auto"/>
              <w:right w:val="single" w:sz="4" w:space="0" w:color="auto"/>
            </w:tcBorders>
            <w:vAlign w:val="center"/>
            <w:hideMark/>
          </w:tcPr>
          <w:p w14:paraId="347D0154"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ARR</w:t>
            </w:r>
          </w:p>
        </w:tc>
        <w:tc>
          <w:tcPr>
            <w:tcW w:w="2200" w:type="dxa"/>
            <w:tcBorders>
              <w:top w:val="single" w:sz="8" w:space="0" w:color="auto"/>
              <w:left w:val="nil"/>
              <w:bottom w:val="single" w:sz="8" w:space="0" w:color="auto"/>
              <w:right w:val="single" w:sz="8" w:space="0" w:color="auto"/>
            </w:tcBorders>
            <w:vAlign w:val="center"/>
            <w:hideMark/>
          </w:tcPr>
          <w:p w14:paraId="3AA8D273"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Rank</w:t>
            </w:r>
          </w:p>
        </w:tc>
      </w:tr>
      <w:tr w:rsidR="00B6313A" w:rsidRPr="002E24B3" w14:paraId="7ABB15C7" w14:textId="77777777" w:rsidTr="003F730A">
        <w:trPr>
          <w:trHeight w:val="312"/>
        </w:trPr>
        <w:tc>
          <w:tcPr>
            <w:tcW w:w="2820" w:type="dxa"/>
            <w:tcBorders>
              <w:top w:val="nil"/>
              <w:left w:val="single" w:sz="8" w:space="0" w:color="auto"/>
              <w:bottom w:val="single" w:sz="4" w:space="0" w:color="auto"/>
              <w:right w:val="single" w:sz="4" w:space="0" w:color="auto"/>
            </w:tcBorders>
            <w:vAlign w:val="center"/>
            <w:hideMark/>
          </w:tcPr>
          <w:p w14:paraId="4C9318E3"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A</w:t>
            </w:r>
          </w:p>
        </w:tc>
        <w:tc>
          <w:tcPr>
            <w:tcW w:w="2360" w:type="dxa"/>
            <w:tcBorders>
              <w:top w:val="nil"/>
              <w:left w:val="nil"/>
              <w:bottom w:val="single" w:sz="4" w:space="0" w:color="auto"/>
              <w:right w:val="single" w:sz="4" w:space="0" w:color="auto"/>
            </w:tcBorders>
            <w:vAlign w:val="center"/>
            <w:hideMark/>
          </w:tcPr>
          <w:p w14:paraId="422EA43E"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1.60%</w:t>
            </w:r>
          </w:p>
        </w:tc>
        <w:tc>
          <w:tcPr>
            <w:tcW w:w="2200" w:type="dxa"/>
            <w:tcBorders>
              <w:top w:val="nil"/>
              <w:left w:val="nil"/>
              <w:bottom w:val="single" w:sz="4" w:space="0" w:color="auto"/>
              <w:right w:val="single" w:sz="8" w:space="0" w:color="auto"/>
            </w:tcBorders>
            <w:vAlign w:val="center"/>
            <w:hideMark/>
          </w:tcPr>
          <w:p w14:paraId="125FA7F5"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3</w:t>
            </w:r>
          </w:p>
        </w:tc>
      </w:tr>
      <w:tr w:rsidR="00B6313A" w:rsidRPr="002E24B3" w14:paraId="04A86653" w14:textId="77777777" w:rsidTr="003F730A">
        <w:trPr>
          <w:trHeight w:val="312"/>
        </w:trPr>
        <w:tc>
          <w:tcPr>
            <w:tcW w:w="2820" w:type="dxa"/>
            <w:tcBorders>
              <w:top w:val="nil"/>
              <w:left w:val="single" w:sz="8" w:space="0" w:color="auto"/>
              <w:bottom w:val="single" w:sz="4" w:space="0" w:color="auto"/>
              <w:right w:val="single" w:sz="4" w:space="0" w:color="auto"/>
            </w:tcBorders>
            <w:vAlign w:val="center"/>
            <w:hideMark/>
          </w:tcPr>
          <w:p w14:paraId="763F60D6"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B</w:t>
            </w:r>
          </w:p>
        </w:tc>
        <w:tc>
          <w:tcPr>
            <w:tcW w:w="2360" w:type="dxa"/>
            <w:tcBorders>
              <w:top w:val="nil"/>
              <w:left w:val="nil"/>
              <w:bottom w:val="single" w:sz="4" w:space="0" w:color="auto"/>
              <w:right w:val="single" w:sz="4" w:space="0" w:color="auto"/>
            </w:tcBorders>
            <w:vAlign w:val="center"/>
            <w:hideMark/>
          </w:tcPr>
          <w:p w14:paraId="7872E128"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2.00%</w:t>
            </w:r>
          </w:p>
        </w:tc>
        <w:tc>
          <w:tcPr>
            <w:tcW w:w="2200" w:type="dxa"/>
            <w:tcBorders>
              <w:top w:val="nil"/>
              <w:left w:val="nil"/>
              <w:bottom w:val="single" w:sz="4" w:space="0" w:color="auto"/>
              <w:right w:val="single" w:sz="8" w:space="0" w:color="auto"/>
            </w:tcBorders>
            <w:vAlign w:val="center"/>
            <w:hideMark/>
          </w:tcPr>
          <w:p w14:paraId="6A34BFA1"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2</w:t>
            </w:r>
          </w:p>
        </w:tc>
      </w:tr>
      <w:tr w:rsidR="00B6313A" w:rsidRPr="002E24B3" w14:paraId="7B3A408D" w14:textId="77777777" w:rsidTr="003F730A">
        <w:trPr>
          <w:trHeight w:val="324"/>
        </w:trPr>
        <w:tc>
          <w:tcPr>
            <w:tcW w:w="2820" w:type="dxa"/>
            <w:tcBorders>
              <w:top w:val="nil"/>
              <w:left w:val="single" w:sz="8" w:space="0" w:color="auto"/>
              <w:bottom w:val="single" w:sz="8" w:space="0" w:color="auto"/>
              <w:right w:val="single" w:sz="4" w:space="0" w:color="auto"/>
            </w:tcBorders>
            <w:vAlign w:val="center"/>
            <w:hideMark/>
          </w:tcPr>
          <w:p w14:paraId="4B6A21AB"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C</w:t>
            </w:r>
          </w:p>
        </w:tc>
        <w:tc>
          <w:tcPr>
            <w:tcW w:w="2360" w:type="dxa"/>
            <w:tcBorders>
              <w:top w:val="nil"/>
              <w:left w:val="nil"/>
              <w:bottom w:val="single" w:sz="8" w:space="0" w:color="auto"/>
              <w:right w:val="single" w:sz="4" w:space="0" w:color="auto"/>
            </w:tcBorders>
            <w:vAlign w:val="center"/>
            <w:hideMark/>
          </w:tcPr>
          <w:p w14:paraId="419A7AB5"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6.00%</w:t>
            </w:r>
          </w:p>
        </w:tc>
        <w:tc>
          <w:tcPr>
            <w:tcW w:w="2200" w:type="dxa"/>
            <w:tcBorders>
              <w:top w:val="nil"/>
              <w:left w:val="nil"/>
              <w:bottom w:val="single" w:sz="8" w:space="0" w:color="auto"/>
              <w:right w:val="single" w:sz="8" w:space="0" w:color="auto"/>
            </w:tcBorders>
            <w:vAlign w:val="center"/>
            <w:hideMark/>
          </w:tcPr>
          <w:p w14:paraId="5E624692"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w:t>
            </w:r>
          </w:p>
        </w:tc>
      </w:tr>
    </w:tbl>
    <w:p w14:paraId="04CB688C" w14:textId="67C354F6" w:rsidR="00B6313A" w:rsidRPr="002E24B3" w:rsidRDefault="00F17A9F"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w:t>
      </w:r>
      <w:r w:rsidRPr="002E24B3">
        <w:rPr>
          <w:rFonts w:ascii="Arial" w:eastAsia="Times New Roman" w:hAnsi="Arial" w:cs="Arial"/>
          <w:color w:val="000000"/>
          <w:sz w:val="24"/>
          <w:szCs w:val="24"/>
          <w:lang w:eastAsia="en-IN"/>
        </w:rPr>
        <w:t>Appendix D.2)</w:t>
      </w:r>
    </w:p>
    <w:p w14:paraId="0A767823" w14:textId="77777777" w:rsidR="00B6313A" w:rsidRPr="002E24B3" w:rsidRDefault="00B6313A" w:rsidP="004F3F82">
      <w:pPr>
        <w:spacing w:after="0" w:line="240" w:lineRule="auto"/>
        <w:jc w:val="both"/>
        <w:rPr>
          <w:rFonts w:ascii="Arial" w:hAnsi="Arial" w:cs="Arial"/>
          <w:sz w:val="24"/>
          <w:szCs w:val="24"/>
        </w:rPr>
      </w:pPr>
    </w:p>
    <w:p w14:paraId="7DEB8FCF"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Based on ARR, Project C gives the highest return of 6.0%, while Project B and Project A give returns of 2.0% and 1.6% respectively. Therefore, Project C is considered the most profitable project. However, ARR does not </w:t>
      </w:r>
      <w:proofErr w:type="gramStart"/>
      <w:r w:rsidRPr="002E24B3">
        <w:rPr>
          <w:rFonts w:ascii="Arial" w:hAnsi="Arial" w:cs="Arial"/>
          <w:sz w:val="24"/>
          <w:szCs w:val="24"/>
        </w:rPr>
        <w:t>take into account</w:t>
      </w:r>
      <w:proofErr w:type="gramEnd"/>
      <w:r w:rsidRPr="002E24B3">
        <w:rPr>
          <w:rFonts w:ascii="Arial" w:hAnsi="Arial" w:cs="Arial"/>
          <w:sz w:val="24"/>
          <w:szCs w:val="24"/>
        </w:rPr>
        <w:t xml:space="preserve"> the time value of money, so it is necessary to evaluate Discounted Cash Flow Techniques such as NPV, PI, and IRR for the final investment decision (Brigham &amp; Ehrhardt, 2023).</w:t>
      </w:r>
    </w:p>
    <w:p w14:paraId="50F8E1C6"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 </w:t>
      </w:r>
    </w:p>
    <w:p w14:paraId="76FA4038"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A.3. Net Present Value (NPV)</w:t>
      </w:r>
    </w:p>
    <w:p w14:paraId="797E95A2" w14:textId="77777777" w:rsidR="00B6313A" w:rsidRPr="002E24B3" w:rsidRDefault="00B6313A" w:rsidP="004F3F82">
      <w:pPr>
        <w:spacing w:after="0" w:line="240" w:lineRule="auto"/>
        <w:jc w:val="both"/>
        <w:rPr>
          <w:rFonts w:ascii="Arial" w:hAnsi="Arial" w:cs="Arial"/>
          <w:sz w:val="24"/>
          <w:szCs w:val="24"/>
        </w:rPr>
      </w:pPr>
    </w:p>
    <w:p w14:paraId="083F5A45"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NPV shows the difference between the present value of all future cash inflows from the project and the initial investment. NPV </w:t>
      </w:r>
      <w:proofErr w:type="gramStart"/>
      <w:r w:rsidRPr="002E24B3">
        <w:rPr>
          <w:rFonts w:ascii="Arial" w:hAnsi="Arial" w:cs="Arial"/>
          <w:sz w:val="24"/>
          <w:szCs w:val="24"/>
        </w:rPr>
        <w:t>is considered to be</w:t>
      </w:r>
      <w:proofErr w:type="gramEnd"/>
      <w:r w:rsidRPr="002E24B3">
        <w:rPr>
          <w:rFonts w:ascii="Arial" w:hAnsi="Arial" w:cs="Arial"/>
          <w:sz w:val="24"/>
          <w:szCs w:val="24"/>
        </w:rPr>
        <w:t xml:space="preserve"> the most reliable capital budgeting technique considering Time Value of Money. A project with a positive NPV </w:t>
      </w:r>
      <w:r w:rsidRPr="002E24B3">
        <w:rPr>
          <w:rFonts w:ascii="Arial" w:hAnsi="Arial" w:cs="Arial"/>
          <w:sz w:val="24"/>
          <w:szCs w:val="24"/>
        </w:rPr>
        <w:lastRenderedPageBreak/>
        <w:t>generally increases shareholder value, while a project with a negative NPV is not worth accepting (Brigham &amp; Ehrhardt, 2023).</w:t>
      </w:r>
    </w:p>
    <w:p w14:paraId="0176CAA2" w14:textId="77777777" w:rsidR="00B6313A" w:rsidRPr="002E24B3" w:rsidRDefault="00B6313A" w:rsidP="004F3F82">
      <w:pPr>
        <w:spacing w:after="0" w:line="240" w:lineRule="auto"/>
        <w:jc w:val="both"/>
        <w:rPr>
          <w:rFonts w:ascii="Arial" w:hAnsi="Arial" w:cs="Arial"/>
          <w:sz w:val="24"/>
          <w:szCs w:val="24"/>
        </w:rPr>
      </w:pPr>
    </w:p>
    <w:tbl>
      <w:tblPr>
        <w:tblW w:w="9220" w:type="dxa"/>
        <w:tblLook w:val="04A0" w:firstRow="1" w:lastRow="0" w:firstColumn="1" w:lastColumn="0" w:noHBand="0" w:noVBand="1"/>
      </w:tblPr>
      <w:tblGrid>
        <w:gridCol w:w="2140"/>
        <w:gridCol w:w="1820"/>
        <w:gridCol w:w="2140"/>
        <w:gridCol w:w="1460"/>
        <w:gridCol w:w="1660"/>
      </w:tblGrid>
      <w:tr w:rsidR="00B6313A" w:rsidRPr="002E24B3" w14:paraId="5DAC6DE1" w14:textId="77777777" w:rsidTr="003F730A">
        <w:trPr>
          <w:trHeight w:val="624"/>
        </w:trPr>
        <w:tc>
          <w:tcPr>
            <w:tcW w:w="2140" w:type="dxa"/>
            <w:tcBorders>
              <w:top w:val="single" w:sz="4" w:space="0" w:color="auto"/>
              <w:left w:val="single" w:sz="8" w:space="0" w:color="auto"/>
              <w:bottom w:val="single" w:sz="4" w:space="0" w:color="auto"/>
              <w:right w:val="single" w:sz="4" w:space="0" w:color="auto"/>
            </w:tcBorders>
            <w:vAlign w:val="center"/>
            <w:hideMark/>
          </w:tcPr>
          <w:p w14:paraId="454859DB"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w:t>
            </w:r>
          </w:p>
        </w:tc>
        <w:tc>
          <w:tcPr>
            <w:tcW w:w="1820" w:type="dxa"/>
            <w:tcBorders>
              <w:top w:val="single" w:sz="4" w:space="0" w:color="auto"/>
              <w:left w:val="nil"/>
              <w:bottom w:val="single" w:sz="4" w:space="0" w:color="auto"/>
              <w:right w:val="single" w:sz="4" w:space="0" w:color="auto"/>
            </w:tcBorders>
            <w:vAlign w:val="center"/>
            <w:hideMark/>
          </w:tcPr>
          <w:p w14:paraId="03ABF876"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Total PV (£m)</w:t>
            </w:r>
          </w:p>
        </w:tc>
        <w:tc>
          <w:tcPr>
            <w:tcW w:w="2140" w:type="dxa"/>
            <w:tcBorders>
              <w:top w:val="single" w:sz="4" w:space="0" w:color="auto"/>
              <w:left w:val="nil"/>
              <w:bottom w:val="single" w:sz="4" w:space="0" w:color="auto"/>
              <w:right w:val="single" w:sz="4" w:space="0" w:color="auto"/>
            </w:tcBorders>
            <w:vAlign w:val="center"/>
            <w:hideMark/>
          </w:tcPr>
          <w:p w14:paraId="776773E5"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Initial Investment (£m)</w:t>
            </w:r>
          </w:p>
        </w:tc>
        <w:tc>
          <w:tcPr>
            <w:tcW w:w="1460" w:type="dxa"/>
            <w:tcBorders>
              <w:top w:val="single" w:sz="4" w:space="0" w:color="auto"/>
              <w:left w:val="nil"/>
              <w:bottom w:val="single" w:sz="4" w:space="0" w:color="auto"/>
              <w:right w:val="single" w:sz="4" w:space="0" w:color="auto"/>
            </w:tcBorders>
            <w:vAlign w:val="center"/>
            <w:hideMark/>
          </w:tcPr>
          <w:p w14:paraId="56D61EC3"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NPV (£m)</w:t>
            </w:r>
          </w:p>
        </w:tc>
        <w:tc>
          <w:tcPr>
            <w:tcW w:w="1660" w:type="dxa"/>
            <w:tcBorders>
              <w:top w:val="single" w:sz="4" w:space="0" w:color="auto"/>
              <w:left w:val="nil"/>
              <w:bottom w:val="single" w:sz="4" w:space="0" w:color="auto"/>
              <w:right w:val="single" w:sz="8" w:space="0" w:color="auto"/>
            </w:tcBorders>
            <w:vAlign w:val="center"/>
            <w:hideMark/>
          </w:tcPr>
          <w:p w14:paraId="6F67015E"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Rank</w:t>
            </w:r>
          </w:p>
        </w:tc>
      </w:tr>
      <w:tr w:rsidR="00B6313A" w:rsidRPr="002E24B3" w14:paraId="0D072693" w14:textId="77777777" w:rsidTr="003F730A">
        <w:trPr>
          <w:trHeight w:val="312"/>
        </w:trPr>
        <w:tc>
          <w:tcPr>
            <w:tcW w:w="2140" w:type="dxa"/>
            <w:tcBorders>
              <w:top w:val="nil"/>
              <w:left w:val="single" w:sz="8" w:space="0" w:color="auto"/>
              <w:bottom w:val="single" w:sz="4" w:space="0" w:color="auto"/>
              <w:right w:val="single" w:sz="4" w:space="0" w:color="auto"/>
            </w:tcBorders>
            <w:vAlign w:val="center"/>
            <w:hideMark/>
          </w:tcPr>
          <w:p w14:paraId="3B003EF5"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A</w:t>
            </w:r>
          </w:p>
        </w:tc>
        <w:tc>
          <w:tcPr>
            <w:tcW w:w="1820" w:type="dxa"/>
            <w:tcBorders>
              <w:top w:val="nil"/>
              <w:left w:val="nil"/>
              <w:bottom w:val="single" w:sz="4" w:space="0" w:color="auto"/>
              <w:right w:val="single" w:sz="4" w:space="0" w:color="auto"/>
            </w:tcBorders>
            <w:vAlign w:val="center"/>
            <w:hideMark/>
          </w:tcPr>
          <w:p w14:paraId="137C1E44"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43.45</w:t>
            </w:r>
          </w:p>
        </w:tc>
        <w:tc>
          <w:tcPr>
            <w:tcW w:w="2140" w:type="dxa"/>
            <w:tcBorders>
              <w:top w:val="nil"/>
              <w:left w:val="nil"/>
              <w:bottom w:val="single" w:sz="4" w:space="0" w:color="auto"/>
              <w:right w:val="single" w:sz="4" w:space="0" w:color="auto"/>
            </w:tcBorders>
            <w:vAlign w:val="center"/>
            <w:hideMark/>
          </w:tcPr>
          <w:p w14:paraId="1BA1C157"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50</w:t>
            </w:r>
          </w:p>
        </w:tc>
        <w:tc>
          <w:tcPr>
            <w:tcW w:w="1460" w:type="dxa"/>
            <w:tcBorders>
              <w:top w:val="nil"/>
              <w:left w:val="nil"/>
              <w:bottom w:val="single" w:sz="4" w:space="0" w:color="auto"/>
              <w:right w:val="single" w:sz="4" w:space="0" w:color="auto"/>
            </w:tcBorders>
            <w:vAlign w:val="center"/>
            <w:hideMark/>
          </w:tcPr>
          <w:p w14:paraId="2782E7A5"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-6.55</w:t>
            </w:r>
          </w:p>
        </w:tc>
        <w:tc>
          <w:tcPr>
            <w:tcW w:w="1660" w:type="dxa"/>
            <w:tcBorders>
              <w:top w:val="nil"/>
              <w:left w:val="nil"/>
              <w:bottom w:val="single" w:sz="4" w:space="0" w:color="auto"/>
              <w:right w:val="single" w:sz="8" w:space="0" w:color="auto"/>
            </w:tcBorders>
            <w:vAlign w:val="center"/>
            <w:hideMark/>
          </w:tcPr>
          <w:p w14:paraId="63FD71E4"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3</w:t>
            </w:r>
          </w:p>
        </w:tc>
      </w:tr>
      <w:tr w:rsidR="00B6313A" w:rsidRPr="002E24B3" w14:paraId="339986EE" w14:textId="77777777" w:rsidTr="003F730A">
        <w:trPr>
          <w:trHeight w:val="312"/>
        </w:trPr>
        <w:tc>
          <w:tcPr>
            <w:tcW w:w="2140" w:type="dxa"/>
            <w:tcBorders>
              <w:top w:val="nil"/>
              <w:left w:val="single" w:sz="8" w:space="0" w:color="auto"/>
              <w:bottom w:val="single" w:sz="4" w:space="0" w:color="auto"/>
              <w:right w:val="single" w:sz="4" w:space="0" w:color="auto"/>
            </w:tcBorders>
            <w:vAlign w:val="center"/>
            <w:hideMark/>
          </w:tcPr>
          <w:p w14:paraId="665F9AB6"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B</w:t>
            </w:r>
          </w:p>
        </w:tc>
        <w:tc>
          <w:tcPr>
            <w:tcW w:w="1820" w:type="dxa"/>
            <w:tcBorders>
              <w:top w:val="nil"/>
              <w:left w:val="nil"/>
              <w:bottom w:val="single" w:sz="4" w:space="0" w:color="auto"/>
              <w:right w:val="single" w:sz="4" w:space="0" w:color="auto"/>
            </w:tcBorders>
            <w:vAlign w:val="center"/>
            <w:hideMark/>
          </w:tcPr>
          <w:p w14:paraId="7CBF12A1"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43.92</w:t>
            </w:r>
          </w:p>
        </w:tc>
        <w:tc>
          <w:tcPr>
            <w:tcW w:w="2140" w:type="dxa"/>
            <w:tcBorders>
              <w:top w:val="nil"/>
              <w:left w:val="nil"/>
              <w:bottom w:val="single" w:sz="4" w:space="0" w:color="auto"/>
              <w:right w:val="single" w:sz="4" w:space="0" w:color="auto"/>
            </w:tcBorders>
            <w:vAlign w:val="center"/>
            <w:hideMark/>
          </w:tcPr>
          <w:p w14:paraId="493A9483"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50</w:t>
            </w:r>
          </w:p>
        </w:tc>
        <w:tc>
          <w:tcPr>
            <w:tcW w:w="1460" w:type="dxa"/>
            <w:tcBorders>
              <w:top w:val="nil"/>
              <w:left w:val="nil"/>
              <w:bottom w:val="single" w:sz="4" w:space="0" w:color="auto"/>
              <w:right w:val="single" w:sz="4" w:space="0" w:color="auto"/>
            </w:tcBorders>
            <w:vAlign w:val="center"/>
            <w:hideMark/>
          </w:tcPr>
          <w:p w14:paraId="67604053"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-6.08</w:t>
            </w:r>
          </w:p>
        </w:tc>
        <w:tc>
          <w:tcPr>
            <w:tcW w:w="1660" w:type="dxa"/>
            <w:tcBorders>
              <w:top w:val="nil"/>
              <w:left w:val="nil"/>
              <w:bottom w:val="single" w:sz="4" w:space="0" w:color="auto"/>
              <w:right w:val="single" w:sz="8" w:space="0" w:color="auto"/>
            </w:tcBorders>
            <w:vAlign w:val="center"/>
            <w:hideMark/>
          </w:tcPr>
          <w:p w14:paraId="7290AF14"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2</w:t>
            </w:r>
          </w:p>
        </w:tc>
      </w:tr>
      <w:tr w:rsidR="00B6313A" w:rsidRPr="002E24B3" w14:paraId="73168115" w14:textId="77777777" w:rsidTr="003F730A">
        <w:trPr>
          <w:trHeight w:val="324"/>
        </w:trPr>
        <w:tc>
          <w:tcPr>
            <w:tcW w:w="2140" w:type="dxa"/>
            <w:tcBorders>
              <w:top w:val="nil"/>
              <w:left w:val="single" w:sz="8" w:space="0" w:color="auto"/>
              <w:bottom w:val="single" w:sz="8" w:space="0" w:color="auto"/>
              <w:right w:val="single" w:sz="4" w:space="0" w:color="auto"/>
            </w:tcBorders>
            <w:vAlign w:val="center"/>
            <w:hideMark/>
          </w:tcPr>
          <w:p w14:paraId="23DA2B42"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C</w:t>
            </w:r>
          </w:p>
        </w:tc>
        <w:tc>
          <w:tcPr>
            <w:tcW w:w="1820" w:type="dxa"/>
            <w:tcBorders>
              <w:top w:val="nil"/>
              <w:left w:val="nil"/>
              <w:bottom w:val="single" w:sz="8" w:space="0" w:color="auto"/>
              <w:right w:val="single" w:sz="4" w:space="0" w:color="auto"/>
            </w:tcBorders>
            <w:vAlign w:val="center"/>
            <w:hideMark/>
          </w:tcPr>
          <w:p w14:paraId="03BA51CE"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50.86</w:t>
            </w:r>
          </w:p>
        </w:tc>
        <w:tc>
          <w:tcPr>
            <w:tcW w:w="2140" w:type="dxa"/>
            <w:tcBorders>
              <w:top w:val="nil"/>
              <w:left w:val="nil"/>
              <w:bottom w:val="single" w:sz="8" w:space="0" w:color="auto"/>
              <w:right w:val="single" w:sz="4" w:space="0" w:color="auto"/>
            </w:tcBorders>
            <w:vAlign w:val="center"/>
            <w:hideMark/>
          </w:tcPr>
          <w:p w14:paraId="1DE1029C"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50</w:t>
            </w:r>
          </w:p>
        </w:tc>
        <w:tc>
          <w:tcPr>
            <w:tcW w:w="1460" w:type="dxa"/>
            <w:tcBorders>
              <w:top w:val="nil"/>
              <w:left w:val="nil"/>
              <w:bottom w:val="single" w:sz="8" w:space="0" w:color="auto"/>
              <w:right w:val="single" w:sz="4" w:space="0" w:color="auto"/>
            </w:tcBorders>
            <w:vAlign w:val="center"/>
            <w:hideMark/>
          </w:tcPr>
          <w:p w14:paraId="5C2DEC0B"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0.86</w:t>
            </w:r>
          </w:p>
        </w:tc>
        <w:tc>
          <w:tcPr>
            <w:tcW w:w="1660" w:type="dxa"/>
            <w:tcBorders>
              <w:top w:val="nil"/>
              <w:left w:val="nil"/>
              <w:bottom w:val="single" w:sz="8" w:space="0" w:color="auto"/>
              <w:right w:val="single" w:sz="8" w:space="0" w:color="auto"/>
            </w:tcBorders>
            <w:vAlign w:val="center"/>
            <w:hideMark/>
          </w:tcPr>
          <w:p w14:paraId="68C545E0"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w:t>
            </w:r>
          </w:p>
        </w:tc>
      </w:tr>
    </w:tbl>
    <w:p w14:paraId="4B9F3DE7" w14:textId="7C020E8C" w:rsidR="00F17A9F" w:rsidRPr="002E24B3" w:rsidRDefault="00F17A9F"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w:t>
      </w:r>
      <w:r w:rsidRPr="002E24B3">
        <w:rPr>
          <w:rFonts w:ascii="Arial" w:eastAsia="Times New Roman" w:hAnsi="Arial" w:cs="Arial"/>
          <w:color w:val="000000"/>
          <w:sz w:val="24"/>
          <w:szCs w:val="24"/>
          <w:lang w:eastAsia="en-IN"/>
        </w:rPr>
        <w:t>Appendix D.3)</w:t>
      </w:r>
    </w:p>
    <w:p w14:paraId="0C1A9207" w14:textId="77777777" w:rsidR="00B6313A" w:rsidRPr="002E24B3" w:rsidRDefault="00B6313A" w:rsidP="004F3F82">
      <w:pPr>
        <w:spacing w:after="0" w:line="240" w:lineRule="auto"/>
        <w:jc w:val="both"/>
        <w:rPr>
          <w:rFonts w:ascii="Arial" w:hAnsi="Arial" w:cs="Arial"/>
          <w:sz w:val="24"/>
          <w:szCs w:val="24"/>
        </w:rPr>
      </w:pPr>
    </w:p>
    <w:p w14:paraId="7260DDB9"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Based on NPV, only Project C has a positive NPV (+£0.86 million), indicating that this project will increase shareholder value. While Project A (-£6.55 million) and Project B (-£6.08 million) have negative NPVs, they do not create value for the company. Therefore, Project C is the most suitable investment option according to the NPV method (Brigham &amp; Ehrhardt, 2023).</w:t>
      </w:r>
    </w:p>
    <w:p w14:paraId="0926F17B" w14:textId="77777777" w:rsidR="00B6313A" w:rsidRPr="002E24B3" w:rsidRDefault="00B6313A" w:rsidP="004F3F82">
      <w:pPr>
        <w:spacing w:after="0" w:line="240" w:lineRule="auto"/>
        <w:jc w:val="both"/>
        <w:rPr>
          <w:rFonts w:ascii="Arial" w:hAnsi="Arial" w:cs="Arial"/>
          <w:sz w:val="24"/>
          <w:szCs w:val="24"/>
        </w:rPr>
      </w:pPr>
    </w:p>
    <w:p w14:paraId="360AA51F"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A.4. Profitability Index (PI)</w:t>
      </w:r>
    </w:p>
    <w:p w14:paraId="516D5AE5" w14:textId="77777777" w:rsidR="00B6313A" w:rsidRPr="002E24B3" w:rsidRDefault="00B6313A" w:rsidP="004F3F82">
      <w:pPr>
        <w:spacing w:after="0" w:line="240" w:lineRule="auto"/>
        <w:jc w:val="both"/>
        <w:rPr>
          <w:rFonts w:ascii="Arial" w:hAnsi="Arial" w:cs="Arial"/>
          <w:sz w:val="24"/>
          <w:szCs w:val="24"/>
        </w:rPr>
      </w:pPr>
    </w:p>
    <w:p w14:paraId="6B44EBB7"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PI shows how much Present Value is created for every £1 of initial investment. This method </w:t>
      </w:r>
      <w:proofErr w:type="gramStart"/>
      <w:r w:rsidRPr="002E24B3">
        <w:rPr>
          <w:rFonts w:ascii="Arial" w:hAnsi="Arial" w:cs="Arial"/>
          <w:sz w:val="24"/>
          <w:szCs w:val="24"/>
        </w:rPr>
        <w:t>takes into account</w:t>
      </w:r>
      <w:proofErr w:type="gramEnd"/>
      <w:r w:rsidRPr="002E24B3">
        <w:rPr>
          <w:rFonts w:ascii="Arial" w:hAnsi="Arial" w:cs="Arial"/>
          <w:sz w:val="24"/>
          <w:szCs w:val="24"/>
        </w:rPr>
        <w:t xml:space="preserve"> the Time Value of Money and is particularly useful for comparing projects in capital rationing situations. Generally, a project is accepted if the PI is greater than 1, while a project is rejected if the PI is less than 1 (Brigham &amp; Ehrhardt, 2023).</w:t>
      </w:r>
    </w:p>
    <w:p w14:paraId="4E13B43B" w14:textId="77777777" w:rsidR="00B6313A" w:rsidRPr="002E24B3" w:rsidRDefault="00B6313A" w:rsidP="004F3F82">
      <w:pPr>
        <w:spacing w:after="0" w:line="240" w:lineRule="auto"/>
        <w:jc w:val="both"/>
        <w:rPr>
          <w:rFonts w:ascii="Arial" w:hAnsi="Arial" w:cs="Arial"/>
          <w:sz w:val="24"/>
          <w:szCs w:val="24"/>
        </w:rPr>
      </w:pPr>
    </w:p>
    <w:tbl>
      <w:tblPr>
        <w:tblW w:w="9220" w:type="dxa"/>
        <w:tblLook w:val="04A0" w:firstRow="1" w:lastRow="0" w:firstColumn="1" w:lastColumn="0" w:noHBand="0" w:noVBand="1"/>
      </w:tblPr>
      <w:tblGrid>
        <w:gridCol w:w="2140"/>
        <w:gridCol w:w="1820"/>
        <w:gridCol w:w="2140"/>
        <w:gridCol w:w="1460"/>
        <w:gridCol w:w="1660"/>
      </w:tblGrid>
      <w:tr w:rsidR="00B6313A" w:rsidRPr="002E24B3" w14:paraId="3B98B1E1" w14:textId="77777777" w:rsidTr="003F730A">
        <w:trPr>
          <w:trHeight w:val="636"/>
        </w:trPr>
        <w:tc>
          <w:tcPr>
            <w:tcW w:w="2140" w:type="dxa"/>
            <w:tcBorders>
              <w:top w:val="single" w:sz="8" w:space="0" w:color="auto"/>
              <w:left w:val="single" w:sz="8" w:space="0" w:color="auto"/>
              <w:bottom w:val="single" w:sz="8" w:space="0" w:color="auto"/>
              <w:right w:val="single" w:sz="4" w:space="0" w:color="auto"/>
            </w:tcBorders>
            <w:vAlign w:val="center"/>
            <w:hideMark/>
          </w:tcPr>
          <w:p w14:paraId="64F612DF"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w:t>
            </w:r>
          </w:p>
        </w:tc>
        <w:tc>
          <w:tcPr>
            <w:tcW w:w="1820" w:type="dxa"/>
            <w:tcBorders>
              <w:top w:val="single" w:sz="8" w:space="0" w:color="auto"/>
              <w:left w:val="nil"/>
              <w:bottom w:val="single" w:sz="8" w:space="0" w:color="auto"/>
              <w:right w:val="single" w:sz="4" w:space="0" w:color="auto"/>
            </w:tcBorders>
            <w:vAlign w:val="center"/>
            <w:hideMark/>
          </w:tcPr>
          <w:p w14:paraId="4F3EF43D"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Total PV (£m)</w:t>
            </w:r>
          </w:p>
        </w:tc>
        <w:tc>
          <w:tcPr>
            <w:tcW w:w="2140" w:type="dxa"/>
            <w:tcBorders>
              <w:top w:val="single" w:sz="8" w:space="0" w:color="auto"/>
              <w:left w:val="nil"/>
              <w:bottom w:val="single" w:sz="8" w:space="0" w:color="auto"/>
              <w:right w:val="single" w:sz="4" w:space="0" w:color="auto"/>
            </w:tcBorders>
            <w:vAlign w:val="center"/>
            <w:hideMark/>
          </w:tcPr>
          <w:p w14:paraId="3D2CB256"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Initial Investment (£m)</w:t>
            </w:r>
          </w:p>
        </w:tc>
        <w:tc>
          <w:tcPr>
            <w:tcW w:w="1460" w:type="dxa"/>
            <w:tcBorders>
              <w:top w:val="single" w:sz="8" w:space="0" w:color="auto"/>
              <w:left w:val="nil"/>
              <w:bottom w:val="single" w:sz="8" w:space="0" w:color="auto"/>
              <w:right w:val="single" w:sz="4" w:space="0" w:color="auto"/>
            </w:tcBorders>
            <w:noWrap/>
            <w:vAlign w:val="center"/>
            <w:hideMark/>
          </w:tcPr>
          <w:p w14:paraId="76C24F7A"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PI</w:t>
            </w:r>
          </w:p>
        </w:tc>
        <w:tc>
          <w:tcPr>
            <w:tcW w:w="1660" w:type="dxa"/>
            <w:tcBorders>
              <w:top w:val="single" w:sz="8" w:space="0" w:color="auto"/>
              <w:left w:val="nil"/>
              <w:bottom w:val="single" w:sz="8" w:space="0" w:color="auto"/>
              <w:right w:val="single" w:sz="8" w:space="0" w:color="auto"/>
            </w:tcBorders>
            <w:vAlign w:val="center"/>
            <w:hideMark/>
          </w:tcPr>
          <w:p w14:paraId="176FEB0B"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Rank</w:t>
            </w:r>
          </w:p>
        </w:tc>
      </w:tr>
      <w:tr w:rsidR="00B6313A" w:rsidRPr="002E24B3" w14:paraId="78ED088F" w14:textId="77777777" w:rsidTr="003F730A">
        <w:trPr>
          <w:trHeight w:val="312"/>
        </w:trPr>
        <w:tc>
          <w:tcPr>
            <w:tcW w:w="2140" w:type="dxa"/>
            <w:tcBorders>
              <w:top w:val="nil"/>
              <w:left w:val="single" w:sz="8" w:space="0" w:color="auto"/>
              <w:bottom w:val="single" w:sz="4" w:space="0" w:color="auto"/>
              <w:right w:val="single" w:sz="4" w:space="0" w:color="auto"/>
            </w:tcBorders>
            <w:vAlign w:val="center"/>
            <w:hideMark/>
          </w:tcPr>
          <w:p w14:paraId="6BECD702"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A</w:t>
            </w:r>
          </w:p>
        </w:tc>
        <w:tc>
          <w:tcPr>
            <w:tcW w:w="1820" w:type="dxa"/>
            <w:tcBorders>
              <w:top w:val="nil"/>
              <w:left w:val="nil"/>
              <w:bottom w:val="single" w:sz="4" w:space="0" w:color="auto"/>
              <w:right w:val="single" w:sz="4" w:space="0" w:color="auto"/>
            </w:tcBorders>
            <w:vAlign w:val="center"/>
            <w:hideMark/>
          </w:tcPr>
          <w:p w14:paraId="7801527F"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43.45</w:t>
            </w:r>
          </w:p>
        </w:tc>
        <w:tc>
          <w:tcPr>
            <w:tcW w:w="2140" w:type="dxa"/>
            <w:tcBorders>
              <w:top w:val="nil"/>
              <w:left w:val="nil"/>
              <w:bottom w:val="single" w:sz="4" w:space="0" w:color="auto"/>
              <w:right w:val="single" w:sz="4" w:space="0" w:color="auto"/>
            </w:tcBorders>
            <w:vAlign w:val="center"/>
            <w:hideMark/>
          </w:tcPr>
          <w:p w14:paraId="65C6CC31"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50</w:t>
            </w:r>
          </w:p>
        </w:tc>
        <w:tc>
          <w:tcPr>
            <w:tcW w:w="1460" w:type="dxa"/>
            <w:tcBorders>
              <w:top w:val="nil"/>
              <w:left w:val="nil"/>
              <w:bottom w:val="single" w:sz="4" w:space="0" w:color="auto"/>
              <w:right w:val="single" w:sz="4" w:space="0" w:color="auto"/>
            </w:tcBorders>
            <w:noWrap/>
            <w:vAlign w:val="center"/>
            <w:hideMark/>
          </w:tcPr>
          <w:p w14:paraId="16946FF6"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0.87</w:t>
            </w:r>
          </w:p>
        </w:tc>
        <w:tc>
          <w:tcPr>
            <w:tcW w:w="1660" w:type="dxa"/>
            <w:tcBorders>
              <w:top w:val="nil"/>
              <w:left w:val="nil"/>
              <w:bottom w:val="single" w:sz="4" w:space="0" w:color="auto"/>
              <w:right w:val="single" w:sz="8" w:space="0" w:color="auto"/>
            </w:tcBorders>
            <w:vAlign w:val="center"/>
            <w:hideMark/>
          </w:tcPr>
          <w:p w14:paraId="5797E305"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3</w:t>
            </w:r>
          </w:p>
        </w:tc>
      </w:tr>
      <w:tr w:rsidR="00B6313A" w:rsidRPr="002E24B3" w14:paraId="1CD79AA4" w14:textId="77777777" w:rsidTr="003F730A">
        <w:trPr>
          <w:trHeight w:val="312"/>
        </w:trPr>
        <w:tc>
          <w:tcPr>
            <w:tcW w:w="2140" w:type="dxa"/>
            <w:tcBorders>
              <w:top w:val="nil"/>
              <w:left w:val="single" w:sz="8" w:space="0" w:color="auto"/>
              <w:bottom w:val="single" w:sz="4" w:space="0" w:color="auto"/>
              <w:right w:val="single" w:sz="4" w:space="0" w:color="auto"/>
            </w:tcBorders>
            <w:vAlign w:val="center"/>
            <w:hideMark/>
          </w:tcPr>
          <w:p w14:paraId="386E5CAC"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B</w:t>
            </w:r>
          </w:p>
        </w:tc>
        <w:tc>
          <w:tcPr>
            <w:tcW w:w="1820" w:type="dxa"/>
            <w:tcBorders>
              <w:top w:val="nil"/>
              <w:left w:val="nil"/>
              <w:bottom w:val="single" w:sz="4" w:space="0" w:color="auto"/>
              <w:right w:val="single" w:sz="4" w:space="0" w:color="auto"/>
            </w:tcBorders>
            <w:vAlign w:val="center"/>
            <w:hideMark/>
          </w:tcPr>
          <w:p w14:paraId="7CE5FCBC"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43.92</w:t>
            </w:r>
          </w:p>
        </w:tc>
        <w:tc>
          <w:tcPr>
            <w:tcW w:w="2140" w:type="dxa"/>
            <w:tcBorders>
              <w:top w:val="nil"/>
              <w:left w:val="nil"/>
              <w:bottom w:val="single" w:sz="4" w:space="0" w:color="auto"/>
              <w:right w:val="single" w:sz="4" w:space="0" w:color="auto"/>
            </w:tcBorders>
            <w:vAlign w:val="center"/>
            <w:hideMark/>
          </w:tcPr>
          <w:p w14:paraId="1E1DB8BA"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50</w:t>
            </w:r>
          </w:p>
        </w:tc>
        <w:tc>
          <w:tcPr>
            <w:tcW w:w="1460" w:type="dxa"/>
            <w:tcBorders>
              <w:top w:val="nil"/>
              <w:left w:val="nil"/>
              <w:bottom w:val="single" w:sz="4" w:space="0" w:color="auto"/>
              <w:right w:val="single" w:sz="4" w:space="0" w:color="auto"/>
            </w:tcBorders>
            <w:noWrap/>
            <w:vAlign w:val="center"/>
            <w:hideMark/>
          </w:tcPr>
          <w:p w14:paraId="754477EE"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0.88</w:t>
            </w:r>
          </w:p>
        </w:tc>
        <w:tc>
          <w:tcPr>
            <w:tcW w:w="1660" w:type="dxa"/>
            <w:tcBorders>
              <w:top w:val="nil"/>
              <w:left w:val="nil"/>
              <w:bottom w:val="single" w:sz="4" w:space="0" w:color="auto"/>
              <w:right w:val="single" w:sz="8" w:space="0" w:color="auto"/>
            </w:tcBorders>
            <w:vAlign w:val="center"/>
            <w:hideMark/>
          </w:tcPr>
          <w:p w14:paraId="5EB9E6C9"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2</w:t>
            </w:r>
          </w:p>
        </w:tc>
      </w:tr>
      <w:tr w:rsidR="00B6313A" w:rsidRPr="002E24B3" w14:paraId="68241C81" w14:textId="77777777" w:rsidTr="003F730A">
        <w:trPr>
          <w:trHeight w:val="324"/>
        </w:trPr>
        <w:tc>
          <w:tcPr>
            <w:tcW w:w="2140" w:type="dxa"/>
            <w:tcBorders>
              <w:top w:val="nil"/>
              <w:left w:val="single" w:sz="8" w:space="0" w:color="auto"/>
              <w:bottom w:val="single" w:sz="8" w:space="0" w:color="auto"/>
              <w:right w:val="single" w:sz="4" w:space="0" w:color="auto"/>
            </w:tcBorders>
            <w:vAlign w:val="center"/>
            <w:hideMark/>
          </w:tcPr>
          <w:p w14:paraId="16545574"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C</w:t>
            </w:r>
          </w:p>
        </w:tc>
        <w:tc>
          <w:tcPr>
            <w:tcW w:w="1820" w:type="dxa"/>
            <w:tcBorders>
              <w:top w:val="nil"/>
              <w:left w:val="nil"/>
              <w:bottom w:val="single" w:sz="8" w:space="0" w:color="auto"/>
              <w:right w:val="single" w:sz="4" w:space="0" w:color="auto"/>
            </w:tcBorders>
            <w:vAlign w:val="center"/>
            <w:hideMark/>
          </w:tcPr>
          <w:p w14:paraId="3C5F0EBE"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50.86</w:t>
            </w:r>
          </w:p>
        </w:tc>
        <w:tc>
          <w:tcPr>
            <w:tcW w:w="2140" w:type="dxa"/>
            <w:tcBorders>
              <w:top w:val="nil"/>
              <w:left w:val="nil"/>
              <w:bottom w:val="single" w:sz="8" w:space="0" w:color="auto"/>
              <w:right w:val="single" w:sz="4" w:space="0" w:color="auto"/>
            </w:tcBorders>
            <w:vAlign w:val="center"/>
            <w:hideMark/>
          </w:tcPr>
          <w:p w14:paraId="25C5736E"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50</w:t>
            </w:r>
          </w:p>
        </w:tc>
        <w:tc>
          <w:tcPr>
            <w:tcW w:w="1460" w:type="dxa"/>
            <w:tcBorders>
              <w:top w:val="nil"/>
              <w:left w:val="nil"/>
              <w:bottom w:val="single" w:sz="8" w:space="0" w:color="auto"/>
              <w:right w:val="single" w:sz="4" w:space="0" w:color="auto"/>
            </w:tcBorders>
            <w:noWrap/>
            <w:vAlign w:val="center"/>
            <w:hideMark/>
          </w:tcPr>
          <w:p w14:paraId="22EA05B9"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1.02</w:t>
            </w:r>
          </w:p>
        </w:tc>
        <w:tc>
          <w:tcPr>
            <w:tcW w:w="1660" w:type="dxa"/>
            <w:tcBorders>
              <w:top w:val="nil"/>
              <w:left w:val="nil"/>
              <w:bottom w:val="single" w:sz="8" w:space="0" w:color="auto"/>
              <w:right w:val="single" w:sz="8" w:space="0" w:color="auto"/>
            </w:tcBorders>
            <w:vAlign w:val="center"/>
            <w:hideMark/>
          </w:tcPr>
          <w:p w14:paraId="06EA5DFB"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w:t>
            </w:r>
          </w:p>
        </w:tc>
      </w:tr>
    </w:tbl>
    <w:p w14:paraId="30A819C7" w14:textId="3F8854E9" w:rsidR="00F17A9F" w:rsidRPr="002E24B3" w:rsidRDefault="00F17A9F" w:rsidP="004F3F82">
      <w:pPr>
        <w:spacing w:after="0" w:line="240" w:lineRule="auto"/>
        <w:jc w:val="both"/>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w:t>
      </w:r>
      <w:r w:rsidRPr="002E24B3">
        <w:rPr>
          <w:rFonts w:ascii="Arial" w:eastAsia="Times New Roman" w:hAnsi="Arial" w:cs="Arial"/>
          <w:color w:val="000000"/>
          <w:sz w:val="24"/>
          <w:szCs w:val="24"/>
          <w:lang w:eastAsia="en-IN"/>
        </w:rPr>
        <w:t>Appendix D.</w:t>
      </w:r>
      <w:r w:rsidR="005C20BD" w:rsidRPr="002E24B3">
        <w:rPr>
          <w:rFonts w:ascii="Arial" w:eastAsia="Times New Roman" w:hAnsi="Arial" w:cs="Arial"/>
          <w:color w:val="000000"/>
          <w:sz w:val="24"/>
          <w:szCs w:val="24"/>
          <w:lang w:eastAsia="en-IN"/>
        </w:rPr>
        <w:t>4</w:t>
      </w:r>
      <w:r w:rsidRPr="002E24B3">
        <w:rPr>
          <w:rFonts w:ascii="Arial" w:eastAsia="Times New Roman" w:hAnsi="Arial" w:cs="Arial"/>
          <w:color w:val="000000"/>
          <w:sz w:val="24"/>
          <w:szCs w:val="24"/>
          <w:lang w:eastAsia="en-IN"/>
        </w:rPr>
        <w:t>)</w:t>
      </w:r>
    </w:p>
    <w:p w14:paraId="228CAB9C" w14:textId="55E44140" w:rsidR="00B6313A" w:rsidRPr="002E24B3" w:rsidRDefault="00B6313A" w:rsidP="004F3F82">
      <w:pPr>
        <w:spacing w:after="0" w:line="240" w:lineRule="auto"/>
        <w:jc w:val="both"/>
        <w:rPr>
          <w:rFonts w:ascii="Arial" w:hAnsi="Arial" w:cs="Arial"/>
          <w:sz w:val="24"/>
          <w:szCs w:val="24"/>
        </w:rPr>
      </w:pPr>
    </w:p>
    <w:p w14:paraId="09A038B2"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According to the Profitability Index, only Project C has a PI of 1.02, which is greater than 1, which creates value for the company and is suitable for investment. Whereas, since Project A (0.87) and Project B (0.88) have a PI of less than 1, they do not provide sufficient return compared to the initial investment. Therefore, according to the PI method, Project C is the best investment option (Brigham &amp; Ehrhardt, 2023).</w:t>
      </w:r>
    </w:p>
    <w:p w14:paraId="62ABC0E8" w14:textId="77777777" w:rsidR="00B6313A" w:rsidRPr="002E24B3" w:rsidRDefault="00B6313A" w:rsidP="004F3F82">
      <w:pPr>
        <w:spacing w:after="0" w:line="240" w:lineRule="auto"/>
        <w:jc w:val="both"/>
        <w:rPr>
          <w:rFonts w:ascii="Arial" w:hAnsi="Arial" w:cs="Arial"/>
          <w:sz w:val="24"/>
          <w:szCs w:val="24"/>
        </w:rPr>
      </w:pPr>
    </w:p>
    <w:p w14:paraId="72145F9E"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A.5. Internal Rate of Return (IRR)</w:t>
      </w:r>
    </w:p>
    <w:p w14:paraId="12A51A5A" w14:textId="77777777" w:rsidR="00B6313A" w:rsidRPr="002E24B3" w:rsidRDefault="00B6313A" w:rsidP="004F3F82">
      <w:pPr>
        <w:spacing w:after="0" w:line="240" w:lineRule="auto"/>
        <w:jc w:val="both"/>
        <w:rPr>
          <w:rFonts w:ascii="Arial" w:hAnsi="Arial" w:cs="Arial"/>
          <w:sz w:val="24"/>
          <w:szCs w:val="24"/>
        </w:rPr>
      </w:pPr>
    </w:p>
    <w:p w14:paraId="62F09C2D"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IRR is the discount rate at which the Net Present Value (NPV) of a project becomes zero (0). IRR indicates the actual expected rate of return (Rate of Return) of a project. Generally, if the IRR is greater than the company's Cost of Capital (8%), the project is accepted. If the IRR is less than 8%, the project is rejected (Brigham &amp; Ehrhardt, 2023).</w:t>
      </w:r>
    </w:p>
    <w:p w14:paraId="43A44E01" w14:textId="77777777" w:rsidR="00B6313A" w:rsidRPr="002E24B3" w:rsidRDefault="00B6313A" w:rsidP="004F3F82">
      <w:pPr>
        <w:spacing w:after="0" w:line="240" w:lineRule="auto"/>
        <w:jc w:val="both"/>
        <w:rPr>
          <w:rFonts w:ascii="Arial" w:hAnsi="Arial" w:cs="Arial"/>
          <w:sz w:val="24"/>
          <w:szCs w:val="24"/>
        </w:rPr>
      </w:pPr>
    </w:p>
    <w:p w14:paraId="1151462C" w14:textId="77777777" w:rsidR="00B6313A" w:rsidRPr="002E24B3" w:rsidRDefault="00B6313A" w:rsidP="004F3F82">
      <w:pPr>
        <w:spacing w:after="0" w:line="240" w:lineRule="auto"/>
        <w:jc w:val="both"/>
        <w:rPr>
          <w:rFonts w:ascii="Arial" w:hAnsi="Arial" w:cs="Arial"/>
          <w:sz w:val="24"/>
          <w:szCs w:val="24"/>
        </w:rPr>
      </w:pPr>
    </w:p>
    <w:tbl>
      <w:tblPr>
        <w:tblW w:w="7560" w:type="dxa"/>
        <w:tblLook w:val="04A0" w:firstRow="1" w:lastRow="0" w:firstColumn="1" w:lastColumn="0" w:noHBand="0" w:noVBand="1"/>
      </w:tblPr>
      <w:tblGrid>
        <w:gridCol w:w="2140"/>
        <w:gridCol w:w="1820"/>
        <w:gridCol w:w="2140"/>
        <w:gridCol w:w="1460"/>
      </w:tblGrid>
      <w:tr w:rsidR="00B6313A" w:rsidRPr="002E24B3" w14:paraId="55196F35" w14:textId="77777777" w:rsidTr="003F730A">
        <w:trPr>
          <w:trHeight w:val="624"/>
        </w:trPr>
        <w:tc>
          <w:tcPr>
            <w:tcW w:w="2140" w:type="dxa"/>
            <w:tcBorders>
              <w:top w:val="single" w:sz="4" w:space="0" w:color="auto"/>
              <w:left w:val="single" w:sz="8" w:space="0" w:color="auto"/>
              <w:bottom w:val="single" w:sz="4" w:space="0" w:color="auto"/>
              <w:right w:val="single" w:sz="4" w:space="0" w:color="auto"/>
            </w:tcBorders>
            <w:vAlign w:val="center"/>
            <w:hideMark/>
          </w:tcPr>
          <w:p w14:paraId="75FDB63C" w14:textId="77777777" w:rsidR="00B6313A" w:rsidRPr="002E24B3" w:rsidRDefault="00B6313A" w:rsidP="004F3F82">
            <w:pPr>
              <w:spacing w:after="0" w:line="240" w:lineRule="auto"/>
              <w:jc w:val="center"/>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w:t>
            </w:r>
          </w:p>
        </w:tc>
        <w:tc>
          <w:tcPr>
            <w:tcW w:w="1820" w:type="dxa"/>
            <w:tcBorders>
              <w:top w:val="single" w:sz="4" w:space="0" w:color="auto"/>
              <w:left w:val="nil"/>
              <w:bottom w:val="single" w:sz="4" w:space="0" w:color="auto"/>
              <w:right w:val="single" w:sz="4" w:space="0" w:color="auto"/>
            </w:tcBorders>
            <w:vAlign w:val="center"/>
            <w:hideMark/>
          </w:tcPr>
          <w:p w14:paraId="21451B1A"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IRR</w:t>
            </w:r>
          </w:p>
        </w:tc>
        <w:tc>
          <w:tcPr>
            <w:tcW w:w="2140" w:type="dxa"/>
            <w:tcBorders>
              <w:top w:val="single" w:sz="4" w:space="0" w:color="auto"/>
              <w:left w:val="nil"/>
              <w:bottom w:val="single" w:sz="4" w:space="0" w:color="auto"/>
              <w:right w:val="single" w:sz="4" w:space="0" w:color="auto"/>
            </w:tcBorders>
            <w:vAlign w:val="center"/>
            <w:hideMark/>
          </w:tcPr>
          <w:p w14:paraId="732D7F4C"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Required Rate (8%)</w:t>
            </w:r>
          </w:p>
        </w:tc>
        <w:tc>
          <w:tcPr>
            <w:tcW w:w="1460" w:type="dxa"/>
            <w:tcBorders>
              <w:top w:val="single" w:sz="4" w:space="0" w:color="auto"/>
              <w:left w:val="nil"/>
              <w:bottom w:val="single" w:sz="4" w:space="0" w:color="auto"/>
              <w:right w:val="single" w:sz="8" w:space="0" w:color="auto"/>
            </w:tcBorders>
            <w:vAlign w:val="center"/>
            <w:hideMark/>
          </w:tcPr>
          <w:p w14:paraId="3379720F"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Rank</w:t>
            </w:r>
          </w:p>
        </w:tc>
      </w:tr>
      <w:tr w:rsidR="00B6313A" w:rsidRPr="002E24B3" w14:paraId="1DA2CD97" w14:textId="77777777" w:rsidTr="003F730A">
        <w:trPr>
          <w:trHeight w:val="312"/>
        </w:trPr>
        <w:tc>
          <w:tcPr>
            <w:tcW w:w="2140" w:type="dxa"/>
            <w:tcBorders>
              <w:top w:val="nil"/>
              <w:left w:val="single" w:sz="8" w:space="0" w:color="auto"/>
              <w:bottom w:val="single" w:sz="4" w:space="0" w:color="auto"/>
              <w:right w:val="single" w:sz="4" w:space="0" w:color="auto"/>
            </w:tcBorders>
            <w:vAlign w:val="center"/>
            <w:hideMark/>
          </w:tcPr>
          <w:p w14:paraId="4BCC2237"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lastRenderedPageBreak/>
              <w:t>Project A</w:t>
            </w:r>
          </w:p>
        </w:tc>
        <w:tc>
          <w:tcPr>
            <w:tcW w:w="1820" w:type="dxa"/>
            <w:tcBorders>
              <w:top w:val="nil"/>
              <w:left w:val="nil"/>
              <w:bottom w:val="single" w:sz="4" w:space="0" w:color="auto"/>
              <w:right w:val="single" w:sz="4" w:space="0" w:color="auto"/>
            </w:tcBorders>
            <w:vAlign w:val="center"/>
            <w:hideMark/>
          </w:tcPr>
          <w:p w14:paraId="71496946"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0.90%</w:t>
            </w:r>
          </w:p>
        </w:tc>
        <w:tc>
          <w:tcPr>
            <w:tcW w:w="2140" w:type="dxa"/>
            <w:tcBorders>
              <w:top w:val="nil"/>
              <w:left w:val="nil"/>
              <w:bottom w:val="single" w:sz="4" w:space="0" w:color="auto"/>
              <w:right w:val="single" w:sz="4" w:space="0" w:color="auto"/>
            </w:tcBorders>
            <w:vAlign w:val="center"/>
            <w:hideMark/>
          </w:tcPr>
          <w:p w14:paraId="2858A5B5"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8%</w:t>
            </w:r>
          </w:p>
        </w:tc>
        <w:tc>
          <w:tcPr>
            <w:tcW w:w="1460" w:type="dxa"/>
            <w:tcBorders>
              <w:top w:val="nil"/>
              <w:left w:val="nil"/>
              <w:bottom w:val="single" w:sz="4" w:space="0" w:color="auto"/>
              <w:right w:val="single" w:sz="8" w:space="0" w:color="auto"/>
            </w:tcBorders>
            <w:vAlign w:val="center"/>
            <w:hideMark/>
          </w:tcPr>
          <w:p w14:paraId="6BD9CD38"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3</w:t>
            </w:r>
          </w:p>
        </w:tc>
      </w:tr>
      <w:tr w:rsidR="00B6313A" w:rsidRPr="002E24B3" w14:paraId="5929E347" w14:textId="77777777" w:rsidTr="003F730A">
        <w:trPr>
          <w:trHeight w:val="312"/>
        </w:trPr>
        <w:tc>
          <w:tcPr>
            <w:tcW w:w="2140" w:type="dxa"/>
            <w:tcBorders>
              <w:top w:val="nil"/>
              <w:left w:val="single" w:sz="8" w:space="0" w:color="auto"/>
              <w:bottom w:val="single" w:sz="4" w:space="0" w:color="auto"/>
              <w:right w:val="single" w:sz="4" w:space="0" w:color="auto"/>
            </w:tcBorders>
            <w:vAlign w:val="center"/>
            <w:hideMark/>
          </w:tcPr>
          <w:p w14:paraId="09B5D13B"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B</w:t>
            </w:r>
          </w:p>
        </w:tc>
        <w:tc>
          <w:tcPr>
            <w:tcW w:w="1820" w:type="dxa"/>
            <w:tcBorders>
              <w:top w:val="nil"/>
              <w:left w:val="nil"/>
              <w:bottom w:val="single" w:sz="4" w:space="0" w:color="auto"/>
              <w:right w:val="single" w:sz="4" w:space="0" w:color="auto"/>
            </w:tcBorders>
            <w:vAlign w:val="center"/>
            <w:hideMark/>
          </w:tcPr>
          <w:p w14:paraId="1F2880D4"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1.70%</w:t>
            </w:r>
          </w:p>
        </w:tc>
        <w:tc>
          <w:tcPr>
            <w:tcW w:w="2140" w:type="dxa"/>
            <w:tcBorders>
              <w:top w:val="nil"/>
              <w:left w:val="nil"/>
              <w:bottom w:val="single" w:sz="4" w:space="0" w:color="auto"/>
              <w:right w:val="single" w:sz="4" w:space="0" w:color="auto"/>
            </w:tcBorders>
            <w:vAlign w:val="center"/>
            <w:hideMark/>
          </w:tcPr>
          <w:p w14:paraId="6FE307ED"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8%</w:t>
            </w:r>
          </w:p>
        </w:tc>
        <w:tc>
          <w:tcPr>
            <w:tcW w:w="1460" w:type="dxa"/>
            <w:tcBorders>
              <w:top w:val="nil"/>
              <w:left w:val="nil"/>
              <w:bottom w:val="single" w:sz="4" w:space="0" w:color="auto"/>
              <w:right w:val="single" w:sz="8" w:space="0" w:color="auto"/>
            </w:tcBorders>
            <w:vAlign w:val="center"/>
            <w:hideMark/>
          </w:tcPr>
          <w:p w14:paraId="73B3F0CD"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2</w:t>
            </w:r>
          </w:p>
        </w:tc>
      </w:tr>
      <w:tr w:rsidR="00B6313A" w:rsidRPr="002E24B3" w14:paraId="6C7B6F45" w14:textId="77777777" w:rsidTr="003F730A">
        <w:trPr>
          <w:trHeight w:val="324"/>
        </w:trPr>
        <w:tc>
          <w:tcPr>
            <w:tcW w:w="2140" w:type="dxa"/>
            <w:tcBorders>
              <w:top w:val="nil"/>
              <w:left w:val="single" w:sz="8" w:space="0" w:color="auto"/>
              <w:bottom w:val="single" w:sz="8" w:space="0" w:color="auto"/>
              <w:right w:val="single" w:sz="4" w:space="0" w:color="auto"/>
            </w:tcBorders>
            <w:vAlign w:val="center"/>
            <w:hideMark/>
          </w:tcPr>
          <w:p w14:paraId="37010FE8" w14:textId="77777777" w:rsidR="00B6313A" w:rsidRPr="002E24B3" w:rsidRDefault="00B6313A" w:rsidP="004F3F82">
            <w:pPr>
              <w:spacing w:after="0" w:line="240" w:lineRule="auto"/>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Project C</w:t>
            </w:r>
          </w:p>
        </w:tc>
        <w:tc>
          <w:tcPr>
            <w:tcW w:w="1820" w:type="dxa"/>
            <w:tcBorders>
              <w:top w:val="nil"/>
              <w:left w:val="nil"/>
              <w:bottom w:val="single" w:sz="8" w:space="0" w:color="auto"/>
              <w:right w:val="single" w:sz="4" w:space="0" w:color="auto"/>
            </w:tcBorders>
            <w:vAlign w:val="center"/>
            <w:hideMark/>
          </w:tcPr>
          <w:p w14:paraId="3ECC0D73"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8.70%</w:t>
            </w:r>
          </w:p>
        </w:tc>
        <w:tc>
          <w:tcPr>
            <w:tcW w:w="2140" w:type="dxa"/>
            <w:tcBorders>
              <w:top w:val="nil"/>
              <w:left w:val="nil"/>
              <w:bottom w:val="single" w:sz="8" w:space="0" w:color="auto"/>
              <w:right w:val="single" w:sz="4" w:space="0" w:color="auto"/>
            </w:tcBorders>
            <w:vAlign w:val="center"/>
            <w:hideMark/>
          </w:tcPr>
          <w:p w14:paraId="352CCA46"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8%</w:t>
            </w:r>
          </w:p>
        </w:tc>
        <w:tc>
          <w:tcPr>
            <w:tcW w:w="1460" w:type="dxa"/>
            <w:tcBorders>
              <w:top w:val="nil"/>
              <w:left w:val="nil"/>
              <w:bottom w:val="single" w:sz="8" w:space="0" w:color="auto"/>
              <w:right w:val="single" w:sz="8" w:space="0" w:color="auto"/>
            </w:tcBorders>
            <w:vAlign w:val="center"/>
            <w:hideMark/>
          </w:tcPr>
          <w:p w14:paraId="12589C93" w14:textId="77777777" w:rsidR="00B6313A" w:rsidRPr="002E24B3" w:rsidRDefault="00B6313A" w:rsidP="004F3F82">
            <w:pPr>
              <w:spacing w:after="0" w:line="240" w:lineRule="auto"/>
              <w:jc w:val="right"/>
              <w:rPr>
                <w:rFonts w:ascii="Arial" w:eastAsia="Times New Roman" w:hAnsi="Arial" w:cs="Arial"/>
                <w:b/>
                <w:bCs/>
                <w:color w:val="000000"/>
                <w:sz w:val="24"/>
                <w:szCs w:val="24"/>
                <w:lang w:eastAsia="en-IN"/>
              </w:rPr>
            </w:pPr>
            <w:r w:rsidRPr="002E24B3">
              <w:rPr>
                <w:rFonts w:ascii="Arial" w:eastAsia="Times New Roman" w:hAnsi="Arial" w:cs="Arial"/>
                <w:b/>
                <w:bCs/>
                <w:color w:val="000000"/>
                <w:sz w:val="24"/>
                <w:szCs w:val="24"/>
                <w:lang w:eastAsia="en-IN"/>
              </w:rPr>
              <w:t>1</w:t>
            </w:r>
          </w:p>
        </w:tc>
      </w:tr>
    </w:tbl>
    <w:p w14:paraId="0359C471" w14:textId="4F28064D" w:rsidR="00B6313A" w:rsidRPr="002E24B3" w:rsidRDefault="005C20BD" w:rsidP="004F3F82">
      <w:pPr>
        <w:spacing w:after="0" w:line="240" w:lineRule="auto"/>
        <w:jc w:val="both"/>
        <w:rPr>
          <w:rFonts w:ascii="Arial" w:hAnsi="Arial" w:cs="Arial"/>
          <w:sz w:val="24"/>
          <w:szCs w:val="24"/>
        </w:rPr>
      </w:pPr>
      <w:r w:rsidRPr="002E24B3">
        <w:rPr>
          <w:rFonts w:ascii="Arial" w:eastAsia="Times New Roman" w:hAnsi="Arial" w:cs="Arial"/>
          <w:color w:val="000000"/>
          <w:sz w:val="24"/>
          <w:szCs w:val="24"/>
          <w:lang w:eastAsia="en-IN"/>
        </w:rPr>
        <w:t>(Appendix D.5)</w:t>
      </w:r>
    </w:p>
    <w:p w14:paraId="40F32EF2" w14:textId="77777777" w:rsidR="005C20BD" w:rsidRPr="002E24B3" w:rsidRDefault="005C20BD" w:rsidP="004F3F82">
      <w:pPr>
        <w:spacing w:after="0" w:line="240" w:lineRule="auto"/>
        <w:jc w:val="both"/>
        <w:rPr>
          <w:rFonts w:ascii="Arial" w:hAnsi="Arial" w:cs="Arial"/>
          <w:sz w:val="24"/>
          <w:szCs w:val="24"/>
        </w:rPr>
      </w:pPr>
    </w:p>
    <w:p w14:paraId="25D1DC73" w14:textId="4D86A19F"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According to the IRR method, only Project C's IRR (8.70%) is higher than the company's 8% Cost of Capital, which indicates that this project can provide benefits beyond the expected minimum return. While Project A (0.90%) and Project B (1.70%) are not financially viable since their IRRs are less than 8%. Therefore, Project C is the most suitable investment option even </w:t>
      </w:r>
      <w:proofErr w:type="gramStart"/>
      <w:r w:rsidRPr="002E24B3">
        <w:rPr>
          <w:rFonts w:ascii="Arial" w:hAnsi="Arial" w:cs="Arial"/>
          <w:sz w:val="24"/>
          <w:szCs w:val="24"/>
        </w:rPr>
        <w:t>on the basis of</w:t>
      </w:r>
      <w:proofErr w:type="gramEnd"/>
      <w:r w:rsidRPr="002E24B3">
        <w:rPr>
          <w:rFonts w:ascii="Arial" w:hAnsi="Arial" w:cs="Arial"/>
          <w:sz w:val="24"/>
          <w:szCs w:val="24"/>
        </w:rPr>
        <w:t xml:space="preserve"> IRR (Brigham &amp; Ehrhardt, 2023).</w:t>
      </w:r>
    </w:p>
    <w:p w14:paraId="7F02E07F" w14:textId="77777777" w:rsidR="00B6313A" w:rsidRPr="002E24B3" w:rsidRDefault="00B6313A" w:rsidP="004F3F82">
      <w:pPr>
        <w:spacing w:after="0" w:line="240" w:lineRule="auto"/>
        <w:jc w:val="both"/>
        <w:rPr>
          <w:rFonts w:ascii="Arial" w:hAnsi="Arial" w:cs="Arial"/>
          <w:sz w:val="24"/>
          <w:szCs w:val="24"/>
        </w:rPr>
      </w:pPr>
    </w:p>
    <w:p w14:paraId="2C6B553C" w14:textId="3A44165F" w:rsidR="00B6313A" w:rsidRPr="002E24B3" w:rsidRDefault="00B6313A" w:rsidP="0054393F">
      <w:pPr>
        <w:pStyle w:val="ListParagraph"/>
        <w:numPr>
          <w:ilvl w:val="0"/>
          <w:numId w:val="8"/>
        </w:numPr>
        <w:spacing w:after="0" w:line="240" w:lineRule="auto"/>
        <w:jc w:val="center"/>
        <w:rPr>
          <w:rFonts w:ascii="Arial" w:hAnsi="Arial" w:cs="Arial"/>
          <w:sz w:val="24"/>
          <w:szCs w:val="24"/>
        </w:rPr>
      </w:pPr>
      <w:r w:rsidRPr="002E24B3">
        <w:rPr>
          <w:rFonts w:ascii="Arial" w:hAnsi="Arial" w:cs="Arial"/>
          <w:sz w:val="24"/>
          <w:szCs w:val="24"/>
        </w:rPr>
        <w:t>Recommendation of the Best Project</w:t>
      </w:r>
    </w:p>
    <w:p w14:paraId="2CB1A442" w14:textId="77777777" w:rsidR="00B6313A" w:rsidRPr="002E24B3" w:rsidRDefault="00B6313A" w:rsidP="004F3F82">
      <w:pPr>
        <w:spacing w:after="0" w:line="240" w:lineRule="auto"/>
        <w:jc w:val="both"/>
        <w:rPr>
          <w:rFonts w:ascii="Arial" w:hAnsi="Arial" w:cs="Arial"/>
          <w:sz w:val="24"/>
          <w:szCs w:val="24"/>
        </w:rPr>
      </w:pPr>
    </w:p>
    <w:p w14:paraId="35F73A10"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Based on the results of the investment appraisal, Project C has been selected as the most suitable investment option for Marriott International. Below is a brief justification for this recommendation based on the company's financial performance and non-financial factors (Brigham &amp; Ehrhardt, 2023). </w:t>
      </w:r>
    </w:p>
    <w:p w14:paraId="687B5997" w14:textId="77777777" w:rsidR="00B6313A" w:rsidRPr="002E24B3" w:rsidRDefault="00B6313A" w:rsidP="004F3F82">
      <w:pPr>
        <w:spacing w:after="0" w:line="240" w:lineRule="auto"/>
        <w:jc w:val="both"/>
        <w:rPr>
          <w:rFonts w:ascii="Arial" w:hAnsi="Arial" w:cs="Arial"/>
          <w:sz w:val="24"/>
          <w:szCs w:val="24"/>
        </w:rPr>
      </w:pPr>
    </w:p>
    <w:p w14:paraId="5F28F7A1"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B.1.: Financial Performance Justification: </w:t>
      </w:r>
    </w:p>
    <w:p w14:paraId="41B0CC68" w14:textId="77777777" w:rsidR="00B6313A" w:rsidRPr="002E24B3" w:rsidRDefault="00B6313A" w:rsidP="004F3F82">
      <w:pPr>
        <w:spacing w:after="0" w:line="240" w:lineRule="auto"/>
        <w:jc w:val="both"/>
        <w:rPr>
          <w:rFonts w:ascii="Arial" w:hAnsi="Arial" w:cs="Arial"/>
          <w:sz w:val="24"/>
          <w:szCs w:val="24"/>
        </w:rPr>
      </w:pPr>
    </w:p>
    <w:tbl>
      <w:tblPr>
        <w:tblW w:w="9580" w:type="dxa"/>
        <w:tblLook w:val="04A0" w:firstRow="1" w:lastRow="0" w:firstColumn="1" w:lastColumn="0" w:noHBand="0" w:noVBand="1"/>
      </w:tblPr>
      <w:tblGrid>
        <w:gridCol w:w="1145"/>
        <w:gridCol w:w="975"/>
        <w:gridCol w:w="965"/>
        <w:gridCol w:w="1157"/>
        <w:gridCol w:w="734"/>
        <w:gridCol w:w="912"/>
        <w:gridCol w:w="1390"/>
        <w:gridCol w:w="1137"/>
        <w:gridCol w:w="1165"/>
      </w:tblGrid>
      <w:tr w:rsidR="00B6313A" w:rsidRPr="002E24B3" w14:paraId="69E37C2E" w14:textId="77777777" w:rsidTr="003F730A">
        <w:trPr>
          <w:trHeight w:val="612"/>
        </w:trPr>
        <w:tc>
          <w:tcPr>
            <w:tcW w:w="1145" w:type="dxa"/>
            <w:tcBorders>
              <w:top w:val="single" w:sz="8" w:space="0" w:color="auto"/>
              <w:left w:val="single" w:sz="8" w:space="0" w:color="auto"/>
              <w:bottom w:val="single" w:sz="8" w:space="0" w:color="auto"/>
              <w:right w:val="single" w:sz="4" w:space="0" w:color="auto"/>
            </w:tcBorders>
            <w:vAlign w:val="center"/>
            <w:hideMark/>
          </w:tcPr>
          <w:p w14:paraId="369E815B"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w:t>
            </w:r>
          </w:p>
        </w:tc>
        <w:tc>
          <w:tcPr>
            <w:tcW w:w="975" w:type="dxa"/>
            <w:tcBorders>
              <w:top w:val="single" w:sz="8" w:space="0" w:color="auto"/>
              <w:left w:val="nil"/>
              <w:bottom w:val="single" w:sz="8" w:space="0" w:color="auto"/>
              <w:right w:val="single" w:sz="4" w:space="0" w:color="auto"/>
            </w:tcBorders>
            <w:vAlign w:val="center"/>
            <w:hideMark/>
          </w:tcPr>
          <w:p w14:paraId="79D55626"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PBP</w:t>
            </w:r>
          </w:p>
        </w:tc>
        <w:tc>
          <w:tcPr>
            <w:tcW w:w="965" w:type="dxa"/>
            <w:tcBorders>
              <w:top w:val="single" w:sz="8" w:space="0" w:color="auto"/>
              <w:left w:val="nil"/>
              <w:bottom w:val="single" w:sz="8" w:space="0" w:color="auto"/>
              <w:right w:val="single" w:sz="4" w:space="0" w:color="auto"/>
            </w:tcBorders>
            <w:vAlign w:val="center"/>
            <w:hideMark/>
          </w:tcPr>
          <w:p w14:paraId="0856E4B2"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ARR</w:t>
            </w:r>
          </w:p>
        </w:tc>
        <w:tc>
          <w:tcPr>
            <w:tcW w:w="1157" w:type="dxa"/>
            <w:tcBorders>
              <w:top w:val="single" w:sz="8" w:space="0" w:color="auto"/>
              <w:left w:val="nil"/>
              <w:bottom w:val="single" w:sz="8" w:space="0" w:color="auto"/>
              <w:right w:val="single" w:sz="4" w:space="0" w:color="auto"/>
            </w:tcBorders>
            <w:vAlign w:val="center"/>
            <w:hideMark/>
          </w:tcPr>
          <w:p w14:paraId="089041EE"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NPV</w:t>
            </w:r>
          </w:p>
        </w:tc>
        <w:tc>
          <w:tcPr>
            <w:tcW w:w="734" w:type="dxa"/>
            <w:tcBorders>
              <w:top w:val="single" w:sz="8" w:space="0" w:color="auto"/>
              <w:left w:val="nil"/>
              <w:bottom w:val="single" w:sz="8" w:space="0" w:color="auto"/>
              <w:right w:val="single" w:sz="4" w:space="0" w:color="auto"/>
            </w:tcBorders>
            <w:vAlign w:val="center"/>
            <w:hideMark/>
          </w:tcPr>
          <w:p w14:paraId="213E02F5"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PI</w:t>
            </w:r>
          </w:p>
        </w:tc>
        <w:tc>
          <w:tcPr>
            <w:tcW w:w="912" w:type="dxa"/>
            <w:tcBorders>
              <w:top w:val="single" w:sz="8" w:space="0" w:color="auto"/>
              <w:left w:val="nil"/>
              <w:bottom w:val="single" w:sz="8" w:space="0" w:color="auto"/>
              <w:right w:val="single" w:sz="4" w:space="0" w:color="auto"/>
            </w:tcBorders>
            <w:vAlign w:val="center"/>
            <w:hideMark/>
          </w:tcPr>
          <w:p w14:paraId="63042D05"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IRR</w:t>
            </w:r>
          </w:p>
        </w:tc>
        <w:tc>
          <w:tcPr>
            <w:tcW w:w="1390" w:type="dxa"/>
            <w:tcBorders>
              <w:top w:val="single" w:sz="8" w:space="0" w:color="auto"/>
              <w:left w:val="nil"/>
              <w:bottom w:val="single" w:sz="8" w:space="0" w:color="auto"/>
              <w:right w:val="single" w:sz="8" w:space="0" w:color="auto"/>
            </w:tcBorders>
            <w:vAlign w:val="center"/>
            <w:hideMark/>
          </w:tcPr>
          <w:p w14:paraId="3240059D"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Profitability</w:t>
            </w:r>
          </w:p>
        </w:tc>
        <w:tc>
          <w:tcPr>
            <w:tcW w:w="1137" w:type="dxa"/>
            <w:tcBorders>
              <w:top w:val="single" w:sz="8" w:space="0" w:color="auto"/>
              <w:left w:val="single" w:sz="4" w:space="0" w:color="auto"/>
              <w:bottom w:val="single" w:sz="8" w:space="0" w:color="auto"/>
              <w:right w:val="single" w:sz="8" w:space="0" w:color="auto"/>
            </w:tcBorders>
            <w:vAlign w:val="center"/>
            <w:hideMark/>
          </w:tcPr>
          <w:p w14:paraId="5D2427FB"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Liquidity</w:t>
            </w:r>
          </w:p>
        </w:tc>
        <w:tc>
          <w:tcPr>
            <w:tcW w:w="1165" w:type="dxa"/>
            <w:tcBorders>
              <w:top w:val="single" w:sz="8" w:space="0" w:color="auto"/>
              <w:left w:val="single" w:sz="4" w:space="0" w:color="auto"/>
              <w:bottom w:val="single" w:sz="8" w:space="0" w:color="auto"/>
              <w:right w:val="single" w:sz="8" w:space="0" w:color="auto"/>
            </w:tcBorders>
            <w:vAlign w:val="center"/>
            <w:hideMark/>
          </w:tcPr>
          <w:p w14:paraId="4F1EC11E" w14:textId="77777777" w:rsidR="00B6313A" w:rsidRPr="002E24B3" w:rsidRDefault="00B6313A" w:rsidP="004F3F82">
            <w:pPr>
              <w:spacing w:after="0" w:line="240" w:lineRule="auto"/>
              <w:jc w:val="center"/>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Overall Decision</w:t>
            </w:r>
          </w:p>
        </w:tc>
      </w:tr>
      <w:tr w:rsidR="00B6313A" w:rsidRPr="002E24B3" w14:paraId="58526358" w14:textId="77777777" w:rsidTr="003F730A">
        <w:trPr>
          <w:trHeight w:val="900"/>
        </w:trPr>
        <w:tc>
          <w:tcPr>
            <w:tcW w:w="1145" w:type="dxa"/>
            <w:tcBorders>
              <w:top w:val="nil"/>
              <w:left w:val="single" w:sz="8" w:space="0" w:color="auto"/>
              <w:bottom w:val="single" w:sz="4" w:space="0" w:color="auto"/>
              <w:right w:val="single" w:sz="4" w:space="0" w:color="auto"/>
            </w:tcBorders>
            <w:vAlign w:val="center"/>
            <w:hideMark/>
          </w:tcPr>
          <w:p w14:paraId="571FDA35"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 A</w:t>
            </w:r>
          </w:p>
        </w:tc>
        <w:tc>
          <w:tcPr>
            <w:tcW w:w="975" w:type="dxa"/>
            <w:tcBorders>
              <w:top w:val="nil"/>
              <w:left w:val="nil"/>
              <w:bottom w:val="single" w:sz="4" w:space="0" w:color="auto"/>
              <w:right w:val="single" w:sz="4" w:space="0" w:color="auto"/>
            </w:tcBorders>
            <w:vAlign w:val="center"/>
            <w:hideMark/>
          </w:tcPr>
          <w:p w14:paraId="7C0319DD"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4.50 yrs</w:t>
            </w:r>
          </w:p>
        </w:tc>
        <w:tc>
          <w:tcPr>
            <w:tcW w:w="965" w:type="dxa"/>
            <w:tcBorders>
              <w:top w:val="nil"/>
              <w:left w:val="nil"/>
              <w:bottom w:val="single" w:sz="4" w:space="0" w:color="auto"/>
              <w:right w:val="single" w:sz="4" w:space="0" w:color="auto"/>
            </w:tcBorders>
            <w:vAlign w:val="center"/>
            <w:hideMark/>
          </w:tcPr>
          <w:p w14:paraId="1E0421BB"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1.60%</w:t>
            </w:r>
          </w:p>
        </w:tc>
        <w:tc>
          <w:tcPr>
            <w:tcW w:w="1157" w:type="dxa"/>
            <w:tcBorders>
              <w:top w:val="nil"/>
              <w:left w:val="nil"/>
              <w:bottom w:val="single" w:sz="4" w:space="0" w:color="auto"/>
              <w:right w:val="single" w:sz="4" w:space="0" w:color="auto"/>
            </w:tcBorders>
            <w:vAlign w:val="center"/>
            <w:hideMark/>
          </w:tcPr>
          <w:p w14:paraId="1F8ED2E2"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-£6.55m</w:t>
            </w:r>
          </w:p>
        </w:tc>
        <w:tc>
          <w:tcPr>
            <w:tcW w:w="734" w:type="dxa"/>
            <w:tcBorders>
              <w:top w:val="nil"/>
              <w:left w:val="nil"/>
              <w:bottom w:val="single" w:sz="4" w:space="0" w:color="auto"/>
              <w:right w:val="single" w:sz="4" w:space="0" w:color="auto"/>
            </w:tcBorders>
            <w:vAlign w:val="center"/>
            <w:hideMark/>
          </w:tcPr>
          <w:p w14:paraId="453CFAAC"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0.87</w:t>
            </w:r>
          </w:p>
        </w:tc>
        <w:tc>
          <w:tcPr>
            <w:tcW w:w="912" w:type="dxa"/>
            <w:tcBorders>
              <w:top w:val="nil"/>
              <w:left w:val="nil"/>
              <w:bottom w:val="single" w:sz="4" w:space="0" w:color="auto"/>
              <w:right w:val="single" w:sz="4" w:space="0" w:color="auto"/>
            </w:tcBorders>
            <w:vAlign w:val="center"/>
            <w:hideMark/>
          </w:tcPr>
          <w:p w14:paraId="4F6978C4"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0.90%</w:t>
            </w:r>
          </w:p>
        </w:tc>
        <w:tc>
          <w:tcPr>
            <w:tcW w:w="1390" w:type="dxa"/>
            <w:tcBorders>
              <w:top w:val="nil"/>
              <w:left w:val="nil"/>
              <w:bottom w:val="single" w:sz="4" w:space="0" w:color="auto"/>
              <w:right w:val="single" w:sz="4" w:space="0" w:color="auto"/>
            </w:tcBorders>
            <w:noWrap/>
            <w:vAlign w:val="bottom"/>
            <w:hideMark/>
          </w:tcPr>
          <w:p w14:paraId="1C4AE0B4"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Low</w:t>
            </w:r>
          </w:p>
        </w:tc>
        <w:tc>
          <w:tcPr>
            <w:tcW w:w="1137" w:type="dxa"/>
            <w:tcBorders>
              <w:top w:val="nil"/>
              <w:left w:val="nil"/>
              <w:bottom w:val="single" w:sz="4" w:space="0" w:color="auto"/>
              <w:right w:val="single" w:sz="4" w:space="0" w:color="auto"/>
            </w:tcBorders>
            <w:vAlign w:val="bottom"/>
            <w:hideMark/>
          </w:tcPr>
          <w:p w14:paraId="7F9B29A3"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Slower cash recovery</w:t>
            </w:r>
          </w:p>
        </w:tc>
        <w:tc>
          <w:tcPr>
            <w:tcW w:w="1165" w:type="dxa"/>
            <w:tcBorders>
              <w:top w:val="nil"/>
              <w:left w:val="nil"/>
              <w:bottom w:val="single" w:sz="4" w:space="0" w:color="auto"/>
              <w:right w:val="single" w:sz="8" w:space="0" w:color="auto"/>
            </w:tcBorders>
            <w:vAlign w:val="center"/>
            <w:hideMark/>
          </w:tcPr>
          <w:p w14:paraId="7E9940A8"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Reject</w:t>
            </w:r>
          </w:p>
        </w:tc>
      </w:tr>
      <w:tr w:rsidR="00B6313A" w:rsidRPr="002E24B3" w14:paraId="17434DF6" w14:textId="77777777" w:rsidTr="003F730A">
        <w:trPr>
          <w:trHeight w:val="900"/>
        </w:trPr>
        <w:tc>
          <w:tcPr>
            <w:tcW w:w="1145" w:type="dxa"/>
            <w:tcBorders>
              <w:top w:val="nil"/>
              <w:left w:val="single" w:sz="8" w:space="0" w:color="auto"/>
              <w:bottom w:val="single" w:sz="4" w:space="0" w:color="auto"/>
              <w:right w:val="single" w:sz="4" w:space="0" w:color="auto"/>
            </w:tcBorders>
            <w:vAlign w:val="center"/>
            <w:hideMark/>
          </w:tcPr>
          <w:p w14:paraId="6BB9F99D"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 B</w:t>
            </w:r>
          </w:p>
        </w:tc>
        <w:tc>
          <w:tcPr>
            <w:tcW w:w="975" w:type="dxa"/>
            <w:tcBorders>
              <w:top w:val="nil"/>
              <w:left w:val="nil"/>
              <w:bottom w:val="single" w:sz="4" w:space="0" w:color="auto"/>
              <w:right w:val="single" w:sz="4" w:space="0" w:color="auto"/>
            </w:tcBorders>
            <w:vAlign w:val="center"/>
            <w:hideMark/>
          </w:tcPr>
          <w:p w14:paraId="58A9E349"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4.55 yrs</w:t>
            </w:r>
          </w:p>
        </w:tc>
        <w:tc>
          <w:tcPr>
            <w:tcW w:w="965" w:type="dxa"/>
            <w:tcBorders>
              <w:top w:val="nil"/>
              <w:left w:val="nil"/>
              <w:bottom w:val="single" w:sz="4" w:space="0" w:color="auto"/>
              <w:right w:val="single" w:sz="4" w:space="0" w:color="auto"/>
            </w:tcBorders>
            <w:vAlign w:val="center"/>
            <w:hideMark/>
          </w:tcPr>
          <w:p w14:paraId="08814D0D"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2.00%</w:t>
            </w:r>
          </w:p>
        </w:tc>
        <w:tc>
          <w:tcPr>
            <w:tcW w:w="1157" w:type="dxa"/>
            <w:tcBorders>
              <w:top w:val="nil"/>
              <w:left w:val="nil"/>
              <w:bottom w:val="single" w:sz="4" w:space="0" w:color="auto"/>
              <w:right w:val="single" w:sz="4" w:space="0" w:color="auto"/>
            </w:tcBorders>
            <w:vAlign w:val="center"/>
            <w:hideMark/>
          </w:tcPr>
          <w:p w14:paraId="6375A3EB"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-£6.08m</w:t>
            </w:r>
          </w:p>
        </w:tc>
        <w:tc>
          <w:tcPr>
            <w:tcW w:w="734" w:type="dxa"/>
            <w:tcBorders>
              <w:top w:val="nil"/>
              <w:left w:val="nil"/>
              <w:bottom w:val="single" w:sz="4" w:space="0" w:color="auto"/>
              <w:right w:val="single" w:sz="4" w:space="0" w:color="auto"/>
            </w:tcBorders>
            <w:vAlign w:val="center"/>
            <w:hideMark/>
          </w:tcPr>
          <w:p w14:paraId="331E510E"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0.88</w:t>
            </w:r>
          </w:p>
        </w:tc>
        <w:tc>
          <w:tcPr>
            <w:tcW w:w="912" w:type="dxa"/>
            <w:tcBorders>
              <w:top w:val="nil"/>
              <w:left w:val="nil"/>
              <w:bottom w:val="single" w:sz="4" w:space="0" w:color="auto"/>
              <w:right w:val="single" w:sz="4" w:space="0" w:color="auto"/>
            </w:tcBorders>
            <w:vAlign w:val="center"/>
            <w:hideMark/>
          </w:tcPr>
          <w:p w14:paraId="2D184208"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1.70%</w:t>
            </w:r>
          </w:p>
        </w:tc>
        <w:tc>
          <w:tcPr>
            <w:tcW w:w="1390" w:type="dxa"/>
            <w:tcBorders>
              <w:top w:val="nil"/>
              <w:left w:val="nil"/>
              <w:bottom w:val="single" w:sz="4" w:space="0" w:color="auto"/>
              <w:right w:val="single" w:sz="4" w:space="0" w:color="auto"/>
            </w:tcBorders>
            <w:noWrap/>
            <w:vAlign w:val="bottom"/>
            <w:hideMark/>
          </w:tcPr>
          <w:p w14:paraId="16A9EC60"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Moderate</w:t>
            </w:r>
          </w:p>
        </w:tc>
        <w:tc>
          <w:tcPr>
            <w:tcW w:w="1137" w:type="dxa"/>
            <w:tcBorders>
              <w:top w:val="nil"/>
              <w:left w:val="nil"/>
              <w:bottom w:val="single" w:sz="4" w:space="0" w:color="auto"/>
              <w:right w:val="single" w:sz="4" w:space="0" w:color="auto"/>
            </w:tcBorders>
            <w:vAlign w:val="bottom"/>
            <w:hideMark/>
          </w:tcPr>
          <w:p w14:paraId="0FDDCC96"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Slower cash recovery</w:t>
            </w:r>
          </w:p>
        </w:tc>
        <w:tc>
          <w:tcPr>
            <w:tcW w:w="1165" w:type="dxa"/>
            <w:tcBorders>
              <w:top w:val="nil"/>
              <w:left w:val="nil"/>
              <w:bottom w:val="single" w:sz="4" w:space="0" w:color="auto"/>
              <w:right w:val="single" w:sz="8" w:space="0" w:color="auto"/>
            </w:tcBorders>
            <w:vAlign w:val="center"/>
            <w:hideMark/>
          </w:tcPr>
          <w:p w14:paraId="4AFE4253"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Reject</w:t>
            </w:r>
          </w:p>
        </w:tc>
      </w:tr>
      <w:tr w:rsidR="00B6313A" w:rsidRPr="002E24B3" w14:paraId="12A3EC08" w14:textId="77777777" w:rsidTr="003F730A">
        <w:trPr>
          <w:trHeight w:val="912"/>
        </w:trPr>
        <w:tc>
          <w:tcPr>
            <w:tcW w:w="1145" w:type="dxa"/>
            <w:tcBorders>
              <w:top w:val="nil"/>
              <w:left w:val="single" w:sz="8" w:space="0" w:color="auto"/>
              <w:bottom w:val="single" w:sz="8" w:space="0" w:color="auto"/>
              <w:right w:val="single" w:sz="4" w:space="0" w:color="auto"/>
            </w:tcBorders>
            <w:vAlign w:val="center"/>
            <w:hideMark/>
          </w:tcPr>
          <w:p w14:paraId="0C1287C0"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Project C</w:t>
            </w:r>
          </w:p>
        </w:tc>
        <w:tc>
          <w:tcPr>
            <w:tcW w:w="975" w:type="dxa"/>
            <w:tcBorders>
              <w:top w:val="nil"/>
              <w:left w:val="nil"/>
              <w:bottom w:val="single" w:sz="8" w:space="0" w:color="auto"/>
              <w:right w:val="single" w:sz="4" w:space="0" w:color="auto"/>
            </w:tcBorders>
            <w:vAlign w:val="center"/>
            <w:hideMark/>
          </w:tcPr>
          <w:p w14:paraId="3DEE78C3"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3.60 yrs</w:t>
            </w:r>
          </w:p>
        </w:tc>
        <w:tc>
          <w:tcPr>
            <w:tcW w:w="965" w:type="dxa"/>
            <w:tcBorders>
              <w:top w:val="nil"/>
              <w:left w:val="nil"/>
              <w:bottom w:val="single" w:sz="8" w:space="0" w:color="auto"/>
              <w:right w:val="single" w:sz="4" w:space="0" w:color="auto"/>
            </w:tcBorders>
            <w:vAlign w:val="center"/>
            <w:hideMark/>
          </w:tcPr>
          <w:p w14:paraId="009BAA89"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6.00%</w:t>
            </w:r>
          </w:p>
        </w:tc>
        <w:tc>
          <w:tcPr>
            <w:tcW w:w="1157" w:type="dxa"/>
            <w:tcBorders>
              <w:top w:val="nil"/>
              <w:left w:val="nil"/>
              <w:bottom w:val="single" w:sz="8" w:space="0" w:color="auto"/>
              <w:right w:val="single" w:sz="4" w:space="0" w:color="auto"/>
            </w:tcBorders>
            <w:vAlign w:val="center"/>
            <w:hideMark/>
          </w:tcPr>
          <w:p w14:paraId="6EE9E724"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+£0.86m</w:t>
            </w:r>
          </w:p>
        </w:tc>
        <w:tc>
          <w:tcPr>
            <w:tcW w:w="734" w:type="dxa"/>
            <w:tcBorders>
              <w:top w:val="nil"/>
              <w:left w:val="nil"/>
              <w:bottom w:val="single" w:sz="8" w:space="0" w:color="auto"/>
              <w:right w:val="single" w:sz="4" w:space="0" w:color="auto"/>
            </w:tcBorders>
            <w:vAlign w:val="center"/>
            <w:hideMark/>
          </w:tcPr>
          <w:p w14:paraId="1E5531B7"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1.02</w:t>
            </w:r>
          </w:p>
        </w:tc>
        <w:tc>
          <w:tcPr>
            <w:tcW w:w="912" w:type="dxa"/>
            <w:tcBorders>
              <w:top w:val="nil"/>
              <w:left w:val="nil"/>
              <w:bottom w:val="single" w:sz="8" w:space="0" w:color="auto"/>
              <w:right w:val="single" w:sz="4" w:space="0" w:color="auto"/>
            </w:tcBorders>
            <w:vAlign w:val="center"/>
            <w:hideMark/>
          </w:tcPr>
          <w:p w14:paraId="4560EC35"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8.70%</w:t>
            </w:r>
          </w:p>
        </w:tc>
        <w:tc>
          <w:tcPr>
            <w:tcW w:w="1390" w:type="dxa"/>
            <w:tcBorders>
              <w:top w:val="nil"/>
              <w:left w:val="nil"/>
              <w:bottom w:val="single" w:sz="8" w:space="0" w:color="auto"/>
              <w:right w:val="single" w:sz="4" w:space="0" w:color="auto"/>
            </w:tcBorders>
            <w:vAlign w:val="bottom"/>
            <w:hideMark/>
          </w:tcPr>
          <w:p w14:paraId="325285F8"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Highest Value Creation</w:t>
            </w:r>
          </w:p>
        </w:tc>
        <w:tc>
          <w:tcPr>
            <w:tcW w:w="1137" w:type="dxa"/>
            <w:tcBorders>
              <w:top w:val="nil"/>
              <w:left w:val="nil"/>
              <w:bottom w:val="single" w:sz="8" w:space="0" w:color="auto"/>
              <w:right w:val="single" w:sz="4" w:space="0" w:color="auto"/>
            </w:tcBorders>
            <w:vAlign w:val="bottom"/>
            <w:hideMark/>
          </w:tcPr>
          <w:p w14:paraId="22EA5755" w14:textId="77777777" w:rsidR="00B6313A" w:rsidRPr="002E24B3" w:rsidRDefault="00B6313A" w:rsidP="004F3F82">
            <w:pPr>
              <w:spacing w:after="0" w:line="240" w:lineRule="auto"/>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Fastest cash recovery</w:t>
            </w:r>
          </w:p>
        </w:tc>
        <w:tc>
          <w:tcPr>
            <w:tcW w:w="1165" w:type="dxa"/>
            <w:tcBorders>
              <w:top w:val="nil"/>
              <w:left w:val="nil"/>
              <w:bottom w:val="single" w:sz="8" w:space="0" w:color="auto"/>
              <w:right w:val="single" w:sz="8" w:space="0" w:color="auto"/>
            </w:tcBorders>
            <w:vAlign w:val="center"/>
            <w:hideMark/>
          </w:tcPr>
          <w:p w14:paraId="1325225C" w14:textId="77777777" w:rsidR="00B6313A" w:rsidRPr="002E24B3" w:rsidRDefault="00B6313A" w:rsidP="004F3F82">
            <w:pPr>
              <w:spacing w:after="0" w:line="240" w:lineRule="auto"/>
              <w:jc w:val="right"/>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Accept</w:t>
            </w:r>
          </w:p>
        </w:tc>
      </w:tr>
    </w:tbl>
    <w:p w14:paraId="3B4ABAA1" w14:textId="1402BA6D" w:rsidR="00B6313A" w:rsidRPr="002E24B3" w:rsidRDefault="00B522D1" w:rsidP="004F3F82">
      <w:pPr>
        <w:spacing w:after="0" w:line="240" w:lineRule="auto"/>
        <w:jc w:val="both"/>
        <w:rPr>
          <w:rFonts w:ascii="Arial" w:eastAsia="Times New Roman" w:hAnsi="Arial" w:cs="Arial"/>
          <w:color w:val="000000"/>
          <w:sz w:val="24"/>
          <w:szCs w:val="24"/>
          <w:lang w:eastAsia="en-IN"/>
        </w:rPr>
      </w:pPr>
      <w:r w:rsidRPr="002E24B3">
        <w:rPr>
          <w:rFonts w:ascii="Arial" w:eastAsia="Times New Roman" w:hAnsi="Arial" w:cs="Arial"/>
          <w:color w:val="000000"/>
          <w:sz w:val="24"/>
          <w:szCs w:val="24"/>
          <w:lang w:eastAsia="en-IN"/>
        </w:rPr>
        <w:t>(Appendix D.6)</w:t>
      </w:r>
    </w:p>
    <w:p w14:paraId="34DD4A8C" w14:textId="77777777" w:rsidR="00B522D1" w:rsidRPr="002E24B3" w:rsidRDefault="00B522D1" w:rsidP="004F3F82">
      <w:pPr>
        <w:spacing w:after="0" w:line="240" w:lineRule="auto"/>
        <w:jc w:val="both"/>
        <w:rPr>
          <w:rFonts w:ascii="Arial" w:eastAsia="Times New Roman" w:hAnsi="Arial" w:cs="Arial"/>
          <w:b/>
          <w:bCs/>
          <w:color w:val="000000"/>
          <w:sz w:val="24"/>
          <w:szCs w:val="24"/>
          <w:lang w:eastAsia="en-IN"/>
        </w:rPr>
      </w:pPr>
    </w:p>
    <w:p w14:paraId="707A8887" w14:textId="75337A73" w:rsidR="00B6313A" w:rsidRPr="002E24B3" w:rsidRDefault="00713103" w:rsidP="004F3F82">
      <w:pPr>
        <w:spacing w:after="0" w:line="240" w:lineRule="auto"/>
        <w:jc w:val="both"/>
        <w:rPr>
          <w:rFonts w:ascii="Arial" w:hAnsi="Arial" w:cs="Arial"/>
          <w:sz w:val="24"/>
          <w:szCs w:val="24"/>
        </w:rPr>
      </w:pPr>
      <w:r w:rsidRPr="002E24B3">
        <w:rPr>
          <w:rFonts w:ascii="Arial" w:hAnsi="Arial" w:cs="Arial"/>
          <w:sz w:val="24"/>
          <w:szCs w:val="24"/>
        </w:rPr>
        <w:t>Based on the above evaluation, Project C is the most suitable investment option for Marriott International. This project's Payback Period is the shortest (3.60 years), ARR is the highest (6.0%), NPV is positive (+£0.86 million), PI is 1.02 and IRR is 8.70%, which is higher than the company's 8% Cost of Capital. These results show that Project C will not only create value for shareholders but also help recover the initial investment quickly (Brigham &amp; Ehrhardt, 2023).</w:t>
      </w:r>
    </w:p>
    <w:p w14:paraId="7AB532A9" w14:textId="77777777" w:rsidR="00713103" w:rsidRPr="002E24B3" w:rsidRDefault="00713103" w:rsidP="004F3F82">
      <w:pPr>
        <w:spacing w:after="0" w:line="240" w:lineRule="auto"/>
        <w:jc w:val="both"/>
        <w:rPr>
          <w:rFonts w:ascii="Arial" w:hAnsi="Arial" w:cs="Arial"/>
          <w:sz w:val="24"/>
          <w:szCs w:val="24"/>
        </w:rPr>
      </w:pPr>
    </w:p>
    <w:p w14:paraId="11F2668A" w14:textId="0649630F" w:rsidR="00713103" w:rsidRPr="002E24B3" w:rsidRDefault="00E51AF3" w:rsidP="004F3F82">
      <w:pPr>
        <w:spacing w:after="0" w:line="240" w:lineRule="auto"/>
        <w:jc w:val="both"/>
        <w:rPr>
          <w:rFonts w:ascii="Arial" w:hAnsi="Arial" w:cs="Arial"/>
          <w:sz w:val="24"/>
          <w:szCs w:val="24"/>
        </w:rPr>
      </w:pPr>
      <w:r w:rsidRPr="002E24B3">
        <w:rPr>
          <w:rFonts w:ascii="Arial" w:hAnsi="Arial" w:cs="Arial"/>
          <w:sz w:val="24"/>
          <w:szCs w:val="24"/>
        </w:rPr>
        <w:t>Besides, Marriott International's strong financial position also favours successfully implementing Project C. During 2025, the company generated US$3.21 billion in Operating Cash Flow, showing enough cash capacity to support long-term investments. Moreover, Marriott’s asset-light franchise-based business model, stable profitability and steady cash flow reduce financial risk and increase the likelihood of achieving sustainable returns in the long run. So, from both a financial and strategic standpoint, Project C is the best choice (Marriott International, 2025).</w:t>
      </w:r>
    </w:p>
    <w:p w14:paraId="137B0C21" w14:textId="77777777" w:rsidR="00713103" w:rsidRPr="002E24B3" w:rsidRDefault="00713103" w:rsidP="004F3F82">
      <w:pPr>
        <w:spacing w:after="0" w:line="240" w:lineRule="auto"/>
        <w:jc w:val="both"/>
        <w:rPr>
          <w:rFonts w:ascii="Arial" w:hAnsi="Arial" w:cs="Arial"/>
          <w:sz w:val="24"/>
          <w:szCs w:val="24"/>
        </w:rPr>
      </w:pPr>
    </w:p>
    <w:p w14:paraId="27D4838D"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lastRenderedPageBreak/>
        <w:t xml:space="preserve">B.2.: Non-financial Risk Assessment: </w:t>
      </w:r>
    </w:p>
    <w:p w14:paraId="1EC79044"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noProof/>
          <w:sz w:val="24"/>
          <w:szCs w:val="24"/>
        </w:rPr>
        <w:drawing>
          <wp:inline distT="0" distB="0" distL="0" distR="0" wp14:anchorId="7C0E15BE" wp14:editId="43651FB2">
            <wp:extent cx="5731510" cy="1499235"/>
            <wp:effectExtent l="0" t="0" r="2540" b="5715"/>
            <wp:docPr id="4646435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643590" name="Picture 464643590"/>
                    <pic:cNvPicPr/>
                  </pic:nvPicPr>
                  <pic:blipFill>
                    <a:blip r:embed="rId18">
                      <a:extLst>
                        <a:ext uri="{28A0092B-C50C-407E-A947-70E740481C1C}">
                          <a14:useLocalDpi xmlns:a14="http://schemas.microsoft.com/office/drawing/2010/main" val="0"/>
                        </a:ext>
                      </a:extLst>
                    </a:blip>
                    <a:stretch>
                      <a:fillRect/>
                    </a:stretch>
                  </pic:blipFill>
                  <pic:spPr>
                    <a:xfrm>
                      <a:off x="0" y="0"/>
                      <a:ext cx="5731510" cy="1499235"/>
                    </a:xfrm>
                    <a:prstGeom prst="rect">
                      <a:avLst/>
                    </a:prstGeom>
                  </pic:spPr>
                </pic:pic>
              </a:graphicData>
            </a:graphic>
          </wp:inline>
        </w:drawing>
      </w:r>
    </w:p>
    <w:p w14:paraId="68F64496" w14:textId="5F2BDF96" w:rsidR="00B6313A" w:rsidRPr="002E24B3" w:rsidRDefault="00D463BB" w:rsidP="004F3F82">
      <w:pPr>
        <w:spacing w:after="0"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Appendix C.7)</w:t>
      </w:r>
    </w:p>
    <w:p w14:paraId="3C6B3539" w14:textId="77777777" w:rsidR="00D463BB" w:rsidRPr="002E24B3" w:rsidRDefault="00D463BB" w:rsidP="004F3F82">
      <w:pPr>
        <w:spacing w:after="0" w:line="240" w:lineRule="auto"/>
        <w:jc w:val="both"/>
        <w:rPr>
          <w:rFonts w:ascii="Arial" w:hAnsi="Arial" w:cs="Arial"/>
          <w:sz w:val="24"/>
          <w:szCs w:val="24"/>
        </w:rPr>
      </w:pPr>
    </w:p>
    <w:p w14:paraId="2E38110C" w14:textId="4B8A07BD" w:rsidR="00B6313A" w:rsidRPr="002E24B3" w:rsidRDefault="00474E45" w:rsidP="004F3F82">
      <w:pPr>
        <w:spacing w:after="0" w:line="240" w:lineRule="auto"/>
        <w:jc w:val="both"/>
        <w:rPr>
          <w:rFonts w:ascii="Arial" w:hAnsi="Arial" w:cs="Arial"/>
          <w:sz w:val="24"/>
          <w:szCs w:val="24"/>
        </w:rPr>
      </w:pPr>
      <w:r w:rsidRPr="002E24B3">
        <w:rPr>
          <w:rFonts w:ascii="Arial" w:hAnsi="Arial" w:cs="Arial"/>
          <w:sz w:val="24"/>
          <w:szCs w:val="24"/>
        </w:rPr>
        <w:t xml:space="preserve">Even though Project C is the strongest option financially, Marriott should also assess non-financial risks before making the final investment decision. Political instability in international markets, inflation, currency exchange fluctuations, and regulatory changes can impact the project's performance and costs. Also, maintaining customer loyalty in the hotel industry is </w:t>
      </w:r>
      <w:proofErr w:type="gramStart"/>
      <w:r w:rsidRPr="002E24B3">
        <w:rPr>
          <w:rFonts w:ascii="Arial" w:hAnsi="Arial" w:cs="Arial"/>
          <w:sz w:val="24"/>
          <w:szCs w:val="24"/>
        </w:rPr>
        <w:t>really important</w:t>
      </w:r>
      <w:proofErr w:type="gramEnd"/>
      <w:r w:rsidRPr="002E24B3">
        <w:rPr>
          <w:rFonts w:ascii="Arial" w:hAnsi="Arial" w:cs="Arial"/>
          <w:sz w:val="24"/>
          <w:szCs w:val="24"/>
        </w:rPr>
        <w:t xml:space="preserve"> since it directly affects long-term revenue, rebooking, and the brand's competitive position (Grant, 2022).</w:t>
      </w:r>
    </w:p>
    <w:p w14:paraId="041F0713" w14:textId="77777777" w:rsidR="00474E45" w:rsidRPr="002E24B3" w:rsidRDefault="00474E45" w:rsidP="004F3F82">
      <w:pPr>
        <w:spacing w:after="0" w:line="240" w:lineRule="auto"/>
        <w:jc w:val="both"/>
        <w:rPr>
          <w:rFonts w:ascii="Arial" w:hAnsi="Arial" w:cs="Arial"/>
          <w:sz w:val="24"/>
          <w:szCs w:val="24"/>
        </w:rPr>
      </w:pPr>
    </w:p>
    <w:p w14:paraId="1B52FE73" w14:textId="3D25DD4F" w:rsidR="00474E45" w:rsidRPr="002E24B3" w:rsidRDefault="00933D95" w:rsidP="004F3F82">
      <w:pPr>
        <w:spacing w:after="0" w:line="240" w:lineRule="auto"/>
        <w:jc w:val="both"/>
        <w:rPr>
          <w:rFonts w:ascii="Arial" w:hAnsi="Arial" w:cs="Arial"/>
          <w:sz w:val="24"/>
          <w:szCs w:val="24"/>
        </w:rPr>
      </w:pPr>
      <w:r w:rsidRPr="002E24B3">
        <w:rPr>
          <w:rFonts w:ascii="Arial" w:hAnsi="Arial" w:cs="Arial"/>
          <w:sz w:val="24"/>
          <w:szCs w:val="24"/>
        </w:rPr>
        <w:t>By effectively managing these risks, Marriott can boost the long-term success of Project C. Expanding into various international markets, constantly monitoring economic conditions, and strengthening the Marriott Bonvoy Loyalty Programme will improve customer retention and revenue stability. As a result, the company can increase shareholder value over the long term and strengthen its competitive position in the global hotel industry.</w:t>
      </w:r>
    </w:p>
    <w:p w14:paraId="2292CB1D" w14:textId="77777777" w:rsidR="00474E45" w:rsidRPr="002E24B3" w:rsidRDefault="00474E45" w:rsidP="004F3F82">
      <w:pPr>
        <w:spacing w:after="0" w:line="240" w:lineRule="auto"/>
        <w:jc w:val="both"/>
        <w:rPr>
          <w:rFonts w:ascii="Arial" w:hAnsi="Arial" w:cs="Arial"/>
          <w:sz w:val="24"/>
          <w:szCs w:val="24"/>
        </w:rPr>
      </w:pPr>
    </w:p>
    <w:p w14:paraId="37F2CCE8" w14:textId="34BB8995" w:rsidR="00B6313A" w:rsidRPr="002E24B3" w:rsidRDefault="00055F06" w:rsidP="0054393F">
      <w:pPr>
        <w:pStyle w:val="ListParagraph"/>
        <w:numPr>
          <w:ilvl w:val="0"/>
          <w:numId w:val="8"/>
        </w:numPr>
        <w:spacing w:after="0" w:line="240" w:lineRule="auto"/>
        <w:jc w:val="center"/>
        <w:rPr>
          <w:rFonts w:ascii="Arial" w:hAnsi="Arial" w:cs="Arial"/>
          <w:sz w:val="24"/>
          <w:szCs w:val="24"/>
        </w:rPr>
      </w:pPr>
      <w:r w:rsidRPr="002E24B3">
        <w:rPr>
          <w:rFonts w:ascii="Arial" w:hAnsi="Arial" w:cs="Arial"/>
          <w:sz w:val="24"/>
          <w:szCs w:val="24"/>
        </w:rPr>
        <w:t>Combination</w:t>
      </w:r>
      <w:r w:rsidR="00B6313A" w:rsidRPr="002E24B3">
        <w:rPr>
          <w:rFonts w:ascii="Arial" w:hAnsi="Arial" w:cs="Arial"/>
          <w:sz w:val="24"/>
          <w:szCs w:val="24"/>
        </w:rPr>
        <w:t xml:space="preserve"> of projects by using Capital Rationing</w:t>
      </w:r>
    </w:p>
    <w:p w14:paraId="78ABA80F" w14:textId="77777777" w:rsidR="00B6313A" w:rsidRPr="002E24B3" w:rsidRDefault="00B6313A" w:rsidP="004F3F82">
      <w:pPr>
        <w:spacing w:after="0" w:line="240" w:lineRule="auto"/>
        <w:jc w:val="both"/>
        <w:rPr>
          <w:rFonts w:ascii="Arial" w:hAnsi="Arial" w:cs="Arial"/>
          <w:sz w:val="24"/>
          <w:szCs w:val="24"/>
        </w:rPr>
      </w:pPr>
    </w:p>
    <w:p w14:paraId="6C5B4819"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Capital Rationing is a situation in which a company has limited investment capital, so it is not possible to invest in all projects. In such a situation, projects are selected based on the Profitability Index, which creates the highest value for every £1 of investment (Brigham &amp; Ehrhardt, 2023).</w:t>
      </w:r>
    </w:p>
    <w:p w14:paraId="04E9E2A5" w14:textId="77777777" w:rsidR="00B6313A" w:rsidRPr="002E24B3" w:rsidRDefault="00B6313A" w:rsidP="004F3F82">
      <w:pPr>
        <w:spacing w:after="0" w:line="240" w:lineRule="auto"/>
        <w:jc w:val="both"/>
        <w:rPr>
          <w:rFonts w:ascii="Arial" w:hAnsi="Arial" w:cs="Arial"/>
          <w:sz w:val="24"/>
          <w:szCs w:val="24"/>
        </w:rPr>
      </w:pPr>
    </w:p>
    <w:p w14:paraId="1BA87549"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noProof/>
          <w:sz w:val="24"/>
          <w:szCs w:val="24"/>
        </w:rPr>
        <w:drawing>
          <wp:inline distT="0" distB="0" distL="0" distR="0" wp14:anchorId="197DCB4E" wp14:editId="09ED286F">
            <wp:extent cx="5731510" cy="1677670"/>
            <wp:effectExtent l="0" t="0" r="2540" b="0"/>
            <wp:docPr id="4428662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866293" name="Picture 442866293"/>
                    <pic:cNvPicPr/>
                  </pic:nvPicPr>
                  <pic:blipFill>
                    <a:blip r:embed="rId19">
                      <a:extLst>
                        <a:ext uri="{28A0092B-C50C-407E-A947-70E740481C1C}">
                          <a14:useLocalDpi xmlns:a14="http://schemas.microsoft.com/office/drawing/2010/main" val="0"/>
                        </a:ext>
                      </a:extLst>
                    </a:blip>
                    <a:stretch>
                      <a:fillRect/>
                    </a:stretch>
                  </pic:blipFill>
                  <pic:spPr>
                    <a:xfrm>
                      <a:off x="0" y="0"/>
                      <a:ext cx="5731510" cy="1677670"/>
                    </a:xfrm>
                    <a:prstGeom prst="rect">
                      <a:avLst/>
                    </a:prstGeom>
                  </pic:spPr>
                </pic:pic>
              </a:graphicData>
            </a:graphic>
          </wp:inline>
        </w:drawing>
      </w:r>
    </w:p>
    <w:p w14:paraId="26A02C82" w14:textId="25B44403" w:rsidR="007B2A91" w:rsidRPr="002E24B3" w:rsidRDefault="007B2A91" w:rsidP="004F3F82">
      <w:pPr>
        <w:spacing w:after="0" w:line="240" w:lineRule="auto"/>
        <w:jc w:val="both"/>
        <w:rPr>
          <w:rFonts w:ascii="Arial" w:hAnsi="Arial" w:cs="Arial"/>
          <w:sz w:val="24"/>
          <w:szCs w:val="24"/>
        </w:rPr>
      </w:pPr>
      <w:r w:rsidRPr="002E24B3">
        <w:rPr>
          <w:rFonts w:ascii="Arial" w:hAnsi="Arial" w:cs="Arial"/>
          <w:sz w:val="24"/>
          <w:szCs w:val="24"/>
        </w:rPr>
        <w:t xml:space="preserve">(Created by </w:t>
      </w:r>
      <w:proofErr w:type="spellStart"/>
      <w:r w:rsidRPr="002E24B3">
        <w:rPr>
          <w:rFonts w:ascii="Arial" w:hAnsi="Arial" w:cs="Arial"/>
          <w:sz w:val="24"/>
          <w:szCs w:val="24"/>
        </w:rPr>
        <w:t>self based</w:t>
      </w:r>
      <w:proofErr w:type="spellEnd"/>
      <w:r w:rsidRPr="002E24B3">
        <w:rPr>
          <w:rFonts w:ascii="Arial" w:hAnsi="Arial" w:cs="Arial"/>
          <w:sz w:val="24"/>
          <w:szCs w:val="24"/>
        </w:rPr>
        <w:t xml:space="preserve"> on Marriott International, </w:t>
      </w:r>
      <w:proofErr w:type="gramStart"/>
      <w:r w:rsidRPr="002E24B3">
        <w:rPr>
          <w:rFonts w:ascii="Arial" w:hAnsi="Arial" w:cs="Arial"/>
          <w:sz w:val="24"/>
          <w:szCs w:val="24"/>
        </w:rPr>
        <w:t>Inc.(</w:t>
      </w:r>
      <w:proofErr w:type="gramEnd"/>
      <w:r w:rsidRPr="002E24B3">
        <w:rPr>
          <w:rFonts w:ascii="Arial" w:hAnsi="Arial" w:cs="Arial"/>
          <w:sz w:val="24"/>
          <w:szCs w:val="24"/>
        </w:rPr>
        <w:t>Appendix C.8)</w:t>
      </w:r>
    </w:p>
    <w:p w14:paraId="28A844D7" w14:textId="77777777" w:rsidR="00B6313A" w:rsidRPr="002E24B3" w:rsidRDefault="00B6313A" w:rsidP="004F3F82">
      <w:pPr>
        <w:spacing w:after="0" w:line="240" w:lineRule="auto"/>
        <w:jc w:val="both"/>
        <w:rPr>
          <w:rFonts w:ascii="Arial" w:hAnsi="Arial" w:cs="Arial"/>
          <w:sz w:val="24"/>
          <w:szCs w:val="24"/>
        </w:rPr>
      </w:pPr>
    </w:p>
    <w:p w14:paraId="5A65C558"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Since Marriott has a maximum investment budget of £100 million, only two projects can be selected. Based on the Profitability Index, the combination of Project B + Project C has the highest Combined PI (1.90), which creates the highest Present Value for every £1 invested. While Project A + Project C (1.89) comes in second and Project A + Project B (1.75) gives the lowest value. Therefore, according to the PI </w:t>
      </w:r>
      <w:r w:rsidRPr="002E24B3">
        <w:rPr>
          <w:rFonts w:ascii="Arial" w:hAnsi="Arial" w:cs="Arial"/>
          <w:sz w:val="24"/>
          <w:szCs w:val="24"/>
        </w:rPr>
        <w:lastRenderedPageBreak/>
        <w:t>method, the combination of Project B and Project C is the most effective option under limited investment (Brigham &amp; Ehrhardt, 2023).</w:t>
      </w:r>
    </w:p>
    <w:p w14:paraId="0D50A7A0" w14:textId="77777777" w:rsidR="00B6313A" w:rsidRPr="002E24B3" w:rsidRDefault="00B6313A" w:rsidP="004F3F82">
      <w:pPr>
        <w:spacing w:after="0" w:line="240" w:lineRule="auto"/>
        <w:jc w:val="both"/>
        <w:rPr>
          <w:rFonts w:ascii="Arial" w:hAnsi="Arial" w:cs="Arial"/>
          <w:sz w:val="24"/>
          <w:szCs w:val="24"/>
        </w:rPr>
      </w:pPr>
    </w:p>
    <w:p w14:paraId="6A3B52C1"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Marriott International should invest in Project B and Project C, subject to an investment limit of £100 million. The company’s strong Operating Cash Flow (US$3.21 billion), asset-light franchise-based business model, and stable profitability support this investment. This combination will enhance shareholder value over the long term and is consistent with the company’s strategic growth goals (Marriott International, 2025; Brigham &amp; Ehrhardt, 2023).</w:t>
      </w:r>
    </w:p>
    <w:p w14:paraId="00E2A7B5" w14:textId="77777777" w:rsidR="00B6313A" w:rsidRPr="002E24B3" w:rsidRDefault="00B6313A" w:rsidP="004F3F82">
      <w:pPr>
        <w:spacing w:after="0" w:line="240" w:lineRule="auto"/>
        <w:jc w:val="both"/>
        <w:rPr>
          <w:rFonts w:ascii="Arial" w:hAnsi="Arial" w:cs="Arial"/>
          <w:sz w:val="24"/>
          <w:szCs w:val="24"/>
        </w:rPr>
      </w:pPr>
    </w:p>
    <w:p w14:paraId="12488C52" w14:textId="77777777" w:rsidR="00B6313A" w:rsidRPr="002E24B3" w:rsidRDefault="00B6313A" w:rsidP="004F3F82">
      <w:pPr>
        <w:spacing w:after="0" w:line="240" w:lineRule="auto"/>
        <w:jc w:val="both"/>
        <w:rPr>
          <w:rFonts w:ascii="Arial" w:hAnsi="Arial" w:cs="Arial"/>
          <w:b/>
          <w:bCs/>
          <w:sz w:val="24"/>
          <w:szCs w:val="24"/>
          <w:lang w:val="en-US"/>
        </w:rPr>
      </w:pPr>
      <w:r w:rsidRPr="002E24B3">
        <w:rPr>
          <w:rFonts w:ascii="Arial" w:hAnsi="Arial" w:cs="Arial"/>
          <w:sz w:val="24"/>
          <w:szCs w:val="24"/>
          <w:highlight w:val="lightGray"/>
        </w:rPr>
        <w:t xml:space="preserve">Task 5. </w:t>
      </w:r>
      <w:r w:rsidRPr="002E24B3">
        <w:rPr>
          <w:rFonts w:ascii="Arial" w:hAnsi="Arial" w:cs="Arial"/>
          <w:b/>
          <w:bCs/>
          <w:sz w:val="24"/>
          <w:szCs w:val="24"/>
          <w:highlight w:val="lightGray"/>
          <w:lang w:val="en-US"/>
        </w:rPr>
        <w:t>Critical Reflection on AI Usage</w:t>
      </w:r>
      <w:r w:rsidRPr="002E24B3">
        <w:rPr>
          <w:rFonts w:ascii="Arial" w:hAnsi="Arial" w:cs="Arial"/>
          <w:b/>
          <w:bCs/>
          <w:sz w:val="24"/>
          <w:szCs w:val="24"/>
          <w:lang w:val="en-US"/>
        </w:rPr>
        <w:t xml:space="preserve"> </w:t>
      </w:r>
    </w:p>
    <w:p w14:paraId="043BD6CC" w14:textId="77777777" w:rsidR="00B6313A" w:rsidRPr="002E24B3" w:rsidRDefault="00B6313A" w:rsidP="004F3F82">
      <w:pPr>
        <w:spacing w:after="0" w:line="240" w:lineRule="auto"/>
        <w:jc w:val="both"/>
        <w:rPr>
          <w:rFonts w:ascii="Arial" w:hAnsi="Arial" w:cs="Arial"/>
          <w:sz w:val="24"/>
          <w:szCs w:val="24"/>
        </w:rPr>
      </w:pPr>
    </w:p>
    <w:p w14:paraId="06AC0726"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While preparing this report, Artificial Intelligence (AI) was used only in approved activities according to the university's AI policy. AI was mainly used for research and proofreading, while all financial calculations, report writing, analysis, and final conclusions were done independently. This approach ensured academic integrity while using AI responsibly as an assisting tool.</w:t>
      </w:r>
    </w:p>
    <w:p w14:paraId="109AED06" w14:textId="77777777" w:rsidR="00B6313A" w:rsidRPr="002E24B3" w:rsidRDefault="00B6313A" w:rsidP="004F3F82">
      <w:pPr>
        <w:spacing w:after="0" w:line="240" w:lineRule="auto"/>
        <w:jc w:val="both"/>
        <w:rPr>
          <w:rFonts w:ascii="Arial" w:hAnsi="Arial" w:cs="Arial"/>
          <w:sz w:val="24"/>
          <w:szCs w:val="24"/>
        </w:rPr>
      </w:pPr>
    </w:p>
    <w:p w14:paraId="2283C175" w14:textId="77777777" w:rsidR="00B6313A" w:rsidRPr="002E24B3" w:rsidRDefault="00B6313A" w:rsidP="004F3F82">
      <w:pPr>
        <w:pStyle w:val="ListParagraph"/>
        <w:numPr>
          <w:ilvl w:val="0"/>
          <w:numId w:val="6"/>
        </w:numPr>
        <w:spacing w:after="0" w:line="240" w:lineRule="auto"/>
        <w:jc w:val="both"/>
        <w:rPr>
          <w:rFonts w:ascii="Arial" w:hAnsi="Arial" w:cs="Arial"/>
          <w:sz w:val="24"/>
          <w:szCs w:val="24"/>
        </w:rPr>
      </w:pPr>
      <w:r w:rsidRPr="002E24B3">
        <w:rPr>
          <w:rFonts w:ascii="Arial" w:hAnsi="Arial" w:cs="Arial"/>
          <w:b/>
          <w:bCs/>
          <w:sz w:val="24"/>
          <w:szCs w:val="24"/>
          <w:lang w:val="en-US"/>
        </w:rPr>
        <w:t>Tool Disclosure</w:t>
      </w:r>
    </w:p>
    <w:p w14:paraId="33A15F2A" w14:textId="77777777" w:rsidR="00B6313A" w:rsidRPr="002E24B3" w:rsidRDefault="00B6313A" w:rsidP="004F3F82">
      <w:pPr>
        <w:spacing w:after="0" w:line="240" w:lineRule="auto"/>
        <w:jc w:val="both"/>
        <w:rPr>
          <w:rFonts w:ascii="Arial" w:hAnsi="Arial" w:cs="Arial"/>
          <w:sz w:val="24"/>
          <w:szCs w:val="24"/>
        </w:rPr>
      </w:pPr>
    </w:p>
    <w:p w14:paraId="50CC8C2F"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ChatGPT (OpenAI) was mainly used for this assignment. According to the university's AI policy, its use was only for research and proofreading. During research, AI helped in understanding financial topics like liquidity ratios, investment appraisal techniques, working capital management and financial restructuring, as well as suggesting appropriate keywords to find relevant academic literature. While proofreading, AI provided suggestions to improve grammar, syntax and clarity of language. Additionally, AI was used to prepare simple visual materials where needed. However, AI was not used to prepare the report's structure, writing or arguments, as that was not allowed by the university's policy. The use of AI is properly acknowledged in the AI Use Acknowledgement.</w:t>
      </w:r>
    </w:p>
    <w:p w14:paraId="522AD8ED" w14:textId="77777777" w:rsidR="00B6313A" w:rsidRPr="002E24B3" w:rsidRDefault="00B6313A" w:rsidP="004F3F82">
      <w:pPr>
        <w:spacing w:after="0" w:line="240" w:lineRule="auto"/>
        <w:jc w:val="both"/>
        <w:rPr>
          <w:rFonts w:ascii="Arial" w:hAnsi="Arial" w:cs="Arial"/>
          <w:sz w:val="24"/>
          <w:szCs w:val="24"/>
        </w:rPr>
      </w:pPr>
    </w:p>
    <w:p w14:paraId="50D0E931" w14:textId="77777777" w:rsidR="00B6313A" w:rsidRPr="002E24B3" w:rsidRDefault="00B6313A" w:rsidP="004F3F82">
      <w:pPr>
        <w:pStyle w:val="ListParagraph"/>
        <w:numPr>
          <w:ilvl w:val="0"/>
          <w:numId w:val="6"/>
        </w:numPr>
        <w:spacing w:after="0" w:line="240" w:lineRule="auto"/>
        <w:jc w:val="both"/>
        <w:rPr>
          <w:rFonts w:ascii="Arial" w:hAnsi="Arial" w:cs="Arial"/>
          <w:sz w:val="24"/>
          <w:szCs w:val="24"/>
        </w:rPr>
      </w:pPr>
      <w:r w:rsidRPr="002E24B3">
        <w:rPr>
          <w:rFonts w:ascii="Arial" w:hAnsi="Arial" w:cs="Arial"/>
          <w:b/>
          <w:bCs/>
          <w:sz w:val="24"/>
          <w:szCs w:val="24"/>
          <w:lang w:val="en-US"/>
        </w:rPr>
        <w:t>Critical Evaluation of AI Output</w:t>
      </w:r>
    </w:p>
    <w:p w14:paraId="798EE89F" w14:textId="77777777" w:rsidR="00B6313A" w:rsidRPr="002E24B3" w:rsidRDefault="00B6313A" w:rsidP="004F3F82">
      <w:pPr>
        <w:spacing w:after="0" w:line="240" w:lineRule="auto"/>
        <w:jc w:val="both"/>
        <w:rPr>
          <w:rFonts w:ascii="Arial" w:hAnsi="Arial" w:cs="Arial"/>
          <w:sz w:val="24"/>
          <w:szCs w:val="24"/>
        </w:rPr>
      </w:pPr>
    </w:p>
    <w:p w14:paraId="7A7F0435"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Although AI proved useful for research, none of the information it provided was used directly. All financial data, analysis and research-related information were cross-checked with the Marriott International Annual Reports (2021–2025), financial statements and academic books. On some occasions, general financial explanations given by AI did not fully match Marriott's actual financial figures. Such errors were corrected by comparing them with Annual Reports and recalculating ratios and investment appraisal calculations in Excel. This process made it clear that AI is a helpful tool for research but cannot replace professional judgement and reliable financial information.</w:t>
      </w:r>
    </w:p>
    <w:p w14:paraId="75D16D8C" w14:textId="77777777" w:rsidR="00B6313A" w:rsidRPr="002E24B3" w:rsidRDefault="00B6313A" w:rsidP="004F3F82">
      <w:pPr>
        <w:spacing w:after="0" w:line="240" w:lineRule="auto"/>
        <w:jc w:val="both"/>
        <w:rPr>
          <w:rFonts w:ascii="Arial" w:hAnsi="Arial" w:cs="Arial"/>
          <w:sz w:val="24"/>
          <w:szCs w:val="24"/>
        </w:rPr>
      </w:pPr>
    </w:p>
    <w:p w14:paraId="7E647D48" w14:textId="77777777" w:rsidR="00B6313A" w:rsidRPr="002E24B3" w:rsidRDefault="00B6313A" w:rsidP="004F3F82">
      <w:pPr>
        <w:pStyle w:val="ListParagraph"/>
        <w:numPr>
          <w:ilvl w:val="0"/>
          <w:numId w:val="6"/>
        </w:numPr>
        <w:spacing w:after="0" w:line="240" w:lineRule="auto"/>
        <w:jc w:val="both"/>
        <w:rPr>
          <w:rFonts w:ascii="Arial" w:hAnsi="Arial" w:cs="Arial"/>
          <w:sz w:val="24"/>
          <w:szCs w:val="24"/>
        </w:rPr>
      </w:pPr>
      <w:r w:rsidRPr="002E24B3">
        <w:rPr>
          <w:rFonts w:ascii="Arial" w:hAnsi="Arial" w:cs="Arial"/>
          <w:b/>
          <w:bCs/>
          <w:sz w:val="24"/>
          <w:szCs w:val="24"/>
          <w:lang w:val="en-US"/>
        </w:rPr>
        <w:t>Contribution Analysis</w:t>
      </w:r>
    </w:p>
    <w:p w14:paraId="702722DF" w14:textId="77777777" w:rsidR="00B6313A" w:rsidRPr="002E24B3" w:rsidRDefault="00B6313A" w:rsidP="004F3F82">
      <w:pPr>
        <w:spacing w:line="240" w:lineRule="auto"/>
        <w:rPr>
          <w:rFonts w:ascii="Arial" w:hAnsi="Arial" w:cs="Arial"/>
          <w:sz w:val="24"/>
          <w:szCs w:val="24"/>
        </w:rPr>
      </w:pPr>
    </w:p>
    <w:p w14:paraId="2871BE9F" w14:textId="77777777" w:rsidR="00B6313A" w:rsidRPr="002E24B3" w:rsidRDefault="00B6313A" w:rsidP="004F3F82">
      <w:pPr>
        <w:spacing w:line="240" w:lineRule="auto"/>
        <w:rPr>
          <w:rFonts w:ascii="Arial" w:hAnsi="Arial" w:cs="Arial"/>
          <w:sz w:val="24"/>
          <w:szCs w:val="24"/>
        </w:rPr>
      </w:pPr>
      <w:r w:rsidRPr="002E24B3">
        <w:rPr>
          <w:rFonts w:ascii="Arial" w:hAnsi="Arial" w:cs="Arial"/>
          <w:sz w:val="24"/>
          <w:szCs w:val="24"/>
        </w:rPr>
        <w:t xml:space="preserve">The use of AI was limited only to research and proofreading. It helped in understanding financial concepts, identifying relevant academic sources, and making linguistic improvements. On the other hand, for Marriott International, I independently collected financial information from annual reports, performed all calculations in </w:t>
      </w:r>
      <w:r w:rsidRPr="002E24B3">
        <w:rPr>
          <w:rFonts w:ascii="Arial" w:hAnsi="Arial" w:cs="Arial"/>
          <w:sz w:val="24"/>
          <w:szCs w:val="24"/>
        </w:rPr>
        <w:lastRenderedPageBreak/>
        <w:t>Excel, analysed the company's financial performance, completed the investment appraisal, and prepared the final recommendations and conclusions. Therefore, all the analyses and strategic recommendations presented in this report are based on my own study, reasoning, and evaluation.</w:t>
      </w:r>
    </w:p>
    <w:p w14:paraId="2EAAAC1C" w14:textId="77777777" w:rsidR="00B6313A" w:rsidRPr="002E24B3" w:rsidRDefault="00B6313A" w:rsidP="004F3F82">
      <w:pPr>
        <w:pStyle w:val="ListParagraph"/>
        <w:numPr>
          <w:ilvl w:val="0"/>
          <w:numId w:val="6"/>
        </w:numPr>
        <w:spacing w:after="0" w:line="240" w:lineRule="auto"/>
        <w:jc w:val="both"/>
        <w:rPr>
          <w:rFonts w:ascii="Arial" w:hAnsi="Arial" w:cs="Arial"/>
          <w:sz w:val="24"/>
          <w:szCs w:val="24"/>
        </w:rPr>
      </w:pPr>
      <w:r w:rsidRPr="002E24B3">
        <w:rPr>
          <w:rFonts w:ascii="Arial" w:hAnsi="Arial" w:cs="Arial"/>
          <w:b/>
          <w:bCs/>
          <w:sz w:val="24"/>
          <w:szCs w:val="24"/>
          <w:lang w:val="en-US"/>
        </w:rPr>
        <w:t>Ethical &amp; Professional Reflection</w:t>
      </w:r>
    </w:p>
    <w:p w14:paraId="6499798C" w14:textId="77777777" w:rsidR="00B6313A" w:rsidRPr="002E24B3" w:rsidRDefault="00B6313A" w:rsidP="004F3F82">
      <w:pPr>
        <w:spacing w:after="0" w:line="240" w:lineRule="auto"/>
        <w:jc w:val="both"/>
        <w:rPr>
          <w:rFonts w:ascii="Arial" w:hAnsi="Arial" w:cs="Arial"/>
          <w:sz w:val="24"/>
          <w:szCs w:val="24"/>
        </w:rPr>
      </w:pPr>
    </w:p>
    <w:p w14:paraId="6ED8E5B8"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Transparency and accountability are </w:t>
      </w:r>
      <w:proofErr w:type="gramStart"/>
      <w:r w:rsidRPr="002E24B3">
        <w:rPr>
          <w:rFonts w:ascii="Arial" w:hAnsi="Arial" w:cs="Arial"/>
          <w:sz w:val="24"/>
          <w:szCs w:val="24"/>
        </w:rPr>
        <w:t>really important</w:t>
      </w:r>
      <w:proofErr w:type="gramEnd"/>
      <w:r w:rsidRPr="002E24B3">
        <w:rPr>
          <w:rFonts w:ascii="Arial" w:hAnsi="Arial" w:cs="Arial"/>
          <w:sz w:val="24"/>
          <w:szCs w:val="24"/>
        </w:rPr>
        <w:t xml:space="preserve"> when using AI in financial analysis. It's crucial to clearly show where and how AI was used as part of ethical practices in both academics and business. Also, you need to be extra careful not to share confidential financial information in public AI systems. If professionals start relying too much on AI and make decisions without checking the results, it can lead to bad financial choices and strategic risks. So, AI should just be used as a handy tool for research and language improvements, while human judgment, professional experience, and evidence-based analysis should take priority for final decisions.</w:t>
      </w:r>
    </w:p>
    <w:p w14:paraId="6B90E73E" w14:textId="77777777" w:rsidR="00D4142C" w:rsidRPr="002E24B3" w:rsidRDefault="00D4142C" w:rsidP="004F3F82">
      <w:pPr>
        <w:spacing w:after="0" w:line="240" w:lineRule="auto"/>
        <w:jc w:val="both"/>
        <w:rPr>
          <w:rFonts w:ascii="Arial" w:hAnsi="Arial" w:cs="Arial"/>
          <w:sz w:val="24"/>
          <w:szCs w:val="24"/>
        </w:rPr>
      </w:pPr>
    </w:p>
    <w:p w14:paraId="098DF252" w14:textId="76A8AE99" w:rsidR="00D4142C" w:rsidRPr="002E24B3" w:rsidRDefault="00D4142C" w:rsidP="004F3F82">
      <w:pPr>
        <w:spacing w:after="0" w:line="240" w:lineRule="auto"/>
        <w:jc w:val="both"/>
        <w:rPr>
          <w:rFonts w:ascii="Arial" w:hAnsi="Arial" w:cs="Arial"/>
          <w:sz w:val="24"/>
          <w:szCs w:val="24"/>
        </w:rPr>
      </w:pPr>
      <w:r w:rsidRPr="002E24B3">
        <w:rPr>
          <w:rFonts w:ascii="Arial" w:hAnsi="Arial" w:cs="Arial"/>
          <w:sz w:val="24"/>
          <w:szCs w:val="24"/>
        </w:rPr>
        <w:t>During this assignment, using AI in a limited and responsible way also improved my research skills and ability to evaluate information. Comparing various academic and professional sources to select reliable information boosted my confidence in financial analysis. This experience strengthened my digital literacy and problem-solving skills, which will be very useful in the future in financial management.</w:t>
      </w:r>
    </w:p>
    <w:p w14:paraId="11F1B956" w14:textId="77777777" w:rsidR="00B6313A" w:rsidRPr="002E24B3" w:rsidRDefault="00B6313A" w:rsidP="004F3F82">
      <w:pPr>
        <w:spacing w:after="0" w:line="240" w:lineRule="auto"/>
        <w:jc w:val="both"/>
        <w:rPr>
          <w:rFonts w:ascii="Arial" w:hAnsi="Arial" w:cs="Arial"/>
          <w:sz w:val="24"/>
          <w:szCs w:val="24"/>
        </w:rPr>
      </w:pPr>
    </w:p>
    <w:p w14:paraId="015FC487" w14:textId="77777777" w:rsidR="00B6313A" w:rsidRPr="002E24B3" w:rsidRDefault="00B6313A" w:rsidP="004F3F82">
      <w:pPr>
        <w:spacing w:after="0" w:line="240" w:lineRule="auto"/>
        <w:jc w:val="both"/>
        <w:rPr>
          <w:rFonts w:ascii="Arial" w:hAnsi="Arial" w:cs="Arial"/>
          <w:sz w:val="24"/>
          <w:szCs w:val="24"/>
        </w:rPr>
      </w:pPr>
      <w:r w:rsidRPr="002E24B3">
        <w:rPr>
          <w:rFonts w:ascii="Arial" w:hAnsi="Arial" w:cs="Arial"/>
          <w:sz w:val="24"/>
          <w:szCs w:val="24"/>
        </w:rPr>
        <w:t xml:space="preserve">This assignment made me realise that AI can help boost efficiency in research and language improvement, but independent verification, critical thinking and professional judgement are essential for reliable financial analysis. AI was used responsibly by following the university's AI policy, which maintained academic integrity </w:t>
      </w:r>
      <w:proofErr w:type="gramStart"/>
      <w:r w:rsidRPr="002E24B3">
        <w:rPr>
          <w:rFonts w:ascii="Arial" w:hAnsi="Arial" w:cs="Arial"/>
          <w:sz w:val="24"/>
          <w:szCs w:val="24"/>
        </w:rPr>
        <w:t>and also</w:t>
      </w:r>
      <w:proofErr w:type="gramEnd"/>
      <w:r w:rsidRPr="002E24B3">
        <w:rPr>
          <w:rFonts w:ascii="Arial" w:hAnsi="Arial" w:cs="Arial"/>
          <w:sz w:val="24"/>
          <w:szCs w:val="24"/>
        </w:rPr>
        <w:t xml:space="preserve"> significantly improved my own knowledge and analytical skills.</w:t>
      </w:r>
    </w:p>
    <w:p w14:paraId="52032FEE" w14:textId="77777777" w:rsidR="00B6313A" w:rsidRPr="002E24B3" w:rsidRDefault="00B6313A" w:rsidP="004F3F82">
      <w:pPr>
        <w:spacing w:after="0" w:line="240" w:lineRule="auto"/>
        <w:jc w:val="both"/>
        <w:rPr>
          <w:rFonts w:ascii="Arial" w:hAnsi="Arial" w:cs="Arial"/>
          <w:sz w:val="24"/>
          <w:szCs w:val="24"/>
        </w:rPr>
      </w:pPr>
    </w:p>
    <w:p w14:paraId="5F52A2D7" w14:textId="77777777" w:rsidR="00B6313A" w:rsidRPr="002E24B3" w:rsidRDefault="00B6313A" w:rsidP="004F3F82">
      <w:pPr>
        <w:spacing w:after="0" w:line="240" w:lineRule="auto"/>
        <w:rPr>
          <w:rFonts w:ascii="Arial" w:hAnsi="Arial" w:cs="Arial"/>
          <w:b/>
          <w:bCs/>
          <w:sz w:val="24"/>
          <w:szCs w:val="24"/>
          <w:lang w:val="en-US"/>
        </w:rPr>
      </w:pPr>
      <w:r w:rsidRPr="002E24B3">
        <w:rPr>
          <w:rFonts w:ascii="Arial" w:hAnsi="Arial" w:cs="Arial"/>
          <w:sz w:val="24"/>
          <w:szCs w:val="24"/>
          <w:highlight w:val="lightGray"/>
        </w:rPr>
        <w:t xml:space="preserve">Task 6. </w:t>
      </w:r>
      <w:r w:rsidRPr="002E24B3">
        <w:rPr>
          <w:rFonts w:ascii="Arial" w:hAnsi="Arial" w:cs="Arial"/>
          <w:b/>
          <w:bCs/>
          <w:sz w:val="24"/>
          <w:szCs w:val="24"/>
          <w:highlight w:val="lightGray"/>
          <w:lang w:val="en-US"/>
        </w:rPr>
        <w:t>Appendices</w:t>
      </w:r>
    </w:p>
    <w:p w14:paraId="003DEE32" w14:textId="77777777" w:rsidR="00B6313A" w:rsidRPr="002E24B3" w:rsidRDefault="00B6313A" w:rsidP="004F3F82">
      <w:pPr>
        <w:spacing w:after="0" w:line="240" w:lineRule="auto"/>
        <w:rPr>
          <w:rFonts w:ascii="Arial" w:hAnsi="Arial" w:cs="Arial"/>
          <w:sz w:val="24"/>
          <w:szCs w:val="24"/>
        </w:rPr>
      </w:pPr>
    </w:p>
    <w:p w14:paraId="2300EBCB" w14:textId="740641B2" w:rsidR="003C7B2D" w:rsidRPr="002E24B3" w:rsidRDefault="00C04DE7" w:rsidP="004F3F82">
      <w:pPr>
        <w:spacing w:after="0" w:line="240" w:lineRule="auto"/>
        <w:rPr>
          <w:rFonts w:ascii="Arial" w:hAnsi="Arial" w:cs="Arial"/>
          <w:sz w:val="24"/>
          <w:szCs w:val="24"/>
        </w:rPr>
      </w:pPr>
      <w:r w:rsidRPr="002E24B3">
        <w:rPr>
          <w:rFonts w:ascii="Arial" w:hAnsi="Arial" w:cs="Arial"/>
          <w:sz w:val="24"/>
          <w:szCs w:val="24"/>
        </w:rPr>
        <w:t>This includes the Excel workbook attached with this appendix, which contains all the detailed calculations supporting the financial analysis presented in this report. This workbook includes calculations for financial ratio analysis, working capital management, financing analysis and investment appraisal. It also provides detailed calculations for methods like PBP, ARR, NPV, PI and IRR. This Excel file is attached to support the findings, tables and figures presented in the report.</w:t>
      </w:r>
    </w:p>
    <w:p w14:paraId="30FC2928" w14:textId="77777777" w:rsidR="00C04DE7" w:rsidRPr="002E24B3" w:rsidRDefault="00C04DE7" w:rsidP="004F3F82">
      <w:pPr>
        <w:spacing w:after="0" w:line="240" w:lineRule="auto"/>
        <w:rPr>
          <w:rFonts w:ascii="Arial" w:hAnsi="Arial" w:cs="Arial"/>
          <w:sz w:val="24"/>
          <w:szCs w:val="24"/>
        </w:rPr>
      </w:pPr>
    </w:p>
    <w:p w14:paraId="6761936F" w14:textId="075BBF19" w:rsidR="00483E1B" w:rsidRDefault="00483E1B" w:rsidP="004F3F82">
      <w:pPr>
        <w:spacing w:after="0" w:line="240" w:lineRule="auto"/>
        <w:rPr>
          <w:rFonts w:ascii="Arial" w:hAnsi="Arial" w:cs="Arial"/>
          <w:sz w:val="24"/>
          <w:szCs w:val="24"/>
        </w:rPr>
      </w:pPr>
      <w:r w:rsidRPr="002E24B3">
        <w:rPr>
          <w:rFonts w:ascii="Arial" w:hAnsi="Arial" w:cs="Arial"/>
          <w:sz w:val="24"/>
          <w:szCs w:val="24"/>
        </w:rPr>
        <w:t>Appendix A. Financial Data</w:t>
      </w:r>
    </w:p>
    <w:p w14:paraId="0FA2664D" w14:textId="77777777" w:rsidR="0054393F" w:rsidRPr="002E24B3" w:rsidRDefault="0054393F" w:rsidP="004F3F82">
      <w:pPr>
        <w:spacing w:after="0" w:line="240" w:lineRule="auto"/>
        <w:rPr>
          <w:rFonts w:ascii="Arial" w:hAnsi="Arial" w:cs="Arial"/>
          <w:sz w:val="24"/>
          <w:szCs w:val="24"/>
        </w:rPr>
      </w:pPr>
    </w:p>
    <w:p w14:paraId="63B21087" w14:textId="21BD3524" w:rsidR="00483E1B" w:rsidRDefault="00483E1B" w:rsidP="004F3F82">
      <w:pPr>
        <w:spacing w:after="0" w:line="240" w:lineRule="auto"/>
        <w:rPr>
          <w:rFonts w:ascii="Arial" w:hAnsi="Arial" w:cs="Arial"/>
          <w:sz w:val="24"/>
          <w:szCs w:val="24"/>
          <w:lang w:val="en-US"/>
        </w:rPr>
      </w:pPr>
      <w:r w:rsidRPr="002E24B3">
        <w:rPr>
          <w:rFonts w:ascii="Arial" w:hAnsi="Arial" w:cs="Arial"/>
          <w:sz w:val="24"/>
          <w:szCs w:val="24"/>
        </w:rPr>
        <w:t>Appendix B. Ratio Anay. (R</w:t>
      </w:r>
      <w:proofErr w:type="spellStart"/>
      <w:r w:rsidRPr="002E24B3">
        <w:rPr>
          <w:rFonts w:ascii="Arial" w:hAnsi="Arial" w:cs="Arial"/>
          <w:sz w:val="24"/>
          <w:szCs w:val="24"/>
          <w:lang w:val="en-US"/>
        </w:rPr>
        <w:t>atio</w:t>
      </w:r>
      <w:proofErr w:type="spellEnd"/>
      <w:r w:rsidRPr="002E24B3">
        <w:rPr>
          <w:rFonts w:ascii="Arial" w:hAnsi="Arial" w:cs="Arial"/>
          <w:sz w:val="24"/>
          <w:szCs w:val="24"/>
          <w:lang w:val="en-US"/>
        </w:rPr>
        <w:t xml:space="preserve"> Analysis)</w:t>
      </w:r>
    </w:p>
    <w:p w14:paraId="54E9687F" w14:textId="77777777" w:rsidR="0054393F" w:rsidRPr="002E24B3" w:rsidRDefault="0054393F" w:rsidP="004F3F82">
      <w:pPr>
        <w:spacing w:after="0" w:line="240" w:lineRule="auto"/>
        <w:rPr>
          <w:rFonts w:ascii="Arial" w:hAnsi="Arial" w:cs="Arial"/>
          <w:sz w:val="24"/>
          <w:szCs w:val="24"/>
        </w:rPr>
      </w:pPr>
    </w:p>
    <w:p w14:paraId="77E40CC4" w14:textId="77777777" w:rsidR="0054393F" w:rsidRDefault="00483E1B" w:rsidP="0054393F">
      <w:pPr>
        <w:spacing w:line="240" w:lineRule="auto"/>
        <w:rPr>
          <w:rFonts w:ascii="Arial" w:hAnsi="Arial" w:cs="Arial"/>
          <w:b/>
          <w:bCs/>
          <w:sz w:val="24"/>
          <w:szCs w:val="24"/>
        </w:rPr>
      </w:pPr>
      <w:r w:rsidRPr="002E24B3">
        <w:rPr>
          <w:rFonts w:ascii="Arial" w:hAnsi="Arial" w:cs="Arial"/>
          <w:sz w:val="24"/>
          <w:szCs w:val="24"/>
        </w:rPr>
        <w:t xml:space="preserve">Appendix C. </w:t>
      </w:r>
      <w:r w:rsidR="00C04DE7" w:rsidRPr="002E24B3">
        <w:rPr>
          <w:rFonts w:ascii="Arial" w:hAnsi="Arial" w:cs="Arial"/>
          <w:sz w:val="24"/>
          <w:szCs w:val="24"/>
        </w:rPr>
        <w:t>(</w:t>
      </w:r>
      <w:r w:rsidR="00C04DE7" w:rsidRPr="002E24B3">
        <w:rPr>
          <w:rFonts w:ascii="Arial" w:hAnsi="Arial" w:cs="Arial"/>
          <w:sz w:val="24"/>
          <w:szCs w:val="24"/>
          <w:lang w:val="en-US"/>
        </w:rPr>
        <w:t xml:space="preserve">Tables &amp; </w:t>
      </w:r>
      <w:r w:rsidR="002C4CEB" w:rsidRPr="002E24B3">
        <w:rPr>
          <w:rFonts w:ascii="Arial" w:hAnsi="Arial" w:cs="Arial"/>
          <w:sz w:val="24"/>
          <w:szCs w:val="24"/>
        </w:rPr>
        <w:t>Comparison</w:t>
      </w:r>
      <w:r w:rsidR="00C04DE7" w:rsidRPr="002E24B3">
        <w:rPr>
          <w:rFonts w:ascii="Arial" w:hAnsi="Arial" w:cs="Arial"/>
          <w:sz w:val="24"/>
          <w:szCs w:val="24"/>
          <w:lang w:val="en-US"/>
        </w:rPr>
        <w:t>)</w:t>
      </w:r>
    </w:p>
    <w:p w14:paraId="6ACD02C8" w14:textId="5FB9D9C4" w:rsidR="00483E1B" w:rsidRPr="0054393F" w:rsidRDefault="00483E1B" w:rsidP="0054393F">
      <w:pPr>
        <w:spacing w:line="240" w:lineRule="auto"/>
        <w:rPr>
          <w:rFonts w:ascii="Arial" w:hAnsi="Arial" w:cs="Arial"/>
          <w:b/>
          <w:bCs/>
          <w:sz w:val="24"/>
          <w:szCs w:val="24"/>
        </w:rPr>
      </w:pPr>
      <w:r w:rsidRPr="002E24B3">
        <w:rPr>
          <w:rFonts w:ascii="Arial" w:hAnsi="Arial" w:cs="Arial"/>
          <w:sz w:val="24"/>
          <w:szCs w:val="24"/>
        </w:rPr>
        <w:t xml:space="preserve">Appendix D. Inv. Appr. and Cap. </w:t>
      </w:r>
      <w:r w:rsidR="00C04DE7" w:rsidRPr="002E24B3">
        <w:rPr>
          <w:rFonts w:ascii="Arial" w:hAnsi="Arial" w:cs="Arial"/>
          <w:sz w:val="24"/>
          <w:szCs w:val="24"/>
        </w:rPr>
        <w:t>(</w:t>
      </w:r>
      <w:r w:rsidR="00C04DE7" w:rsidRPr="002E24B3">
        <w:rPr>
          <w:rFonts w:ascii="Arial" w:hAnsi="Arial" w:cs="Arial"/>
          <w:sz w:val="24"/>
          <w:szCs w:val="24"/>
          <w:lang w:val="en-US"/>
        </w:rPr>
        <w:t>Investment Appraisal Calculations)</w:t>
      </w:r>
    </w:p>
    <w:p w14:paraId="006FAA96" w14:textId="77777777" w:rsidR="00B50B4C" w:rsidRPr="002E24B3" w:rsidRDefault="00B50B4C" w:rsidP="004F3F82">
      <w:pPr>
        <w:spacing w:after="0" w:line="240" w:lineRule="auto"/>
        <w:rPr>
          <w:rFonts w:ascii="Arial" w:hAnsi="Arial" w:cs="Arial"/>
          <w:sz w:val="24"/>
          <w:szCs w:val="24"/>
        </w:rPr>
      </w:pPr>
    </w:p>
    <w:p w14:paraId="2BB60056" w14:textId="175F635B" w:rsidR="002B39F6" w:rsidRDefault="00106255" w:rsidP="004F3F82">
      <w:pPr>
        <w:spacing w:after="0" w:line="240" w:lineRule="auto"/>
        <w:rPr>
          <w:rFonts w:ascii="Arial" w:hAnsi="Arial" w:cs="Arial"/>
          <w:sz w:val="24"/>
          <w:szCs w:val="24"/>
        </w:rPr>
      </w:pPr>
      <w:r w:rsidRPr="002E24B3">
        <w:rPr>
          <w:rFonts w:ascii="Arial" w:hAnsi="Arial" w:cs="Arial"/>
          <w:color w:val="FFFFFF" w:themeColor="background1"/>
          <w:sz w:val="24"/>
          <w:szCs w:val="24"/>
        </w:rPr>
        <w:object w:dxaOrig="1520" w:dyaOrig="987" w14:anchorId="6393D3D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09.65pt;height:70.9pt" o:ole="">
            <v:imagedata r:id="rId20" o:title=""/>
          </v:shape>
          <o:OLEObject Type="Embed" ProgID="Excel.Sheet.12" ShapeID="_x0000_i1027" DrawAspect="Icon" ObjectID="_1846404627" r:id="rId21"/>
        </w:object>
      </w:r>
    </w:p>
    <w:p w14:paraId="34E34DAB" w14:textId="0A1A3D80" w:rsidR="00B50B4C" w:rsidRPr="002B39F6" w:rsidRDefault="00B50B4C" w:rsidP="004F3F82">
      <w:pPr>
        <w:spacing w:after="0" w:line="240" w:lineRule="auto"/>
        <w:rPr>
          <w:rFonts w:ascii="Arial" w:hAnsi="Arial" w:cs="Arial"/>
          <w:sz w:val="24"/>
          <w:szCs w:val="24"/>
        </w:rPr>
      </w:pPr>
      <w:r w:rsidRPr="002E24B3">
        <w:rPr>
          <w:rFonts w:ascii="Arial" w:hAnsi="Arial" w:cs="Arial"/>
          <w:b/>
          <w:bCs/>
          <w:sz w:val="24"/>
          <w:szCs w:val="24"/>
        </w:rPr>
        <w:lastRenderedPageBreak/>
        <w:t xml:space="preserve">References: </w:t>
      </w:r>
    </w:p>
    <w:p w14:paraId="528323F5" w14:textId="77777777" w:rsidR="00B50B4C" w:rsidRPr="002E24B3" w:rsidRDefault="00B50B4C" w:rsidP="004F3F82">
      <w:pPr>
        <w:spacing w:after="0" w:line="240" w:lineRule="auto"/>
        <w:rPr>
          <w:rFonts w:ascii="Arial" w:hAnsi="Arial" w:cs="Arial"/>
          <w:b/>
          <w:bCs/>
          <w:sz w:val="24"/>
          <w:szCs w:val="24"/>
        </w:rPr>
      </w:pPr>
    </w:p>
    <w:p w14:paraId="0F276CA2" w14:textId="77777777"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Brigham, E.F. and Ehrhardt, M.C. (2023) </w:t>
      </w:r>
      <w:r w:rsidRPr="002E24B3">
        <w:rPr>
          <w:rFonts w:ascii="Arial" w:hAnsi="Arial" w:cs="Arial"/>
          <w:i/>
          <w:iCs/>
          <w:sz w:val="24"/>
          <w:szCs w:val="24"/>
        </w:rPr>
        <w:t>Financial Management: Theory and Practice</w:t>
      </w:r>
      <w:r w:rsidRPr="002E24B3">
        <w:rPr>
          <w:rFonts w:ascii="Arial" w:hAnsi="Arial" w:cs="Arial"/>
          <w:sz w:val="24"/>
          <w:szCs w:val="24"/>
        </w:rPr>
        <w:t xml:space="preserve">. 16th </w:t>
      </w:r>
      <w:proofErr w:type="spellStart"/>
      <w:r w:rsidRPr="002E24B3">
        <w:rPr>
          <w:rFonts w:ascii="Arial" w:hAnsi="Arial" w:cs="Arial"/>
          <w:sz w:val="24"/>
          <w:szCs w:val="24"/>
        </w:rPr>
        <w:t>edn</w:t>
      </w:r>
      <w:proofErr w:type="spellEnd"/>
      <w:r w:rsidRPr="002E24B3">
        <w:rPr>
          <w:rFonts w:ascii="Arial" w:hAnsi="Arial" w:cs="Arial"/>
          <w:sz w:val="24"/>
          <w:szCs w:val="24"/>
        </w:rPr>
        <w:t>. Boston, MA: Cengage Learning.</w:t>
      </w:r>
    </w:p>
    <w:p w14:paraId="2067F569" w14:textId="77777777" w:rsidR="00ED2357" w:rsidRPr="002E24B3" w:rsidRDefault="00ED2357" w:rsidP="004F3F82">
      <w:pPr>
        <w:spacing w:after="0" w:line="240" w:lineRule="auto"/>
        <w:rPr>
          <w:rFonts w:ascii="Arial" w:hAnsi="Arial" w:cs="Arial"/>
          <w:sz w:val="24"/>
          <w:szCs w:val="24"/>
        </w:rPr>
      </w:pPr>
    </w:p>
    <w:p w14:paraId="767F33F7" w14:textId="7FA2B789"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Deloof, M. (2003) 'Does working capital management affect profitability of Belgian firms?', </w:t>
      </w:r>
      <w:r w:rsidRPr="002E24B3">
        <w:rPr>
          <w:rFonts w:ascii="Arial" w:hAnsi="Arial" w:cs="Arial"/>
          <w:i/>
          <w:iCs/>
          <w:sz w:val="24"/>
          <w:szCs w:val="24"/>
        </w:rPr>
        <w:t>Journal of Business Finance &amp; Accounting</w:t>
      </w:r>
      <w:r w:rsidRPr="002E24B3">
        <w:rPr>
          <w:rFonts w:ascii="Arial" w:hAnsi="Arial" w:cs="Arial"/>
          <w:sz w:val="24"/>
          <w:szCs w:val="24"/>
        </w:rPr>
        <w:t xml:space="preserve">, 30(3–4), pp. 573–588. </w:t>
      </w:r>
      <w:hyperlink r:id="rId22" w:history="1">
        <w:r w:rsidRPr="002E24B3">
          <w:rPr>
            <w:rStyle w:val="Hyperlink"/>
            <w:rFonts w:ascii="Arial" w:hAnsi="Arial" w:cs="Arial"/>
            <w:sz w:val="24"/>
            <w:szCs w:val="24"/>
          </w:rPr>
          <w:t>https://doi.org/10.1111/1468-5957.00008</w:t>
        </w:r>
      </w:hyperlink>
    </w:p>
    <w:p w14:paraId="2EB498E9" w14:textId="77777777" w:rsidR="00ED2357" w:rsidRPr="002E24B3" w:rsidRDefault="00ED2357" w:rsidP="004F3F82">
      <w:pPr>
        <w:spacing w:after="0" w:line="240" w:lineRule="auto"/>
        <w:rPr>
          <w:rFonts w:ascii="Arial" w:hAnsi="Arial" w:cs="Arial"/>
          <w:sz w:val="24"/>
          <w:szCs w:val="24"/>
        </w:rPr>
      </w:pPr>
    </w:p>
    <w:p w14:paraId="08F97A44" w14:textId="4F3E93B0" w:rsidR="00B50B4C" w:rsidRPr="002E24B3" w:rsidRDefault="00B50B4C" w:rsidP="004F3F82">
      <w:pPr>
        <w:spacing w:after="0" w:line="240" w:lineRule="auto"/>
        <w:rPr>
          <w:rFonts w:ascii="Arial" w:hAnsi="Arial" w:cs="Arial"/>
          <w:sz w:val="24"/>
          <w:szCs w:val="24"/>
        </w:rPr>
      </w:pPr>
      <w:proofErr w:type="spellStart"/>
      <w:r w:rsidRPr="002E24B3">
        <w:rPr>
          <w:rFonts w:ascii="Arial" w:hAnsi="Arial" w:cs="Arial"/>
          <w:sz w:val="24"/>
          <w:szCs w:val="24"/>
        </w:rPr>
        <w:t>Eljelly</w:t>
      </w:r>
      <w:proofErr w:type="spellEnd"/>
      <w:r w:rsidRPr="002E24B3">
        <w:rPr>
          <w:rFonts w:ascii="Arial" w:hAnsi="Arial" w:cs="Arial"/>
          <w:sz w:val="24"/>
          <w:szCs w:val="24"/>
        </w:rPr>
        <w:t xml:space="preserve">, A.M.A. (2004) 'Liquidity–profitability trade-off: An empirical investigation in an emerging market', </w:t>
      </w:r>
      <w:r w:rsidRPr="002E24B3">
        <w:rPr>
          <w:rFonts w:ascii="Arial" w:hAnsi="Arial" w:cs="Arial"/>
          <w:i/>
          <w:iCs/>
          <w:sz w:val="24"/>
          <w:szCs w:val="24"/>
        </w:rPr>
        <w:t>International Journal of Commerce and Management</w:t>
      </w:r>
      <w:r w:rsidRPr="002E24B3">
        <w:rPr>
          <w:rFonts w:ascii="Arial" w:hAnsi="Arial" w:cs="Arial"/>
          <w:sz w:val="24"/>
          <w:szCs w:val="24"/>
        </w:rPr>
        <w:t xml:space="preserve">, 14(2), pp. 48–61. </w:t>
      </w:r>
      <w:hyperlink r:id="rId23" w:history="1">
        <w:r w:rsidRPr="002E24B3">
          <w:rPr>
            <w:rStyle w:val="Hyperlink"/>
            <w:rFonts w:ascii="Arial" w:hAnsi="Arial" w:cs="Arial"/>
            <w:sz w:val="24"/>
            <w:szCs w:val="24"/>
          </w:rPr>
          <w:t>https://doi.org/10.1108/10569210480000179</w:t>
        </w:r>
      </w:hyperlink>
    </w:p>
    <w:p w14:paraId="78F14599" w14:textId="77777777" w:rsidR="00ED2357" w:rsidRPr="002E24B3" w:rsidRDefault="00ED2357" w:rsidP="004F3F82">
      <w:pPr>
        <w:spacing w:after="0" w:line="240" w:lineRule="auto"/>
        <w:rPr>
          <w:rFonts w:ascii="Arial" w:hAnsi="Arial" w:cs="Arial"/>
          <w:sz w:val="24"/>
          <w:szCs w:val="24"/>
        </w:rPr>
      </w:pPr>
    </w:p>
    <w:p w14:paraId="65D43162" w14:textId="615AF18B"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Grant, R.M. (2022) </w:t>
      </w:r>
      <w:r w:rsidRPr="002E24B3">
        <w:rPr>
          <w:rFonts w:ascii="Arial" w:hAnsi="Arial" w:cs="Arial"/>
          <w:i/>
          <w:iCs/>
          <w:sz w:val="24"/>
          <w:szCs w:val="24"/>
        </w:rPr>
        <w:t>Contemporary Strategy Analysis: Text and Cases</w:t>
      </w:r>
      <w:r w:rsidRPr="002E24B3">
        <w:rPr>
          <w:rFonts w:ascii="Arial" w:hAnsi="Arial" w:cs="Arial"/>
          <w:sz w:val="24"/>
          <w:szCs w:val="24"/>
        </w:rPr>
        <w:t xml:space="preserve">. 11th </w:t>
      </w:r>
      <w:proofErr w:type="spellStart"/>
      <w:r w:rsidRPr="002E24B3">
        <w:rPr>
          <w:rFonts w:ascii="Arial" w:hAnsi="Arial" w:cs="Arial"/>
          <w:sz w:val="24"/>
          <w:szCs w:val="24"/>
        </w:rPr>
        <w:t>edn</w:t>
      </w:r>
      <w:proofErr w:type="spellEnd"/>
      <w:r w:rsidRPr="002E24B3">
        <w:rPr>
          <w:rFonts w:ascii="Arial" w:hAnsi="Arial" w:cs="Arial"/>
          <w:sz w:val="24"/>
          <w:szCs w:val="24"/>
        </w:rPr>
        <w:t>. Hoboken, NJ: John Wiley &amp; Sons.</w:t>
      </w:r>
    </w:p>
    <w:p w14:paraId="5AE34C7E" w14:textId="77777777" w:rsidR="00ED2357" w:rsidRPr="002E24B3" w:rsidRDefault="00ED2357" w:rsidP="004F3F82">
      <w:pPr>
        <w:spacing w:after="0" w:line="240" w:lineRule="auto"/>
        <w:rPr>
          <w:rFonts w:ascii="Arial" w:hAnsi="Arial" w:cs="Arial"/>
          <w:sz w:val="24"/>
          <w:szCs w:val="24"/>
        </w:rPr>
      </w:pPr>
    </w:p>
    <w:p w14:paraId="18775CAA" w14:textId="5B07F232"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Hilton Worldwide Holdings Inc. (2026) </w:t>
      </w:r>
      <w:r w:rsidRPr="002E24B3">
        <w:rPr>
          <w:rFonts w:ascii="Arial" w:hAnsi="Arial" w:cs="Arial"/>
          <w:i/>
          <w:iCs/>
          <w:sz w:val="24"/>
          <w:szCs w:val="24"/>
        </w:rPr>
        <w:t>Annual Report 2025 (Form 10-K).</w:t>
      </w:r>
      <w:r w:rsidRPr="002E24B3">
        <w:rPr>
          <w:rFonts w:ascii="Arial" w:hAnsi="Arial" w:cs="Arial"/>
          <w:sz w:val="24"/>
          <w:szCs w:val="24"/>
        </w:rPr>
        <w:t xml:space="preserve"> Available at: </w:t>
      </w:r>
      <w:hyperlink r:id="rId24" w:history="1">
        <w:r w:rsidRPr="002E24B3">
          <w:rPr>
            <w:rStyle w:val="Hyperlink"/>
            <w:rFonts w:ascii="Arial" w:hAnsi="Arial" w:cs="Arial"/>
            <w:sz w:val="24"/>
            <w:szCs w:val="24"/>
          </w:rPr>
          <w:t>https://www.hilton.com/en/corporate/investor-relations/</w:t>
        </w:r>
      </w:hyperlink>
      <w:r w:rsidRPr="002E24B3">
        <w:rPr>
          <w:rFonts w:ascii="Arial" w:hAnsi="Arial" w:cs="Arial"/>
          <w:sz w:val="24"/>
          <w:szCs w:val="24"/>
        </w:rPr>
        <w:t xml:space="preserve"> (Accessed: 23 July 2026).</w:t>
      </w:r>
    </w:p>
    <w:p w14:paraId="0C3F055B" w14:textId="77777777" w:rsidR="00ED2357" w:rsidRPr="002E24B3" w:rsidRDefault="00ED2357" w:rsidP="004F3F82">
      <w:pPr>
        <w:spacing w:after="0" w:line="240" w:lineRule="auto"/>
        <w:rPr>
          <w:rFonts w:ascii="Arial" w:hAnsi="Arial" w:cs="Arial"/>
          <w:sz w:val="24"/>
          <w:szCs w:val="24"/>
        </w:rPr>
      </w:pPr>
    </w:p>
    <w:p w14:paraId="362A93FD" w14:textId="5CFA5FEE"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InterContinental Hotels Group PLC (2026) </w:t>
      </w:r>
      <w:r w:rsidRPr="002E24B3">
        <w:rPr>
          <w:rFonts w:ascii="Arial" w:hAnsi="Arial" w:cs="Arial"/>
          <w:i/>
          <w:iCs/>
          <w:sz w:val="24"/>
          <w:szCs w:val="24"/>
        </w:rPr>
        <w:t>Annual Report and Form 20-F 2025.</w:t>
      </w:r>
      <w:r w:rsidRPr="002E24B3">
        <w:rPr>
          <w:rFonts w:ascii="Arial" w:hAnsi="Arial" w:cs="Arial"/>
          <w:sz w:val="24"/>
          <w:szCs w:val="24"/>
        </w:rPr>
        <w:t xml:space="preserve"> Available at: </w:t>
      </w:r>
      <w:hyperlink r:id="rId25" w:history="1">
        <w:r w:rsidRPr="002E24B3">
          <w:rPr>
            <w:rStyle w:val="Hyperlink"/>
            <w:rFonts w:ascii="Arial" w:hAnsi="Arial" w:cs="Arial"/>
            <w:sz w:val="24"/>
            <w:szCs w:val="24"/>
          </w:rPr>
          <w:t>https://www.ihgplc.com/en/investors/results-and-presentations</w:t>
        </w:r>
      </w:hyperlink>
      <w:r w:rsidRPr="002E24B3">
        <w:rPr>
          <w:rFonts w:ascii="Arial" w:hAnsi="Arial" w:cs="Arial"/>
          <w:sz w:val="24"/>
          <w:szCs w:val="24"/>
        </w:rPr>
        <w:t xml:space="preserve"> (Accessed: 23 July 2026).</w:t>
      </w:r>
    </w:p>
    <w:p w14:paraId="3C01602D" w14:textId="77777777" w:rsidR="00ED2357" w:rsidRPr="002E24B3" w:rsidRDefault="00ED2357" w:rsidP="004F3F82">
      <w:pPr>
        <w:spacing w:after="0" w:line="240" w:lineRule="auto"/>
        <w:rPr>
          <w:rFonts w:ascii="Arial" w:hAnsi="Arial" w:cs="Arial"/>
          <w:sz w:val="24"/>
          <w:szCs w:val="24"/>
        </w:rPr>
      </w:pPr>
    </w:p>
    <w:p w14:paraId="1A7C2D86" w14:textId="68BD2A01" w:rsidR="00B50B4C" w:rsidRPr="002E24B3" w:rsidRDefault="00B50B4C" w:rsidP="004F3F82">
      <w:pPr>
        <w:spacing w:after="0" w:line="240" w:lineRule="auto"/>
        <w:rPr>
          <w:rFonts w:ascii="Arial" w:hAnsi="Arial" w:cs="Arial"/>
          <w:sz w:val="24"/>
          <w:szCs w:val="24"/>
        </w:rPr>
      </w:pPr>
      <w:proofErr w:type="spellStart"/>
      <w:r w:rsidRPr="002E24B3">
        <w:rPr>
          <w:rFonts w:ascii="Arial" w:hAnsi="Arial" w:cs="Arial"/>
          <w:sz w:val="24"/>
          <w:szCs w:val="24"/>
        </w:rPr>
        <w:t>MacroTrends</w:t>
      </w:r>
      <w:proofErr w:type="spellEnd"/>
      <w:r w:rsidRPr="002E24B3">
        <w:rPr>
          <w:rFonts w:ascii="Arial" w:hAnsi="Arial" w:cs="Arial"/>
          <w:sz w:val="24"/>
          <w:szCs w:val="24"/>
        </w:rPr>
        <w:t xml:space="preserve"> LLC (2026) </w:t>
      </w:r>
      <w:r w:rsidRPr="002E24B3">
        <w:rPr>
          <w:rFonts w:ascii="Arial" w:hAnsi="Arial" w:cs="Arial"/>
          <w:i/>
          <w:iCs/>
          <w:sz w:val="24"/>
          <w:szCs w:val="24"/>
        </w:rPr>
        <w:t>Marriott International Financial Statements and Financial Ratios.</w:t>
      </w:r>
      <w:r w:rsidRPr="002E24B3">
        <w:rPr>
          <w:rFonts w:ascii="Arial" w:hAnsi="Arial" w:cs="Arial"/>
          <w:sz w:val="24"/>
          <w:szCs w:val="24"/>
        </w:rPr>
        <w:t xml:space="preserve"> Available at: </w:t>
      </w:r>
      <w:hyperlink r:id="rId26" w:history="1">
        <w:r w:rsidRPr="002E24B3">
          <w:rPr>
            <w:rStyle w:val="Hyperlink"/>
            <w:rFonts w:ascii="Arial" w:hAnsi="Arial" w:cs="Arial"/>
            <w:sz w:val="24"/>
            <w:szCs w:val="24"/>
          </w:rPr>
          <w:t>https://www.macrotrends.net</w:t>
        </w:r>
      </w:hyperlink>
      <w:r w:rsidRPr="002E24B3">
        <w:rPr>
          <w:rFonts w:ascii="Arial" w:hAnsi="Arial" w:cs="Arial"/>
          <w:sz w:val="24"/>
          <w:szCs w:val="24"/>
        </w:rPr>
        <w:t xml:space="preserve"> (Accessed: 23 July 2026).</w:t>
      </w:r>
    </w:p>
    <w:p w14:paraId="17835FF8" w14:textId="77777777" w:rsidR="00ED2357" w:rsidRPr="002E24B3" w:rsidRDefault="00ED2357" w:rsidP="004F3F82">
      <w:pPr>
        <w:spacing w:after="0" w:line="240" w:lineRule="auto"/>
        <w:rPr>
          <w:rFonts w:ascii="Arial" w:hAnsi="Arial" w:cs="Arial"/>
          <w:sz w:val="24"/>
          <w:szCs w:val="24"/>
        </w:rPr>
      </w:pPr>
    </w:p>
    <w:p w14:paraId="28EB34A3" w14:textId="1BD362D6"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Marriott International, Inc. (2022) </w:t>
      </w:r>
      <w:r w:rsidRPr="002E24B3">
        <w:rPr>
          <w:rFonts w:ascii="Arial" w:hAnsi="Arial" w:cs="Arial"/>
          <w:i/>
          <w:iCs/>
          <w:sz w:val="24"/>
          <w:szCs w:val="24"/>
        </w:rPr>
        <w:t>Annual Report 2021 (Form 10-K).</w:t>
      </w:r>
      <w:r w:rsidRPr="002E24B3">
        <w:rPr>
          <w:rFonts w:ascii="Arial" w:hAnsi="Arial" w:cs="Arial"/>
          <w:sz w:val="24"/>
          <w:szCs w:val="24"/>
        </w:rPr>
        <w:t xml:space="preserve"> Available at: </w:t>
      </w:r>
      <w:hyperlink r:id="rId27" w:history="1">
        <w:r w:rsidRPr="002E24B3">
          <w:rPr>
            <w:rStyle w:val="Hyperlink"/>
            <w:rFonts w:ascii="Arial" w:hAnsi="Arial" w:cs="Arial"/>
            <w:sz w:val="24"/>
            <w:szCs w:val="24"/>
          </w:rPr>
          <w:t>https://marriott.gcs-web.com/financial-information/annual-reports</w:t>
        </w:r>
      </w:hyperlink>
      <w:r w:rsidRPr="002E24B3">
        <w:rPr>
          <w:rFonts w:ascii="Arial" w:hAnsi="Arial" w:cs="Arial"/>
          <w:sz w:val="24"/>
          <w:szCs w:val="24"/>
        </w:rPr>
        <w:t xml:space="preserve"> (Accessed: 23 July 2026).</w:t>
      </w:r>
    </w:p>
    <w:p w14:paraId="3ACECAC0" w14:textId="77777777" w:rsidR="00ED2357" w:rsidRPr="002E24B3" w:rsidRDefault="00ED2357" w:rsidP="004F3F82">
      <w:pPr>
        <w:spacing w:after="0" w:line="240" w:lineRule="auto"/>
        <w:rPr>
          <w:rFonts w:ascii="Arial" w:hAnsi="Arial" w:cs="Arial"/>
          <w:sz w:val="24"/>
          <w:szCs w:val="24"/>
        </w:rPr>
      </w:pPr>
    </w:p>
    <w:p w14:paraId="624F2B94" w14:textId="260577B9"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Marriott International, Inc. (2023) </w:t>
      </w:r>
      <w:r w:rsidRPr="002E24B3">
        <w:rPr>
          <w:rFonts w:ascii="Arial" w:hAnsi="Arial" w:cs="Arial"/>
          <w:i/>
          <w:iCs/>
          <w:sz w:val="24"/>
          <w:szCs w:val="24"/>
        </w:rPr>
        <w:t>Annual Report 2022 (Form 10-K).</w:t>
      </w:r>
      <w:r w:rsidRPr="002E24B3">
        <w:rPr>
          <w:rFonts w:ascii="Arial" w:hAnsi="Arial" w:cs="Arial"/>
          <w:sz w:val="24"/>
          <w:szCs w:val="24"/>
        </w:rPr>
        <w:t xml:space="preserve"> Available at: </w:t>
      </w:r>
      <w:hyperlink r:id="rId28" w:history="1">
        <w:r w:rsidRPr="002E24B3">
          <w:rPr>
            <w:rStyle w:val="Hyperlink"/>
            <w:rFonts w:ascii="Arial" w:hAnsi="Arial" w:cs="Arial"/>
            <w:sz w:val="24"/>
            <w:szCs w:val="24"/>
          </w:rPr>
          <w:t>https://marriott.gcs-web.com/financial-information/annual-reports</w:t>
        </w:r>
      </w:hyperlink>
      <w:r w:rsidRPr="002E24B3">
        <w:rPr>
          <w:rFonts w:ascii="Arial" w:hAnsi="Arial" w:cs="Arial"/>
          <w:sz w:val="24"/>
          <w:szCs w:val="24"/>
        </w:rPr>
        <w:t xml:space="preserve"> (Accessed: 23 July 2026).</w:t>
      </w:r>
    </w:p>
    <w:p w14:paraId="332CFD1C" w14:textId="77777777" w:rsidR="00ED2357" w:rsidRPr="002E24B3" w:rsidRDefault="00ED2357" w:rsidP="004F3F82">
      <w:pPr>
        <w:spacing w:after="0" w:line="240" w:lineRule="auto"/>
        <w:rPr>
          <w:rFonts w:ascii="Arial" w:hAnsi="Arial" w:cs="Arial"/>
          <w:sz w:val="24"/>
          <w:szCs w:val="24"/>
        </w:rPr>
      </w:pPr>
    </w:p>
    <w:p w14:paraId="1247A8DB" w14:textId="2A44F9B9"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Marriott International, Inc. (2024) </w:t>
      </w:r>
      <w:r w:rsidRPr="002E24B3">
        <w:rPr>
          <w:rFonts w:ascii="Arial" w:hAnsi="Arial" w:cs="Arial"/>
          <w:i/>
          <w:iCs/>
          <w:sz w:val="24"/>
          <w:szCs w:val="24"/>
        </w:rPr>
        <w:t>Annual Report 2023 (Form 10-K).</w:t>
      </w:r>
      <w:r w:rsidRPr="002E24B3">
        <w:rPr>
          <w:rFonts w:ascii="Arial" w:hAnsi="Arial" w:cs="Arial"/>
          <w:sz w:val="24"/>
          <w:szCs w:val="24"/>
        </w:rPr>
        <w:t xml:space="preserve"> Available at: </w:t>
      </w:r>
      <w:hyperlink r:id="rId29" w:history="1">
        <w:r w:rsidRPr="002E24B3">
          <w:rPr>
            <w:rStyle w:val="Hyperlink"/>
            <w:rFonts w:ascii="Arial" w:hAnsi="Arial" w:cs="Arial"/>
            <w:sz w:val="24"/>
            <w:szCs w:val="24"/>
          </w:rPr>
          <w:t>https://marriott.gcs-web.com/financial-information/annual-reports</w:t>
        </w:r>
      </w:hyperlink>
      <w:r w:rsidRPr="002E24B3">
        <w:rPr>
          <w:rFonts w:ascii="Arial" w:hAnsi="Arial" w:cs="Arial"/>
          <w:sz w:val="24"/>
          <w:szCs w:val="24"/>
        </w:rPr>
        <w:t xml:space="preserve"> (Accessed: 23 July 2026).</w:t>
      </w:r>
    </w:p>
    <w:p w14:paraId="1BEC5643" w14:textId="77777777" w:rsidR="00ED2357" w:rsidRPr="002E24B3" w:rsidRDefault="00ED2357" w:rsidP="004F3F82">
      <w:pPr>
        <w:spacing w:after="0" w:line="240" w:lineRule="auto"/>
        <w:rPr>
          <w:rFonts w:ascii="Arial" w:hAnsi="Arial" w:cs="Arial"/>
          <w:sz w:val="24"/>
          <w:szCs w:val="24"/>
        </w:rPr>
      </w:pPr>
    </w:p>
    <w:p w14:paraId="62259619" w14:textId="5FF6D8E9"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Marriott International, Inc. (2025) </w:t>
      </w:r>
      <w:r w:rsidRPr="002E24B3">
        <w:rPr>
          <w:rFonts w:ascii="Arial" w:hAnsi="Arial" w:cs="Arial"/>
          <w:i/>
          <w:iCs/>
          <w:sz w:val="24"/>
          <w:szCs w:val="24"/>
        </w:rPr>
        <w:t>Annual Report 2024 (Form 10-K).</w:t>
      </w:r>
      <w:r w:rsidRPr="002E24B3">
        <w:rPr>
          <w:rFonts w:ascii="Arial" w:hAnsi="Arial" w:cs="Arial"/>
          <w:sz w:val="24"/>
          <w:szCs w:val="24"/>
        </w:rPr>
        <w:t xml:space="preserve"> Available at: </w:t>
      </w:r>
      <w:hyperlink r:id="rId30" w:history="1">
        <w:r w:rsidRPr="002E24B3">
          <w:rPr>
            <w:rStyle w:val="Hyperlink"/>
            <w:rFonts w:ascii="Arial" w:hAnsi="Arial" w:cs="Arial"/>
            <w:sz w:val="24"/>
            <w:szCs w:val="24"/>
          </w:rPr>
          <w:t>https://marriott.gcs-web.com/financial-information/annual-reports</w:t>
        </w:r>
      </w:hyperlink>
      <w:r w:rsidRPr="002E24B3">
        <w:rPr>
          <w:rFonts w:ascii="Arial" w:hAnsi="Arial" w:cs="Arial"/>
          <w:sz w:val="24"/>
          <w:szCs w:val="24"/>
        </w:rPr>
        <w:t xml:space="preserve"> (Accessed: 23 July 2026).</w:t>
      </w:r>
    </w:p>
    <w:p w14:paraId="6619E09F" w14:textId="77777777" w:rsidR="00ED2357" w:rsidRPr="002E24B3" w:rsidRDefault="00ED2357" w:rsidP="004F3F82">
      <w:pPr>
        <w:spacing w:after="0" w:line="240" w:lineRule="auto"/>
        <w:rPr>
          <w:rFonts w:ascii="Arial" w:hAnsi="Arial" w:cs="Arial"/>
          <w:sz w:val="24"/>
          <w:szCs w:val="24"/>
        </w:rPr>
      </w:pPr>
    </w:p>
    <w:p w14:paraId="56FC344B" w14:textId="54B6063B"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Marriott International, Inc. (2026) </w:t>
      </w:r>
      <w:r w:rsidRPr="002E24B3">
        <w:rPr>
          <w:rFonts w:ascii="Arial" w:hAnsi="Arial" w:cs="Arial"/>
          <w:i/>
          <w:iCs/>
          <w:sz w:val="24"/>
          <w:szCs w:val="24"/>
        </w:rPr>
        <w:t>Annual Report 2025 (Form 10-K).</w:t>
      </w:r>
      <w:r w:rsidRPr="002E24B3">
        <w:rPr>
          <w:rFonts w:ascii="Arial" w:hAnsi="Arial" w:cs="Arial"/>
          <w:sz w:val="24"/>
          <w:szCs w:val="24"/>
        </w:rPr>
        <w:t xml:space="preserve"> Available at: </w:t>
      </w:r>
      <w:hyperlink r:id="rId31" w:history="1">
        <w:r w:rsidRPr="002E24B3">
          <w:rPr>
            <w:rStyle w:val="Hyperlink"/>
            <w:rFonts w:ascii="Arial" w:hAnsi="Arial" w:cs="Arial"/>
            <w:sz w:val="24"/>
            <w:szCs w:val="24"/>
          </w:rPr>
          <w:t>https://marriott.gcs-web.com/financial-information/annual-reports</w:t>
        </w:r>
      </w:hyperlink>
      <w:r w:rsidRPr="002E24B3">
        <w:rPr>
          <w:rFonts w:ascii="Arial" w:hAnsi="Arial" w:cs="Arial"/>
          <w:sz w:val="24"/>
          <w:szCs w:val="24"/>
        </w:rPr>
        <w:t xml:space="preserve"> (Accessed: 23 July 2026).</w:t>
      </w:r>
    </w:p>
    <w:p w14:paraId="4E28FADE" w14:textId="77777777" w:rsidR="00ED2357" w:rsidRPr="002E24B3" w:rsidRDefault="00ED2357" w:rsidP="004F3F82">
      <w:pPr>
        <w:spacing w:after="0" w:line="240" w:lineRule="auto"/>
        <w:rPr>
          <w:rFonts w:ascii="Arial" w:hAnsi="Arial" w:cs="Arial"/>
          <w:sz w:val="24"/>
          <w:szCs w:val="24"/>
        </w:rPr>
      </w:pPr>
    </w:p>
    <w:p w14:paraId="246EFAB6" w14:textId="09CB0FC7"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Modigliani, F. and Miller, M.H. (1958) 'The cost of capital, corporation finance and the theory of investment', </w:t>
      </w:r>
      <w:r w:rsidRPr="002E24B3">
        <w:rPr>
          <w:rFonts w:ascii="Arial" w:hAnsi="Arial" w:cs="Arial"/>
          <w:i/>
          <w:iCs/>
          <w:sz w:val="24"/>
          <w:szCs w:val="24"/>
        </w:rPr>
        <w:t>American Economic Review</w:t>
      </w:r>
      <w:r w:rsidRPr="002E24B3">
        <w:rPr>
          <w:rFonts w:ascii="Arial" w:hAnsi="Arial" w:cs="Arial"/>
          <w:sz w:val="24"/>
          <w:szCs w:val="24"/>
        </w:rPr>
        <w:t>, 48(3), pp. 261–297.</w:t>
      </w:r>
    </w:p>
    <w:p w14:paraId="7757E57C" w14:textId="77777777" w:rsidR="00ED2357" w:rsidRPr="002E24B3" w:rsidRDefault="00ED2357" w:rsidP="004F3F82">
      <w:pPr>
        <w:spacing w:after="0" w:line="240" w:lineRule="auto"/>
        <w:rPr>
          <w:rFonts w:ascii="Arial" w:hAnsi="Arial" w:cs="Arial"/>
          <w:sz w:val="24"/>
          <w:szCs w:val="24"/>
        </w:rPr>
      </w:pPr>
    </w:p>
    <w:p w14:paraId="5094ED4F" w14:textId="152CEB9F"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lastRenderedPageBreak/>
        <w:t xml:space="preserve">Myers, S.C. (1984) 'The capital structure puzzle', </w:t>
      </w:r>
      <w:r w:rsidRPr="002E24B3">
        <w:rPr>
          <w:rFonts w:ascii="Arial" w:hAnsi="Arial" w:cs="Arial"/>
          <w:i/>
          <w:iCs/>
          <w:sz w:val="24"/>
          <w:szCs w:val="24"/>
        </w:rPr>
        <w:t>Journal of Finance</w:t>
      </w:r>
      <w:r w:rsidRPr="002E24B3">
        <w:rPr>
          <w:rFonts w:ascii="Arial" w:hAnsi="Arial" w:cs="Arial"/>
          <w:sz w:val="24"/>
          <w:szCs w:val="24"/>
        </w:rPr>
        <w:t xml:space="preserve">, 39(3), pp. 575–592. </w:t>
      </w:r>
      <w:hyperlink r:id="rId32" w:history="1">
        <w:r w:rsidRPr="002E24B3">
          <w:rPr>
            <w:rStyle w:val="Hyperlink"/>
            <w:rFonts w:ascii="Arial" w:hAnsi="Arial" w:cs="Arial"/>
            <w:sz w:val="24"/>
            <w:szCs w:val="24"/>
          </w:rPr>
          <w:t>https://doi.org/10.1111/j.1540-6261.1984.tb03646.x</w:t>
        </w:r>
      </w:hyperlink>
    </w:p>
    <w:p w14:paraId="189638DD" w14:textId="77777777" w:rsidR="00ED2357" w:rsidRPr="002E24B3" w:rsidRDefault="00ED2357" w:rsidP="004F3F82">
      <w:pPr>
        <w:spacing w:after="0" w:line="240" w:lineRule="auto"/>
        <w:rPr>
          <w:rFonts w:ascii="Arial" w:hAnsi="Arial" w:cs="Arial"/>
          <w:sz w:val="24"/>
          <w:szCs w:val="24"/>
        </w:rPr>
      </w:pPr>
    </w:p>
    <w:p w14:paraId="7C60DDB1" w14:textId="020BC521"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OECD (2023) </w:t>
      </w:r>
      <w:r w:rsidRPr="002E24B3">
        <w:rPr>
          <w:rFonts w:ascii="Arial" w:hAnsi="Arial" w:cs="Arial"/>
          <w:i/>
          <w:iCs/>
          <w:sz w:val="24"/>
          <w:szCs w:val="24"/>
        </w:rPr>
        <w:t>Corporate Tax Statistics 2023</w:t>
      </w:r>
      <w:r w:rsidRPr="002E24B3">
        <w:rPr>
          <w:rFonts w:ascii="Arial" w:hAnsi="Arial" w:cs="Arial"/>
          <w:sz w:val="24"/>
          <w:szCs w:val="24"/>
        </w:rPr>
        <w:t xml:space="preserve">. Paris: OECD Publishing. Available at: </w:t>
      </w:r>
      <w:hyperlink r:id="rId33" w:history="1">
        <w:r w:rsidRPr="002E24B3">
          <w:rPr>
            <w:rStyle w:val="Hyperlink"/>
            <w:rFonts w:ascii="Arial" w:hAnsi="Arial" w:cs="Arial"/>
            <w:sz w:val="24"/>
            <w:szCs w:val="24"/>
          </w:rPr>
          <w:t>https://www.oecd.org/tax/tax-policy/corporate-tax-statistics/</w:t>
        </w:r>
      </w:hyperlink>
      <w:r w:rsidRPr="002E24B3">
        <w:rPr>
          <w:rFonts w:ascii="Arial" w:hAnsi="Arial" w:cs="Arial"/>
          <w:sz w:val="24"/>
          <w:szCs w:val="24"/>
        </w:rPr>
        <w:t xml:space="preserve"> (Accessed: 23 July 2026).</w:t>
      </w:r>
    </w:p>
    <w:p w14:paraId="48917ED0" w14:textId="77777777" w:rsidR="00ED2357"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Ross, S.A., Westerfield, R.W., Jordan, B.D., Lim, J. and Tan, R. (2022) </w:t>
      </w:r>
    </w:p>
    <w:p w14:paraId="6290F0E3" w14:textId="10BAC2B7" w:rsidR="00B50B4C" w:rsidRPr="002E24B3" w:rsidRDefault="00B50B4C" w:rsidP="004F3F82">
      <w:pPr>
        <w:spacing w:after="0" w:line="240" w:lineRule="auto"/>
        <w:rPr>
          <w:rFonts w:ascii="Arial" w:hAnsi="Arial" w:cs="Arial"/>
          <w:sz w:val="24"/>
          <w:szCs w:val="24"/>
        </w:rPr>
      </w:pPr>
      <w:r w:rsidRPr="002E24B3">
        <w:rPr>
          <w:rFonts w:ascii="Arial" w:hAnsi="Arial" w:cs="Arial"/>
          <w:i/>
          <w:iCs/>
          <w:sz w:val="24"/>
          <w:szCs w:val="24"/>
        </w:rPr>
        <w:t>Fundamentals of Corporate Finance</w:t>
      </w:r>
      <w:r w:rsidRPr="002E24B3">
        <w:rPr>
          <w:rFonts w:ascii="Arial" w:hAnsi="Arial" w:cs="Arial"/>
          <w:sz w:val="24"/>
          <w:szCs w:val="24"/>
        </w:rPr>
        <w:t xml:space="preserve">. 13th Global </w:t>
      </w:r>
      <w:proofErr w:type="spellStart"/>
      <w:r w:rsidRPr="002E24B3">
        <w:rPr>
          <w:rFonts w:ascii="Arial" w:hAnsi="Arial" w:cs="Arial"/>
          <w:sz w:val="24"/>
          <w:szCs w:val="24"/>
        </w:rPr>
        <w:t>edn</w:t>
      </w:r>
      <w:proofErr w:type="spellEnd"/>
      <w:r w:rsidRPr="002E24B3">
        <w:rPr>
          <w:rFonts w:ascii="Arial" w:hAnsi="Arial" w:cs="Arial"/>
          <w:sz w:val="24"/>
          <w:szCs w:val="24"/>
        </w:rPr>
        <w:t>. New York: McGraw-Hill Education.</w:t>
      </w:r>
    </w:p>
    <w:p w14:paraId="140C5518" w14:textId="77777777" w:rsidR="00ED2357" w:rsidRPr="002E24B3" w:rsidRDefault="00ED2357" w:rsidP="004F3F82">
      <w:pPr>
        <w:spacing w:after="0" w:line="240" w:lineRule="auto"/>
        <w:rPr>
          <w:rFonts w:ascii="Arial" w:hAnsi="Arial" w:cs="Arial"/>
          <w:sz w:val="24"/>
          <w:szCs w:val="24"/>
        </w:rPr>
      </w:pPr>
    </w:p>
    <w:p w14:paraId="6D7621B5" w14:textId="2D9A506E" w:rsidR="00B50B4C" w:rsidRPr="002E24B3" w:rsidRDefault="00B50B4C" w:rsidP="004F3F82">
      <w:pPr>
        <w:spacing w:after="0" w:line="240" w:lineRule="auto"/>
        <w:rPr>
          <w:rFonts w:ascii="Arial" w:hAnsi="Arial" w:cs="Arial"/>
          <w:sz w:val="24"/>
          <w:szCs w:val="24"/>
        </w:rPr>
      </w:pPr>
      <w:r w:rsidRPr="002E24B3">
        <w:rPr>
          <w:rFonts w:ascii="Arial" w:hAnsi="Arial" w:cs="Arial"/>
          <w:sz w:val="24"/>
          <w:szCs w:val="24"/>
        </w:rPr>
        <w:t xml:space="preserve">Shin, H.H. and Soenen, L. (1998) 'Efficiency of working capital management and corporate profitability', </w:t>
      </w:r>
      <w:r w:rsidRPr="002E24B3">
        <w:rPr>
          <w:rFonts w:ascii="Arial" w:hAnsi="Arial" w:cs="Arial"/>
          <w:i/>
          <w:iCs/>
          <w:sz w:val="24"/>
          <w:szCs w:val="24"/>
        </w:rPr>
        <w:t>Financial Practice and Education</w:t>
      </w:r>
      <w:r w:rsidRPr="002E24B3">
        <w:rPr>
          <w:rFonts w:ascii="Arial" w:hAnsi="Arial" w:cs="Arial"/>
          <w:sz w:val="24"/>
          <w:szCs w:val="24"/>
        </w:rPr>
        <w:t>, 8(2), pp. 37–45.</w:t>
      </w:r>
    </w:p>
    <w:p w14:paraId="32EBC217" w14:textId="77777777" w:rsidR="00B50B4C" w:rsidRPr="002E24B3" w:rsidRDefault="00B50B4C" w:rsidP="004F3F82">
      <w:pPr>
        <w:spacing w:after="0" w:line="240" w:lineRule="auto"/>
        <w:rPr>
          <w:rFonts w:ascii="Arial" w:hAnsi="Arial" w:cs="Arial"/>
          <w:sz w:val="24"/>
          <w:szCs w:val="24"/>
        </w:rPr>
      </w:pPr>
    </w:p>
    <w:p w14:paraId="563606E7" w14:textId="77777777" w:rsidR="006E411F" w:rsidRPr="002E24B3" w:rsidRDefault="006E411F" w:rsidP="004F3F82">
      <w:pPr>
        <w:spacing w:line="240" w:lineRule="auto"/>
        <w:rPr>
          <w:rFonts w:ascii="Arial" w:hAnsi="Arial" w:cs="Arial"/>
          <w:sz w:val="24"/>
          <w:szCs w:val="24"/>
        </w:rPr>
      </w:pPr>
    </w:p>
    <w:p w14:paraId="23218652" w14:textId="77777777" w:rsidR="00B85E6B" w:rsidRPr="002E24B3" w:rsidRDefault="00B85E6B" w:rsidP="004F3F82">
      <w:pPr>
        <w:spacing w:line="240" w:lineRule="auto"/>
        <w:rPr>
          <w:rFonts w:ascii="Arial" w:hAnsi="Arial" w:cs="Arial"/>
          <w:sz w:val="24"/>
          <w:szCs w:val="24"/>
        </w:rPr>
      </w:pPr>
    </w:p>
    <w:sectPr w:rsidR="00B85E6B" w:rsidRPr="002E24B3" w:rsidSect="00B6313A">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D3FAB"/>
    <w:multiLevelType w:val="hybridMultilevel"/>
    <w:tmpl w:val="0F408CB2"/>
    <w:lvl w:ilvl="0" w:tplc="08090019">
      <w:start w:val="1"/>
      <w:numFmt w:val="lowerLetter"/>
      <w:lvlText w:val="%1."/>
      <w:lvlJc w:val="left"/>
      <w:pPr>
        <w:ind w:left="1004" w:hanging="360"/>
      </w:pPr>
      <w:rPr>
        <w:rFonts w:hint="default"/>
      </w:rPr>
    </w:lvl>
    <w:lvl w:ilvl="1" w:tplc="FFFFFFFF" w:tentative="1">
      <w:start w:val="1"/>
      <w:numFmt w:val="bullet"/>
      <w:lvlText w:val="o"/>
      <w:lvlJc w:val="left"/>
      <w:pPr>
        <w:ind w:left="1724" w:hanging="360"/>
      </w:pPr>
      <w:rPr>
        <w:rFonts w:ascii="Courier New" w:hAnsi="Courier New" w:cs="Courier New" w:hint="default"/>
      </w:rPr>
    </w:lvl>
    <w:lvl w:ilvl="2" w:tplc="FFFFFFFF" w:tentative="1">
      <w:start w:val="1"/>
      <w:numFmt w:val="bullet"/>
      <w:lvlText w:val=""/>
      <w:lvlJc w:val="left"/>
      <w:pPr>
        <w:ind w:left="2444" w:hanging="360"/>
      </w:pPr>
      <w:rPr>
        <w:rFonts w:ascii="Wingdings" w:hAnsi="Wingdings" w:hint="default"/>
      </w:rPr>
    </w:lvl>
    <w:lvl w:ilvl="3" w:tplc="FFFFFFFF" w:tentative="1">
      <w:start w:val="1"/>
      <w:numFmt w:val="bullet"/>
      <w:lvlText w:val=""/>
      <w:lvlJc w:val="left"/>
      <w:pPr>
        <w:ind w:left="3164" w:hanging="360"/>
      </w:pPr>
      <w:rPr>
        <w:rFonts w:ascii="Symbol" w:hAnsi="Symbol" w:hint="default"/>
      </w:rPr>
    </w:lvl>
    <w:lvl w:ilvl="4" w:tplc="FFFFFFFF" w:tentative="1">
      <w:start w:val="1"/>
      <w:numFmt w:val="bullet"/>
      <w:lvlText w:val="o"/>
      <w:lvlJc w:val="left"/>
      <w:pPr>
        <w:ind w:left="3884" w:hanging="360"/>
      </w:pPr>
      <w:rPr>
        <w:rFonts w:ascii="Courier New" w:hAnsi="Courier New" w:cs="Courier New" w:hint="default"/>
      </w:rPr>
    </w:lvl>
    <w:lvl w:ilvl="5" w:tplc="FFFFFFFF" w:tentative="1">
      <w:start w:val="1"/>
      <w:numFmt w:val="bullet"/>
      <w:lvlText w:val=""/>
      <w:lvlJc w:val="left"/>
      <w:pPr>
        <w:ind w:left="4604" w:hanging="360"/>
      </w:pPr>
      <w:rPr>
        <w:rFonts w:ascii="Wingdings" w:hAnsi="Wingdings" w:hint="default"/>
      </w:rPr>
    </w:lvl>
    <w:lvl w:ilvl="6" w:tplc="FFFFFFFF" w:tentative="1">
      <w:start w:val="1"/>
      <w:numFmt w:val="bullet"/>
      <w:lvlText w:val=""/>
      <w:lvlJc w:val="left"/>
      <w:pPr>
        <w:ind w:left="5324" w:hanging="360"/>
      </w:pPr>
      <w:rPr>
        <w:rFonts w:ascii="Symbol" w:hAnsi="Symbol" w:hint="default"/>
      </w:rPr>
    </w:lvl>
    <w:lvl w:ilvl="7" w:tplc="FFFFFFFF" w:tentative="1">
      <w:start w:val="1"/>
      <w:numFmt w:val="bullet"/>
      <w:lvlText w:val="o"/>
      <w:lvlJc w:val="left"/>
      <w:pPr>
        <w:ind w:left="6044" w:hanging="360"/>
      </w:pPr>
      <w:rPr>
        <w:rFonts w:ascii="Courier New" w:hAnsi="Courier New" w:cs="Courier New" w:hint="default"/>
      </w:rPr>
    </w:lvl>
    <w:lvl w:ilvl="8" w:tplc="FFFFFFFF" w:tentative="1">
      <w:start w:val="1"/>
      <w:numFmt w:val="bullet"/>
      <w:lvlText w:val=""/>
      <w:lvlJc w:val="left"/>
      <w:pPr>
        <w:ind w:left="6764" w:hanging="360"/>
      </w:pPr>
      <w:rPr>
        <w:rFonts w:ascii="Wingdings" w:hAnsi="Wingdings" w:hint="default"/>
      </w:rPr>
    </w:lvl>
  </w:abstractNum>
  <w:abstractNum w:abstractNumId="1" w15:restartNumberingAfterBreak="0">
    <w:nsid w:val="04CF2457"/>
    <w:multiLevelType w:val="hybridMultilevel"/>
    <w:tmpl w:val="01E87038"/>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D8833D0"/>
    <w:multiLevelType w:val="hybridMultilevel"/>
    <w:tmpl w:val="8B1ADBC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685043B"/>
    <w:multiLevelType w:val="hybridMultilevel"/>
    <w:tmpl w:val="E142317C"/>
    <w:lvl w:ilvl="0" w:tplc="40090015">
      <w:start w:val="2"/>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6887203"/>
    <w:multiLevelType w:val="hybridMultilevel"/>
    <w:tmpl w:val="96D25FDC"/>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E1277DC"/>
    <w:multiLevelType w:val="hybridMultilevel"/>
    <w:tmpl w:val="9D24EBAA"/>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0BE5B90"/>
    <w:multiLevelType w:val="hybridMultilevel"/>
    <w:tmpl w:val="E3BC5DFE"/>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ACB57F6"/>
    <w:multiLevelType w:val="hybridMultilevel"/>
    <w:tmpl w:val="9F5CFB1E"/>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7DC26E5"/>
    <w:multiLevelType w:val="hybridMultilevel"/>
    <w:tmpl w:val="02D0687E"/>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90C371C"/>
    <w:multiLevelType w:val="hybridMultilevel"/>
    <w:tmpl w:val="7474F21A"/>
    <w:lvl w:ilvl="0" w:tplc="7C2ACE28">
      <w:start w:val="1"/>
      <w:numFmt w:val="upp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57453955">
    <w:abstractNumId w:val="2"/>
  </w:num>
  <w:num w:numId="2" w16cid:durableId="237909684">
    <w:abstractNumId w:val="4"/>
  </w:num>
  <w:num w:numId="3" w16cid:durableId="393360232">
    <w:abstractNumId w:val="7"/>
  </w:num>
  <w:num w:numId="4" w16cid:durableId="445586181">
    <w:abstractNumId w:val="9"/>
  </w:num>
  <w:num w:numId="5" w16cid:durableId="340277375">
    <w:abstractNumId w:val="6"/>
  </w:num>
  <w:num w:numId="6" w16cid:durableId="1575701425">
    <w:abstractNumId w:val="8"/>
  </w:num>
  <w:num w:numId="7" w16cid:durableId="925847557">
    <w:abstractNumId w:val="0"/>
  </w:num>
  <w:num w:numId="8" w16cid:durableId="1207991613">
    <w:abstractNumId w:val="3"/>
  </w:num>
  <w:num w:numId="9" w16cid:durableId="36125124">
    <w:abstractNumId w:val="5"/>
  </w:num>
  <w:num w:numId="10" w16cid:durableId="7886221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DF0"/>
    <w:rsid w:val="00055F06"/>
    <w:rsid w:val="00055FBB"/>
    <w:rsid w:val="000B34F6"/>
    <w:rsid w:val="000C7EED"/>
    <w:rsid w:val="000D3243"/>
    <w:rsid w:val="000D4F25"/>
    <w:rsid w:val="00104111"/>
    <w:rsid w:val="00106255"/>
    <w:rsid w:val="00127912"/>
    <w:rsid w:val="00171738"/>
    <w:rsid w:val="00192C46"/>
    <w:rsid w:val="002118F5"/>
    <w:rsid w:val="002157E6"/>
    <w:rsid w:val="0025494C"/>
    <w:rsid w:val="002B39F6"/>
    <w:rsid w:val="002C4B6C"/>
    <w:rsid w:val="002C4CEB"/>
    <w:rsid w:val="002E24B3"/>
    <w:rsid w:val="003C7B2D"/>
    <w:rsid w:val="003E168B"/>
    <w:rsid w:val="00474E45"/>
    <w:rsid w:val="00483E1B"/>
    <w:rsid w:val="004A6BED"/>
    <w:rsid w:val="004A7320"/>
    <w:rsid w:val="004F3F82"/>
    <w:rsid w:val="00524CDF"/>
    <w:rsid w:val="0054393F"/>
    <w:rsid w:val="005C20BD"/>
    <w:rsid w:val="006E411F"/>
    <w:rsid w:val="00704D18"/>
    <w:rsid w:val="00713103"/>
    <w:rsid w:val="007711D4"/>
    <w:rsid w:val="00780B2D"/>
    <w:rsid w:val="00795D5E"/>
    <w:rsid w:val="007B2A91"/>
    <w:rsid w:val="007D6197"/>
    <w:rsid w:val="008F44FF"/>
    <w:rsid w:val="00933D95"/>
    <w:rsid w:val="009A6433"/>
    <w:rsid w:val="009D371F"/>
    <w:rsid w:val="009E5048"/>
    <w:rsid w:val="00A41818"/>
    <w:rsid w:val="00A734BF"/>
    <w:rsid w:val="00A83351"/>
    <w:rsid w:val="00A915C1"/>
    <w:rsid w:val="00AE2A67"/>
    <w:rsid w:val="00B25419"/>
    <w:rsid w:val="00B50B4C"/>
    <w:rsid w:val="00B522D1"/>
    <w:rsid w:val="00B62F35"/>
    <w:rsid w:val="00B6313A"/>
    <w:rsid w:val="00B85E6B"/>
    <w:rsid w:val="00BA422B"/>
    <w:rsid w:val="00C04DE7"/>
    <w:rsid w:val="00C07D77"/>
    <w:rsid w:val="00C64D55"/>
    <w:rsid w:val="00C763C8"/>
    <w:rsid w:val="00C82FBE"/>
    <w:rsid w:val="00CF7DF0"/>
    <w:rsid w:val="00D4084E"/>
    <w:rsid w:val="00D4142C"/>
    <w:rsid w:val="00D463BB"/>
    <w:rsid w:val="00DF3F55"/>
    <w:rsid w:val="00E25774"/>
    <w:rsid w:val="00E51AF3"/>
    <w:rsid w:val="00E86F21"/>
    <w:rsid w:val="00EC5706"/>
    <w:rsid w:val="00ED2357"/>
    <w:rsid w:val="00F17A9F"/>
    <w:rsid w:val="00F248B2"/>
    <w:rsid w:val="00F65768"/>
    <w:rsid w:val="00F718E9"/>
    <w:rsid w:val="00F75113"/>
    <w:rsid w:val="00FB3E9B"/>
    <w:rsid w:val="00FC1E37"/>
    <w:rsid w:val="00FD7CD6"/>
    <w:rsid w:val="00FF10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013C8"/>
  <w15:chartTrackingRefBased/>
  <w15:docId w15:val="{81A7AB36-2C61-428B-AFD4-1AD63AF8F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13A"/>
  </w:style>
  <w:style w:type="paragraph" w:styleId="Heading1">
    <w:name w:val="heading 1"/>
    <w:basedOn w:val="Normal"/>
    <w:next w:val="Normal"/>
    <w:link w:val="Heading1Char"/>
    <w:uiPriority w:val="9"/>
    <w:qFormat/>
    <w:rsid w:val="00CF7D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F7D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7D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7D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F7D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F7D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7D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7D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7D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D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F7D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7D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F7D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7D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7D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7D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7D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7DF0"/>
    <w:rPr>
      <w:rFonts w:eastAsiaTheme="majorEastAsia" w:cstheme="majorBidi"/>
      <w:color w:val="272727" w:themeColor="text1" w:themeTint="D8"/>
    </w:rPr>
  </w:style>
  <w:style w:type="paragraph" w:styleId="Title">
    <w:name w:val="Title"/>
    <w:basedOn w:val="Normal"/>
    <w:next w:val="Normal"/>
    <w:link w:val="TitleChar"/>
    <w:uiPriority w:val="10"/>
    <w:qFormat/>
    <w:rsid w:val="00CF7D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D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7D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7D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7DF0"/>
    <w:pPr>
      <w:spacing w:before="160"/>
      <w:jc w:val="center"/>
    </w:pPr>
    <w:rPr>
      <w:i/>
      <w:iCs/>
      <w:color w:val="404040" w:themeColor="text1" w:themeTint="BF"/>
    </w:rPr>
  </w:style>
  <w:style w:type="character" w:customStyle="1" w:styleId="QuoteChar">
    <w:name w:val="Quote Char"/>
    <w:basedOn w:val="DefaultParagraphFont"/>
    <w:link w:val="Quote"/>
    <w:uiPriority w:val="29"/>
    <w:rsid w:val="00CF7DF0"/>
    <w:rPr>
      <w:i/>
      <w:iCs/>
      <w:color w:val="404040" w:themeColor="text1" w:themeTint="BF"/>
    </w:rPr>
  </w:style>
  <w:style w:type="paragraph" w:styleId="ListParagraph">
    <w:name w:val="List Paragraph"/>
    <w:basedOn w:val="Normal"/>
    <w:link w:val="ListParagraphChar"/>
    <w:uiPriority w:val="1"/>
    <w:qFormat/>
    <w:rsid w:val="00CF7DF0"/>
    <w:pPr>
      <w:ind w:left="720"/>
      <w:contextualSpacing/>
    </w:pPr>
  </w:style>
  <w:style w:type="character" w:styleId="IntenseEmphasis">
    <w:name w:val="Intense Emphasis"/>
    <w:basedOn w:val="DefaultParagraphFont"/>
    <w:uiPriority w:val="21"/>
    <w:qFormat/>
    <w:rsid w:val="00CF7DF0"/>
    <w:rPr>
      <w:i/>
      <w:iCs/>
      <w:color w:val="2F5496" w:themeColor="accent1" w:themeShade="BF"/>
    </w:rPr>
  </w:style>
  <w:style w:type="paragraph" w:styleId="IntenseQuote">
    <w:name w:val="Intense Quote"/>
    <w:basedOn w:val="Normal"/>
    <w:next w:val="Normal"/>
    <w:link w:val="IntenseQuoteChar"/>
    <w:uiPriority w:val="30"/>
    <w:qFormat/>
    <w:rsid w:val="00CF7D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7DF0"/>
    <w:rPr>
      <w:i/>
      <w:iCs/>
      <w:color w:val="2F5496" w:themeColor="accent1" w:themeShade="BF"/>
    </w:rPr>
  </w:style>
  <w:style w:type="character" w:styleId="IntenseReference">
    <w:name w:val="Intense Reference"/>
    <w:basedOn w:val="DefaultParagraphFont"/>
    <w:uiPriority w:val="32"/>
    <w:qFormat/>
    <w:rsid w:val="00CF7DF0"/>
    <w:rPr>
      <w:b/>
      <w:bCs/>
      <w:smallCaps/>
      <w:color w:val="2F5496" w:themeColor="accent1" w:themeShade="BF"/>
      <w:spacing w:val="5"/>
    </w:rPr>
  </w:style>
  <w:style w:type="character" w:customStyle="1" w:styleId="ListParagraphChar">
    <w:name w:val="List Paragraph Char"/>
    <w:basedOn w:val="DefaultParagraphFont"/>
    <w:link w:val="ListParagraph"/>
    <w:uiPriority w:val="1"/>
    <w:qFormat/>
    <w:locked/>
    <w:rsid w:val="00CF7DF0"/>
  </w:style>
  <w:style w:type="character" w:styleId="Hyperlink">
    <w:name w:val="Hyperlink"/>
    <w:basedOn w:val="DefaultParagraphFont"/>
    <w:uiPriority w:val="99"/>
    <w:unhideWhenUsed/>
    <w:rsid w:val="00B50B4C"/>
    <w:rPr>
      <w:color w:val="0563C1" w:themeColor="hyperlink"/>
      <w:u w:val="single"/>
    </w:rPr>
  </w:style>
  <w:style w:type="character" w:styleId="UnresolvedMention">
    <w:name w:val="Unresolved Mention"/>
    <w:basedOn w:val="DefaultParagraphFont"/>
    <w:uiPriority w:val="99"/>
    <w:semiHidden/>
    <w:unhideWhenUsed/>
    <w:rsid w:val="00B50B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C"/><Relationship Id="rId18" Type="http://schemas.openxmlformats.org/officeDocument/2006/relationships/image" Target="media/image10.png"/><Relationship Id="rId26" Type="http://schemas.openxmlformats.org/officeDocument/2006/relationships/hyperlink" Target="https://www.macrotrends.net" TargetMode="External"/><Relationship Id="rId3" Type="http://schemas.openxmlformats.org/officeDocument/2006/relationships/settings" Target="settings.xml"/><Relationship Id="rId21" Type="http://schemas.openxmlformats.org/officeDocument/2006/relationships/package" Target="embeddings/Microsoft_Excel_Worksheet.xlsx"/><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chart" Target="charts/chart3.xml"/><Relationship Id="rId17" Type="http://schemas.openxmlformats.org/officeDocument/2006/relationships/image" Target="media/image9.png"/><Relationship Id="rId25" Type="http://schemas.openxmlformats.org/officeDocument/2006/relationships/hyperlink" Target="https://www.ihgplc.com/en/investors/results-and-presentations" TargetMode="External"/><Relationship Id="rId33" Type="http://schemas.openxmlformats.org/officeDocument/2006/relationships/hyperlink" Target="https://www.oecd.org/tax/tax-policy/corporate-tax-statistics/"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emf"/><Relationship Id="rId29" Type="http://schemas.openxmlformats.org/officeDocument/2006/relationships/hyperlink" Target="https://marriott.gcs-web.com/financial-information/annual-reports"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chart" Target="charts/chart2.xml"/><Relationship Id="rId24" Type="http://schemas.openxmlformats.org/officeDocument/2006/relationships/hyperlink" Target="https://www.hilton.com/en/corporate/investor-relations/" TargetMode="External"/><Relationship Id="rId32" Type="http://schemas.openxmlformats.org/officeDocument/2006/relationships/hyperlink" Target="https://doi.org/10.1111/j.1540-6261.1984.tb03646.x" TargetMode="External"/><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hyperlink" Target="https://doi.org/10.1108/10569210480000179" TargetMode="External"/><Relationship Id="rId28" Type="http://schemas.openxmlformats.org/officeDocument/2006/relationships/hyperlink" Target="https://marriott.gcs-web.com/financial-information/annual-reports" TargetMode="External"/><Relationship Id="rId10" Type="http://schemas.openxmlformats.org/officeDocument/2006/relationships/chart" Target="charts/chart1.xml"/><Relationship Id="rId19" Type="http://schemas.openxmlformats.org/officeDocument/2006/relationships/image" Target="media/image11.png"/><Relationship Id="rId31" Type="http://schemas.openxmlformats.org/officeDocument/2006/relationships/hyperlink" Target="https://marriott.gcs-web.com/financial-information/annual-reports"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6.png"/><Relationship Id="rId22" Type="http://schemas.openxmlformats.org/officeDocument/2006/relationships/hyperlink" Target="https://doi.org/10.1111/1468-5957.00008" TargetMode="External"/><Relationship Id="rId27" Type="http://schemas.openxmlformats.org/officeDocument/2006/relationships/hyperlink" Target="https://marriott.gcs-web.com/financial-information/annual-reports" TargetMode="External"/><Relationship Id="rId30" Type="http://schemas.openxmlformats.org/officeDocument/2006/relationships/hyperlink" Target="https://marriott.gcs-web.com/financial-information/annual-reports" TargetMode="External"/><Relationship Id="rId35" Type="http://schemas.openxmlformats.org/officeDocument/2006/relationships/theme" Target="theme/theme1.xml"/><Relationship Id="rId8"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4e2f45ca8cdc96f5/Desktop/Financial/Marriott_Financial_Data_Templat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havs\OneDrive\Desktop\Financial\Marriott_Financial_Data_Templat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4e2f45ca8cdc96f5/Desktop/Financial/Marriott_Financial_Data_Template.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IN"/>
              <a:t>Profitability Ratio Analysis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'Ratio Anay.'!$A$8:$B$8</c:f>
              <c:strCache>
                <c:ptCount val="2"/>
                <c:pt idx="0">
                  <c:v>Gross Profit Margin</c:v>
                </c:pt>
                <c:pt idx="1">
                  <c:v>Gross Profit ÷ Sales ×100</c:v>
                </c:pt>
              </c:strCache>
            </c:strRef>
          </c:tx>
          <c:spPr>
            <a:solidFill>
              <a:schemeClr val="accent1"/>
            </a:solidFill>
            <a:ln>
              <a:noFill/>
            </a:ln>
            <a:effectLst/>
          </c:spPr>
          <c:invertIfNegative val="0"/>
          <c:cat>
            <c:strRef>
              <c:f>'Ratio Anay.'!$C$6:$G$7</c:f>
              <c:strCache>
                <c:ptCount val="5"/>
                <c:pt idx="0">
                  <c:v>2021</c:v>
                </c:pt>
                <c:pt idx="1">
                  <c:v>2022</c:v>
                </c:pt>
                <c:pt idx="2">
                  <c:v>2023</c:v>
                </c:pt>
                <c:pt idx="3">
                  <c:v>2024</c:v>
                </c:pt>
                <c:pt idx="4">
                  <c:v>2025</c:v>
                </c:pt>
              </c:strCache>
            </c:strRef>
          </c:cat>
          <c:val>
            <c:numRef>
              <c:f>'Ratio Anay.'!$C$8:$G$8</c:f>
              <c:numCache>
                <c:formatCode>0.00%</c:formatCode>
                <c:ptCount val="5"/>
                <c:pt idx="0">
                  <c:v>0.15759999999999999</c:v>
                </c:pt>
                <c:pt idx="1">
                  <c:v>0.14660000000000001</c:v>
                </c:pt>
                <c:pt idx="2">
                  <c:v>0.16270000000000001</c:v>
                </c:pt>
                <c:pt idx="3">
                  <c:v>0.15029999999999999</c:v>
                </c:pt>
                <c:pt idx="4">
                  <c:v>0.15809999999999999</c:v>
                </c:pt>
              </c:numCache>
            </c:numRef>
          </c:val>
          <c:extLst>
            <c:ext xmlns:c16="http://schemas.microsoft.com/office/drawing/2014/chart" uri="{C3380CC4-5D6E-409C-BE32-E72D297353CC}">
              <c16:uniqueId val="{00000000-0E4D-41F1-9F64-E1C67877F040}"/>
            </c:ext>
          </c:extLst>
        </c:ser>
        <c:ser>
          <c:idx val="1"/>
          <c:order val="1"/>
          <c:tx>
            <c:strRef>
              <c:f>'Ratio Anay.'!$A$9:$B$9</c:f>
              <c:strCache>
                <c:ptCount val="2"/>
                <c:pt idx="0">
                  <c:v>Net Profit Margin</c:v>
                </c:pt>
                <c:pt idx="1">
                  <c:v>Operating Profit  ÷ Sales ×100</c:v>
                </c:pt>
              </c:strCache>
            </c:strRef>
          </c:tx>
          <c:spPr>
            <a:solidFill>
              <a:schemeClr val="accent2"/>
            </a:solidFill>
            <a:ln>
              <a:noFill/>
            </a:ln>
            <a:effectLst/>
          </c:spPr>
          <c:invertIfNegative val="0"/>
          <c:cat>
            <c:strRef>
              <c:f>'Ratio Anay.'!$C$6:$G$7</c:f>
              <c:strCache>
                <c:ptCount val="5"/>
                <c:pt idx="0">
                  <c:v>2021</c:v>
                </c:pt>
                <c:pt idx="1">
                  <c:v>2022</c:v>
                </c:pt>
                <c:pt idx="2">
                  <c:v>2023</c:v>
                </c:pt>
                <c:pt idx="3">
                  <c:v>2024</c:v>
                </c:pt>
                <c:pt idx="4">
                  <c:v>2025</c:v>
                </c:pt>
              </c:strCache>
            </c:strRef>
          </c:cat>
          <c:val>
            <c:numRef>
              <c:f>'Ratio Anay.'!$C$9:$G$9</c:f>
              <c:numCache>
                <c:formatCode>0.00%</c:formatCode>
                <c:ptCount val="5"/>
                <c:pt idx="0">
                  <c:v>7.9299999999999995E-2</c:v>
                </c:pt>
                <c:pt idx="1">
                  <c:v>0.1135</c:v>
                </c:pt>
                <c:pt idx="2">
                  <c:v>0.13</c:v>
                </c:pt>
                <c:pt idx="3">
                  <c:v>9.4600000000000004E-2</c:v>
                </c:pt>
                <c:pt idx="4">
                  <c:v>9.9299999999999999E-2</c:v>
                </c:pt>
              </c:numCache>
            </c:numRef>
          </c:val>
          <c:extLst>
            <c:ext xmlns:c16="http://schemas.microsoft.com/office/drawing/2014/chart" uri="{C3380CC4-5D6E-409C-BE32-E72D297353CC}">
              <c16:uniqueId val="{00000001-0E4D-41F1-9F64-E1C67877F040}"/>
            </c:ext>
          </c:extLst>
        </c:ser>
        <c:ser>
          <c:idx val="2"/>
          <c:order val="2"/>
          <c:tx>
            <c:strRef>
              <c:f>'Ratio Anay.'!$A$10:$B$10</c:f>
              <c:strCache>
                <c:ptCount val="2"/>
                <c:pt idx="0">
                  <c:v>Return on Assets (ROA)</c:v>
                </c:pt>
                <c:pt idx="1">
                  <c:v>Net Income ÷ Total Assets ×100</c:v>
                </c:pt>
              </c:strCache>
            </c:strRef>
          </c:tx>
          <c:spPr>
            <a:solidFill>
              <a:schemeClr val="accent3"/>
            </a:solidFill>
            <a:ln>
              <a:noFill/>
            </a:ln>
            <a:effectLst/>
          </c:spPr>
          <c:invertIfNegative val="0"/>
          <c:cat>
            <c:strRef>
              <c:f>'Ratio Anay.'!$C$6:$G$7</c:f>
              <c:strCache>
                <c:ptCount val="5"/>
                <c:pt idx="0">
                  <c:v>2021</c:v>
                </c:pt>
                <c:pt idx="1">
                  <c:v>2022</c:v>
                </c:pt>
                <c:pt idx="2">
                  <c:v>2023</c:v>
                </c:pt>
                <c:pt idx="3">
                  <c:v>2024</c:v>
                </c:pt>
                <c:pt idx="4">
                  <c:v>2025</c:v>
                </c:pt>
              </c:strCache>
            </c:strRef>
          </c:cat>
          <c:val>
            <c:numRef>
              <c:f>'Ratio Anay.'!$C$10:$G$10</c:f>
              <c:numCache>
                <c:formatCode>0.00%</c:formatCode>
                <c:ptCount val="5"/>
                <c:pt idx="0">
                  <c:v>4.4499999999999998E-2</c:v>
                </c:pt>
                <c:pt idx="1">
                  <c:v>9.3899999999999997E-2</c:v>
                </c:pt>
                <c:pt idx="2">
                  <c:v>0.12</c:v>
                </c:pt>
                <c:pt idx="3">
                  <c:v>9.0700000000000003E-2</c:v>
                </c:pt>
                <c:pt idx="4">
                  <c:v>9.4399999999999998E-2</c:v>
                </c:pt>
              </c:numCache>
            </c:numRef>
          </c:val>
          <c:extLst>
            <c:ext xmlns:c16="http://schemas.microsoft.com/office/drawing/2014/chart" uri="{C3380CC4-5D6E-409C-BE32-E72D297353CC}">
              <c16:uniqueId val="{00000002-0E4D-41F1-9F64-E1C67877F040}"/>
            </c:ext>
          </c:extLst>
        </c:ser>
        <c:dLbls>
          <c:showLegendKey val="0"/>
          <c:showVal val="0"/>
          <c:showCatName val="0"/>
          <c:showSerName val="0"/>
          <c:showPercent val="0"/>
          <c:showBubbleSize val="0"/>
        </c:dLbls>
        <c:gapWidth val="267"/>
        <c:overlap val="-43"/>
        <c:axId val="1230842895"/>
        <c:axId val="1230835215"/>
      </c:barChart>
      <c:catAx>
        <c:axId val="1230842895"/>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230835215"/>
        <c:crosses val="autoZero"/>
        <c:auto val="1"/>
        <c:lblAlgn val="ctr"/>
        <c:lblOffset val="100"/>
        <c:noMultiLvlLbl val="0"/>
      </c:catAx>
      <c:valAx>
        <c:axId val="1230835215"/>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230842895"/>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IN"/>
              <a:t>Liquidity Ratio Analysis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'Ratio Anay.'!$A$15:$B$15</c:f>
              <c:strCache>
                <c:ptCount val="2"/>
                <c:pt idx="0">
                  <c:v>Current Ratio</c:v>
                </c:pt>
                <c:pt idx="1">
                  <c:v>Current Assets ÷ Current Liabilities</c:v>
                </c:pt>
              </c:strCache>
            </c:strRef>
          </c:tx>
          <c:spPr>
            <a:ln w="38100" cap="flat" cmpd="dbl" algn="ctr">
              <a:solidFill>
                <a:schemeClr val="accent1"/>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 Anay.'!$C$13:$G$14</c:f>
              <c:strCache>
                <c:ptCount val="5"/>
                <c:pt idx="0">
                  <c:v>2021</c:v>
                </c:pt>
                <c:pt idx="1">
                  <c:v>2022</c:v>
                </c:pt>
                <c:pt idx="2">
                  <c:v>2023</c:v>
                </c:pt>
                <c:pt idx="3">
                  <c:v>2024</c:v>
                </c:pt>
                <c:pt idx="4">
                  <c:v>2025</c:v>
                </c:pt>
              </c:strCache>
            </c:strRef>
          </c:cat>
          <c:val>
            <c:numRef>
              <c:f>'Ratio Anay.'!$C$15:$G$15</c:f>
              <c:numCache>
                <c:formatCode>General</c:formatCode>
                <c:ptCount val="5"/>
                <c:pt idx="0">
                  <c:v>0.37</c:v>
                </c:pt>
                <c:pt idx="1">
                  <c:v>0.4</c:v>
                </c:pt>
                <c:pt idx="2">
                  <c:v>0.4</c:v>
                </c:pt>
                <c:pt idx="3">
                  <c:v>0.4</c:v>
                </c:pt>
                <c:pt idx="4">
                  <c:v>0.43</c:v>
                </c:pt>
              </c:numCache>
            </c:numRef>
          </c:val>
          <c:smooth val="0"/>
          <c:extLst>
            <c:ext xmlns:c16="http://schemas.microsoft.com/office/drawing/2014/chart" uri="{C3380CC4-5D6E-409C-BE32-E72D297353CC}">
              <c16:uniqueId val="{00000000-4E36-48B5-9DF7-6E829F00B7B9}"/>
            </c:ext>
          </c:extLst>
        </c:ser>
        <c:ser>
          <c:idx val="1"/>
          <c:order val="1"/>
          <c:tx>
            <c:strRef>
              <c:f>'Ratio Anay.'!$A$16:$B$16</c:f>
              <c:strCache>
                <c:ptCount val="2"/>
                <c:pt idx="0">
                  <c:v>Acid Test / Quick Ratio</c:v>
                </c:pt>
                <c:pt idx="1">
                  <c:v>(Current Assets − Inventory) ÷ Current Liabilities</c:v>
                </c:pt>
              </c:strCache>
            </c:strRef>
          </c:tx>
          <c:spPr>
            <a:ln w="38100" cap="flat" cmpd="dbl" algn="ctr">
              <a:solidFill>
                <a:schemeClr val="accent2"/>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 Anay.'!$C$13:$G$14</c:f>
              <c:strCache>
                <c:ptCount val="5"/>
                <c:pt idx="0">
                  <c:v>2021</c:v>
                </c:pt>
                <c:pt idx="1">
                  <c:v>2022</c:v>
                </c:pt>
                <c:pt idx="2">
                  <c:v>2023</c:v>
                </c:pt>
                <c:pt idx="3">
                  <c:v>2024</c:v>
                </c:pt>
                <c:pt idx="4">
                  <c:v>2025</c:v>
                </c:pt>
              </c:strCache>
            </c:strRef>
          </c:cat>
          <c:val>
            <c:numRef>
              <c:f>'Ratio Anay.'!$C$16:$G$16</c:f>
              <c:numCache>
                <c:formatCode>General</c:formatCode>
                <c:ptCount val="5"/>
                <c:pt idx="0">
                  <c:v>0.37</c:v>
                </c:pt>
                <c:pt idx="1">
                  <c:v>0.41</c:v>
                </c:pt>
                <c:pt idx="2">
                  <c:v>0.37</c:v>
                </c:pt>
                <c:pt idx="3">
                  <c:v>0.32</c:v>
                </c:pt>
                <c:pt idx="4">
                  <c:v>0.38</c:v>
                </c:pt>
              </c:numCache>
            </c:numRef>
          </c:val>
          <c:smooth val="0"/>
          <c:extLst>
            <c:ext xmlns:c16="http://schemas.microsoft.com/office/drawing/2014/chart" uri="{C3380CC4-5D6E-409C-BE32-E72D297353CC}">
              <c16:uniqueId val="{00000001-4E36-48B5-9DF7-6E829F00B7B9}"/>
            </c:ext>
          </c:extLst>
        </c:ser>
        <c:dLbls>
          <c:dLblPos val="ctr"/>
          <c:showLegendKey val="0"/>
          <c:showVal val="1"/>
          <c:showCatName val="0"/>
          <c:showSerName val="0"/>
          <c:showPercent val="0"/>
          <c:showBubbleSize val="0"/>
        </c:dLbls>
        <c:smooth val="0"/>
        <c:axId val="1230802575"/>
        <c:axId val="1230803055"/>
      </c:lineChart>
      <c:catAx>
        <c:axId val="1230802575"/>
        <c:scaling>
          <c:orientation val="minMax"/>
        </c:scaling>
        <c:delete val="0"/>
        <c:axPos val="b"/>
        <c:majorGridlines>
          <c:spPr>
            <a:ln w="9525" cap="flat" cmpd="sng" algn="ctr">
              <a:solidFill>
                <a:schemeClr val="tx1">
                  <a:lumMod val="15000"/>
                  <a:lumOff val="85000"/>
                  <a:alpha val="32000"/>
                </a:schemeClr>
              </a:solidFill>
              <a:round/>
            </a:ln>
            <a:effectLst/>
          </c:spPr>
        </c:majorGridlines>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0803055"/>
        <c:crosses val="autoZero"/>
        <c:auto val="1"/>
        <c:lblAlgn val="ctr"/>
        <c:lblOffset val="100"/>
        <c:noMultiLvlLbl val="0"/>
      </c:catAx>
      <c:valAx>
        <c:axId val="1230803055"/>
        <c:scaling>
          <c:orientation val="minMax"/>
        </c:scaling>
        <c:delete val="0"/>
        <c:axPos val="l"/>
        <c:majorGridlines>
          <c:spPr>
            <a:ln w="9525" cap="flat" cmpd="sng" algn="ctr">
              <a:solidFill>
                <a:schemeClr val="tx1">
                  <a:lumMod val="15000"/>
                  <a:lumOff val="85000"/>
                  <a:alpha val="32000"/>
                </a:schemeClr>
              </a:solidFill>
              <a:round/>
            </a:ln>
            <a:effectLst/>
          </c:spPr>
        </c:majorGridlines>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080257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0" i="0" u="none" strike="noStrike" baseline="0">
                <a:effectLst/>
              </a:rPr>
              <a:t>Cash Flow Ratio Analysis</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areaChart>
        <c:grouping val="stacked"/>
        <c:varyColors val="0"/>
        <c:ser>
          <c:idx val="0"/>
          <c:order val="0"/>
          <c:tx>
            <c:strRef>
              <c:f>'Ratio Anay.'!$A$26:$B$26</c:f>
              <c:strCache>
                <c:ptCount val="2"/>
                <c:pt idx="0">
                  <c:v>Operating Cash Flow Ratio</c:v>
                </c:pt>
                <c:pt idx="1">
                  <c:v>Operating Cash Flow ÷ Current Liabilities</c:v>
                </c:pt>
              </c:strCache>
            </c:strRef>
          </c:tx>
          <c:spPr>
            <a:solidFill>
              <a:schemeClr val="accent1"/>
            </a:solidFill>
            <a:ln>
              <a:noFill/>
            </a:ln>
            <a:effectLst/>
          </c:spPr>
          <c:cat>
            <c:numRef>
              <c:f>'Ratio Anay.'!$C$25:$G$25</c:f>
              <c:numCache>
                <c:formatCode>General</c:formatCode>
                <c:ptCount val="5"/>
                <c:pt idx="0">
                  <c:v>2021</c:v>
                </c:pt>
                <c:pt idx="1">
                  <c:v>2022</c:v>
                </c:pt>
                <c:pt idx="2">
                  <c:v>2023</c:v>
                </c:pt>
                <c:pt idx="3">
                  <c:v>2024</c:v>
                </c:pt>
                <c:pt idx="4">
                  <c:v>2025</c:v>
                </c:pt>
              </c:numCache>
            </c:numRef>
          </c:cat>
          <c:val>
            <c:numRef>
              <c:f>'Ratio Anay.'!$C$26:$G$26</c:f>
              <c:numCache>
                <c:formatCode>General</c:formatCode>
                <c:ptCount val="5"/>
                <c:pt idx="0">
                  <c:v>0.18</c:v>
                </c:pt>
                <c:pt idx="1">
                  <c:v>0.32</c:v>
                </c:pt>
                <c:pt idx="2">
                  <c:v>0.41</c:v>
                </c:pt>
                <c:pt idx="3">
                  <c:v>0.32</c:v>
                </c:pt>
                <c:pt idx="4">
                  <c:v>0.38</c:v>
                </c:pt>
              </c:numCache>
            </c:numRef>
          </c:val>
          <c:extLst>
            <c:ext xmlns:c16="http://schemas.microsoft.com/office/drawing/2014/chart" uri="{C3380CC4-5D6E-409C-BE32-E72D297353CC}">
              <c16:uniqueId val="{00000000-52E2-411C-A64D-44777ED4A53A}"/>
            </c:ext>
          </c:extLst>
        </c:ser>
        <c:ser>
          <c:idx val="1"/>
          <c:order val="1"/>
          <c:tx>
            <c:strRef>
              <c:f>'Ratio Anay.'!$A$27:$B$27</c:f>
              <c:strCache>
                <c:ptCount val="2"/>
                <c:pt idx="0">
                  <c:v>Cash Flow to Debt Ratio</c:v>
                </c:pt>
                <c:pt idx="1">
                  <c:v>Operating Cash Flow ÷ Total Liabilities</c:v>
                </c:pt>
              </c:strCache>
            </c:strRef>
          </c:tx>
          <c:spPr>
            <a:solidFill>
              <a:schemeClr val="accent2"/>
            </a:solidFill>
            <a:ln>
              <a:noFill/>
            </a:ln>
            <a:effectLst/>
          </c:spPr>
          <c:cat>
            <c:numRef>
              <c:f>'Ratio Anay.'!$C$25:$G$25</c:f>
              <c:numCache>
                <c:formatCode>General</c:formatCode>
                <c:ptCount val="5"/>
                <c:pt idx="0">
                  <c:v>2021</c:v>
                </c:pt>
                <c:pt idx="1">
                  <c:v>2022</c:v>
                </c:pt>
                <c:pt idx="2">
                  <c:v>2023</c:v>
                </c:pt>
                <c:pt idx="3">
                  <c:v>2024</c:v>
                </c:pt>
                <c:pt idx="4">
                  <c:v>2025</c:v>
                </c:pt>
              </c:numCache>
            </c:numRef>
          </c:cat>
          <c:val>
            <c:numRef>
              <c:f>'Ratio Anay.'!$C$27:$G$27</c:f>
              <c:numCache>
                <c:formatCode>General</c:formatCode>
                <c:ptCount val="5"/>
                <c:pt idx="0">
                  <c:v>0.05</c:v>
                </c:pt>
                <c:pt idx="1">
                  <c:v>0.1</c:v>
                </c:pt>
                <c:pt idx="2">
                  <c:v>0.12</c:v>
                </c:pt>
                <c:pt idx="3">
                  <c:v>0.09</c:v>
                </c:pt>
                <c:pt idx="4">
                  <c:v>0.11</c:v>
                </c:pt>
              </c:numCache>
            </c:numRef>
          </c:val>
          <c:extLst>
            <c:ext xmlns:c16="http://schemas.microsoft.com/office/drawing/2014/chart" uri="{C3380CC4-5D6E-409C-BE32-E72D297353CC}">
              <c16:uniqueId val="{00000001-52E2-411C-A64D-44777ED4A53A}"/>
            </c:ext>
          </c:extLst>
        </c:ser>
        <c:dLbls>
          <c:showLegendKey val="0"/>
          <c:showVal val="0"/>
          <c:showCatName val="0"/>
          <c:showSerName val="0"/>
          <c:showPercent val="0"/>
          <c:showBubbleSize val="0"/>
        </c:dLbls>
        <c:axId val="661794703"/>
        <c:axId val="661796143"/>
      </c:areaChart>
      <c:catAx>
        <c:axId val="661794703"/>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1796143"/>
        <c:crosses val="autoZero"/>
        <c:auto val="1"/>
        <c:lblAlgn val="ctr"/>
        <c:lblOffset val="100"/>
        <c:noMultiLvlLbl val="0"/>
      </c:catAx>
      <c:valAx>
        <c:axId val="661796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179470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21</Pages>
  <Words>6337</Words>
  <Characters>36125</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 Bhavsar</dc:creator>
  <cp:keywords/>
  <dc:description/>
  <cp:lastModifiedBy>Priyanka Bhavsar</cp:lastModifiedBy>
  <cp:revision>74</cp:revision>
  <dcterms:created xsi:type="dcterms:W3CDTF">2026-07-22T22:27:00Z</dcterms:created>
  <dcterms:modified xsi:type="dcterms:W3CDTF">2026-07-24T12:24:00Z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39a405b6-1825-4edc-a502-39cf8f30983e</vt:lpwstr>
  </property>
</Properties>
</file>