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401B9"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Student Name: Rhian STICKLER </w:t>
      </w:r>
      <w:r w:rsidRPr="00EA51C7">
        <w:rPr>
          <w:rFonts w:ascii="Arial" w:hAnsi="Arial" w:cs="Arial"/>
          <w:sz w:val="24"/>
          <w:szCs w:val="24"/>
        </w:rPr>
        <w:tab/>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Student ID Number: 1815682</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Module: Operational Police Practice 2</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Module Code: BMPP5002D</w:t>
      </w:r>
      <w:bookmarkStart w:id="0" w:name="_GoBack"/>
      <w:bookmarkEnd w:id="0"/>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Assignment 1</w:t>
      </w:r>
    </w:p>
    <w:p w:rsidR="00EA51C7" w:rsidRPr="00EA51C7" w:rsidRDefault="00EA51C7" w:rsidP="00EA51C7">
      <w:pPr>
        <w:spacing w:line="360" w:lineRule="auto"/>
        <w:rPr>
          <w:rFonts w:ascii="Arial" w:hAnsi="Arial" w:cs="Arial"/>
          <w:b/>
          <w:sz w:val="24"/>
          <w:szCs w:val="24"/>
        </w:rPr>
      </w:pPr>
      <w:r w:rsidRPr="00EA51C7">
        <w:rPr>
          <w:rFonts w:ascii="Arial" w:hAnsi="Arial" w:cs="Arial"/>
          <w:b/>
          <w:sz w:val="24"/>
          <w:szCs w:val="24"/>
        </w:rPr>
        <w:t>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This essay attempts to analyse the potential links between serious and organised crime and public protection issues and assesses the role and impact of MAPPA. I will consider the use of community intelligence in managing offenders and evaluate the effectiveness of current public protection practices in investigating public protection incidents. I will also discuss the effect of media coverage on public protection policing strategy.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Multi Agency Public Protection Arrangements (MAPPA) were brought into practice in 2003 following the Criminal Justice Act, after increased public unrest regarding the management of dangerous offenders. It was made legislation that the ‘Responsible Authority’, consisting of the police, prison and probation services must work together to share information amongst each other regarding violent and sexual offenders, particularly following their release from prison and during their reintegration to society. Other key agencies, such as children’s services, social services, local housing authorities and NHS trusts have a duty to co-operate with the responsible authority by sharing information in order to best manage the risk of harm that the offender could pose to the general public.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To ensure that the risk to the public is managed, eligible offenders must first be identified and the likelihood of them reoffending determined. Once this information is recognised, contingency plans can be put in place to reduce the risk and prevent </w:t>
      </w:r>
      <w:r w:rsidRPr="00EA51C7">
        <w:rPr>
          <w:rFonts w:ascii="Arial" w:hAnsi="Arial" w:cs="Arial"/>
          <w:sz w:val="24"/>
          <w:szCs w:val="24"/>
        </w:rPr>
        <w:lastRenderedPageBreak/>
        <w:t xml:space="preserve">offenders from reoffending. By encompassing a multi-agency approach, MAPPA ensures that all relevant agencies remain informed of offender movements, enabling them to implement contingency plans should the need arise. This ensures the effective supervision and management of the offender, which in turn will lead to protecting the community in the most efficient way.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A particular model that was set up to deliver effective information sharing is the Multi Agency Safeguarding HUB (MASH), whereby individuals from the police, children’s and adult services are co-located to improve information sharing and respond more effectively to safeguarding needs (College of Policing). Daily meetings are held within the MASH to ensure that all cases can be reviewed and assessed, encouraging a joint decision making response from individuals involved to effectively manage risk and stage appropriate interventions.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An emerging and ever growing issue for the police force is serious and organised crime (SOC). Although there is no set definition of SOC, organised crime is serious crime planned, coordinated and conducted by people working together on a continuing basis. Their motivation is often, but not always, financial gain (GOV.UK). While MAPPA can be used to prevent and monitor serious and organised crime by identifying individuals that are involved in SOC and managing offenders, SOC gangs are continually developing new ways to commit these crimes. An example of this could be selling drugs through the newly emerged county lines techniques, as this is often difficult to identify.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Community intelligence plays a significant role in the disruption of criminal activity and maintaining public protection as members of the community could provide police with vital information that could disrupt ongoing criminal activity and prevent risk of harm to the public. For this reason, community intelligence is heavily relied upon, and therefore it is important that strong relationships and rapport are built between the police and the community. Working with members of the community for intelligence purposes contributes to community safety in a more covert manner, as it is a less visible way of gathering vital information. Members of the community are living amongst these offenders and by knowing who they are, they could bring any unusual or significant activity to the attention of police. This could be whereby an </w:t>
      </w:r>
      <w:r w:rsidRPr="00EA51C7">
        <w:rPr>
          <w:rFonts w:ascii="Arial" w:hAnsi="Arial" w:cs="Arial"/>
          <w:sz w:val="24"/>
          <w:szCs w:val="24"/>
        </w:rPr>
        <w:lastRenderedPageBreak/>
        <w:t xml:space="preserve">offender is involving themselves with children or other vulnerable persons, when their license conditions are that they are not to have any contact.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As a result of this intelligence shared between the police and community, relevant public protection notices can be submitted which are shared between the appropriate agencies. This could in turn spark a multi-agency meeting to discuss any SOC strategy and public protection issues. This could be in the form of educating the vulnerable individual to deter them from engaging in criminal activity, or disrupting the dangerous offender by making them subject to a CAWN - what is this</w:t>
      </w:r>
      <w:proofErr w:type="gramStart"/>
      <w:r w:rsidRPr="00EA51C7">
        <w:rPr>
          <w:rFonts w:ascii="Arial" w:hAnsi="Arial" w:cs="Arial"/>
          <w:sz w:val="24"/>
          <w:szCs w:val="24"/>
        </w:rPr>
        <w:t>?.</w:t>
      </w:r>
      <w:proofErr w:type="gramEnd"/>
      <w:r w:rsidRPr="00EA51C7">
        <w:rPr>
          <w:rFonts w:ascii="Arial" w:hAnsi="Arial" w:cs="Arial"/>
          <w:sz w:val="24"/>
          <w:szCs w:val="24"/>
        </w:rPr>
        <w:t xml:space="preserve"> A current public protection practice that helps to protect the public from risk is by use of a Sexual Harm Prevention Order. Offenders can be made subject to a SHPO if it is deemed necessary to protect the public from sexual harm, requiring the offender to notify police of their name and address, enabling their movements to be monitored.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Although methods such as MAPPA and community intelligence have proved effective for managing offenders, there are still issues of human error where information is not shared appropriately. The dangerous person’s database, known as VISOR is a central database whereby information regarding ‘</w:t>
      </w:r>
      <w:proofErr w:type="spellStart"/>
      <w:r w:rsidRPr="00EA51C7">
        <w:rPr>
          <w:rFonts w:ascii="Arial" w:hAnsi="Arial" w:cs="Arial"/>
          <w:sz w:val="24"/>
          <w:szCs w:val="24"/>
        </w:rPr>
        <w:t>nominals</w:t>
      </w:r>
      <w:proofErr w:type="spellEnd"/>
      <w:r w:rsidRPr="00EA51C7">
        <w:rPr>
          <w:rFonts w:ascii="Arial" w:hAnsi="Arial" w:cs="Arial"/>
          <w:sz w:val="24"/>
          <w:szCs w:val="24"/>
        </w:rPr>
        <w:t xml:space="preserve">’ is stored. Its effectiveness is dependent on the quality and timeliness of information and intelligence recorded within it, and consistency in the interpretation of that data (College of Policing).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An example where data was not interpreted efficiently is the high profile case of the </w:t>
      </w:r>
      <w:proofErr w:type="spellStart"/>
      <w:r w:rsidRPr="00EA51C7">
        <w:rPr>
          <w:rFonts w:ascii="Arial" w:hAnsi="Arial" w:cs="Arial"/>
          <w:sz w:val="24"/>
          <w:szCs w:val="24"/>
        </w:rPr>
        <w:t>Soham</w:t>
      </w:r>
      <w:proofErr w:type="spellEnd"/>
      <w:r w:rsidRPr="00EA51C7">
        <w:rPr>
          <w:rFonts w:ascii="Arial" w:hAnsi="Arial" w:cs="Arial"/>
          <w:sz w:val="24"/>
          <w:szCs w:val="24"/>
        </w:rPr>
        <w:t xml:space="preserve"> murders, whereby two school girls, Hollie and Jessica were abducted and killed by the school caretaker, Ian Huntley. Huntley was already known to police and social services in relation to sexual offences, however these were failed to be identified as linked and he was never cautioned or prosecuted. This raises the question; how did he manage to get a job working with children in the first place? Simply down to the improper use of and sharing of information, as a result of human error. The impact of the media coverage raised by this case had significantly changed public protection processes, as a result of several recommendations that were made as part of the </w:t>
      </w:r>
      <w:proofErr w:type="spellStart"/>
      <w:r w:rsidRPr="00EA51C7">
        <w:rPr>
          <w:rFonts w:ascii="Arial" w:hAnsi="Arial" w:cs="Arial"/>
          <w:sz w:val="24"/>
          <w:szCs w:val="24"/>
        </w:rPr>
        <w:t>Bichard</w:t>
      </w:r>
      <w:proofErr w:type="spellEnd"/>
      <w:r w:rsidRPr="00EA51C7">
        <w:rPr>
          <w:rFonts w:ascii="Arial" w:hAnsi="Arial" w:cs="Arial"/>
          <w:sz w:val="24"/>
          <w:szCs w:val="24"/>
        </w:rPr>
        <w:t xml:space="preserve"> Enquiry.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In conclusion, a key element of protecting the public is the proper use and sharing of information. Effective use of MAPPA contributes significantly to ensuring the protection of the public, particularly when involving serious offenders and serious </w:t>
      </w:r>
      <w:r w:rsidRPr="00EA51C7">
        <w:rPr>
          <w:rFonts w:ascii="Arial" w:hAnsi="Arial" w:cs="Arial"/>
          <w:sz w:val="24"/>
          <w:szCs w:val="24"/>
        </w:rPr>
        <w:lastRenderedPageBreak/>
        <w:t xml:space="preserve">and organised crime. It is clear from this research that there are underlying issues with MAPPA, predominantly in the past, whereby the streamlined process of sharing information has not been effective. However, human error could always play a part, and therefore processes must be in place to ensure regular sharing of information, and interventions staged as a result of this information play a considerable part in protecting the public.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I am looking forward to undertaking my attachment with the Public Protection Unit to further expand my knowledge of this subject and to see public protection strategies in practice.</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Word count: 1085</w:t>
      </w:r>
    </w:p>
    <w:p w:rsidR="00EA51C7" w:rsidRPr="00EA51C7" w:rsidRDefault="00EA51C7" w:rsidP="00EA51C7">
      <w:pPr>
        <w:spacing w:line="360" w:lineRule="auto"/>
        <w:rPr>
          <w:rFonts w:ascii="Arial" w:hAnsi="Arial" w:cs="Arial"/>
          <w:b/>
          <w:sz w:val="24"/>
          <w:szCs w:val="24"/>
          <w:u w:val="single"/>
        </w:rPr>
      </w:pPr>
      <w:r w:rsidRPr="00EA51C7">
        <w:rPr>
          <w:rFonts w:ascii="Arial" w:hAnsi="Arial" w:cs="Arial"/>
          <w:b/>
          <w:sz w:val="24"/>
          <w:szCs w:val="24"/>
          <w:u w:val="single"/>
        </w:rPr>
        <w:t>References &amp; Bibliography</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Blackstones policing handbook for students 2019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Public Protection power point – Moodle </w:t>
      </w:r>
    </w:p>
    <w:p w:rsidR="00EA51C7" w:rsidRPr="00EA51C7" w:rsidRDefault="00EA51C7" w:rsidP="00EA51C7">
      <w:pPr>
        <w:spacing w:line="360" w:lineRule="auto"/>
        <w:rPr>
          <w:rFonts w:ascii="Arial" w:hAnsi="Arial" w:cs="Arial"/>
          <w:sz w:val="24"/>
          <w:szCs w:val="24"/>
          <w:u w:val="single"/>
        </w:rPr>
      </w:pPr>
      <w:hyperlink r:id="rId4" w:history="1">
        <w:r w:rsidRPr="00EA51C7">
          <w:rPr>
            <w:rStyle w:val="Hyperlink"/>
            <w:rFonts w:ascii="Arial" w:hAnsi="Arial" w:cs="Arial"/>
            <w:sz w:val="24"/>
            <w:szCs w:val="24"/>
          </w:rPr>
          <w:t>https://assets.publishing.service.gov.uk/government/uploads/system/uploads/attachment_data/file/338875/MASH.pdf</w:t>
        </w:r>
      </w:hyperlink>
    </w:p>
    <w:p w:rsidR="00EA51C7" w:rsidRPr="00EA51C7" w:rsidRDefault="00EA51C7" w:rsidP="00EA51C7">
      <w:pPr>
        <w:spacing w:line="360" w:lineRule="auto"/>
        <w:rPr>
          <w:rFonts w:ascii="Arial" w:hAnsi="Arial" w:cs="Arial"/>
          <w:sz w:val="24"/>
          <w:szCs w:val="24"/>
          <w:u w:val="single"/>
        </w:rPr>
      </w:pPr>
      <w:hyperlink r:id="rId5" w:history="1">
        <w:r w:rsidRPr="00EA51C7">
          <w:rPr>
            <w:rStyle w:val="Hyperlink"/>
            <w:rFonts w:ascii="Arial" w:hAnsi="Arial" w:cs="Arial"/>
            <w:sz w:val="24"/>
            <w:szCs w:val="24"/>
          </w:rPr>
          <w:t>https://www.app.college.police.uk/app-content/major-investigation-and-public-protection/domestic-abuse/partnership-working-and-multi-agency-responses/#multi-agency-safeguarding-hubs</w:t>
        </w:r>
      </w:hyperlink>
    </w:p>
    <w:p w:rsidR="00EA51C7" w:rsidRPr="00EA51C7" w:rsidRDefault="00EA51C7" w:rsidP="00EA51C7">
      <w:pPr>
        <w:spacing w:line="360" w:lineRule="auto"/>
        <w:rPr>
          <w:rFonts w:ascii="Arial" w:hAnsi="Arial" w:cs="Arial"/>
          <w:sz w:val="24"/>
          <w:szCs w:val="24"/>
          <w:u w:val="single"/>
        </w:rPr>
      </w:pPr>
      <w:hyperlink r:id="rId6" w:history="1">
        <w:r w:rsidRPr="00EA51C7">
          <w:rPr>
            <w:rStyle w:val="Hyperlink"/>
            <w:rFonts w:ascii="Arial" w:hAnsi="Arial" w:cs="Arial"/>
            <w:sz w:val="24"/>
            <w:szCs w:val="24"/>
          </w:rPr>
          <w:t>https://assets.publishing.service.gov.uk/government/uploads/system/uploads/attachment_data/file/248645/Serious_and_Organised_Crime_Strategy.pdf</w:t>
        </w:r>
      </w:hyperlink>
    </w:p>
    <w:p w:rsidR="00EA51C7" w:rsidRPr="00EA51C7" w:rsidRDefault="00EA51C7" w:rsidP="00EA51C7">
      <w:pPr>
        <w:spacing w:line="360" w:lineRule="auto"/>
        <w:rPr>
          <w:rFonts w:ascii="Arial" w:hAnsi="Arial" w:cs="Arial"/>
          <w:sz w:val="24"/>
          <w:szCs w:val="24"/>
        </w:rPr>
      </w:pPr>
    </w:p>
    <w:p w:rsidR="00EA51C7" w:rsidRPr="00E4250B" w:rsidRDefault="00EA51C7" w:rsidP="00EA51C7">
      <w:pPr>
        <w:spacing w:before="240" w:after="0" w:line="360" w:lineRule="auto"/>
        <w:ind w:left="426"/>
        <w:jc w:val="both"/>
        <w:rPr>
          <w:rFonts w:ascii="Arial" w:eastAsia="Times New Roman" w:hAnsi="Arial" w:cs="Arial"/>
          <w:sz w:val="24"/>
          <w:szCs w:val="24"/>
          <w:lang w:eastAsia="en-GB"/>
        </w:rPr>
      </w:pPr>
      <w:r w:rsidRPr="00E4250B">
        <w:rPr>
          <w:rFonts w:ascii="Arial" w:eastAsia="Times New Roman" w:hAnsi="Arial" w:cs="Arial"/>
          <w:b/>
          <w:bCs/>
          <w:sz w:val="24"/>
          <w:szCs w:val="24"/>
          <w:lang w:eastAsia="en-GB"/>
        </w:rPr>
        <w:t>Title 2: Analyse the role of professional standards and independent bodies such as the IOPC or HMICFRS in holding the police accountable to the public and the impact of malpractice and corruption on policing using examples to support your argument.</w:t>
      </w:r>
    </w:p>
    <w:p w:rsidR="00EA51C7" w:rsidRPr="00E4250B" w:rsidRDefault="00EA51C7" w:rsidP="00EA51C7">
      <w:pPr>
        <w:spacing w:line="360" w:lineRule="auto"/>
        <w:rPr>
          <w:rFonts w:ascii="Arial" w:eastAsia="Times New Roman" w:hAnsi="Arial" w:cs="Arial"/>
          <w:sz w:val="24"/>
          <w:szCs w:val="24"/>
          <w:lang w:eastAsia="en-GB"/>
        </w:rPr>
      </w:pPr>
      <w:r w:rsidRPr="00EA51C7">
        <w:rPr>
          <w:rFonts w:ascii="Arial" w:eastAsia="Times New Roman" w:hAnsi="Arial" w:cs="Arial"/>
          <w:sz w:val="24"/>
          <w:szCs w:val="24"/>
          <w:lang w:eastAsia="en-GB"/>
        </w:rPr>
        <w:t> </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sz w:val="24"/>
          <w:szCs w:val="24"/>
          <w:lang w:eastAsia="en-GB"/>
        </w:rPr>
        <w:t xml:space="preserve">This essay attempts to analyse and illustrate the role professional standards and independent bodies such as the IOPC or HMICFRS play in holding the police </w:t>
      </w:r>
      <w:r w:rsidRPr="00E4250B">
        <w:rPr>
          <w:rFonts w:ascii="Arial" w:eastAsia="Times New Roman" w:hAnsi="Arial" w:cs="Arial"/>
          <w:sz w:val="24"/>
          <w:szCs w:val="24"/>
          <w:lang w:eastAsia="en-GB"/>
        </w:rPr>
        <w:lastRenderedPageBreak/>
        <w:t xml:space="preserve">accountable. It also highlights the impact that malpractice and corruption could have on the culture and reputation of the police force. </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sz w:val="24"/>
          <w:szCs w:val="24"/>
          <w:lang w:eastAsia="en-GB"/>
        </w:rPr>
        <w:t xml:space="preserve">The Code of Ethics, produced by the College of Policing (July 2014), is an important public document, articulating the high standards and expectations that the public should expect. It sets out 9 policing principles, encompassing attributes of ‘Fairness’ and ‘Respect’. It is designed to empower policing colleagues to challenge unethical behaviour. The code highlights many principles, including honesty, integrity and confidentiality, e.g. stating what information can be shared with other agencies and the public. An example of where a principle was called into question, was the allegation made against DCI April </w:t>
      </w:r>
      <w:proofErr w:type="spellStart"/>
      <w:r w:rsidRPr="00E4250B">
        <w:rPr>
          <w:rFonts w:ascii="Arial" w:eastAsia="Times New Roman" w:hAnsi="Arial" w:cs="Arial"/>
          <w:sz w:val="24"/>
          <w:szCs w:val="24"/>
          <w:lang w:eastAsia="en-GB"/>
        </w:rPr>
        <w:t>Casburn</w:t>
      </w:r>
      <w:proofErr w:type="spellEnd"/>
      <w:r w:rsidRPr="00E4250B">
        <w:rPr>
          <w:rFonts w:ascii="Arial" w:eastAsia="Times New Roman" w:hAnsi="Arial" w:cs="Arial"/>
          <w:sz w:val="24"/>
          <w:szCs w:val="24"/>
          <w:lang w:eastAsia="en-GB"/>
        </w:rPr>
        <w:t>, who allegedly sold information to the national press (Channel 4, 2013). The code also stipulates the requirement to consider the needs of victims and witnesses and a requirement for an open minded, non-judgemental or bias regard towards a situation. </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sz w:val="24"/>
          <w:szCs w:val="24"/>
          <w:lang w:eastAsia="en-GB"/>
        </w:rPr>
        <w:t xml:space="preserve">In addition to this code, ten standards of professional behaviour set out minimum expectations that all trainee and confirmed police officers must maintain (Blackstones 2019). These standards should be integral to the decisions making process for every officer, guiding policing behaviours and a culture to act with honesty, integrity and ensuring diligence when exercising duties and responsibilities. They also ensure that the police force treat people with respect and courtesy, acting with self-control regardless of any ‘red mist’ that may occur whilst dealing with a difficult situation, or one that misaligns with an individual officers’ personal beliefs or values. </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sz w:val="24"/>
          <w:szCs w:val="24"/>
          <w:lang w:eastAsia="en-GB"/>
        </w:rPr>
        <w:t xml:space="preserve">However, when incidents occur, where police officers or staff may have made an unethical or questionable decisions, investigations can be completed internally by the Professional Standards Department (PSD) or independently through bodies such as the Independent Office for Police Conduct (IOPC) or Her Majesty's Inspectorate of Constabulary and Fire &amp; Rescue Services (HMICFRS). </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sz w:val="24"/>
          <w:szCs w:val="24"/>
          <w:lang w:eastAsia="en-GB"/>
        </w:rPr>
        <w:t xml:space="preserve">The PSD is a department within each police force that aims to ensure that complaints are dealt with appropriately. Its role is to receive, record and investigate misconduct allegations received both internally and externally. It will also aim to resolve the matter and in so doing always records details of its investigations (HMICFRS 2019). The PSD will often take on matters where conduct does not amount to serious injury or death, where a member of the public has not been adversely affected by said conduct and </w:t>
      </w:r>
      <w:r w:rsidRPr="00E4250B">
        <w:rPr>
          <w:rFonts w:ascii="Arial" w:eastAsia="Times New Roman" w:hAnsi="Arial" w:cs="Arial"/>
          <w:sz w:val="24"/>
          <w:szCs w:val="24"/>
          <w:lang w:eastAsia="en-GB"/>
        </w:rPr>
        <w:lastRenderedPageBreak/>
        <w:t>where the conduct does not seem likely to amount to a notifiable offence. Issues and allegations that are thought to exceed these tolerances or limits are referred externally to the IOPC for independent investigation.  </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sz w:val="24"/>
          <w:szCs w:val="24"/>
          <w:lang w:eastAsia="en-GB"/>
        </w:rPr>
        <w:t>The IOPC oversees the police complaints system in England and Wales. They investigate the most serious matters, including deaths following police contact, and set the standards by which the police must handle complaints. They are independent and make decisions entirely impartially of the police and government (</w:t>
      </w:r>
      <w:r w:rsidRPr="00E4250B">
        <w:rPr>
          <w:rFonts w:ascii="Arial" w:eastAsia="Times New Roman" w:hAnsi="Arial" w:cs="Arial"/>
          <w:sz w:val="24"/>
          <w:szCs w:val="24"/>
          <w:shd w:val="clear" w:color="auto" w:fill="FFFFFF"/>
          <w:lang w:eastAsia="en-GB"/>
        </w:rPr>
        <w:t>Who we are | Independent Office for Police Conduct).</w:t>
      </w:r>
      <w:r w:rsidRPr="00E4250B">
        <w:rPr>
          <w:rFonts w:ascii="Arial" w:eastAsia="Times New Roman" w:hAnsi="Arial" w:cs="Arial"/>
          <w:color w:val="FF0000"/>
          <w:sz w:val="24"/>
          <w:szCs w:val="24"/>
          <w:shd w:val="clear" w:color="auto" w:fill="FFFFFF"/>
          <w:lang w:eastAsia="en-GB"/>
        </w:rPr>
        <w:t> </w:t>
      </w:r>
      <w:r w:rsidRPr="00E4250B">
        <w:rPr>
          <w:rFonts w:ascii="Arial" w:eastAsia="Times New Roman" w:hAnsi="Arial" w:cs="Arial"/>
          <w:color w:val="000000"/>
          <w:sz w:val="24"/>
          <w:szCs w:val="24"/>
          <w:shd w:val="clear" w:color="auto" w:fill="FFFFFF"/>
          <w:lang w:eastAsia="en-GB"/>
        </w:rPr>
        <w:t xml:space="preserve">As a result of their independent status, they fulfil an integral part in holding the police accountable to the public, as their decisions cannot be influenced by any internal powers or prejudices from within the police service. This arrangement creates the environment that is best able to ensure a fair and un-biased investigation takes place, and that any misconduct made by individual police officers, or more broadly, can be appropriately assessed with thorough scrutiny. The independent nature also enables transparent findings to be recorded as an outcome of their investigation. They publish anonymised investigation summaries, briefly explaining the circumstances that prompted the investigation, the evidence gathered and their conclusions. </w:t>
      </w:r>
      <w:r w:rsidRPr="00E4250B">
        <w:rPr>
          <w:rFonts w:ascii="Arial" w:eastAsia="Times New Roman" w:hAnsi="Arial" w:cs="Arial"/>
          <w:sz w:val="24"/>
          <w:szCs w:val="24"/>
          <w:lang w:eastAsia="en-GB"/>
        </w:rPr>
        <w:t>Themes and principles of their investigations are used as learning, which in turn influence changes and reform in policing (</w:t>
      </w:r>
      <w:r w:rsidRPr="00E4250B">
        <w:rPr>
          <w:rFonts w:ascii="Arial" w:eastAsia="Times New Roman" w:hAnsi="Arial" w:cs="Arial"/>
          <w:color w:val="000000"/>
          <w:sz w:val="24"/>
          <w:szCs w:val="24"/>
          <w:shd w:val="clear" w:color="auto" w:fill="FFFFFF"/>
          <w:lang w:eastAsia="en-GB"/>
        </w:rPr>
        <w:t>Independent Office for Police Conduct).</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color w:val="000000"/>
          <w:sz w:val="24"/>
          <w:szCs w:val="24"/>
          <w:shd w:val="clear" w:color="auto" w:fill="FFFFFF"/>
          <w:lang w:eastAsia="en-GB"/>
        </w:rPr>
        <w:t>An example of an externally assess case, that occurred within South Wales Police, was an incident referred to the IOP</w:t>
      </w:r>
      <w:r w:rsidRPr="00E4250B">
        <w:rPr>
          <w:rFonts w:ascii="Arial" w:eastAsia="Times New Roman" w:hAnsi="Arial" w:cs="Arial"/>
          <w:sz w:val="24"/>
          <w:szCs w:val="24"/>
          <w:shd w:val="clear" w:color="auto" w:fill="FFFFFF"/>
          <w:lang w:eastAsia="en-GB"/>
        </w:rPr>
        <w:t xml:space="preserve">C. The matter involved a female prisoner who become unwell whilst in police custody, after ingesting tablets that were still concealed in her underwear after being searched. </w:t>
      </w:r>
      <w:r w:rsidRPr="00E4250B">
        <w:rPr>
          <w:rFonts w:ascii="Arial" w:eastAsia="Times New Roman" w:hAnsi="Arial" w:cs="Arial"/>
          <w:color w:val="000000"/>
          <w:sz w:val="24"/>
          <w:szCs w:val="24"/>
          <w:shd w:val="clear" w:color="auto" w:fill="FFFFFF"/>
          <w:lang w:eastAsia="en-GB"/>
        </w:rPr>
        <w:t xml:space="preserve">The forced recognised that this situation could have led to a public outcry of dissatisfaction, suggesting that the female should never have had the tablets on her person and that the process of implementing a thorough search prior to being detained, as per standard procedure, had been ineffective, which in turn created the opportunity for the female to become unwell. Having assessed the case, the force referred the matter externally to the IOPC, it transpired during their independent investigation, that the officers conveying the female to custody were aware that she had tablets on her person, but did not inform the custody sergeant, and only a cursory search was only undertaken rather than a full strip search. </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color w:val="000000"/>
          <w:sz w:val="24"/>
          <w:szCs w:val="24"/>
          <w:shd w:val="clear" w:color="auto" w:fill="FFFFFF"/>
          <w:lang w:eastAsia="en-GB"/>
        </w:rPr>
        <w:lastRenderedPageBreak/>
        <w:t>The IOPC, concluding their investigation, reported no evidence that the officers had deliberately withheld information from the custody sergeant regarding the woman’s medication, therefore deeming that oversight could be adequately dealt with locally by the force in the form of a management action. This process involves highlighting how the actions and behaviour of the individual officers fell short of the standards of professional behaviour and identifying expectations for future conduct, thus holding them accountable for their actions. </w:t>
      </w:r>
    </w:p>
    <w:p w:rsidR="00EA51C7" w:rsidRPr="00E4250B" w:rsidRDefault="00EA51C7" w:rsidP="00EA51C7">
      <w:pPr>
        <w:spacing w:line="360" w:lineRule="auto"/>
        <w:jc w:val="both"/>
        <w:rPr>
          <w:rFonts w:ascii="Arial" w:eastAsia="Times New Roman" w:hAnsi="Arial" w:cs="Arial"/>
          <w:sz w:val="24"/>
          <w:szCs w:val="24"/>
          <w:lang w:eastAsia="en-GB"/>
        </w:rPr>
      </w:pPr>
      <w:r w:rsidRPr="00E4250B">
        <w:rPr>
          <w:rFonts w:ascii="Arial" w:eastAsia="Times New Roman" w:hAnsi="Arial" w:cs="Arial"/>
          <w:color w:val="000000"/>
          <w:sz w:val="24"/>
          <w:szCs w:val="24"/>
          <w:shd w:val="clear" w:color="auto" w:fill="FFFFFF"/>
          <w:lang w:eastAsia="en-GB"/>
        </w:rPr>
        <w:t xml:space="preserve">The proactive action taken by South Wales Police and the referral made to IOPC in relation to this case, served 2 purposes. Firstly, the independent assurance IOPC provided over any malpractice, but also, importantly, the steps taken enhance public confidence and remove any perceived claims of internal corruption. These actions further support and evidence that ethical standards were achieved by the force, building the culture and reputation the organisation values with the local community. </w:t>
      </w:r>
    </w:p>
    <w:p w:rsidR="00EA51C7" w:rsidRPr="00EA51C7" w:rsidRDefault="00EA51C7" w:rsidP="00EA51C7">
      <w:pPr>
        <w:spacing w:line="360" w:lineRule="auto"/>
        <w:jc w:val="both"/>
        <w:rPr>
          <w:rFonts w:ascii="Arial" w:eastAsia="Times New Roman" w:hAnsi="Arial" w:cs="Arial"/>
          <w:color w:val="000000"/>
          <w:sz w:val="24"/>
          <w:szCs w:val="24"/>
          <w:shd w:val="clear" w:color="auto" w:fill="FFFFFF"/>
          <w:lang w:eastAsia="en-GB"/>
        </w:rPr>
      </w:pPr>
      <w:r w:rsidRPr="00E4250B">
        <w:rPr>
          <w:rFonts w:ascii="Arial" w:eastAsia="Times New Roman" w:hAnsi="Arial" w:cs="Arial"/>
          <w:color w:val="000000"/>
          <w:sz w:val="24"/>
          <w:szCs w:val="24"/>
          <w:shd w:val="clear" w:color="auto" w:fill="FFFFFF"/>
          <w:lang w:eastAsia="en-GB"/>
        </w:rPr>
        <w:t xml:space="preserve">In conclusion, </w:t>
      </w:r>
      <w:r w:rsidRPr="00EA51C7">
        <w:rPr>
          <w:rFonts w:ascii="Arial" w:eastAsia="Times New Roman" w:hAnsi="Arial" w:cs="Arial"/>
          <w:color w:val="000000"/>
          <w:sz w:val="24"/>
          <w:szCs w:val="24"/>
          <w:shd w:val="clear" w:color="auto" w:fill="FFFFFF"/>
          <w:lang w:eastAsia="en-GB"/>
        </w:rPr>
        <w:t>it’s</w:t>
      </w:r>
      <w:r w:rsidRPr="00E4250B">
        <w:rPr>
          <w:rFonts w:ascii="Arial" w:eastAsia="Times New Roman" w:hAnsi="Arial" w:cs="Arial"/>
          <w:color w:val="000000"/>
          <w:sz w:val="24"/>
          <w:szCs w:val="24"/>
          <w:shd w:val="clear" w:color="auto" w:fill="FFFFFF"/>
          <w:lang w:eastAsia="en-GB"/>
        </w:rPr>
        <w:t xml:space="preserve"> clear that the code of ethics and the 10 standards of professional behaviour provide effective frameworks for police forces, officers and staff. However, importantly, the code of ethics being a public document also creates transparency and trust between the public and police. The role of internal investigation through the PSD and the external independent work carried by IOPC and HMICFRS create a clear way of investigating allegations of malpractice and corruption, all aimed at enhancing public confidence and trust by holding police accountable. As a result of researching this matte, it has assisted me in further understanding what is expected of me in my role as a Police Officer and how I play a part in upholding the professional standards of South Wales Police. </w:t>
      </w:r>
    </w:p>
    <w:p w:rsidR="00EA51C7" w:rsidRPr="00E4250B" w:rsidRDefault="00EA51C7" w:rsidP="00EA51C7">
      <w:pPr>
        <w:spacing w:line="360" w:lineRule="auto"/>
        <w:jc w:val="both"/>
        <w:rPr>
          <w:rFonts w:ascii="Arial" w:eastAsia="Times New Roman" w:hAnsi="Arial" w:cs="Arial"/>
          <w:sz w:val="24"/>
          <w:szCs w:val="24"/>
          <w:lang w:eastAsia="en-GB"/>
        </w:rPr>
      </w:pPr>
      <w:r w:rsidRPr="00EA51C7">
        <w:rPr>
          <w:rFonts w:ascii="Arial" w:eastAsia="Times New Roman" w:hAnsi="Arial" w:cs="Arial"/>
          <w:color w:val="000000"/>
          <w:sz w:val="24"/>
          <w:szCs w:val="24"/>
          <w:shd w:val="clear" w:color="auto" w:fill="FFFFFF"/>
          <w:lang w:eastAsia="en-GB"/>
        </w:rPr>
        <w:t>Word count: 1078</w:t>
      </w:r>
    </w:p>
    <w:p w:rsidR="00EA51C7" w:rsidRPr="00E4250B" w:rsidRDefault="00EA51C7" w:rsidP="00EA51C7">
      <w:pPr>
        <w:spacing w:line="360" w:lineRule="auto"/>
        <w:rPr>
          <w:rFonts w:ascii="Arial" w:eastAsia="Times New Roman" w:hAnsi="Arial" w:cs="Arial"/>
          <w:sz w:val="24"/>
          <w:szCs w:val="24"/>
          <w:lang w:eastAsia="en-GB"/>
        </w:rPr>
      </w:pPr>
      <w:r w:rsidRPr="00E4250B">
        <w:rPr>
          <w:rFonts w:ascii="Arial" w:eastAsia="Times New Roman" w:hAnsi="Arial" w:cs="Arial"/>
          <w:color w:val="000000"/>
          <w:sz w:val="24"/>
          <w:szCs w:val="24"/>
          <w:shd w:val="clear" w:color="auto" w:fill="FFFFFF"/>
          <w:lang w:eastAsia="en-GB"/>
        </w:rPr>
        <w:t> </w:t>
      </w:r>
    </w:p>
    <w:p w:rsidR="00EA51C7" w:rsidRPr="00E4250B" w:rsidRDefault="00EA51C7" w:rsidP="00EA51C7">
      <w:pPr>
        <w:spacing w:line="360" w:lineRule="auto"/>
        <w:rPr>
          <w:rFonts w:ascii="Arial" w:eastAsia="Times New Roman" w:hAnsi="Arial" w:cs="Arial"/>
          <w:sz w:val="24"/>
          <w:szCs w:val="24"/>
          <w:lang w:eastAsia="en-GB"/>
        </w:rPr>
      </w:pPr>
      <w:r w:rsidRPr="00E4250B">
        <w:rPr>
          <w:rFonts w:ascii="Arial" w:eastAsia="Times New Roman" w:hAnsi="Arial" w:cs="Arial"/>
          <w:b/>
          <w:bCs/>
          <w:sz w:val="24"/>
          <w:szCs w:val="24"/>
          <w:u w:val="single"/>
          <w:lang w:eastAsia="en-GB"/>
        </w:rPr>
        <w:t xml:space="preserve">References &amp; Bibliography </w:t>
      </w:r>
    </w:p>
    <w:p w:rsidR="00EA51C7" w:rsidRPr="00EA51C7" w:rsidRDefault="00EA51C7" w:rsidP="00EA51C7">
      <w:pPr>
        <w:spacing w:line="360" w:lineRule="auto"/>
        <w:rPr>
          <w:rFonts w:ascii="Arial" w:eastAsia="Times New Roman" w:hAnsi="Arial" w:cs="Arial"/>
          <w:sz w:val="24"/>
          <w:szCs w:val="24"/>
          <w:lang w:eastAsia="en-GB"/>
        </w:rPr>
      </w:pPr>
      <w:r w:rsidRPr="00EA51C7">
        <w:rPr>
          <w:rFonts w:ascii="Arial" w:eastAsia="Times New Roman" w:hAnsi="Arial" w:cs="Arial"/>
          <w:sz w:val="24"/>
          <w:szCs w:val="24"/>
          <w:lang w:eastAsia="en-GB"/>
        </w:rPr>
        <w:t xml:space="preserve">Blackstones Handbook for Policing Students 2019 </w:t>
      </w:r>
    </w:p>
    <w:p w:rsidR="00EA51C7" w:rsidRPr="00EA51C7" w:rsidRDefault="00EA51C7" w:rsidP="00EA51C7">
      <w:pPr>
        <w:spacing w:line="360" w:lineRule="auto"/>
        <w:rPr>
          <w:rFonts w:ascii="Arial" w:eastAsia="Times New Roman" w:hAnsi="Arial" w:cs="Arial"/>
          <w:sz w:val="24"/>
          <w:szCs w:val="24"/>
          <w:lang w:eastAsia="en-GB"/>
        </w:rPr>
      </w:pPr>
      <w:r w:rsidRPr="00EA51C7">
        <w:rPr>
          <w:rFonts w:ascii="Arial" w:eastAsia="Times New Roman" w:hAnsi="Arial" w:cs="Arial"/>
          <w:sz w:val="24"/>
          <w:szCs w:val="24"/>
          <w:lang w:eastAsia="en-GB"/>
        </w:rPr>
        <w:t>Professional Standards power point – Moodle</w:t>
      </w:r>
    </w:p>
    <w:p w:rsidR="00EA51C7" w:rsidRPr="00E4250B" w:rsidRDefault="00EA51C7" w:rsidP="00EA51C7">
      <w:pPr>
        <w:spacing w:line="360" w:lineRule="auto"/>
        <w:rPr>
          <w:rFonts w:ascii="Arial" w:eastAsia="Times New Roman" w:hAnsi="Arial" w:cs="Arial"/>
          <w:sz w:val="24"/>
          <w:szCs w:val="24"/>
          <w:lang w:eastAsia="en-GB"/>
        </w:rPr>
      </w:pPr>
      <w:r w:rsidRPr="00E4250B">
        <w:rPr>
          <w:rFonts w:ascii="Arial" w:eastAsia="Times New Roman" w:hAnsi="Arial" w:cs="Arial"/>
          <w:sz w:val="24"/>
          <w:szCs w:val="24"/>
          <w:lang w:eastAsia="en-GB"/>
        </w:rPr>
        <w:t xml:space="preserve">IOPC - </w:t>
      </w:r>
      <w:r w:rsidRPr="00E4250B">
        <w:rPr>
          <w:rFonts w:ascii="Arial" w:eastAsia="Times New Roman" w:hAnsi="Arial" w:cs="Arial"/>
          <w:color w:val="4A4A4A"/>
          <w:sz w:val="24"/>
          <w:szCs w:val="24"/>
          <w:shd w:val="clear" w:color="auto" w:fill="FAFAFA"/>
          <w:lang w:eastAsia="en-GB"/>
        </w:rPr>
        <w:t xml:space="preserve">Who we are. </w:t>
      </w:r>
      <w:hyperlink r:id="rId7" w:history="1">
        <w:r w:rsidRPr="00EA51C7">
          <w:rPr>
            <w:rFonts w:ascii="Arial" w:eastAsia="Times New Roman" w:hAnsi="Arial" w:cs="Arial"/>
            <w:color w:val="0000FF"/>
            <w:sz w:val="24"/>
            <w:szCs w:val="24"/>
            <w:u w:val="single"/>
            <w:lang w:eastAsia="en-GB"/>
          </w:rPr>
          <w:t>https://www.policeconduct.gov.uk/who-we-are</w:t>
        </w:r>
      </w:hyperlink>
      <w:r w:rsidRPr="00E4250B">
        <w:rPr>
          <w:rFonts w:ascii="Arial" w:eastAsia="Times New Roman" w:hAnsi="Arial" w:cs="Arial"/>
          <w:sz w:val="24"/>
          <w:szCs w:val="24"/>
          <w:lang w:eastAsia="en-GB"/>
        </w:rPr>
        <w:t xml:space="preserve"> - </w:t>
      </w:r>
    </w:p>
    <w:p w:rsidR="00EA51C7" w:rsidRPr="00E4250B" w:rsidRDefault="00EA51C7" w:rsidP="00EA51C7">
      <w:pPr>
        <w:spacing w:after="0" w:line="360" w:lineRule="auto"/>
        <w:rPr>
          <w:rFonts w:ascii="Arial" w:eastAsia="Times New Roman" w:hAnsi="Arial" w:cs="Arial"/>
          <w:sz w:val="24"/>
          <w:szCs w:val="24"/>
          <w:lang w:eastAsia="en-GB"/>
        </w:rPr>
      </w:pPr>
      <w:r w:rsidRPr="00E4250B">
        <w:rPr>
          <w:rFonts w:ascii="Arial" w:eastAsia="Times New Roman" w:hAnsi="Arial" w:cs="Arial"/>
          <w:sz w:val="24"/>
          <w:szCs w:val="24"/>
          <w:lang w:eastAsia="en-GB"/>
        </w:rPr>
        <w:lastRenderedPageBreak/>
        <w:t xml:space="preserve">HMICFRS April 2019. Professional standard department (PSD) </w:t>
      </w:r>
      <w:hyperlink r:id="rId8" w:history="1">
        <w:r w:rsidRPr="00EA51C7">
          <w:rPr>
            <w:rFonts w:ascii="Arial" w:eastAsia="Times New Roman" w:hAnsi="Arial" w:cs="Arial"/>
            <w:color w:val="0000FF"/>
            <w:sz w:val="24"/>
            <w:szCs w:val="24"/>
            <w:u w:val="single"/>
            <w:lang w:eastAsia="en-GB"/>
          </w:rPr>
          <w:t>https://www.justiceinspectorates.gov.uk/hmicfrs/glossary/professional-standards-department/</w:t>
        </w:r>
      </w:hyperlink>
    </w:p>
    <w:p w:rsidR="00EA51C7" w:rsidRPr="00E4250B" w:rsidRDefault="00EA51C7" w:rsidP="00EA51C7">
      <w:pPr>
        <w:spacing w:after="0" w:line="360" w:lineRule="auto"/>
        <w:rPr>
          <w:rFonts w:ascii="Arial" w:eastAsia="Times New Roman" w:hAnsi="Arial" w:cs="Arial"/>
          <w:sz w:val="24"/>
          <w:szCs w:val="24"/>
          <w:lang w:eastAsia="en-GB"/>
        </w:rPr>
      </w:pPr>
      <w:r w:rsidRPr="00EA51C7">
        <w:rPr>
          <w:rFonts w:ascii="Arial" w:eastAsia="Times New Roman" w:hAnsi="Arial" w:cs="Arial"/>
          <w:sz w:val="24"/>
          <w:szCs w:val="24"/>
          <w:lang w:eastAsia="en-GB"/>
        </w:rPr>
        <w:t> </w:t>
      </w:r>
    </w:p>
    <w:p w:rsidR="00EA51C7" w:rsidRPr="00E4250B" w:rsidRDefault="00EA51C7" w:rsidP="00EA51C7">
      <w:pPr>
        <w:spacing w:after="0" w:line="360" w:lineRule="auto"/>
        <w:rPr>
          <w:rFonts w:ascii="Arial" w:eastAsia="Times New Roman" w:hAnsi="Arial" w:cs="Arial"/>
          <w:sz w:val="24"/>
          <w:szCs w:val="24"/>
          <w:lang w:eastAsia="en-GB"/>
        </w:rPr>
      </w:pPr>
      <w:r w:rsidRPr="00E4250B">
        <w:rPr>
          <w:rFonts w:ascii="Arial" w:eastAsia="Times New Roman" w:hAnsi="Arial" w:cs="Arial"/>
          <w:sz w:val="24"/>
          <w:szCs w:val="24"/>
          <w:lang w:eastAsia="en-GB"/>
        </w:rPr>
        <w:t xml:space="preserve">Channel 4 news </w:t>
      </w:r>
    </w:p>
    <w:p w:rsidR="00EA51C7" w:rsidRPr="00EA51C7" w:rsidRDefault="00EA51C7" w:rsidP="00EA51C7">
      <w:pPr>
        <w:spacing w:after="0" w:line="360" w:lineRule="auto"/>
        <w:rPr>
          <w:rFonts w:ascii="Arial" w:eastAsia="Times New Roman" w:hAnsi="Arial" w:cs="Arial"/>
          <w:sz w:val="24"/>
          <w:szCs w:val="24"/>
          <w:lang w:eastAsia="en-GB"/>
        </w:rPr>
      </w:pPr>
      <w:hyperlink r:id="rId9" w:history="1">
        <w:r w:rsidRPr="00EA51C7">
          <w:rPr>
            <w:rFonts w:ascii="Arial" w:eastAsia="Times New Roman" w:hAnsi="Arial" w:cs="Arial"/>
            <w:color w:val="0000FF"/>
            <w:sz w:val="24"/>
            <w:szCs w:val="24"/>
            <w:u w:val="single"/>
            <w:lang w:eastAsia="en-GB"/>
          </w:rPr>
          <w:t>https://www.channel4.com/news/detective-april-casburn-i-was-foolish-to-contact-notw</w:t>
        </w:r>
      </w:hyperlink>
    </w:p>
    <w:p w:rsidR="00EA51C7" w:rsidRPr="00E4250B" w:rsidRDefault="00EA51C7" w:rsidP="00EA51C7">
      <w:pPr>
        <w:spacing w:after="0" w:line="360" w:lineRule="auto"/>
        <w:rPr>
          <w:rFonts w:ascii="Arial" w:eastAsia="Times New Roman" w:hAnsi="Arial" w:cs="Arial"/>
          <w:sz w:val="24"/>
          <w:szCs w:val="24"/>
          <w:lang w:eastAsia="en-GB"/>
        </w:rPr>
      </w:pPr>
    </w:p>
    <w:p w:rsidR="00EA51C7" w:rsidRPr="00EA51C7" w:rsidRDefault="00EA51C7" w:rsidP="00EA51C7">
      <w:pPr>
        <w:spacing w:line="360" w:lineRule="auto"/>
        <w:rPr>
          <w:rFonts w:ascii="Arial" w:hAnsi="Arial" w:cs="Arial"/>
          <w:sz w:val="24"/>
          <w:szCs w:val="24"/>
        </w:rPr>
      </w:pPr>
      <w:r w:rsidRPr="00EA51C7">
        <w:rPr>
          <w:rFonts w:ascii="Arial" w:eastAsia="Times New Roman" w:hAnsi="Arial" w:cs="Arial"/>
          <w:color w:val="000000"/>
          <w:sz w:val="24"/>
          <w:szCs w:val="24"/>
          <w:shd w:val="clear" w:color="auto" w:fill="FFFFFF"/>
          <w:lang w:eastAsia="en-GB"/>
        </w:rPr>
        <w:t>Code of Ethics</w:t>
      </w:r>
      <w:proofErr w:type="gramStart"/>
      <w:r w:rsidRPr="00EA51C7">
        <w:rPr>
          <w:rFonts w:ascii="Arial" w:eastAsia="Times New Roman" w:hAnsi="Arial" w:cs="Arial"/>
          <w:color w:val="000000"/>
          <w:sz w:val="24"/>
          <w:szCs w:val="24"/>
          <w:shd w:val="clear" w:color="auto" w:fill="FFFFFF"/>
          <w:lang w:eastAsia="en-GB"/>
        </w:rPr>
        <w:t>  -</w:t>
      </w:r>
      <w:proofErr w:type="gramEnd"/>
      <w:r w:rsidRPr="00EA51C7">
        <w:rPr>
          <w:rFonts w:ascii="Arial" w:eastAsia="Times New Roman" w:hAnsi="Arial" w:cs="Arial"/>
          <w:color w:val="0099DD"/>
          <w:sz w:val="24"/>
          <w:szCs w:val="24"/>
          <w:shd w:val="clear" w:color="auto" w:fill="F6F7F8"/>
          <w:lang w:eastAsia="en-GB"/>
        </w:rPr>
        <w:t> </w:t>
      </w:r>
      <w:hyperlink r:id="rId10" w:history="1">
        <w:r w:rsidRPr="00EA51C7">
          <w:rPr>
            <w:rFonts w:ascii="Arial" w:eastAsia="Times New Roman" w:hAnsi="Arial" w:cs="Arial"/>
            <w:color w:val="0000FF"/>
            <w:sz w:val="24"/>
            <w:szCs w:val="24"/>
            <w:u w:val="single"/>
            <w:lang w:eastAsia="en-GB"/>
          </w:rPr>
          <w:t>https://www.college.police.uk/What-we-do/Ethics/Ethics-home/Pages/Code-of-Ethics.aspx</w:t>
        </w:r>
      </w:hyperlink>
    </w:p>
    <w:p w:rsidR="00EA51C7" w:rsidRPr="00EA51C7" w:rsidRDefault="00EA51C7" w:rsidP="00EA51C7">
      <w:pPr>
        <w:spacing w:line="360" w:lineRule="auto"/>
        <w:rPr>
          <w:rFonts w:ascii="Arial" w:hAnsi="Arial" w:cs="Arial"/>
          <w:sz w:val="24"/>
          <w:szCs w:val="24"/>
        </w:rPr>
      </w:pPr>
    </w:p>
    <w:p w:rsidR="00EA51C7" w:rsidRPr="00EA51C7" w:rsidRDefault="00EA51C7" w:rsidP="00EA51C7">
      <w:pPr>
        <w:spacing w:line="360" w:lineRule="auto"/>
        <w:rPr>
          <w:rFonts w:ascii="Arial" w:hAnsi="Arial" w:cs="Arial"/>
          <w:b/>
          <w:sz w:val="24"/>
          <w:szCs w:val="24"/>
        </w:rPr>
      </w:pPr>
      <w:r w:rsidRPr="00EA51C7">
        <w:rPr>
          <w:rFonts w:ascii="Arial" w:hAnsi="Arial" w:cs="Arial"/>
          <w:b/>
          <w:sz w:val="24"/>
          <w:szCs w:val="24"/>
        </w:rPr>
        <w:t>Title 3: Analyse the developing issues of youth gangs, and why people are drawn into becoming part of a gang culture.</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This essay seeks to understand the developing issues of youth gangs, illustrating why people are drawn into becoming part of gang culture. I will consider how gangs target vulnerable people and those at risk of harm, encompassing the theories of victimology into my assessment.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Defining a gang can prove difficult, as they tend to fall into three categories: peer groups, street gangs and organised crime groups. Street gangs can be described as group of predominantly street based criminals, often centred on young people who engage in a range of criminal and violent activity.  This activity is commonly drug based which can fuel conflict with similar or rival gangs over territory and money. UK legislation defines a gang as a group that consists of at least three people, uses a name, emblem or colour or any other identifiable characteristic; and is associated with a particular area (s 34 (5) of the Policing and Crime Act 2009).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Organised crime gangs involve a more sophisticated level of criminals, mainly controlled by adults, who associate with crime for their own personal or financial gain. This tier of gang often conduct more serious and organised crime, such as exploiting vulnerable young people or adults to sell drugs through a system known as ‘County Lines’. County Lines is where illegal drugs are transported from one area to another, often across police and local authority boundaries, usually by children or vulnerable people who are coerced into it by gangs. The ‘County Line’ is the mobile </w:t>
      </w:r>
      <w:r w:rsidRPr="00EA51C7">
        <w:rPr>
          <w:rFonts w:ascii="Arial" w:hAnsi="Arial" w:cs="Arial"/>
          <w:sz w:val="24"/>
          <w:szCs w:val="24"/>
        </w:rPr>
        <w:lastRenderedPageBreak/>
        <w:t xml:space="preserve">phone line used to take the orders of drugs. The areas where the drugs are taken to, known as ‘Importing areas’, are reporting increased levels of violence and weapons-related crimes as a result of this trend (National Crime Agency).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Although county lines is commonly associated with organised crime gangs, I would argue that the level of violence that surrounds county lines is a developing issue of youth gangs. This is due to the significant links between the two, as they exploit young and vulnerable persons into becoming trapped amongst a high level of violence such as forcing them to carry and use weapons for their own protection and gang status. This is reinforced by the NCA’s research on weapons-related crimes increasing as a result of county lines. Statistics show that youths, defined by the United Nations as ‘persons between the ages of 15 and 24’, were responsible for more than half of knife-related crime in 2017 (Mayor of London).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Gangs are able to facilitate the successful use of county lines by targeting vulnerable people. They use methods known as ‘cuckooing’, whereby they befriend a vulnerable person who has access to their own property and they then acquire this property by force or coercion to use this as a base for their activity. Vulnerable persons can be described as individuals that suffer from physical or mental illness, come from a dysfunctional household, have drug and alcohol dependency issues or have been victims of abuse previously. People at risk of harm, such as looked after children, </w:t>
      </w:r>
      <w:proofErr w:type="gramStart"/>
      <w:r w:rsidRPr="00EA51C7">
        <w:rPr>
          <w:rFonts w:ascii="Arial" w:hAnsi="Arial" w:cs="Arial"/>
          <w:sz w:val="24"/>
          <w:szCs w:val="24"/>
        </w:rPr>
        <w:t>are</w:t>
      </w:r>
      <w:proofErr w:type="gramEnd"/>
      <w:r w:rsidRPr="00EA51C7">
        <w:rPr>
          <w:rFonts w:ascii="Arial" w:hAnsi="Arial" w:cs="Arial"/>
          <w:sz w:val="24"/>
          <w:szCs w:val="24"/>
        </w:rPr>
        <w:t xml:space="preserve"> also targeted by gangs as they are perceived as more vulnerable due to the instability in their home life. These children are groomed by gang members and are often sexually exploited and trafficked around the country.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While most youths and vulnerable people are targeted by gangs into operations such as County Lines, research suggests that some youths are actually drawn in to being part of gang culture due to various social, economic and cultural factors. One meticulous factor that could entice youth’s into joining a gang could be wanting to feel a sense of belonging and ‘improve’ their social status. This could be particularly prevalent if they did not form strong emotional relationships with their families or friends due to childhood neglect, leaving them susceptible to forming bonds elsewhere. Childhood neglect could be categorised as Adverse Childhood Experience (ACE), which are potentially traumatic events that occur during childhood. As a result of this, the behaviour of the young person could alter and their </w:t>
      </w:r>
      <w:r w:rsidRPr="00EA51C7">
        <w:rPr>
          <w:rFonts w:ascii="Arial" w:hAnsi="Arial" w:cs="Arial"/>
          <w:sz w:val="24"/>
          <w:szCs w:val="24"/>
        </w:rPr>
        <w:lastRenderedPageBreak/>
        <w:t xml:space="preserve">ability to form attachments weakened, resulting in the feeling that the only way to form strong emotional connections is to join a gang, hence the attraction to gang culture.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Suffering any form of neglect as a child indicates that the child had been ‘victimised’ previously. A victim can be defined as someone that has suffered harm, including physical, mental and emotional injury which can in turn alter their behaviours and wellbeing. Victims can often find themselves involved in criminal activity due to their altered behaviours, which not only emphasise the point above, regarding being attracted to gang culture by how vulnerable individuals are, but also the further victimisation that can follow. This aligns with the ‘Lifestyle’ theory of victimology, suggesting that that certain people may become the victims of crimes because of their lifestyles and choices (3 Modern Theories of Victimology, 2020).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As well as a sense of belonging, other reasons that youths may be attracted to gang culture include the need to access cash. Many youths that are attracted to gangs are vulnerable as they come from deprived and impoverished backgrounds and they can perceive joining a gang as a money-making opportunity. Other motives may include being attracted to the perceived ‘empowering’ and ‘untouchable’ status of being part of a gang. It can be thrilling to individuals that they can commit criminal activity frequently without penalty, due to the difficulty in identifying gang members, creating a high-intensity emotional experience. Young and vulnerable people may be easily groomed into thinking gang lifestyle is desirable owing to this. It is also becoming increasingly glamourized in youth culture through music, particularly ‘drill music’. Music videos posted online often feature hooded and masked gangs threatening each other, with lyrics about drugs, guns and stabbing rivals with knives (What is drill music and why is it seen as a problem? | ITV News, 2020). Some researchers stipulate that society must be cautious about labelling offenders as gang members as this may have the unwanted effect of a self-fulfilling prophecy, and make it difficult for supposed gang members to break away (Blackstones 2019).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In conclusion, it's clear from statistics that gangs and organised crimes groups are on the rise, with increasingly complicated structures and organisations. Furthermore, these groups are now enhanced and fuelled by more sophisticated communication methods. Individuals, primarily vulnerable, can find their social status drives them </w:t>
      </w:r>
      <w:r w:rsidRPr="00EA51C7">
        <w:rPr>
          <w:rFonts w:ascii="Arial" w:hAnsi="Arial" w:cs="Arial"/>
          <w:sz w:val="24"/>
          <w:szCs w:val="24"/>
        </w:rPr>
        <w:lastRenderedPageBreak/>
        <w:t>into this culture, becoming exploited and often unable to gain freedom. The role of community policing therefore plays an essential part in supporting both vulnerable individuals and removing organised crime and gangs from our society.</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Word count: 1094</w:t>
      </w:r>
    </w:p>
    <w:p w:rsidR="00EA51C7" w:rsidRPr="00EA51C7" w:rsidRDefault="00EA51C7" w:rsidP="00EA51C7">
      <w:pPr>
        <w:spacing w:line="360" w:lineRule="auto"/>
        <w:rPr>
          <w:rFonts w:ascii="Arial" w:hAnsi="Arial" w:cs="Arial"/>
          <w:b/>
          <w:sz w:val="24"/>
          <w:szCs w:val="24"/>
          <w:u w:val="single"/>
        </w:rPr>
      </w:pPr>
      <w:r w:rsidRPr="00EA51C7">
        <w:rPr>
          <w:rFonts w:ascii="Arial" w:hAnsi="Arial" w:cs="Arial"/>
          <w:b/>
          <w:sz w:val="24"/>
          <w:szCs w:val="24"/>
          <w:u w:val="single"/>
        </w:rPr>
        <w:t>References &amp; Bibliography</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Blackstones policing handbook for students 2019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Public Protection power point – Moodle </w:t>
      </w:r>
    </w:p>
    <w:p w:rsidR="00EA51C7" w:rsidRPr="00EA51C7" w:rsidRDefault="00EA51C7" w:rsidP="00EA51C7">
      <w:pPr>
        <w:spacing w:line="360" w:lineRule="auto"/>
        <w:rPr>
          <w:rFonts w:ascii="Arial" w:hAnsi="Arial" w:cs="Arial"/>
          <w:sz w:val="24"/>
          <w:szCs w:val="24"/>
          <w:u w:val="single"/>
        </w:rPr>
      </w:pPr>
      <w:hyperlink r:id="rId11" w:history="1">
        <w:r w:rsidRPr="00EA51C7">
          <w:rPr>
            <w:rStyle w:val="Hyperlink"/>
            <w:rFonts w:ascii="Arial" w:hAnsi="Arial" w:cs="Arial"/>
            <w:sz w:val="24"/>
            <w:szCs w:val="24"/>
          </w:rPr>
          <w:t>https://www.itv.com/news/london/2018-05-29/what-is-drill-music-and-why-is-it-seen-as-a-problem</w:t>
        </w:r>
      </w:hyperlink>
    </w:p>
    <w:p w:rsidR="00EA51C7" w:rsidRPr="00EA51C7" w:rsidRDefault="00EA51C7" w:rsidP="00EA51C7">
      <w:pPr>
        <w:spacing w:line="360" w:lineRule="auto"/>
        <w:rPr>
          <w:rFonts w:ascii="Arial" w:hAnsi="Arial" w:cs="Arial"/>
          <w:sz w:val="24"/>
          <w:szCs w:val="24"/>
          <w:u w:val="single"/>
        </w:rPr>
      </w:pPr>
      <w:hyperlink r:id="rId12" w:history="1">
        <w:r w:rsidRPr="00EA51C7">
          <w:rPr>
            <w:rStyle w:val="Hyperlink"/>
            <w:rFonts w:ascii="Arial" w:hAnsi="Arial" w:cs="Arial"/>
            <w:sz w:val="24"/>
            <w:szCs w:val="24"/>
          </w:rPr>
          <w:t>https://www.gcu.edu/blog/criminal-justice-government-and-public-administration/3-modern-theories-victimology</w:t>
        </w:r>
      </w:hyperlink>
    </w:p>
    <w:p w:rsidR="00EA51C7" w:rsidRPr="00EA51C7" w:rsidRDefault="00EA51C7" w:rsidP="00EA51C7">
      <w:pPr>
        <w:spacing w:line="360" w:lineRule="auto"/>
        <w:rPr>
          <w:rFonts w:ascii="Arial" w:hAnsi="Arial" w:cs="Arial"/>
          <w:sz w:val="24"/>
          <w:szCs w:val="24"/>
          <w:u w:val="single"/>
        </w:rPr>
      </w:pPr>
      <w:hyperlink r:id="rId13" w:history="1">
        <w:r w:rsidRPr="00EA51C7">
          <w:rPr>
            <w:rStyle w:val="Hyperlink"/>
            <w:rFonts w:ascii="Arial" w:hAnsi="Arial" w:cs="Arial"/>
            <w:sz w:val="24"/>
            <w:szCs w:val="24"/>
          </w:rPr>
          <w:t>https://www.nationalcrimeagency.gov.uk/what-we-do/crime-threats/drug-trafficking/county-lines</w:t>
        </w:r>
      </w:hyperlink>
    </w:p>
    <w:p w:rsidR="00EA51C7" w:rsidRPr="00EA51C7" w:rsidRDefault="00EA51C7" w:rsidP="00EA51C7">
      <w:pPr>
        <w:spacing w:line="360" w:lineRule="auto"/>
        <w:rPr>
          <w:rFonts w:ascii="Arial" w:hAnsi="Arial" w:cs="Arial"/>
          <w:sz w:val="24"/>
          <w:szCs w:val="24"/>
          <w:u w:val="single"/>
        </w:rPr>
      </w:pPr>
      <w:hyperlink r:id="rId14" w:history="1">
        <w:r w:rsidRPr="00EA51C7">
          <w:rPr>
            <w:rStyle w:val="Hyperlink"/>
            <w:rFonts w:ascii="Arial" w:hAnsi="Arial" w:cs="Arial"/>
            <w:sz w:val="24"/>
            <w:szCs w:val="24"/>
          </w:rPr>
          <w:t>https://www.un.org/esa/socdev/documents/youth/fact-sheets/youth-definition.pdf</w:t>
        </w:r>
      </w:hyperlink>
    </w:p>
    <w:p w:rsidR="00EA51C7" w:rsidRPr="00EA51C7" w:rsidRDefault="00EA51C7" w:rsidP="00EA51C7">
      <w:pPr>
        <w:spacing w:line="360" w:lineRule="auto"/>
        <w:rPr>
          <w:rFonts w:ascii="Arial" w:hAnsi="Arial" w:cs="Arial"/>
          <w:sz w:val="24"/>
          <w:szCs w:val="24"/>
          <w:u w:val="single"/>
        </w:rPr>
      </w:pPr>
      <w:hyperlink r:id="rId15" w:history="1">
        <w:r w:rsidRPr="00EA51C7">
          <w:rPr>
            <w:rStyle w:val="Hyperlink"/>
            <w:rFonts w:ascii="Arial" w:hAnsi="Arial" w:cs="Arial"/>
            <w:sz w:val="24"/>
            <w:szCs w:val="24"/>
          </w:rPr>
          <w:t>https://eachother.org.uk/young-people-gangs-risk-taking/</w:t>
        </w:r>
      </w:hyperlink>
    </w:p>
    <w:p w:rsidR="00EA51C7" w:rsidRPr="00EA51C7" w:rsidRDefault="00EA51C7" w:rsidP="00EA51C7">
      <w:pPr>
        <w:spacing w:line="360" w:lineRule="auto"/>
        <w:rPr>
          <w:rFonts w:ascii="Arial" w:hAnsi="Arial" w:cs="Arial"/>
          <w:sz w:val="24"/>
          <w:szCs w:val="24"/>
          <w:u w:val="single"/>
        </w:rPr>
      </w:pPr>
      <w:hyperlink r:id="rId16" w:history="1">
        <w:r w:rsidRPr="00EA51C7">
          <w:rPr>
            <w:rStyle w:val="Hyperlink"/>
            <w:rFonts w:ascii="Arial" w:hAnsi="Arial" w:cs="Arial"/>
            <w:sz w:val="24"/>
            <w:szCs w:val="24"/>
          </w:rPr>
          <w:t>https://rotherhamscb.proceduresonline.com/chapters/p_ch_affected_gang_act.html</w:t>
        </w:r>
      </w:hyperlink>
    </w:p>
    <w:p w:rsidR="00EA51C7" w:rsidRPr="00EA51C7" w:rsidRDefault="00EA51C7" w:rsidP="00EA51C7">
      <w:pPr>
        <w:spacing w:line="360" w:lineRule="auto"/>
        <w:rPr>
          <w:rFonts w:ascii="Arial" w:hAnsi="Arial" w:cs="Arial"/>
          <w:sz w:val="24"/>
          <w:szCs w:val="24"/>
        </w:rPr>
      </w:pPr>
    </w:p>
    <w:p w:rsidR="00EA51C7" w:rsidRPr="00EA51C7" w:rsidRDefault="00EA51C7" w:rsidP="00EA51C7">
      <w:pPr>
        <w:spacing w:line="360" w:lineRule="auto"/>
        <w:rPr>
          <w:rFonts w:ascii="Arial" w:hAnsi="Arial" w:cs="Arial"/>
          <w:b/>
          <w:sz w:val="24"/>
          <w:szCs w:val="24"/>
        </w:rPr>
      </w:pPr>
      <w:r w:rsidRPr="00EA51C7">
        <w:rPr>
          <w:rFonts w:ascii="Arial" w:hAnsi="Arial" w:cs="Arial"/>
          <w:b/>
          <w:sz w:val="24"/>
          <w:szCs w:val="24"/>
        </w:rPr>
        <w:t>Title 4: Critically evaluate the impact upon policing of differing values, ethics and norms within diverse communities and the importance of effective communication when working within these communities.</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This essay attempts to discuss the impact of differing values, ethics and norms on policing within diverse communities, and understand this from different perspectives. I will also consider the importance of effective communication when working within these communities.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Police officers are expected to abide by a code of ethics and professional standards which not only stipulate how they should behave on duty, but it extends to their personal life off duty too. Officers are expected to conduct themselves in a manner that is of a higher standard than the rest of society and lead by example, ensuring </w:t>
      </w:r>
      <w:r w:rsidRPr="00EA51C7">
        <w:rPr>
          <w:rFonts w:ascii="Arial" w:hAnsi="Arial" w:cs="Arial"/>
          <w:sz w:val="24"/>
          <w:szCs w:val="24"/>
        </w:rPr>
        <w:lastRenderedPageBreak/>
        <w:t xml:space="preserve">that they remain proud, professional and positive regardless of the situation that they are faced with. The fundamental principles of honesty, integrity, impartiality and fairness are heightened within the police force and any inappropriate behaviour can undermine the legitimacy of the police, resulting in a loss of public confidence and trust.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There is an increasing importance for the police to do the right thing in every situation irrespective of the characteristics of the person that they are dealing with. However, doing the right thing from an officer’s perspective may not always be aligned with the expectations and requirements of different communities, including those from ethnic or minority groups, who may adhere to different  values, ethics and norms. ‘Values’ are defined as ‘the principles that help you to decide what is right and wrong, and how to act in various situations’ (Cambridge dictionary). The values of an individual officer may also conflict with the processes and procedures of the police force that they are working for.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An example of potential misalignment links to the content of Article 10 of The Human Rights Act, Freedom of Expression. Article 10 protects your right to hold your own opinions and to express them freely without government interference. This includes the right to express your views aloud, for example through public protest and demonstrations (Equality and Human Rights Commission, 2020). This suggests that if a racist organisation wanted to march through a town centre, police should allow them to continue within reason as it is their human right to do so. This course of action may not always be supported by the local community, due to differing values and beliefs and could have a substantial impact on police community relationships, particularly from diverse or minority backgrounds.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Effective communication is crucial in this situation as this could cause severe detriment to the relationships between the public and the police should it appear that we are not abiding to the high ethical standards expected by our communities. It is important that it is explained that although the police are not stopping said demonstration, it does not mean that they support or condone their behaviour. If this is not communicated effectively it could not only undermine the legitimacy of the police and result in unwanted unrest and tension, but result in loss of trust and confidence of the public.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lastRenderedPageBreak/>
        <w:t>Applying the learning from this assignment and analysing the impact policing has on diverse cultures, a current and relevant example that supports this evaluation is the topic of is Female Genital Mutilation (FGM), which is particularly prevalent in the African culture, one of the diverse communities supported by the police. FGM is illegal in the UK as it is a violation of human rights, and it involves the partial or total removal of external female genitalia or other injury to the female genital organs for non-medical reasons (World Health Organisation). One of the most commonly cited reasons for FGM is to conform to social norms, as members of diverse communities feel pressured into being accepted by their communities through fear of being rejected. These are strong motivations to perpetuate the practice, as in some communities FGM is almost universally performed and unquestioned (World Health Organisation).</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As FGM is illegal in the UK, police officers have a duty of care to take positive action once they are made aware of any instances involving this practice. Officers have a duty to safeguard the victim without fear of being branded racist or culturally insensitive, however this could impact upon policing relationships with these diverse communities as taking action could be seen insulting or damaging to minority groups. This is reinforced by the College of Policing; “Officers should bear in mind that people living in communities where FGM is practised may not view the procedure as a form of mutilation. They may not, therefore, understand the term or recognise it as applying to their own practice, </w:t>
      </w:r>
      <w:proofErr w:type="spellStart"/>
      <w:r w:rsidRPr="00EA51C7">
        <w:rPr>
          <w:rFonts w:ascii="Arial" w:hAnsi="Arial" w:cs="Arial"/>
          <w:sz w:val="24"/>
          <w:szCs w:val="24"/>
        </w:rPr>
        <w:t>eg</w:t>
      </w:r>
      <w:proofErr w:type="spellEnd"/>
      <w:r w:rsidRPr="00EA51C7">
        <w:rPr>
          <w:rFonts w:ascii="Arial" w:hAnsi="Arial" w:cs="Arial"/>
          <w:sz w:val="24"/>
          <w:szCs w:val="24"/>
        </w:rPr>
        <w:t>, elongation, which does not involve cutting. They may also consider the term offensive.” This emphasises that effective communication is essential when faced with these situations and officers should always remain professional, regardless of their own personal values and norms. The impact of communicating effectively could result in salvaging relationships between the police and communities, as it could be portrayed as attempting to educate these communities on the practice as opposed to reprimanding them.</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The exploration of this topic does, however, raise questions concerning the moral equivalence of differing traditional practices involving invasive surgery. How is male circumcision widely accepted within communities, and the practice of FGM not? Research suggests that male circumcision is performed for health benefits, however FGM is performed predominantly for cultural practice. Brian D Earp, University of Oxford, prompts a valid argument; “Given that both male and female forms of genital </w:t>
      </w:r>
      <w:r w:rsidRPr="00EA51C7">
        <w:rPr>
          <w:rFonts w:ascii="Arial" w:hAnsi="Arial" w:cs="Arial"/>
          <w:sz w:val="24"/>
          <w:szCs w:val="24"/>
        </w:rPr>
        <w:lastRenderedPageBreak/>
        <w:t xml:space="preserve">cutting express different cultural norms depending upon the context, and are performed for different reasons in different cultures, and even in different communities or individual families, how shall we assess the permissibility of either?” As such, this could create an impression that police are discriminating against members of African communities and favouring members of Jewish communities. </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In conclusion, it is the responsibility of the police not to judge and prejudice, but to support and encourage all communities to develop strong and enduring relationships with the police. Effective communication is fundamental when building these relationships, therefore it is essential that officers remain professional when dealing with situations that not only conflict with their personal values and norms, but the high standard of ethics that they are expected to abide by when fulfilling their duties.</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Word count:  1028 </w:t>
      </w:r>
    </w:p>
    <w:p w:rsidR="00EA51C7" w:rsidRPr="00EA51C7" w:rsidRDefault="00EA51C7" w:rsidP="00EA51C7">
      <w:pPr>
        <w:spacing w:line="360" w:lineRule="auto"/>
        <w:rPr>
          <w:rFonts w:ascii="Arial" w:hAnsi="Arial" w:cs="Arial"/>
          <w:b/>
          <w:sz w:val="24"/>
          <w:szCs w:val="24"/>
          <w:u w:val="single"/>
        </w:rPr>
      </w:pPr>
      <w:r w:rsidRPr="00EA51C7">
        <w:rPr>
          <w:rFonts w:ascii="Arial" w:hAnsi="Arial" w:cs="Arial"/>
          <w:b/>
          <w:sz w:val="24"/>
          <w:szCs w:val="24"/>
          <w:u w:val="single"/>
        </w:rPr>
        <w:t>References &amp; Bibliography</w:t>
      </w:r>
    </w:p>
    <w:p w:rsidR="00EA51C7" w:rsidRPr="00EA51C7" w:rsidRDefault="00EA51C7" w:rsidP="00EA51C7">
      <w:pPr>
        <w:spacing w:line="360" w:lineRule="auto"/>
        <w:rPr>
          <w:rFonts w:ascii="Arial" w:hAnsi="Arial" w:cs="Arial"/>
          <w:sz w:val="24"/>
          <w:szCs w:val="24"/>
        </w:rPr>
      </w:pPr>
      <w:r w:rsidRPr="00EA51C7">
        <w:rPr>
          <w:rFonts w:ascii="Arial" w:hAnsi="Arial" w:cs="Arial"/>
          <w:sz w:val="24"/>
          <w:szCs w:val="24"/>
        </w:rPr>
        <w:t xml:space="preserve">Blackstones policing handbook for students 2019 </w:t>
      </w:r>
    </w:p>
    <w:p w:rsidR="00EA51C7" w:rsidRPr="00EA51C7" w:rsidRDefault="00EA51C7" w:rsidP="00EA51C7">
      <w:pPr>
        <w:spacing w:line="360" w:lineRule="auto"/>
        <w:rPr>
          <w:rFonts w:ascii="Arial" w:hAnsi="Arial" w:cs="Arial"/>
          <w:sz w:val="24"/>
          <w:szCs w:val="24"/>
          <w:u w:val="single"/>
        </w:rPr>
      </w:pPr>
      <w:hyperlink r:id="rId17" w:history="1">
        <w:r w:rsidRPr="00EA51C7">
          <w:rPr>
            <w:rStyle w:val="Hyperlink"/>
            <w:rFonts w:ascii="Arial" w:hAnsi="Arial" w:cs="Arial"/>
            <w:sz w:val="24"/>
            <w:szCs w:val="24"/>
          </w:rPr>
          <w:t>https://www.equalityhumanrights.com/en/human-rights-act/article-10-freedom-expression#:~:text=Article%2010%20of%20the%20Human,authority%20and%20regardless%20of%20frontiers</w:t>
        </w:r>
      </w:hyperlink>
      <w:r w:rsidRPr="00EA51C7">
        <w:rPr>
          <w:rFonts w:ascii="Arial" w:hAnsi="Arial" w:cs="Arial"/>
          <w:sz w:val="24"/>
          <w:szCs w:val="24"/>
          <w:u w:val="single"/>
        </w:rPr>
        <w:t>.</w:t>
      </w:r>
    </w:p>
    <w:p w:rsidR="00EA51C7" w:rsidRPr="00EA51C7" w:rsidRDefault="00EA51C7" w:rsidP="00EA51C7">
      <w:pPr>
        <w:spacing w:line="360" w:lineRule="auto"/>
        <w:rPr>
          <w:rFonts w:ascii="Arial" w:hAnsi="Arial" w:cs="Arial"/>
          <w:sz w:val="24"/>
          <w:szCs w:val="24"/>
          <w:u w:val="single"/>
        </w:rPr>
      </w:pPr>
      <w:hyperlink r:id="rId18" w:history="1">
        <w:r w:rsidRPr="00EA51C7">
          <w:rPr>
            <w:rStyle w:val="Hyperlink"/>
            <w:rFonts w:ascii="Arial" w:hAnsi="Arial" w:cs="Arial"/>
            <w:sz w:val="24"/>
            <w:szCs w:val="24"/>
          </w:rPr>
          <w:t>https://www.who.int/news-room/fact-sheets/detail/female-genital-mutilation</w:t>
        </w:r>
      </w:hyperlink>
    </w:p>
    <w:p w:rsidR="00EA51C7" w:rsidRPr="00EA51C7" w:rsidRDefault="00EA51C7" w:rsidP="00EA51C7">
      <w:pPr>
        <w:spacing w:line="360" w:lineRule="auto"/>
        <w:rPr>
          <w:rFonts w:ascii="Arial" w:hAnsi="Arial" w:cs="Arial"/>
          <w:sz w:val="24"/>
          <w:szCs w:val="24"/>
          <w:u w:val="single"/>
        </w:rPr>
      </w:pPr>
      <w:hyperlink r:id="rId19" w:history="1">
        <w:r w:rsidRPr="00EA51C7">
          <w:rPr>
            <w:rStyle w:val="Hyperlink"/>
            <w:rFonts w:ascii="Arial" w:hAnsi="Arial" w:cs="Arial"/>
            <w:sz w:val="24"/>
            <w:szCs w:val="24"/>
          </w:rPr>
          <w:t>https://www.app.college.police.uk/app-content/major-investigation-and-public-protection/female-genital-mutilation/</w:t>
        </w:r>
      </w:hyperlink>
    </w:p>
    <w:p w:rsidR="00EA51C7" w:rsidRPr="00EA51C7" w:rsidRDefault="00EA51C7" w:rsidP="00EA51C7">
      <w:pPr>
        <w:spacing w:line="360" w:lineRule="auto"/>
        <w:rPr>
          <w:rFonts w:ascii="Arial" w:hAnsi="Arial" w:cs="Arial"/>
          <w:sz w:val="24"/>
          <w:szCs w:val="24"/>
          <w:u w:val="single"/>
        </w:rPr>
      </w:pPr>
      <w:hyperlink r:id="rId20" w:history="1">
        <w:r w:rsidRPr="00EA51C7">
          <w:rPr>
            <w:rStyle w:val="Hyperlink"/>
            <w:rFonts w:ascii="Arial" w:hAnsi="Arial" w:cs="Arial"/>
            <w:sz w:val="24"/>
            <w:szCs w:val="24"/>
          </w:rPr>
          <w:t>https://aeon.co/essays/are-male-and-female-circumcision-morally-equivalent</w:t>
        </w:r>
      </w:hyperlink>
    </w:p>
    <w:p w:rsidR="00EA51C7" w:rsidRDefault="00EA51C7"/>
    <w:p w:rsidR="00EA51C7" w:rsidRDefault="00EA51C7"/>
    <w:sectPr w:rsidR="00EA51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1C7"/>
    <w:rsid w:val="0015710C"/>
    <w:rsid w:val="005401B9"/>
    <w:rsid w:val="00EA5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30C43"/>
  <w15:chartTrackingRefBased/>
  <w15:docId w15:val="{C382868A-761D-4BF8-A028-B8A30ED65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51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glossary/professional-standards-department/" TargetMode="External"/><Relationship Id="rId13" Type="http://schemas.openxmlformats.org/officeDocument/2006/relationships/hyperlink" Target="https://www.nationalcrimeagency.gov.uk/what-we-do/crime-threats/drug-trafficking/county-lines" TargetMode="External"/><Relationship Id="rId18" Type="http://schemas.openxmlformats.org/officeDocument/2006/relationships/hyperlink" Target="https://www.who.int/news-room/fact-sheets/detail/female-genital-mutilatio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policeconduct.gov.uk/who-we-are" TargetMode="External"/><Relationship Id="rId12" Type="http://schemas.openxmlformats.org/officeDocument/2006/relationships/hyperlink" Target="https://www.gcu.edu/blog/criminal-justice-government-and-public-administration/3-modern-theories-victimology" TargetMode="External"/><Relationship Id="rId17" Type="http://schemas.openxmlformats.org/officeDocument/2006/relationships/hyperlink" Target="https://www.equalityhumanrights.com/en/human-rights-act/article-10-freedom-expression#:~:text=Article%2010%20of%20the%20Human,authority%20and%20regardless%20of%20frontiers" TargetMode="External"/><Relationship Id="rId2" Type="http://schemas.openxmlformats.org/officeDocument/2006/relationships/settings" Target="settings.xml"/><Relationship Id="rId16" Type="http://schemas.openxmlformats.org/officeDocument/2006/relationships/hyperlink" Target="https://rotherhamscb.proceduresonline.com/chapters/p_ch_affected_gang_act.html" TargetMode="External"/><Relationship Id="rId20" Type="http://schemas.openxmlformats.org/officeDocument/2006/relationships/hyperlink" Target="https://aeon.co/essays/are-male-and-female-circumcision-morally-equivalent" TargetMode="Externa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248645/Serious_and_Organised_Crime_Strategy.pdf" TargetMode="External"/><Relationship Id="rId11" Type="http://schemas.openxmlformats.org/officeDocument/2006/relationships/hyperlink" Target="https://www.itv.com/news/london/2018-05-29/what-is-drill-music-and-why-is-it-seen-as-a-problem" TargetMode="External"/><Relationship Id="rId5" Type="http://schemas.openxmlformats.org/officeDocument/2006/relationships/hyperlink" Target="https://www.app.college.police.uk/app-content/major-investigation-and-public-protection/domestic-abuse/partnership-working-and-multi-agency-responses/#multi-agency-safeguarding-hubs" TargetMode="External"/><Relationship Id="rId15" Type="http://schemas.openxmlformats.org/officeDocument/2006/relationships/hyperlink" Target="https://eachother.org.uk/young-people-gangs-risk-taking/" TargetMode="External"/><Relationship Id="rId10" Type="http://schemas.openxmlformats.org/officeDocument/2006/relationships/hyperlink" Target="https://www.college.police.uk/What-we-do/Ethics/Ethics-home/Pages/Code-of-Ethics.aspx" TargetMode="External"/><Relationship Id="rId19" Type="http://schemas.openxmlformats.org/officeDocument/2006/relationships/hyperlink" Target="https://www.app.college.police.uk/app-content/major-investigation-and-public-protection/female-genital-mutilation/" TargetMode="External"/><Relationship Id="rId4" Type="http://schemas.openxmlformats.org/officeDocument/2006/relationships/hyperlink" Target="https://assets.publishing.service.gov.uk/government/uploads/system/uploads/attachment_data/file/338875/MASH.pdf" TargetMode="External"/><Relationship Id="rId9" Type="http://schemas.openxmlformats.org/officeDocument/2006/relationships/hyperlink" Target="https://www.channel4.com/news/detective-april-casburn-i-was-foolish-to-contact-notw" TargetMode="External"/><Relationship Id="rId14" Type="http://schemas.openxmlformats.org/officeDocument/2006/relationships/hyperlink" Target="https://www.un.org/esa/socdev/documents/youth/fact-sheets/youth-definitio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4924</Words>
  <Characters>28071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Stickler,Rhian swp6423</dc:creator>
  <cp:keywords/>
  <dc:description/>
  <cp:lastModifiedBy>Stickler,Rhian swp6423</cp:lastModifiedBy>
  <cp:revision>2</cp:revision>
  <dcterms:created xsi:type="dcterms:W3CDTF">2020-08-24T08:38:00Z</dcterms:created>
  <dcterms:modified xsi:type="dcterms:W3CDTF">2020-08-24T08:38:00Z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f9ceeef3-37e6-4cb6-9d3c-b75cc3beab9e</vt:lpwstr>
  </property>
</Properties>
</file>