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11523" w:rsidRDefault="00D11523" w:rsidP="00D11523">
      <w:pPr>
        <w:tabs>
          <w:tab w:val="left" w:pos="6210"/>
        </w:tabs>
        <w:spacing w:after="0" w:line="480" w:lineRule="auto"/>
        <w:rPr>
          <w:rFonts w:ascii="Arial" w:hAnsi="Arial" w:cs="Arial"/>
          <w:color w:val="auto"/>
          <w:sz w:val="24"/>
          <w:szCs w:val="24"/>
        </w:rPr>
      </w:pPr>
    </w:p>
    <w:p w:rsidR="00D11523" w:rsidRDefault="00D11523" w:rsidP="00D11523">
      <w:pPr>
        <w:spacing w:after="0" w:line="480" w:lineRule="auto"/>
        <w:jc w:val="center"/>
        <w:rPr>
          <w:rFonts w:ascii="Arial" w:hAnsi="Arial" w:cs="Arial"/>
          <w:sz w:val="24"/>
          <w:szCs w:val="24"/>
          <w:shd w:val="clear" w:color="auto" w:fill="FFFFFF"/>
        </w:rPr>
      </w:pPr>
      <w:r>
        <w:rPr>
          <w:rFonts w:ascii="Arial" w:hAnsi="Arial" w:cs="Arial"/>
          <w:noProof/>
          <w:sz w:val="24"/>
          <w:szCs w:val="24"/>
          <w:shd w:val="clear" w:color="auto" w:fill="FFFFFF"/>
        </w:rPr>
        <w:drawing>
          <wp:inline distT="0" distB="0" distL="0" distR="0">
            <wp:extent cx="5731510" cy="2240915"/>
            <wp:effectExtent l="0" t="0" r="254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31510" cy="2240915"/>
                    </a:xfrm>
                    <a:prstGeom prst="rect">
                      <a:avLst/>
                    </a:prstGeom>
                    <a:noFill/>
                    <a:ln>
                      <a:noFill/>
                    </a:ln>
                  </pic:spPr>
                </pic:pic>
              </a:graphicData>
            </a:graphic>
          </wp:inline>
        </w:drawing>
      </w:r>
      <w:r>
        <w:rPr>
          <w:rFonts w:ascii="Arial" w:hAnsi="Arial" w:cs="Arial"/>
          <w:sz w:val="24"/>
          <w:szCs w:val="24"/>
        </w:rPr>
        <w:br/>
      </w:r>
    </w:p>
    <w:p w:rsidR="00D11523" w:rsidRDefault="00D11523" w:rsidP="00D11523">
      <w:pPr>
        <w:pStyle w:val="Photo"/>
        <w:rPr>
          <w:rFonts w:ascii="Arial" w:hAnsi="Arial" w:cs="Arial"/>
          <w:color w:val="auto"/>
          <w:sz w:val="44"/>
          <w:szCs w:val="44"/>
        </w:rPr>
      </w:pPr>
      <w:r>
        <w:rPr>
          <w:rFonts w:ascii="Arial" w:hAnsi="Arial" w:cs="Arial"/>
          <w:color w:val="auto"/>
          <w:sz w:val="44"/>
          <w:szCs w:val="44"/>
        </w:rPr>
        <w:t>International Hotel Management</w:t>
      </w:r>
    </w:p>
    <w:p w:rsidR="00D11523" w:rsidRDefault="00D11523" w:rsidP="00D11523">
      <w:pPr>
        <w:spacing w:after="0" w:line="480" w:lineRule="auto"/>
        <w:jc w:val="center"/>
        <w:rPr>
          <w:rFonts w:ascii="Arial" w:hAnsi="Arial" w:cs="Arial"/>
          <w:sz w:val="28"/>
          <w:szCs w:val="28"/>
        </w:rPr>
      </w:pPr>
    </w:p>
    <w:p w:rsidR="00D11523" w:rsidRDefault="00D11523" w:rsidP="00D11523">
      <w:pPr>
        <w:spacing w:after="0" w:line="480" w:lineRule="auto"/>
        <w:jc w:val="center"/>
        <w:rPr>
          <w:rFonts w:ascii="Arial" w:hAnsi="Arial" w:cs="Arial"/>
          <w:sz w:val="28"/>
          <w:szCs w:val="28"/>
          <w:shd w:val="clear" w:color="auto" w:fill="FFFFFF"/>
        </w:rPr>
      </w:pPr>
      <w:r>
        <w:rPr>
          <w:rFonts w:ascii="Arial" w:hAnsi="Arial" w:cs="Arial"/>
          <w:sz w:val="28"/>
          <w:szCs w:val="28"/>
        </w:rPr>
        <w:t xml:space="preserve">Rangemaster </w:t>
      </w:r>
      <w:r>
        <w:rPr>
          <w:rFonts w:ascii="Arial" w:hAnsi="Arial" w:cs="Arial"/>
          <w:sz w:val="28"/>
          <w:szCs w:val="28"/>
          <w:shd w:val="clear" w:color="auto" w:fill="FFFFFF"/>
        </w:rPr>
        <w:t>Management Accounting Ratio Analysis</w:t>
      </w:r>
    </w:p>
    <w:p w:rsidR="00D11523" w:rsidRDefault="00D11523" w:rsidP="00D11523">
      <w:pPr>
        <w:jc w:val="center"/>
        <w:rPr>
          <w:rFonts w:ascii="Arial" w:hAnsi="Arial" w:cs="Arial"/>
          <w:sz w:val="28"/>
          <w:szCs w:val="28"/>
        </w:rPr>
      </w:pPr>
      <w:r>
        <w:rPr>
          <w:rFonts w:ascii="Arial" w:hAnsi="Arial" w:cs="Arial"/>
          <w:sz w:val="28"/>
          <w:szCs w:val="28"/>
        </w:rPr>
        <w:t xml:space="preserve">Submitted by: </w:t>
      </w:r>
      <w:proofErr w:type="spellStart"/>
      <w:r>
        <w:rPr>
          <w:rFonts w:ascii="Arial" w:hAnsi="Arial" w:cs="Arial"/>
          <w:sz w:val="28"/>
          <w:szCs w:val="28"/>
        </w:rPr>
        <w:t>Denitsa</w:t>
      </w:r>
      <w:proofErr w:type="spellEnd"/>
      <w:r>
        <w:rPr>
          <w:rFonts w:ascii="Arial" w:hAnsi="Arial" w:cs="Arial"/>
          <w:sz w:val="28"/>
          <w:szCs w:val="28"/>
        </w:rPr>
        <w:t xml:space="preserve"> </w:t>
      </w:r>
      <w:proofErr w:type="spellStart"/>
      <w:r>
        <w:rPr>
          <w:rFonts w:ascii="Arial" w:hAnsi="Arial" w:cs="Arial"/>
          <w:sz w:val="28"/>
          <w:szCs w:val="28"/>
        </w:rPr>
        <w:t>Biserova</w:t>
      </w:r>
      <w:proofErr w:type="spellEnd"/>
      <w:r>
        <w:rPr>
          <w:rFonts w:ascii="Arial" w:hAnsi="Arial" w:cs="Arial"/>
          <w:sz w:val="28"/>
          <w:szCs w:val="28"/>
        </w:rPr>
        <w:t xml:space="preserve"> Kazandzhieva</w:t>
      </w:r>
    </w:p>
    <w:p w:rsidR="00D11523" w:rsidRDefault="00D11523" w:rsidP="00D11523">
      <w:pPr>
        <w:jc w:val="center"/>
        <w:rPr>
          <w:rFonts w:ascii="Arial" w:hAnsi="Arial" w:cs="Arial"/>
          <w:sz w:val="28"/>
          <w:szCs w:val="28"/>
        </w:rPr>
      </w:pPr>
      <w:r>
        <w:rPr>
          <w:rFonts w:ascii="Arial" w:hAnsi="Arial" w:cs="Arial"/>
          <w:sz w:val="28"/>
          <w:szCs w:val="28"/>
        </w:rPr>
        <w:t>1905860</w:t>
      </w:r>
    </w:p>
    <w:p w:rsidR="00D11523" w:rsidRDefault="00D11523" w:rsidP="00D11523">
      <w:pPr>
        <w:jc w:val="center"/>
        <w:rPr>
          <w:rFonts w:ascii="Arial" w:hAnsi="Arial" w:cs="Arial"/>
          <w:sz w:val="28"/>
          <w:szCs w:val="28"/>
        </w:rPr>
      </w:pPr>
      <w:r>
        <w:rPr>
          <w:rFonts w:ascii="Arial" w:hAnsi="Arial" w:cs="Arial"/>
          <w:sz w:val="28"/>
          <w:szCs w:val="28"/>
        </w:rPr>
        <w:t>Financial Management for the Hotel Industry</w:t>
      </w:r>
    </w:p>
    <w:p w:rsidR="00D11523" w:rsidRDefault="00D11523" w:rsidP="00D11523">
      <w:pPr>
        <w:jc w:val="center"/>
        <w:rPr>
          <w:rFonts w:ascii="Arial" w:hAnsi="Arial" w:cs="Arial"/>
          <w:sz w:val="28"/>
          <w:szCs w:val="28"/>
        </w:rPr>
      </w:pPr>
      <w:r>
        <w:rPr>
          <w:rFonts w:ascii="Arial" w:hAnsi="Arial" w:cs="Arial"/>
          <w:sz w:val="28"/>
          <w:szCs w:val="28"/>
        </w:rPr>
        <w:t>M5X01922_LON</w:t>
      </w:r>
    </w:p>
    <w:p w:rsidR="00D11523" w:rsidRDefault="00D11523" w:rsidP="00D11523">
      <w:pPr>
        <w:jc w:val="center"/>
        <w:rPr>
          <w:rFonts w:ascii="Arial" w:hAnsi="Arial" w:cs="Arial"/>
          <w:sz w:val="28"/>
          <w:szCs w:val="28"/>
        </w:rPr>
      </w:pPr>
      <w:r>
        <w:rPr>
          <w:rFonts w:ascii="Arial" w:hAnsi="Arial" w:cs="Arial"/>
          <w:sz w:val="28"/>
          <w:szCs w:val="28"/>
        </w:rPr>
        <w:t xml:space="preserve">Submitted </w:t>
      </w:r>
      <w:proofErr w:type="gramStart"/>
      <w:r>
        <w:rPr>
          <w:rFonts w:ascii="Arial" w:hAnsi="Arial" w:cs="Arial"/>
          <w:sz w:val="28"/>
          <w:szCs w:val="28"/>
        </w:rPr>
        <w:t>to:</w:t>
      </w:r>
      <w:proofErr w:type="gramEnd"/>
      <w:r>
        <w:rPr>
          <w:rFonts w:ascii="Arial" w:hAnsi="Arial" w:cs="Arial"/>
          <w:sz w:val="28"/>
          <w:szCs w:val="28"/>
        </w:rPr>
        <w:t xml:space="preserve"> David </w:t>
      </w:r>
      <w:proofErr w:type="spellStart"/>
      <w:r>
        <w:rPr>
          <w:rFonts w:ascii="Arial" w:hAnsi="Arial" w:cs="Arial"/>
          <w:sz w:val="28"/>
          <w:szCs w:val="28"/>
        </w:rPr>
        <w:t>Jenskins</w:t>
      </w:r>
      <w:proofErr w:type="spellEnd"/>
    </w:p>
    <w:p w:rsidR="00D11523" w:rsidRDefault="00D11523" w:rsidP="00D11523">
      <w:pPr>
        <w:jc w:val="center"/>
        <w:rPr>
          <w:rFonts w:ascii="Arial" w:hAnsi="Arial" w:cs="Arial"/>
          <w:sz w:val="28"/>
          <w:szCs w:val="28"/>
        </w:rPr>
      </w:pPr>
    </w:p>
    <w:p w:rsidR="00D11523" w:rsidRDefault="00D11523" w:rsidP="00D11523">
      <w:pPr>
        <w:jc w:val="center"/>
        <w:rPr>
          <w:rFonts w:ascii="Arial" w:hAnsi="Arial" w:cs="Arial"/>
          <w:sz w:val="28"/>
          <w:szCs w:val="28"/>
        </w:rPr>
      </w:pPr>
    </w:p>
    <w:p w:rsidR="00D11523" w:rsidRDefault="00D11523" w:rsidP="00D11523">
      <w:pPr>
        <w:jc w:val="center"/>
        <w:rPr>
          <w:rFonts w:ascii="Arial" w:hAnsi="Arial" w:cs="Arial"/>
          <w:sz w:val="28"/>
          <w:szCs w:val="28"/>
        </w:rPr>
      </w:pPr>
    </w:p>
    <w:p w:rsidR="00D11523" w:rsidRDefault="00D11523" w:rsidP="00D11523">
      <w:pPr>
        <w:jc w:val="center"/>
        <w:rPr>
          <w:rFonts w:ascii="Arial" w:hAnsi="Arial" w:cs="Arial"/>
          <w:sz w:val="28"/>
          <w:szCs w:val="28"/>
        </w:rPr>
      </w:pPr>
    </w:p>
    <w:p w:rsidR="00D11523" w:rsidRDefault="00D11523" w:rsidP="00D11523">
      <w:pPr>
        <w:jc w:val="center"/>
        <w:rPr>
          <w:rFonts w:ascii="Arial" w:hAnsi="Arial" w:cs="Arial"/>
          <w:sz w:val="28"/>
          <w:szCs w:val="28"/>
        </w:rPr>
      </w:pPr>
    </w:p>
    <w:p w:rsidR="00D11523" w:rsidRDefault="00D11523" w:rsidP="00D11523">
      <w:pPr>
        <w:jc w:val="center"/>
        <w:rPr>
          <w:rFonts w:ascii="Arial" w:hAnsi="Arial" w:cs="Arial"/>
          <w:sz w:val="28"/>
          <w:szCs w:val="28"/>
        </w:rPr>
      </w:pPr>
    </w:p>
    <w:p w:rsidR="00D11523" w:rsidRDefault="00D11523" w:rsidP="00D11523">
      <w:pPr>
        <w:jc w:val="center"/>
        <w:rPr>
          <w:rFonts w:ascii="Arial" w:hAnsi="Arial" w:cs="Arial"/>
          <w:b/>
          <w:bCs/>
          <w:sz w:val="24"/>
          <w:szCs w:val="24"/>
        </w:rPr>
      </w:pPr>
    </w:p>
    <w:p w:rsidR="00D11523" w:rsidRDefault="00D11523" w:rsidP="00D11523">
      <w:pPr>
        <w:jc w:val="center"/>
        <w:rPr>
          <w:rFonts w:ascii="Arial" w:hAnsi="Arial" w:cs="Arial"/>
          <w:b/>
          <w:bCs/>
          <w:sz w:val="24"/>
          <w:szCs w:val="24"/>
        </w:rPr>
      </w:pPr>
    </w:p>
    <w:p w:rsidR="00D11523" w:rsidRDefault="00D11523" w:rsidP="00D11523">
      <w:pPr>
        <w:jc w:val="center"/>
        <w:rPr>
          <w:rFonts w:ascii="Arial" w:hAnsi="Arial" w:cs="Arial"/>
          <w:b/>
          <w:bCs/>
          <w:sz w:val="24"/>
          <w:szCs w:val="24"/>
        </w:rPr>
      </w:pPr>
      <w:r>
        <w:rPr>
          <w:rFonts w:ascii="Arial" w:hAnsi="Arial" w:cs="Arial"/>
          <w:b/>
          <w:bCs/>
          <w:sz w:val="24"/>
          <w:szCs w:val="24"/>
        </w:rPr>
        <w:lastRenderedPageBreak/>
        <w:t>Contents</w:t>
      </w:r>
    </w:p>
    <w:p w:rsidR="00D11523" w:rsidRDefault="00D11523" w:rsidP="00D11523">
      <w:pPr>
        <w:jc w:val="center"/>
        <w:rPr>
          <w:rFonts w:ascii="Arial" w:hAnsi="Arial" w:cs="Arial"/>
          <w:sz w:val="24"/>
          <w:szCs w:val="24"/>
        </w:rPr>
      </w:pPr>
    </w:p>
    <w:p w:rsidR="00D11523" w:rsidRDefault="00D11523" w:rsidP="00D11523">
      <w:pPr>
        <w:rPr>
          <w:rFonts w:ascii="Arial" w:hAnsi="Arial" w:cs="Arial"/>
          <w:sz w:val="24"/>
          <w:szCs w:val="24"/>
        </w:rPr>
      </w:pPr>
      <w:r>
        <w:rPr>
          <w:rFonts w:ascii="Arial" w:hAnsi="Arial" w:cs="Arial"/>
          <w:sz w:val="24"/>
          <w:szCs w:val="24"/>
        </w:rPr>
        <w:t>Introduction…………………………………………………………………………………3</w:t>
      </w:r>
    </w:p>
    <w:p w:rsidR="00D11523" w:rsidRDefault="00D11523" w:rsidP="00D11523">
      <w:pPr>
        <w:rPr>
          <w:rFonts w:ascii="Arial" w:hAnsi="Arial" w:cs="Arial"/>
          <w:sz w:val="24"/>
          <w:szCs w:val="24"/>
        </w:rPr>
      </w:pPr>
      <w:r>
        <w:rPr>
          <w:rFonts w:ascii="Arial" w:hAnsi="Arial" w:cs="Arial"/>
          <w:sz w:val="24"/>
          <w:szCs w:val="24"/>
        </w:rPr>
        <w:t>Company</w:t>
      </w:r>
      <w:r>
        <w:rPr>
          <w:rFonts w:ascii="Arial" w:hAnsi="Arial" w:cs="Arial"/>
          <w:sz w:val="24"/>
          <w:szCs w:val="24"/>
          <w:lang w:val="bg-BG"/>
        </w:rPr>
        <w:t xml:space="preserve"> </w:t>
      </w:r>
      <w:r>
        <w:rPr>
          <w:rFonts w:ascii="Arial" w:hAnsi="Arial" w:cs="Arial"/>
          <w:sz w:val="24"/>
          <w:szCs w:val="24"/>
        </w:rPr>
        <w:t>Overview……………………………………………………………………</w:t>
      </w:r>
      <w:proofErr w:type="gramStart"/>
      <w:r>
        <w:rPr>
          <w:rFonts w:ascii="Arial" w:hAnsi="Arial" w:cs="Arial"/>
          <w:sz w:val="24"/>
          <w:szCs w:val="24"/>
        </w:rPr>
        <w:t>…..</w:t>
      </w:r>
      <w:proofErr w:type="gramEnd"/>
      <w:r>
        <w:rPr>
          <w:rFonts w:ascii="Arial" w:hAnsi="Arial" w:cs="Arial"/>
          <w:sz w:val="24"/>
          <w:szCs w:val="24"/>
        </w:rPr>
        <w:t>3</w:t>
      </w:r>
    </w:p>
    <w:p w:rsidR="00D11523" w:rsidRDefault="00D11523" w:rsidP="00D11523">
      <w:pPr>
        <w:rPr>
          <w:rFonts w:ascii="Arial" w:hAnsi="Arial" w:cs="Arial"/>
          <w:sz w:val="24"/>
          <w:szCs w:val="24"/>
        </w:rPr>
      </w:pPr>
      <w:r>
        <w:rPr>
          <w:rFonts w:ascii="Arial" w:hAnsi="Arial" w:cs="Arial"/>
          <w:sz w:val="24"/>
          <w:szCs w:val="24"/>
        </w:rPr>
        <w:t>Rangemaster plc Ratio Analysis…………………………………………………………4</w:t>
      </w:r>
    </w:p>
    <w:p w:rsidR="00D11523" w:rsidRDefault="00D11523" w:rsidP="00D11523">
      <w:pPr>
        <w:rPr>
          <w:rFonts w:ascii="Arial" w:hAnsi="Arial" w:cs="Arial"/>
          <w:sz w:val="24"/>
          <w:szCs w:val="24"/>
        </w:rPr>
      </w:pPr>
      <w:r>
        <w:rPr>
          <w:rFonts w:ascii="Arial" w:hAnsi="Arial" w:cs="Arial"/>
          <w:sz w:val="24"/>
          <w:szCs w:val="24"/>
        </w:rPr>
        <w:t>Current Ration……………………………………………………………………………...4</w:t>
      </w:r>
    </w:p>
    <w:p w:rsidR="00D11523" w:rsidRDefault="00D11523" w:rsidP="00D11523">
      <w:pPr>
        <w:rPr>
          <w:rFonts w:ascii="Arial" w:hAnsi="Arial" w:cs="Arial"/>
          <w:sz w:val="24"/>
          <w:szCs w:val="24"/>
        </w:rPr>
      </w:pPr>
      <w:r>
        <w:rPr>
          <w:rFonts w:ascii="Arial" w:hAnsi="Arial" w:cs="Arial"/>
          <w:sz w:val="24"/>
          <w:szCs w:val="24"/>
        </w:rPr>
        <w:t>Profitability Ratios………………………………………………………………………….5</w:t>
      </w:r>
    </w:p>
    <w:p w:rsidR="00D11523" w:rsidRDefault="00D11523" w:rsidP="00D11523">
      <w:pPr>
        <w:rPr>
          <w:rFonts w:ascii="Arial" w:hAnsi="Arial" w:cs="Arial"/>
          <w:sz w:val="24"/>
          <w:szCs w:val="24"/>
        </w:rPr>
      </w:pPr>
      <w:r>
        <w:rPr>
          <w:rFonts w:ascii="Arial" w:hAnsi="Arial" w:cs="Arial"/>
          <w:sz w:val="24"/>
          <w:szCs w:val="24"/>
        </w:rPr>
        <w:t>Profit Margin on Sales…………………………………………………………………</w:t>
      </w:r>
      <w:proofErr w:type="gramStart"/>
      <w:r>
        <w:rPr>
          <w:rFonts w:ascii="Arial" w:hAnsi="Arial" w:cs="Arial"/>
          <w:sz w:val="24"/>
          <w:szCs w:val="24"/>
        </w:rPr>
        <w:t>…..</w:t>
      </w:r>
      <w:proofErr w:type="gramEnd"/>
      <w:r>
        <w:rPr>
          <w:rFonts w:ascii="Arial" w:hAnsi="Arial" w:cs="Arial"/>
          <w:sz w:val="24"/>
          <w:szCs w:val="24"/>
        </w:rPr>
        <w:t>5</w:t>
      </w:r>
    </w:p>
    <w:p w:rsidR="00D11523" w:rsidRDefault="00D11523" w:rsidP="00D11523">
      <w:pPr>
        <w:rPr>
          <w:rFonts w:ascii="Arial" w:hAnsi="Arial" w:cs="Arial"/>
          <w:sz w:val="24"/>
          <w:szCs w:val="24"/>
        </w:rPr>
      </w:pPr>
      <w:r>
        <w:rPr>
          <w:rFonts w:ascii="Arial" w:hAnsi="Arial" w:cs="Arial"/>
          <w:sz w:val="24"/>
          <w:szCs w:val="24"/>
        </w:rPr>
        <w:t>Gross Profit on Sales……………………………………………………………………...6</w:t>
      </w:r>
    </w:p>
    <w:p w:rsidR="00D11523" w:rsidRDefault="00D11523" w:rsidP="00D11523">
      <w:pPr>
        <w:rPr>
          <w:rFonts w:ascii="Arial" w:hAnsi="Arial" w:cs="Arial"/>
          <w:sz w:val="24"/>
          <w:szCs w:val="24"/>
        </w:rPr>
      </w:pPr>
      <w:r>
        <w:rPr>
          <w:rFonts w:ascii="Arial" w:hAnsi="Arial" w:cs="Arial"/>
          <w:sz w:val="24"/>
          <w:szCs w:val="24"/>
        </w:rPr>
        <w:t>ROE (Return on Equity) ………………………………………………………………</w:t>
      </w:r>
      <w:proofErr w:type="gramStart"/>
      <w:r>
        <w:rPr>
          <w:rFonts w:ascii="Arial" w:hAnsi="Arial" w:cs="Arial"/>
          <w:sz w:val="24"/>
          <w:szCs w:val="24"/>
        </w:rPr>
        <w:t>…..</w:t>
      </w:r>
      <w:proofErr w:type="gramEnd"/>
      <w:r>
        <w:rPr>
          <w:rFonts w:ascii="Arial" w:hAnsi="Arial" w:cs="Arial"/>
          <w:sz w:val="24"/>
          <w:szCs w:val="24"/>
        </w:rPr>
        <w:t>7</w:t>
      </w:r>
    </w:p>
    <w:p w:rsidR="00D11523" w:rsidRDefault="00D11523" w:rsidP="00D11523">
      <w:pPr>
        <w:rPr>
          <w:rFonts w:ascii="Arial" w:hAnsi="Arial" w:cs="Arial"/>
          <w:sz w:val="24"/>
          <w:szCs w:val="24"/>
        </w:rPr>
      </w:pPr>
      <w:r>
        <w:rPr>
          <w:rFonts w:ascii="Arial" w:hAnsi="Arial" w:cs="Arial"/>
          <w:sz w:val="24"/>
          <w:szCs w:val="24"/>
        </w:rPr>
        <w:t>Recommendations…………………………………………………………………………8</w:t>
      </w:r>
    </w:p>
    <w:p w:rsidR="00D11523" w:rsidRDefault="00D11523" w:rsidP="00D11523">
      <w:pPr>
        <w:rPr>
          <w:rFonts w:ascii="Arial" w:hAnsi="Arial" w:cs="Arial"/>
          <w:sz w:val="24"/>
          <w:szCs w:val="24"/>
        </w:rPr>
      </w:pPr>
      <w:r>
        <w:rPr>
          <w:rFonts w:ascii="Arial" w:hAnsi="Arial" w:cs="Arial"/>
          <w:sz w:val="24"/>
          <w:szCs w:val="24"/>
        </w:rPr>
        <w:t>Conclusion………………………………………………………………………………….9</w:t>
      </w:r>
    </w:p>
    <w:p w:rsidR="00D11523" w:rsidRDefault="00D11523" w:rsidP="00D11523">
      <w:pPr>
        <w:rPr>
          <w:rFonts w:ascii="Arial" w:hAnsi="Arial" w:cs="Arial"/>
          <w:sz w:val="24"/>
          <w:szCs w:val="24"/>
        </w:rPr>
      </w:pPr>
      <w:r>
        <w:rPr>
          <w:rFonts w:ascii="Arial" w:hAnsi="Arial" w:cs="Arial"/>
          <w:sz w:val="24"/>
          <w:szCs w:val="24"/>
        </w:rPr>
        <w:t>References………………………………………………………………………………….9</w:t>
      </w:r>
    </w:p>
    <w:p w:rsidR="00D11523" w:rsidRDefault="00D11523" w:rsidP="00D11523">
      <w:pPr>
        <w:jc w:val="center"/>
        <w:rPr>
          <w:rFonts w:ascii="Arial" w:hAnsi="Arial" w:cs="Arial"/>
          <w:sz w:val="28"/>
          <w:szCs w:val="28"/>
        </w:rPr>
      </w:pPr>
    </w:p>
    <w:p w:rsidR="00D11523" w:rsidRDefault="00D11523" w:rsidP="00D11523">
      <w:pPr>
        <w:jc w:val="center"/>
        <w:rPr>
          <w:rFonts w:ascii="Arial" w:hAnsi="Arial" w:cs="Arial"/>
          <w:b/>
          <w:bCs/>
          <w:sz w:val="24"/>
          <w:szCs w:val="24"/>
        </w:rPr>
      </w:pPr>
    </w:p>
    <w:p w:rsidR="00D11523" w:rsidRDefault="00D11523" w:rsidP="00D11523">
      <w:pPr>
        <w:jc w:val="center"/>
        <w:rPr>
          <w:rFonts w:ascii="Arial" w:hAnsi="Arial" w:cs="Arial"/>
          <w:b/>
          <w:bCs/>
          <w:sz w:val="24"/>
          <w:szCs w:val="24"/>
        </w:rPr>
      </w:pPr>
    </w:p>
    <w:p w:rsidR="00D11523" w:rsidRDefault="00D11523" w:rsidP="00D11523">
      <w:pPr>
        <w:jc w:val="center"/>
        <w:rPr>
          <w:rFonts w:ascii="Arial" w:hAnsi="Arial" w:cs="Arial"/>
          <w:b/>
          <w:bCs/>
          <w:sz w:val="24"/>
          <w:szCs w:val="24"/>
        </w:rPr>
      </w:pPr>
    </w:p>
    <w:p w:rsidR="00D11523" w:rsidRDefault="00D11523" w:rsidP="00D11523">
      <w:pPr>
        <w:jc w:val="center"/>
        <w:rPr>
          <w:rFonts w:ascii="Arial" w:hAnsi="Arial" w:cs="Arial"/>
          <w:b/>
          <w:bCs/>
          <w:sz w:val="24"/>
          <w:szCs w:val="24"/>
        </w:rPr>
      </w:pPr>
    </w:p>
    <w:p w:rsidR="00D11523" w:rsidRDefault="00D11523" w:rsidP="00D11523">
      <w:pPr>
        <w:jc w:val="center"/>
        <w:rPr>
          <w:rFonts w:ascii="Arial" w:hAnsi="Arial" w:cs="Arial"/>
          <w:b/>
          <w:bCs/>
          <w:sz w:val="24"/>
          <w:szCs w:val="24"/>
        </w:rPr>
      </w:pPr>
    </w:p>
    <w:p w:rsidR="00D11523" w:rsidRDefault="00D11523" w:rsidP="00D11523">
      <w:pPr>
        <w:jc w:val="center"/>
        <w:rPr>
          <w:rFonts w:ascii="Arial" w:hAnsi="Arial" w:cs="Arial"/>
          <w:b/>
          <w:bCs/>
          <w:sz w:val="24"/>
          <w:szCs w:val="24"/>
        </w:rPr>
      </w:pPr>
    </w:p>
    <w:p w:rsidR="00D11523" w:rsidRDefault="00D11523" w:rsidP="00D11523">
      <w:pPr>
        <w:jc w:val="center"/>
        <w:rPr>
          <w:rFonts w:ascii="Arial" w:hAnsi="Arial" w:cs="Arial"/>
          <w:b/>
          <w:bCs/>
          <w:sz w:val="24"/>
          <w:szCs w:val="24"/>
        </w:rPr>
      </w:pPr>
    </w:p>
    <w:p w:rsidR="00D11523" w:rsidRDefault="00D11523" w:rsidP="00D11523">
      <w:pPr>
        <w:jc w:val="center"/>
        <w:rPr>
          <w:rFonts w:ascii="Arial" w:hAnsi="Arial" w:cs="Arial"/>
          <w:b/>
          <w:bCs/>
          <w:sz w:val="24"/>
          <w:szCs w:val="24"/>
        </w:rPr>
      </w:pPr>
    </w:p>
    <w:p w:rsidR="00D11523" w:rsidRDefault="00D11523" w:rsidP="00D11523">
      <w:pPr>
        <w:jc w:val="center"/>
        <w:rPr>
          <w:rFonts w:ascii="Arial" w:hAnsi="Arial" w:cs="Arial"/>
          <w:b/>
          <w:bCs/>
          <w:sz w:val="24"/>
          <w:szCs w:val="24"/>
        </w:rPr>
      </w:pPr>
    </w:p>
    <w:p w:rsidR="00D11523" w:rsidRDefault="00D11523" w:rsidP="00D11523">
      <w:pPr>
        <w:jc w:val="center"/>
        <w:rPr>
          <w:rFonts w:ascii="Arial" w:hAnsi="Arial" w:cs="Arial"/>
          <w:b/>
          <w:bCs/>
          <w:sz w:val="24"/>
          <w:szCs w:val="24"/>
        </w:rPr>
      </w:pPr>
    </w:p>
    <w:p w:rsidR="00D11523" w:rsidRDefault="00D11523" w:rsidP="00D11523">
      <w:pPr>
        <w:jc w:val="center"/>
        <w:rPr>
          <w:rFonts w:ascii="Arial" w:hAnsi="Arial" w:cs="Arial"/>
          <w:b/>
          <w:bCs/>
          <w:sz w:val="24"/>
          <w:szCs w:val="24"/>
        </w:rPr>
      </w:pPr>
    </w:p>
    <w:p w:rsidR="00D11523" w:rsidRDefault="00D11523" w:rsidP="00D11523">
      <w:pPr>
        <w:jc w:val="center"/>
        <w:rPr>
          <w:rFonts w:ascii="Arial" w:hAnsi="Arial" w:cs="Arial"/>
          <w:b/>
          <w:bCs/>
          <w:sz w:val="24"/>
          <w:szCs w:val="24"/>
        </w:rPr>
      </w:pPr>
    </w:p>
    <w:p w:rsidR="00D11523" w:rsidRDefault="00D11523" w:rsidP="00D11523">
      <w:pPr>
        <w:jc w:val="center"/>
        <w:rPr>
          <w:rFonts w:ascii="Arial" w:hAnsi="Arial" w:cs="Arial"/>
          <w:b/>
          <w:bCs/>
          <w:sz w:val="24"/>
          <w:szCs w:val="24"/>
        </w:rPr>
      </w:pPr>
    </w:p>
    <w:p w:rsidR="00D11523" w:rsidRDefault="00D11523" w:rsidP="00D11523">
      <w:pPr>
        <w:jc w:val="center"/>
        <w:rPr>
          <w:rFonts w:ascii="Arial" w:hAnsi="Arial" w:cs="Arial"/>
          <w:b/>
          <w:bCs/>
          <w:sz w:val="24"/>
          <w:szCs w:val="24"/>
        </w:rPr>
      </w:pPr>
      <w:r>
        <w:rPr>
          <w:rFonts w:ascii="Arial" w:hAnsi="Arial" w:cs="Arial"/>
          <w:b/>
          <w:bCs/>
          <w:sz w:val="24"/>
          <w:szCs w:val="24"/>
        </w:rPr>
        <w:lastRenderedPageBreak/>
        <w:t>Introduction</w:t>
      </w:r>
    </w:p>
    <w:p w:rsidR="00D11523" w:rsidRDefault="00D11523" w:rsidP="00D11523">
      <w:pPr>
        <w:pStyle w:val="NormalWeb"/>
        <w:spacing w:before="0" w:beforeAutospacing="0" w:after="0" w:afterAutospacing="0" w:line="480" w:lineRule="auto"/>
        <w:jc w:val="both"/>
        <w:rPr>
          <w:rFonts w:ascii="Arial" w:hAnsi="Arial" w:cs="Arial"/>
        </w:rPr>
      </w:pPr>
      <w:r>
        <w:rPr>
          <w:rFonts w:ascii="Arial" w:hAnsi="Arial" w:cs="Arial"/>
        </w:rPr>
        <w:tab/>
        <w:t xml:space="preserve">This paper will ascertain a company financial analysis and overview of Rangemaster plc, a consumer hospitality company firm that operates internationally hotel industry. In so doing, a comprehensive set of financial instruments and measurements will be used; the significance of the instruments will be noted concerning future observations and present projections. </w:t>
      </w:r>
    </w:p>
    <w:p w:rsidR="00D11523" w:rsidRDefault="00D11523" w:rsidP="00D11523">
      <w:pPr>
        <w:pStyle w:val="Heading1"/>
      </w:pPr>
    </w:p>
    <w:p w:rsidR="00D11523" w:rsidRDefault="00D11523" w:rsidP="00D11523">
      <w:pPr>
        <w:pStyle w:val="Heading1"/>
        <w:rPr>
          <w:rFonts w:eastAsia="Batang"/>
        </w:rPr>
      </w:pPr>
      <w:r>
        <w:t>Company Overview</w:t>
      </w:r>
    </w:p>
    <w:p w:rsidR="00D11523" w:rsidRDefault="00D11523" w:rsidP="00D11523">
      <w:pPr>
        <w:spacing w:after="0" w:line="480" w:lineRule="auto"/>
        <w:rPr>
          <w:rFonts w:ascii="Arial" w:hAnsi="Arial" w:cs="Arial"/>
          <w:color w:val="auto"/>
          <w:sz w:val="24"/>
          <w:szCs w:val="24"/>
        </w:rPr>
      </w:pPr>
      <w:r>
        <w:rPr>
          <w:rFonts w:ascii="Arial" w:eastAsia="Batang" w:hAnsi="Arial" w:cs="Arial"/>
          <w:color w:val="auto"/>
          <w:sz w:val="24"/>
          <w:szCs w:val="24"/>
        </w:rPr>
        <w:tab/>
      </w:r>
      <w:r>
        <w:rPr>
          <w:rFonts w:ascii="Arial" w:hAnsi="Arial" w:cs="Arial"/>
          <w:color w:val="auto"/>
          <w:sz w:val="24"/>
          <w:szCs w:val="24"/>
        </w:rPr>
        <w:t xml:space="preserve">In this analysis, we compare the company’s key financial indicators with those calculated for specific industries, sectors, and sectors. The primary business activities of this company are the hotels and motels; therefore, we have compiled eleven indicators that compare with the median values. Depending on the data from 2018, Rangemaster </w:t>
      </w:r>
      <w:proofErr w:type="spellStart"/>
      <w:r>
        <w:rPr>
          <w:rFonts w:ascii="Arial" w:hAnsi="Arial" w:cs="Arial"/>
          <w:color w:val="auto"/>
          <w:sz w:val="24"/>
          <w:szCs w:val="24"/>
        </w:rPr>
        <w:t>Worldwide’s</w:t>
      </w:r>
      <w:proofErr w:type="spellEnd"/>
      <w:r>
        <w:rPr>
          <w:rFonts w:ascii="Arial" w:hAnsi="Arial" w:cs="Arial"/>
          <w:color w:val="auto"/>
          <w:sz w:val="24"/>
          <w:szCs w:val="24"/>
        </w:rPr>
        <w:t xml:space="preserve"> rate may be higher than that of the typical industry. To analyze Rangemaster’s global position in the industry, it is necessary to compare this ratio with the average ratio of the same industry and the median ratio of all companies in the industry in 2018. In this analysis, Rangemaster Worldwide is the market leader in this industry because it has the highest ratio of short-term debt than it can repay in less than two years, with a net debt ratio of less than 1.5. This is the annual financial statement most publicly traded companies submit to the US Securities and Exchange Commission. The position in which a single company influences and dominates an industry is a holding company</w:t>
      </w:r>
      <w:r>
        <w:rPr>
          <w:rFonts w:ascii="Arial" w:eastAsia="Batang" w:hAnsi="Arial" w:cs="Arial"/>
          <w:color w:val="auto"/>
          <w:sz w:val="24"/>
          <w:szCs w:val="24"/>
        </w:rPr>
        <w:t xml:space="preserve">. </w:t>
      </w:r>
    </w:p>
    <w:p w:rsidR="00D11523" w:rsidRDefault="00D11523" w:rsidP="00D11523">
      <w:pPr>
        <w:pStyle w:val="Heading1"/>
      </w:pPr>
    </w:p>
    <w:p w:rsidR="00D11523" w:rsidRDefault="00D11523" w:rsidP="00D11523">
      <w:pPr>
        <w:pStyle w:val="Heading1"/>
      </w:pPr>
    </w:p>
    <w:p w:rsidR="00D11523" w:rsidRDefault="00D11523" w:rsidP="00D11523">
      <w:pPr>
        <w:pStyle w:val="Heading1"/>
      </w:pPr>
    </w:p>
    <w:p w:rsidR="00D11523" w:rsidRDefault="00D11523" w:rsidP="00D11523">
      <w:pPr>
        <w:pStyle w:val="Heading1"/>
      </w:pPr>
    </w:p>
    <w:p w:rsidR="00D11523" w:rsidRDefault="00D11523" w:rsidP="00D11523">
      <w:pPr>
        <w:pStyle w:val="Heading1"/>
      </w:pPr>
      <w:r>
        <w:lastRenderedPageBreak/>
        <w:t xml:space="preserve">Rangemaster plc Ratio Analysis </w:t>
      </w:r>
    </w:p>
    <w:p w:rsidR="00D11523" w:rsidRDefault="00D11523" w:rsidP="00D11523">
      <w:pPr>
        <w:pStyle w:val="NormalWeb"/>
        <w:spacing w:before="0" w:beforeAutospacing="0" w:after="0" w:afterAutospacing="0" w:line="480" w:lineRule="auto"/>
        <w:rPr>
          <w:rFonts w:ascii="Arial" w:eastAsia="Batang" w:hAnsi="Arial" w:cs="Arial"/>
        </w:rPr>
      </w:pPr>
      <w:r>
        <w:rPr>
          <w:rFonts w:ascii="Arial" w:eastAsia="Batang" w:hAnsi="Arial" w:cs="Arial"/>
        </w:rPr>
        <w:t>A financial analysis of information contained in a company’s financial statements.</w:t>
      </w:r>
    </w:p>
    <w:p w:rsidR="00D11523" w:rsidRDefault="00D11523" w:rsidP="00D11523">
      <w:pPr>
        <w:pStyle w:val="NormalWeb"/>
        <w:spacing w:before="0" w:beforeAutospacing="0" w:after="0" w:afterAutospacing="0" w:line="480" w:lineRule="auto"/>
        <w:rPr>
          <w:rFonts w:ascii="Arial" w:eastAsia="Batang" w:hAnsi="Arial" w:cs="Arial"/>
        </w:rPr>
      </w:pPr>
    </w:p>
    <w:p w:rsidR="00D11523" w:rsidRDefault="00D11523" w:rsidP="00D11523">
      <w:pPr>
        <w:pStyle w:val="NormalWeb"/>
        <w:spacing w:before="0" w:beforeAutospacing="0" w:after="0" w:afterAutospacing="0" w:line="480" w:lineRule="auto"/>
        <w:jc w:val="center"/>
        <w:rPr>
          <w:rFonts w:ascii="Arial" w:hAnsi="Arial" w:cs="Arial"/>
          <w:b/>
        </w:rPr>
      </w:pPr>
      <w:r>
        <w:rPr>
          <w:rFonts w:ascii="Arial" w:hAnsi="Arial" w:cs="Arial"/>
          <w:b/>
        </w:rPr>
        <w:t>Current Ratio</w:t>
      </w:r>
    </w:p>
    <w:p w:rsidR="00D11523" w:rsidRDefault="00D11523" w:rsidP="00D11523">
      <w:pPr>
        <w:pStyle w:val="NormalWeb"/>
        <w:spacing w:before="0" w:beforeAutospacing="0" w:after="0" w:afterAutospacing="0" w:line="480" w:lineRule="auto"/>
        <w:jc w:val="both"/>
        <w:rPr>
          <w:rFonts w:ascii="Arial" w:eastAsia="Batang" w:hAnsi="Arial" w:cs="Arial"/>
        </w:rPr>
      </w:pPr>
      <w:r>
        <w:rPr>
          <w:rFonts w:ascii="Arial" w:hAnsi="Arial" w:cs="Arial"/>
        </w:rPr>
        <w:t>Current ratio indicates that the company can be reasonably expected to pay the short-term obligation</w:t>
      </w:r>
      <w:r>
        <w:rPr>
          <w:rFonts w:ascii="Arial" w:eastAsia="Batang" w:hAnsi="Arial" w:cs="Arial"/>
        </w:rPr>
        <w:t xml:space="preserve"> </w:t>
      </w:r>
      <w:r>
        <w:rPr>
          <w:rFonts w:ascii="Arial" w:hAnsi="Arial" w:cs="Arial"/>
          <w:shd w:val="clear" w:color="auto" w:fill="FFFFFF"/>
        </w:rPr>
        <w:t>and is calculated as follows:</w:t>
      </w:r>
    </w:p>
    <w:p w:rsidR="00D11523" w:rsidRDefault="00D11523" w:rsidP="00D11523">
      <w:pPr>
        <w:pStyle w:val="NormalWeb"/>
        <w:spacing w:before="0" w:beforeAutospacing="0" w:after="0" w:afterAutospacing="0" w:line="480" w:lineRule="auto"/>
        <w:rPr>
          <w:rFonts w:ascii="Arial" w:eastAsia="Batang" w:hAnsi="Arial" w:cs="Arial"/>
        </w:rPr>
      </w:pPr>
      <w:r>
        <w:rPr>
          <w:rFonts w:ascii="Arial" w:hAnsi="Arial" w:cs="Arial"/>
        </w:rPr>
        <w:t>Current Ratio = Current Asset/ Current liabilities </w:t>
      </w:r>
    </w:p>
    <w:tbl>
      <w:tblPr>
        <w:tblW w:w="0" w:type="auto"/>
        <w:tblBorders>
          <w:top w:val="single" w:sz="8" w:space="0" w:color="FF2D21"/>
          <w:left w:val="single" w:sz="8" w:space="0" w:color="FF2D21"/>
          <w:bottom w:val="single" w:sz="8" w:space="0" w:color="FF2D21"/>
          <w:right w:val="single" w:sz="8" w:space="0" w:color="FF2D21"/>
          <w:insideH w:val="single" w:sz="8" w:space="0" w:color="FF2D21"/>
          <w:insideV w:val="single" w:sz="8" w:space="0" w:color="FF2D21"/>
        </w:tblBorders>
        <w:tblLook w:val="04A0" w:firstRow="1" w:lastRow="0" w:firstColumn="1" w:lastColumn="0" w:noHBand="0" w:noVBand="1"/>
      </w:tblPr>
      <w:tblGrid>
        <w:gridCol w:w="2097"/>
        <w:gridCol w:w="852"/>
        <w:gridCol w:w="852"/>
      </w:tblGrid>
      <w:tr w:rsidR="00D11523" w:rsidTr="00D11523">
        <w:trPr>
          <w:trHeight w:val="578"/>
        </w:trPr>
        <w:tc>
          <w:tcPr>
            <w:tcW w:w="1057" w:type="dxa"/>
            <w:tcBorders>
              <w:top w:val="single" w:sz="8" w:space="0" w:color="FF2D21"/>
              <w:left w:val="single" w:sz="8" w:space="0" w:color="FF2D21"/>
              <w:bottom w:val="single" w:sz="18" w:space="0" w:color="FF2D21"/>
              <w:right w:val="single" w:sz="8" w:space="0" w:color="FF2D21"/>
            </w:tcBorders>
            <w:hideMark/>
          </w:tcPr>
          <w:p w:rsidR="00D11523" w:rsidRDefault="00D11523">
            <w:pPr>
              <w:pStyle w:val="NormalWeb"/>
              <w:spacing w:before="0" w:beforeAutospacing="0" w:after="0" w:afterAutospacing="0" w:line="480" w:lineRule="auto"/>
              <w:rPr>
                <w:rFonts w:ascii="Arial" w:eastAsia="Batang" w:hAnsi="Arial" w:cs="Arial"/>
                <w:b/>
                <w:bCs/>
              </w:rPr>
            </w:pPr>
            <w:r>
              <w:rPr>
                <w:rFonts w:ascii="Arial" w:eastAsia="Batang" w:hAnsi="Arial" w:cs="Arial"/>
                <w:b/>
                <w:bCs/>
              </w:rPr>
              <w:t>Current Ratio</w:t>
            </w:r>
          </w:p>
        </w:tc>
        <w:tc>
          <w:tcPr>
            <w:tcW w:w="852" w:type="dxa"/>
            <w:tcBorders>
              <w:top w:val="single" w:sz="8" w:space="0" w:color="FF2D21"/>
              <w:left w:val="single" w:sz="8" w:space="0" w:color="FF2D21"/>
              <w:bottom w:val="single" w:sz="18" w:space="0" w:color="FF2D21"/>
              <w:right w:val="single" w:sz="8" w:space="0" w:color="FF2D21"/>
            </w:tcBorders>
            <w:hideMark/>
          </w:tcPr>
          <w:p w:rsidR="00D11523" w:rsidRDefault="00D11523">
            <w:pPr>
              <w:pStyle w:val="NormalWeb"/>
              <w:spacing w:before="0" w:beforeAutospacing="0" w:after="0" w:afterAutospacing="0" w:line="480" w:lineRule="auto"/>
              <w:rPr>
                <w:rFonts w:ascii="Arial" w:eastAsia="Batang" w:hAnsi="Arial" w:cs="Arial"/>
                <w:b/>
                <w:bCs/>
              </w:rPr>
            </w:pPr>
            <w:r>
              <w:rPr>
                <w:rFonts w:ascii="Arial" w:eastAsia="Batang" w:hAnsi="Arial" w:cs="Arial"/>
                <w:b/>
                <w:bCs/>
              </w:rPr>
              <w:t>2018</w:t>
            </w:r>
          </w:p>
        </w:tc>
        <w:tc>
          <w:tcPr>
            <w:tcW w:w="852" w:type="dxa"/>
            <w:tcBorders>
              <w:top w:val="single" w:sz="8" w:space="0" w:color="FF2D21"/>
              <w:left w:val="single" w:sz="8" w:space="0" w:color="FF2D21"/>
              <w:bottom w:val="single" w:sz="18" w:space="0" w:color="FF2D21"/>
              <w:right w:val="single" w:sz="8" w:space="0" w:color="FF2D21"/>
            </w:tcBorders>
            <w:hideMark/>
          </w:tcPr>
          <w:p w:rsidR="00D11523" w:rsidRDefault="00D11523">
            <w:pPr>
              <w:pStyle w:val="NormalWeb"/>
              <w:spacing w:before="0" w:beforeAutospacing="0" w:after="0" w:afterAutospacing="0" w:line="480" w:lineRule="auto"/>
              <w:rPr>
                <w:rFonts w:ascii="Arial" w:eastAsia="Batang" w:hAnsi="Arial" w:cs="Arial"/>
                <w:b/>
                <w:bCs/>
              </w:rPr>
            </w:pPr>
            <w:r>
              <w:rPr>
                <w:rFonts w:ascii="Arial" w:eastAsia="Batang" w:hAnsi="Arial" w:cs="Arial"/>
                <w:b/>
                <w:bCs/>
              </w:rPr>
              <w:t>2019</w:t>
            </w:r>
          </w:p>
        </w:tc>
      </w:tr>
      <w:tr w:rsidR="00D11523" w:rsidTr="00D11523">
        <w:trPr>
          <w:trHeight w:val="300"/>
        </w:trPr>
        <w:tc>
          <w:tcPr>
            <w:tcW w:w="1057" w:type="dxa"/>
            <w:tcBorders>
              <w:top w:val="single" w:sz="8" w:space="0" w:color="FF2D21"/>
              <w:left w:val="single" w:sz="8" w:space="0" w:color="FF2D21"/>
              <w:bottom w:val="single" w:sz="8" w:space="0" w:color="FF2D21"/>
              <w:right w:val="single" w:sz="8" w:space="0" w:color="FF2D21"/>
            </w:tcBorders>
            <w:shd w:val="clear" w:color="auto" w:fill="FFCAC8"/>
            <w:hideMark/>
          </w:tcPr>
          <w:p w:rsidR="00D11523" w:rsidRDefault="00D11523">
            <w:pPr>
              <w:pStyle w:val="NormalWeb"/>
              <w:spacing w:before="0" w:beforeAutospacing="0" w:after="0" w:afterAutospacing="0" w:line="480" w:lineRule="auto"/>
              <w:rPr>
                <w:rFonts w:ascii="Arial" w:eastAsia="Batang" w:hAnsi="Arial" w:cs="Arial"/>
                <w:b/>
                <w:bCs/>
              </w:rPr>
            </w:pPr>
            <w:r>
              <w:rPr>
                <w:rFonts w:ascii="Arial" w:eastAsia="Batang" w:hAnsi="Arial" w:cs="Arial"/>
                <w:b/>
                <w:bCs/>
              </w:rPr>
              <w:t>RANGEMASTER</w:t>
            </w:r>
          </w:p>
        </w:tc>
        <w:tc>
          <w:tcPr>
            <w:tcW w:w="852" w:type="dxa"/>
            <w:tcBorders>
              <w:top w:val="single" w:sz="8" w:space="0" w:color="FF2D21"/>
              <w:left w:val="single" w:sz="8" w:space="0" w:color="FF2D21"/>
              <w:bottom w:val="single" w:sz="8" w:space="0" w:color="FF2D21"/>
              <w:right w:val="single" w:sz="8" w:space="0" w:color="FF2D21"/>
            </w:tcBorders>
            <w:shd w:val="clear" w:color="auto" w:fill="FFCAC8"/>
            <w:hideMark/>
          </w:tcPr>
          <w:p w:rsidR="00D11523" w:rsidRDefault="00D11523">
            <w:pPr>
              <w:pStyle w:val="NormalWeb"/>
              <w:spacing w:before="0" w:beforeAutospacing="0" w:after="0" w:afterAutospacing="0" w:line="480" w:lineRule="auto"/>
              <w:rPr>
                <w:rFonts w:ascii="Arial" w:eastAsia="Batang" w:hAnsi="Arial" w:cs="Arial"/>
              </w:rPr>
            </w:pPr>
            <w:r>
              <w:rPr>
                <w:rFonts w:ascii="Arial" w:eastAsia="Batang" w:hAnsi="Arial" w:cs="Arial"/>
              </w:rPr>
              <w:t>1.49</w:t>
            </w:r>
          </w:p>
        </w:tc>
        <w:tc>
          <w:tcPr>
            <w:tcW w:w="852" w:type="dxa"/>
            <w:tcBorders>
              <w:top w:val="single" w:sz="8" w:space="0" w:color="FF2D21"/>
              <w:left w:val="single" w:sz="8" w:space="0" w:color="FF2D21"/>
              <w:bottom w:val="single" w:sz="8" w:space="0" w:color="FF2D21"/>
              <w:right w:val="single" w:sz="8" w:space="0" w:color="FF2D21"/>
            </w:tcBorders>
            <w:shd w:val="clear" w:color="auto" w:fill="FFCAC8"/>
            <w:hideMark/>
          </w:tcPr>
          <w:p w:rsidR="00D11523" w:rsidRDefault="00D11523">
            <w:pPr>
              <w:pStyle w:val="NormalWeb"/>
              <w:spacing w:before="0" w:beforeAutospacing="0" w:after="0" w:afterAutospacing="0" w:line="480" w:lineRule="auto"/>
              <w:rPr>
                <w:rFonts w:ascii="Arial" w:eastAsia="Batang" w:hAnsi="Arial" w:cs="Arial"/>
              </w:rPr>
            </w:pPr>
            <w:r>
              <w:rPr>
                <w:rFonts w:ascii="Arial" w:eastAsia="Batang" w:hAnsi="Arial" w:cs="Arial"/>
              </w:rPr>
              <w:t>0.9</w:t>
            </w:r>
          </w:p>
        </w:tc>
      </w:tr>
    </w:tbl>
    <w:p w:rsidR="00D11523" w:rsidRDefault="00D11523" w:rsidP="00D11523">
      <w:pPr>
        <w:pStyle w:val="NormalWeb"/>
        <w:spacing w:before="0" w:beforeAutospacing="0" w:after="0" w:afterAutospacing="0" w:line="480" w:lineRule="auto"/>
        <w:rPr>
          <w:rFonts w:ascii="Arial" w:eastAsia="Batang" w:hAnsi="Arial" w:cs="Arial"/>
        </w:rPr>
      </w:pPr>
      <w:r>
        <w:rPr>
          <w:rFonts w:ascii="Arial" w:hAnsi="Arial" w:cs="Arial"/>
          <w:noProof/>
          <w:lang w:eastAsia="en-US"/>
        </w:rPr>
        <w:t xml:space="preserve">                </w:t>
      </w:r>
      <w:r>
        <w:rPr>
          <w:rFonts w:ascii="Arial" w:hAnsi="Arial" w:cs="Arial"/>
        </w:rPr>
        <w:t xml:space="preserve">The current ratio indicates that the company is healthy due to it having a higher proportion of assets to liabilities. </w:t>
      </w:r>
      <w:r>
        <w:rPr>
          <w:rFonts w:ascii="Arial" w:eastAsia="Batang" w:hAnsi="Arial" w:cs="Arial"/>
        </w:rPr>
        <w:t xml:space="preserve">The results show that in 2018, the current ratio was high as compared to any other years down the line. </w:t>
      </w:r>
      <w:proofErr w:type="gramStart"/>
      <w:r>
        <w:rPr>
          <w:rFonts w:ascii="Arial" w:eastAsia="Batang" w:hAnsi="Arial" w:cs="Arial"/>
        </w:rPr>
        <w:t>It is clear that during</w:t>
      </w:r>
      <w:proofErr w:type="gramEnd"/>
      <w:r>
        <w:rPr>
          <w:rFonts w:ascii="Arial" w:eastAsia="Batang" w:hAnsi="Arial" w:cs="Arial"/>
        </w:rPr>
        <w:t xml:space="preserve"> this time, the firm has not expanded; thus, its assets were intact. In 2018 it reduced to 1.49 after the firm has started its diversification efforts. In 2019, the current ratio was at 0.9, showing less but still stable ability of the firm to pay off its short-term debts and liabilities.</w:t>
      </w:r>
    </w:p>
    <w:p w:rsidR="00D11523" w:rsidRDefault="00D11523" w:rsidP="00D11523">
      <w:pPr>
        <w:pStyle w:val="NormalWeb"/>
        <w:spacing w:before="0" w:beforeAutospacing="0" w:after="0" w:afterAutospacing="0" w:line="480" w:lineRule="auto"/>
        <w:rPr>
          <w:rFonts w:ascii="Arial" w:eastAsia="Batang" w:hAnsi="Arial" w:cs="Arial"/>
        </w:rPr>
      </w:pPr>
      <w:r>
        <w:rPr>
          <w:rFonts w:ascii="Arial" w:eastAsia="Batang" w:hAnsi="Arial" w:cs="Arial"/>
        </w:rPr>
        <w:t xml:space="preserve">Nevertheless, </w:t>
      </w:r>
      <w:r>
        <w:rPr>
          <w:rFonts w:ascii="Arial" w:hAnsi="Arial" w:cs="Arial"/>
        </w:rPr>
        <w:t>irrespective of industry standing, the current ratio falls short of an ideal ratio of 2:1, which is sought after by most investors. According to the results, Rangemaster plc has a current ratio of 0.9 was poor at the end of 2019,</w:t>
      </w:r>
      <w:r>
        <w:rPr>
          <w:rFonts w:ascii="Arial" w:eastAsia="Batang" w:hAnsi="Arial" w:cs="Arial"/>
        </w:rPr>
        <w:t xml:space="preserve"> </w:t>
      </w:r>
      <w:r>
        <w:rPr>
          <w:rFonts w:ascii="Arial" w:hAnsi="Arial" w:cs="Arial"/>
        </w:rPr>
        <w:t>which doesn’t stretch over the ideal ratio of 2:1.</w:t>
      </w:r>
      <w:r>
        <w:rPr>
          <w:rFonts w:ascii="Arial" w:eastAsia="Batang" w:hAnsi="Arial" w:cs="Arial"/>
        </w:rPr>
        <w:t xml:space="preserve"> Nevertheless, Rangemaster plc’s Quick ratio is 1.88, which means that their liquid assets are able to shield their current liability. </w:t>
      </w:r>
    </w:p>
    <w:p w:rsidR="00D11523" w:rsidRDefault="00D11523" w:rsidP="00D11523">
      <w:pPr>
        <w:spacing w:after="0" w:line="480" w:lineRule="auto"/>
        <w:jc w:val="center"/>
        <w:rPr>
          <w:rFonts w:ascii="Arial" w:hAnsi="Arial" w:cs="Arial"/>
          <w:b/>
          <w:color w:val="auto"/>
          <w:sz w:val="24"/>
          <w:szCs w:val="24"/>
        </w:rPr>
      </w:pPr>
    </w:p>
    <w:p w:rsidR="00D11523" w:rsidRDefault="00D11523" w:rsidP="00D11523">
      <w:pPr>
        <w:spacing w:after="0" w:line="480" w:lineRule="auto"/>
        <w:jc w:val="center"/>
        <w:rPr>
          <w:rFonts w:ascii="Arial" w:hAnsi="Arial" w:cs="Arial"/>
          <w:b/>
          <w:color w:val="auto"/>
          <w:sz w:val="24"/>
          <w:szCs w:val="24"/>
        </w:rPr>
      </w:pPr>
    </w:p>
    <w:p w:rsidR="00D11523" w:rsidRDefault="00D11523" w:rsidP="00D11523">
      <w:pPr>
        <w:spacing w:after="0" w:line="480" w:lineRule="auto"/>
        <w:jc w:val="center"/>
        <w:rPr>
          <w:rFonts w:ascii="Arial" w:hAnsi="Arial" w:cs="Arial"/>
          <w:b/>
          <w:color w:val="auto"/>
          <w:sz w:val="24"/>
          <w:szCs w:val="24"/>
        </w:rPr>
      </w:pPr>
    </w:p>
    <w:p w:rsidR="00D11523" w:rsidRDefault="00D11523" w:rsidP="00D11523">
      <w:pPr>
        <w:spacing w:after="0" w:line="480" w:lineRule="auto"/>
        <w:jc w:val="center"/>
        <w:rPr>
          <w:rFonts w:ascii="Arial" w:eastAsia="Batang" w:hAnsi="Arial" w:cs="Arial"/>
          <w:b/>
          <w:color w:val="auto"/>
          <w:sz w:val="24"/>
          <w:szCs w:val="24"/>
          <w:lang w:eastAsia="ko-KR"/>
        </w:rPr>
      </w:pPr>
      <w:r>
        <w:rPr>
          <w:rFonts w:ascii="Arial" w:hAnsi="Arial" w:cs="Arial"/>
          <w:b/>
          <w:color w:val="auto"/>
          <w:sz w:val="24"/>
          <w:szCs w:val="24"/>
        </w:rPr>
        <w:lastRenderedPageBreak/>
        <w:t>Profitability Ratios</w:t>
      </w:r>
    </w:p>
    <w:p w:rsidR="00D11523" w:rsidRDefault="00D11523" w:rsidP="00D11523">
      <w:pPr>
        <w:spacing w:after="0" w:line="480" w:lineRule="auto"/>
        <w:rPr>
          <w:rFonts w:ascii="Arial" w:eastAsia="Gulim" w:hAnsi="Arial" w:cs="Arial"/>
          <w:color w:val="auto"/>
          <w:sz w:val="24"/>
          <w:szCs w:val="24"/>
          <w:lang w:eastAsia="ko-KR"/>
        </w:rPr>
      </w:pPr>
      <w:r>
        <w:rPr>
          <w:rFonts w:ascii="Arial" w:eastAsia="Gulim" w:hAnsi="Arial" w:cs="Arial"/>
          <w:color w:val="auto"/>
          <w:sz w:val="24"/>
          <w:szCs w:val="24"/>
          <w:lang w:eastAsia="ko-KR"/>
        </w:rPr>
        <w:t xml:space="preserve">The profitability </w:t>
      </w:r>
      <w:r>
        <w:rPr>
          <w:rFonts w:ascii="Arial" w:eastAsia="Gulim" w:hAnsi="Arial" w:cs="Arial"/>
          <w:color w:val="auto"/>
          <w:sz w:val="24"/>
          <w:szCs w:val="24"/>
        </w:rPr>
        <w:t xml:space="preserve">ratio indicates the company’s ability </w:t>
      </w:r>
      <w:r>
        <w:rPr>
          <w:rFonts w:ascii="Arial" w:eastAsia="Gulim" w:hAnsi="Arial" w:cs="Arial"/>
          <w:color w:val="auto"/>
          <w:sz w:val="24"/>
          <w:szCs w:val="24"/>
          <w:lang w:eastAsia="ko-KR"/>
        </w:rPr>
        <w:t xml:space="preserve">to produce revenue </w:t>
      </w:r>
      <w:r>
        <w:rPr>
          <w:rFonts w:ascii="Arial" w:hAnsi="Arial" w:cs="Arial"/>
          <w:sz w:val="24"/>
          <w:szCs w:val="24"/>
          <w:shd w:val="clear" w:color="auto" w:fill="FFFFFF"/>
        </w:rPr>
        <w:t xml:space="preserve">as compared to </w:t>
      </w:r>
      <w:r>
        <w:rPr>
          <w:rFonts w:ascii="Arial" w:eastAsia="Batang" w:hAnsi="Arial" w:cs="Arial"/>
          <w:sz w:val="24"/>
          <w:szCs w:val="24"/>
          <w:shd w:val="clear" w:color="auto" w:fill="FFFFFF"/>
          <w:lang w:eastAsia="ko-KR"/>
        </w:rPr>
        <w:t>its</w:t>
      </w:r>
      <w:r>
        <w:rPr>
          <w:rFonts w:ascii="Arial" w:hAnsi="Arial" w:cs="Arial"/>
          <w:sz w:val="24"/>
          <w:szCs w:val="24"/>
          <w:shd w:val="clear" w:color="auto" w:fill="FFFFFF"/>
        </w:rPr>
        <w:t xml:space="preserve"> expenses</w:t>
      </w:r>
      <w:r>
        <w:rPr>
          <w:rFonts w:ascii="Arial" w:eastAsia="Batang" w:hAnsi="Arial" w:cs="Arial"/>
          <w:sz w:val="24"/>
          <w:szCs w:val="24"/>
          <w:shd w:val="clear" w:color="auto" w:fill="FFFFFF"/>
          <w:lang w:eastAsia="ko-KR"/>
        </w:rPr>
        <w:t>.</w:t>
      </w:r>
      <w:r>
        <w:rPr>
          <w:rFonts w:ascii="Arial" w:eastAsia="Gulim" w:hAnsi="Arial" w:cs="Arial"/>
          <w:color w:val="auto"/>
          <w:sz w:val="24"/>
          <w:szCs w:val="24"/>
          <w:lang w:eastAsia="ko-KR"/>
        </w:rPr>
        <w:t xml:space="preserve"> </w:t>
      </w:r>
    </w:p>
    <w:p w:rsidR="00D11523" w:rsidRDefault="00D11523" w:rsidP="00D11523">
      <w:pPr>
        <w:spacing w:after="0" w:line="480" w:lineRule="auto"/>
        <w:rPr>
          <w:rFonts w:ascii="Arial" w:eastAsia="Gulim" w:hAnsi="Arial" w:cs="Arial"/>
          <w:color w:val="auto"/>
          <w:sz w:val="24"/>
          <w:szCs w:val="24"/>
          <w:lang w:eastAsia="ko-KR"/>
        </w:rPr>
      </w:pPr>
    </w:p>
    <w:p w:rsidR="00D11523" w:rsidRDefault="00D11523" w:rsidP="00D11523">
      <w:pPr>
        <w:spacing w:after="0" w:line="480" w:lineRule="auto"/>
        <w:jc w:val="center"/>
        <w:rPr>
          <w:rFonts w:ascii="Arial" w:eastAsia="Batang" w:hAnsi="Arial" w:cs="Arial"/>
          <w:b/>
          <w:color w:val="auto"/>
          <w:sz w:val="24"/>
          <w:szCs w:val="24"/>
          <w:lang w:eastAsia="ko-KR"/>
        </w:rPr>
      </w:pPr>
      <w:r>
        <w:rPr>
          <w:rFonts w:ascii="Arial" w:eastAsia="Batang" w:hAnsi="Arial" w:cs="Arial"/>
          <w:b/>
          <w:color w:val="auto"/>
          <w:sz w:val="24"/>
          <w:szCs w:val="24"/>
          <w:lang w:eastAsia="ko-KR"/>
        </w:rPr>
        <w:t>Profit Margin on Sales</w:t>
      </w:r>
    </w:p>
    <w:p w:rsidR="00D11523" w:rsidRDefault="00D11523" w:rsidP="00D11523">
      <w:pPr>
        <w:spacing w:after="0" w:line="480" w:lineRule="auto"/>
        <w:rPr>
          <w:rFonts w:ascii="Arial" w:eastAsia="Batang" w:hAnsi="Arial" w:cs="Arial"/>
          <w:color w:val="auto"/>
          <w:sz w:val="24"/>
          <w:szCs w:val="24"/>
          <w:u w:val="single"/>
          <w:lang w:eastAsia="ko-KR"/>
        </w:rPr>
      </w:pPr>
      <w:r>
        <w:rPr>
          <w:rFonts w:ascii="Arial" w:hAnsi="Arial" w:cs="Arial"/>
          <w:color w:val="auto"/>
          <w:sz w:val="24"/>
          <w:szCs w:val="24"/>
        </w:rPr>
        <w:t>The profit margin on sales is an important indicator of corporate profitability. A decrease in the ratio correlates with the company’s product cost and operating expenses increasing faster than sales</w:t>
      </w:r>
      <w:r>
        <w:rPr>
          <w:rFonts w:ascii="Arial" w:eastAsia="Batang" w:hAnsi="Arial" w:cs="Arial"/>
          <w:color w:val="auto"/>
          <w:sz w:val="24"/>
          <w:szCs w:val="24"/>
          <w:lang w:eastAsia="ko-KR"/>
        </w:rPr>
        <w:t>, and</w:t>
      </w:r>
      <w:r>
        <w:rPr>
          <w:rFonts w:ascii="Arial" w:hAnsi="Arial" w:cs="Arial"/>
          <w:sz w:val="24"/>
          <w:szCs w:val="24"/>
          <w:shd w:val="clear" w:color="auto" w:fill="FFFFFF"/>
        </w:rPr>
        <w:t xml:space="preserve"> is calculated as follows</w:t>
      </w:r>
      <w:r>
        <w:rPr>
          <w:rFonts w:ascii="Arial" w:eastAsia="Batang" w:hAnsi="Arial" w:cs="Arial"/>
          <w:sz w:val="24"/>
          <w:szCs w:val="24"/>
          <w:shd w:val="clear" w:color="auto" w:fill="FFFFFF"/>
          <w:lang w:eastAsia="ko-KR"/>
        </w:rPr>
        <w:t>:</w:t>
      </w:r>
    </w:p>
    <w:p w:rsidR="00D11523" w:rsidRDefault="00D11523" w:rsidP="00D11523">
      <w:pPr>
        <w:spacing w:after="0" w:line="480" w:lineRule="auto"/>
        <w:rPr>
          <w:rFonts w:ascii="Arial" w:hAnsi="Arial" w:cs="Arial"/>
          <w:color w:val="auto"/>
          <w:sz w:val="24"/>
          <w:szCs w:val="24"/>
        </w:rPr>
      </w:pPr>
      <w:r>
        <w:rPr>
          <w:rFonts w:ascii="Arial" w:hAnsi="Arial" w:cs="Arial"/>
          <w:color w:val="auto"/>
          <w:sz w:val="24"/>
          <w:szCs w:val="24"/>
        </w:rPr>
        <w:t>The profit margin on sales</w:t>
      </w:r>
      <w:r>
        <w:rPr>
          <w:rFonts w:ascii="Arial" w:eastAsia="Batang" w:hAnsi="Arial" w:cs="Arial"/>
          <w:color w:val="auto"/>
          <w:sz w:val="24"/>
          <w:szCs w:val="24"/>
          <w:lang w:eastAsia="ko-KR"/>
        </w:rPr>
        <w:t xml:space="preserve"> </w:t>
      </w:r>
      <w:r>
        <w:rPr>
          <w:rFonts w:ascii="Arial" w:hAnsi="Arial" w:cs="Arial"/>
          <w:color w:val="auto"/>
          <w:sz w:val="24"/>
          <w:szCs w:val="24"/>
        </w:rPr>
        <w:t>(Net Profit Margin) =Net income/sales (net)</w:t>
      </w:r>
    </w:p>
    <w:tbl>
      <w:tblPr>
        <w:tblW w:w="0" w:type="auto"/>
        <w:tblBorders>
          <w:top w:val="single" w:sz="8" w:space="0" w:color="FF2D21"/>
          <w:left w:val="single" w:sz="8" w:space="0" w:color="FF2D21"/>
          <w:bottom w:val="single" w:sz="8" w:space="0" w:color="FF2D21"/>
          <w:right w:val="single" w:sz="8" w:space="0" w:color="FF2D21"/>
          <w:insideH w:val="single" w:sz="8" w:space="0" w:color="FF2D21"/>
          <w:insideV w:val="single" w:sz="8" w:space="0" w:color="FF2D21"/>
        </w:tblBorders>
        <w:tblLook w:val="04A0" w:firstRow="1" w:lastRow="0" w:firstColumn="1" w:lastColumn="0" w:noHBand="0" w:noVBand="1"/>
      </w:tblPr>
      <w:tblGrid>
        <w:gridCol w:w="2097"/>
        <w:gridCol w:w="855"/>
        <w:gridCol w:w="855"/>
      </w:tblGrid>
      <w:tr w:rsidR="00D11523" w:rsidTr="00D11523">
        <w:trPr>
          <w:trHeight w:val="578"/>
        </w:trPr>
        <w:tc>
          <w:tcPr>
            <w:tcW w:w="1030" w:type="dxa"/>
            <w:tcBorders>
              <w:top w:val="single" w:sz="8" w:space="0" w:color="FF2D21"/>
              <w:left w:val="single" w:sz="8" w:space="0" w:color="FF2D21"/>
              <w:bottom w:val="single" w:sz="18" w:space="0" w:color="FF2D21"/>
              <w:right w:val="single" w:sz="8" w:space="0" w:color="FF2D21"/>
            </w:tcBorders>
            <w:hideMark/>
          </w:tcPr>
          <w:p w:rsidR="00D11523" w:rsidRDefault="00D11523">
            <w:pPr>
              <w:pStyle w:val="NormalWeb"/>
              <w:spacing w:before="0" w:beforeAutospacing="0" w:after="0" w:afterAutospacing="0" w:line="480" w:lineRule="auto"/>
              <w:rPr>
                <w:rFonts w:ascii="Arial" w:eastAsia="Batang" w:hAnsi="Arial" w:cs="Arial"/>
                <w:b/>
                <w:bCs/>
              </w:rPr>
            </w:pPr>
            <w:r>
              <w:rPr>
                <w:rFonts w:ascii="Arial" w:eastAsia="Batang" w:hAnsi="Arial" w:cs="Arial"/>
                <w:b/>
                <w:bCs/>
              </w:rPr>
              <w:t>Gross Margin</w:t>
            </w:r>
          </w:p>
        </w:tc>
        <w:tc>
          <w:tcPr>
            <w:tcW w:w="855" w:type="dxa"/>
            <w:tcBorders>
              <w:top w:val="single" w:sz="8" w:space="0" w:color="FF2D21"/>
              <w:left w:val="single" w:sz="8" w:space="0" w:color="FF2D21"/>
              <w:bottom w:val="single" w:sz="18" w:space="0" w:color="FF2D21"/>
              <w:right w:val="single" w:sz="8" w:space="0" w:color="FF2D21"/>
            </w:tcBorders>
            <w:hideMark/>
          </w:tcPr>
          <w:p w:rsidR="00D11523" w:rsidRDefault="00D11523">
            <w:pPr>
              <w:pStyle w:val="NormalWeb"/>
              <w:spacing w:before="0" w:beforeAutospacing="0" w:after="0" w:afterAutospacing="0" w:line="480" w:lineRule="auto"/>
              <w:rPr>
                <w:rFonts w:ascii="Arial" w:eastAsia="Batang" w:hAnsi="Arial" w:cs="Arial"/>
                <w:b/>
                <w:bCs/>
              </w:rPr>
            </w:pPr>
            <w:r>
              <w:rPr>
                <w:rFonts w:ascii="Arial" w:eastAsia="Batang" w:hAnsi="Arial" w:cs="Arial"/>
                <w:b/>
                <w:bCs/>
              </w:rPr>
              <w:t>2018</w:t>
            </w:r>
          </w:p>
        </w:tc>
        <w:tc>
          <w:tcPr>
            <w:tcW w:w="855" w:type="dxa"/>
            <w:tcBorders>
              <w:top w:val="single" w:sz="8" w:space="0" w:color="FF2D21"/>
              <w:left w:val="single" w:sz="8" w:space="0" w:color="FF2D21"/>
              <w:bottom w:val="single" w:sz="18" w:space="0" w:color="FF2D21"/>
              <w:right w:val="single" w:sz="8" w:space="0" w:color="FF2D21"/>
            </w:tcBorders>
            <w:hideMark/>
          </w:tcPr>
          <w:p w:rsidR="00D11523" w:rsidRDefault="00D11523">
            <w:pPr>
              <w:pStyle w:val="NormalWeb"/>
              <w:spacing w:before="0" w:beforeAutospacing="0" w:after="0" w:afterAutospacing="0" w:line="480" w:lineRule="auto"/>
              <w:rPr>
                <w:rFonts w:ascii="Arial" w:eastAsia="Batang" w:hAnsi="Arial" w:cs="Arial"/>
                <w:b/>
                <w:bCs/>
              </w:rPr>
            </w:pPr>
            <w:r>
              <w:rPr>
                <w:rFonts w:ascii="Arial" w:eastAsia="Batang" w:hAnsi="Arial" w:cs="Arial"/>
                <w:b/>
                <w:bCs/>
              </w:rPr>
              <w:t>2019</w:t>
            </w:r>
          </w:p>
        </w:tc>
      </w:tr>
      <w:tr w:rsidR="00D11523" w:rsidTr="00D11523">
        <w:trPr>
          <w:trHeight w:val="300"/>
        </w:trPr>
        <w:tc>
          <w:tcPr>
            <w:tcW w:w="1030" w:type="dxa"/>
            <w:tcBorders>
              <w:top w:val="single" w:sz="8" w:space="0" w:color="FF2D21"/>
              <w:left w:val="single" w:sz="8" w:space="0" w:color="FF2D21"/>
              <w:bottom w:val="single" w:sz="8" w:space="0" w:color="FF2D21"/>
              <w:right w:val="single" w:sz="8" w:space="0" w:color="FF2D21"/>
            </w:tcBorders>
            <w:shd w:val="clear" w:color="auto" w:fill="FFCAC8"/>
            <w:hideMark/>
          </w:tcPr>
          <w:p w:rsidR="00D11523" w:rsidRDefault="00D11523">
            <w:pPr>
              <w:pStyle w:val="NormalWeb"/>
              <w:spacing w:before="0" w:beforeAutospacing="0" w:after="0" w:afterAutospacing="0" w:line="480" w:lineRule="auto"/>
              <w:rPr>
                <w:rFonts w:ascii="Arial" w:eastAsia="Batang" w:hAnsi="Arial" w:cs="Arial"/>
                <w:b/>
                <w:bCs/>
              </w:rPr>
            </w:pPr>
            <w:r>
              <w:rPr>
                <w:rFonts w:ascii="Arial" w:eastAsia="Batang" w:hAnsi="Arial" w:cs="Arial"/>
                <w:b/>
                <w:bCs/>
              </w:rPr>
              <w:t>RANGEMASTER</w:t>
            </w:r>
          </w:p>
        </w:tc>
        <w:tc>
          <w:tcPr>
            <w:tcW w:w="855" w:type="dxa"/>
            <w:tcBorders>
              <w:top w:val="single" w:sz="8" w:space="0" w:color="FF2D21"/>
              <w:left w:val="single" w:sz="8" w:space="0" w:color="FF2D21"/>
              <w:bottom w:val="single" w:sz="8" w:space="0" w:color="FF2D21"/>
              <w:right w:val="single" w:sz="8" w:space="0" w:color="FF2D21"/>
            </w:tcBorders>
            <w:shd w:val="clear" w:color="auto" w:fill="FFCAC8"/>
            <w:hideMark/>
          </w:tcPr>
          <w:p w:rsidR="00D11523" w:rsidRDefault="00D11523">
            <w:pPr>
              <w:pStyle w:val="NormalWeb"/>
              <w:spacing w:before="0" w:beforeAutospacing="0" w:after="0" w:afterAutospacing="0" w:line="480" w:lineRule="auto"/>
              <w:rPr>
                <w:rFonts w:ascii="Arial" w:eastAsia="Batang" w:hAnsi="Arial" w:cs="Arial"/>
              </w:rPr>
            </w:pPr>
            <w:r>
              <w:rPr>
                <w:rFonts w:ascii="Arial" w:eastAsia="Batang" w:hAnsi="Arial" w:cs="Arial"/>
              </w:rPr>
              <w:t>36.8</w:t>
            </w:r>
          </w:p>
        </w:tc>
        <w:tc>
          <w:tcPr>
            <w:tcW w:w="855" w:type="dxa"/>
            <w:tcBorders>
              <w:top w:val="single" w:sz="8" w:space="0" w:color="FF2D21"/>
              <w:left w:val="single" w:sz="8" w:space="0" w:color="FF2D21"/>
              <w:bottom w:val="single" w:sz="8" w:space="0" w:color="FF2D21"/>
              <w:right w:val="single" w:sz="8" w:space="0" w:color="FF2D21"/>
            </w:tcBorders>
            <w:shd w:val="clear" w:color="auto" w:fill="FFCAC8"/>
            <w:hideMark/>
          </w:tcPr>
          <w:p w:rsidR="00D11523" w:rsidRDefault="00D11523">
            <w:pPr>
              <w:pStyle w:val="NormalWeb"/>
              <w:spacing w:before="0" w:beforeAutospacing="0" w:after="0" w:afterAutospacing="0" w:line="480" w:lineRule="auto"/>
              <w:rPr>
                <w:rFonts w:ascii="Arial" w:eastAsia="Batang" w:hAnsi="Arial" w:cs="Arial"/>
              </w:rPr>
            </w:pPr>
            <w:r>
              <w:rPr>
                <w:rFonts w:ascii="Arial" w:eastAsia="Batang" w:hAnsi="Arial" w:cs="Arial"/>
              </w:rPr>
              <w:t>38.2</w:t>
            </w:r>
          </w:p>
        </w:tc>
      </w:tr>
    </w:tbl>
    <w:p w:rsidR="00D11523" w:rsidRDefault="00D11523" w:rsidP="00D11523">
      <w:pPr>
        <w:spacing w:after="0" w:line="480" w:lineRule="auto"/>
        <w:rPr>
          <w:rFonts w:ascii="Arial" w:eastAsia="Batang" w:hAnsi="Arial" w:cs="Arial"/>
          <w:color w:val="auto"/>
          <w:sz w:val="24"/>
          <w:szCs w:val="24"/>
          <w:u w:val="single"/>
          <w:lang w:eastAsia="ko-KR"/>
        </w:rPr>
      </w:pPr>
      <w:r>
        <w:rPr>
          <w:rFonts w:ascii="Arial" w:hAnsi="Arial" w:cs="Arial"/>
          <w:noProof/>
          <w:color w:val="auto"/>
          <w:sz w:val="24"/>
          <w:szCs w:val="24"/>
        </w:rPr>
        <w:t xml:space="preserve">                         </w:t>
      </w:r>
    </w:p>
    <w:p w:rsidR="00D11523" w:rsidRDefault="00D11523" w:rsidP="00D11523">
      <w:pPr>
        <w:spacing w:after="0" w:line="480" w:lineRule="auto"/>
        <w:jc w:val="both"/>
        <w:rPr>
          <w:rFonts w:ascii="Arial" w:hAnsi="Arial" w:cs="Arial"/>
          <w:color w:val="auto"/>
          <w:sz w:val="24"/>
          <w:szCs w:val="24"/>
        </w:rPr>
      </w:pPr>
      <w:r>
        <w:rPr>
          <w:rFonts w:ascii="Arial" w:hAnsi="Arial" w:cs="Arial"/>
          <w:color w:val="auto"/>
          <w:sz w:val="24"/>
          <w:szCs w:val="24"/>
        </w:rPr>
        <w:tab/>
        <w:t xml:space="preserve">The data indicate that Rangemaster plc experienced significant volatility in their profit margins as from 2018 to 2019, it later reduces in the rate of the profits from 2012 to 2014. Most consider that it was during this time that the firm had taken steps to expand, most of its profits were used in the expansion and diversification process that took the firm a long-term project of 5 years. It is seen that over the past few years, and a low average profit margin, while Time Warner experienced relative stability in their profit margins, with a higher average profit margin. Thus, this ratio alone would indicate that Rangemaster plc is higher investment risk. Much can be in terms of profits in 2018-2019. The increase in the gross before-tax profits is seen in 2019. Various factors have contributed to this; first, the diversification process was over, and the video and movies were now streaming; more clients were now on board, most of which started paying their monthly subscriptions and becoming members. </w:t>
      </w:r>
    </w:p>
    <w:p w:rsidR="00D11523" w:rsidRDefault="00D11523" w:rsidP="00D11523">
      <w:pPr>
        <w:spacing w:after="0" w:line="480" w:lineRule="auto"/>
        <w:jc w:val="center"/>
        <w:rPr>
          <w:rFonts w:ascii="Arial" w:eastAsia="Batang" w:hAnsi="Arial" w:cs="Arial"/>
          <w:b/>
          <w:color w:val="auto"/>
          <w:sz w:val="24"/>
          <w:szCs w:val="24"/>
          <w:lang w:eastAsia="ko-KR"/>
        </w:rPr>
      </w:pPr>
    </w:p>
    <w:p w:rsidR="00D11523" w:rsidRDefault="00D11523" w:rsidP="00D11523">
      <w:pPr>
        <w:spacing w:after="0" w:line="480" w:lineRule="auto"/>
        <w:jc w:val="center"/>
        <w:rPr>
          <w:rFonts w:ascii="Arial" w:eastAsia="Batang" w:hAnsi="Arial" w:cs="Arial"/>
          <w:b/>
          <w:color w:val="auto"/>
          <w:sz w:val="24"/>
          <w:szCs w:val="24"/>
          <w:lang w:eastAsia="ko-KR"/>
        </w:rPr>
      </w:pPr>
      <w:r>
        <w:rPr>
          <w:rFonts w:ascii="Arial" w:eastAsia="Batang" w:hAnsi="Arial" w:cs="Arial"/>
          <w:b/>
          <w:color w:val="auto"/>
          <w:sz w:val="24"/>
          <w:szCs w:val="24"/>
          <w:lang w:eastAsia="ko-KR"/>
        </w:rPr>
        <w:lastRenderedPageBreak/>
        <w:t>Gross Profit on Sales</w:t>
      </w:r>
    </w:p>
    <w:p w:rsidR="00D11523" w:rsidRDefault="00D11523" w:rsidP="00D11523">
      <w:pPr>
        <w:spacing w:after="0" w:line="480" w:lineRule="auto"/>
        <w:rPr>
          <w:rFonts w:ascii="Arial" w:eastAsia="Batang" w:hAnsi="Arial" w:cs="Arial"/>
          <w:b/>
          <w:color w:val="auto"/>
          <w:sz w:val="24"/>
          <w:szCs w:val="24"/>
          <w:lang w:eastAsia="ko-KR"/>
        </w:rPr>
      </w:pPr>
      <w:r>
        <w:rPr>
          <w:rFonts w:ascii="Arial" w:hAnsi="Arial" w:cs="Arial"/>
          <w:color w:val="auto"/>
          <w:sz w:val="24"/>
          <w:szCs w:val="24"/>
        </w:rPr>
        <w:t>Gross profit indicates the ability of the company to sell goods at the intended selling price</w:t>
      </w:r>
      <w:r>
        <w:rPr>
          <w:rFonts w:ascii="Arial" w:eastAsia="Batang" w:hAnsi="Arial" w:cs="Arial"/>
          <w:color w:val="auto"/>
          <w:sz w:val="24"/>
          <w:szCs w:val="24"/>
          <w:lang w:eastAsia="ko-KR"/>
        </w:rPr>
        <w:t>, and</w:t>
      </w:r>
      <w:r>
        <w:rPr>
          <w:rFonts w:ascii="Arial" w:hAnsi="Arial" w:cs="Arial"/>
          <w:sz w:val="24"/>
          <w:szCs w:val="24"/>
          <w:shd w:val="clear" w:color="auto" w:fill="FFFFFF"/>
        </w:rPr>
        <w:t xml:space="preserve"> is calculated as follows</w:t>
      </w:r>
      <w:r>
        <w:rPr>
          <w:rFonts w:ascii="Arial" w:eastAsia="Batang" w:hAnsi="Arial" w:cs="Arial"/>
          <w:sz w:val="24"/>
          <w:szCs w:val="24"/>
          <w:shd w:val="clear" w:color="auto" w:fill="FFFFFF"/>
          <w:lang w:eastAsia="ko-KR"/>
        </w:rPr>
        <w:t>:</w:t>
      </w:r>
    </w:p>
    <w:p w:rsidR="00D11523" w:rsidRDefault="00D11523" w:rsidP="00D11523">
      <w:pPr>
        <w:spacing w:after="0" w:line="480" w:lineRule="auto"/>
        <w:rPr>
          <w:rFonts w:ascii="Arial" w:eastAsia="Batang" w:hAnsi="Arial" w:cs="Arial"/>
          <w:color w:val="auto"/>
          <w:sz w:val="24"/>
          <w:szCs w:val="24"/>
          <w:lang w:eastAsia="ko-KR"/>
        </w:rPr>
      </w:pPr>
      <w:r>
        <w:rPr>
          <w:rFonts w:ascii="Arial" w:hAnsi="Arial" w:cs="Arial"/>
          <w:color w:val="auto"/>
          <w:sz w:val="24"/>
          <w:szCs w:val="24"/>
        </w:rPr>
        <w:t>Gross Profit on Sales= Gross Profit/ Sales (Net)</w:t>
      </w:r>
    </w:p>
    <w:tbl>
      <w:tblPr>
        <w:tblW w:w="3502" w:type="dxa"/>
        <w:tblInd w:w="118" w:type="dxa"/>
        <w:tblLook w:val="04A0" w:firstRow="1" w:lastRow="0" w:firstColumn="1" w:lastColumn="0" w:noHBand="0" w:noVBand="1"/>
      </w:tblPr>
      <w:tblGrid>
        <w:gridCol w:w="2097"/>
        <w:gridCol w:w="750"/>
        <w:gridCol w:w="750"/>
      </w:tblGrid>
      <w:tr w:rsidR="00D11523" w:rsidTr="00D11523">
        <w:trPr>
          <w:trHeight w:val="262"/>
        </w:trPr>
        <w:tc>
          <w:tcPr>
            <w:tcW w:w="2110" w:type="dxa"/>
            <w:tcBorders>
              <w:top w:val="single" w:sz="8" w:space="0" w:color="FF2D21"/>
              <w:left w:val="single" w:sz="8" w:space="0" w:color="FF2D21"/>
              <w:bottom w:val="single" w:sz="12" w:space="0" w:color="FF2D21"/>
              <w:right w:val="single" w:sz="8" w:space="0" w:color="FF2D21"/>
            </w:tcBorders>
            <w:vAlign w:val="center"/>
            <w:hideMark/>
          </w:tcPr>
          <w:p w:rsidR="00D11523" w:rsidRDefault="00D11523">
            <w:pPr>
              <w:spacing w:after="0" w:line="480" w:lineRule="auto"/>
              <w:rPr>
                <w:rFonts w:ascii="Arial" w:eastAsia="Times New Roman" w:hAnsi="Arial" w:cs="Arial"/>
                <w:b/>
                <w:bCs/>
                <w:color w:val="auto"/>
                <w:sz w:val="24"/>
                <w:szCs w:val="24"/>
                <w:bdr w:val="none" w:sz="0" w:space="0" w:color="auto" w:frame="1"/>
              </w:rPr>
            </w:pPr>
            <w:r>
              <w:rPr>
                <w:rFonts w:ascii="Arial" w:eastAsia="Times New Roman" w:hAnsi="Arial" w:cs="Arial"/>
                <w:b/>
                <w:bCs/>
                <w:color w:val="auto"/>
                <w:sz w:val="24"/>
                <w:szCs w:val="24"/>
                <w:bdr w:val="none" w:sz="0" w:space="0" w:color="auto" w:frame="1"/>
              </w:rPr>
              <w:t> </w:t>
            </w:r>
            <w:r>
              <w:rPr>
                <w:rFonts w:ascii="Arial" w:eastAsia="Batang" w:hAnsi="Arial" w:cs="Arial"/>
                <w:b/>
                <w:color w:val="auto"/>
                <w:sz w:val="24"/>
                <w:szCs w:val="24"/>
                <w:lang w:eastAsia="ko-KR"/>
              </w:rPr>
              <w:t>Gross Profit</w:t>
            </w:r>
          </w:p>
        </w:tc>
        <w:tc>
          <w:tcPr>
            <w:tcW w:w="696" w:type="dxa"/>
            <w:tcBorders>
              <w:top w:val="single" w:sz="8" w:space="0" w:color="FF2D21"/>
              <w:left w:val="nil"/>
              <w:bottom w:val="single" w:sz="12" w:space="0" w:color="FF2D21"/>
              <w:right w:val="single" w:sz="8" w:space="0" w:color="FF2D21"/>
            </w:tcBorders>
            <w:vAlign w:val="center"/>
            <w:hideMark/>
          </w:tcPr>
          <w:p w:rsidR="00D11523" w:rsidRDefault="00D11523">
            <w:pPr>
              <w:spacing w:after="0" w:line="480" w:lineRule="auto"/>
              <w:jc w:val="right"/>
              <w:rPr>
                <w:rFonts w:ascii="Arial" w:eastAsia="Times New Roman" w:hAnsi="Arial" w:cs="Arial"/>
                <w:b/>
                <w:bCs/>
                <w:color w:val="auto"/>
                <w:sz w:val="24"/>
                <w:szCs w:val="24"/>
                <w:bdr w:val="none" w:sz="0" w:space="0" w:color="auto" w:frame="1"/>
              </w:rPr>
            </w:pPr>
            <w:r>
              <w:rPr>
                <w:rFonts w:ascii="Arial" w:eastAsia="Times New Roman" w:hAnsi="Arial" w:cs="Arial"/>
                <w:b/>
                <w:bCs/>
                <w:color w:val="auto"/>
                <w:sz w:val="24"/>
                <w:szCs w:val="24"/>
                <w:bdr w:val="none" w:sz="0" w:space="0" w:color="auto" w:frame="1"/>
              </w:rPr>
              <w:t>2018</w:t>
            </w:r>
          </w:p>
        </w:tc>
        <w:tc>
          <w:tcPr>
            <w:tcW w:w="696" w:type="dxa"/>
            <w:tcBorders>
              <w:top w:val="single" w:sz="8" w:space="0" w:color="FF2D21"/>
              <w:left w:val="nil"/>
              <w:bottom w:val="single" w:sz="12" w:space="0" w:color="FF2D21"/>
              <w:right w:val="single" w:sz="8" w:space="0" w:color="FF2D21"/>
            </w:tcBorders>
            <w:vAlign w:val="center"/>
            <w:hideMark/>
          </w:tcPr>
          <w:p w:rsidR="00D11523" w:rsidRDefault="00D11523">
            <w:pPr>
              <w:spacing w:after="0" w:line="480" w:lineRule="auto"/>
              <w:jc w:val="right"/>
              <w:rPr>
                <w:rFonts w:ascii="Arial" w:eastAsia="Times New Roman" w:hAnsi="Arial" w:cs="Arial"/>
                <w:b/>
                <w:bCs/>
                <w:color w:val="auto"/>
                <w:sz w:val="24"/>
                <w:szCs w:val="24"/>
                <w:bdr w:val="none" w:sz="0" w:space="0" w:color="auto" w:frame="1"/>
              </w:rPr>
            </w:pPr>
            <w:r>
              <w:rPr>
                <w:rFonts w:ascii="Arial" w:eastAsia="Times New Roman" w:hAnsi="Arial" w:cs="Arial"/>
                <w:b/>
                <w:bCs/>
                <w:color w:val="auto"/>
                <w:sz w:val="24"/>
                <w:szCs w:val="24"/>
                <w:bdr w:val="none" w:sz="0" w:space="0" w:color="auto" w:frame="1"/>
              </w:rPr>
              <w:t>2019</w:t>
            </w:r>
          </w:p>
        </w:tc>
      </w:tr>
      <w:tr w:rsidR="00D11523" w:rsidTr="00D11523">
        <w:trPr>
          <w:trHeight w:val="275"/>
        </w:trPr>
        <w:tc>
          <w:tcPr>
            <w:tcW w:w="2110" w:type="dxa"/>
            <w:tcBorders>
              <w:top w:val="nil"/>
              <w:left w:val="single" w:sz="8" w:space="0" w:color="FF2D21"/>
              <w:bottom w:val="single" w:sz="8" w:space="0" w:color="FF2D21"/>
              <w:right w:val="single" w:sz="8" w:space="0" w:color="FF2D21"/>
            </w:tcBorders>
            <w:shd w:val="clear" w:color="auto" w:fill="FFCAC8"/>
            <w:vAlign w:val="center"/>
            <w:hideMark/>
          </w:tcPr>
          <w:p w:rsidR="00D11523" w:rsidRDefault="00D11523">
            <w:pPr>
              <w:spacing w:after="0" w:line="480" w:lineRule="auto"/>
              <w:rPr>
                <w:rFonts w:ascii="Arial" w:eastAsia="Times New Roman" w:hAnsi="Arial" w:cs="Arial"/>
                <w:b/>
                <w:bCs/>
                <w:color w:val="auto"/>
                <w:sz w:val="24"/>
                <w:szCs w:val="24"/>
                <w:bdr w:val="none" w:sz="0" w:space="0" w:color="auto" w:frame="1"/>
              </w:rPr>
            </w:pPr>
            <w:r>
              <w:rPr>
                <w:rFonts w:ascii="Arial" w:eastAsia="Times New Roman" w:hAnsi="Arial" w:cs="Arial"/>
                <w:b/>
                <w:bCs/>
                <w:sz w:val="24"/>
                <w:szCs w:val="24"/>
                <w:bdr w:val="none" w:sz="0" w:space="0" w:color="auto" w:frame="1"/>
              </w:rPr>
              <w:t>RANGEMASTER</w:t>
            </w:r>
          </w:p>
        </w:tc>
        <w:tc>
          <w:tcPr>
            <w:tcW w:w="696" w:type="dxa"/>
            <w:tcBorders>
              <w:top w:val="nil"/>
              <w:left w:val="nil"/>
              <w:bottom w:val="single" w:sz="8" w:space="0" w:color="FF2D21"/>
              <w:right w:val="single" w:sz="8" w:space="0" w:color="FF2D21"/>
            </w:tcBorders>
            <w:shd w:val="clear" w:color="auto" w:fill="FFCAC8"/>
            <w:vAlign w:val="center"/>
            <w:hideMark/>
          </w:tcPr>
          <w:p w:rsidR="00D11523" w:rsidRDefault="00D11523">
            <w:pPr>
              <w:spacing w:after="0" w:line="480" w:lineRule="auto"/>
              <w:jc w:val="right"/>
              <w:rPr>
                <w:rFonts w:ascii="Arial" w:eastAsia="Times New Roman" w:hAnsi="Arial" w:cs="Arial"/>
                <w:color w:val="auto"/>
                <w:sz w:val="24"/>
                <w:szCs w:val="24"/>
                <w:bdr w:val="none" w:sz="0" w:space="0" w:color="auto" w:frame="1"/>
              </w:rPr>
            </w:pPr>
            <w:r>
              <w:rPr>
                <w:rFonts w:ascii="Arial" w:eastAsia="Times New Roman" w:hAnsi="Arial" w:cs="Arial"/>
                <w:sz w:val="24"/>
                <w:szCs w:val="24"/>
                <w:bdr w:val="none" w:sz="0" w:space="0" w:color="auto" w:frame="1"/>
              </w:rPr>
              <w:t>7.6</w:t>
            </w:r>
          </w:p>
        </w:tc>
        <w:tc>
          <w:tcPr>
            <w:tcW w:w="696" w:type="dxa"/>
            <w:tcBorders>
              <w:top w:val="nil"/>
              <w:left w:val="nil"/>
              <w:bottom w:val="single" w:sz="8" w:space="0" w:color="FF2D21"/>
              <w:right w:val="single" w:sz="8" w:space="0" w:color="FF2D21"/>
            </w:tcBorders>
            <w:shd w:val="clear" w:color="auto" w:fill="FFCAC8"/>
            <w:vAlign w:val="center"/>
            <w:hideMark/>
          </w:tcPr>
          <w:p w:rsidR="00D11523" w:rsidRDefault="00D11523">
            <w:pPr>
              <w:spacing w:after="0" w:line="480" w:lineRule="auto"/>
              <w:jc w:val="right"/>
              <w:rPr>
                <w:rFonts w:ascii="Arial" w:eastAsia="Times New Roman" w:hAnsi="Arial" w:cs="Arial"/>
                <w:color w:val="auto"/>
                <w:sz w:val="24"/>
                <w:szCs w:val="24"/>
                <w:bdr w:val="none" w:sz="0" w:space="0" w:color="auto" w:frame="1"/>
              </w:rPr>
            </w:pPr>
            <w:r>
              <w:rPr>
                <w:rFonts w:ascii="Arial" w:eastAsia="Times New Roman" w:hAnsi="Arial" w:cs="Arial"/>
                <w:sz w:val="24"/>
                <w:szCs w:val="24"/>
                <w:bdr w:val="none" w:sz="0" w:space="0" w:color="auto" w:frame="1"/>
              </w:rPr>
              <w:t>9.2</w:t>
            </w:r>
          </w:p>
        </w:tc>
      </w:tr>
    </w:tbl>
    <w:p w:rsidR="00D11523" w:rsidRDefault="00D11523" w:rsidP="00D11523">
      <w:pPr>
        <w:spacing w:after="0" w:line="480" w:lineRule="auto"/>
        <w:jc w:val="both"/>
        <w:rPr>
          <w:rFonts w:ascii="Arial" w:eastAsia="Batang" w:hAnsi="Arial" w:cs="Arial"/>
          <w:color w:val="auto"/>
          <w:sz w:val="24"/>
          <w:szCs w:val="24"/>
          <w:lang w:eastAsia="ko-KR"/>
        </w:rPr>
      </w:pPr>
    </w:p>
    <w:p w:rsidR="00D11523" w:rsidRDefault="00D11523" w:rsidP="00D11523">
      <w:pPr>
        <w:spacing w:after="0" w:line="480" w:lineRule="auto"/>
        <w:jc w:val="both"/>
        <w:rPr>
          <w:rFonts w:ascii="Arial" w:hAnsi="Arial" w:cs="Arial"/>
          <w:color w:val="auto"/>
          <w:sz w:val="24"/>
          <w:szCs w:val="24"/>
        </w:rPr>
      </w:pPr>
      <w:r>
        <w:rPr>
          <w:rFonts w:ascii="Arial" w:hAnsi="Arial" w:cs="Arial"/>
          <w:sz w:val="24"/>
          <w:szCs w:val="24"/>
          <w:shd w:val="clear" w:color="auto" w:fill="FFFFFF"/>
        </w:rPr>
        <w:tab/>
        <w:t xml:space="preserve">Rangemaster plc has less ability to sell the goods at the intended selling price because, in the early years in business, it was evident that the firm was not able to meet the needs and requirements of the clients when it comes to cost and quality as seen between 2012-2013. The profits were very low during these financial years because it was not easy to offer content to clients via mail, and less able to keep the gross profit stable. Rangemaster plc conversely has demonstrated more of an ability to sell the goods at the intended selling price, while maintaining a stable profit. It was evident that in 2018-2019, there was an increased profit, as noted. It was </w:t>
      </w:r>
      <w:proofErr w:type="gramStart"/>
      <w:r>
        <w:rPr>
          <w:rFonts w:ascii="Arial" w:hAnsi="Arial" w:cs="Arial"/>
          <w:sz w:val="24"/>
          <w:szCs w:val="24"/>
          <w:shd w:val="clear" w:color="auto" w:fill="FFFFFF"/>
        </w:rPr>
        <w:t>at this time</w:t>
      </w:r>
      <w:proofErr w:type="gramEnd"/>
      <w:r>
        <w:rPr>
          <w:rFonts w:ascii="Arial" w:hAnsi="Arial" w:cs="Arial"/>
          <w:sz w:val="24"/>
          <w:szCs w:val="24"/>
          <w:shd w:val="clear" w:color="auto" w:fill="FFFFFF"/>
        </w:rPr>
        <w:t xml:space="preserve"> that the firm was able to create a huge customer base and high quality of content. Between 2018-2019, the firms net-profits increased because of increased sales and less expansion as a note in the 2018-2019 financial years. </w:t>
      </w:r>
      <w:r>
        <w:rPr>
          <w:rFonts w:ascii="Arial" w:hAnsi="Arial" w:cs="Arial"/>
          <w:color w:val="auto"/>
          <w:sz w:val="24"/>
          <w:szCs w:val="24"/>
        </w:rPr>
        <w:t xml:space="preserve">When associated with Rangemaster plc’s net Profit margin on sales ratio of </w:t>
      </w:r>
      <w:r>
        <w:rPr>
          <w:rFonts w:ascii="Arial" w:eastAsia="Batang" w:hAnsi="Arial" w:cs="Arial"/>
          <w:color w:val="auto"/>
          <w:sz w:val="24"/>
          <w:szCs w:val="24"/>
          <w:lang w:eastAsia="ko-KR"/>
        </w:rPr>
        <w:t>9.2%</w:t>
      </w:r>
      <w:r>
        <w:rPr>
          <w:rFonts w:ascii="Arial" w:hAnsi="Arial" w:cs="Arial"/>
          <w:color w:val="auto"/>
          <w:sz w:val="24"/>
          <w:szCs w:val="24"/>
        </w:rPr>
        <w:t xml:space="preserve">, which is a small percentage, on the other hand, the Gross profit on sales ratio of </w:t>
      </w:r>
      <w:r>
        <w:rPr>
          <w:rFonts w:ascii="Arial" w:eastAsia="Batang" w:hAnsi="Arial" w:cs="Arial"/>
          <w:color w:val="auto"/>
          <w:sz w:val="24"/>
          <w:szCs w:val="24"/>
          <w:lang w:eastAsia="ko-KR"/>
        </w:rPr>
        <w:t>38%</w:t>
      </w:r>
      <w:r>
        <w:rPr>
          <w:rFonts w:ascii="Arial" w:hAnsi="Arial" w:cs="Arial"/>
          <w:color w:val="auto"/>
          <w:sz w:val="24"/>
          <w:szCs w:val="24"/>
        </w:rPr>
        <w:t xml:space="preserve"> is high.  An investigation of these ratios tips to our deduction that Rangemaster plc’s has a robust ability, inside its industry, in selling its’ streaming services and is consequently rising and quickly enticing consumers.</w:t>
      </w:r>
      <w:r>
        <w:rPr>
          <w:rFonts w:ascii="Arial" w:eastAsia="Batang" w:hAnsi="Arial" w:cs="Arial"/>
          <w:color w:val="auto"/>
          <w:sz w:val="24"/>
          <w:szCs w:val="24"/>
          <w:lang w:eastAsia="ko-KR"/>
        </w:rPr>
        <w:t xml:space="preserve"> </w:t>
      </w:r>
    </w:p>
    <w:p w:rsidR="00D11523" w:rsidRDefault="00D11523" w:rsidP="00D11523">
      <w:pPr>
        <w:spacing w:after="0" w:line="480" w:lineRule="auto"/>
        <w:rPr>
          <w:rFonts w:ascii="Arial" w:hAnsi="Arial" w:cs="Arial"/>
          <w:b/>
          <w:color w:val="auto"/>
          <w:sz w:val="24"/>
          <w:szCs w:val="24"/>
          <w:shd w:val="clear" w:color="auto" w:fill="FFFFFF"/>
        </w:rPr>
      </w:pPr>
    </w:p>
    <w:p w:rsidR="00D11523" w:rsidRDefault="00D11523" w:rsidP="00D11523">
      <w:pPr>
        <w:spacing w:after="0" w:line="480" w:lineRule="auto"/>
        <w:jc w:val="center"/>
        <w:rPr>
          <w:rFonts w:ascii="Arial" w:hAnsi="Arial" w:cs="Arial"/>
          <w:b/>
          <w:sz w:val="24"/>
          <w:szCs w:val="24"/>
          <w:shd w:val="clear" w:color="auto" w:fill="FFFFFF"/>
        </w:rPr>
      </w:pPr>
    </w:p>
    <w:p w:rsidR="00D11523" w:rsidRDefault="00D11523" w:rsidP="00D11523">
      <w:pPr>
        <w:spacing w:after="0" w:line="480" w:lineRule="auto"/>
        <w:jc w:val="center"/>
        <w:rPr>
          <w:rFonts w:ascii="Arial" w:hAnsi="Arial" w:cs="Arial"/>
          <w:b/>
          <w:color w:val="auto"/>
          <w:sz w:val="24"/>
          <w:szCs w:val="24"/>
          <w:shd w:val="clear" w:color="auto" w:fill="FFFFFF"/>
        </w:rPr>
      </w:pPr>
      <w:r>
        <w:rPr>
          <w:rFonts w:ascii="Arial" w:hAnsi="Arial" w:cs="Arial"/>
          <w:b/>
          <w:sz w:val="24"/>
          <w:szCs w:val="24"/>
          <w:shd w:val="clear" w:color="auto" w:fill="FFFFFF"/>
        </w:rPr>
        <w:lastRenderedPageBreak/>
        <w:t>ROE (Return on Equity)</w:t>
      </w:r>
    </w:p>
    <w:p w:rsidR="00D11523" w:rsidRDefault="00D11523" w:rsidP="00D11523">
      <w:pPr>
        <w:spacing w:after="0" w:line="480" w:lineRule="auto"/>
        <w:jc w:val="both"/>
        <w:rPr>
          <w:rFonts w:ascii="Arial" w:hAnsi="Arial" w:cs="Arial"/>
          <w:color w:val="auto"/>
          <w:sz w:val="24"/>
          <w:szCs w:val="24"/>
        </w:rPr>
      </w:pPr>
      <w:r>
        <w:rPr>
          <w:rFonts w:ascii="Arial" w:hAnsi="Arial" w:cs="Arial"/>
          <w:color w:val="auto"/>
          <w:sz w:val="24"/>
          <w:szCs w:val="24"/>
        </w:rPr>
        <w:tab/>
        <w:t xml:space="preserve">ROE is articulated as a fraction and can be calculated for any business if net income and equity are both positive statistics. Net income is envisioned hitherto bonuses paid to shared shareholders and after bonuses to favored shareholders and interest to lenders. Given Rangemaster plc, </w:t>
      </w:r>
      <w:proofErr w:type="gramStart"/>
      <w:r>
        <w:rPr>
          <w:rFonts w:ascii="Arial" w:hAnsi="Arial" w:cs="Arial"/>
          <w:color w:val="auto"/>
          <w:sz w:val="24"/>
          <w:szCs w:val="24"/>
        </w:rPr>
        <w:t>it is clear that the</w:t>
      </w:r>
      <w:proofErr w:type="gramEnd"/>
      <w:r>
        <w:rPr>
          <w:rFonts w:ascii="Arial" w:hAnsi="Arial" w:cs="Arial"/>
          <w:color w:val="auto"/>
          <w:sz w:val="24"/>
          <w:szCs w:val="24"/>
        </w:rPr>
        <w:t xml:space="preserve"> organization is shows </w:t>
      </w:r>
    </w:p>
    <w:p w:rsidR="00D11523" w:rsidRDefault="00D11523" w:rsidP="00D11523">
      <w:pPr>
        <w:spacing w:after="0" w:line="480" w:lineRule="auto"/>
        <w:jc w:val="both"/>
        <w:rPr>
          <w:rFonts w:ascii="Arial" w:hAnsi="Arial" w:cs="Arial"/>
          <w:color w:val="auto"/>
          <w:sz w:val="24"/>
          <w:szCs w:val="24"/>
        </w:rPr>
      </w:pPr>
    </w:p>
    <w:tbl>
      <w:tblPr>
        <w:tblW w:w="3502" w:type="dxa"/>
        <w:tblInd w:w="108" w:type="dxa"/>
        <w:tblLook w:val="04A0" w:firstRow="1" w:lastRow="0" w:firstColumn="1" w:lastColumn="0" w:noHBand="0" w:noVBand="1"/>
      </w:tblPr>
      <w:tblGrid>
        <w:gridCol w:w="2097"/>
        <w:gridCol w:w="750"/>
        <w:gridCol w:w="750"/>
      </w:tblGrid>
      <w:tr w:rsidR="00D11523" w:rsidTr="00D11523">
        <w:trPr>
          <w:trHeight w:val="240"/>
        </w:trPr>
        <w:tc>
          <w:tcPr>
            <w:tcW w:w="2110" w:type="dxa"/>
            <w:tcBorders>
              <w:top w:val="single" w:sz="8" w:space="0" w:color="FF2D21"/>
              <w:left w:val="single" w:sz="8" w:space="0" w:color="FF2D21"/>
              <w:bottom w:val="single" w:sz="12" w:space="0" w:color="FF2D21"/>
              <w:right w:val="single" w:sz="8" w:space="0" w:color="FF2D21"/>
            </w:tcBorders>
            <w:vAlign w:val="center"/>
            <w:hideMark/>
          </w:tcPr>
          <w:p w:rsidR="00D11523" w:rsidRDefault="00D11523">
            <w:pPr>
              <w:spacing w:after="0" w:line="480" w:lineRule="auto"/>
              <w:rPr>
                <w:rFonts w:ascii="Arial" w:eastAsia="Times New Roman" w:hAnsi="Arial" w:cs="Arial"/>
                <w:b/>
                <w:bCs/>
                <w:color w:val="auto"/>
                <w:sz w:val="24"/>
                <w:szCs w:val="24"/>
                <w:bdr w:val="none" w:sz="0" w:space="0" w:color="auto" w:frame="1"/>
              </w:rPr>
            </w:pPr>
            <w:r>
              <w:rPr>
                <w:rFonts w:ascii="Arial" w:eastAsia="Times New Roman" w:hAnsi="Arial" w:cs="Arial"/>
                <w:b/>
                <w:bCs/>
                <w:color w:val="auto"/>
                <w:sz w:val="24"/>
                <w:szCs w:val="24"/>
                <w:bdr w:val="none" w:sz="0" w:space="0" w:color="auto" w:frame="1"/>
              </w:rPr>
              <w:t>ROE </w:t>
            </w:r>
          </w:p>
        </w:tc>
        <w:tc>
          <w:tcPr>
            <w:tcW w:w="696" w:type="dxa"/>
            <w:tcBorders>
              <w:top w:val="single" w:sz="8" w:space="0" w:color="FF2D21"/>
              <w:left w:val="nil"/>
              <w:bottom w:val="single" w:sz="12" w:space="0" w:color="FF2D21"/>
              <w:right w:val="single" w:sz="8" w:space="0" w:color="FF2D21"/>
            </w:tcBorders>
            <w:vAlign w:val="center"/>
            <w:hideMark/>
          </w:tcPr>
          <w:p w:rsidR="00D11523" w:rsidRDefault="00D11523">
            <w:pPr>
              <w:spacing w:after="0" w:line="480" w:lineRule="auto"/>
              <w:jc w:val="right"/>
              <w:rPr>
                <w:rFonts w:ascii="Arial" w:eastAsia="Times New Roman" w:hAnsi="Arial" w:cs="Arial"/>
                <w:b/>
                <w:bCs/>
                <w:color w:val="auto"/>
                <w:sz w:val="24"/>
                <w:szCs w:val="24"/>
                <w:bdr w:val="none" w:sz="0" w:space="0" w:color="auto" w:frame="1"/>
              </w:rPr>
            </w:pPr>
            <w:r>
              <w:rPr>
                <w:rFonts w:ascii="Arial" w:eastAsia="Times New Roman" w:hAnsi="Arial" w:cs="Arial"/>
                <w:b/>
                <w:bCs/>
                <w:color w:val="auto"/>
                <w:sz w:val="24"/>
                <w:szCs w:val="24"/>
                <w:bdr w:val="none" w:sz="0" w:space="0" w:color="auto" w:frame="1"/>
              </w:rPr>
              <w:t>2018</w:t>
            </w:r>
          </w:p>
        </w:tc>
        <w:tc>
          <w:tcPr>
            <w:tcW w:w="696" w:type="dxa"/>
            <w:tcBorders>
              <w:top w:val="single" w:sz="8" w:space="0" w:color="FF2D21"/>
              <w:left w:val="nil"/>
              <w:bottom w:val="single" w:sz="12" w:space="0" w:color="FF2D21"/>
              <w:right w:val="single" w:sz="8" w:space="0" w:color="FF2D21"/>
            </w:tcBorders>
            <w:vAlign w:val="center"/>
            <w:hideMark/>
          </w:tcPr>
          <w:p w:rsidR="00D11523" w:rsidRDefault="00D11523">
            <w:pPr>
              <w:spacing w:after="0" w:line="480" w:lineRule="auto"/>
              <w:jc w:val="right"/>
              <w:rPr>
                <w:rFonts w:ascii="Arial" w:eastAsia="Times New Roman" w:hAnsi="Arial" w:cs="Arial"/>
                <w:b/>
                <w:bCs/>
                <w:color w:val="auto"/>
                <w:sz w:val="24"/>
                <w:szCs w:val="24"/>
                <w:bdr w:val="none" w:sz="0" w:space="0" w:color="auto" w:frame="1"/>
              </w:rPr>
            </w:pPr>
            <w:r>
              <w:rPr>
                <w:rFonts w:ascii="Arial" w:eastAsia="Times New Roman" w:hAnsi="Arial" w:cs="Arial"/>
                <w:b/>
                <w:bCs/>
                <w:color w:val="auto"/>
                <w:sz w:val="24"/>
                <w:szCs w:val="24"/>
                <w:bdr w:val="none" w:sz="0" w:space="0" w:color="auto" w:frame="1"/>
              </w:rPr>
              <w:t>2019</w:t>
            </w:r>
          </w:p>
        </w:tc>
      </w:tr>
      <w:tr w:rsidR="00D11523" w:rsidTr="00D11523">
        <w:trPr>
          <w:trHeight w:val="252"/>
        </w:trPr>
        <w:tc>
          <w:tcPr>
            <w:tcW w:w="2110" w:type="dxa"/>
            <w:tcBorders>
              <w:top w:val="nil"/>
              <w:left w:val="single" w:sz="8" w:space="0" w:color="FF2D21"/>
              <w:bottom w:val="single" w:sz="8" w:space="0" w:color="FF2D21"/>
              <w:right w:val="single" w:sz="8" w:space="0" w:color="FF2D21"/>
            </w:tcBorders>
            <w:shd w:val="clear" w:color="auto" w:fill="FFCAC8"/>
            <w:vAlign w:val="center"/>
            <w:hideMark/>
          </w:tcPr>
          <w:p w:rsidR="00D11523" w:rsidRDefault="00D11523">
            <w:pPr>
              <w:spacing w:after="0" w:line="480" w:lineRule="auto"/>
              <w:rPr>
                <w:rFonts w:ascii="Arial" w:eastAsia="Times New Roman" w:hAnsi="Arial" w:cs="Arial"/>
                <w:b/>
                <w:bCs/>
                <w:color w:val="auto"/>
                <w:sz w:val="24"/>
                <w:szCs w:val="24"/>
                <w:bdr w:val="none" w:sz="0" w:space="0" w:color="auto" w:frame="1"/>
              </w:rPr>
            </w:pPr>
            <w:r>
              <w:rPr>
                <w:rFonts w:ascii="Arial" w:eastAsia="Times New Roman" w:hAnsi="Arial" w:cs="Arial"/>
                <w:b/>
                <w:bCs/>
                <w:sz w:val="24"/>
                <w:szCs w:val="24"/>
                <w:bdr w:val="none" w:sz="0" w:space="0" w:color="auto" w:frame="1"/>
              </w:rPr>
              <w:t>RANGEMASTER</w:t>
            </w:r>
          </w:p>
        </w:tc>
        <w:tc>
          <w:tcPr>
            <w:tcW w:w="696" w:type="dxa"/>
            <w:tcBorders>
              <w:top w:val="nil"/>
              <w:left w:val="nil"/>
              <w:bottom w:val="single" w:sz="8" w:space="0" w:color="FF2D21"/>
              <w:right w:val="single" w:sz="8" w:space="0" w:color="FF2D21"/>
            </w:tcBorders>
            <w:shd w:val="clear" w:color="auto" w:fill="FFCAC8"/>
            <w:vAlign w:val="center"/>
            <w:hideMark/>
          </w:tcPr>
          <w:p w:rsidR="00D11523" w:rsidRDefault="00D11523">
            <w:pPr>
              <w:spacing w:after="0" w:line="480" w:lineRule="auto"/>
              <w:jc w:val="right"/>
              <w:rPr>
                <w:rFonts w:ascii="Arial" w:eastAsia="Times New Roman" w:hAnsi="Arial" w:cs="Arial"/>
                <w:color w:val="auto"/>
                <w:sz w:val="24"/>
                <w:szCs w:val="24"/>
                <w:bdr w:val="none" w:sz="0" w:space="0" w:color="auto" w:frame="1"/>
              </w:rPr>
            </w:pPr>
            <w:r>
              <w:rPr>
                <w:rFonts w:ascii="Arial" w:eastAsia="Times New Roman" w:hAnsi="Arial" w:cs="Arial"/>
                <w:sz w:val="24"/>
                <w:szCs w:val="24"/>
                <w:bdr w:val="none" w:sz="0" w:space="0" w:color="auto" w:frame="1"/>
              </w:rPr>
              <w:t>23.1</w:t>
            </w:r>
          </w:p>
        </w:tc>
        <w:tc>
          <w:tcPr>
            <w:tcW w:w="696" w:type="dxa"/>
            <w:tcBorders>
              <w:top w:val="nil"/>
              <w:left w:val="nil"/>
              <w:bottom w:val="single" w:sz="8" w:space="0" w:color="FF2D21"/>
              <w:right w:val="single" w:sz="8" w:space="0" w:color="FF2D21"/>
            </w:tcBorders>
            <w:shd w:val="clear" w:color="auto" w:fill="FFCAC8"/>
            <w:vAlign w:val="center"/>
            <w:hideMark/>
          </w:tcPr>
          <w:p w:rsidR="00D11523" w:rsidRDefault="00D11523">
            <w:pPr>
              <w:spacing w:after="0" w:line="480" w:lineRule="auto"/>
              <w:jc w:val="right"/>
              <w:rPr>
                <w:rFonts w:ascii="Arial" w:eastAsia="Times New Roman" w:hAnsi="Arial" w:cs="Arial"/>
                <w:color w:val="auto"/>
                <w:sz w:val="24"/>
                <w:szCs w:val="24"/>
                <w:bdr w:val="none" w:sz="0" w:space="0" w:color="auto" w:frame="1"/>
              </w:rPr>
            </w:pPr>
            <w:r>
              <w:rPr>
                <w:rFonts w:ascii="Arial" w:eastAsia="Times New Roman" w:hAnsi="Arial" w:cs="Arial"/>
                <w:sz w:val="24"/>
                <w:szCs w:val="24"/>
                <w:bdr w:val="none" w:sz="0" w:space="0" w:color="auto" w:frame="1"/>
              </w:rPr>
              <w:t>24.6</w:t>
            </w:r>
          </w:p>
        </w:tc>
      </w:tr>
    </w:tbl>
    <w:p w:rsidR="00D11523" w:rsidRDefault="00D11523" w:rsidP="00D11523">
      <w:pPr>
        <w:spacing w:after="0" w:line="480" w:lineRule="auto"/>
        <w:jc w:val="both"/>
        <w:rPr>
          <w:rFonts w:ascii="Arial" w:hAnsi="Arial" w:cs="Arial"/>
          <w:color w:val="auto"/>
          <w:sz w:val="24"/>
          <w:szCs w:val="24"/>
          <w:shd w:val="clear" w:color="auto" w:fill="FFFFFF"/>
        </w:rPr>
      </w:pPr>
    </w:p>
    <w:p w:rsidR="00D11523" w:rsidRDefault="00D11523" w:rsidP="00D11523">
      <w:pPr>
        <w:spacing w:after="0" w:line="480" w:lineRule="auto"/>
        <w:jc w:val="both"/>
        <w:rPr>
          <w:rFonts w:ascii="Arial" w:hAnsi="Arial" w:cs="Arial"/>
          <w:color w:val="auto"/>
          <w:sz w:val="24"/>
          <w:szCs w:val="24"/>
        </w:rPr>
      </w:pPr>
      <w:r>
        <w:rPr>
          <w:rFonts w:ascii="Arial" w:hAnsi="Arial" w:cs="Arial"/>
          <w:noProof/>
          <w:color w:val="auto"/>
          <w:sz w:val="24"/>
          <w:szCs w:val="24"/>
        </w:rPr>
        <w:t xml:space="preserve">          </w:t>
      </w:r>
      <w:r>
        <w:rPr>
          <w:rFonts w:ascii="Arial" w:hAnsi="Arial" w:cs="Arial"/>
          <w:color w:val="auto"/>
          <w:sz w:val="24"/>
          <w:szCs w:val="24"/>
        </w:rPr>
        <w:t xml:space="preserve">In 2018, ROE was high as compared to all the other years because the firm has the resources intact, and it did not have any expansion and diversification objective at stake. It was able to make sure of the resources. However, in 2019-2018, ROE was less, showing changes in terms of equities and resources were at stake. The reduction shows that the firm’s interest was less when it comes to equity, but fewer resources were used in the process. It is evident that in 2019, it was a high 24.6. The firm’s strong and healthy financial ability contributed to this factor and a better ROE as compared to that of 2018 and 2019 as well as 2018. </w:t>
      </w:r>
    </w:p>
    <w:p w:rsidR="00D11523" w:rsidRDefault="00D11523" w:rsidP="00D11523">
      <w:pPr>
        <w:spacing w:after="0" w:line="480" w:lineRule="auto"/>
        <w:jc w:val="center"/>
        <w:rPr>
          <w:rFonts w:ascii="Arial" w:hAnsi="Arial" w:cs="Arial"/>
          <w:b/>
          <w:bCs/>
          <w:color w:val="auto"/>
          <w:sz w:val="24"/>
          <w:szCs w:val="24"/>
        </w:rPr>
      </w:pPr>
    </w:p>
    <w:p w:rsidR="00D11523" w:rsidRDefault="00D11523" w:rsidP="00D11523">
      <w:pPr>
        <w:spacing w:after="0" w:line="480" w:lineRule="auto"/>
        <w:jc w:val="center"/>
        <w:rPr>
          <w:rFonts w:ascii="Arial" w:hAnsi="Arial" w:cs="Arial"/>
          <w:b/>
          <w:bCs/>
          <w:color w:val="auto"/>
          <w:sz w:val="24"/>
          <w:szCs w:val="24"/>
        </w:rPr>
      </w:pPr>
    </w:p>
    <w:p w:rsidR="00D11523" w:rsidRDefault="00D11523" w:rsidP="00D11523">
      <w:pPr>
        <w:spacing w:after="0" w:line="480" w:lineRule="auto"/>
        <w:jc w:val="center"/>
        <w:rPr>
          <w:rFonts w:ascii="Arial" w:hAnsi="Arial" w:cs="Arial"/>
          <w:b/>
          <w:bCs/>
          <w:color w:val="auto"/>
          <w:sz w:val="24"/>
          <w:szCs w:val="24"/>
        </w:rPr>
      </w:pPr>
    </w:p>
    <w:p w:rsidR="00D11523" w:rsidRDefault="00D11523" w:rsidP="00D11523">
      <w:pPr>
        <w:spacing w:after="0" w:line="480" w:lineRule="auto"/>
        <w:jc w:val="center"/>
        <w:rPr>
          <w:rFonts w:ascii="Arial" w:hAnsi="Arial" w:cs="Arial"/>
          <w:b/>
          <w:bCs/>
          <w:color w:val="auto"/>
          <w:sz w:val="24"/>
          <w:szCs w:val="24"/>
        </w:rPr>
      </w:pPr>
    </w:p>
    <w:p w:rsidR="00D11523" w:rsidRDefault="00D11523" w:rsidP="00D11523">
      <w:pPr>
        <w:spacing w:after="0" w:line="480" w:lineRule="auto"/>
        <w:jc w:val="center"/>
        <w:rPr>
          <w:rFonts w:ascii="Arial" w:hAnsi="Arial" w:cs="Arial"/>
          <w:b/>
          <w:bCs/>
          <w:color w:val="auto"/>
          <w:sz w:val="24"/>
          <w:szCs w:val="24"/>
        </w:rPr>
      </w:pPr>
    </w:p>
    <w:p w:rsidR="00D11523" w:rsidRDefault="00D11523" w:rsidP="00D11523">
      <w:pPr>
        <w:spacing w:after="0" w:line="480" w:lineRule="auto"/>
        <w:jc w:val="center"/>
        <w:rPr>
          <w:rFonts w:ascii="Arial" w:hAnsi="Arial" w:cs="Arial"/>
          <w:b/>
          <w:bCs/>
          <w:color w:val="auto"/>
          <w:sz w:val="24"/>
          <w:szCs w:val="24"/>
        </w:rPr>
      </w:pPr>
    </w:p>
    <w:p w:rsidR="00D11523" w:rsidRDefault="00D11523" w:rsidP="00D11523">
      <w:pPr>
        <w:spacing w:after="0" w:line="480" w:lineRule="auto"/>
        <w:jc w:val="center"/>
        <w:rPr>
          <w:rFonts w:ascii="Arial" w:hAnsi="Arial" w:cs="Arial"/>
          <w:b/>
          <w:bCs/>
          <w:color w:val="auto"/>
          <w:sz w:val="24"/>
          <w:szCs w:val="24"/>
        </w:rPr>
      </w:pPr>
    </w:p>
    <w:p w:rsidR="00D11523" w:rsidRDefault="00D11523" w:rsidP="00D11523">
      <w:pPr>
        <w:spacing w:after="0" w:line="480" w:lineRule="auto"/>
        <w:jc w:val="center"/>
        <w:rPr>
          <w:rFonts w:ascii="Arial" w:hAnsi="Arial" w:cs="Arial"/>
          <w:b/>
          <w:bCs/>
          <w:color w:val="auto"/>
          <w:sz w:val="24"/>
          <w:szCs w:val="24"/>
        </w:rPr>
      </w:pPr>
    </w:p>
    <w:p w:rsidR="00D11523" w:rsidRDefault="00D11523" w:rsidP="00D11523">
      <w:pPr>
        <w:spacing w:after="0" w:line="480" w:lineRule="auto"/>
        <w:jc w:val="center"/>
        <w:rPr>
          <w:rFonts w:ascii="Arial" w:hAnsi="Arial" w:cs="Arial"/>
          <w:b/>
          <w:bCs/>
          <w:color w:val="auto"/>
          <w:sz w:val="24"/>
          <w:szCs w:val="24"/>
        </w:rPr>
      </w:pPr>
      <w:r>
        <w:rPr>
          <w:rFonts w:ascii="Arial" w:hAnsi="Arial" w:cs="Arial"/>
          <w:b/>
          <w:bCs/>
          <w:color w:val="auto"/>
          <w:sz w:val="24"/>
          <w:szCs w:val="24"/>
        </w:rPr>
        <w:lastRenderedPageBreak/>
        <w:t>Recommendations</w:t>
      </w:r>
    </w:p>
    <w:p w:rsidR="00D11523" w:rsidRDefault="00D11523" w:rsidP="00D11523">
      <w:pPr>
        <w:spacing w:after="0" w:line="480" w:lineRule="auto"/>
        <w:rPr>
          <w:rFonts w:ascii="Arial" w:hAnsi="Arial" w:cs="Arial"/>
          <w:color w:val="auto"/>
          <w:sz w:val="24"/>
          <w:szCs w:val="24"/>
        </w:rPr>
      </w:pPr>
      <w:r>
        <w:rPr>
          <w:rFonts w:ascii="Arial" w:hAnsi="Arial" w:cs="Arial"/>
          <w:color w:val="auto"/>
          <w:sz w:val="24"/>
          <w:szCs w:val="24"/>
        </w:rPr>
        <w:tab/>
        <w:t xml:space="preserve">The above is a summary of the company’s financial results for the first quarter of 2018 and the year to date. Note: The analysis presented does not indicate a poor or good financial situation of the company, but rather reflects its description in comparison with other companies. To conclude this analysis, the individual values are weighted to obtain an overall score of 2 to 2.0. The changes over the year are calculated by comparing the resulting financial position figures for each industry with the quarterly figures for the previous year. </w:t>
      </w:r>
    </w:p>
    <w:p w:rsidR="00D11523" w:rsidRDefault="00D11523" w:rsidP="00D11523">
      <w:pPr>
        <w:spacing w:after="0" w:line="480" w:lineRule="auto"/>
        <w:rPr>
          <w:rFonts w:ascii="Arial" w:hAnsi="Arial" w:cs="Arial"/>
          <w:color w:val="auto"/>
          <w:sz w:val="24"/>
          <w:szCs w:val="24"/>
        </w:rPr>
      </w:pPr>
      <w:r>
        <w:rPr>
          <w:rFonts w:ascii="Arial" w:hAnsi="Arial" w:cs="Arial"/>
          <w:color w:val="auto"/>
          <w:sz w:val="24"/>
          <w:szCs w:val="24"/>
        </w:rPr>
        <w:tab/>
        <w:t xml:space="preserve">The scenario of net present value (NPV), which has a positive impact on net income, net cash flow, and net operating income (NOC). Based on financial analysis, the team recommends using Rangemaster Event Planners at HSA when they are implemented in a larger number of hotels. A concept that will also appeal to the high-spending leisure segment. The hotel’s investment costs would be reduced as it would promise cash flow and reduce the risk of a negative impact on net present value. </w:t>
      </w:r>
    </w:p>
    <w:p w:rsidR="00D11523" w:rsidRDefault="00D11523" w:rsidP="00D11523">
      <w:pPr>
        <w:spacing w:after="0" w:line="480" w:lineRule="auto"/>
        <w:rPr>
          <w:rFonts w:ascii="Arial" w:hAnsi="Arial" w:cs="Arial"/>
          <w:color w:val="auto"/>
          <w:sz w:val="24"/>
          <w:szCs w:val="24"/>
        </w:rPr>
      </w:pPr>
      <w:r>
        <w:rPr>
          <w:rFonts w:ascii="Arial" w:hAnsi="Arial" w:cs="Arial"/>
          <w:color w:val="auto"/>
          <w:sz w:val="24"/>
          <w:szCs w:val="24"/>
        </w:rPr>
        <w:tab/>
        <w:t xml:space="preserve">The idea would be to put excess cash flow into a special account to pay off the loan. Rangemaster’s loan is underwritten on the assumption that net operating income would have been 1.5 times net present value (DSCR), but at the end of last year, the D SCR fell to 1 / 18 of the same period. This equates to a debt-service ratio of 1% until a coronavirus pandemic occurs, meaning that cash flows are insufficient to service the debt, and the owner must reach into his pocket to make payments. </w:t>
      </w:r>
    </w:p>
    <w:p w:rsidR="00D11523" w:rsidRDefault="00D11523" w:rsidP="00D11523">
      <w:pPr>
        <w:spacing w:after="0" w:line="480" w:lineRule="auto"/>
        <w:jc w:val="center"/>
        <w:rPr>
          <w:rFonts w:ascii="Arial" w:hAnsi="Arial" w:cs="Arial"/>
          <w:b/>
          <w:bCs/>
          <w:color w:val="auto"/>
          <w:sz w:val="24"/>
          <w:szCs w:val="24"/>
        </w:rPr>
      </w:pPr>
    </w:p>
    <w:p w:rsidR="00D11523" w:rsidRDefault="00D11523" w:rsidP="00D11523">
      <w:pPr>
        <w:spacing w:after="0" w:line="480" w:lineRule="auto"/>
        <w:jc w:val="center"/>
        <w:rPr>
          <w:rFonts w:ascii="Arial" w:hAnsi="Arial" w:cs="Arial"/>
          <w:b/>
          <w:bCs/>
          <w:color w:val="auto"/>
          <w:sz w:val="24"/>
          <w:szCs w:val="24"/>
        </w:rPr>
      </w:pPr>
    </w:p>
    <w:p w:rsidR="00D11523" w:rsidRDefault="00D11523" w:rsidP="00D11523">
      <w:pPr>
        <w:spacing w:after="0" w:line="480" w:lineRule="auto"/>
        <w:jc w:val="center"/>
        <w:rPr>
          <w:rFonts w:ascii="Arial" w:hAnsi="Arial" w:cs="Arial"/>
          <w:b/>
          <w:bCs/>
          <w:color w:val="auto"/>
          <w:sz w:val="24"/>
          <w:szCs w:val="24"/>
        </w:rPr>
      </w:pPr>
    </w:p>
    <w:p w:rsidR="00D11523" w:rsidRDefault="00D11523" w:rsidP="00D11523">
      <w:pPr>
        <w:spacing w:after="0" w:line="480" w:lineRule="auto"/>
        <w:jc w:val="center"/>
        <w:rPr>
          <w:rFonts w:ascii="Arial" w:hAnsi="Arial" w:cs="Arial"/>
          <w:b/>
          <w:bCs/>
          <w:color w:val="auto"/>
          <w:sz w:val="24"/>
          <w:szCs w:val="24"/>
        </w:rPr>
      </w:pPr>
    </w:p>
    <w:p w:rsidR="00D11523" w:rsidRDefault="00D11523" w:rsidP="00D11523">
      <w:pPr>
        <w:spacing w:after="0" w:line="480" w:lineRule="auto"/>
        <w:jc w:val="center"/>
        <w:rPr>
          <w:rFonts w:ascii="Arial" w:hAnsi="Arial" w:cs="Arial"/>
          <w:b/>
          <w:bCs/>
          <w:color w:val="auto"/>
          <w:sz w:val="24"/>
          <w:szCs w:val="24"/>
        </w:rPr>
      </w:pPr>
      <w:bookmarkStart w:id="0" w:name="_GoBack"/>
      <w:bookmarkEnd w:id="0"/>
      <w:r>
        <w:rPr>
          <w:rFonts w:ascii="Arial" w:hAnsi="Arial" w:cs="Arial"/>
          <w:b/>
          <w:bCs/>
          <w:color w:val="auto"/>
          <w:sz w:val="24"/>
          <w:szCs w:val="24"/>
        </w:rPr>
        <w:lastRenderedPageBreak/>
        <w:t>Conclusion</w:t>
      </w:r>
    </w:p>
    <w:p w:rsidR="00D11523" w:rsidRDefault="00D11523" w:rsidP="00D11523">
      <w:pPr>
        <w:spacing w:after="0" w:line="480" w:lineRule="auto"/>
        <w:rPr>
          <w:rFonts w:ascii="Arial" w:hAnsi="Arial" w:cs="Arial"/>
          <w:color w:val="auto"/>
          <w:sz w:val="24"/>
          <w:szCs w:val="24"/>
        </w:rPr>
      </w:pPr>
      <w:r>
        <w:rPr>
          <w:rFonts w:ascii="Arial" w:hAnsi="Arial" w:cs="Arial"/>
          <w:color w:val="auto"/>
          <w:sz w:val="24"/>
          <w:szCs w:val="24"/>
        </w:rPr>
        <w:tab/>
        <w:t>This indicates that the company can improve its liquidity to meet financial obligations, but not as a guarantor of the debt. In terms of the profitability ratio, the situation in 2014 has changed positively compared to the data from 2012. This is due to a significant increase in revenues and a decrease in operating costs. We also gain an understanding of ROI and examine the long-term impact of the company’s business model on its financial performance. The Real Estate Index Series is a REIT performance measure covering commercial real estate in the United States. Epic Hotel Residence will provide investors with a fully managed hotel suite that provides a full suite of amenities and amenities, as well as access to the amenities of the hotel. By getting someone else to take out the mortgage, this is good news for savvy investors looking to invest in the hotel industry.</w:t>
      </w:r>
    </w:p>
    <w:p w:rsidR="00D11523" w:rsidRDefault="00D11523" w:rsidP="00D11523">
      <w:pPr>
        <w:spacing w:after="0" w:line="480" w:lineRule="auto"/>
        <w:jc w:val="center"/>
        <w:rPr>
          <w:rFonts w:ascii="Arial" w:hAnsi="Arial" w:cs="Arial"/>
          <w:b/>
          <w:bCs/>
          <w:color w:val="auto"/>
          <w:sz w:val="24"/>
          <w:szCs w:val="24"/>
        </w:rPr>
      </w:pPr>
    </w:p>
    <w:p w:rsidR="00D11523" w:rsidRDefault="00D11523" w:rsidP="00D11523">
      <w:pPr>
        <w:spacing w:after="0" w:line="480" w:lineRule="auto"/>
        <w:jc w:val="center"/>
        <w:rPr>
          <w:rFonts w:ascii="Arial" w:hAnsi="Arial" w:cs="Arial"/>
          <w:color w:val="auto"/>
          <w:sz w:val="24"/>
          <w:szCs w:val="24"/>
        </w:rPr>
      </w:pPr>
      <w:r>
        <w:rPr>
          <w:rFonts w:ascii="Arial" w:hAnsi="Arial" w:cs="Arial"/>
          <w:b/>
          <w:bCs/>
          <w:color w:val="auto"/>
          <w:sz w:val="24"/>
          <w:szCs w:val="24"/>
        </w:rPr>
        <w:t>References</w:t>
      </w:r>
    </w:p>
    <w:p w:rsidR="00D11523" w:rsidRDefault="00D11523" w:rsidP="00D11523">
      <w:pPr>
        <w:spacing w:after="0" w:line="480" w:lineRule="auto"/>
        <w:rPr>
          <w:rFonts w:ascii="Arial" w:hAnsi="Arial" w:cs="Arial"/>
          <w:color w:val="auto"/>
          <w:sz w:val="24"/>
          <w:szCs w:val="24"/>
          <w:shd w:val="clear" w:color="auto" w:fill="FFFFFF"/>
        </w:rPr>
      </w:pPr>
      <w:proofErr w:type="spellStart"/>
      <w:r>
        <w:rPr>
          <w:rFonts w:ascii="Arial" w:hAnsi="Arial" w:cs="Arial"/>
          <w:sz w:val="24"/>
          <w:szCs w:val="24"/>
          <w:shd w:val="clear" w:color="auto" w:fill="FFFFFF"/>
        </w:rPr>
        <w:t>Bărbuță-Mișu</w:t>
      </w:r>
      <w:proofErr w:type="spellEnd"/>
      <w:r>
        <w:rPr>
          <w:rFonts w:ascii="Arial" w:hAnsi="Arial" w:cs="Arial"/>
          <w:sz w:val="24"/>
          <w:szCs w:val="24"/>
          <w:shd w:val="clear" w:color="auto" w:fill="FFFFFF"/>
        </w:rPr>
        <w:t xml:space="preserve">, Nicoleta, and Mara </w:t>
      </w:r>
      <w:proofErr w:type="spellStart"/>
      <w:r>
        <w:rPr>
          <w:rFonts w:ascii="Arial" w:hAnsi="Arial" w:cs="Arial"/>
          <w:sz w:val="24"/>
          <w:szCs w:val="24"/>
          <w:shd w:val="clear" w:color="auto" w:fill="FFFFFF"/>
        </w:rPr>
        <w:t>Madaleno</w:t>
      </w:r>
      <w:proofErr w:type="spellEnd"/>
      <w:r>
        <w:rPr>
          <w:rFonts w:ascii="Arial" w:hAnsi="Arial" w:cs="Arial"/>
          <w:sz w:val="24"/>
          <w:szCs w:val="24"/>
          <w:shd w:val="clear" w:color="auto" w:fill="FFFFFF"/>
        </w:rPr>
        <w:t>. “Assessment of bankruptcy risk of large companies: European countries evolution analysis.” </w:t>
      </w:r>
      <w:r>
        <w:rPr>
          <w:rFonts w:ascii="Arial" w:hAnsi="Arial" w:cs="Arial"/>
          <w:i/>
          <w:iCs/>
          <w:sz w:val="24"/>
          <w:szCs w:val="24"/>
          <w:shd w:val="clear" w:color="auto" w:fill="FFFFFF"/>
        </w:rPr>
        <w:t>Journal of Risk and Financial Management</w:t>
      </w:r>
      <w:r>
        <w:rPr>
          <w:rFonts w:ascii="Arial" w:hAnsi="Arial" w:cs="Arial"/>
          <w:sz w:val="24"/>
          <w:szCs w:val="24"/>
          <w:shd w:val="clear" w:color="auto" w:fill="FFFFFF"/>
        </w:rPr>
        <w:t> 13, no. 3 (2020): 58.</w:t>
      </w:r>
    </w:p>
    <w:p w:rsidR="00D11523" w:rsidRDefault="00D11523" w:rsidP="00D11523">
      <w:pPr>
        <w:spacing w:after="0" w:line="480" w:lineRule="auto"/>
        <w:rPr>
          <w:rFonts w:ascii="Arial" w:hAnsi="Arial" w:cs="Arial"/>
          <w:color w:val="auto"/>
          <w:sz w:val="24"/>
          <w:szCs w:val="24"/>
          <w:shd w:val="clear" w:color="auto" w:fill="FFFFFF"/>
        </w:rPr>
      </w:pPr>
      <w:proofErr w:type="spellStart"/>
      <w:r>
        <w:rPr>
          <w:rFonts w:ascii="Arial" w:hAnsi="Arial" w:cs="Arial"/>
          <w:sz w:val="24"/>
          <w:szCs w:val="24"/>
          <w:shd w:val="clear" w:color="auto" w:fill="FFFFFF"/>
        </w:rPr>
        <w:t>Blancard</w:t>
      </w:r>
      <w:proofErr w:type="spellEnd"/>
      <w:r>
        <w:rPr>
          <w:rFonts w:ascii="Arial" w:hAnsi="Arial" w:cs="Arial"/>
          <w:sz w:val="24"/>
          <w:szCs w:val="24"/>
          <w:shd w:val="clear" w:color="auto" w:fill="FFFFFF"/>
        </w:rPr>
        <w:t xml:space="preserve">, Stéphane, Jean-Philippe </w:t>
      </w:r>
      <w:proofErr w:type="spellStart"/>
      <w:r>
        <w:rPr>
          <w:rFonts w:ascii="Arial" w:hAnsi="Arial" w:cs="Arial"/>
          <w:sz w:val="24"/>
          <w:szCs w:val="24"/>
          <w:shd w:val="clear" w:color="auto" w:fill="FFFFFF"/>
        </w:rPr>
        <w:t>Boussemart</w:t>
      </w:r>
      <w:proofErr w:type="spellEnd"/>
      <w:r>
        <w:rPr>
          <w:rFonts w:ascii="Arial" w:hAnsi="Arial" w:cs="Arial"/>
          <w:sz w:val="24"/>
          <w:szCs w:val="24"/>
          <w:shd w:val="clear" w:color="auto" w:fill="FFFFFF"/>
        </w:rPr>
        <w:t xml:space="preserve">, and Michel </w:t>
      </w:r>
      <w:proofErr w:type="spellStart"/>
      <w:r>
        <w:rPr>
          <w:rFonts w:ascii="Arial" w:hAnsi="Arial" w:cs="Arial"/>
          <w:sz w:val="24"/>
          <w:szCs w:val="24"/>
          <w:shd w:val="clear" w:color="auto" w:fill="FFFFFF"/>
        </w:rPr>
        <w:t>Debruyne</w:t>
      </w:r>
      <w:proofErr w:type="spellEnd"/>
      <w:r>
        <w:rPr>
          <w:rFonts w:ascii="Arial" w:hAnsi="Arial" w:cs="Arial"/>
          <w:sz w:val="24"/>
          <w:szCs w:val="24"/>
          <w:shd w:val="clear" w:color="auto" w:fill="FFFFFF"/>
        </w:rPr>
        <w:t>. “Assessing managerial performance using non-parametric distance functions compared to technical and accounting ratio analysis: an application to French farms in Nord-Pas-de-Calais specialized in field crops.” (2020).</w:t>
      </w:r>
    </w:p>
    <w:p w:rsidR="00D11523" w:rsidRDefault="00D11523" w:rsidP="00D11523">
      <w:pPr>
        <w:spacing w:after="0" w:line="480" w:lineRule="auto"/>
        <w:rPr>
          <w:rFonts w:ascii="Arial" w:hAnsi="Arial" w:cs="Arial"/>
          <w:color w:val="auto"/>
          <w:sz w:val="24"/>
          <w:szCs w:val="24"/>
          <w:shd w:val="clear" w:color="auto" w:fill="FFFFFF"/>
        </w:rPr>
      </w:pPr>
      <w:proofErr w:type="spellStart"/>
      <w:r>
        <w:rPr>
          <w:rFonts w:ascii="Arial" w:hAnsi="Arial" w:cs="Arial"/>
          <w:sz w:val="24"/>
          <w:szCs w:val="24"/>
          <w:shd w:val="clear" w:color="auto" w:fill="FFFFFF"/>
        </w:rPr>
        <w:t>Heo</w:t>
      </w:r>
      <w:proofErr w:type="spellEnd"/>
      <w:r>
        <w:rPr>
          <w:rFonts w:ascii="Arial" w:hAnsi="Arial" w:cs="Arial"/>
          <w:sz w:val="24"/>
          <w:szCs w:val="24"/>
          <w:shd w:val="clear" w:color="auto" w:fill="FFFFFF"/>
        </w:rPr>
        <w:t xml:space="preserve">, </w:t>
      </w:r>
      <w:proofErr w:type="spellStart"/>
      <w:r>
        <w:rPr>
          <w:rFonts w:ascii="Arial" w:hAnsi="Arial" w:cs="Arial"/>
          <w:sz w:val="24"/>
          <w:szCs w:val="24"/>
          <w:shd w:val="clear" w:color="auto" w:fill="FFFFFF"/>
        </w:rPr>
        <w:t>Wookjae</w:t>
      </w:r>
      <w:proofErr w:type="spellEnd"/>
      <w:r>
        <w:rPr>
          <w:rFonts w:ascii="Arial" w:hAnsi="Arial" w:cs="Arial"/>
          <w:sz w:val="24"/>
          <w:szCs w:val="24"/>
          <w:shd w:val="clear" w:color="auto" w:fill="FFFFFF"/>
        </w:rPr>
        <w:t>, Jae Min Lee, Narang Park, and John E. Grable. “Using Artificial Neural Network techniques to improve the description and prediction of household financial ratios.” </w:t>
      </w:r>
      <w:r>
        <w:rPr>
          <w:rFonts w:ascii="Arial" w:hAnsi="Arial" w:cs="Arial"/>
          <w:i/>
          <w:iCs/>
          <w:sz w:val="24"/>
          <w:szCs w:val="24"/>
          <w:shd w:val="clear" w:color="auto" w:fill="FFFFFF"/>
        </w:rPr>
        <w:t>Journal of Behavioral and Experimental Finance</w:t>
      </w:r>
      <w:r>
        <w:rPr>
          <w:rFonts w:ascii="Arial" w:hAnsi="Arial" w:cs="Arial"/>
          <w:sz w:val="24"/>
          <w:szCs w:val="24"/>
          <w:shd w:val="clear" w:color="auto" w:fill="FFFFFF"/>
        </w:rPr>
        <w:t> 25 (2020): 100273.</w:t>
      </w:r>
    </w:p>
    <w:p w:rsidR="00D11523" w:rsidRDefault="00D11523" w:rsidP="00D11523">
      <w:pPr>
        <w:spacing w:after="0" w:line="480" w:lineRule="auto"/>
        <w:rPr>
          <w:rFonts w:ascii="Arial" w:hAnsi="Arial" w:cs="Arial"/>
          <w:color w:val="auto"/>
          <w:sz w:val="24"/>
          <w:szCs w:val="24"/>
          <w:shd w:val="clear" w:color="auto" w:fill="FFFFFF"/>
        </w:rPr>
      </w:pPr>
      <w:proofErr w:type="spellStart"/>
      <w:r>
        <w:rPr>
          <w:rFonts w:ascii="Arial" w:hAnsi="Arial" w:cs="Arial"/>
          <w:sz w:val="24"/>
          <w:szCs w:val="24"/>
          <w:shd w:val="clear" w:color="auto" w:fill="FFFFFF"/>
        </w:rPr>
        <w:lastRenderedPageBreak/>
        <w:t>Neyse</w:t>
      </w:r>
      <w:proofErr w:type="spellEnd"/>
      <w:r>
        <w:rPr>
          <w:rFonts w:ascii="Arial" w:hAnsi="Arial" w:cs="Arial"/>
          <w:sz w:val="24"/>
          <w:szCs w:val="24"/>
          <w:shd w:val="clear" w:color="auto" w:fill="FFFFFF"/>
        </w:rPr>
        <w:t xml:space="preserve">, </w:t>
      </w:r>
      <w:proofErr w:type="spellStart"/>
      <w:r>
        <w:rPr>
          <w:rFonts w:ascii="Arial" w:hAnsi="Arial" w:cs="Arial"/>
          <w:sz w:val="24"/>
          <w:szCs w:val="24"/>
          <w:shd w:val="clear" w:color="auto" w:fill="FFFFFF"/>
        </w:rPr>
        <w:t>Levent</w:t>
      </w:r>
      <w:proofErr w:type="spellEnd"/>
      <w:r>
        <w:rPr>
          <w:rFonts w:ascii="Arial" w:hAnsi="Arial" w:cs="Arial"/>
          <w:sz w:val="24"/>
          <w:szCs w:val="24"/>
          <w:shd w:val="clear" w:color="auto" w:fill="FFFFFF"/>
        </w:rPr>
        <w:t xml:space="preserve">, Ferdinand M. </w:t>
      </w:r>
      <w:proofErr w:type="spellStart"/>
      <w:r>
        <w:rPr>
          <w:rFonts w:ascii="Arial" w:hAnsi="Arial" w:cs="Arial"/>
          <w:sz w:val="24"/>
          <w:szCs w:val="24"/>
          <w:shd w:val="clear" w:color="auto" w:fill="FFFFFF"/>
        </w:rPr>
        <w:t>Vieider</w:t>
      </w:r>
      <w:proofErr w:type="spellEnd"/>
      <w:r>
        <w:rPr>
          <w:rFonts w:ascii="Arial" w:hAnsi="Arial" w:cs="Arial"/>
          <w:sz w:val="24"/>
          <w:szCs w:val="24"/>
          <w:shd w:val="clear" w:color="auto" w:fill="FFFFFF"/>
        </w:rPr>
        <w:t xml:space="preserve">, Patrick Ring, Catharina Probst, Christian </w:t>
      </w:r>
      <w:proofErr w:type="spellStart"/>
      <w:r>
        <w:rPr>
          <w:rFonts w:ascii="Arial" w:hAnsi="Arial" w:cs="Arial"/>
          <w:sz w:val="24"/>
          <w:szCs w:val="24"/>
          <w:shd w:val="clear" w:color="auto" w:fill="FFFFFF"/>
        </w:rPr>
        <w:t>Kaernbach</w:t>
      </w:r>
      <w:proofErr w:type="spellEnd"/>
      <w:r>
        <w:rPr>
          <w:rFonts w:ascii="Arial" w:hAnsi="Arial" w:cs="Arial"/>
          <w:sz w:val="24"/>
          <w:szCs w:val="24"/>
          <w:shd w:val="clear" w:color="auto" w:fill="FFFFFF"/>
        </w:rPr>
        <w:t xml:space="preserve">, </w:t>
      </w:r>
      <w:proofErr w:type="spellStart"/>
      <w:r>
        <w:rPr>
          <w:rFonts w:ascii="Arial" w:hAnsi="Arial" w:cs="Arial"/>
          <w:sz w:val="24"/>
          <w:szCs w:val="24"/>
          <w:shd w:val="clear" w:color="auto" w:fill="FFFFFF"/>
        </w:rPr>
        <w:t>Thilo</w:t>
      </w:r>
      <w:proofErr w:type="spellEnd"/>
      <w:r>
        <w:rPr>
          <w:rFonts w:ascii="Arial" w:hAnsi="Arial" w:cs="Arial"/>
          <w:sz w:val="24"/>
          <w:szCs w:val="24"/>
          <w:shd w:val="clear" w:color="auto" w:fill="FFFFFF"/>
        </w:rPr>
        <w:t xml:space="preserve"> van </w:t>
      </w:r>
      <w:proofErr w:type="spellStart"/>
      <w:r>
        <w:rPr>
          <w:rFonts w:ascii="Arial" w:hAnsi="Arial" w:cs="Arial"/>
          <w:sz w:val="24"/>
          <w:szCs w:val="24"/>
          <w:shd w:val="clear" w:color="auto" w:fill="FFFFFF"/>
        </w:rPr>
        <w:t>Eimeren</w:t>
      </w:r>
      <w:proofErr w:type="spellEnd"/>
      <w:r>
        <w:rPr>
          <w:rFonts w:ascii="Arial" w:hAnsi="Arial" w:cs="Arial"/>
          <w:sz w:val="24"/>
          <w:szCs w:val="24"/>
          <w:shd w:val="clear" w:color="auto" w:fill="FFFFFF"/>
        </w:rPr>
        <w:t>, and Ulrich Schmidt. “Risk attitudes and digit ratio (2D: 4D): Evidence from prospect theory.” </w:t>
      </w:r>
      <w:r>
        <w:rPr>
          <w:rFonts w:ascii="Arial" w:hAnsi="Arial" w:cs="Arial"/>
          <w:i/>
          <w:iCs/>
          <w:sz w:val="24"/>
          <w:szCs w:val="24"/>
          <w:shd w:val="clear" w:color="auto" w:fill="FFFFFF"/>
        </w:rPr>
        <w:t>Journal of Risk and Uncertainty</w:t>
      </w:r>
      <w:r>
        <w:rPr>
          <w:rFonts w:ascii="Arial" w:hAnsi="Arial" w:cs="Arial"/>
          <w:sz w:val="24"/>
          <w:szCs w:val="24"/>
          <w:shd w:val="clear" w:color="auto" w:fill="FFFFFF"/>
        </w:rPr>
        <w:t> 60, no. 1 (2020): 29-51.</w:t>
      </w:r>
    </w:p>
    <w:p w:rsidR="00D11523" w:rsidRDefault="00D11523" w:rsidP="00D11523">
      <w:pPr>
        <w:spacing w:after="0" w:line="480" w:lineRule="auto"/>
        <w:rPr>
          <w:rFonts w:ascii="Arial" w:hAnsi="Arial" w:cs="Arial"/>
          <w:color w:val="auto"/>
          <w:sz w:val="24"/>
          <w:szCs w:val="24"/>
          <w:shd w:val="clear" w:color="auto" w:fill="FFFFFF"/>
        </w:rPr>
      </w:pPr>
      <w:r>
        <w:rPr>
          <w:rFonts w:ascii="Arial" w:hAnsi="Arial" w:cs="Arial"/>
          <w:sz w:val="24"/>
          <w:szCs w:val="24"/>
          <w:shd w:val="clear" w:color="auto" w:fill="FFFFFF"/>
        </w:rPr>
        <w:t>Robinson, Thomas R. </w:t>
      </w:r>
      <w:r>
        <w:rPr>
          <w:rFonts w:ascii="Arial" w:hAnsi="Arial" w:cs="Arial"/>
          <w:i/>
          <w:iCs/>
          <w:sz w:val="24"/>
          <w:szCs w:val="24"/>
          <w:shd w:val="clear" w:color="auto" w:fill="FFFFFF"/>
        </w:rPr>
        <w:t>International financial statement analysis</w:t>
      </w:r>
      <w:r>
        <w:rPr>
          <w:rFonts w:ascii="Arial" w:hAnsi="Arial" w:cs="Arial"/>
          <w:sz w:val="24"/>
          <w:szCs w:val="24"/>
          <w:shd w:val="clear" w:color="auto" w:fill="FFFFFF"/>
        </w:rPr>
        <w:t>. John Wiley &amp; Sons, 2020.</w:t>
      </w:r>
    </w:p>
    <w:p w:rsidR="00D11523" w:rsidRDefault="00D11523" w:rsidP="00D11523">
      <w:pPr>
        <w:spacing w:after="0" w:line="480" w:lineRule="auto"/>
        <w:rPr>
          <w:rFonts w:ascii="Arial" w:hAnsi="Arial" w:cs="Arial"/>
          <w:color w:val="auto"/>
          <w:sz w:val="24"/>
          <w:szCs w:val="24"/>
          <w:shd w:val="clear" w:color="auto" w:fill="FFFFFF"/>
        </w:rPr>
      </w:pPr>
      <w:proofErr w:type="spellStart"/>
      <w:r>
        <w:rPr>
          <w:rFonts w:ascii="Arial" w:hAnsi="Arial" w:cs="Arial"/>
          <w:sz w:val="24"/>
          <w:szCs w:val="24"/>
          <w:shd w:val="clear" w:color="auto" w:fill="FFFFFF"/>
        </w:rPr>
        <w:t>Schwendicke</w:t>
      </w:r>
      <w:proofErr w:type="spellEnd"/>
      <w:r>
        <w:rPr>
          <w:rFonts w:ascii="Arial" w:hAnsi="Arial" w:cs="Arial"/>
          <w:sz w:val="24"/>
          <w:szCs w:val="24"/>
          <w:shd w:val="clear" w:color="auto" w:fill="FFFFFF"/>
        </w:rPr>
        <w:t xml:space="preserve">, Falk, Joachim </w:t>
      </w:r>
      <w:proofErr w:type="spellStart"/>
      <w:r>
        <w:rPr>
          <w:rFonts w:ascii="Arial" w:hAnsi="Arial" w:cs="Arial"/>
          <w:sz w:val="24"/>
          <w:szCs w:val="24"/>
          <w:shd w:val="clear" w:color="auto" w:fill="FFFFFF"/>
        </w:rPr>
        <w:t>Krois</w:t>
      </w:r>
      <w:proofErr w:type="spellEnd"/>
      <w:r>
        <w:rPr>
          <w:rFonts w:ascii="Arial" w:hAnsi="Arial" w:cs="Arial"/>
          <w:sz w:val="24"/>
          <w:szCs w:val="24"/>
          <w:shd w:val="clear" w:color="auto" w:fill="FFFFFF"/>
        </w:rPr>
        <w:t>, and Jesus Gomez. “Impact of SARS-CoV2 (Covid-19) on dental practices: Economic analysis.” </w:t>
      </w:r>
      <w:r>
        <w:rPr>
          <w:rFonts w:ascii="Arial" w:hAnsi="Arial" w:cs="Arial"/>
          <w:i/>
          <w:iCs/>
          <w:sz w:val="24"/>
          <w:szCs w:val="24"/>
          <w:shd w:val="clear" w:color="auto" w:fill="FFFFFF"/>
        </w:rPr>
        <w:t>Journal of Dentistry</w:t>
      </w:r>
      <w:r>
        <w:rPr>
          <w:rFonts w:ascii="Arial" w:hAnsi="Arial" w:cs="Arial"/>
          <w:sz w:val="24"/>
          <w:szCs w:val="24"/>
          <w:shd w:val="clear" w:color="auto" w:fill="FFFFFF"/>
        </w:rPr>
        <w:t> (2020): 103387.</w:t>
      </w:r>
    </w:p>
    <w:p w:rsidR="00043226" w:rsidRDefault="00043226"/>
    <w:sectPr w:rsidR="0004322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ulim">
    <w:altName w:val="굴림"/>
    <w:panose1 w:val="020B0600000101010101"/>
    <w:charset w:val="81"/>
    <w:family w:val="swiss"/>
    <w:pitch w:val="variable"/>
    <w:sig w:usb0="B00002AF" w:usb1="69D77CFB" w:usb2="00000030" w:usb3="00000000" w:csb0="0008009F" w:csb1="00000000"/>
  </w:font>
  <w:font w:name="Constantia">
    <w:panose1 w:val="02030602050306030303"/>
    <w:charset w:val="00"/>
    <w:family w:val="roman"/>
    <w:pitch w:val="variable"/>
    <w:sig w:usb0="A00002EF" w:usb1="4000204B"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1523"/>
    <w:rsid w:val="00043226"/>
    <w:rsid w:val="00D115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761B39"/>
  <w15:chartTrackingRefBased/>
  <w15:docId w15:val="{0DEB2343-E360-47C6-B744-3B4D49208A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1523"/>
    <w:pPr>
      <w:spacing w:after="200" w:line="276" w:lineRule="auto"/>
    </w:pPr>
    <w:rPr>
      <w:rFonts w:ascii="Calibri" w:eastAsia="Calibri" w:hAnsi="Calibri" w:cs="Calibri"/>
      <w:color w:val="000000"/>
      <w:u w:color="000000"/>
      <w:lang w:val="en-US"/>
    </w:rPr>
  </w:style>
  <w:style w:type="paragraph" w:styleId="Heading1">
    <w:name w:val="heading 1"/>
    <w:basedOn w:val="Normal"/>
    <w:link w:val="Heading1Char"/>
    <w:autoRedefine/>
    <w:uiPriority w:val="9"/>
    <w:qFormat/>
    <w:rsid w:val="00D11523"/>
    <w:pPr>
      <w:spacing w:after="0" w:line="480" w:lineRule="auto"/>
      <w:jc w:val="center"/>
      <w:outlineLvl w:val="0"/>
    </w:pPr>
    <w:rPr>
      <w:rFonts w:ascii="Arial" w:eastAsia="Gulim" w:hAnsi="Arial" w:cs="Arial"/>
      <w:b/>
      <w:bCs/>
      <w:color w:val="auto"/>
      <w:kern w:val="36"/>
      <w:sz w:val="24"/>
      <w:szCs w:val="24"/>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1523"/>
    <w:rPr>
      <w:rFonts w:ascii="Arial" w:eastAsia="Gulim" w:hAnsi="Arial" w:cs="Arial"/>
      <w:b/>
      <w:bCs/>
      <w:kern w:val="36"/>
      <w:sz w:val="24"/>
      <w:szCs w:val="24"/>
      <w:u w:color="000000"/>
      <w:lang w:val="en-US" w:eastAsia="ko-KR"/>
    </w:rPr>
  </w:style>
  <w:style w:type="paragraph" w:styleId="NormalWeb">
    <w:name w:val="Normal (Web)"/>
    <w:basedOn w:val="Normal"/>
    <w:uiPriority w:val="99"/>
    <w:semiHidden/>
    <w:unhideWhenUsed/>
    <w:rsid w:val="00D11523"/>
    <w:pPr>
      <w:spacing w:before="100" w:beforeAutospacing="1" w:after="100" w:afterAutospacing="1" w:line="240" w:lineRule="auto"/>
    </w:pPr>
    <w:rPr>
      <w:rFonts w:ascii="Gulim" w:eastAsia="Gulim" w:hAnsi="Gulim" w:cs="Gulim"/>
      <w:color w:val="auto"/>
      <w:sz w:val="24"/>
      <w:szCs w:val="24"/>
      <w:lang w:eastAsia="ko-KR"/>
    </w:rPr>
  </w:style>
  <w:style w:type="paragraph" w:customStyle="1" w:styleId="Photo">
    <w:name w:val="Photo"/>
    <w:basedOn w:val="Normal"/>
    <w:uiPriority w:val="1"/>
    <w:qFormat/>
    <w:rsid w:val="00D11523"/>
    <w:pPr>
      <w:spacing w:after="0" w:line="240" w:lineRule="auto"/>
      <w:jc w:val="center"/>
    </w:pPr>
    <w:rPr>
      <w:rFonts w:ascii="Constantia" w:eastAsia="Constantia" w:hAnsi="Constantia" w:cs="Times New Roman"/>
      <w:color w:val="59595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998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10</Pages>
  <Words>1702</Words>
  <Characters>9707</Characters>
  <Application>Microsoft Office Word</Application>
  <DocSecurity>0</DocSecurity>
  <Lines>80</Lines>
  <Paragraphs>22</Paragraphs>
  <ScaleCrop>false</ScaleCrop>
  <Company/>
  <LinksUpToDate>false</LinksUpToDate>
  <CharactersWithSpaces>11387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Denitza Kazandzhieva</dc:creator>
  <cp:keywords/>
  <dc:description/>
  <cp:lastModifiedBy>Denitza Kazandzhieva</cp:lastModifiedBy>
  <cp:revision>1</cp:revision>
  <dcterms:created xsi:type="dcterms:W3CDTF">2020-07-30T13:12:00Z</dcterms:created>
  <dcterms:modified xsi:type="dcterms:W3CDTF">2020-07-30T13:16:00Z</dcterms:modified>
</cp:coreProperties>
</file>