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221F8" w14:textId="77777777" w:rsidR="00236F22" w:rsidRDefault="00236F22" w:rsidP="00236F22">
      <w:r>
        <w:t>NAME: Stephanie Fleming</w:t>
      </w:r>
    </w:p>
    <w:p w14:paraId="3A7E2533" w14:textId="77777777" w:rsidR="00236F22" w:rsidRDefault="00236F22" w:rsidP="00236F22">
      <w:r>
        <w:t>Student number: 2124734</w:t>
      </w:r>
    </w:p>
    <w:p w14:paraId="1465E3E8" w14:textId="77777777" w:rsidR="00236F22" w:rsidRDefault="00236F22" w:rsidP="00236F22"/>
    <w:p w14:paraId="23E4EE9C" w14:textId="77777777" w:rsidR="00236F22" w:rsidRDefault="00236F22" w:rsidP="00236F22"/>
    <w:p w14:paraId="20A29A69" w14:textId="77777777" w:rsidR="00236F22" w:rsidRDefault="00236F22" w:rsidP="00236F22">
      <w:pPr>
        <w:jc w:val="center"/>
        <w:rPr>
          <w:b/>
          <w:sz w:val="24"/>
          <w:szCs w:val="24"/>
        </w:rPr>
      </w:pPr>
      <w:r>
        <w:rPr>
          <w:b/>
          <w:sz w:val="24"/>
          <w:szCs w:val="24"/>
        </w:rPr>
        <w:t>How have past instances of police malpractice and misconduct influenced modern professional policing? (Essay 1)</w:t>
      </w:r>
    </w:p>
    <w:p w14:paraId="190A696A" w14:textId="77777777" w:rsidR="00236F22" w:rsidRDefault="00236F22" w:rsidP="00236F22">
      <w:pPr>
        <w:rPr>
          <w:sz w:val="24"/>
          <w:szCs w:val="24"/>
        </w:rPr>
      </w:pPr>
    </w:p>
    <w:p w14:paraId="3F7AD4FC" w14:textId="77777777" w:rsidR="00236F22" w:rsidRDefault="00236F22" w:rsidP="00236F22">
      <w:pPr>
        <w:rPr>
          <w:sz w:val="24"/>
          <w:szCs w:val="24"/>
        </w:rPr>
      </w:pPr>
    </w:p>
    <w:p w14:paraId="66499A57" w14:textId="2110FB04" w:rsidR="00236F22" w:rsidRDefault="00236F22" w:rsidP="00236F22">
      <w:pPr>
        <w:rPr>
          <w:color w:val="222222"/>
          <w:sz w:val="24"/>
          <w:szCs w:val="24"/>
        </w:rPr>
      </w:pPr>
      <w:r>
        <w:rPr>
          <w:color w:val="222222"/>
          <w:sz w:val="24"/>
          <w:szCs w:val="24"/>
        </w:rPr>
        <w:t xml:space="preserve">Instances of past police malpractice and misconduct have acted as a foundation for modern professional policing. The Fiona Pilkington case will be a focal point of this essay to analyse failings within police practice, and to establish its influence in modern day policing. More specifically, the implementation of policies, policing strategies, PACE and the Independent Police Complaints Commission (IPCC) will be explored as agents of change as a result of the Pilkington case. </w:t>
      </w:r>
    </w:p>
    <w:p w14:paraId="30B2F0CB" w14:textId="77777777" w:rsidR="00236F22" w:rsidRDefault="00236F22" w:rsidP="00236F22">
      <w:pPr>
        <w:rPr>
          <w:color w:val="222222"/>
          <w:sz w:val="24"/>
          <w:szCs w:val="24"/>
        </w:rPr>
      </w:pPr>
    </w:p>
    <w:p w14:paraId="5BCC78E1" w14:textId="2A581E68" w:rsidR="00236F22" w:rsidRDefault="00236F22" w:rsidP="00236F22">
      <w:pPr>
        <w:rPr>
          <w:color w:val="222222"/>
          <w:sz w:val="24"/>
          <w:szCs w:val="24"/>
        </w:rPr>
      </w:pPr>
      <w:r>
        <w:rPr>
          <w:color w:val="222222"/>
          <w:sz w:val="24"/>
          <w:szCs w:val="24"/>
        </w:rPr>
        <w:t>On the 27th of October 2007, Fiona Pilkington drove her car to a lay-by and set the car on fire with herself and her daughter inside, killing them both. Fiona Pilkington was a 38 year old mother of two. Fiona’s 18 year old daughter Francecca had complex needs due to her disability, which meant as she matured, Fiona found she was struggling to cope (Taylor et al, 2012). Inquiries into the deaths showed that the incident could have been prevented (Lucy Baldwin, 2015).</w:t>
      </w:r>
    </w:p>
    <w:p w14:paraId="4E464779" w14:textId="77777777" w:rsidR="00236F22" w:rsidRDefault="00236F22" w:rsidP="00236F22">
      <w:pPr>
        <w:rPr>
          <w:color w:val="222222"/>
          <w:sz w:val="24"/>
          <w:szCs w:val="24"/>
        </w:rPr>
      </w:pPr>
    </w:p>
    <w:p w14:paraId="7930D0D5" w14:textId="77777777" w:rsidR="00236F22" w:rsidRDefault="00236F22" w:rsidP="00236F22">
      <w:pPr>
        <w:rPr>
          <w:color w:val="222222"/>
          <w:sz w:val="24"/>
          <w:szCs w:val="24"/>
        </w:rPr>
      </w:pPr>
      <w:r>
        <w:rPr>
          <w:color w:val="222222"/>
          <w:sz w:val="24"/>
          <w:szCs w:val="24"/>
        </w:rPr>
        <w:t>Fiona Pilkington’s case became one of the first high profile cases in the UK in regards to disability hate crime, that led to an investigative report conducted by the Independent Police Complaints Commission (IPCC) It was discovered that the family made 33 complaints to Leicestershire Police ranging from November 1997 to October 2007. The complaints were due to a gang of youths who harassed the family through many means including setting fire to their fence and urinating in their garden (McNally, 2011). The harassment led to Francecca becoming a “virtual prisoner” inside the family home (Shakespare, 2012). It was discovered that prior to the incident, Fionabecame fearful over the coming Bonfire Night and Halloween, where she believed that the perpetrators who are targeting their family will put fireworks through her letter box (Capewell,Ralph and Bonnett 2015).</w:t>
      </w:r>
    </w:p>
    <w:p w14:paraId="60C88073" w14:textId="77777777" w:rsidR="00236F22" w:rsidRDefault="00236F22" w:rsidP="00236F22">
      <w:pPr>
        <w:rPr>
          <w:color w:val="222222"/>
          <w:sz w:val="24"/>
          <w:szCs w:val="24"/>
        </w:rPr>
      </w:pPr>
    </w:p>
    <w:p w14:paraId="06F4AC66" w14:textId="77777777" w:rsidR="00236F22" w:rsidRDefault="00236F22" w:rsidP="00236F22">
      <w:pPr>
        <w:rPr>
          <w:color w:val="222222"/>
          <w:sz w:val="24"/>
          <w:szCs w:val="24"/>
        </w:rPr>
      </w:pPr>
      <w:r>
        <w:rPr>
          <w:color w:val="222222"/>
          <w:sz w:val="24"/>
          <w:szCs w:val="24"/>
        </w:rPr>
        <w:t>The Independent Police Complaints Commission Report (2011) that investigated the contact between Fiona Pilkington and Leicestershire Constabulary found that Fiona Pilkington and her family received a service that was “far below the expected level”. Had Leicestershire Constabulary implemented an effective approach towards the harassment and anti-social behaviour that Fiona and family were experiencing, the police would have identified the family as a vulnerable family unit, and therefore provided the correct support needed.</w:t>
      </w:r>
    </w:p>
    <w:p w14:paraId="738678C1" w14:textId="77777777" w:rsidR="00236F22" w:rsidRDefault="00236F22" w:rsidP="00236F22">
      <w:pPr>
        <w:ind w:firstLine="720"/>
        <w:rPr>
          <w:color w:val="222222"/>
          <w:sz w:val="24"/>
          <w:szCs w:val="24"/>
        </w:rPr>
      </w:pPr>
      <w:r>
        <w:rPr>
          <w:color w:val="222222"/>
          <w:sz w:val="24"/>
          <w:szCs w:val="24"/>
        </w:rPr>
        <w:t xml:space="preserve">The Constabulary had systems in place which they failed to use correctly, thus leading to the failure to identify the level of harassment experienced by the family. The Independent Police Complaints Commission (2011) report found that </w:t>
      </w:r>
      <w:r>
        <w:rPr>
          <w:color w:val="222222"/>
          <w:sz w:val="24"/>
          <w:szCs w:val="24"/>
        </w:rPr>
        <w:lastRenderedPageBreak/>
        <w:t xml:space="preserve">officers involved in the case failed to recognise the difference between general anti-social behaviour and harassment. This was due to the officers using their opinions based on their experience to decipher whether further action needed to be taken. Nonetheless, the IPCC (2011) declared the police response as “a failure of the system”. </w:t>
      </w:r>
    </w:p>
    <w:p w14:paraId="08D36AB2" w14:textId="77777777" w:rsidR="00236F22" w:rsidRDefault="00236F22" w:rsidP="00236F22">
      <w:pPr>
        <w:rPr>
          <w:color w:val="222222"/>
          <w:sz w:val="24"/>
          <w:szCs w:val="24"/>
        </w:rPr>
      </w:pPr>
      <w:r>
        <w:rPr>
          <w:color w:val="222222"/>
          <w:sz w:val="24"/>
          <w:szCs w:val="24"/>
        </w:rPr>
        <w:t xml:space="preserve"> </w:t>
      </w:r>
    </w:p>
    <w:p w14:paraId="31B0D567" w14:textId="77777777" w:rsidR="00236F22" w:rsidRDefault="00236F22" w:rsidP="00236F22">
      <w:pPr>
        <w:rPr>
          <w:color w:val="222222"/>
          <w:sz w:val="24"/>
          <w:szCs w:val="24"/>
        </w:rPr>
      </w:pPr>
    </w:p>
    <w:p w14:paraId="67F7A6BC" w14:textId="77777777" w:rsidR="00236F22" w:rsidRDefault="00236F22" w:rsidP="00236F22">
      <w:pPr>
        <w:rPr>
          <w:color w:val="222222"/>
          <w:sz w:val="24"/>
          <w:szCs w:val="24"/>
        </w:rPr>
      </w:pPr>
      <w:r>
        <w:rPr>
          <w:color w:val="222222"/>
          <w:sz w:val="24"/>
          <w:szCs w:val="24"/>
        </w:rPr>
        <w:t xml:space="preserve">Following the case of Fiona Pilkington, significant changes were made within policing. In 2011, call handling and case management trials were established by the Home Office alongside the Association of Police Chief Officers, to help identify vulnerable people and repeat victims of anti-social behaviour (Heap, 2016). Additionally, Community Triggers was introduced as a component of the Anti-social Behaviour, Crime and Policing Act (2014) which enforces relevant bodies, including the police, to review the responses they make to complaints of anti-social behaviour, in an effort to prevent another tragedy like the Fiona Pilkington case (Heap, 2016). </w:t>
      </w:r>
    </w:p>
    <w:p w14:paraId="22C45DBB" w14:textId="2E331CA6" w:rsidR="00236F22" w:rsidRDefault="00236F22" w:rsidP="00236F22">
      <w:pPr>
        <w:ind w:firstLine="720"/>
        <w:rPr>
          <w:color w:val="222222"/>
          <w:sz w:val="24"/>
          <w:szCs w:val="24"/>
        </w:rPr>
      </w:pPr>
      <w:r>
        <w:rPr>
          <w:color w:val="222222"/>
          <w:sz w:val="24"/>
          <w:szCs w:val="24"/>
        </w:rPr>
        <w:t xml:space="preserve">Furthermore, the work of Fitzgibbon and Walklate (2017) identified partnership working as a key component in improving public services including the police, in order to minimise victims suffering and to effectively monitor individual cases. Multi-Agency Risk Assessments conferences (MARAC) were pioneered in Wales in 2003 and are currently used in both Wales and England as of 2007. MARAC’s consist of agencies coming together to communicate and make decisions to safeguard the victim at the earliest point, in order to manage the risk and protect vulnerable or repeat victims (Donoghue, 2013). In 2015, The Codes of Practice for Victims of Crime was released by the Ministry of Justice; this sets out 12 codes that are the minimum standard that must be provided to victims of crime by organisations in England and Wales (Ministry of Justice. 2015). </w:t>
      </w:r>
    </w:p>
    <w:p w14:paraId="624C83D5" w14:textId="77777777" w:rsidR="00236F22" w:rsidRDefault="00236F22" w:rsidP="00236F22">
      <w:pPr>
        <w:rPr>
          <w:color w:val="222222"/>
          <w:sz w:val="24"/>
          <w:szCs w:val="24"/>
        </w:rPr>
      </w:pPr>
    </w:p>
    <w:p w14:paraId="2C6A655C" w14:textId="76F0ADF5" w:rsidR="00236F22" w:rsidRDefault="00236F22" w:rsidP="00236F22">
      <w:pPr>
        <w:rPr>
          <w:color w:val="222222"/>
          <w:sz w:val="24"/>
          <w:szCs w:val="24"/>
        </w:rPr>
      </w:pPr>
      <w:r>
        <w:rPr>
          <w:color w:val="222222"/>
          <w:sz w:val="24"/>
          <w:szCs w:val="24"/>
        </w:rPr>
        <w:t>Ultimately, there is evidence to suggest that there have been changes made as a result of the Fiona Pilkington case which have resulted in vulnerable and repeat victims being recognised and actions put in place to support them, although it seems it took a period of years for these to be implemented. Fiona Pilkington’s death happened in 2007, yet disability hate crime has continued to increase over the years in England and Wales. In 2013/2014 there was an 8% increase in disability hate crime from the year before (Creese and Lader, 2014).</w:t>
      </w:r>
    </w:p>
    <w:p w14:paraId="08BF523E" w14:textId="7F44BDEF" w:rsidR="00236F22" w:rsidRDefault="00236F22" w:rsidP="00236F22">
      <w:pPr>
        <w:ind w:firstLine="720"/>
        <w:rPr>
          <w:color w:val="222222"/>
          <w:sz w:val="24"/>
          <w:szCs w:val="24"/>
        </w:rPr>
      </w:pPr>
      <w:r>
        <w:rPr>
          <w:color w:val="222222"/>
          <w:sz w:val="24"/>
          <w:szCs w:val="24"/>
        </w:rPr>
        <w:t xml:space="preserve">However, there still seems to be a confusion between ASB, vulnerability and the hate crime threshold, which appears to be a blurred area. According to Ralph et al (2016), the law constructs disablist hate crime as something different from ASB targeted at those perceived to be vulnerable. So, if the victim is targeted due to the offender being prejudiced against disabled people it is a hate crime, but if a victim is targeted because they are perceived to be vulnerable, which may be as a result of their disability, the behaviour is classed as ASB. There seems to be an overlap with the ASB documentation where it neglects to recognise hate motivated incidents (Heap, V. 2016). Furthermore, due to the confusion over what constitutes a disability hate crime thus influences whether a person will report the crime as hate crime and due to this it may alter the result in how it will be dealt with (Corteen, K. 2016). </w:t>
      </w:r>
    </w:p>
    <w:p w14:paraId="2EC2C381" w14:textId="77777777" w:rsidR="00236F22" w:rsidRDefault="00236F22" w:rsidP="00236F22">
      <w:pPr>
        <w:rPr>
          <w:color w:val="222222"/>
          <w:sz w:val="24"/>
          <w:szCs w:val="24"/>
        </w:rPr>
      </w:pPr>
      <w:r>
        <w:rPr>
          <w:color w:val="222222"/>
          <w:sz w:val="24"/>
          <w:szCs w:val="24"/>
        </w:rPr>
        <w:tab/>
        <w:t xml:space="preserve">In conclusion, evidence from Heap (2016), Fitzgibbon and Walklate (2017) and Donoghue (2013) has highlighted efforts made by police to improve policing in regards to ASB and protecting vulnerable people, showing that the Pilkington case has influenced modern policing today. However, it has been argued by Creese and Lader (2014) and Corteen (2016) that ASB and disability hate crime remains an issue in today’s society. Therefore showing that more needs to be done to protect vulnerable people in society. </w:t>
      </w:r>
    </w:p>
    <w:p w14:paraId="00D30170" w14:textId="77777777" w:rsidR="00236F22" w:rsidRDefault="00236F22" w:rsidP="00236F22">
      <w:pPr>
        <w:rPr>
          <w:color w:val="222222"/>
          <w:sz w:val="24"/>
          <w:szCs w:val="24"/>
        </w:rPr>
      </w:pPr>
    </w:p>
    <w:p w14:paraId="39EAC36F" w14:textId="77777777" w:rsidR="00236F22" w:rsidRDefault="00236F22" w:rsidP="00236F22">
      <w:pPr>
        <w:rPr>
          <w:color w:val="222222"/>
          <w:sz w:val="24"/>
          <w:szCs w:val="24"/>
        </w:rPr>
      </w:pPr>
      <w:r>
        <w:rPr>
          <w:color w:val="222222"/>
          <w:sz w:val="24"/>
          <w:szCs w:val="24"/>
        </w:rPr>
        <w:t>(Word count: 1013)</w:t>
      </w:r>
    </w:p>
    <w:p w14:paraId="7E58576F" w14:textId="77777777" w:rsidR="00236F22" w:rsidRDefault="00236F22" w:rsidP="00236F22">
      <w:pPr>
        <w:rPr>
          <w:color w:val="222222"/>
          <w:sz w:val="24"/>
          <w:szCs w:val="24"/>
        </w:rPr>
      </w:pPr>
    </w:p>
    <w:p w14:paraId="1E1F2806" w14:textId="77777777" w:rsidR="00236F22" w:rsidRDefault="00236F22" w:rsidP="00236F22">
      <w:pPr>
        <w:rPr>
          <w:color w:val="222222"/>
          <w:sz w:val="24"/>
          <w:szCs w:val="24"/>
        </w:rPr>
      </w:pPr>
    </w:p>
    <w:p w14:paraId="2C4F3AD5" w14:textId="77777777" w:rsidR="00236F22" w:rsidRDefault="00236F22" w:rsidP="00236F22"/>
    <w:p w14:paraId="7690D03F" w14:textId="77777777" w:rsidR="00236F22" w:rsidRDefault="00236F22" w:rsidP="00236F22"/>
    <w:p w14:paraId="2C91FD0B" w14:textId="77777777" w:rsidR="00236F22" w:rsidRDefault="00236F22" w:rsidP="00236F22"/>
    <w:p w14:paraId="77A56815" w14:textId="77777777" w:rsidR="00236F22" w:rsidRDefault="00236F22" w:rsidP="00236F22"/>
    <w:p w14:paraId="1F96ECB6" w14:textId="77777777" w:rsidR="00236F22" w:rsidRDefault="00236F22" w:rsidP="00236F22"/>
    <w:p w14:paraId="7C03B7FD" w14:textId="77777777" w:rsidR="00236F22" w:rsidRDefault="00236F22" w:rsidP="00236F22"/>
    <w:p w14:paraId="35B655C1" w14:textId="77777777" w:rsidR="00236F22" w:rsidRDefault="00236F22" w:rsidP="00236F22"/>
    <w:p w14:paraId="2F0495DF" w14:textId="77777777" w:rsidR="00236F22" w:rsidRDefault="00236F22" w:rsidP="00236F22"/>
    <w:p w14:paraId="5DF64DCC" w14:textId="77777777" w:rsidR="00236F22" w:rsidRDefault="00236F22" w:rsidP="00236F22"/>
    <w:p w14:paraId="4D137761" w14:textId="77777777" w:rsidR="00236F22" w:rsidRDefault="00236F22" w:rsidP="00236F22"/>
    <w:p w14:paraId="7ED7B022" w14:textId="77777777" w:rsidR="00236F22" w:rsidRDefault="00236F22" w:rsidP="00236F22"/>
    <w:p w14:paraId="338CF7C5" w14:textId="77777777" w:rsidR="00236F22" w:rsidRDefault="00236F22" w:rsidP="00236F22"/>
    <w:p w14:paraId="420A1E4D" w14:textId="77777777" w:rsidR="00236F22" w:rsidRDefault="00236F22" w:rsidP="00236F22"/>
    <w:p w14:paraId="193952BB" w14:textId="77777777" w:rsidR="00236F22" w:rsidRDefault="00236F22" w:rsidP="00236F22"/>
    <w:p w14:paraId="472792D8" w14:textId="77777777" w:rsidR="00236F22" w:rsidRDefault="00236F22" w:rsidP="00236F22"/>
    <w:p w14:paraId="54394A2D" w14:textId="77777777" w:rsidR="00236F22" w:rsidRDefault="00236F22" w:rsidP="00236F22"/>
    <w:p w14:paraId="34DF74CB" w14:textId="77777777" w:rsidR="00236F22" w:rsidRDefault="00236F22" w:rsidP="00236F22"/>
    <w:p w14:paraId="7B905E6B" w14:textId="77777777" w:rsidR="00236F22" w:rsidRDefault="00236F22" w:rsidP="00236F22"/>
    <w:p w14:paraId="6C83246E" w14:textId="77777777" w:rsidR="00236F22" w:rsidRDefault="00236F22" w:rsidP="00236F22"/>
    <w:p w14:paraId="7E199003" w14:textId="77777777" w:rsidR="00236F22" w:rsidRDefault="00236F22" w:rsidP="00236F22"/>
    <w:p w14:paraId="35B6AD44" w14:textId="77777777" w:rsidR="00236F22" w:rsidRDefault="00236F22" w:rsidP="00236F22"/>
    <w:p w14:paraId="3C21CC04" w14:textId="77777777" w:rsidR="00236F22" w:rsidRDefault="00236F22" w:rsidP="00236F22"/>
    <w:p w14:paraId="779C85C6" w14:textId="77777777" w:rsidR="00236F22" w:rsidRDefault="00236F22" w:rsidP="00236F22"/>
    <w:p w14:paraId="4AC4F258" w14:textId="77777777" w:rsidR="00236F22" w:rsidRDefault="00236F22" w:rsidP="00236F22"/>
    <w:p w14:paraId="0091E5BA" w14:textId="77777777" w:rsidR="00236F22" w:rsidRDefault="00236F22" w:rsidP="00236F22">
      <w:pPr>
        <w:rPr>
          <w:b/>
          <w:sz w:val="24"/>
          <w:szCs w:val="24"/>
        </w:rPr>
      </w:pPr>
    </w:p>
    <w:p w14:paraId="7826B62E" w14:textId="77777777" w:rsidR="00236F22" w:rsidRDefault="00236F22" w:rsidP="00236F22">
      <w:pPr>
        <w:jc w:val="center"/>
        <w:rPr>
          <w:b/>
          <w:sz w:val="24"/>
          <w:szCs w:val="24"/>
        </w:rPr>
      </w:pPr>
      <w:r>
        <w:rPr>
          <w:b/>
          <w:sz w:val="24"/>
          <w:szCs w:val="24"/>
        </w:rPr>
        <w:t>How does media coverage affect policing strategies in relation to public protection incidents? (Essay 2)</w:t>
      </w:r>
    </w:p>
    <w:p w14:paraId="002809F6" w14:textId="77777777" w:rsidR="00236F22" w:rsidRDefault="00236F22" w:rsidP="00236F22">
      <w:pPr>
        <w:rPr>
          <w:b/>
        </w:rPr>
      </w:pPr>
    </w:p>
    <w:p w14:paraId="1B12DC24" w14:textId="77777777" w:rsidR="00236F22" w:rsidRDefault="00236F22" w:rsidP="00236F22">
      <w:pPr>
        <w:rPr>
          <w:b/>
        </w:rPr>
      </w:pPr>
    </w:p>
    <w:p w14:paraId="3D940647" w14:textId="3864892D" w:rsidR="00236F22" w:rsidRDefault="00236F22" w:rsidP="00236F22">
      <w:pPr>
        <w:rPr>
          <w:color w:val="222222"/>
          <w:sz w:val="24"/>
          <w:szCs w:val="24"/>
          <w:highlight w:val="white"/>
        </w:rPr>
      </w:pPr>
      <w:r>
        <w:rPr>
          <w:color w:val="222222"/>
          <w:sz w:val="24"/>
          <w:szCs w:val="24"/>
        </w:rPr>
        <w:t>The impact of the media on policing strategies in regards to public protection is explored throughout this essay. This essay will use cases such as the Rochdale grooming gangs to analyse the media’s response and its impact on the police. Additionally, this essay will explore the efficacy of policing strategies itself in relation to public protection. Public protection involves the police, probation, and prison services collaborating with other organisations to ensure the safety of the public in an attempt to control the risks posed by violent and sexual offenders living in the community and safeguard the public (Button, 2019). This high-level, delicate line of work also entails dealing with vulnerable victims and witnesses as well as potentially dangerous individuals, and it includes work involving missing persons, hate crimes, and domestic violence (</w:t>
      </w:r>
      <w:r>
        <w:rPr>
          <w:color w:val="222222"/>
          <w:sz w:val="24"/>
          <w:szCs w:val="24"/>
          <w:highlight w:val="white"/>
        </w:rPr>
        <w:t>Charman, 2018).</w:t>
      </w:r>
    </w:p>
    <w:p w14:paraId="72C1B8AB" w14:textId="5D5B8F21" w:rsidR="00236F22" w:rsidRDefault="00236F22" w:rsidP="00236F22">
      <w:pPr>
        <w:spacing w:before="240"/>
        <w:ind w:firstLine="720"/>
        <w:rPr>
          <w:color w:val="222222"/>
          <w:sz w:val="24"/>
          <w:szCs w:val="24"/>
          <w:highlight w:val="white"/>
        </w:rPr>
      </w:pPr>
      <w:r>
        <w:rPr>
          <w:color w:val="222222"/>
          <w:sz w:val="24"/>
          <w:szCs w:val="24"/>
          <w:highlight w:val="white"/>
        </w:rPr>
        <w:t>Social media presents the police with new options for both communication activities, such as engaging and communicating with the general public. Additionally, social media allows operational activities to be undertaken within the police, such as criminal investigation, intelligence gathering, and crowd control (Crump, 2011). Police can alert citizens to threats, encourage citizens to report issues, and involve citizens in investigations using social media platforms like Twitter and Facebook (Dekker et al,2020). These approaches can be incredibly useful when the police want to engage with the public for instances like a missing person. A post to a social media platform can reach a far wider community in a short space of time which could lead to faster acquisition of crucial information (Solymosi, et al, 2021)</w:t>
      </w:r>
    </w:p>
    <w:p w14:paraId="0CD66106" w14:textId="77777777" w:rsidR="00236F22" w:rsidRDefault="00236F22" w:rsidP="00236F22">
      <w:pPr>
        <w:spacing w:before="240"/>
        <w:ind w:firstLine="720"/>
        <w:rPr>
          <w:color w:val="222222"/>
          <w:sz w:val="24"/>
          <w:szCs w:val="24"/>
          <w:highlight w:val="white"/>
        </w:rPr>
      </w:pPr>
      <w:r>
        <w:rPr>
          <w:color w:val="222222"/>
          <w:sz w:val="24"/>
          <w:szCs w:val="24"/>
        </w:rPr>
        <w:t>However, the work of (</w:t>
      </w:r>
      <w:r>
        <w:rPr>
          <w:color w:val="222222"/>
          <w:sz w:val="24"/>
          <w:szCs w:val="24"/>
          <w:highlight w:val="white"/>
        </w:rPr>
        <w:t xml:space="preserve">Zucker, 1978) suggests that </w:t>
      </w:r>
      <w:r>
        <w:rPr>
          <w:color w:val="222222"/>
          <w:sz w:val="24"/>
          <w:szCs w:val="24"/>
        </w:rPr>
        <w:t xml:space="preserve">the media itself has the ability to portray people negatively while also instilling moral panic and fear in societies. This can be seen when looking into the sexual exploitation of the young girls in Rochdale. In May 2012, nine men from the Manchester neighbourhood of Rochdale were found guilty of sexually abusing, exploiting and grooming many young white girls (Salter and Dagistanli, 2015). This was heavily covered by British media. The media highlighted to the public that eight of the perpetrators were Muslim men of Pakistani/Asian ethnicity (Gill, Et Al 2015). The way in which the media were publicising the case, led the public to have negative connotations between sexual exploitation and race and culture. The research conducted by </w:t>
      </w:r>
      <w:r>
        <w:rPr>
          <w:color w:val="222222"/>
          <w:sz w:val="24"/>
          <w:szCs w:val="24"/>
          <w:highlight w:val="white"/>
        </w:rPr>
        <w:t xml:space="preserve">Tufail (2015), found that the media focused on the fact that the perpetrators were Muslim, and further portrayed the Muslim/Asian race to be heavily linked to sexual exploitation and grooming of young girls. In support of Tufail’s work, Ali and Whitham (2018) found in their journal article research that “British Muslims have emerged as a perceived racialised threat” due to the way in which the media covered the case. </w:t>
      </w:r>
    </w:p>
    <w:p w14:paraId="1754E20C" w14:textId="77777777" w:rsidR="00236F22" w:rsidRDefault="00236F22" w:rsidP="00236F22">
      <w:pPr>
        <w:spacing w:before="240"/>
        <w:rPr>
          <w:color w:val="222222"/>
          <w:sz w:val="24"/>
          <w:szCs w:val="24"/>
          <w:highlight w:val="white"/>
        </w:rPr>
      </w:pPr>
      <w:r>
        <w:rPr>
          <w:color w:val="222222"/>
          <w:sz w:val="24"/>
          <w:szCs w:val="24"/>
          <w:highlight w:val="white"/>
        </w:rPr>
        <w:t>Following this, the media portrayed that the police were scared to take action on the matter as they were in fear of being branded racists (Robinson, 2012). This led the public to feel that the police were not taking sufficient action to protect the public, therefore on this occasion the media negatively impacted the police (Tufail, 2015). According to Wilcox (2008), the media attempt to sell as many copies as possible of the magazine in question by moulding and exacerbating social problems into stories which can manipulate the public's perceptions.</w:t>
      </w:r>
    </w:p>
    <w:p w14:paraId="2E70A90C" w14:textId="77777777" w:rsidR="00236F22" w:rsidRDefault="00236F22" w:rsidP="00236F22">
      <w:pPr>
        <w:spacing w:before="240"/>
        <w:ind w:firstLine="720"/>
        <w:rPr>
          <w:color w:val="222222"/>
          <w:sz w:val="24"/>
          <w:szCs w:val="24"/>
          <w:highlight w:val="white"/>
        </w:rPr>
      </w:pPr>
      <w:r>
        <w:rPr>
          <w:color w:val="222222"/>
          <w:sz w:val="24"/>
          <w:szCs w:val="24"/>
          <w:highlight w:val="white"/>
        </w:rPr>
        <w:t>The College of Policing (2022) indicates that a partnership between both police and the media is a core factor in maintaining good police reputation, and to reduce public alarm. As stated by the College of Policing (2022) “A successful working relationship between the police service and the media is vital”. Among the specific issues applicable to media engagement, the code of ethics provides clear guidance, one being openness and transparency.</w:t>
      </w:r>
    </w:p>
    <w:p w14:paraId="3311FE29" w14:textId="77777777" w:rsidR="00236F22" w:rsidRDefault="00236F22" w:rsidP="00236F22">
      <w:pPr>
        <w:spacing w:before="240"/>
        <w:rPr>
          <w:color w:val="222222"/>
          <w:sz w:val="24"/>
          <w:szCs w:val="24"/>
          <w:highlight w:val="white"/>
        </w:rPr>
      </w:pPr>
      <w:r>
        <w:rPr>
          <w:color w:val="222222"/>
          <w:sz w:val="24"/>
          <w:szCs w:val="24"/>
          <w:highlight w:val="white"/>
        </w:rPr>
        <w:t xml:space="preserve">The police must strategise on their partnership with the media to ensure public protection, as found in the work of Huey and Broll (2012). Their work discusses the importance of police discretion when choosing what information they release, regardless of whether they are using that information for a positive outcome, for example asking for eye-witnesses to come forward via social media. Discretion with information is necessary, as the media may misquote or misrepresent what the police have released, which could result in criticism or the public receiving the wrong information (Choi, 2021). </w:t>
      </w:r>
    </w:p>
    <w:p w14:paraId="54504BB3" w14:textId="77777777" w:rsidR="00236F22" w:rsidRDefault="00236F22" w:rsidP="00236F22">
      <w:pPr>
        <w:spacing w:before="240"/>
        <w:ind w:firstLine="720"/>
        <w:rPr>
          <w:color w:val="222222"/>
          <w:sz w:val="24"/>
          <w:szCs w:val="24"/>
          <w:highlight w:val="white"/>
        </w:rPr>
      </w:pPr>
      <w:r>
        <w:rPr>
          <w:color w:val="222222"/>
          <w:sz w:val="24"/>
          <w:szCs w:val="24"/>
          <w:highlight w:val="white"/>
        </w:rPr>
        <w:t xml:space="preserve">Brown (2021) also discussed how the media may affect a case where the police are trying to withhold information to maintain the integrity of the investigation, and where the media discover this information and release it, this can then jeopardise an entire investigation. The aforementioned research are examples of the media’s impact on police and their ability to conduct public protection procedures. </w:t>
      </w:r>
    </w:p>
    <w:p w14:paraId="277505F1" w14:textId="77777777" w:rsidR="00236F22" w:rsidRDefault="00236F22" w:rsidP="00236F22">
      <w:pPr>
        <w:spacing w:before="240"/>
        <w:ind w:firstLine="720"/>
        <w:rPr>
          <w:color w:val="222222"/>
          <w:sz w:val="24"/>
          <w:szCs w:val="24"/>
          <w:highlight w:val="white"/>
        </w:rPr>
      </w:pPr>
      <w:r>
        <w:rPr>
          <w:color w:val="222222"/>
          <w:sz w:val="24"/>
          <w:szCs w:val="24"/>
          <w:highlight w:val="white"/>
        </w:rPr>
        <w:t xml:space="preserve">In relation to public protection, the police have Multi Agency Public Protection Arrangements, where the control of violent and sexual offenders is successfully ensured through multi-agency public protection procedures (Bryan and Doyle, 2013). The duties of the police, probation trusts, and prison service are outlined in this guidance. It also discusses how other organisations might get involved. For instance, the Youth Justice Board will be in charge of caring for young offenders (Ministry of Justice 2014). One of the success stories of the Criminal Justice System is the creation and growth of these multi-agency groupings. It has made it possible for the Criminal Justice System and other organisations to collaborate systematically to improve public defence (Joyce and Laverick, 2022). In terms of inter-agency cooperation, what was once thought to be the exception, is now the rule throughout England and Wales (HMI Probation and HMI Constabular, 2011). </w:t>
      </w:r>
    </w:p>
    <w:p w14:paraId="4F71C850" w14:textId="77777777" w:rsidR="00236F22" w:rsidRDefault="00236F22" w:rsidP="00236F22">
      <w:pPr>
        <w:spacing w:before="240"/>
        <w:ind w:firstLine="720"/>
        <w:rPr>
          <w:color w:val="222222"/>
          <w:sz w:val="24"/>
          <w:szCs w:val="24"/>
          <w:highlight w:val="white"/>
        </w:rPr>
      </w:pPr>
      <w:r>
        <w:rPr>
          <w:color w:val="222222"/>
          <w:sz w:val="24"/>
          <w:szCs w:val="24"/>
          <w:highlight w:val="white"/>
        </w:rPr>
        <w:t xml:space="preserve">In conclusion, the aforementioned research by Zucker (1978), Tufail (2015) and Brown (2021) highlights how the media can manipulate stories which can negatively impact the public by instilling fear, and furthermore displaying the police in a negative light due to the media However as the College of Policing (2022) declares that , the relationship between the police and media is vital in order to maintain a positive reputation and image of the police, together with decreasing public alarm so police are able to conduct policing strategies effectively. </w:t>
      </w:r>
      <w:r>
        <w:rPr>
          <w:color w:val="222222"/>
          <w:sz w:val="24"/>
          <w:szCs w:val="24"/>
          <w:highlight w:val="white"/>
        </w:rPr>
        <w:tab/>
      </w:r>
      <w:r>
        <w:rPr>
          <w:color w:val="222222"/>
          <w:sz w:val="24"/>
          <w:szCs w:val="24"/>
          <w:highlight w:val="white"/>
        </w:rPr>
        <w:tab/>
      </w:r>
      <w:r>
        <w:rPr>
          <w:color w:val="222222"/>
          <w:sz w:val="24"/>
          <w:szCs w:val="24"/>
          <w:highlight w:val="white"/>
        </w:rPr>
        <w:tab/>
      </w:r>
      <w:r>
        <w:rPr>
          <w:color w:val="222222"/>
          <w:sz w:val="24"/>
          <w:szCs w:val="24"/>
          <w:highlight w:val="white"/>
        </w:rPr>
        <w:tab/>
      </w:r>
      <w:r>
        <w:rPr>
          <w:color w:val="222222"/>
          <w:sz w:val="24"/>
          <w:szCs w:val="24"/>
          <w:highlight w:val="white"/>
        </w:rPr>
        <w:tab/>
      </w:r>
      <w:r>
        <w:rPr>
          <w:color w:val="222222"/>
          <w:sz w:val="24"/>
          <w:szCs w:val="24"/>
          <w:highlight w:val="white"/>
        </w:rPr>
        <w:tab/>
      </w:r>
      <w:r>
        <w:rPr>
          <w:color w:val="222222"/>
          <w:sz w:val="24"/>
          <w:szCs w:val="24"/>
          <w:highlight w:val="white"/>
        </w:rPr>
        <w:tab/>
      </w:r>
      <w:r>
        <w:rPr>
          <w:color w:val="222222"/>
          <w:sz w:val="24"/>
          <w:szCs w:val="24"/>
          <w:highlight w:val="white"/>
        </w:rPr>
        <w:tab/>
      </w:r>
      <w:r>
        <w:rPr>
          <w:color w:val="222222"/>
          <w:sz w:val="24"/>
          <w:szCs w:val="24"/>
          <w:highlight w:val="white"/>
        </w:rPr>
        <w:tab/>
        <w:t xml:space="preserve"> The police's approach to handle the situations where public protection is needed as discussed is with Multi Agency Public Protection Arrangements which is claimed to be effective by HMI Probation and HMI Constabular (2011). Ultimately, the police have an approach at managing public protection. However, </w:t>
      </w:r>
      <w:r>
        <w:rPr>
          <w:color w:val="222222"/>
          <w:sz w:val="24"/>
          <w:szCs w:val="24"/>
        </w:rPr>
        <w:t>this is exacerbated by the media. Therefore, less emotive language and more positivity around the existing police strategies from the media is needed in order to support the police in managing public behaviour and opinion of the police to protect the public efficiently.</w:t>
      </w:r>
    </w:p>
    <w:p w14:paraId="5B1E9621" w14:textId="77777777" w:rsidR="00236F22" w:rsidRDefault="00236F22" w:rsidP="00236F22">
      <w:pPr>
        <w:spacing w:before="240"/>
        <w:rPr>
          <w:color w:val="222222"/>
          <w:sz w:val="24"/>
          <w:szCs w:val="24"/>
          <w:highlight w:val="white"/>
        </w:rPr>
      </w:pPr>
      <w:r>
        <w:rPr>
          <w:color w:val="222222"/>
          <w:sz w:val="24"/>
          <w:szCs w:val="24"/>
        </w:rPr>
        <w:t>(Word count: 1090)</w:t>
      </w:r>
    </w:p>
    <w:p w14:paraId="3F724D80" w14:textId="77777777" w:rsidR="00236F22" w:rsidRDefault="00236F22" w:rsidP="00236F22">
      <w:pPr>
        <w:spacing w:before="240"/>
        <w:rPr>
          <w:color w:val="222222"/>
          <w:sz w:val="24"/>
          <w:szCs w:val="24"/>
          <w:highlight w:val="white"/>
        </w:rPr>
      </w:pPr>
    </w:p>
    <w:p w14:paraId="1F13F55A" w14:textId="77777777" w:rsidR="00236F22" w:rsidRDefault="00236F22" w:rsidP="00236F22">
      <w:pPr>
        <w:spacing w:before="240"/>
        <w:rPr>
          <w:color w:val="222222"/>
          <w:sz w:val="24"/>
          <w:szCs w:val="24"/>
          <w:highlight w:val="white"/>
        </w:rPr>
      </w:pPr>
    </w:p>
    <w:p w14:paraId="5BB84CF8" w14:textId="77777777" w:rsidR="00236F22" w:rsidRDefault="00236F22" w:rsidP="00236F22">
      <w:pPr>
        <w:jc w:val="center"/>
        <w:rPr>
          <w:color w:val="222222"/>
          <w:sz w:val="24"/>
          <w:szCs w:val="24"/>
          <w:u w:val="single"/>
        </w:rPr>
      </w:pPr>
    </w:p>
    <w:p w14:paraId="486DA6AD" w14:textId="77777777" w:rsidR="00236F22" w:rsidRDefault="00236F22" w:rsidP="00236F22">
      <w:pPr>
        <w:jc w:val="center"/>
        <w:rPr>
          <w:sz w:val="24"/>
          <w:szCs w:val="24"/>
          <w:u w:val="single"/>
        </w:rPr>
      </w:pPr>
    </w:p>
    <w:p w14:paraId="31A019DC" w14:textId="77777777" w:rsidR="00236F22" w:rsidRDefault="00236F22" w:rsidP="00236F22">
      <w:pPr>
        <w:jc w:val="center"/>
        <w:rPr>
          <w:sz w:val="24"/>
          <w:szCs w:val="24"/>
          <w:u w:val="single"/>
        </w:rPr>
      </w:pPr>
    </w:p>
    <w:p w14:paraId="660CCCAF" w14:textId="77777777" w:rsidR="00236F22" w:rsidRDefault="00236F22" w:rsidP="00236F22">
      <w:pPr>
        <w:jc w:val="center"/>
        <w:rPr>
          <w:sz w:val="24"/>
          <w:szCs w:val="24"/>
          <w:u w:val="single"/>
        </w:rPr>
      </w:pPr>
    </w:p>
    <w:p w14:paraId="14154585" w14:textId="77777777" w:rsidR="00236F22" w:rsidRDefault="00236F22" w:rsidP="00236F22">
      <w:pPr>
        <w:jc w:val="center"/>
        <w:rPr>
          <w:sz w:val="24"/>
          <w:szCs w:val="24"/>
          <w:u w:val="single"/>
        </w:rPr>
      </w:pPr>
    </w:p>
    <w:p w14:paraId="0F18C108" w14:textId="77777777" w:rsidR="00236F22" w:rsidRDefault="00236F22" w:rsidP="00236F22">
      <w:pPr>
        <w:jc w:val="center"/>
        <w:rPr>
          <w:sz w:val="24"/>
          <w:szCs w:val="24"/>
          <w:u w:val="single"/>
        </w:rPr>
      </w:pPr>
    </w:p>
    <w:p w14:paraId="43B20ED9" w14:textId="77777777" w:rsidR="00236F22" w:rsidRDefault="00236F22" w:rsidP="00236F22">
      <w:pPr>
        <w:jc w:val="center"/>
        <w:rPr>
          <w:sz w:val="24"/>
          <w:szCs w:val="24"/>
          <w:u w:val="single"/>
        </w:rPr>
      </w:pPr>
    </w:p>
    <w:p w14:paraId="20F0647D" w14:textId="77777777" w:rsidR="00236F22" w:rsidRDefault="00236F22" w:rsidP="00236F22">
      <w:pPr>
        <w:jc w:val="center"/>
        <w:rPr>
          <w:b/>
          <w:sz w:val="24"/>
          <w:szCs w:val="24"/>
        </w:rPr>
      </w:pPr>
    </w:p>
    <w:p w14:paraId="414BD817" w14:textId="77777777" w:rsidR="00236F22" w:rsidRDefault="00236F22" w:rsidP="00236F22">
      <w:pPr>
        <w:jc w:val="center"/>
        <w:rPr>
          <w:b/>
          <w:sz w:val="24"/>
          <w:szCs w:val="24"/>
        </w:rPr>
      </w:pPr>
    </w:p>
    <w:p w14:paraId="15ADCB8A" w14:textId="77777777" w:rsidR="00236F22" w:rsidRDefault="00236F22" w:rsidP="00236F22">
      <w:pPr>
        <w:jc w:val="center"/>
        <w:rPr>
          <w:b/>
          <w:sz w:val="24"/>
          <w:szCs w:val="24"/>
        </w:rPr>
      </w:pPr>
    </w:p>
    <w:p w14:paraId="47663729" w14:textId="77777777" w:rsidR="00236F22" w:rsidRDefault="00236F22" w:rsidP="00236F22">
      <w:pPr>
        <w:jc w:val="center"/>
        <w:rPr>
          <w:b/>
          <w:sz w:val="24"/>
          <w:szCs w:val="24"/>
        </w:rPr>
      </w:pPr>
    </w:p>
    <w:p w14:paraId="375F0B6B" w14:textId="77777777" w:rsidR="00236F22" w:rsidRDefault="00236F22" w:rsidP="00236F22">
      <w:pPr>
        <w:jc w:val="center"/>
        <w:rPr>
          <w:b/>
          <w:sz w:val="24"/>
          <w:szCs w:val="24"/>
        </w:rPr>
      </w:pPr>
    </w:p>
    <w:p w14:paraId="5445D472" w14:textId="77777777" w:rsidR="00236F22" w:rsidRDefault="00236F22" w:rsidP="00236F22">
      <w:pPr>
        <w:jc w:val="center"/>
        <w:rPr>
          <w:b/>
          <w:sz w:val="24"/>
          <w:szCs w:val="24"/>
        </w:rPr>
      </w:pPr>
    </w:p>
    <w:p w14:paraId="15F40BAF" w14:textId="77777777" w:rsidR="00236F22" w:rsidRDefault="00236F22" w:rsidP="00236F22">
      <w:pPr>
        <w:jc w:val="center"/>
        <w:rPr>
          <w:b/>
          <w:sz w:val="24"/>
          <w:szCs w:val="24"/>
        </w:rPr>
      </w:pPr>
    </w:p>
    <w:p w14:paraId="4E70EC20" w14:textId="77777777" w:rsidR="00236F22" w:rsidRDefault="00236F22" w:rsidP="00236F22">
      <w:pPr>
        <w:jc w:val="center"/>
        <w:rPr>
          <w:b/>
          <w:sz w:val="24"/>
          <w:szCs w:val="24"/>
        </w:rPr>
      </w:pPr>
    </w:p>
    <w:p w14:paraId="5D1F6044" w14:textId="77777777" w:rsidR="00236F22" w:rsidRDefault="00236F22" w:rsidP="00236F22">
      <w:pPr>
        <w:jc w:val="center"/>
        <w:rPr>
          <w:b/>
          <w:sz w:val="24"/>
          <w:szCs w:val="24"/>
        </w:rPr>
      </w:pPr>
    </w:p>
    <w:p w14:paraId="17BCE5F9" w14:textId="77777777" w:rsidR="00236F22" w:rsidRDefault="00236F22" w:rsidP="00236F22">
      <w:pPr>
        <w:jc w:val="center"/>
        <w:rPr>
          <w:b/>
          <w:sz w:val="24"/>
          <w:szCs w:val="24"/>
        </w:rPr>
      </w:pPr>
    </w:p>
    <w:p w14:paraId="44CF500F" w14:textId="77777777" w:rsidR="00236F22" w:rsidRDefault="00236F22" w:rsidP="00236F22">
      <w:pPr>
        <w:jc w:val="center"/>
        <w:rPr>
          <w:b/>
          <w:color w:val="222222"/>
          <w:sz w:val="24"/>
          <w:szCs w:val="24"/>
          <w:highlight w:val="white"/>
        </w:rPr>
      </w:pPr>
      <w:r>
        <w:rPr>
          <w:b/>
          <w:sz w:val="24"/>
          <w:szCs w:val="24"/>
        </w:rPr>
        <w:t>How effective is early intervention in preventing young people from offending or reoffending? (Essay 3)</w:t>
      </w:r>
    </w:p>
    <w:p w14:paraId="603F17AE" w14:textId="77777777" w:rsidR="00236F22" w:rsidRDefault="00236F22" w:rsidP="00236F22">
      <w:pPr>
        <w:spacing w:before="240"/>
        <w:rPr>
          <w:color w:val="222222"/>
          <w:sz w:val="24"/>
          <w:szCs w:val="24"/>
          <w:highlight w:val="white"/>
        </w:rPr>
      </w:pPr>
      <w:r>
        <w:rPr>
          <w:color w:val="222222"/>
          <w:sz w:val="24"/>
          <w:szCs w:val="24"/>
        </w:rPr>
        <w:t>When examining how effective early intervention is in preventing young people from offending or reoffending, it is important to initially establish why adolescents may be more vulnerable than others. Through both extensive quantitative and qualitative research, this essay will aim to establish the efficacy of early intervention on preventing young people from offending or reoffending. Due to the limited word count requirement, knife crime will be the focal point of the essay when discussing ‘crime’ and ‘offending’. Much of the interest in adolescents' risk and vulnerability perceptions stems from a desire to understand why adolescents engage in potentially dangerous behaviours, with the goal of guiding the development of interventions that will be effective in preventing their onset (</w:t>
      </w:r>
      <w:r>
        <w:rPr>
          <w:color w:val="222222"/>
          <w:sz w:val="24"/>
          <w:szCs w:val="24"/>
          <w:highlight w:val="white"/>
        </w:rPr>
        <w:t>Millstein et al, 2002)</w:t>
      </w:r>
      <w:r>
        <w:rPr>
          <w:color w:val="222222"/>
          <w:sz w:val="24"/>
          <w:szCs w:val="24"/>
        </w:rPr>
        <w:t>. It is thought that adolescents are commonly perceived as being unable to properly assess risk and having strong beliefs in their invulnerability to harm (</w:t>
      </w:r>
      <w:r>
        <w:rPr>
          <w:color w:val="222222"/>
          <w:sz w:val="24"/>
          <w:szCs w:val="24"/>
          <w:highlight w:val="white"/>
        </w:rPr>
        <w:t xml:space="preserve">Millstein et al, 2002). </w:t>
      </w:r>
    </w:p>
    <w:p w14:paraId="6F7C4BF2" w14:textId="77777777" w:rsidR="00236F22" w:rsidRDefault="00236F22" w:rsidP="00236F22">
      <w:pPr>
        <w:rPr>
          <w:color w:val="222222"/>
          <w:sz w:val="24"/>
          <w:szCs w:val="24"/>
          <w:highlight w:val="white"/>
        </w:rPr>
      </w:pPr>
    </w:p>
    <w:p w14:paraId="0E7A65AC" w14:textId="77777777" w:rsidR="00236F22" w:rsidRDefault="00236F22" w:rsidP="00236F22">
      <w:pPr>
        <w:rPr>
          <w:color w:val="222222"/>
          <w:sz w:val="24"/>
          <w:szCs w:val="24"/>
          <w:highlight w:val="white"/>
        </w:rPr>
      </w:pPr>
      <w:r>
        <w:rPr>
          <w:color w:val="222222"/>
          <w:sz w:val="24"/>
          <w:szCs w:val="24"/>
          <w:highlight w:val="white"/>
        </w:rPr>
        <w:t xml:space="preserve">Since 2013, the number of violent crimes and offences committed with sharp instruments has steadily increased, following a period of decline, with the majority of cases occurring among young people and in London (Haylock et al, 2020). Recent qualitative research conducted by Allen and Harding (2021) showed that in March 2021, 49.4% of knife crime cases were intent to cause serious harm, and 36% being robbery. Their data also portrays a 27% increase in knife crime and threat to kill with a knife tripling by 252%. Thus highlighting the escalating issue of knife crime in today's society (Allen et al, 2021). The primary motivation for knife carrying has been identified as acquisition of status and fear of victimisation (Foster, 2014). </w:t>
      </w:r>
    </w:p>
    <w:p w14:paraId="089B3A8D" w14:textId="77777777" w:rsidR="00236F22" w:rsidRDefault="00236F22" w:rsidP="00236F22">
      <w:pPr>
        <w:rPr>
          <w:color w:val="222222"/>
          <w:sz w:val="24"/>
          <w:szCs w:val="24"/>
          <w:highlight w:val="white"/>
        </w:rPr>
      </w:pPr>
    </w:p>
    <w:p w14:paraId="4621D624" w14:textId="77777777" w:rsidR="00236F22" w:rsidRDefault="00236F22" w:rsidP="00236F22">
      <w:pPr>
        <w:rPr>
          <w:color w:val="222222"/>
          <w:sz w:val="24"/>
          <w:szCs w:val="24"/>
          <w:highlight w:val="white"/>
        </w:rPr>
      </w:pPr>
      <w:r>
        <w:rPr>
          <w:color w:val="222222"/>
          <w:sz w:val="24"/>
          <w:szCs w:val="24"/>
          <w:highlight w:val="white"/>
        </w:rPr>
        <w:t>There is research that establishes the factors which make young people susceptible to participation in knife crime. The work of Herrenkohl et al (2000) gives an understanding into which factors increase the likelihood of engagement in knife crime, which is the first step in developing empirically based prevention strategies involving the individual, family, school, peer, and community. Furthermore, the work of Elliot (1994) suggests that males appear to be far more likely than females to engage in serious violence. Additionally, research from Hawkins et al (2000) found that children who grow up in homes where their parents or siblings routinely exhibit violent or other forms of antisocial conduct are more likely to commit violent acts themselves. Furthermore, Farrington (1989) describes that violence risk is correlated with a child's academic performance and school experiences. For instance, it appears that youngsters who show little interest in learning and struggle academically from an early age, run the risk of not just dropping out of school and failing to graduate, but also of interacting with antisocial classmates and engaging in violent behaviour. Therefore there is plenty of research that indicates factors which make a young person vulnerable to knife crime. Which is a necessity in order to create effective preventions.</w:t>
      </w:r>
    </w:p>
    <w:p w14:paraId="1B20EF48" w14:textId="77777777" w:rsidR="00236F22" w:rsidRDefault="00236F22" w:rsidP="00236F22">
      <w:pPr>
        <w:rPr>
          <w:color w:val="222222"/>
          <w:sz w:val="24"/>
          <w:szCs w:val="24"/>
          <w:highlight w:val="white"/>
        </w:rPr>
      </w:pPr>
    </w:p>
    <w:p w14:paraId="59886C94" w14:textId="77777777" w:rsidR="00236F22" w:rsidRDefault="00236F22" w:rsidP="00236F22">
      <w:pPr>
        <w:rPr>
          <w:color w:val="222222"/>
          <w:sz w:val="24"/>
          <w:szCs w:val="24"/>
          <w:highlight w:val="white"/>
        </w:rPr>
      </w:pPr>
      <w:r>
        <w:rPr>
          <w:color w:val="222222"/>
          <w:sz w:val="24"/>
          <w:szCs w:val="24"/>
          <w:highlight w:val="white"/>
        </w:rPr>
        <w:t xml:space="preserve">Preventive interventions seek to reduce known risk factors for violence while also strengthening protective mechanisms, thereby increasing an individual's resistance to negative influences. Thus addressing behavioural issues before they become chronic conduct disorders, which should result in higher success rates for intervention programmes according to research conducted by Herrenkohl et al, (2000). </w:t>
      </w:r>
    </w:p>
    <w:p w14:paraId="61BA5848" w14:textId="77777777" w:rsidR="00236F22" w:rsidRDefault="00236F22" w:rsidP="00236F22">
      <w:pPr>
        <w:ind w:firstLine="720"/>
        <w:rPr>
          <w:color w:val="222222"/>
          <w:sz w:val="24"/>
          <w:szCs w:val="24"/>
        </w:rPr>
      </w:pPr>
      <w:r>
        <w:rPr>
          <w:color w:val="222222"/>
          <w:sz w:val="24"/>
          <w:szCs w:val="24"/>
        </w:rPr>
        <w:t>Additionally, Bellis (2012) claims that the best available evidence suggests that the most effective approaches are multifaceted, involve early prevention, and involve multi-agency collaboration with a growing recognition of the importance of public health approaches to violence prevention.</w:t>
      </w:r>
    </w:p>
    <w:p w14:paraId="44D9BF49" w14:textId="77777777" w:rsidR="00236F22" w:rsidRDefault="00236F22" w:rsidP="00236F22">
      <w:pPr>
        <w:ind w:firstLine="720"/>
        <w:rPr>
          <w:color w:val="222222"/>
          <w:sz w:val="24"/>
          <w:szCs w:val="24"/>
          <w:highlight w:val="white"/>
        </w:rPr>
      </w:pPr>
      <w:r>
        <w:rPr>
          <w:color w:val="222222"/>
          <w:sz w:val="24"/>
          <w:szCs w:val="24"/>
        </w:rPr>
        <w:t>However, trying to predict violent or very specific behaviours,such as carrying a weapon, is inherently difficult and they should be treated with caution because they can be over deterministic and lead to labelling children and young people as potentially criminal, which can have a negative impact on their lives (</w:t>
      </w:r>
      <w:r>
        <w:rPr>
          <w:color w:val="222222"/>
          <w:sz w:val="24"/>
          <w:szCs w:val="24"/>
          <w:highlight w:val="white"/>
        </w:rPr>
        <w:t>Silvestri 2009</w:t>
      </w:r>
      <w:r>
        <w:rPr>
          <w:b/>
          <w:color w:val="222222"/>
          <w:sz w:val="24"/>
          <w:szCs w:val="24"/>
          <w:highlight w:val="white"/>
        </w:rPr>
        <w:t xml:space="preserve">). </w:t>
      </w:r>
    </w:p>
    <w:p w14:paraId="708C3A65" w14:textId="77777777" w:rsidR="00236F22" w:rsidRDefault="00236F22" w:rsidP="00236F22">
      <w:pPr>
        <w:rPr>
          <w:color w:val="222222"/>
          <w:sz w:val="24"/>
          <w:szCs w:val="24"/>
          <w:highlight w:val="white"/>
        </w:rPr>
      </w:pPr>
    </w:p>
    <w:p w14:paraId="4EA91D97" w14:textId="77777777" w:rsidR="00236F22" w:rsidRDefault="00236F22" w:rsidP="00236F22">
      <w:pPr>
        <w:rPr>
          <w:color w:val="222222"/>
          <w:sz w:val="24"/>
          <w:szCs w:val="24"/>
          <w:highlight w:val="white"/>
        </w:rPr>
      </w:pPr>
      <w:r>
        <w:rPr>
          <w:color w:val="222222"/>
          <w:sz w:val="24"/>
          <w:szCs w:val="24"/>
          <w:highlight w:val="white"/>
        </w:rPr>
        <w:t>A report by Foster (2014) recognises that there are numerous knife crime interventions currently in use around the world, these being diversionary activities, educational interventions, criminal justice and multi-agency approaches.</w:t>
      </w:r>
    </w:p>
    <w:p w14:paraId="48E10F15" w14:textId="77777777" w:rsidR="00236F22" w:rsidRDefault="00236F22" w:rsidP="00236F22">
      <w:pPr>
        <w:ind w:firstLine="720"/>
        <w:rPr>
          <w:color w:val="222222"/>
          <w:sz w:val="24"/>
          <w:szCs w:val="24"/>
          <w:highlight w:val="white"/>
        </w:rPr>
      </w:pPr>
      <w:r>
        <w:rPr>
          <w:color w:val="222222"/>
          <w:sz w:val="24"/>
          <w:szCs w:val="24"/>
          <w:highlight w:val="white"/>
        </w:rPr>
        <w:t>Evaluating a diversional activity approach shows that membership in a sports team can produce some of the same positive feelings that gang membership can, implying that sports-related activities may have a positive ripple effect (Foster, 2014). Although not fully evaluated, participants perceived attractive and constructive activities to be effective in supporting children to move away from and stay away from knife crime (Phillips et al, 2020).</w:t>
      </w:r>
    </w:p>
    <w:p w14:paraId="7D0C81AD" w14:textId="77777777" w:rsidR="00236F22" w:rsidRDefault="00236F22" w:rsidP="00236F22">
      <w:pPr>
        <w:ind w:firstLine="720"/>
        <w:rPr>
          <w:color w:val="222222"/>
          <w:sz w:val="24"/>
          <w:szCs w:val="24"/>
          <w:highlight w:val="white"/>
        </w:rPr>
      </w:pPr>
      <w:r>
        <w:rPr>
          <w:color w:val="222222"/>
          <w:sz w:val="24"/>
          <w:szCs w:val="24"/>
          <w:highlight w:val="white"/>
        </w:rPr>
        <w:t xml:space="preserve">Examining educational interventions highlights the majority of the interventions’ aim to raise young people's awareness of knife crime issues.  This includes: being aware of the potential consequences of knife crime for all parties involved, including the physical, emotional, and legal consequences; being aware of the sanctions if caught carrying a weapon; and being aware that carrying a weapon actually increases one's risk of being victimised (Squires, 2008). Evidence suggests that if we educate adolescents about knife crime, the prospect of being caught can deter them from breaking the law (Parliament, 2009). </w:t>
      </w:r>
    </w:p>
    <w:p w14:paraId="63D7BD03" w14:textId="77777777" w:rsidR="00236F22" w:rsidRDefault="00236F22" w:rsidP="00236F22">
      <w:pPr>
        <w:ind w:firstLine="720"/>
        <w:rPr>
          <w:color w:val="222222"/>
          <w:sz w:val="24"/>
          <w:szCs w:val="24"/>
          <w:highlight w:val="white"/>
        </w:rPr>
      </w:pPr>
      <w:r>
        <w:rPr>
          <w:color w:val="222222"/>
          <w:sz w:val="24"/>
          <w:szCs w:val="24"/>
          <w:highlight w:val="white"/>
        </w:rPr>
        <w:t>A report by Phillips et al (2022) discusses the youth offending teams who are responsible, among other things, for working with children aged 10-17 years who are at risk of becoming involved in knife crime or who have been found guilty of a knife crime, they also provide supervision and intervention programmes that focus on crime prevention and support children in avoiding and reoffending, as well as living a healthy and positive life. When examining their findings it discovered promising approaches to working with children involved in knife crime. For example, it suggests the positive effects if responses to knife crime were to be broad in scope, involving local communities, individualised, focusing on the child rather than the offender, and delivered in the context of good multi-agency collaboration and a public health approach.</w:t>
      </w:r>
    </w:p>
    <w:p w14:paraId="667AFCF8" w14:textId="77777777" w:rsidR="00236F22" w:rsidRDefault="00236F22" w:rsidP="00236F22">
      <w:pPr>
        <w:rPr>
          <w:color w:val="222222"/>
          <w:sz w:val="24"/>
          <w:szCs w:val="24"/>
          <w:highlight w:val="white"/>
        </w:rPr>
      </w:pPr>
    </w:p>
    <w:p w14:paraId="1747B0FB" w14:textId="77777777" w:rsidR="00236F22" w:rsidRDefault="00236F22" w:rsidP="00236F22">
      <w:pPr>
        <w:rPr>
          <w:color w:val="222222"/>
          <w:sz w:val="24"/>
          <w:szCs w:val="24"/>
        </w:rPr>
      </w:pPr>
      <w:r>
        <w:rPr>
          <w:color w:val="222222"/>
          <w:sz w:val="24"/>
          <w:szCs w:val="24"/>
        </w:rPr>
        <w:t>In conclusion, although some cases show that early intervention is helping to reduce the figures of knife crime due to a lack of robust evaluations of programmes and interventions, it is difficult to draw firm conclusions about what works to reduce knife crime (</w:t>
      </w:r>
      <w:r>
        <w:rPr>
          <w:color w:val="222222"/>
          <w:sz w:val="24"/>
          <w:szCs w:val="24"/>
          <w:highlight w:val="white"/>
        </w:rPr>
        <w:t>Silvestri, 20</w:t>
      </w:r>
      <w:r>
        <w:rPr>
          <w:color w:val="222222"/>
          <w:sz w:val="24"/>
          <w:szCs w:val="24"/>
        </w:rPr>
        <w:t>09). While there are numerous knife crime interventions in use around the world, the majority have not been thoroughly evaluated or, more commonly, have not been evaluated at all (Foster, 2014).</w:t>
      </w:r>
    </w:p>
    <w:p w14:paraId="345D3C77" w14:textId="77777777" w:rsidR="00236F22" w:rsidRDefault="00236F22" w:rsidP="00236F22">
      <w:pPr>
        <w:rPr>
          <w:color w:val="222222"/>
          <w:sz w:val="24"/>
          <w:szCs w:val="24"/>
        </w:rPr>
      </w:pPr>
    </w:p>
    <w:p w14:paraId="77E56C4E" w14:textId="77777777" w:rsidR="00236F22" w:rsidRDefault="00236F22" w:rsidP="00236F22">
      <w:pPr>
        <w:rPr>
          <w:sz w:val="24"/>
          <w:szCs w:val="24"/>
        </w:rPr>
      </w:pPr>
      <w:r>
        <w:rPr>
          <w:sz w:val="24"/>
          <w:szCs w:val="24"/>
        </w:rPr>
        <w:t>(Word count: 1013)</w:t>
      </w:r>
    </w:p>
    <w:p w14:paraId="3778ECB0" w14:textId="77777777" w:rsidR="00236F22" w:rsidRDefault="00236F22" w:rsidP="00236F22">
      <w:pPr>
        <w:rPr>
          <w:rFonts w:ascii="Calibri" w:eastAsia="Calibri" w:hAnsi="Calibri" w:cs="Calibri"/>
          <w:color w:val="222222"/>
          <w:highlight w:val="white"/>
        </w:rPr>
      </w:pPr>
    </w:p>
    <w:p w14:paraId="351CFB9F" w14:textId="77777777" w:rsidR="00236F22" w:rsidRDefault="00236F22" w:rsidP="00236F22">
      <w:pPr>
        <w:rPr>
          <w:rFonts w:ascii="Calibri" w:eastAsia="Calibri" w:hAnsi="Calibri" w:cs="Calibri"/>
          <w:color w:val="222222"/>
          <w:highlight w:val="white"/>
        </w:rPr>
      </w:pPr>
    </w:p>
    <w:p w14:paraId="33EDDAE1" w14:textId="77777777" w:rsidR="00236F22" w:rsidRDefault="00236F22" w:rsidP="00236F22">
      <w:pPr>
        <w:rPr>
          <w:rFonts w:ascii="Calibri" w:eastAsia="Calibri" w:hAnsi="Calibri" w:cs="Calibri"/>
          <w:color w:val="222222"/>
          <w:highlight w:val="white"/>
        </w:rPr>
      </w:pPr>
    </w:p>
    <w:p w14:paraId="46F2B497" w14:textId="77777777" w:rsidR="00236F22" w:rsidRDefault="00236F22" w:rsidP="00236F22">
      <w:pPr>
        <w:rPr>
          <w:rFonts w:ascii="Calibri" w:eastAsia="Calibri" w:hAnsi="Calibri" w:cs="Calibri"/>
          <w:color w:val="222222"/>
          <w:highlight w:val="white"/>
        </w:rPr>
      </w:pPr>
    </w:p>
    <w:p w14:paraId="6806F04D" w14:textId="77777777" w:rsidR="00236F22" w:rsidRDefault="00236F22" w:rsidP="00236F22">
      <w:pPr>
        <w:rPr>
          <w:rFonts w:ascii="Calibri" w:eastAsia="Calibri" w:hAnsi="Calibri" w:cs="Calibri"/>
          <w:color w:val="222222"/>
          <w:highlight w:val="white"/>
        </w:rPr>
      </w:pPr>
    </w:p>
    <w:p w14:paraId="6D3DA5F1" w14:textId="77777777" w:rsidR="00236F22" w:rsidRDefault="00236F22" w:rsidP="00236F22">
      <w:pPr>
        <w:rPr>
          <w:rFonts w:ascii="Calibri" w:eastAsia="Calibri" w:hAnsi="Calibri" w:cs="Calibri"/>
          <w:color w:val="222222"/>
          <w:highlight w:val="white"/>
        </w:rPr>
      </w:pPr>
    </w:p>
    <w:p w14:paraId="711404EF" w14:textId="77777777" w:rsidR="00236F22" w:rsidRDefault="00236F22" w:rsidP="00236F22">
      <w:pPr>
        <w:rPr>
          <w:rFonts w:ascii="Calibri" w:eastAsia="Calibri" w:hAnsi="Calibri" w:cs="Calibri"/>
          <w:color w:val="222222"/>
          <w:highlight w:val="white"/>
        </w:rPr>
      </w:pPr>
    </w:p>
    <w:p w14:paraId="280E44BB" w14:textId="77777777" w:rsidR="00236F22" w:rsidRDefault="00236F22" w:rsidP="00236F22">
      <w:pPr>
        <w:rPr>
          <w:rFonts w:ascii="Calibri" w:eastAsia="Calibri" w:hAnsi="Calibri" w:cs="Calibri"/>
          <w:color w:val="222222"/>
          <w:highlight w:val="white"/>
        </w:rPr>
      </w:pPr>
    </w:p>
    <w:p w14:paraId="466F6FCF" w14:textId="77777777" w:rsidR="00236F22" w:rsidRDefault="00236F22" w:rsidP="00236F22">
      <w:pPr>
        <w:rPr>
          <w:rFonts w:ascii="Calibri" w:eastAsia="Calibri" w:hAnsi="Calibri" w:cs="Calibri"/>
          <w:color w:val="222222"/>
          <w:highlight w:val="white"/>
        </w:rPr>
      </w:pPr>
    </w:p>
    <w:p w14:paraId="3C2122AE" w14:textId="77777777" w:rsidR="00236F22" w:rsidRDefault="00236F22" w:rsidP="00236F22">
      <w:pPr>
        <w:rPr>
          <w:rFonts w:ascii="Calibri" w:eastAsia="Calibri" w:hAnsi="Calibri" w:cs="Calibri"/>
          <w:color w:val="222222"/>
          <w:highlight w:val="white"/>
        </w:rPr>
      </w:pPr>
    </w:p>
    <w:p w14:paraId="5E3C35D1" w14:textId="77777777" w:rsidR="00236F22" w:rsidRDefault="00236F22" w:rsidP="00236F22">
      <w:pPr>
        <w:rPr>
          <w:rFonts w:ascii="Calibri" w:eastAsia="Calibri" w:hAnsi="Calibri" w:cs="Calibri"/>
          <w:color w:val="222222"/>
          <w:highlight w:val="white"/>
        </w:rPr>
      </w:pPr>
    </w:p>
    <w:p w14:paraId="46E96D24" w14:textId="77777777" w:rsidR="00236F22" w:rsidRDefault="00236F22" w:rsidP="00236F22">
      <w:pPr>
        <w:rPr>
          <w:rFonts w:ascii="Calibri" w:eastAsia="Calibri" w:hAnsi="Calibri" w:cs="Calibri"/>
          <w:color w:val="222222"/>
          <w:highlight w:val="white"/>
        </w:rPr>
      </w:pPr>
    </w:p>
    <w:p w14:paraId="040CCC3B" w14:textId="77777777" w:rsidR="00236F22" w:rsidRDefault="00236F22" w:rsidP="00236F22">
      <w:pPr>
        <w:rPr>
          <w:rFonts w:ascii="Calibri" w:eastAsia="Calibri" w:hAnsi="Calibri" w:cs="Calibri"/>
          <w:color w:val="222222"/>
          <w:highlight w:val="white"/>
        </w:rPr>
      </w:pPr>
    </w:p>
    <w:p w14:paraId="7A03B837" w14:textId="77777777" w:rsidR="00236F22" w:rsidRDefault="00236F22" w:rsidP="00236F22">
      <w:pPr>
        <w:rPr>
          <w:rFonts w:ascii="Calibri" w:eastAsia="Calibri" w:hAnsi="Calibri" w:cs="Calibri"/>
          <w:color w:val="222222"/>
          <w:highlight w:val="white"/>
        </w:rPr>
      </w:pPr>
    </w:p>
    <w:p w14:paraId="7BBF0C70" w14:textId="77777777" w:rsidR="00236F22" w:rsidRDefault="00236F22" w:rsidP="00236F22">
      <w:pPr>
        <w:rPr>
          <w:rFonts w:ascii="Calibri" w:eastAsia="Calibri" w:hAnsi="Calibri" w:cs="Calibri"/>
          <w:color w:val="222222"/>
          <w:highlight w:val="white"/>
        </w:rPr>
      </w:pPr>
    </w:p>
    <w:p w14:paraId="6B4D2BA2" w14:textId="77777777" w:rsidR="00236F22" w:rsidRDefault="00236F22" w:rsidP="00236F22">
      <w:pPr>
        <w:rPr>
          <w:rFonts w:ascii="Calibri" w:eastAsia="Calibri" w:hAnsi="Calibri" w:cs="Calibri"/>
          <w:color w:val="222222"/>
          <w:highlight w:val="white"/>
        </w:rPr>
      </w:pPr>
    </w:p>
    <w:p w14:paraId="0A8FC4F0" w14:textId="77777777" w:rsidR="00236F22" w:rsidRDefault="00236F22" w:rsidP="00236F22">
      <w:pPr>
        <w:rPr>
          <w:rFonts w:ascii="Calibri" w:eastAsia="Calibri" w:hAnsi="Calibri" w:cs="Calibri"/>
          <w:color w:val="222222"/>
          <w:highlight w:val="white"/>
        </w:rPr>
      </w:pPr>
    </w:p>
    <w:p w14:paraId="4882F1FF" w14:textId="77777777" w:rsidR="00236F22" w:rsidRDefault="00236F22" w:rsidP="00236F22">
      <w:pPr>
        <w:rPr>
          <w:rFonts w:ascii="Calibri" w:eastAsia="Calibri" w:hAnsi="Calibri" w:cs="Calibri"/>
          <w:color w:val="222222"/>
          <w:highlight w:val="white"/>
        </w:rPr>
      </w:pPr>
    </w:p>
    <w:p w14:paraId="628A9010" w14:textId="77777777" w:rsidR="00236F22" w:rsidRDefault="00236F22" w:rsidP="00236F22">
      <w:pPr>
        <w:rPr>
          <w:rFonts w:ascii="Calibri" w:eastAsia="Calibri" w:hAnsi="Calibri" w:cs="Calibri"/>
          <w:color w:val="222222"/>
          <w:highlight w:val="white"/>
        </w:rPr>
      </w:pPr>
    </w:p>
    <w:p w14:paraId="78C59A23" w14:textId="77777777" w:rsidR="00236F22" w:rsidRDefault="00236F22" w:rsidP="00236F22">
      <w:pPr>
        <w:rPr>
          <w:rFonts w:ascii="Calibri" w:eastAsia="Calibri" w:hAnsi="Calibri" w:cs="Calibri"/>
          <w:color w:val="222222"/>
          <w:highlight w:val="white"/>
        </w:rPr>
      </w:pPr>
    </w:p>
    <w:p w14:paraId="4FB7393C" w14:textId="77777777" w:rsidR="00236F22" w:rsidRDefault="00236F22" w:rsidP="00236F22">
      <w:pPr>
        <w:rPr>
          <w:rFonts w:ascii="Calibri" w:eastAsia="Calibri" w:hAnsi="Calibri" w:cs="Calibri"/>
          <w:color w:val="222222"/>
          <w:highlight w:val="white"/>
        </w:rPr>
      </w:pPr>
    </w:p>
    <w:p w14:paraId="431B8AD6" w14:textId="77777777" w:rsidR="00236F22" w:rsidRDefault="00236F22" w:rsidP="00236F22">
      <w:pPr>
        <w:rPr>
          <w:rFonts w:ascii="Calibri" w:eastAsia="Calibri" w:hAnsi="Calibri" w:cs="Calibri"/>
          <w:color w:val="222222"/>
          <w:highlight w:val="white"/>
        </w:rPr>
      </w:pPr>
    </w:p>
    <w:p w14:paraId="12AA1DFE" w14:textId="77777777" w:rsidR="00236F22" w:rsidRDefault="00236F22" w:rsidP="00236F22">
      <w:pPr>
        <w:rPr>
          <w:rFonts w:ascii="Calibri" w:eastAsia="Calibri" w:hAnsi="Calibri" w:cs="Calibri"/>
          <w:color w:val="222222"/>
          <w:highlight w:val="white"/>
        </w:rPr>
      </w:pPr>
    </w:p>
    <w:p w14:paraId="234D627B" w14:textId="77777777" w:rsidR="00236F22" w:rsidRDefault="00236F22" w:rsidP="00236F22">
      <w:pPr>
        <w:rPr>
          <w:rFonts w:ascii="Calibri" w:eastAsia="Calibri" w:hAnsi="Calibri" w:cs="Calibri"/>
          <w:color w:val="222222"/>
          <w:highlight w:val="white"/>
        </w:rPr>
      </w:pPr>
    </w:p>
    <w:p w14:paraId="6AC7CDEA" w14:textId="77777777" w:rsidR="00236F22" w:rsidRDefault="00236F22" w:rsidP="00236F22">
      <w:pPr>
        <w:rPr>
          <w:rFonts w:ascii="Calibri" w:eastAsia="Calibri" w:hAnsi="Calibri" w:cs="Calibri"/>
          <w:color w:val="222222"/>
          <w:highlight w:val="white"/>
        </w:rPr>
      </w:pPr>
    </w:p>
    <w:p w14:paraId="0E3383EB" w14:textId="77777777" w:rsidR="00236F22" w:rsidRDefault="00236F22" w:rsidP="00236F22">
      <w:pPr>
        <w:rPr>
          <w:rFonts w:ascii="Calibri" w:eastAsia="Calibri" w:hAnsi="Calibri" w:cs="Calibri"/>
          <w:color w:val="222222"/>
          <w:highlight w:val="white"/>
        </w:rPr>
      </w:pPr>
    </w:p>
    <w:p w14:paraId="6958963A" w14:textId="77777777" w:rsidR="00236F22" w:rsidRDefault="00236F22" w:rsidP="00236F22">
      <w:pPr>
        <w:rPr>
          <w:rFonts w:ascii="Calibri" w:eastAsia="Calibri" w:hAnsi="Calibri" w:cs="Calibri"/>
          <w:color w:val="222222"/>
          <w:highlight w:val="white"/>
        </w:rPr>
      </w:pPr>
    </w:p>
    <w:p w14:paraId="06881055" w14:textId="77777777" w:rsidR="00236F22" w:rsidRDefault="00236F22" w:rsidP="00236F22">
      <w:pPr>
        <w:jc w:val="center"/>
        <w:rPr>
          <w:b/>
          <w:color w:val="222222"/>
          <w:sz w:val="24"/>
          <w:szCs w:val="24"/>
          <w:highlight w:val="white"/>
        </w:rPr>
      </w:pPr>
      <w:r>
        <w:rPr>
          <w:b/>
          <w:color w:val="222222"/>
          <w:sz w:val="24"/>
          <w:szCs w:val="24"/>
          <w:highlight w:val="white"/>
        </w:rPr>
        <w:t>Are partnership approaches the most effective means of rehabilitating offenders? (Essay 4)</w:t>
      </w:r>
    </w:p>
    <w:p w14:paraId="2CE73784" w14:textId="77777777" w:rsidR="00236F22" w:rsidRDefault="00236F22" w:rsidP="00236F22">
      <w:pPr>
        <w:rPr>
          <w:rFonts w:ascii="Calibri" w:eastAsia="Calibri" w:hAnsi="Calibri" w:cs="Calibri"/>
          <w:b/>
          <w:color w:val="222222"/>
          <w:highlight w:val="white"/>
        </w:rPr>
      </w:pPr>
    </w:p>
    <w:p w14:paraId="3D4983FE" w14:textId="77777777" w:rsidR="00236F22" w:rsidRDefault="00236F22" w:rsidP="00236F22">
      <w:pPr>
        <w:rPr>
          <w:color w:val="333333"/>
          <w:sz w:val="24"/>
          <w:szCs w:val="24"/>
          <w:highlight w:val="white"/>
        </w:rPr>
      </w:pPr>
      <w:r>
        <w:rPr>
          <w:color w:val="333333"/>
          <w:sz w:val="24"/>
          <w:szCs w:val="24"/>
          <w:highlight w:val="white"/>
        </w:rPr>
        <w:t>When examining if partnership approaches are the most effective means of rehabilitating offenders, it is necessary to delve into studies regarding crime prevention and analyse the evidence to arrive at a conclusion on what has proven to be effective.</w:t>
      </w:r>
    </w:p>
    <w:p w14:paraId="4859743A" w14:textId="77777777" w:rsidR="00236F22" w:rsidRDefault="00236F22" w:rsidP="00236F22">
      <w:pPr>
        <w:ind w:firstLine="720"/>
        <w:rPr>
          <w:color w:val="333333"/>
          <w:sz w:val="24"/>
          <w:szCs w:val="24"/>
          <w:highlight w:val="white"/>
        </w:rPr>
      </w:pPr>
      <w:r>
        <w:rPr>
          <w:color w:val="333333"/>
          <w:sz w:val="24"/>
          <w:szCs w:val="24"/>
          <w:highlight w:val="white"/>
        </w:rPr>
        <w:t xml:space="preserve"> A 2013 study conducted by the Ministry of Justice found that out of all the people released from prison, 50% would go on to offend again, hence the importance of research into partnership approaches as the most effective means of rehabilitating offenders. Thus, if reoffending is prevented, then crime is prevented. Therefore creating a safer community, and additionally less money is spent on rehabilitating repeating offenders. </w:t>
      </w:r>
    </w:p>
    <w:p w14:paraId="2ACC9D74" w14:textId="77777777" w:rsidR="00236F22" w:rsidRDefault="00236F22" w:rsidP="00236F22">
      <w:pPr>
        <w:rPr>
          <w:color w:val="333333"/>
          <w:sz w:val="24"/>
          <w:szCs w:val="24"/>
          <w:highlight w:val="white"/>
        </w:rPr>
      </w:pPr>
    </w:p>
    <w:p w14:paraId="06C13074" w14:textId="752E5155" w:rsidR="00236F22" w:rsidRDefault="00236F22" w:rsidP="00236F22">
      <w:pPr>
        <w:rPr>
          <w:color w:val="333333"/>
          <w:sz w:val="24"/>
          <w:szCs w:val="24"/>
          <w:highlight w:val="white"/>
        </w:rPr>
      </w:pPr>
      <w:r>
        <w:rPr>
          <w:color w:val="333333"/>
          <w:sz w:val="24"/>
          <w:szCs w:val="24"/>
          <w:highlight w:val="white"/>
        </w:rPr>
        <w:t xml:space="preserve">When discussing partnership approaches for offending, these partnerships may include the prison service, probation service, drug rehabilitation services and many more for different types of requirements for each individual's rehabilitation. According to Crow (2001), in partnership working, each service will have a mutual recognition of the other's position which can allow for diverse rehabilitative relationships which can lead to approaches that constitute a positive outcome from intervention and measure risk. However, a research article conducted by </w:t>
      </w:r>
      <w:r>
        <w:rPr>
          <w:color w:val="3A3A3A"/>
          <w:sz w:val="24"/>
          <w:szCs w:val="24"/>
          <w:highlight w:val="white"/>
        </w:rPr>
        <w:t>McNeill (2012)</w:t>
      </w:r>
      <w:r>
        <w:rPr>
          <w:color w:val="333333"/>
          <w:sz w:val="24"/>
          <w:szCs w:val="24"/>
          <w:highlight w:val="white"/>
        </w:rPr>
        <w:t xml:space="preserve"> suggests that partnership approaches to rehabilitation alone may not be effective enough.This research argues that regardless of all the positives that the offender may have achieved through partnership approaches to their rehabilitation, they may however be ‘doomed from the start’ due to their criminal record and the stigmatisation linked to them because of their criminal history. Nevertheless, rehabilitation via partnership working is a pinnacle of support for those who have offended.</w:t>
      </w:r>
    </w:p>
    <w:p w14:paraId="3C6C864B" w14:textId="77777777" w:rsidR="00236F22" w:rsidRDefault="00236F22" w:rsidP="00236F22">
      <w:pPr>
        <w:rPr>
          <w:color w:val="333333"/>
          <w:sz w:val="24"/>
          <w:szCs w:val="24"/>
          <w:highlight w:val="white"/>
        </w:rPr>
      </w:pPr>
    </w:p>
    <w:p w14:paraId="2A68AEE8" w14:textId="77777777" w:rsidR="00236F22" w:rsidRDefault="00236F22" w:rsidP="00236F22">
      <w:pPr>
        <w:rPr>
          <w:color w:val="333333"/>
          <w:sz w:val="24"/>
          <w:szCs w:val="24"/>
          <w:highlight w:val="white"/>
        </w:rPr>
      </w:pPr>
      <w:r>
        <w:rPr>
          <w:color w:val="333333"/>
          <w:sz w:val="24"/>
          <w:szCs w:val="24"/>
          <w:highlight w:val="white"/>
        </w:rPr>
        <w:t>Partnership working regarding drug related crime can start as early as when they are taken into custody. Payne-James et al (1994) found from a survey that was undertaken that out of all the reasons people were in custody, 5.5% were in for drug related offences,73% were registered drug misusers. From the evidence found, it is thought that the type of drug users in police custody are caught in the pattern of paying for their habits through crime. This research highlighted the need for identifying these persistent offenders and finding the route to support them and interrupt the cycle they are in.</w:t>
      </w:r>
    </w:p>
    <w:p w14:paraId="0D0AD4F3" w14:textId="77777777" w:rsidR="00236F22" w:rsidRDefault="00236F22" w:rsidP="00236F22">
      <w:pPr>
        <w:rPr>
          <w:color w:val="333333"/>
          <w:sz w:val="24"/>
          <w:szCs w:val="24"/>
          <w:highlight w:val="white"/>
        </w:rPr>
      </w:pPr>
    </w:p>
    <w:p w14:paraId="73981982" w14:textId="2C5DEFA1" w:rsidR="00236F22" w:rsidRDefault="00236F22" w:rsidP="00236F22">
      <w:pPr>
        <w:rPr>
          <w:color w:val="333333"/>
          <w:sz w:val="24"/>
          <w:szCs w:val="24"/>
          <w:highlight w:val="white"/>
        </w:rPr>
      </w:pPr>
      <w:r>
        <w:rPr>
          <w:color w:val="333333"/>
          <w:sz w:val="24"/>
          <w:szCs w:val="24"/>
          <w:highlight w:val="white"/>
        </w:rPr>
        <w:t xml:space="preserve">Gough et al (2019) looks into the research on substance misuse and the benefits of multi-agency working. Substance misuse was seen to be one of the main contributing factors to crime in England and Wales, so much so that multi-agency working became a requirement under the National Drug Strategy (1995) to manage drug using offenders, including voluntary sector organisations. In the findings, it established that although partnership approaches are useful as they target the numerous areas that are needed for the rehabilitation of offenders from each agency, such as the probation service who are concerned with ensuring punishments are filtered through community sentences, but also the risk management of offenders which in hand ensures public protection. However, the drug services may be more concerned with public health and the rehabilitation of offenders. These differences in agendas could lead to challenges in the collaboration of the agencies. </w:t>
      </w:r>
    </w:p>
    <w:p w14:paraId="2D178903" w14:textId="77777777" w:rsidR="00236F22" w:rsidRDefault="00236F22" w:rsidP="00236F22">
      <w:pPr>
        <w:ind w:firstLine="720"/>
        <w:rPr>
          <w:color w:val="333333"/>
          <w:sz w:val="24"/>
          <w:szCs w:val="24"/>
          <w:highlight w:val="yellow"/>
        </w:rPr>
      </w:pPr>
      <w:r>
        <w:rPr>
          <w:color w:val="333333"/>
          <w:sz w:val="24"/>
          <w:szCs w:val="24"/>
          <w:highlight w:val="white"/>
        </w:rPr>
        <w:t>In South Wales, the prison service and police custody suites work alongside agencies such as DYFODOL. DYFODOL is a consortium of agencies who work to include persons involved in the criminal court system in order to assist them in improving their life and lowering their chances of committing misuse related offences. This gives offenders a chance to find paths in which to overcome addictions and progress through rehabilitation back into public life once they are released therefore minimising the chances of offending thanks to the rehabilitation through the partnership whilst in a custodial setting (Lamberti, 2016).</w:t>
      </w:r>
    </w:p>
    <w:p w14:paraId="7AF00A6F" w14:textId="77777777" w:rsidR="00236F22" w:rsidRDefault="00236F22" w:rsidP="00236F22">
      <w:pPr>
        <w:rPr>
          <w:color w:val="333333"/>
          <w:sz w:val="24"/>
          <w:szCs w:val="24"/>
          <w:highlight w:val="white"/>
        </w:rPr>
      </w:pPr>
    </w:p>
    <w:p w14:paraId="65CD3610" w14:textId="77777777" w:rsidR="00236F22" w:rsidRDefault="00236F22" w:rsidP="00236F22">
      <w:pPr>
        <w:rPr>
          <w:color w:val="333333"/>
          <w:sz w:val="24"/>
          <w:szCs w:val="24"/>
          <w:highlight w:val="white"/>
        </w:rPr>
      </w:pPr>
      <w:r>
        <w:rPr>
          <w:color w:val="333333"/>
          <w:sz w:val="24"/>
          <w:szCs w:val="24"/>
          <w:highlight w:val="white"/>
        </w:rPr>
        <w:t>Pycroft (2012) notes that prison used to be seen as a place for the last chance of rehabilitation, whereas now it is seen as the first chance. Therefore, an offender is given the opportunity to access the tools they would require to tackle misuse as a result of the collaborative efforts of multi-agencies working in partnership to facilitate the necessary help.</w:t>
      </w:r>
    </w:p>
    <w:p w14:paraId="0C9FF9D4" w14:textId="77777777" w:rsidR="00236F22" w:rsidRDefault="00236F22" w:rsidP="00236F22">
      <w:pPr>
        <w:rPr>
          <w:color w:val="333333"/>
          <w:sz w:val="24"/>
          <w:szCs w:val="24"/>
          <w:highlight w:val="white"/>
        </w:rPr>
      </w:pPr>
    </w:p>
    <w:p w14:paraId="703FF0B6" w14:textId="172E18E9" w:rsidR="00236F22" w:rsidRDefault="00236F22" w:rsidP="00236F22">
      <w:pPr>
        <w:rPr>
          <w:color w:val="333333"/>
          <w:sz w:val="24"/>
          <w:szCs w:val="24"/>
          <w:highlight w:val="white"/>
        </w:rPr>
      </w:pPr>
      <w:r>
        <w:rPr>
          <w:color w:val="333333"/>
          <w:sz w:val="24"/>
          <w:szCs w:val="24"/>
          <w:highlight w:val="white"/>
        </w:rPr>
        <w:t>However, when researching the matter of partnership approach to the rehabilitation of offenders, research by Hean et al, (2021) reflects how it is prominent that in order to do this, there are issues such as a lack of financial resources, time and staff in the collaboration of partnerships, resulting in a decrease in the work quality. Information sharing between the agencies is also proving to be hampered, resulting in knowledge gaps across agencies. Collaboration of agencies is important for the rehabilitation of offenders, but work needs to be done on how this can be delivered effectively, thus they must be able to shift between the institutionalised logic of their respective professions and a shared logic focused on the requirements of the offender.</w:t>
      </w:r>
    </w:p>
    <w:p w14:paraId="600266E2" w14:textId="77777777" w:rsidR="00236F22" w:rsidRDefault="00236F22" w:rsidP="00236F22">
      <w:pPr>
        <w:rPr>
          <w:color w:val="333333"/>
          <w:sz w:val="24"/>
          <w:szCs w:val="24"/>
          <w:highlight w:val="white"/>
        </w:rPr>
      </w:pPr>
    </w:p>
    <w:p w14:paraId="5731D42D" w14:textId="2EAEF49F" w:rsidR="00236F22" w:rsidRDefault="00236F22" w:rsidP="00236F22">
      <w:pPr>
        <w:rPr>
          <w:color w:val="333333"/>
          <w:sz w:val="24"/>
          <w:szCs w:val="24"/>
          <w:highlight w:val="white"/>
        </w:rPr>
      </w:pPr>
      <w:r>
        <w:rPr>
          <w:color w:val="333333"/>
          <w:sz w:val="24"/>
          <w:szCs w:val="24"/>
          <w:highlight w:val="white"/>
        </w:rPr>
        <w:t xml:space="preserve">In conclusion as Pycroft (2012) discusses, not only is it down to the offender accessing the numerous rehabilitations on offer from partner agencies, it is also down to society's response when the offenders are back living in society. They must be equipped with the tools to be brought back into society to increase the unlikelihood of reoffending, but without society's acceptance, they cannot utilise all they have learnt through rehabilitation. Therefore, more needs to be done to tackle stereotypes and societal perspectives in order to give offenders the best possible chance to thrive with the support from the partnership agencies. </w:t>
      </w:r>
    </w:p>
    <w:p w14:paraId="2DA5A7A7" w14:textId="43AC94E3" w:rsidR="00236F22" w:rsidRDefault="00236F22" w:rsidP="00236F22">
      <w:pPr>
        <w:rPr>
          <w:color w:val="333333"/>
          <w:sz w:val="24"/>
          <w:szCs w:val="24"/>
          <w:highlight w:val="white"/>
        </w:rPr>
      </w:pPr>
      <w:r>
        <w:rPr>
          <w:color w:val="333333"/>
          <w:sz w:val="24"/>
          <w:szCs w:val="24"/>
          <w:highlight w:val="white"/>
        </w:rPr>
        <w:tab/>
        <w:t xml:space="preserve">As Pycroft (2012) research shows that prisons are now seen as the first chance of support rather than the last chance, which is evident of how far the rehabilitation of offenders has come due to the efforts of collaborating agencies. </w:t>
      </w:r>
    </w:p>
    <w:p w14:paraId="471D7B53" w14:textId="77777777" w:rsidR="00236F22" w:rsidRDefault="00236F22" w:rsidP="00236F22">
      <w:pPr>
        <w:ind w:firstLine="720"/>
        <w:rPr>
          <w:color w:val="333333"/>
          <w:sz w:val="24"/>
          <w:szCs w:val="24"/>
          <w:highlight w:val="white"/>
        </w:rPr>
      </w:pPr>
      <w:r>
        <w:rPr>
          <w:color w:val="333333"/>
          <w:sz w:val="24"/>
          <w:szCs w:val="24"/>
          <w:highlight w:val="white"/>
        </w:rPr>
        <w:t>However, it is important to note that there is much more that needs to be done to ensure these agencies can deliver their services effectively and in harmony across the board if they can find the balance of information sharing, finances, time and staffing (Hean et al, 2021).</w:t>
      </w:r>
    </w:p>
    <w:p w14:paraId="5110E7D5" w14:textId="77777777" w:rsidR="00236F22" w:rsidRDefault="00236F22" w:rsidP="00236F22">
      <w:pPr>
        <w:rPr>
          <w:color w:val="3A3A3A"/>
          <w:sz w:val="24"/>
          <w:szCs w:val="24"/>
          <w:highlight w:val="white"/>
        </w:rPr>
      </w:pPr>
    </w:p>
    <w:p w14:paraId="109AB790" w14:textId="0DF4565F" w:rsidR="00236F22" w:rsidRDefault="00236F22" w:rsidP="00236F22">
      <w:pPr>
        <w:rPr>
          <w:color w:val="222222"/>
          <w:sz w:val="24"/>
          <w:szCs w:val="24"/>
          <w:highlight w:val="white"/>
        </w:rPr>
      </w:pPr>
      <w:r>
        <w:rPr>
          <w:color w:val="222222"/>
          <w:sz w:val="24"/>
          <w:szCs w:val="24"/>
          <w:highlight w:val="white"/>
        </w:rPr>
        <w:t>(Word count: 968)</w:t>
      </w:r>
    </w:p>
    <w:p w14:paraId="1A80D958" w14:textId="77777777" w:rsidR="00236F22" w:rsidRDefault="00236F22" w:rsidP="00236F22">
      <w:pPr>
        <w:rPr>
          <w:rFonts w:ascii="Calibri" w:eastAsia="Calibri" w:hAnsi="Calibri" w:cs="Calibri"/>
          <w:color w:val="222222"/>
          <w:highlight w:val="white"/>
        </w:rPr>
      </w:pPr>
    </w:p>
    <w:p w14:paraId="5C1ECA20" w14:textId="77777777" w:rsidR="00236F22" w:rsidRDefault="00236F22" w:rsidP="00236F22">
      <w:pPr>
        <w:rPr>
          <w:rFonts w:ascii="Calibri" w:eastAsia="Calibri" w:hAnsi="Calibri" w:cs="Calibri"/>
          <w:color w:val="222222"/>
          <w:highlight w:val="white"/>
        </w:rPr>
      </w:pPr>
    </w:p>
    <w:p w14:paraId="243D2091" w14:textId="77777777" w:rsidR="00236F22" w:rsidRDefault="00236F22" w:rsidP="00236F22">
      <w:pPr>
        <w:rPr>
          <w:rFonts w:ascii="Calibri" w:eastAsia="Calibri" w:hAnsi="Calibri" w:cs="Calibri"/>
          <w:color w:val="222222"/>
          <w:highlight w:val="white"/>
        </w:rPr>
      </w:pPr>
    </w:p>
    <w:p w14:paraId="58172694" w14:textId="77777777" w:rsidR="00236F22" w:rsidRDefault="00236F22" w:rsidP="00236F22">
      <w:pPr>
        <w:rPr>
          <w:rFonts w:ascii="Calibri" w:eastAsia="Calibri" w:hAnsi="Calibri" w:cs="Calibri"/>
          <w:color w:val="222222"/>
          <w:highlight w:val="white"/>
        </w:rPr>
      </w:pPr>
    </w:p>
    <w:p w14:paraId="0B2FD5AF" w14:textId="77777777" w:rsidR="00236F22" w:rsidRDefault="00236F22" w:rsidP="00236F22">
      <w:pPr>
        <w:rPr>
          <w:rFonts w:ascii="Calibri" w:eastAsia="Calibri" w:hAnsi="Calibri" w:cs="Calibri"/>
          <w:color w:val="222222"/>
          <w:highlight w:val="white"/>
        </w:rPr>
      </w:pPr>
    </w:p>
    <w:p w14:paraId="45254CDA" w14:textId="77777777" w:rsidR="00236F22" w:rsidRDefault="00236F22" w:rsidP="00236F22">
      <w:pPr>
        <w:rPr>
          <w:rFonts w:ascii="Calibri" w:eastAsia="Calibri" w:hAnsi="Calibri" w:cs="Calibri"/>
          <w:color w:val="222222"/>
          <w:highlight w:val="white"/>
        </w:rPr>
      </w:pPr>
    </w:p>
    <w:p w14:paraId="43021C77" w14:textId="77777777" w:rsidR="00236F22" w:rsidRDefault="00236F22" w:rsidP="00236F22">
      <w:pPr>
        <w:rPr>
          <w:rFonts w:ascii="Calibri" w:eastAsia="Calibri" w:hAnsi="Calibri" w:cs="Calibri"/>
          <w:color w:val="222222"/>
          <w:highlight w:val="white"/>
        </w:rPr>
      </w:pPr>
    </w:p>
    <w:p w14:paraId="430ACFD5" w14:textId="77777777" w:rsidR="00236F22" w:rsidRDefault="00236F22" w:rsidP="00236F22">
      <w:pPr>
        <w:spacing w:after="160" w:line="256" w:lineRule="auto"/>
        <w:jc w:val="center"/>
        <w:rPr>
          <w:rFonts w:ascii="Calibri" w:eastAsia="Calibri" w:hAnsi="Calibri" w:cs="Calibri"/>
          <w:sz w:val="26"/>
          <w:szCs w:val="26"/>
          <w:u w:val="single"/>
        </w:rPr>
      </w:pPr>
      <w:r>
        <w:rPr>
          <w:rFonts w:ascii="Calibri" w:eastAsia="Calibri" w:hAnsi="Calibri" w:cs="Calibri"/>
          <w:sz w:val="26"/>
          <w:szCs w:val="26"/>
          <w:u w:val="single"/>
        </w:rPr>
        <w:t>Bibliography</w:t>
      </w:r>
    </w:p>
    <w:p w14:paraId="10D3E69D" w14:textId="77777777" w:rsidR="00236F22" w:rsidRDefault="00236F22" w:rsidP="00236F22">
      <w:pPr>
        <w:spacing w:after="160" w:line="256" w:lineRule="auto"/>
        <w:jc w:val="center"/>
        <w:rPr>
          <w:rFonts w:ascii="Calibri" w:eastAsia="Calibri" w:hAnsi="Calibri" w:cs="Calibri"/>
          <w:sz w:val="26"/>
          <w:szCs w:val="26"/>
          <w:u w:val="single"/>
        </w:rPr>
      </w:pPr>
    </w:p>
    <w:p w14:paraId="2C42CC69" w14:textId="77777777" w:rsidR="00236F22" w:rsidRDefault="00236F22" w:rsidP="00236F22">
      <w:pPr>
        <w:spacing w:after="160" w:line="256" w:lineRule="auto"/>
        <w:rPr>
          <w:rFonts w:ascii="Calibri" w:eastAsia="Calibri" w:hAnsi="Calibri" w:cs="Calibri"/>
          <w:color w:val="222222"/>
          <w:highlight w:val="white"/>
        </w:rPr>
      </w:pPr>
      <w:r>
        <w:rPr>
          <w:rFonts w:ascii="Calibri" w:eastAsia="Calibri" w:hAnsi="Calibri" w:cs="Calibri"/>
          <w:color w:val="222222"/>
          <w:highlight w:val="white"/>
        </w:rPr>
        <w:t xml:space="preserve">Ali, N. and Whitham, B., (2018). ‘The unbearable anxiety of being: Ideological fantasies of British Muslims beyond the politics of security.’ </w:t>
      </w:r>
      <w:r>
        <w:rPr>
          <w:rFonts w:ascii="Calibri" w:eastAsia="Calibri" w:hAnsi="Calibri" w:cs="Calibri"/>
          <w:i/>
          <w:color w:val="222222"/>
        </w:rPr>
        <w:t>Security Dialogue</w:t>
      </w:r>
      <w:r>
        <w:rPr>
          <w:rFonts w:ascii="Calibri" w:eastAsia="Calibri" w:hAnsi="Calibri" w:cs="Calibri"/>
          <w:color w:val="222222"/>
          <w:highlight w:val="white"/>
        </w:rPr>
        <w:t xml:space="preserve">, </w:t>
      </w:r>
      <w:r>
        <w:rPr>
          <w:rFonts w:ascii="Calibri" w:eastAsia="Calibri" w:hAnsi="Calibri" w:cs="Calibri"/>
          <w:i/>
          <w:color w:val="222222"/>
        </w:rPr>
        <w:t>49</w:t>
      </w:r>
      <w:r>
        <w:rPr>
          <w:rFonts w:ascii="Calibri" w:eastAsia="Calibri" w:hAnsi="Calibri" w:cs="Calibri"/>
          <w:color w:val="222222"/>
          <w:highlight w:val="white"/>
        </w:rPr>
        <w:t xml:space="preserve">(5), pp.400-417. </w:t>
      </w:r>
    </w:p>
    <w:p w14:paraId="19A8948A" w14:textId="77777777" w:rsidR="00236F22" w:rsidRDefault="00236F22" w:rsidP="00236F22">
      <w:pPr>
        <w:spacing w:after="160" w:line="256" w:lineRule="auto"/>
        <w:rPr>
          <w:rFonts w:ascii="Calibri" w:eastAsia="Calibri" w:hAnsi="Calibri" w:cs="Calibri"/>
          <w:color w:val="222222"/>
          <w:highlight w:val="white"/>
        </w:rPr>
      </w:pPr>
    </w:p>
    <w:p w14:paraId="7357350A" w14:textId="77777777" w:rsidR="00236F22" w:rsidRDefault="00236F22" w:rsidP="00236F22">
      <w:pPr>
        <w:spacing w:after="160" w:line="256" w:lineRule="auto"/>
        <w:rPr>
          <w:rFonts w:ascii="Calibri" w:eastAsia="Calibri" w:hAnsi="Calibri" w:cs="Calibri"/>
          <w:sz w:val="20"/>
          <w:szCs w:val="20"/>
          <w:highlight w:val="white"/>
        </w:rPr>
      </w:pPr>
      <w:r>
        <w:rPr>
          <w:rFonts w:ascii="Calibri" w:eastAsia="Calibri" w:hAnsi="Calibri" w:cs="Calibri"/>
          <w:highlight w:val="white"/>
        </w:rPr>
        <w:t>Baldwin, L. (2015). </w:t>
      </w:r>
      <w:r>
        <w:rPr>
          <w:rFonts w:ascii="Calibri" w:eastAsia="Calibri" w:hAnsi="Calibri" w:cs="Calibri"/>
          <w:i/>
        </w:rPr>
        <w:t>Mothering Justice Working with Mothers in Criminal and Social Justice Settings</w:t>
      </w:r>
      <w:r>
        <w:rPr>
          <w:rFonts w:ascii="Calibri" w:eastAsia="Calibri" w:hAnsi="Calibri" w:cs="Calibri"/>
          <w:highlight w:val="white"/>
        </w:rPr>
        <w:t>. United Kingdom: Waterside Press. p.318.</w:t>
      </w:r>
      <w:r>
        <w:rPr>
          <w:rFonts w:ascii="Calibri" w:eastAsia="Calibri" w:hAnsi="Calibri" w:cs="Calibri"/>
          <w:sz w:val="20"/>
          <w:szCs w:val="20"/>
          <w:highlight w:val="white"/>
        </w:rPr>
        <w:t xml:space="preserve"> </w:t>
      </w:r>
    </w:p>
    <w:p w14:paraId="739AC8B3" w14:textId="77777777" w:rsidR="00236F22" w:rsidRDefault="00236F22" w:rsidP="00236F22">
      <w:pPr>
        <w:spacing w:after="160" w:line="256" w:lineRule="auto"/>
        <w:rPr>
          <w:rFonts w:ascii="Calibri" w:eastAsia="Calibri" w:hAnsi="Calibri" w:cs="Calibri"/>
          <w:sz w:val="20"/>
          <w:szCs w:val="20"/>
          <w:highlight w:val="white"/>
        </w:rPr>
      </w:pPr>
    </w:p>
    <w:p w14:paraId="141275D6" w14:textId="77777777" w:rsidR="00236F22" w:rsidRDefault="00236F22" w:rsidP="00236F22">
      <w:pPr>
        <w:rPr>
          <w:rFonts w:ascii="Calibri" w:eastAsia="Calibri" w:hAnsi="Calibri" w:cs="Calibri"/>
          <w:sz w:val="20"/>
          <w:szCs w:val="20"/>
          <w:highlight w:val="white"/>
        </w:rPr>
      </w:pPr>
      <w:r>
        <w:rPr>
          <w:rFonts w:ascii="Calibri" w:eastAsia="Calibri" w:hAnsi="Calibri" w:cs="Calibri"/>
          <w:color w:val="222222"/>
          <w:highlight w:val="white"/>
        </w:rPr>
        <w:t xml:space="preserve">Battin, S.R., Hill, K.G., Abbott, R.D., Catalano, R.F. and Hawkins, J.D., 1998. The contribution of gang membership to delinquency beyond delinquent friends. </w:t>
      </w:r>
      <w:r>
        <w:rPr>
          <w:rFonts w:ascii="Calibri" w:eastAsia="Calibri" w:hAnsi="Calibri" w:cs="Calibri"/>
          <w:i/>
          <w:color w:val="222222"/>
          <w:highlight w:val="white"/>
        </w:rPr>
        <w:t>Criminology</w:t>
      </w:r>
      <w:r>
        <w:rPr>
          <w:rFonts w:ascii="Calibri" w:eastAsia="Calibri" w:hAnsi="Calibri" w:cs="Calibri"/>
          <w:color w:val="222222"/>
          <w:highlight w:val="white"/>
        </w:rPr>
        <w:t xml:space="preserve">, </w:t>
      </w:r>
      <w:r>
        <w:rPr>
          <w:rFonts w:ascii="Calibri" w:eastAsia="Calibri" w:hAnsi="Calibri" w:cs="Calibri"/>
          <w:i/>
          <w:color w:val="222222"/>
          <w:highlight w:val="white"/>
        </w:rPr>
        <w:t>36</w:t>
      </w:r>
      <w:r>
        <w:rPr>
          <w:rFonts w:ascii="Calibri" w:eastAsia="Calibri" w:hAnsi="Calibri" w:cs="Calibri"/>
          <w:color w:val="222222"/>
          <w:highlight w:val="white"/>
        </w:rPr>
        <w:t>(1), pp.93-116.</w:t>
      </w:r>
    </w:p>
    <w:p w14:paraId="233F617E" w14:textId="77777777" w:rsidR="00236F22" w:rsidRDefault="00236F22" w:rsidP="00236F22">
      <w:pPr>
        <w:spacing w:after="160" w:line="256" w:lineRule="auto"/>
        <w:rPr>
          <w:rFonts w:ascii="Calibri" w:eastAsia="Calibri" w:hAnsi="Calibri" w:cs="Calibri"/>
          <w:sz w:val="20"/>
          <w:szCs w:val="20"/>
          <w:highlight w:val="white"/>
        </w:rPr>
      </w:pPr>
    </w:p>
    <w:p w14:paraId="518BF4F1" w14:textId="77777777" w:rsidR="00236F22" w:rsidRDefault="00236F22" w:rsidP="00236F22">
      <w:pPr>
        <w:rPr>
          <w:rFonts w:ascii="Calibri" w:eastAsia="Calibri" w:hAnsi="Calibri" w:cs="Calibri"/>
          <w:sz w:val="20"/>
          <w:szCs w:val="20"/>
          <w:highlight w:val="white"/>
        </w:rPr>
      </w:pPr>
      <w:r>
        <w:rPr>
          <w:rFonts w:ascii="Calibri" w:eastAsia="Calibri" w:hAnsi="Calibri" w:cs="Calibri"/>
          <w:color w:val="222222"/>
          <w:highlight w:val="white"/>
        </w:rPr>
        <w:t xml:space="preserve">Bellis, M.A., Hughes, K., Perkins, C. and Bennett, A., 2012. </w:t>
      </w:r>
      <w:r>
        <w:rPr>
          <w:rFonts w:ascii="Calibri" w:eastAsia="Calibri" w:hAnsi="Calibri" w:cs="Calibri"/>
          <w:i/>
          <w:color w:val="222222"/>
          <w:highlight w:val="white"/>
        </w:rPr>
        <w:t>Protecting people, promoting health: a public health approach to violence prevention for England</w:t>
      </w:r>
      <w:r>
        <w:rPr>
          <w:rFonts w:ascii="Calibri" w:eastAsia="Calibri" w:hAnsi="Calibri" w:cs="Calibri"/>
          <w:color w:val="222222"/>
          <w:highlight w:val="white"/>
        </w:rPr>
        <w:t>. Public Health England.</w:t>
      </w:r>
    </w:p>
    <w:p w14:paraId="0140970C" w14:textId="77777777" w:rsidR="00236F22" w:rsidRDefault="00236F22" w:rsidP="00236F22">
      <w:pPr>
        <w:spacing w:after="160" w:line="256" w:lineRule="auto"/>
        <w:rPr>
          <w:rFonts w:ascii="Calibri" w:eastAsia="Calibri" w:hAnsi="Calibri" w:cs="Calibri"/>
          <w:sz w:val="20"/>
          <w:szCs w:val="20"/>
          <w:highlight w:val="white"/>
        </w:rPr>
      </w:pPr>
    </w:p>
    <w:p w14:paraId="25EF6481" w14:textId="77777777" w:rsidR="00236F22" w:rsidRDefault="00236F22" w:rsidP="00236F22">
      <w:pPr>
        <w:spacing w:after="160" w:line="256" w:lineRule="auto"/>
        <w:rPr>
          <w:rFonts w:ascii="Calibri" w:eastAsia="Calibri" w:hAnsi="Calibri" w:cs="Calibri"/>
          <w:color w:val="222222"/>
          <w:highlight w:val="white"/>
        </w:rPr>
      </w:pPr>
      <w:r>
        <w:rPr>
          <w:rFonts w:ascii="Calibri" w:eastAsia="Calibri" w:hAnsi="Calibri" w:cs="Calibri"/>
          <w:color w:val="222222"/>
          <w:highlight w:val="white"/>
        </w:rPr>
        <w:t xml:space="preserve">Burney, E., (2009). </w:t>
      </w:r>
      <w:r>
        <w:rPr>
          <w:rFonts w:ascii="Calibri" w:eastAsia="Calibri" w:hAnsi="Calibri" w:cs="Calibri"/>
          <w:i/>
          <w:color w:val="222222"/>
          <w:highlight w:val="white"/>
        </w:rPr>
        <w:t>Making people behave: Anti-social behaviour, politics and policy</w:t>
      </w:r>
      <w:r>
        <w:rPr>
          <w:rFonts w:ascii="Calibri" w:eastAsia="Calibri" w:hAnsi="Calibri" w:cs="Calibri"/>
          <w:color w:val="222222"/>
          <w:highlight w:val="white"/>
        </w:rPr>
        <w:t>. Routledge.</w:t>
      </w:r>
    </w:p>
    <w:p w14:paraId="6BEF64BB" w14:textId="77777777" w:rsidR="00236F22" w:rsidRDefault="00236F22" w:rsidP="00236F22">
      <w:pPr>
        <w:spacing w:after="160" w:line="256" w:lineRule="auto"/>
        <w:rPr>
          <w:rFonts w:ascii="Calibri" w:eastAsia="Calibri" w:hAnsi="Calibri" w:cs="Calibri"/>
          <w:color w:val="222222"/>
          <w:highlight w:val="white"/>
        </w:rPr>
      </w:pPr>
    </w:p>
    <w:p w14:paraId="59F8444B" w14:textId="77777777" w:rsidR="00236F22" w:rsidRDefault="00236F22" w:rsidP="00236F22">
      <w:pPr>
        <w:spacing w:after="160" w:line="256" w:lineRule="auto"/>
        <w:rPr>
          <w:rFonts w:ascii="Calibri" w:eastAsia="Calibri" w:hAnsi="Calibri" w:cs="Calibri"/>
          <w:color w:val="222222"/>
          <w:highlight w:val="white"/>
        </w:rPr>
      </w:pPr>
      <w:r>
        <w:rPr>
          <w:rFonts w:ascii="Calibri" w:eastAsia="Calibri" w:hAnsi="Calibri" w:cs="Calibri"/>
          <w:color w:val="222222"/>
          <w:highlight w:val="white"/>
        </w:rPr>
        <w:t xml:space="preserve">Bryan, T. and Doyle, P., (2013). ‘Developing multi-agency public protection arrangements.’ In </w:t>
      </w:r>
      <w:r>
        <w:rPr>
          <w:rFonts w:ascii="Calibri" w:eastAsia="Calibri" w:hAnsi="Calibri" w:cs="Calibri"/>
          <w:i/>
          <w:color w:val="222222"/>
          <w:highlight w:val="white"/>
        </w:rPr>
        <w:t>Sex Offenders in the Community</w:t>
      </w:r>
      <w:r>
        <w:rPr>
          <w:rFonts w:ascii="Calibri" w:eastAsia="Calibri" w:hAnsi="Calibri" w:cs="Calibri"/>
          <w:color w:val="222222"/>
          <w:highlight w:val="white"/>
        </w:rPr>
        <w:t>(pp. 207-224). Willan.</w:t>
      </w:r>
    </w:p>
    <w:p w14:paraId="2460D820" w14:textId="77777777" w:rsidR="00236F22" w:rsidRDefault="00236F22" w:rsidP="00236F22">
      <w:pPr>
        <w:spacing w:after="160" w:line="256" w:lineRule="auto"/>
        <w:rPr>
          <w:rFonts w:ascii="Calibri" w:eastAsia="Calibri" w:hAnsi="Calibri" w:cs="Calibri"/>
          <w:color w:val="222222"/>
          <w:highlight w:val="white"/>
        </w:rPr>
      </w:pPr>
    </w:p>
    <w:p w14:paraId="3250062A" w14:textId="77777777" w:rsidR="00236F22" w:rsidRDefault="00236F22" w:rsidP="00236F22">
      <w:pPr>
        <w:spacing w:after="160" w:line="256" w:lineRule="auto"/>
        <w:rPr>
          <w:rFonts w:ascii="Calibri" w:eastAsia="Calibri" w:hAnsi="Calibri" w:cs="Calibri"/>
          <w:color w:val="222222"/>
          <w:sz w:val="24"/>
          <w:szCs w:val="24"/>
          <w:highlight w:val="white"/>
        </w:rPr>
      </w:pPr>
      <w:r>
        <w:rPr>
          <w:rFonts w:ascii="Calibri" w:eastAsia="Calibri" w:hAnsi="Calibri" w:cs="Calibri"/>
          <w:color w:val="222222"/>
          <w:highlight w:val="white"/>
        </w:rPr>
        <w:t xml:space="preserve">Button, M., (2019). </w:t>
      </w:r>
      <w:r>
        <w:rPr>
          <w:rFonts w:ascii="Calibri" w:eastAsia="Calibri" w:hAnsi="Calibri" w:cs="Calibri"/>
          <w:i/>
          <w:color w:val="222222"/>
          <w:highlight w:val="white"/>
        </w:rPr>
        <w:t>Private policing</w:t>
      </w:r>
      <w:r>
        <w:rPr>
          <w:rFonts w:ascii="Calibri" w:eastAsia="Calibri" w:hAnsi="Calibri" w:cs="Calibri"/>
          <w:color w:val="222222"/>
          <w:highlight w:val="white"/>
        </w:rPr>
        <w:t>. Routledge.</w:t>
      </w:r>
    </w:p>
    <w:p w14:paraId="4309381F" w14:textId="77777777" w:rsidR="00236F22" w:rsidRDefault="00236F22" w:rsidP="00236F22">
      <w:pPr>
        <w:spacing w:after="160" w:line="256" w:lineRule="auto"/>
        <w:rPr>
          <w:rFonts w:ascii="Calibri" w:eastAsia="Calibri" w:hAnsi="Calibri" w:cs="Calibri"/>
          <w:highlight w:val="white"/>
        </w:rPr>
      </w:pPr>
    </w:p>
    <w:p w14:paraId="53BAE64F" w14:textId="77777777" w:rsidR="00236F22" w:rsidRDefault="00236F22" w:rsidP="00236F22">
      <w:pPr>
        <w:spacing w:after="160" w:line="256" w:lineRule="auto"/>
        <w:rPr>
          <w:rFonts w:ascii="Calibri" w:eastAsia="Calibri" w:hAnsi="Calibri" w:cs="Calibri"/>
          <w:color w:val="222222"/>
          <w:highlight w:val="white"/>
        </w:rPr>
      </w:pPr>
      <w:r>
        <w:rPr>
          <w:rFonts w:ascii="Calibri" w:eastAsia="Calibri" w:hAnsi="Calibri" w:cs="Calibri"/>
          <w:color w:val="222222"/>
          <w:highlight w:val="white"/>
        </w:rPr>
        <w:t xml:space="preserve">Charman, S., (2018). ‘From crime fighting to public protection: the shaping of police officers’ sense of role.’ </w:t>
      </w:r>
      <w:r>
        <w:rPr>
          <w:rFonts w:ascii="Calibri" w:eastAsia="Calibri" w:hAnsi="Calibri" w:cs="Calibri"/>
          <w:i/>
          <w:color w:val="222222"/>
          <w:highlight w:val="white"/>
        </w:rPr>
        <w:t>Perspectives on policing: paper</w:t>
      </w:r>
      <w:r>
        <w:rPr>
          <w:rFonts w:ascii="Calibri" w:eastAsia="Calibri" w:hAnsi="Calibri" w:cs="Calibri"/>
          <w:color w:val="222222"/>
          <w:highlight w:val="white"/>
        </w:rPr>
        <w:t xml:space="preserve">, </w:t>
      </w:r>
      <w:r>
        <w:rPr>
          <w:rFonts w:ascii="Calibri" w:eastAsia="Calibri" w:hAnsi="Calibri" w:cs="Calibri"/>
          <w:i/>
          <w:color w:val="222222"/>
          <w:highlight w:val="white"/>
        </w:rPr>
        <w:t>3</w:t>
      </w:r>
      <w:r>
        <w:rPr>
          <w:rFonts w:ascii="Calibri" w:eastAsia="Calibri" w:hAnsi="Calibri" w:cs="Calibri"/>
          <w:color w:val="222222"/>
          <w:highlight w:val="white"/>
        </w:rPr>
        <w:t>.</w:t>
      </w:r>
    </w:p>
    <w:p w14:paraId="442257DD" w14:textId="77777777" w:rsidR="00236F22" w:rsidRDefault="00236F22" w:rsidP="00236F22">
      <w:pPr>
        <w:spacing w:after="160" w:line="256" w:lineRule="auto"/>
        <w:rPr>
          <w:rFonts w:ascii="Calibri" w:eastAsia="Calibri" w:hAnsi="Calibri" w:cs="Calibri"/>
          <w:color w:val="222222"/>
          <w:highlight w:val="white"/>
        </w:rPr>
      </w:pPr>
    </w:p>
    <w:p w14:paraId="74919A17" w14:textId="77777777" w:rsidR="00236F22" w:rsidRDefault="00236F22" w:rsidP="00236F22">
      <w:pPr>
        <w:spacing w:after="160" w:line="256" w:lineRule="auto"/>
        <w:rPr>
          <w:rFonts w:ascii="Calibri" w:eastAsia="Calibri" w:hAnsi="Calibri" w:cs="Calibri"/>
          <w:color w:val="222222"/>
          <w:sz w:val="24"/>
          <w:szCs w:val="24"/>
          <w:highlight w:val="white"/>
        </w:rPr>
      </w:pPr>
      <w:r>
        <w:rPr>
          <w:rFonts w:ascii="Calibri" w:eastAsia="Calibri" w:hAnsi="Calibri" w:cs="Calibri"/>
          <w:color w:val="222222"/>
          <w:highlight w:val="white"/>
        </w:rPr>
        <w:t xml:space="preserve">Choi, J., (2021). ‘Asymmetry in media effects on perceptions of police: An analysis using a within-subjects design experiment’. </w:t>
      </w:r>
      <w:r>
        <w:rPr>
          <w:rFonts w:ascii="Calibri" w:eastAsia="Calibri" w:hAnsi="Calibri" w:cs="Calibri"/>
          <w:i/>
          <w:color w:val="222222"/>
          <w:highlight w:val="white"/>
        </w:rPr>
        <w:t>Police Practice and Research</w:t>
      </w:r>
      <w:r>
        <w:rPr>
          <w:rFonts w:ascii="Calibri" w:eastAsia="Calibri" w:hAnsi="Calibri" w:cs="Calibri"/>
          <w:color w:val="222222"/>
          <w:highlight w:val="white"/>
        </w:rPr>
        <w:t xml:space="preserve">, </w:t>
      </w:r>
      <w:r>
        <w:rPr>
          <w:rFonts w:ascii="Calibri" w:eastAsia="Calibri" w:hAnsi="Calibri" w:cs="Calibri"/>
          <w:i/>
          <w:color w:val="222222"/>
          <w:highlight w:val="white"/>
        </w:rPr>
        <w:t>22</w:t>
      </w:r>
      <w:r>
        <w:rPr>
          <w:rFonts w:ascii="Calibri" w:eastAsia="Calibri" w:hAnsi="Calibri" w:cs="Calibri"/>
          <w:color w:val="222222"/>
          <w:highlight w:val="white"/>
        </w:rPr>
        <w:t>(1), pp.557-573.</w:t>
      </w:r>
    </w:p>
    <w:p w14:paraId="10D15846" w14:textId="77777777" w:rsidR="00236F22" w:rsidRDefault="00236F22" w:rsidP="00236F22">
      <w:pPr>
        <w:spacing w:after="160" w:line="256" w:lineRule="auto"/>
        <w:rPr>
          <w:color w:val="222222"/>
          <w:sz w:val="20"/>
          <w:szCs w:val="20"/>
          <w:highlight w:val="white"/>
        </w:rPr>
      </w:pPr>
    </w:p>
    <w:p w14:paraId="4A3428E8" w14:textId="77777777" w:rsidR="00236F22" w:rsidRDefault="00236F22" w:rsidP="00236F22">
      <w:pPr>
        <w:spacing w:after="160" w:line="256" w:lineRule="auto"/>
        <w:rPr>
          <w:rFonts w:ascii="Calibri" w:eastAsia="Calibri" w:hAnsi="Calibri" w:cs="Calibri"/>
          <w:color w:val="222222"/>
          <w:highlight w:val="white"/>
        </w:rPr>
      </w:pPr>
      <w:r>
        <w:rPr>
          <w:rFonts w:ascii="Calibri" w:eastAsia="Calibri" w:hAnsi="Calibri" w:cs="Calibri"/>
          <w:color w:val="3A3A3A"/>
          <w:highlight w:val="white"/>
        </w:rPr>
        <w:t xml:space="preserve">Crump. (2011).’ What Are the Police Doing on Twitter? Social Media, the Police and the Public.’ </w:t>
      </w:r>
      <w:r>
        <w:rPr>
          <w:rFonts w:ascii="Calibri" w:eastAsia="Calibri" w:hAnsi="Calibri" w:cs="Calibri"/>
          <w:i/>
          <w:color w:val="3A3A3A"/>
          <w:highlight w:val="white"/>
        </w:rPr>
        <w:t>Policy and Internet</w:t>
      </w:r>
      <w:r>
        <w:rPr>
          <w:rFonts w:ascii="Calibri" w:eastAsia="Calibri" w:hAnsi="Calibri" w:cs="Calibri"/>
          <w:color w:val="3A3A3A"/>
          <w:highlight w:val="white"/>
        </w:rPr>
        <w:t xml:space="preserve">, </w:t>
      </w:r>
      <w:r>
        <w:rPr>
          <w:rFonts w:ascii="Calibri" w:eastAsia="Calibri" w:hAnsi="Calibri" w:cs="Calibri"/>
          <w:i/>
          <w:color w:val="3A3A3A"/>
          <w:highlight w:val="white"/>
        </w:rPr>
        <w:t>3</w:t>
      </w:r>
      <w:r>
        <w:rPr>
          <w:rFonts w:ascii="Calibri" w:eastAsia="Calibri" w:hAnsi="Calibri" w:cs="Calibri"/>
          <w:color w:val="3A3A3A"/>
          <w:highlight w:val="white"/>
        </w:rPr>
        <w:t>(4), 1–27. https://doi.org/10.2202/1944-2866.1130</w:t>
      </w:r>
    </w:p>
    <w:p w14:paraId="4E121DF4" w14:textId="77777777" w:rsidR="00236F22" w:rsidRDefault="00236F22" w:rsidP="00236F22">
      <w:pPr>
        <w:spacing w:after="160" w:line="256" w:lineRule="auto"/>
        <w:rPr>
          <w:rFonts w:ascii="Calibri" w:eastAsia="Calibri" w:hAnsi="Calibri" w:cs="Calibri"/>
          <w:color w:val="222222"/>
          <w:highlight w:val="white"/>
        </w:rPr>
      </w:pPr>
    </w:p>
    <w:p w14:paraId="2813F308" w14:textId="77777777" w:rsidR="00236F22" w:rsidRDefault="00236F22" w:rsidP="00236F22">
      <w:pPr>
        <w:spacing w:after="160" w:line="256" w:lineRule="auto"/>
        <w:rPr>
          <w:rFonts w:ascii="Calibri" w:eastAsia="Calibri" w:hAnsi="Calibri" w:cs="Calibri"/>
        </w:rPr>
      </w:pPr>
      <w:bookmarkStart w:id="0" w:name="_gjdgxs"/>
      <w:bookmarkEnd w:id="0"/>
      <w:r>
        <w:rPr>
          <w:rFonts w:ascii="Calibri" w:eastAsia="Calibri" w:hAnsi="Calibri" w:cs="Calibri"/>
        </w:rPr>
        <w:t>Capewell, C., Ralph, S. and Bonnett, L. (2015) ‘</w:t>
      </w:r>
      <w:r>
        <w:rPr>
          <w:rFonts w:ascii="Calibri" w:eastAsia="Calibri" w:hAnsi="Calibri" w:cs="Calibri"/>
          <w:i/>
        </w:rPr>
        <w:t>The continuing violence towards disabled people</w:t>
      </w:r>
      <w:r>
        <w:rPr>
          <w:rFonts w:ascii="Calibri" w:eastAsia="Calibri" w:hAnsi="Calibri" w:cs="Calibri"/>
        </w:rPr>
        <w:t>’ Journal of research in special educational needs, 15(3), pp. 211–221.</w:t>
      </w:r>
    </w:p>
    <w:p w14:paraId="205F4822" w14:textId="77777777" w:rsidR="00236F22" w:rsidRDefault="00236F22" w:rsidP="00236F22">
      <w:pPr>
        <w:spacing w:after="160" w:line="256" w:lineRule="auto"/>
        <w:rPr>
          <w:rFonts w:ascii="Calibri" w:eastAsia="Calibri" w:hAnsi="Calibri" w:cs="Calibri"/>
        </w:rPr>
      </w:pPr>
      <w:bookmarkStart w:id="1" w:name="_xvu93lhzm07x"/>
      <w:bookmarkEnd w:id="1"/>
    </w:p>
    <w:p w14:paraId="025F0C1C" w14:textId="77777777" w:rsidR="00236F22" w:rsidRDefault="00236F22" w:rsidP="00236F22">
      <w:pPr>
        <w:spacing w:after="160" w:line="256" w:lineRule="auto"/>
        <w:rPr>
          <w:rFonts w:ascii="Calibri" w:eastAsia="Calibri" w:hAnsi="Calibri" w:cs="Calibri"/>
        </w:rPr>
      </w:pPr>
      <w:r>
        <w:rPr>
          <w:rFonts w:ascii="Calibri" w:eastAsia="Calibri" w:hAnsi="Calibri" w:cs="Calibri"/>
        </w:rPr>
        <w:t>Corteen, K. (2016)</w:t>
      </w:r>
      <w:r>
        <w:rPr>
          <w:rFonts w:ascii="Calibri" w:eastAsia="Calibri" w:hAnsi="Calibri" w:cs="Calibri"/>
          <w:i/>
        </w:rPr>
        <w:t xml:space="preserve"> A companion to crime, harm and victimisation</w:t>
      </w:r>
      <w:r>
        <w:rPr>
          <w:rFonts w:ascii="Calibri" w:eastAsia="Calibri" w:hAnsi="Calibri" w:cs="Calibri"/>
        </w:rPr>
        <w:t xml:space="preserve">. Edited by K. Corteen. Bristol: Policy Press. </w:t>
      </w:r>
    </w:p>
    <w:p w14:paraId="136033CA" w14:textId="77777777" w:rsidR="00236F22" w:rsidRDefault="00236F22" w:rsidP="00236F22">
      <w:pPr>
        <w:spacing w:after="160" w:line="256" w:lineRule="auto"/>
        <w:rPr>
          <w:rFonts w:ascii="Calibri" w:eastAsia="Calibri" w:hAnsi="Calibri" w:cs="Calibri"/>
        </w:rPr>
      </w:pPr>
      <w:bookmarkStart w:id="2" w:name="_xga0kt721amb"/>
      <w:bookmarkEnd w:id="2"/>
    </w:p>
    <w:p w14:paraId="6CAF86E7" w14:textId="77777777" w:rsidR="00236F22" w:rsidRDefault="00236F22" w:rsidP="00236F22">
      <w:pPr>
        <w:rPr>
          <w:rFonts w:ascii="Calibri" w:eastAsia="Calibri" w:hAnsi="Calibri" w:cs="Calibri"/>
          <w:color w:val="222222"/>
          <w:highlight w:val="white"/>
        </w:rPr>
      </w:pPr>
      <w:r>
        <w:rPr>
          <w:rFonts w:ascii="Calibri" w:eastAsia="Calibri" w:hAnsi="Calibri" w:cs="Calibri"/>
          <w:color w:val="222222"/>
          <w:highlight w:val="white"/>
        </w:rPr>
        <w:t>CRABBE T (2009) Out of the gang and back in the game New Start 469: 12-13</w:t>
      </w:r>
    </w:p>
    <w:p w14:paraId="24D73771" w14:textId="77777777" w:rsidR="00236F22" w:rsidRDefault="00236F22" w:rsidP="00236F22">
      <w:pPr>
        <w:rPr>
          <w:rFonts w:ascii="Calibri" w:eastAsia="Calibri" w:hAnsi="Calibri" w:cs="Calibri"/>
          <w:color w:val="222222"/>
          <w:highlight w:val="white"/>
        </w:rPr>
      </w:pPr>
    </w:p>
    <w:p w14:paraId="6F76B6B3" w14:textId="77777777" w:rsidR="00236F22" w:rsidRDefault="00236F22" w:rsidP="00236F22">
      <w:pPr>
        <w:spacing w:after="160" w:line="256" w:lineRule="auto"/>
        <w:rPr>
          <w:rFonts w:ascii="Calibri" w:eastAsia="Calibri" w:hAnsi="Calibri" w:cs="Calibri"/>
          <w:highlight w:val="white"/>
        </w:rPr>
      </w:pPr>
      <w:r>
        <w:rPr>
          <w:rFonts w:ascii="Calibri" w:eastAsia="Calibri" w:hAnsi="Calibri" w:cs="Calibri"/>
          <w:highlight w:val="white"/>
        </w:rPr>
        <w:t>Creese, B and Lader, D. (2014). </w:t>
      </w:r>
      <w:r>
        <w:rPr>
          <w:rFonts w:ascii="Calibri" w:eastAsia="Calibri" w:hAnsi="Calibri" w:cs="Calibri"/>
          <w:i/>
        </w:rPr>
        <w:t>Hate Crimes, England and Wales, 2013/14</w:t>
      </w:r>
      <w:r>
        <w:rPr>
          <w:rFonts w:ascii="Calibri" w:eastAsia="Calibri" w:hAnsi="Calibri" w:cs="Calibri"/>
          <w:highlight w:val="white"/>
        </w:rPr>
        <w:t xml:space="preserve">. [Online]. assets publishing service. Last Updated: 16 OCTOBER 2014. </w:t>
      </w:r>
    </w:p>
    <w:p w14:paraId="384BEA43" w14:textId="77777777" w:rsidR="00236F22" w:rsidRDefault="00236F22" w:rsidP="00236F22">
      <w:pPr>
        <w:spacing w:after="160" w:line="256" w:lineRule="auto"/>
        <w:rPr>
          <w:rFonts w:ascii="Calibri" w:eastAsia="Calibri" w:hAnsi="Calibri" w:cs="Calibri"/>
          <w:highlight w:val="white"/>
        </w:rPr>
      </w:pPr>
    </w:p>
    <w:p w14:paraId="5366E248" w14:textId="77777777" w:rsidR="00236F22" w:rsidRDefault="00236F22" w:rsidP="00236F22">
      <w:pPr>
        <w:spacing w:before="240" w:after="240"/>
        <w:rPr>
          <w:rFonts w:ascii="Calibri" w:eastAsia="Calibri" w:hAnsi="Calibri" w:cs="Calibri"/>
        </w:rPr>
      </w:pPr>
      <w:r>
        <w:rPr>
          <w:rFonts w:ascii="Calibri" w:eastAsia="Calibri" w:hAnsi="Calibri" w:cs="Calibri"/>
        </w:rPr>
        <w:t xml:space="preserve">Critcher, C. (2008) ‘’Moral panic analysis: Past, present and future’. </w:t>
      </w:r>
      <w:r>
        <w:rPr>
          <w:rFonts w:ascii="Calibri" w:eastAsia="Calibri" w:hAnsi="Calibri" w:cs="Calibri"/>
          <w:i/>
        </w:rPr>
        <w:t>Sociology Compass</w:t>
      </w:r>
      <w:r>
        <w:rPr>
          <w:rFonts w:ascii="Calibri" w:eastAsia="Calibri" w:hAnsi="Calibri" w:cs="Calibri"/>
        </w:rPr>
        <w:t xml:space="preserve">, 2(4), pp. 1127–1144. </w:t>
      </w:r>
    </w:p>
    <w:p w14:paraId="2D03CB1C" w14:textId="77777777" w:rsidR="00236F22" w:rsidRDefault="00236F22" w:rsidP="00236F22">
      <w:pPr>
        <w:rPr>
          <w:rFonts w:ascii="Calibri" w:eastAsia="Calibri" w:hAnsi="Calibri" w:cs="Calibri"/>
          <w:color w:val="222222"/>
          <w:highlight w:val="white"/>
        </w:rPr>
      </w:pPr>
      <w:r>
        <w:rPr>
          <w:rFonts w:ascii="Calibri" w:eastAsia="Calibri" w:hAnsi="Calibri" w:cs="Calibri"/>
          <w:color w:val="222222"/>
          <w:highlight w:val="white"/>
        </w:rPr>
        <w:t xml:space="preserve">Crow, I. ed., 2001. </w:t>
      </w:r>
      <w:r>
        <w:rPr>
          <w:rFonts w:ascii="Calibri" w:eastAsia="Calibri" w:hAnsi="Calibri" w:cs="Calibri"/>
          <w:i/>
          <w:color w:val="222222"/>
          <w:highlight w:val="white"/>
        </w:rPr>
        <w:t>The treatment and rehabilitation of offenders</w:t>
      </w:r>
      <w:r>
        <w:rPr>
          <w:rFonts w:ascii="Calibri" w:eastAsia="Calibri" w:hAnsi="Calibri" w:cs="Calibri"/>
          <w:color w:val="222222"/>
          <w:highlight w:val="white"/>
        </w:rPr>
        <w:t>. Sage.</w:t>
      </w:r>
    </w:p>
    <w:p w14:paraId="0593BAAE" w14:textId="77777777" w:rsidR="00236F22" w:rsidRDefault="00236F22" w:rsidP="00236F22">
      <w:pPr>
        <w:rPr>
          <w:rFonts w:ascii="Calibri" w:eastAsia="Calibri" w:hAnsi="Calibri" w:cs="Calibri"/>
          <w:color w:val="222222"/>
          <w:highlight w:val="white"/>
        </w:rPr>
      </w:pPr>
    </w:p>
    <w:p w14:paraId="0F6D5FF5" w14:textId="77777777" w:rsidR="00236F22" w:rsidRDefault="00236F22" w:rsidP="00236F22">
      <w:pPr>
        <w:spacing w:after="160" w:line="256" w:lineRule="auto"/>
        <w:rPr>
          <w:rFonts w:ascii="Calibri" w:eastAsia="Calibri" w:hAnsi="Calibri" w:cs="Calibri"/>
          <w:color w:val="222222"/>
          <w:highlight w:val="white"/>
        </w:rPr>
      </w:pPr>
      <w:r>
        <w:rPr>
          <w:rFonts w:ascii="Calibri" w:eastAsia="Calibri" w:hAnsi="Calibri" w:cs="Calibri"/>
          <w:color w:val="222222"/>
          <w:highlight w:val="white"/>
        </w:rPr>
        <w:t xml:space="preserve">Dekker, R., van den Brink, P. and Meijer, A., (2020). ‘Social media adoption in the police: Barriers and strategies’. </w:t>
      </w:r>
      <w:r>
        <w:rPr>
          <w:rFonts w:ascii="Calibri" w:eastAsia="Calibri" w:hAnsi="Calibri" w:cs="Calibri"/>
          <w:i/>
          <w:color w:val="222222"/>
          <w:highlight w:val="white"/>
        </w:rPr>
        <w:t>Government Information Quarterly</w:t>
      </w:r>
      <w:r>
        <w:rPr>
          <w:rFonts w:ascii="Calibri" w:eastAsia="Calibri" w:hAnsi="Calibri" w:cs="Calibri"/>
          <w:color w:val="222222"/>
          <w:highlight w:val="white"/>
        </w:rPr>
        <w:t xml:space="preserve">, </w:t>
      </w:r>
      <w:r>
        <w:rPr>
          <w:rFonts w:ascii="Calibri" w:eastAsia="Calibri" w:hAnsi="Calibri" w:cs="Calibri"/>
          <w:i/>
          <w:color w:val="222222"/>
          <w:highlight w:val="white"/>
        </w:rPr>
        <w:t>37</w:t>
      </w:r>
      <w:r>
        <w:rPr>
          <w:rFonts w:ascii="Calibri" w:eastAsia="Calibri" w:hAnsi="Calibri" w:cs="Calibri"/>
          <w:color w:val="222222"/>
          <w:highlight w:val="white"/>
        </w:rPr>
        <w:t xml:space="preserve">(2), p.101441. </w:t>
      </w:r>
    </w:p>
    <w:p w14:paraId="7206FD10" w14:textId="77777777" w:rsidR="00236F22" w:rsidRDefault="00236F22" w:rsidP="00236F22">
      <w:pPr>
        <w:spacing w:after="160" w:line="256" w:lineRule="auto"/>
        <w:rPr>
          <w:rFonts w:ascii="Calibri" w:eastAsia="Calibri" w:hAnsi="Calibri" w:cs="Calibri"/>
          <w:color w:val="222222"/>
          <w:highlight w:val="white"/>
        </w:rPr>
      </w:pPr>
    </w:p>
    <w:p w14:paraId="11273E75" w14:textId="77777777" w:rsidR="00236F22" w:rsidRDefault="00236F22" w:rsidP="00236F22">
      <w:pPr>
        <w:spacing w:after="160" w:line="256" w:lineRule="auto"/>
        <w:rPr>
          <w:rFonts w:ascii="Calibri" w:eastAsia="Calibri" w:hAnsi="Calibri" w:cs="Calibri"/>
        </w:rPr>
      </w:pPr>
      <w:r>
        <w:rPr>
          <w:rFonts w:ascii="Calibri" w:eastAsia="Calibri" w:hAnsi="Calibri" w:cs="Calibri"/>
        </w:rPr>
        <w:t>Donoghue, J. (2013). ‘</w:t>
      </w:r>
      <w:r>
        <w:rPr>
          <w:rFonts w:ascii="Calibri" w:eastAsia="Calibri" w:hAnsi="Calibri" w:cs="Calibri"/>
          <w:i/>
        </w:rPr>
        <w:t>Reflections on Risk, Anti-Social Behaviour and Vulnerable/Repeat Victims’</w:t>
      </w:r>
      <w:r>
        <w:rPr>
          <w:rFonts w:ascii="Calibri" w:eastAsia="Calibri" w:hAnsi="Calibri" w:cs="Calibri"/>
        </w:rPr>
        <w:t>, British journal of criminology., 53(5), pp. 805–823.</w:t>
      </w:r>
    </w:p>
    <w:p w14:paraId="2993DADC" w14:textId="77777777" w:rsidR="00236F22" w:rsidRDefault="00236F22" w:rsidP="00236F22">
      <w:pPr>
        <w:spacing w:after="160" w:line="256" w:lineRule="auto"/>
        <w:rPr>
          <w:rFonts w:ascii="Calibri" w:eastAsia="Calibri" w:hAnsi="Calibri" w:cs="Calibri"/>
        </w:rPr>
      </w:pPr>
    </w:p>
    <w:p w14:paraId="283FE0EC" w14:textId="77777777" w:rsidR="00236F22" w:rsidRDefault="00236F22" w:rsidP="00236F22">
      <w:pPr>
        <w:rPr>
          <w:rFonts w:ascii="Calibri" w:eastAsia="Calibri" w:hAnsi="Calibri" w:cs="Calibri"/>
        </w:rPr>
      </w:pPr>
      <w:r>
        <w:rPr>
          <w:rFonts w:ascii="Calibri" w:eastAsia="Calibri" w:hAnsi="Calibri" w:cs="Calibri"/>
          <w:color w:val="3A3A3A"/>
          <w:highlight w:val="white"/>
        </w:rPr>
        <w:t xml:space="preserve">ELLIOTT. (1994). SERIOUS VIOLENT OFFENDERS: ONSET, DEVELOPMENTAL COURSE, AND TERMINATION-THE AMERICAN SOCIETY OF CRIMINOLOGY 1993 </w:t>
      </w:r>
    </w:p>
    <w:p w14:paraId="35A47DA6" w14:textId="77777777" w:rsidR="00236F22" w:rsidRDefault="00236F22" w:rsidP="00236F22">
      <w:pPr>
        <w:spacing w:after="160" w:line="256" w:lineRule="auto"/>
        <w:rPr>
          <w:rFonts w:ascii="Calibri" w:eastAsia="Calibri" w:hAnsi="Calibri" w:cs="Calibri"/>
        </w:rPr>
      </w:pPr>
    </w:p>
    <w:p w14:paraId="027520D3" w14:textId="77777777" w:rsidR="00236F22" w:rsidRDefault="00236F22" w:rsidP="00236F22">
      <w:pPr>
        <w:rPr>
          <w:rFonts w:ascii="Calibri" w:eastAsia="Calibri" w:hAnsi="Calibri" w:cs="Calibri"/>
          <w:color w:val="222222"/>
          <w:highlight w:val="white"/>
        </w:rPr>
      </w:pPr>
      <w:r>
        <w:rPr>
          <w:rFonts w:ascii="Calibri" w:eastAsia="Calibri" w:hAnsi="Calibri" w:cs="Calibri"/>
          <w:color w:val="222222"/>
          <w:highlight w:val="white"/>
        </w:rPr>
        <w:t xml:space="preserve">Farrington, D.P., (1989). Early predictors of adolescent aggression and adult violence. </w:t>
      </w:r>
      <w:r>
        <w:rPr>
          <w:rFonts w:ascii="Calibri" w:eastAsia="Calibri" w:hAnsi="Calibri" w:cs="Calibri"/>
          <w:i/>
          <w:color w:val="222222"/>
          <w:highlight w:val="white"/>
        </w:rPr>
        <w:t>Violence and victims</w:t>
      </w:r>
      <w:r>
        <w:rPr>
          <w:rFonts w:ascii="Calibri" w:eastAsia="Calibri" w:hAnsi="Calibri" w:cs="Calibri"/>
          <w:color w:val="222222"/>
          <w:highlight w:val="white"/>
        </w:rPr>
        <w:t xml:space="preserve">, </w:t>
      </w:r>
      <w:r>
        <w:rPr>
          <w:rFonts w:ascii="Calibri" w:eastAsia="Calibri" w:hAnsi="Calibri" w:cs="Calibri"/>
          <w:i/>
          <w:color w:val="222222"/>
          <w:highlight w:val="white"/>
        </w:rPr>
        <w:t>4</w:t>
      </w:r>
      <w:r>
        <w:rPr>
          <w:rFonts w:ascii="Calibri" w:eastAsia="Calibri" w:hAnsi="Calibri" w:cs="Calibri"/>
          <w:color w:val="222222"/>
          <w:highlight w:val="white"/>
        </w:rPr>
        <w:t>(2), pp.79-100.</w:t>
      </w:r>
    </w:p>
    <w:p w14:paraId="6278F81F" w14:textId="77777777" w:rsidR="00236F22" w:rsidRDefault="00236F22" w:rsidP="00236F22">
      <w:pPr>
        <w:rPr>
          <w:rFonts w:ascii="Calibri" w:eastAsia="Calibri" w:hAnsi="Calibri" w:cs="Calibri"/>
          <w:color w:val="222222"/>
          <w:highlight w:val="white"/>
        </w:rPr>
      </w:pPr>
    </w:p>
    <w:p w14:paraId="55D3A351" w14:textId="77777777" w:rsidR="00236F22" w:rsidRDefault="00236F22" w:rsidP="00236F22">
      <w:pPr>
        <w:spacing w:after="160" w:line="256" w:lineRule="auto"/>
        <w:rPr>
          <w:rFonts w:ascii="Calibri" w:eastAsia="Calibri" w:hAnsi="Calibri" w:cs="Calibri"/>
          <w:color w:val="222222"/>
          <w:highlight w:val="white"/>
        </w:rPr>
      </w:pPr>
      <w:r>
        <w:rPr>
          <w:rFonts w:ascii="Calibri" w:eastAsia="Calibri" w:hAnsi="Calibri" w:cs="Calibri"/>
          <w:color w:val="222222"/>
          <w:highlight w:val="white"/>
        </w:rPr>
        <w:t xml:space="preserve">Fitz-Gibbon, K. and Walklate, S., (2017). ‘The efficacy of Clare’s Law in domestic violence law reform in England and Wales.’ </w:t>
      </w:r>
      <w:r>
        <w:rPr>
          <w:rFonts w:ascii="Calibri" w:eastAsia="Calibri" w:hAnsi="Calibri" w:cs="Calibri"/>
          <w:i/>
          <w:color w:val="222222"/>
        </w:rPr>
        <w:t>Criminology &amp; criminal justice</w:t>
      </w:r>
      <w:r>
        <w:rPr>
          <w:rFonts w:ascii="Calibri" w:eastAsia="Calibri" w:hAnsi="Calibri" w:cs="Calibri"/>
          <w:color w:val="222222"/>
          <w:highlight w:val="white"/>
        </w:rPr>
        <w:t xml:space="preserve">, </w:t>
      </w:r>
      <w:r>
        <w:rPr>
          <w:rFonts w:ascii="Calibri" w:eastAsia="Calibri" w:hAnsi="Calibri" w:cs="Calibri"/>
          <w:i/>
          <w:color w:val="222222"/>
        </w:rPr>
        <w:t>17</w:t>
      </w:r>
      <w:r>
        <w:rPr>
          <w:rFonts w:ascii="Calibri" w:eastAsia="Calibri" w:hAnsi="Calibri" w:cs="Calibri"/>
          <w:color w:val="222222"/>
          <w:highlight w:val="white"/>
        </w:rPr>
        <w:t>(3), pp.284-300.</w:t>
      </w:r>
    </w:p>
    <w:p w14:paraId="332D340B" w14:textId="77777777" w:rsidR="00236F22" w:rsidRDefault="00236F22" w:rsidP="00236F22">
      <w:pPr>
        <w:rPr>
          <w:rFonts w:ascii="Calibri" w:eastAsia="Calibri" w:hAnsi="Calibri" w:cs="Calibri"/>
          <w:color w:val="222222"/>
          <w:highlight w:val="white"/>
        </w:rPr>
      </w:pPr>
    </w:p>
    <w:p w14:paraId="683246C3" w14:textId="77777777" w:rsidR="00236F22" w:rsidRDefault="00236F22" w:rsidP="00236F22">
      <w:pPr>
        <w:rPr>
          <w:rFonts w:ascii="Calibri" w:eastAsia="Calibri" w:hAnsi="Calibri" w:cs="Calibri"/>
          <w:color w:val="222222"/>
          <w:highlight w:val="white"/>
        </w:rPr>
      </w:pPr>
      <w:r>
        <w:rPr>
          <w:rFonts w:ascii="Calibri" w:eastAsia="Calibri" w:hAnsi="Calibri" w:cs="Calibri"/>
          <w:color w:val="222222"/>
          <w:highlight w:val="white"/>
        </w:rPr>
        <w:t>Foster, R., (2014). Knife Crime interventions:'What Works'?.</w:t>
      </w:r>
    </w:p>
    <w:p w14:paraId="6BD18C97" w14:textId="77777777" w:rsidR="00236F22" w:rsidRDefault="00236F22" w:rsidP="00236F22">
      <w:pPr>
        <w:spacing w:after="160" w:line="256" w:lineRule="auto"/>
        <w:rPr>
          <w:rFonts w:ascii="Calibri" w:eastAsia="Calibri" w:hAnsi="Calibri" w:cs="Calibri"/>
          <w:color w:val="222222"/>
          <w:highlight w:val="white"/>
        </w:rPr>
      </w:pPr>
    </w:p>
    <w:p w14:paraId="610B7051" w14:textId="77777777" w:rsidR="00236F22" w:rsidRDefault="00236F22" w:rsidP="00236F22">
      <w:pPr>
        <w:spacing w:before="240"/>
        <w:rPr>
          <w:rFonts w:ascii="Calibri" w:eastAsia="Calibri" w:hAnsi="Calibri" w:cs="Calibri"/>
        </w:rPr>
      </w:pPr>
      <w:r>
        <w:rPr>
          <w:rFonts w:ascii="Calibri" w:eastAsia="Calibri" w:hAnsi="Calibri" w:cs="Calibri"/>
          <w:color w:val="222222"/>
          <w:highlight w:val="white"/>
        </w:rPr>
        <w:t xml:space="preserve">Gene Zucker, H., (1978). ‘The variable nature of news media influence’. </w:t>
      </w:r>
      <w:r>
        <w:rPr>
          <w:rFonts w:ascii="Calibri" w:eastAsia="Calibri" w:hAnsi="Calibri" w:cs="Calibri"/>
          <w:i/>
        </w:rPr>
        <w:t>Annals of the International Communication Association</w:t>
      </w:r>
      <w:r>
        <w:rPr>
          <w:rFonts w:ascii="Calibri" w:eastAsia="Calibri" w:hAnsi="Calibri" w:cs="Calibri"/>
        </w:rPr>
        <w:t xml:space="preserve">, </w:t>
      </w:r>
      <w:r>
        <w:rPr>
          <w:rFonts w:ascii="Calibri" w:eastAsia="Calibri" w:hAnsi="Calibri" w:cs="Calibri"/>
          <w:i/>
        </w:rPr>
        <w:t>2</w:t>
      </w:r>
      <w:r>
        <w:rPr>
          <w:rFonts w:ascii="Calibri" w:eastAsia="Calibri" w:hAnsi="Calibri" w:cs="Calibri"/>
        </w:rPr>
        <w:t>(1), pp.225-240.</w:t>
      </w:r>
    </w:p>
    <w:p w14:paraId="0EE0D02F" w14:textId="77777777" w:rsidR="00236F22" w:rsidRDefault="00236F22" w:rsidP="00236F22">
      <w:pPr>
        <w:shd w:val="clear" w:color="auto" w:fill="FFFFFF"/>
        <w:spacing w:before="240" w:after="240"/>
        <w:rPr>
          <w:rFonts w:ascii="Calibri" w:eastAsia="Calibri" w:hAnsi="Calibri" w:cs="Calibri"/>
        </w:rPr>
      </w:pPr>
      <w:r>
        <w:rPr>
          <w:rFonts w:ascii="Calibri" w:eastAsia="Calibri" w:hAnsi="Calibri" w:cs="Calibri"/>
        </w:rPr>
        <w:t xml:space="preserve">Gill, A.K. and Harrison, K. (2015) ‘Child grooming and sexual exploitation : are South Asian men the UK media’s new folk devils?’, </w:t>
      </w:r>
      <w:r>
        <w:rPr>
          <w:rFonts w:ascii="Calibri" w:eastAsia="Calibri" w:hAnsi="Calibri" w:cs="Calibri"/>
          <w:i/>
        </w:rPr>
        <w:t>International journal for crime, justice and social democracy</w:t>
      </w:r>
      <w:r>
        <w:rPr>
          <w:rFonts w:ascii="Calibri" w:eastAsia="Calibri" w:hAnsi="Calibri" w:cs="Calibri"/>
        </w:rPr>
        <w:t xml:space="preserve">, 4(2), pp. 34–49. Available at: </w:t>
      </w:r>
      <w:hyperlink r:id="rId6" w:history="1">
        <w:r>
          <w:rPr>
            <w:rStyle w:val="Hyperlink"/>
            <w:rFonts w:ascii="Calibri" w:eastAsia="Calibri" w:hAnsi="Calibri" w:cs="Calibri"/>
            <w:color w:val="1155CC"/>
          </w:rPr>
          <w:t>https://doi.org/10.5204/ijcjsd.v4i2.214</w:t>
        </w:r>
      </w:hyperlink>
      <w:r>
        <w:rPr>
          <w:rFonts w:ascii="Calibri" w:eastAsia="Calibri" w:hAnsi="Calibri" w:cs="Calibri"/>
        </w:rPr>
        <w:t>.</w:t>
      </w:r>
    </w:p>
    <w:p w14:paraId="619F5F1B" w14:textId="77777777" w:rsidR="00236F22" w:rsidRDefault="00236F22" w:rsidP="00236F22">
      <w:pPr>
        <w:rPr>
          <w:rFonts w:ascii="Calibri" w:eastAsia="Calibri" w:hAnsi="Calibri" w:cs="Calibri"/>
          <w:color w:val="3A3A3A"/>
          <w:highlight w:val="white"/>
        </w:rPr>
      </w:pPr>
      <w:r>
        <w:rPr>
          <w:rFonts w:ascii="Calibri" w:eastAsia="Calibri" w:hAnsi="Calibri" w:cs="Calibri"/>
          <w:color w:val="3A3A3A"/>
          <w:highlight w:val="white"/>
        </w:rPr>
        <w:t xml:space="preserve">Gough, &amp; Pycroft, A. (2019). </w:t>
      </w:r>
      <w:r>
        <w:rPr>
          <w:rFonts w:ascii="Calibri" w:eastAsia="Calibri" w:hAnsi="Calibri" w:cs="Calibri"/>
          <w:i/>
          <w:color w:val="3A3A3A"/>
          <w:highlight w:val="white"/>
        </w:rPr>
        <w:t>Multi-Agency Working in Criminal Justice 2e Theory, Policy and Practice</w:t>
      </w:r>
      <w:r>
        <w:rPr>
          <w:rFonts w:ascii="Calibri" w:eastAsia="Calibri" w:hAnsi="Calibri" w:cs="Calibri"/>
          <w:color w:val="3A3A3A"/>
          <w:highlight w:val="white"/>
        </w:rPr>
        <w:t xml:space="preserve"> (Gough &amp; A. Pycroft, Eds.; Second edition.). Policy Press.</w:t>
      </w:r>
    </w:p>
    <w:p w14:paraId="3A108C50" w14:textId="77777777" w:rsidR="00236F22" w:rsidRDefault="00236F22" w:rsidP="00236F22">
      <w:pPr>
        <w:rPr>
          <w:rFonts w:ascii="Calibri" w:eastAsia="Calibri" w:hAnsi="Calibri" w:cs="Calibri"/>
          <w:color w:val="3A3A3A"/>
          <w:highlight w:val="white"/>
        </w:rPr>
      </w:pPr>
    </w:p>
    <w:p w14:paraId="27E3BC6B" w14:textId="77777777" w:rsidR="00236F22" w:rsidRDefault="00236F22" w:rsidP="00236F22">
      <w:pPr>
        <w:rPr>
          <w:rFonts w:ascii="Calibri" w:eastAsia="Calibri" w:hAnsi="Calibri" w:cs="Calibri"/>
        </w:rPr>
      </w:pPr>
      <w:r>
        <w:rPr>
          <w:rFonts w:ascii="Calibri" w:eastAsia="Calibri" w:hAnsi="Calibri" w:cs="Calibri"/>
          <w:color w:val="222222"/>
          <w:highlight w:val="white"/>
        </w:rPr>
        <w:t>Hawkins, J.D., Herrenkohl, T.I., Farrington, D.P., Brewer, D., Catalano, R.F., Harachi, T.W. and Cothern, L., (2000). Predictors of Youth Violence. Juvenile Justice Bulletin.</w:t>
      </w:r>
      <w:r>
        <w:rPr>
          <w:rFonts w:ascii="Calibri" w:eastAsia="Calibri" w:hAnsi="Calibri" w:cs="Calibri"/>
          <w:color w:val="3A3A3A"/>
          <w:highlight w:val="white"/>
        </w:rPr>
        <w:t xml:space="preserve">PRESIDENTIAL ADDRESS. </w:t>
      </w:r>
      <w:r>
        <w:rPr>
          <w:rFonts w:ascii="Calibri" w:eastAsia="Calibri" w:hAnsi="Calibri" w:cs="Calibri"/>
          <w:i/>
          <w:color w:val="3A3A3A"/>
          <w:highlight w:val="white"/>
        </w:rPr>
        <w:t>Criminology (Beverly Hills)</w:t>
      </w:r>
      <w:r>
        <w:rPr>
          <w:rFonts w:ascii="Calibri" w:eastAsia="Calibri" w:hAnsi="Calibri" w:cs="Calibri"/>
          <w:color w:val="3A3A3A"/>
          <w:highlight w:val="white"/>
        </w:rPr>
        <w:t xml:space="preserve">, </w:t>
      </w:r>
      <w:r>
        <w:rPr>
          <w:rFonts w:ascii="Calibri" w:eastAsia="Calibri" w:hAnsi="Calibri" w:cs="Calibri"/>
          <w:i/>
          <w:color w:val="3A3A3A"/>
          <w:highlight w:val="white"/>
        </w:rPr>
        <w:t>32</w:t>
      </w:r>
      <w:r>
        <w:rPr>
          <w:rFonts w:ascii="Calibri" w:eastAsia="Calibri" w:hAnsi="Calibri" w:cs="Calibri"/>
          <w:color w:val="3A3A3A"/>
          <w:highlight w:val="white"/>
        </w:rPr>
        <w:t xml:space="preserve">(1), 1–21. </w:t>
      </w:r>
      <w:hyperlink r:id="rId7" w:history="1">
        <w:r>
          <w:rPr>
            <w:rStyle w:val="Hyperlink"/>
            <w:rFonts w:ascii="Calibri" w:eastAsia="Calibri" w:hAnsi="Calibri" w:cs="Calibri"/>
            <w:color w:val="1155CC"/>
            <w:highlight w:val="white"/>
          </w:rPr>
          <w:t>https://doi.org/10.1111/j.1745-9125.1994.tb01144.x</w:t>
        </w:r>
      </w:hyperlink>
    </w:p>
    <w:p w14:paraId="66C0292A" w14:textId="77777777" w:rsidR="00236F22" w:rsidRDefault="00236F22" w:rsidP="00236F22">
      <w:pPr>
        <w:rPr>
          <w:rFonts w:ascii="Calibri" w:eastAsia="Calibri" w:hAnsi="Calibri" w:cs="Calibri"/>
        </w:rPr>
      </w:pPr>
    </w:p>
    <w:p w14:paraId="74F8175B" w14:textId="77777777" w:rsidR="00236F22" w:rsidRDefault="00236F22" w:rsidP="00236F22">
      <w:pPr>
        <w:rPr>
          <w:rFonts w:ascii="Calibri" w:eastAsia="Calibri" w:hAnsi="Calibri" w:cs="Calibri"/>
          <w:color w:val="222222"/>
          <w:highlight w:val="white"/>
        </w:rPr>
      </w:pPr>
      <w:r>
        <w:rPr>
          <w:rFonts w:ascii="Calibri" w:eastAsia="Calibri" w:hAnsi="Calibri" w:cs="Calibri"/>
          <w:color w:val="222222"/>
          <w:highlight w:val="white"/>
        </w:rPr>
        <w:t xml:space="preserve">Hawkins, J.D., Catalano, R.F. and Brewer, D.D., (1995). Preventing serious, violent, and chronic juvenile offending: Effective strategies from conception to age 6. </w:t>
      </w:r>
      <w:r>
        <w:rPr>
          <w:rFonts w:ascii="Calibri" w:eastAsia="Calibri" w:hAnsi="Calibri" w:cs="Calibri"/>
          <w:i/>
          <w:color w:val="222222"/>
          <w:highlight w:val="white"/>
        </w:rPr>
        <w:t>A sourcebook: Serious, violent, and chronic juvenile offenders</w:t>
      </w:r>
      <w:r>
        <w:rPr>
          <w:rFonts w:ascii="Calibri" w:eastAsia="Calibri" w:hAnsi="Calibri" w:cs="Calibri"/>
          <w:color w:val="222222"/>
          <w:highlight w:val="white"/>
        </w:rPr>
        <w:t>, pp.47-60.</w:t>
      </w:r>
    </w:p>
    <w:p w14:paraId="6CA4FBDC" w14:textId="77777777" w:rsidR="00236F22" w:rsidRDefault="00236F22" w:rsidP="00236F22">
      <w:pPr>
        <w:rPr>
          <w:rFonts w:ascii="Calibri" w:eastAsia="Calibri" w:hAnsi="Calibri" w:cs="Calibri"/>
          <w:color w:val="222222"/>
          <w:highlight w:val="white"/>
        </w:rPr>
      </w:pPr>
    </w:p>
    <w:p w14:paraId="105F263A" w14:textId="77777777" w:rsidR="00236F22" w:rsidRDefault="00236F22" w:rsidP="00236F22">
      <w:pPr>
        <w:rPr>
          <w:rFonts w:ascii="Calibri" w:eastAsia="Calibri" w:hAnsi="Calibri" w:cs="Calibri"/>
          <w:color w:val="222222"/>
          <w:highlight w:val="white"/>
        </w:rPr>
      </w:pPr>
      <w:r>
        <w:rPr>
          <w:rFonts w:ascii="Calibri" w:eastAsia="Calibri" w:hAnsi="Calibri" w:cs="Calibri"/>
          <w:color w:val="222222"/>
          <w:highlight w:val="white"/>
        </w:rPr>
        <w:t xml:space="preserve">Haylock, S., Boshari, T., Alexander, E.C., Kumar, A., Manikam, L. and Pinder, R., 2020. Risk factors associated with knife-crime in United Kingdom among young people aged 10–24 years: a systematic review. </w:t>
      </w:r>
      <w:r>
        <w:rPr>
          <w:rFonts w:ascii="Calibri" w:eastAsia="Calibri" w:hAnsi="Calibri" w:cs="Calibri"/>
          <w:i/>
          <w:color w:val="222222"/>
          <w:highlight w:val="white"/>
        </w:rPr>
        <w:t>BMC Public Health</w:t>
      </w:r>
      <w:r>
        <w:rPr>
          <w:rFonts w:ascii="Calibri" w:eastAsia="Calibri" w:hAnsi="Calibri" w:cs="Calibri"/>
          <w:color w:val="222222"/>
          <w:highlight w:val="white"/>
        </w:rPr>
        <w:t xml:space="preserve">, </w:t>
      </w:r>
      <w:r>
        <w:rPr>
          <w:rFonts w:ascii="Calibri" w:eastAsia="Calibri" w:hAnsi="Calibri" w:cs="Calibri"/>
          <w:i/>
          <w:color w:val="222222"/>
          <w:highlight w:val="white"/>
        </w:rPr>
        <w:t>20</w:t>
      </w:r>
      <w:r>
        <w:rPr>
          <w:rFonts w:ascii="Calibri" w:eastAsia="Calibri" w:hAnsi="Calibri" w:cs="Calibri"/>
          <w:color w:val="222222"/>
          <w:highlight w:val="white"/>
        </w:rPr>
        <w:t>(1), pp.1-19.</w:t>
      </w:r>
    </w:p>
    <w:p w14:paraId="2D4A49ED" w14:textId="77777777" w:rsidR="00236F22" w:rsidRDefault="00236F22" w:rsidP="00236F22">
      <w:pPr>
        <w:rPr>
          <w:rFonts w:ascii="Calibri" w:eastAsia="Calibri" w:hAnsi="Calibri" w:cs="Calibri"/>
          <w:color w:val="222222"/>
          <w:highlight w:val="white"/>
        </w:rPr>
      </w:pPr>
    </w:p>
    <w:p w14:paraId="1602CE2F" w14:textId="77777777" w:rsidR="00236F22" w:rsidRDefault="00236F22" w:rsidP="00236F22">
      <w:pPr>
        <w:rPr>
          <w:rFonts w:ascii="Calibri" w:eastAsia="Calibri" w:hAnsi="Calibri" w:cs="Calibri"/>
          <w:color w:val="3A3A3A"/>
          <w:highlight w:val="white"/>
        </w:rPr>
      </w:pPr>
      <w:r>
        <w:rPr>
          <w:rFonts w:ascii="Calibri" w:eastAsia="Calibri" w:hAnsi="Calibri" w:cs="Calibri"/>
          <w:color w:val="3A3A3A"/>
          <w:highlight w:val="white"/>
        </w:rPr>
        <w:t xml:space="preserve">Hean, Johnsen, B., Kajamaa, A., &amp; Kloetzer, L. (2021). </w:t>
      </w:r>
      <w:r>
        <w:rPr>
          <w:rFonts w:ascii="Calibri" w:eastAsia="Calibri" w:hAnsi="Calibri" w:cs="Calibri"/>
          <w:i/>
          <w:color w:val="3A3A3A"/>
          <w:highlight w:val="white"/>
        </w:rPr>
        <w:t>Improving Interagency Collaboration, Innovation and Learning in Criminal Justice Systems Supporting Offender Rehabilitation</w:t>
      </w:r>
      <w:r>
        <w:rPr>
          <w:rFonts w:ascii="Calibri" w:eastAsia="Calibri" w:hAnsi="Calibri" w:cs="Calibri"/>
          <w:color w:val="3A3A3A"/>
          <w:highlight w:val="white"/>
        </w:rPr>
        <w:t xml:space="preserve">. Springer International Publishing AG </w:t>
      </w:r>
    </w:p>
    <w:p w14:paraId="04ACA6B0" w14:textId="77777777" w:rsidR="00236F22" w:rsidRDefault="00236F22" w:rsidP="00236F22">
      <w:pPr>
        <w:rPr>
          <w:rFonts w:ascii="Calibri" w:eastAsia="Calibri" w:hAnsi="Calibri" w:cs="Calibri"/>
          <w:color w:val="3A3A3A"/>
          <w:highlight w:val="white"/>
        </w:rPr>
      </w:pPr>
    </w:p>
    <w:p w14:paraId="6E835798" w14:textId="77777777" w:rsidR="00236F22" w:rsidRDefault="00236F22" w:rsidP="00236F22">
      <w:pPr>
        <w:spacing w:after="160" w:line="256" w:lineRule="auto"/>
        <w:rPr>
          <w:rFonts w:ascii="Calibri" w:eastAsia="Calibri" w:hAnsi="Calibri" w:cs="Calibri"/>
        </w:rPr>
      </w:pPr>
      <w:bookmarkStart w:id="3" w:name="_30j0zll"/>
      <w:bookmarkEnd w:id="3"/>
      <w:r>
        <w:rPr>
          <w:rFonts w:ascii="Calibri" w:eastAsia="Calibri" w:hAnsi="Calibri" w:cs="Calibri"/>
        </w:rPr>
        <w:t xml:space="preserve">Heap, V. (2016) ‘Putting victims first? A critique of Coalition anti-social behaviour policy’, </w:t>
      </w:r>
      <w:r>
        <w:rPr>
          <w:rFonts w:ascii="Calibri" w:eastAsia="Calibri" w:hAnsi="Calibri" w:cs="Calibri"/>
          <w:i/>
        </w:rPr>
        <w:t>Critical social policy,</w:t>
      </w:r>
      <w:r>
        <w:rPr>
          <w:rFonts w:ascii="Calibri" w:eastAsia="Calibri" w:hAnsi="Calibri" w:cs="Calibri"/>
        </w:rPr>
        <w:t xml:space="preserve"> 36(2), pp. 246–264. </w:t>
      </w:r>
    </w:p>
    <w:p w14:paraId="3FC4621F" w14:textId="77777777" w:rsidR="00236F22" w:rsidRDefault="00236F22" w:rsidP="00236F22">
      <w:pPr>
        <w:spacing w:after="160" w:line="256" w:lineRule="auto"/>
        <w:rPr>
          <w:rFonts w:ascii="Calibri" w:eastAsia="Calibri" w:hAnsi="Calibri" w:cs="Calibri"/>
        </w:rPr>
      </w:pPr>
      <w:bookmarkStart w:id="4" w:name="_7us3xv232zp8"/>
      <w:bookmarkEnd w:id="4"/>
    </w:p>
    <w:p w14:paraId="6BF51B7F" w14:textId="77777777" w:rsidR="00236F22" w:rsidRDefault="00236F22" w:rsidP="00236F22">
      <w:pPr>
        <w:rPr>
          <w:rFonts w:ascii="Calibri" w:eastAsia="Calibri" w:hAnsi="Calibri" w:cs="Calibri"/>
        </w:rPr>
      </w:pPr>
      <w:r>
        <w:rPr>
          <w:rFonts w:ascii="Calibri" w:eastAsia="Calibri" w:hAnsi="Calibri" w:cs="Calibri"/>
          <w:color w:val="3A3A3A"/>
          <w:highlight w:val="white"/>
        </w:rPr>
        <w:t xml:space="preserve">Herrenkohl, Maguin, E., Hill, K. G., Hawkins, J. D., Abbott, R. D., &amp; Catalano, R. F. (2000). Developmental risk factors for youth violence. </w:t>
      </w:r>
      <w:r>
        <w:rPr>
          <w:rFonts w:ascii="Calibri" w:eastAsia="Calibri" w:hAnsi="Calibri" w:cs="Calibri"/>
          <w:i/>
          <w:color w:val="3A3A3A"/>
          <w:highlight w:val="white"/>
        </w:rPr>
        <w:t>Journal of Adolescent Health</w:t>
      </w:r>
      <w:r>
        <w:rPr>
          <w:rFonts w:ascii="Calibri" w:eastAsia="Calibri" w:hAnsi="Calibri" w:cs="Calibri"/>
          <w:color w:val="3A3A3A"/>
          <w:highlight w:val="white"/>
        </w:rPr>
        <w:t xml:space="preserve">, </w:t>
      </w:r>
      <w:r>
        <w:rPr>
          <w:rFonts w:ascii="Calibri" w:eastAsia="Calibri" w:hAnsi="Calibri" w:cs="Calibri"/>
          <w:i/>
          <w:color w:val="3A3A3A"/>
          <w:highlight w:val="white"/>
        </w:rPr>
        <w:t>26</w:t>
      </w:r>
      <w:r>
        <w:rPr>
          <w:rFonts w:ascii="Calibri" w:eastAsia="Calibri" w:hAnsi="Calibri" w:cs="Calibri"/>
          <w:color w:val="3A3A3A"/>
          <w:highlight w:val="white"/>
        </w:rPr>
        <w:t>(3), 176–186. https://doi.org/10.1016/S1054-139X(99)00065-8</w:t>
      </w:r>
    </w:p>
    <w:p w14:paraId="352CC7FB" w14:textId="77777777" w:rsidR="00236F22" w:rsidRDefault="00236F22" w:rsidP="00236F22">
      <w:pPr>
        <w:spacing w:after="160" w:line="256" w:lineRule="auto"/>
        <w:rPr>
          <w:rFonts w:ascii="Calibri" w:eastAsia="Calibri" w:hAnsi="Calibri" w:cs="Calibri"/>
        </w:rPr>
      </w:pPr>
      <w:bookmarkStart w:id="5" w:name="_56d3u5k5d7we"/>
      <w:bookmarkEnd w:id="5"/>
    </w:p>
    <w:p w14:paraId="1200B0F1" w14:textId="77777777" w:rsidR="00236F22" w:rsidRDefault="00236F22" w:rsidP="00236F22">
      <w:pPr>
        <w:spacing w:after="160" w:line="256" w:lineRule="auto"/>
        <w:rPr>
          <w:rFonts w:ascii="Calibri" w:eastAsia="Calibri" w:hAnsi="Calibri" w:cs="Calibri"/>
        </w:rPr>
      </w:pPr>
      <w:r>
        <w:rPr>
          <w:rFonts w:ascii="Calibri" w:eastAsia="Calibri" w:hAnsi="Calibri" w:cs="Calibri"/>
          <w:color w:val="222222"/>
          <w:highlight w:val="white"/>
        </w:rPr>
        <w:t xml:space="preserve">HMI Probation and HMI Constabular. (2011). </w:t>
      </w:r>
      <w:r>
        <w:rPr>
          <w:rFonts w:ascii="Calibri" w:eastAsia="Calibri" w:hAnsi="Calibri" w:cs="Calibri"/>
          <w:i/>
          <w:color w:val="222222"/>
          <w:highlight w:val="white"/>
        </w:rPr>
        <w:t>Thematic Inspection Report: Putting the pieces together An inspection of Multi-Agency Public Protection Arrangements</w:t>
      </w:r>
      <w:r>
        <w:rPr>
          <w:rFonts w:ascii="Calibri" w:eastAsia="Calibri" w:hAnsi="Calibri" w:cs="Calibri"/>
          <w:color w:val="222222"/>
          <w:highlight w:val="white"/>
        </w:rPr>
        <w:t xml:space="preserve">. [Online]. justiceinspectorates. Last Updated: November 2011. Available at: </w:t>
      </w:r>
      <w:hyperlink r:id="rId8" w:history="1">
        <w:r>
          <w:rPr>
            <w:rStyle w:val="Hyperlink"/>
            <w:rFonts w:ascii="Calibri" w:eastAsia="Calibri" w:hAnsi="Calibri" w:cs="Calibri"/>
            <w:color w:val="1155CC"/>
            <w:highlight w:val="white"/>
          </w:rPr>
          <w:t>https://www.justiceinspectorates.gov.uk/hmicfrs/media/Multi-agency-public-protection-arrangements.pd</w:t>
        </w:r>
      </w:hyperlink>
      <w:r>
        <w:rPr>
          <w:rFonts w:ascii="Calibri" w:eastAsia="Calibri" w:hAnsi="Calibri" w:cs="Calibri"/>
          <w:color w:val="222222"/>
          <w:highlight w:val="white"/>
        </w:rPr>
        <w:t xml:space="preserve">  [Accessed 24 March 2023]</w:t>
      </w:r>
    </w:p>
    <w:p w14:paraId="3F90CF57" w14:textId="77777777" w:rsidR="00236F22" w:rsidRDefault="00236F22" w:rsidP="00236F22">
      <w:pPr>
        <w:spacing w:after="160" w:line="256" w:lineRule="auto"/>
        <w:rPr>
          <w:rFonts w:ascii="Calibri" w:eastAsia="Calibri" w:hAnsi="Calibri" w:cs="Calibri"/>
        </w:rPr>
      </w:pPr>
      <w:bookmarkStart w:id="6" w:name="_mq1k452b9trw"/>
      <w:bookmarkEnd w:id="6"/>
    </w:p>
    <w:p w14:paraId="316F0284" w14:textId="77777777" w:rsidR="00236F22" w:rsidRDefault="00236F22" w:rsidP="00236F22">
      <w:pPr>
        <w:spacing w:after="160" w:line="256" w:lineRule="auto"/>
        <w:rPr>
          <w:rFonts w:ascii="Calibri" w:eastAsia="Calibri" w:hAnsi="Calibri" w:cs="Calibri"/>
          <w:highlight w:val="white"/>
        </w:rPr>
      </w:pPr>
      <w:r>
        <w:rPr>
          <w:rFonts w:ascii="Calibri" w:eastAsia="Calibri" w:hAnsi="Calibri" w:cs="Calibri"/>
          <w:highlight w:val="white"/>
        </w:rPr>
        <w:t xml:space="preserve">Huey, &amp; Broll, R. (2012). “All it takes is one TV show to ruin it”: a police perspective on police-media relations in the era of expanding prime time crime markets. </w:t>
      </w:r>
      <w:r>
        <w:rPr>
          <w:rFonts w:ascii="Calibri" w:eastAsia="Calibri" w:hAnsi="Calibri" w:cs="Calibri"/>
          <w:i/>
          <w:highlight w:val="white"/>
        </w:rPr>
        <w:t>Policing &amp; Society</w:t>
      </w:r>
      <w:r>
        <w:rPr>
          <w:rFonts w:ascii="Calibri" w:eastAsia="Calibri" w:hAnsi="Calibri" w:cs="Calibri"/>
          <w:highlight w:val="white"/>
        </w:rPr>
        <w:t xml:space="preserve">, </w:t>
      </w:r>
      <w:r>
        <w:rPr>
          <w:rFonts w:ascii="Calibri" w:eastAsia="Calibri" w:hAnsi="Calibri" w:cs="Calibri"/>
          <w:i/>
          <w:highlight w:val="white"/>
        </w:rPr>
        <w:t>22</w:t>
      </w:r>
      <w:r>
        <w:rPr>
          <w:rFonts w:ascii="Calibri" w:eastAsia="Calibri" w:hAnsi="Calibri" w:cs="Calibri"/>
          <w:highlight w:val="white"/>
        </w:rPr>
        <w:t xml:space="preserve">(4), 384–396. </w:t>
      </w:r>
    </w:p>
    <w:p w14:paraId="0AC0477D" w14:textId="77777777" w:rsidR="00236F22" w:rsidRDefault="00236F22" w:rsidP="00236F22">
      <w:pPr>
        <w:spacing w:after="160" w:line="256" w:lineRule="auto"/>
        <w:rPr>
          <w:rFonts w:ascii="Calibri" w:eastAsia="Calibri" w:hAnsi="Calibri" w:cs="Calibri"/>
          <w:highlight w:val="white"/>
        </w:rPr>
      </w:pPr>
    </w:p>
    <w:p w14:paraId="0D834F78" w14:textId="77777777" w:rsidR="00236F22" w:rsidRDefault="00236F22" w:rsidP="00236F22">
      <w:pPr>
        <w:spacing w:before="240" w:after="240"/>
        <w:rPr>
          <w:rFonts w:ascii="Calibri" w:eastAsia="Calibri" w:hAnsi="Calibri" w:cs="Calibri"/>
          <w:color w:val="3A3A3A"/>
          <w:highlight w:val="white"/>
        </w:rPr>
      </w:pPr>
      <w:r>
        <w:rPr>
          <w:rFonts w:ascii="Calibri" w:eastAsia="Calibri" w:hAnsi="Calibri" w:cs="Calibri"/>
        </w:rPr>
        <w:t xml:space="preserve">Hu, X. and Lovrich, N.P. (2019) ‘Social Media and the police’. </w:t>
      </w:r>
      <w:r>
        <w:rPr>
          <w:rFonts w:ascii="Calibri" w:eastAsia="Calibri" w:hAnsi="Calibri" w:cs="Calibri"/>
          <w:i/>
        </w:rPr>
        <w:t>Policing: An International Journal</w:t>
      </w:r>
      <w:r>
        <w:rPr>
          <w:rFonts w:ascii="Calibri" w:eastAsia="Calibri" w:hAnsi="Calibri" w:cs="Calibri"/>
        </w:rPr>
        <w:t xml:space="preserve">, 42(4), pp. 654–670. </w:t>
      </w:r>
    </w:p>
    <w:p w14:paraId="018C65E5" w14:textId="77777777" w:rsidR="00236F22" w:rsidRDefault="00236F22" w:rsidP="00236F22">
      <w:pPr>
        <w:spacing w:after="160" w:line="256" w:lineRule="auto"/>
        <w:rPr>
          <w:rFonts w:ascii="Calibri" w:eastAsia="Calibri" w:hAnsi="Calibri" w:cs="Calibri"/>
        </w:rPr>
      </w:pPr>
      <w:bookmarkStart w:id="7" w:name="_x158d2t0kir5"/>
      <w:bookmarkEnd w:id="7"/>
    </w:p>
    <w:p w14:paraId="022DB79F" w14:textId="77777777" w:rsidR="00236F22" w:rsidRDefault="00236F22" w:rsidP="00236F22">
      <w:pPr>
        <w:spacing w:after="160" w:line="256" w:lineRule="auto"/>
        <w:rPr>
          <w:rFonts w:ascii="Calibri" w:eastAsia="Calibri" w:hAnsi="Calibri" w:cs="Calibri"/>
        </w:rPr>
      </w:pPr>
      <w:r>
        <w:rPr>
          <w:rFonts w:ascii="Calibri" w:eastAsia="Calibri" w:hAnsi="Calibri" w:cs="Calibri"/>
        </w:rPr>
        <w:t xml:space="preserve">Independent Police Complaints Commission (2011) </w:t>
      </w:r>
      <w:r>
        <w:rPr>
          <w:rFonts w:ascii="Calibri" w:eastAsia="Calibri" w:hAnsi="Calibri" w:cs="Calibri"/>
          <w:i/>
        </w:rPr>
        <w:t>IPCC Report into the Contact Between Fiona Pilkington and Leicestershire Constabulary 2004-2007</w:t>
      </w:r>
      <w:r>
        <w:rPr>
          <w:rFonts w:ascii="Calibri" w:eastAsia="Calibri" w:hAnsi="Calibri" w:cs="Calibri"/>
        </w:rPr>
        <w:t>.</w:t>
      </w:r>
    </w:p>
    <w:p w14:paraId="2EE9EF6F" w14:textId="77777777" w:rsidR="00236F22" w:rsidRDefault="00236F22" w:rsidP="00236F22">
      <w:pPr>
        <w:spacing w:after="160" w:line="256" w:lineRule="auto"/>
        <w:rPr>
          <w:rFonts w:ascii="Calibri" w:eastAsia="Calibri" w:hAnsi="Calibri" w:cs="Calibri"/>
        </w:rPr>
      </w:pPr>
    </w:p>
    <w:p w14:paraId="5F933BCA" w14:textId="77777777" w:rsidR="00236F22" w:rsidRDefault="00236F22" w:rsidP="00236F22">
      <w:pPr>
        <w:spacing w:after="160" w:line="256" w:lineRule="auto"/>
        <w:rPr>
          <w:rFonts w:ascii="Calibri" w:eastAsia="Calibri" w:hAnsi="Calibri" w:cs="Calibri"/>
          <w:color w:val="222222"/>
          <w:highlight w:val="white"/>
        </w:rPr>
      </w:pPr>
      <w:r>
        <w:rPr>
          <w:rFonts w:ascii="Calibri" w:eastAsia="Calibri" w:hAnsi="Calibri" w:cs="Calibri"/>
          <w:color w:val="222222"/>
          <w:highlight w:val="white"/>
        </w:rPr>
        <w:t xml:space="preserve">Joyce, P. and Laverick, W., 2022. </w:t>
      </w:r>
      <w:r>
        <w:rPr>
          <w:rFonts w:ascii="Calibri" w:eastAsia="Calibri" w:hAnsi="Calibri" w:cs="Calibri"/>
          <w:i/>
          <w:color w:val="222222"/>
        </w:rPr>
        <w:t>Criminal justice: An introduction</w:t>
      </w:r>
      <w:r>
        <w:rPr>
          <w:rFonts w:ascii="Calibri" w:eastAsia="Calibri" w:hAnsi="Calibri" w:cs="Calibri"/>
          <w:color w:val="222222"/>
          <w:highlight w:val="white"/>
        </w:rPr>
        <w:t>. Taylor &amp; Francis.</w:t>
      </w:r>
    </w:p>
    <w:p w14:paraId="2E69AA5C" w14:textId="77777777" w:rsidR="00236F22" w:rsidRDefault="00236F22" w:rsidP="00236F22">
      <w:pPr>
        <w:spacing w:after="160" w:line="256" w:lineRule="auto"/>
        <w:rPr>
          <w:rFonts w:ascii="Calibri" w:eastAsia="Calibri" w:hAnsi="Calibri" w:cs="Calibri"/>
          <w:color w:val="222222"/>
          <w:highlight w:val="white"/>
        </w:rPr>
      </w:pPr>
    </w:p>
    <w:p w14:paraId="26B951DB" w14:textId="77777777" w:rsidR="00236F22" w:rsidRDefault="00236F22" w:rsidP="00236F22">
      <w:pPr>
        <w:spacing w:after="160" w:line="256" w:lineRule="auto"/>
        <w:rPr>
          <w:rFonts w:ascii="Calibri" w:eastAsia="Calibri" w:hAnsi="Calibri" w:cs="Calibri"/>
          <w:color w:val="222222"/>
          <w:sz w:val="24"/>
          <w:szCs w:val="24"/>
          <w:highlight w:val="white"/>
        </w:rPr>
      </w:pPr>
      <w:r>
        <w:rPr>
          <w:rFonts w:ascii="Calibri" w:eastAsia="Calibri" w:hAnsi="Calibri" w:cs="Calibri"/>
          <w:color w:val="222222"/>
          <w:highlight w:val="white"/>
        </w:rPr>
        <w:t xml:space="preserve">Lamberti, J.S., 2016. Preventing criminal recidivism through mental health and criminal justice collaboration. </w:t>
      </w:r>
      <w:r>
        <w:rPr>
          <w:rFonts w:ascii="Calibri" w:eastAsia="Calibri" w:hAnsi="Calibri" w:cs="Calibri"/>
          <w:i/>
          <w:color w:val="222222"/>
          <w:highlight w:val="white"/>
        </w:rPr>
        <w:t>Psychiatric Services</w:t>
      </w:r>
      <w:r>
        <w:rPr>
          <w:rFonts w:ascii="Calibri" w:eastAsia="Calibri" w:hAnsi="Calibri" w:cs="Calibri"/>
          <w:color w:val="222222"/>
          <w:highlight w:val="white"/>
        </w:rPr>
        <w:t xml:space="preserve">, </w:t>
      </w:r>
      <w:r>
        <w:rPr>
          <w:rFonts w:ascii="Calibri" w:eastAsia="Calibri" w:hAnsi="Calibri" w:cs="Calibri"/>
          <w:i/>
          <w:color w:val="222222"/>
          <w:highlight w:val="white"/>
        </w:rPr>
        <w:t>67</w:t>
      </w:r>
      <w:r>
        <w:rPr>
          <w:rFonts w:ascii="Calibri" w:eastAsia="Calibri" w:hAnsi="Calibri" w:cs="Calibri"/>
          <w:color w:val="222222"/>
          <w:highlight w:val="white"/>
        </w:rPr>
        <w:t>(11), pp.1206-1212.</w:t>
      </w:r>
    </w:p>
    <w:p w14:paraId="2E860E82" w14:textId="77777777" w:rsidR="00236F22" w:rsidRDefault="00236F22" w:rsidP="00236F22">
      <w:pPr>
        <w:spacing w:after="160" w:line="256" w:lineRule="auto"/>
        <w:rPr>
          <w:rFonts w:ascii="Calibri" w:eastAsia="Calibri" w:hAnsi="Calibri" w:cs="Calibri"/>
        </w:rPr>
      </w:pPr>
    </w:p>
    <w:p w14:paraId="67E763CC" w14:textId="77777777" w:rsidR="00236F22" w:rsidRDefault="00236F22" w:rsidP="00236F22">
      <w:pPr>
        <w:spacing w:after="160" w:line="256" w:lineRule="auto"/>
        <w:rPr>
          <w:rFonts w:ascii="Calibri" w:eastAsia="Calibri" w:hAnsi="Calibri" w:cs="Calibri"/>
          <w:color w:val="222222"/>
          <w:highlight w:val="white"/>
        </w:rPr>
      </w:pPr>
      <w:r>
        <w:rPr>
          <w:rFonts w:ascii="Calibri" w:eastAsia="Calibri" w:hAnsi="Calibri" w:cs="Calibri"/>
          <w:color w:val="222222"/>
          <w:highlight w:val="white"/>
        </w:rPr>
        <w:t xml:space="preserve">McNally, S., (2011). Disability-related harassment. </w:t>
      </w:r>
      <w:r>
        <w:rPr>
          <w:rFonts w:ascii="Calibri" w:eastAsia="Calibri" w:hAnsi="Calibri" w:cs="Calibri"/>
          <w:i/>
          <w:color w:val="222222"/>
        </w:rPr>
        <w:t>Learning Disability Practice</w:t>
      </w:r>
      <w:r>
        <w:rPr>
          <w:rFonts w:ascii="Calibri" w:eastAsia="Calibri" w:hAnsi="Calibri" w:cs="Calibri"/>
          <w:color w:val="222222"/>
          <w:highlight w:val="white"/>
        </w:rPr>
        <w:t xml:space="preserve">, </w:t>
      </w:r>
      <w:r>
        <w:rPr>
          <w:rFonts w:ascii="Calibri" w:eastAsia="Calibri" w:hAnsi="Calibri" w:cs="Calibri"/>
          <w:i/>
          <w:color w:val="222222"/>
        </w:rPr>
        <w:t>14</w:t>
      </w:r>
      <w:r>
        <w:rPr>
          <w:rFonts w:ascii="Calibri" w:eastAsia="Calibri" w:hAnsi="Calibri" w:cs="Calibri"/>
          <w:color w:val="222222"/>
          <w:highlight w:val="white"/>
        </w:rPr>
        <w:t>(8), pp.13-14.</w:t>
      </w:r>
    </w:p>
    <w:p w14:paraId="32EC6965" w14:textId="77777777" w:rsidR="00236F22" w:rsidRDefault="00236F22" w:rsidP="00236F22">
      <w:pPr>
        <w:spacing w:after="160" w:line="256" w:lineRule="auto"/>
        <w:rPr>
          <w:rFonts w:ascii="Calibri" w:eastAsia="Calibri" w:hAnsi="Calibri" w:cs="Calibri"/>
          <w:color w:val="222222"/>
          <w:highlight w:val="white"/>
        </w:rPr>
      </w:pPr>
    </w:p>
    <w:p w14:paraId="32940AD4" w14:textId="77777777" w:rsidR="00236F22" w:rsidRDefault="00236F22" w:rsidP="00236F22">
      <w:pPr>
        <w:spacing w:after="160" w:line="256" w:lineRule="auto"/>
        <w:rPr>
          <w:rFonts w:ascii="Calibri" w:eastAsia="Calibri" w:hAnsi="Calibri" w:cs="Calibri"/>
          <w:color w:val="222222"/>
          <w:highlight w:val="white"/>
        </w:rPr>
      </w:pPr>
      <w:r>
        <w:rPr>
          <w:rFonts w:ascii="Calibri" w:eastAsia="Calibri" w:hAnsi="Calibri" w:cs="Calibri"/>
          <w:color w:val="3A3A3A"/>
          <w:highlight w:val="white"/>
        </w:rPr>
        <w:t xml:space="preserve">McNeill. (2012). Four forms of “offender” rehabilitation: Towards an interdisciplinary perspective. </w:t>
      </w:r>
      <w:r>
        <w:rPr>
          <w:rFonts w:ascii="Calibri" w:eastAsia="Calibri" w:hAnsi="Calibri" w:cs="Calibri"/>
          <w:i/>
          <w:color w:val="3A3A3A"/>
          <w:highlight w:val="white"/>
        </w:rPr>
        <w:t>Legal and Criminological Psychology</w:t>
      </w:r>
      <w:r>
        <w:rPr>
          <w:rFonts w:ascii="Calibri" w:eastAsia="Calibri" w:hAnsi="Calibri" w:cs="Calibri"/>
          <w:color w:val="3A3A3A"/>
          <w:highlight w:val="white"/>
        </w:rPr>
        <w:t xml:space="preserve">, </w:t>
      </w:r>
      <w:r>
        <w:rPr>
          <w:rFonts w:ascii="Calibri" w:eastAsia="Calibri" w:hAnsi="Calibri" w:cs="Calibri"/>
          <w:i/>
          <w:color w:val="3A3A3A"/>
          <w:highlight w:val="white"/>
        </w:rPr>
        <w:t>17</w:t>
      </w:r>
      <w:r>
        <w:rPr>
          <w:rFonts w:ascii="Calibri" w:eastAsia="Calibri" w:hAnsi="Calibri" w:cs="Calibri"/>
          <w:color w:val="3A3A3A"/>
          <w:highlight w:val="white"/>
        </w:rPr>
        <w:t>(1), 18–36. https://doi.org/10.1111/j.2044-8333.2011.02039.x</w:t>
      </w:r>
    </w:p>
    <w:p w14:paraId="74703743" w14:textId="77777777" w:rsidR="00236F22" w:rsidRDefault="00236F22" w:rsidP="00236F22">
      <w:pPr>
        <w:spacing w:after="160" w:line="256" w:lineRule="auto"/>
        <w:rPr>
          <w:rFonts w:ascii="Calibri" w:eastAsia="Calibri" w:hAnsi="Calibri" w:cs="Calibri"/>
          <w:color w:val="222222"/>
          <w:highlight w:val="white"/>
        </w:rPr>
      </w:pPr>
    </w:p>
    <w:p w14:paraId="1004F3CA" w14:textId="77777777" w:rsidR="00236F22" w:rsidRDefault="00236F22" w:rsidP="00236F22">
      <w:pPr>
        <w:rPr>
          <w:rFonts w:ascii="Calibri" w:eastAsia="Calibri" w:hAnsi="Calibri" w:cs="Calibri"/>
          <w:color w:val="222222"/>
          <w:highlight w:val="white"/>
        </w:rPr>
      </w:pPr>
      <w:r>
        <w:rPr>
          <w:rFonts w:ascii="Calibri" w:eastAsia="Calibri" w:hAnsi="Calibri" w:cs="Calibri"/>
          <w:color w:val="222222"/>
          <w:highlight w:val="white"/>
        </w:rPr>
        <w:t xml:space="preserve">Millstein, S.G. and Halpern-Felsher, B.L., 2002. Perceptions of risk and vulnerability. </w:t>
      </w:r>
      <w:r>
        <w:rPr>
          <w:rFonts w:ascii="Calibri" w:eastAsia="Calibri" w:hAnsi="Calibri" w:cs="Calibri"/>
          <w:i/>
          <w:color w:val="222222"/>
          <w:highlight w:val="white"/>
        </w:rPr>
        <w:t>Journal of adolescent health</w:t>
      </w:r>
      <w:r>
        <w:rPr>
          <w:rFonts w:ascii="Calibri" w:eastAsia="Calibri" w:hAnsi="Calibri" w:cs="Calibri"/>
          <w:color w:val="222222"/>
          <w:highlight w:val="white"/>
        </w:rPr>
        <w:t xml:space="preserve">, </w:t>
      </w:r>
      <w:r>
        <w:rPr>
          <w:rFonts w:ascii="Calibri" w:eastAsia="Calibri" w:hAnsi="Calibri" w:cs="Calibri"/>
          <w:i/>
          <w:color w:val="222222"/>
          <w:highlight w:val="white"/>
        </w:rPr>
        <w:t>31</w:t>
      </w:r>
      <w:r>
        <w:rPr>
          <w:rFonts w:ascii="Calibri" w:eastAsia="Calibri" w:hAnsi="Calibri" w:cs="Calibri"/>
          <w:color w:val="222222"/>
          <w:highlight w:val="white"/>
        </w:rPr>
        <w:t>(1), pp.10-27.</w:t>
      </w:r>
    </w:p>
    <w:p w14:paraId="290935F8" w14:textId="77777777" w:rsidR="00236F22" w:rsidRDefault="00236F22" w:rsidP="00236F22">
      <w:pPr>
        <w:spacing w:after="160" w:line="256" w:lineRule="auto"/>
        <w:rPr>
          <w:rFonts w:ascii="Calibri" w:eastAsia="Calibri" w:hAnsi="Calibri" w:cs="Calibri"/>
        </w:rPr>
      </w:pPr>
    </w:p>
    <w:p w14:paraId="61683DAA" w14:textId="77777777" w:rsidR="00236F22" w:rsidRDefault="00236F22" w:rsidP="00236F22">
      <w:pPr>
        <w:spacing w:after="160" w:line="256" w:lineRule="auto"/>
        <w:rPr>
          <w:rFonts w:ascii="Calibri" w:eastAsia="Calibri" w:hAnsi="Calibri" w:cs="Calibri"/>
          <w:sz w:val="20"/>
          <w:szCs w:val="20"/>
          <w:highlight w:val="white"/>
        </w:rPr>
      </w:pPr>
      <w:bookmarkStart w:id="8" w:name="_1fob9te"/>
      <w:bookmarkEnd w:id="8"/>
      <w:r>
        <w:rPr>
          <w:rFonts w:ascii="Calibri" w:eastAsia="Calibri" w:hAnsi="Calibri" w:cs="Calibri"/>
          <w:highlight w:val="white"/>
        </w:rPr>
        <w:t>Ministry of Justice. (2015). </w:t>
      </w:r>
      <w:r>
        <w:rPr>
          <w:rFonts w:ascii="Calibri" w:eastAsia="Calibri" w:hAnsi="Calibri" w:cs="Calibri"/>
          <w:i/>
        </w:rPr>
        <w:t>Code of Practice for Victims of Crime</w:t>
      </w:r>
      <w:r>
        <w:rPr>
          <w:rFonts w:ascii="Calibri" w:eastAsia="Calibri" w:hAnsi="Calibri" w:cs="Calibri"/>
          <w:highlight w:val="white"/>
        </w:rPr>
        <w:t xml:space="preserve">. [Online]. www.cps.gov.uk. Available at: </w:t>
      </w:r>
      <w:hyperlink r:id="rId9" w:history="1">
        <w:r>
          <w:rPr>
            <w:rStyle w:val="Hyperlink"/>
            <w:rFonts w:ascii="Calibri" w:eastAsia="Calibri" w:hAnsi="Calibri" w:cs="Calibri"/>
            <w:color w:val="1155CC"/>
            <w:highlight w:val="white"/>
          </w:rPr>
          <w:t>https://www.cps.gov.uk/sites/default/files/documents/legal_guidance/OD_000049.pdf</w:t>
        </w:r>
      </w:hyperlink>
      <w:r>
        <w:rPr>
          <w:rFonts w:ascii="Calibri" w:eastAsia="Calibri" w:hAnsi="Calibri" w:cs="Calibri"/>
          <w:highlight w:val="white"/>
        </w:rPr>
        <w:t xml:space="preserve"> (Accessed 2 March 2023)</w:t>
      </w:r>
      <w:r>
        <w:rPr>
          <w:rFonts w:ascii="Calibri" w:eastAsia="Calibri" w:hAnsi="Calibri" w:cs="Calibri"/>
          <w:sz w:val="20"/>
          <w:szCs w:val="20"/>
          <w:highlight w:val="white"/>
        </w:rPr>
        <w:t>.</w:t>
      </w:r>
    </w:p>
    <w:p w14:paraId="7712830A" w14:textId="77777777" w:rsidR="00236F22" w:rsidRDefault="00236F22" w:rsidP="00236F22">
      <w:pPr>
        <w:spacing w:after="160" w:line="256" w:lineRule="auto"/>
        <w:rPr>
          <w:rFonts w:ascii="Calibri" w:eastAsia="Calibri" w:hAnsi="Calibri" w:cs="Calibri"/>
          <w:sz w:val="20"/>
          <w:szCs w:val="20"/>
          <w:highlight w:val="white"/>
        </w:rPr>
      </w:pPr>
      <w:bookmarkStart w:id="9" w:name="_rce3pipoafw2"/>
      <w:bookmarkEnd w:id="9"/>
    </w:p>
    <w:p w14:paraId="1C3A0022" w14:textId="77777777" w:rsidR="00236F22" w:rsidRDefault="00236F22" w:rsidP="00236F22">
      <w:pPr>
        <w:rPr>
          <w:rFonts w:ascii="Calibri" w:eastAsia="Calibri" w:hAnsi="Calibri" w:cs="Calibri"/>
          <w:sz w:val="20"/>
          <w:szCs w:val="20"/>
          <w:highlight w:val="white"/>
        </w:rPr>
      </w:pPr>
      <w:r>
        <w:rPr>
          <w:rFonts w:ascii="Calibri" w:eastAsia="Calibri" w:hAnsi="Calibri" w:cs="Calibri"/>
          <w:color w:val="222222"/>
          <w:highlight w:val="white"/>
        </w:rPr>
        <w:t xml:space="preserve">Ministry of Justice, 2013. </w:t>
      </w:r>
      <w:r>
        <w:rPr>
          <w:rFonts w:ascii="Calibri" w:eastAsia="Calibri" w:hAnsi="Calibri" w:cs="Calibri"/>
          <w:i/>
          <w:color w:val="222222"/>
          <w:highlight w:val="white"/>
        </w:rPr>
        <w:t>Transforming rehabilitation: A revolution in the way we manage offenders</w:t>
      </w:r>
      <w:r>
        <w:rPr>
          <w:rFonts w:ascii="Calibri" w:eastAsia="Calibri" w:hAnsi="Calibri" w:cs="Calibri"/>
          <w:color w:val="222222"/>
          <w:highlight w:val="white"/>
        </w:rPr>
        <w:t xml:space="preserve"> (Vol. 8517). The Stationery Office</w:t>
      </w:r>
    </w:p>
    <w:p w14:paraId="7823E899" w14:textId="77777777" w:rsidR="00236F22" w:rsidRDefault="00236F22" w:rsidP="00236F22">
      <w:pPr>
        <w:spacing w:after="160" w:line="256" w:lineRule="auto"/>
        <w:rPr>
          <w:rFonts w:ascii="Calibri" w:eastAsia="Calibri" w:hAnsi="Calibri" w:cs="Calibri"/>
          <w:sz w:val="20"/>
          <w:szCs w:val="20"/>
          <w:highlight w:val="white"/>
        </w:rPr>
      </w:pPr>
      <w:bookmarkStart w:id="10" w:name="_6ggufsrf05zx"/>
      <w:bookmarkEnd w:id="10"/>
    </w:p>
    <w:p w14:paraId="149F2408" w14:textId="77777777" w:rsidR="00236F22" w:rsidRDefault="00236F22" w:rsidP="00236F22">
      <w:pPr>
        <w:spacing w:after="160" w:line="256" w:lineRule="auto"/>
        <w:rPr>
          <w:rFonts w:ascii="Calibri" w:eastAsia="Calibri" w:hAnsi="Calibri" w:cs="Calibri"/>
          <w:sz w:val="20"/>
          <w:szCs w:val="20"/>
          <w:highlight w:val="white"/>
        </w:rPr>
      </w:pPr>
      <w:r>
        <w:rPr>
          <w:rFonts w:ascii="Calibri" w:eastAsia="Calibri" w:hAnsi="Calibri" w:cs="Calibri"/>
          <w:color w:val="222222"/>
          <w:highlight w:val="white"/>
        </w:rPr>
        <w:t xml:space="preserve">Ministry of Justice. (2014). </w:t>
      </w:r>
      <w:r>
        <w:rPr>
          <w:rFonts w:ascii="Calibri" w:eastAsia="Calibri" w:hAnsi="Calibri" w:cs="Calibri"/>
          <w:i/>
          <w:color w:val="222222"/>
          <w:highlight w:val="white"/>
        </w:rPr>
        <w:t>Multi-agency public protection arrangements (MAPPA): Guidance</w:t>
      </w:r>
      <w:r>
        <w:rPr>
          <w:rFonts w:ascii="Calibri" w:eastAsia="Calibri" w:hAnsi="Calibri" w:cs="Calibri"/>
          <w:color w:val="222222"/>
          <w:highlight w:val="white"/>
        </w:rPr>
        <w:t xml:space="preserve">. [Online]. GOV.UK. Last Updated: March 2014. Available at: </w:t>
      </w:r>
      <w:hyperlink r:id="rId10" w:history="1">
        <w:r>
          <w:rPr>
            <w:rStyle w:val="Hyperlink"/>
            <w:rFonts w:ascii="Calibri" w:eastAsia="Calibri" w:hAnsi="Calibri" w:cs="Calibri"/>
            <w:color w:val="1155CC"/>
            <w:highlight w:val="white"/>
          </w:rPr>
          <w:t>https://www.gov.uk/government/publications/multi-agency-public-protection-arrangements-mappa-guidanc</w:t>
        </w:r>
      </w:hyperlink>
      <w:r>
        <w:rPr>
          <w:rFonts w:ascii="Calibri" w:eastAsia="Calibri" w:hAnsi="Calibri" w:cs="Calibri"/>
          <w:color w:val="222222"/>
          <w:highlight w:val="white"/>
        </w:rPr>
        <w:t xml:space="preserve"> </w:t>
      </w:r>
    </w:p>
    <w:p w14:paraId="3835F07E" w14:textId="77777777" w:rsidR="00236F22" w:rsidRDefault="00236F22" w:rsidP="00236F22">
      <w:pPr>
        <w:spacing w:after="160" w:line="256" w:lineRule="auto"/>
        <w:rPr>
          <w:rFonts w:ascii="Calibri" w:eastAsia="Calibri" w:hAnsi="Calibri" w:cs="Calibri"/>
          <w:sz w:val="20"/>
          <w:szCs w:val="20"/>
          <w:highlight w:val="white"/>
        </w:rPr>
      </w:pPr>
      <w:bookmarkStart w:id="11" w:name="_kj3t691fipc7"/>
      <w:bookmarkEnd w:id="11"/>
    </w:p>
    <w:p w14:paraId="0857E459" w14:textId="77777777" w:rsidR="00236F22" w:rsidRDefault="00236F22" w:rsidP="00236F22">
      <w:pPr>
        <w:spacing w:after="160" w:line="256" w:lineRule="auto"/>
        <w:rPr>
          <w:rFonts w:ascii="Calibri" w:eastAsia="Calibri" w:hAnsi="Calibri" w:cs="Calibri"/>
          <w:color w:val="222222"/>
          <w:highlight w:val="white"/>
        </w:rPr>
      </w:pPr>
      <w:r>
        <w:rPr>
          <w:rFonts w:ascii="Calibri" w:eastAsia="Calibri" w:hAnsi="Calibri" w:cs="Calibri"/>
          <w:color w:val="222222"/>
          <w:highlight w:val="white"/>
        </w:rPr>
        <w:t xml:space="preserve">Patterson, E.B., (1991). Poverty, income inequality, and community crime rates. </w:t>
      </w:r>
      <w:r>
        <w:rPr>
          <w:rFonts w:ascii="Calibri" w:eastAsia="Calibri" w:hAnsi="Calibri" w:cs="Calibri"/>
          <w:i/>
          <w:color w:val="222222"/>
          <w:highlight w:val="white"/>
        </w:rPr>
        <w:t>Criminology</w:t>
      </w:r>
      <w:r>
        <w:rPr>
          <w:rFonts w:ascii="Calibri" w:eastAsia="Calibri" w:hAnsi="Calibri" w:cs="Calibri"/>
          <w:color w:val="222222"/>
          <w:highlight w:val="white"/>
        </w:rPr>
        <w:t xml:space="preserve">, </w:t>
      </w:r>
      <w:r>
        <w:rPr>
          <w:rFonts w:ascii="Calibri" w:eastAsia="Calibri" w:hAnsi="Calibri" w:cs="Calibri"/>
          <w:i/>
          <w:color w:val="222222"/>
          <w:highlight w:val="white"/>
        </w:rPr>
        <w:t>29</w:t>
      </w:r>
      <w:r>
        <w:rPr>
          <w:rFonts w:ascii="Calibri" w:eastAsia="Calibri" w:hAnsi="Calibri" w:cs="Calibri"/>
          <w:color w:val="222222"/>
          <w:highlight w:val="white"/>
        </w:rPr>
        <w:t>(4), pp.755-776.</w:t>
      </w:r>
    </w:p>
    <w:p w14:paraId="2EDFE441" w14:textId="77777777" w:rsidR="00236F22" w:rsidRDefault="00236F22" w:rsidP="00236F22">
      <w:pPr>
        <w:spacing w:after="160" w:line="256" w:lineRule="auto"/>
        <w:rPr>
          <w:rFonts w:ascii="Calibri" w:eastAsia="Calibri" w:hAnsi="Calibri" w:cs="Calibri"/>
          <w:color w:val="222222"/>
          <w:highlight w:val="white"/>
        </w:rPr>
      </w:pPr>
    </w:p>
    <w:p w14:paraId="5E4454BF" w14:textId="77777777" w:rsidR="00236F22" w:rsidRDefault="00236F22" w:rsidP="00236F22">
      <w:pPr>
        <w:rPr>
          <w:rFonts w:ascii="Calibri" w:eastAsia="Calibri" w:hAnsi="Calibri" w:cs="Calibri"/>
          <w:color w:val="222222"/>
          <w:highlight w:val="white"/>
        </w:rPr>
      </w:pPr>
      <w:r>
        <w:rPr>
          <w:rFonts w:ascii="Calibri" w:eastAsia="Calibri" w:hAnsi="Calibri" w:cs="Calibri"/>
          <w:color w:val="222222"/>
          <w:highlight w:val="white"/>
        </w:rPr>
        <w:t xml:space="preserve">Payne-James, J.J., Dean, P.J. and Keys, D.W., 1994. Drug misusers in police custody: a prospective survey. </w:t>
      </w:r>
      <w:r>
        <w:rPr>
          <w:rFonts w:ascii="Calibri" w:eastAsia="Calibri" w:hAnsi="Calibri" w:cs="Calibri"/>
          <w:i/>
          <w:color w:val="222222"/>
          <w:highlight w:val="white"/>
        </w:rPr>
        <w:t>Journal of the Royal Society of Medicine</w:t>
      </w:r>
      <w:r>
        <w:rPr>
          <w:rFonts w:ascii="Calibri" w:eastAsia="Calibri" w:hAnsi="Calibri" w:cs="Calibri"/>
          <w:color w:val="222222"/>
          <w:highlight w:val="white"/>
        </w:rPr>
        <w:t xml:space="preserve">, </w:t>
      </w:r>
      <w:r>
        <w:rPr>
          <w:rFonts w:ascii="Calibri" w:eastAsia="Calibri" w:hAnsi="Calibri" w:cs="Calibri"/>
          <w:i/>
          <w:color w:val="222222"/>
          <w:highlight w:val="white"/>
        </w:rPr>
        <w:t>87</w:t>
      </w:r>
      <w:r>
        <w:rPr>
          <w:rFonts w:ascii="Calibri" w:eastAsia="Calibri" w:hAnsi="Calibri" w:cs="Calibri"/>
          <w:color w:val="222222"/>
          <w:highlight w:val="white"/>
        </w:rPr>
        <w:t>(1), pp.13-14.</w:t>
      </w:r>
    </w:p>
    <w:p w14:paraId="7E7419FF" w14:textId="77777777" w:rsidR="00236F22" w:rsidRDefault="00236F22" w:rsidP="00236F22">
      <w:pPr>
        <w:spacing w:after="160" w:line="256" w:lineRule="auto"/>
        <w:rPr>
          <w:rFonts w:ascii="Calibri" w:eastAsia="Calibri" w:hAnsi="Calibri" w:cs="Calibri"/>
          <w:color w:val="222222"/>
          <w:highlight w:val="white"/>
        </w:rPr>
      </w:pPr>
    </w:p>
    <w:p w14:paraId="47163A15" w14:textId="77777777" w:rsidR="00236F22" w:rsidRDefault="00236F22" w:rsidP="00236F22">
      <w:pPr>
        <w:spacing w:before="240" w:after="240"/>
        <w:rPr>
          <w:rFonts w:ascii="Calibri" w:eastAsia="Calibri" w:hAnsi="Calibri" w:cs="Calibri"/>
        </w:rPr>
      </w:pPr>
      <w:r>
        <w:rPr>
          <w:rFonts w:ascii="Calibri" w:eastAsia="Calibri" w:hAnsi="Calibri" w:cs="Calibri"/>
        </w:rPr>
        <w:t xml:space="preserve">Pollack, E. and Allern, S. (2014) Criticism of the police in the news, </w:t>
      </w:r>
      <w:r>
        <w:rPr>
          <w:rFonts w:ascii="Calibri" w:eastAsia="Calibri" w:hAnsi="Calibri" w:cs="Calibri"/>
          <w:i/>
        </w:rPr>
        <w:t>Nordicom Review</w:t>
      </w:r>
      <w:r>
        <w:rPr>
          <w:rFonts w:ascii="Calibri" w:eastAsia="Calibri" w:hAnsi="Calibri" w:cs="Calibri"/>
        </w:rPr>
        <w:t xml:space="preserve">, 35(1), pp. 33–50. </w:t>
      </w:r>
    </w:p>
    <w:p w14:paraId="3ABF0794" w14:textId="77777777" w:rsidR="00236F22" w:rsidRDefault="00236F22" w:rsidP="00236F22">
      <w:pPr>
        <w:spacing w:before="240" w:after="240"/>
        <w:rPr>
          <w:rFonts w:ascii="Calibri" w:eastAsia="Calibri" w:hAnsi="Calibri" w:cs="Calibri"/>
        </w:rPr>
      </w:pPr>
    </w:p>
    <w:p w14:paraId="4D928B56" w14:textId="77777777" w:rsidR="00236F22" w:rsidRDefault="00236F22" w:rsidP="00236F22">
      <w:pPr>
        <w:rPr>
          <w:rFonts w:ascii="Calibri" w:eastAsia="Calibri" w:hAnsi="Calibri" w:cs="Calibri"/>
          <w:color w:val="222222"/>
          <w:highlight w:val="white"/>
        </w:rPr>
      </w:pPr>
      <w:r>
        <w:rPr>
          <w:rFonts w:ascii="Calibri" w:eastAsia="Calibri" w:hAnsi="Calibri" w:cs="Calibri"/>
          <w:color w:val="222222"/>
          <w:highlight w:val="white"/>
        </w:rPr>
        <w:t>Phillips, J., Hamilton, P., Coleman, C. and Whitfield, K., (2022). Promising approaches to knife crime: an exploratory study.</w:t>
      </w:r>
    </w:p>
    <w:p w14:paraId="09F84287" w14:textId="77777777" w:rsidR="00236F22" w:rsidRDefault="00236F22" w:rsidP="00236F22">
      <w:pPr>
        <w:rPr>
          <w:rFonts w:ascii="Calibri" w:eastAsia="Calibri" w:hAnsi="Calibri" w:cs="Calibri"/>
          <w:color w:val="222222"/>
          <w:highlight w:val="white"/>
        </w:rPr>
      </w:pPr>
    </w:p>
    <w:p w14:paraId="141CF82F" w14:textId="77777777" w:rsidR="00236F22" w:rsidRDefault="00236F22" w:rsidP="00236F22">
      <w:pPr>
        <w:rPr>
          <w:rFonts w:ascii="Calibri" w:eastAsia="Calibri" w:hAnsi="Calibri" w:cs="Calibri"/>
          <w:color w:val="222222"/>
          <w:highlight w:val="white"/>
        </w:rPr>
      </w:pPr>
      <w:r>
        <w:rPr>
          <w:rFonts w:ascii="Calibri" w:eastAsia="Calibri" w:hAnsi="Calibri" w:cs="Calibri"/>
          <w:color w:val="3A3A3A"/>
          <w:highlight w:val="white"/>
        </w:rPr>
        <w:t xml:space="preserve">Pycroft. (2012). </w:t>
      </w:r>
      <w:r>
        <w:rPr>
          <w:rFonts w:ascii="Calibri" w:eastAsia="Calibri" w:hAnsi="Calibri" w:cs="Calibri"/>
          <w:i/>
          <w:color w:val="3A3A3A"/>
          <w:highlight w:val="white"/>
        </w:rPr>
        <w:t>Risk and rehabilitation: Management and treatment of substance misuse and mental health problems in the criminal justice system</w:t>
      </w:r>
      <w:r>
        <w:rPr>
          <w:rFonts w:ascii="Calibri" w:eastAsia="Calibri" w:hAnsi="Calibri" w:cs="Calibri"/>
          <w:color w:val="3A3A3A"/>
          <w:highlight w:val="white"/>
        </w:rPr>
        <w:t xml:space="preserve"> (pp. viii–viii). Policy Press. https://doi.org/10.51952/9781447300229</w:t>
      </w:r>
    </w:p>
    <w:p w14:paraId="3669CCF6" w14:textId="77777777" w:rsidR="00236F22" w:rsidRDefault="00236F22" w:rsidP="00236F22">
      <w:pPr>
        <w:spacing w:after="160" w:line="256" w:lineRule="auto"/>
        <w:rPr>
          <w:rFonts w:ascii="Calibri" w:eastAsia="Calibri" w:hAnsi="Calibri" w:cs="Calibri"/>
          <w:color w:val="222222"/>
          <w:highlight w:val="white"/>
        </w:rPr>
      </w:pPr>
    </w:p>
    <w:p w14:paraId="13E8C174" w14:textId="77777777" w:rsidR="00236F22" w:rsidRDefault="00236F22" w:rsidP="00236F22">
      <w:pPr>
        <w:spacing w:after="160" w:line="256" w:lineRule="auto"/>
        <w:rPr>
          <w:rFonts w:ascii="Calibri" w:eastAsia="Calibri" w:hAnsi="Calibri" w:cs="Calibri"/>
          <w:color w:val="222222"/>
          <w:highlight w:val="white"/>
        </w:rPr>
      </w:pPr>
      <w:bookmarkStart w:id="12" w:name="_aiomihc5a8wu"/>
      <w:bookmarkEnd w:id="12"/>
      <w:r>
        <w:rPr>
          <w:rFonts w:ascii="Calibri" w:eastAsia="Calibri" w:hAnsi="Calibri" w:cs="Calibri"/>
          <w:color w:val="222222"/>
          <w:highlight w:val="white"/>
        </w:rPr>
        <w:t xml:space="preserve">Ralph, S., Capewell, C. and Bonnett, E. (2016). Disability hate crime: Persecuted for difference. </w:t>
      </w:r>
      <w:r>
        <w:rPr>
          <w:rFonts w:ascii="Calibri" w:eastAsia="Calibri" w:hAnsi="Calibri" w:cs="Calibri"/>
          <w:i/>
          <w:color w:val="222222"/>
          <w:highlight w:val="white"/>
        </w:rPr>
        <w:t>British Journal of Special Education</w:t>
      </w:r>
      <w:r>
        <w:rPr>
          <w:rFonts w:ascii="Calibri" w:eastAsia="Calibri" w:hAnsi="Calibri" w:cs="Calibri"/>
          <w:color w:val="222222"/>
          <w:highlight w:val="white"/>
        </w:rPr>
        <w:t xml:space="preserve">, </w:t>
      </w:r>
      <w:r>
        <w:rPr>
          <w:rFonts w:ascii="Calibri" w:eastAsia="Calibri" w:hAnsi="Calibri" w:cs="Calibri"/>
          <w:i/>
          <w:color w:val="222222"/>
          <w:highlight w:val="white"/>
        </w:rPr>
        <w:t>43</w:t>
      </w:r>
      <w:r>
        <w:rPr>
          <w:rFonts w:ascii="Calibri" w:eastAsia="Calibri" w:hAnsi="Calibri" w:cs="Calibri"/>
          <w:color w:val="222222"/>
          <w:highlight w:val="white"/>
        </w:rPr>
        <w:t>(3), pp.215-232.</w:t>
      </w:r>
    </w:p>
    <w:p w14:paraId="63522893" w14:textId="77777777" w:rsidR="00236F22" w:rsidRDefault="00236F22" w:rsidP="00236F22">
      <w:pPr>
        <w:spacing w:after="160" w:line="256" w:lineRule="auto"/>
        <w:rPr>
          <w:rFonts w:ascii="Calibri" w:eastAsia="Calibri" w:hAnsi="Calibri" w:cs="Calibri"/>
          <w:color w:val="222222"/>
          <w:highlight w:val="white"/>
        </w:rPr>
      </w:pPr>
      <w:bookmarkStart w:id="13" w:name="_q96gywatps5f"/>
      <w:bookmarkEnd w:id="13"/>
    </w:p>
    <w:p w14:paraId="61EB7A66" w14:textId="77777777" w:rsidR="00236F22" w:rsidRDefault="00236F22" w:rsidP="00236F22">
      <w:pPr>
        <w:spacing w:after="160" w:line="256" w:lineRule="auto"/>
        <w:rPr>
          <w:rFonts w:ascii="Calibri" w:eastAsia="Calibri" w:hAnsi="Calibri" w:cs="Calibri"/>
          <w:color w:val="222222"/>
          <w:highlight w:val="white"/>
        </w:rPr>
      </w:pPr>
      <w:r>
        <w:rPr>
          <w:rFonts w:ascii="Calibri" w:eastAsia="Calibri" w:hAnsi="Calibri" w:cs="Calibri"/>
          <w:color w:val="222222"/>
          <w:highlight w:val="white"/>
        </w:rPr>
        <w:t xml:space="preserve">Robinson, M. (2012). Police fears of being branded racist 'left grooming gang free to abuse teenage g. </w:t>
      </w:r>
      <w:r>
        <w:rPr>
          <w:rFonts w:ascii="Calibri" w:eastAsia="Calibri" w:hAnsi="Calibri" w:cs="Calibri"/>
          <w:i/>
          <w:color w:val="222222"/>
          <w:highlight w:val="white"/>
        </w:rPr>
        <w:t>Mail online</w:t>
      </w:r>
      <w:r>
        <w:rPr>
          <w:rFonts w:ascii="Calibri" w:eastAsia="Calibri" w:hAnsi="Calibri" w:cs="Calibri"/>
          <w:color w:val="222222"/>
          <w:highlight w:val="white"/>
        </w:rPr>
        <w:t>. [Online]. 09 may 2012. Available at https://www.dailymail.co.uk/news/article-2141740/Rochdale-child-sex-trial-Police-fears-branded-racist-left-grooming-gang [Accessed 24/03/23]</w:t>
      </w:r>
    </w:p>
    <w:p w14:paraId="21C38395" w14:textId="77777777" w:rsidR="00236F22" w:rsidRDefault="00236F22" w:rsidP="00236F22">
      <w:pPr>
        <w:spacing w:after="160" w:line="256" w:lineRule="auto"/>
        <w:rPr>
          <w:rFonts w:ascii="Calibri" w:eastAsia="Calibri" w:hAnsi="Calibri" w:cs="Calibri"/>
          <w:color w:val="222222"/>
          <w:highlight w:val="white"/>
        </w:rPr>
      </w:pPr>
    </w:p>
    <w:p w14:paraId="649BAD83" w14:textId="77777777" w:rsidR="00236F22" w:rsidRDefault="00236F22" w:rsidP="00236F22">
      <w:pPr>
        <w:rPr>
          <w:rFonts w:ascii="Calibri" w:eastAsia="Calibri" w:hAnsi="Calibri" w:cs="Calibri"/>
          <w:color w:val="222222"/>
          <w:highlight w:val="white"/>
        </w:rPr>
      </w:pPr>
      <w:r>
        <w:rPr>
          <w:rFonts w:ascii="Calibri" w:eastAsia="Calibri" w:hAnsi="Calibri" w:cs="Calibri"/>
          <w:color w:val="222222"/>
          <w:highlight w:val="white"/>
        </w:rPr>
        <w:t xml:space="preserve">Rocque, M., Welsh, B.C. and Raine, A., 2012. Biosocial criminology and modern crime prevention. </w:t>
      </w:r>
      <w:r>
        <w:rPr>
          <w:rFonts w:ascii="Calibri" w:eastAsia="Calibri" w:hAnsi="Calibri" w:cs="Calibri"/>
          <w:i/>
          <w:color w:val="222222"/>
          <w:highlight w:val="white"/>
        </w:rPr>
        <w:t>Journal of Criminal Justice</w:t>
      </w:r>
      <w:r>
        <w:rPr>
          <w:rFonts w:ascii="Calibri" w:eastAsia="Calibri" w:hAnsi="Calibri" w:cs="Calibri"/>
          <w:color w:val="222222"/>
          <w:highlight w:val="white"/>
        </w:rPr>
        <w:t xml:space="preserve">, </w:t>
      </w:r>
      <w:r>
        <w:rPr>
          <w:rFonts w:ascii="Calibri" w:eastAsia="Calibri" w:hAnsi="Calibri" w:cs="Calibri"/>
          <w:i/>
          <w:color w:val="222222"/>
          <w:highlight w:val="white"/>
        </w:rPr>
        <w:t>40</w:t>
      </w:r>
      <w:r>
        <w:rPr>
          <w:rFonts w:ascii="Calibri" w:eastAsia="Calibri" w:hAnsi="Calibri" w:cs="Calibri"/>
          <w:color w:val="222222"/>
          <w:highlight w:val="white"/>
        </w:rPr>
        <w:t>(4), pp.306-312.</w:t>
      </w:r>
    </w:p>
    <w:p w14:paraId="435C783F" w14:textId="77777777" w:rsidR="00236F22" w:rsidRDefault="00236F22" w:rsidP="00236F22">
      <w:pPr>
        <w:spacing w:after="160" w:line="256" w:lineRule="auto"/>
        <w:rPr>
          <w:rFonts w:ascii="Calibri" w:eastAsia="Calibri" w:hAnsi="Calibri" w:cs="Calibri"/>
          <w:color w:val="222222"/>
          <w:highlight w:val="white"/>
        </w:rPr>
      </w:pPr>
    </w:p>
    <w:p w14:paraId="4D7DD3D1" w14:textId="77777777" w:rsidR="00236F22" w:rsidRDefault="00236F22" w:rsidP="00236F22">
      <w:pPr>
        <w:spacing w:before="240" w:after="240"/>
        <w:rPr>
          <w:rFonts w:ascii="Calibri" w:eastAsia="Calibri" w:hAnsi="Calibri" w:cs="Calibri"/>
        </w:rPr>
      </w:pPr>
      <w:r>
        <w:rPr>
          <w:rFonts w:ascii="Calibri" w:eastAsia="Calibri" w:hAnsi="Calibri" w:cs="Calibri"/>
        </w:rPr>
        <w:t xml:space="preserve">Rölle, D. (2016) Mass media and bureaucracy-bashing: Does the media influence public attitudes towards Public Administration?, </w:t>
      </w:r>
      <w:r>
        <w:rPr>
          <w:rFonts w:ascii="Calibri" w:eastAsia="Calibri" w:hAnsi="Calibri" w:cs="Calibri"/>
          <w:i/>
        </w:rPr>
        <w:t>Public Policy and Administration</w:t>
      </w:r>
      <w:r>
        <w:rPr>
          <w:rFonts w:ascii="Calibri" w:eastAsia="Calibri" w:hAnsi="Calibri" w:cs="Calibri"/>
        </w:rPr>
        <w:t xml:space="preserve">, 32(3), pp. 232–258. </w:t>
      </w:r>
    </w:p>
    <w:p w14:paraId="6F33C4FA" w14:textId="77777777" w:rsidR="00236F22" w:rsidRDefault="00236F22" w:rsidP="00236F22">
      <w:pPr>
        <w:spacing w:before="240" w:after="240"/>
        <w:rPr>
          <w:rFonts w:ascii="Calibri" w:eastAsia="Calibri" w:hAnsi="Calibri" w:cs="Calibri"/>
        </w:rPr>
      </w:pPr>
    </w:p>
    <w:p w14:paraId="301892AC" w14:textId="77777777" w:rsidR="00236F22" w:rsidRDefault="00236F22" w:rsidP="00236F22">
      <w:pPr>
        <w:spacing w:before="240" w:after="240"/>
        <w:rPr>
          <w:rFonts w:ascii="Calibri" w:eastAsia="Calibri" w:hAnsi="Calibri" w:cs="Calibri"/>
        </w:rPr>
      </w:pPr>
      <w:r>
        <w:rPr>
          <w:rFonts w:ascii="Calibri" w:eastAsia="Calibri" w:hAnsi="Calibri" w:cs="Calibri"/>
          <w:color w:val="222222"/>
          <w:highlight w:val="white"/>
        </w:rPr>
        <w:t xml:space="preserve">Salter, M. and Dagistanli, S., 2015. Cultures of abuse:'sex grooming', organised abuse and race in Rochdale, UK. </w:t>
      </w:r>
      <w:r>
        <w:rPr>
          <w:rFonts w:ascii="Calibri" w:eastAsia="Calibri" w:hAnsi="Calibri" w:cs="Calibri"/>
          <w:i/>
          <w:color w:val="222222"/>
        </w:rPr>
        <w:t>International Journal for Crime, Justice and Social Democracy</w:t>
      </w:r>
      <w:r>
        <w:rPr>
          <w:rFonts w:ascii="Calibri" w:eastAsia="Calibri" w:hAnsi="Calibri" w:cs="Calibri"/>
          <w:color w:val="222222"/>
          <w:highlight w:val="white"/>
        </w:rPr>
        <w:t xml:space="preserve">, </w:t>
      </w:r>
      <w:r>
        <w:rPr>
          <w:rFonts w:ascii="Calibri" w:eastAsia="Calibri" w:hAnsi="Calibri" w:cs="Calibri"/>
          <w:i/>
          <w:color w:val="222222"/>
        </w:rPr>
        <w:t>4</w:t>
      </w:r>
      <w:r>
        <w:rPr>
          <w:rFonts w:ascii="Calibri" w:eastAsia="Calibri" w:hAnsi="Calibri" w:cs="Calibri"/>
          <w:color w:val="222222"/>
          <w:highlight w:val="white"/>
        </w:rPr>
        <w:t>(2), pp.50-64.</w:t>
      </w:r>
    </w:p>
    <w:p w14:paraId="39BFA108" w14:textId="77777777" w:rsidR="00236F22" w:rsidRDefault="00236F22" w:rsidP="00236F22">
      <w:pPr>
        <w:spacing w:after="160" w:line="256" w:lineRule="auto"/>
        <w:rPr>
          <w:color w:val="222222"/>
          <w:sz w:val="20"/>
          <w:szCs w:val="20"/>
          <w:highlight w:val="white"/>
        </w:rPr>
      </w:pPr>
      <w:bookmarkStart w:id="14" w:name="_xhqcsuvs1czm"/>
      <w:bookmarkEnd w:id="14"/>
    </w:p>
    <w:p w14:paraId="079193DD" w14:textId="77777777" w:rsidR="00236F22" w:rsidRDefault="00236F22" w:rsidP="00236F22">
      <w:pPr>
        <w:spacing w:after="160" w:line="256" w:lineRule="auto"/>
        <w:rPr>
          <w:rFonts w:ascii="Calibri" w:eastAsia="Calibri" w:hAnsi="Calibri" w:cs="Calibri"/>
          <w:color w:val="222222"/>
          <w:highlight w:val="white"/>
        </w:rPr>
      </w:pPr>
      <w:bookmarkStart w:id="15" w:name="_b0fjudn208wv"/>
      <w:bookmarkEnd w:id="15"/>
      <w:r>
        <w:rPr>
          <w:rFonts w:ascii="Calibri" w:eastAsia="Calibri" w:hAnsi="Calibri" w:cs="Calibri"/>
          <w:color w:val="222222"/>
          <w:highlight w:val="white"/>
        </w:rPr>
        <w:t xml:space="preserve">Shakespeare, T., (2012). Blaming the victim: Disability hate crime. </w:t>
      </w:r>
      <w:r>
        <w:rPr>
          <w:rFonts w:ascii="Calibri" w:eastAsia="Calibri" w:hAnsi="Calibri" w:cs="Calibri"/>
          <w:i/>
          <w:color w:val="222222"/>
          <w:highlight w:val="white"/>
        </w:rPr>
        <w:t>The Lancet</w:t>
      </w:r>
      <w:r>
        <w:rPr>
          <w:rFonts w:ascii="Calibri" w:eastAsia="Calibri" w:hAnsi="Calibri" w:cs="Calibri"/>
          <w:color w:val="222222"/>
          <w:highlight w:val="white"/>
        </w:rPr>
        <w:t xml:space="preserve">, </w:t>
      </w:r>
      <w:r>
        <w:rPr>
          <w:rFonts w:ascii="Calibri" w:eastAsia="Calibri" w:hAnsi="Calibri" w:cs="Calibri"/>
          <w:i/>
          <w:color w:val="222222"/>
          <w:highlight w:val="white"/>
        </w:rPr>
        <w:t>380</w:t>
      </w:r>
      <w:r>
        <w:rPr>
          <w:rFonts w:ascii="Calibri" w:eastAsia="Calibri" w:hAnsi="Calibri" w:cs="Calibri"/>
          <w:color w:val="222222"/>
          <w:highlight w:val="white"/>
        </w:rPr>
        <w:t>(9845), p.878.</w:t>
      </w:r>
    </w:p>
    <w:p w14:paraId="76E24499" w14:textId="77777777" w:rsidR="00236F22" w:rsidRDefault="00236F22" w:rsidP="00236F22">
      <w:pPr>
        <w:spacing w:before="240" w:after="240"/>
        <w:rPr>
          <w:rFonts w:ascii="Calibri" w:eastAsia="Calibri" w:hAnsi="Calibri" w:cs="Calibri"/>
        </w:rPr>
      </w:pPr>
    </w:p>
    <w:p w14:paraId="616E8E14" w14:textId="77777777" w:rsidR="00236F22" w:rsidRDefault="00236F22" w:rsidP="00236F22">
      <w:pPr>
        <w:spacing w:before="240" w:after="240"/>
        <w:rPr>
          <w:rFonts w:ascii="Calibri" w:eastAsia="Calibri" w:hAnsi="Calibri" w:cs="Calibri"/>
          <w:color w:val="222222"/>
          <w:highlight w:val="white"/>
        </w:rPr>
      </w:pPr>
      <w:r>
        <w:rPr>
          <w:rFonts w:ascii="Calibri" w:eastAsia="Calibri" w:hAnsi="Calibri" w:cs="Calibri"/>
          <w:highlight w:val="white"/>
        </w:rPr>
        <w:t>Sian, K, Law, I, &amp; Sayyid, S (2013). ‘Racism, Governance, and Public Policy: Beyond Human Rights’, Taylor &amp; Francis Group, London.</w:t>
      </w:r>
    </w:p>
    <w:p w14:paraId="694D6FB4" w14:textId="77777777" w:rsidR="00236F22" w:rsidRDefault="00236F22" w:rsidP="00236F22">
      <w:pPr>
        <w:spacing w:after="160" w:line="256" w:lineRule="auto"/>
        <w:rPr>
          <w:rFonts w:ascii="Calibri" w:eastAsia="Calibri" w:hAnsi="Calibri" w:cs="Calibri"/>
          <w:color w:val="222222"/>
          <w:highlight w:val="white"/>
        </w:rPr>
      </w:pPr>
      <w:bookmarkStart w:id="16" w:name="_pm77hbmmj9ev"/>
      <w:bookmarkEnd w:id="16"/>
    </w:p>
    <w:p w14:paraId="5AC32F72" w14:textId="77777777" w:rsidR="00236F22" w:rsidRDefault="00236F22" w:rsidP="00236F22">
      <w:pPr>
        <w:spacing w:after="160" w:line="256" w:lineRule="auto"/>
        <w:rPr>
          <w:rFonts w:ascii="Calibri" w:eastAsia="Calibri" w:hAnsi="Calibri" w:cs="Calibri"/>
          <w:color w:val="222222"/>
          <w:highlight w:val="white"/>
        </w:rPr>
      </w:pPr>
      <w:r>
        <w:rPr>
          <w:rFonts w:ascii="Calibri" w:eastAsia="Calibri" w:hAnsi="Calibri" w:cs="Calibri"/>
          <w:color w:val="222222"/>
          <w:highlight w:val="white"/>
        </w:rPr>
        <w:t xml:space="preserve">Solymosi, R., Petcu, O. and Wilkinson, J., (2021). ‘Exploring public engagement with missing person appeals on Twitter’. </w:t>
      </w:r>
      <w:r>
        <w:rPr>
          <w:rFonts w:ascii="Calibri" w:eastAsia="Calibri" w:hAnsi="Calibri" w:cs="Calibri"/>
          <w:i/>
          <w:color w:val="222222"/>
          <w:highlight w:val="white"/>
        </w:rPr>
        <w:t>Policing and Society</w:t>
      </w:r>
      <w:r>
        <w:rPr>
          <w:rFonts w:ascii="Calibri" w:eastAsia="Calibri" w:hAnsi="Calibri" w:cs="Calibri"/>
          <w:color w:val="222222"/>
          <w:highlight w:val="white"/>
        </w:rPr>
        <w:t xml:space="preserve">, </w:t>
      </w:r>
      <w:r>
        <w:rPr>
          <w:rFonts w:ascii="Calibri" w:eastAsia="Calibri" w:hAnsi="Calibri" w:cs="Calibri"/>
          <w:i/>
          <w:color w:val="222222"/>
          <w:highlight w:val="white"/>
        </w:rPr>
        <w:t>31</w:t>
      </w:r>
      <w:r>
        <w:rPr>
          <w:rFonts w:ascii="Calibri" w:eastAsia="Calibri" w:hAnsi="Calibri" w:cs="Calibri"/>
          <w:color w:val="222222"/>
          <w:highlight w:val="white"/>
        </w:rPr>
        <w:t>(7), pp.798-821.</w:t>
      </w:r>
    </w:p>
    <w:p w14:paraId="0D000734" w14:textId="77777777" w:rsidR="00236F22" w:rsidRDefault="00236F22" w:rsidP="00236F22">
      <w:pPr>
        <w:spacing w:after="160" w:line="256" w:lineRule="auto"/>
        <w:rPr>
          <w:rFonts w:ascii="Calibri" w:eastAsia="Calibri" w:hAnsi="Calibri" w:cs="Calibri"/>
          <w:color w:val="222222"/>
          <w:highlight w:val="white"/>
        </w:rPr>
      </w:pPr>
    </w:p>
    <w:p w14:paraId="552100C0" w14:textId="77777777" w:rsidR="00236F22" w:rsidRDefault="00236F22" w:rsidP="00236F22">
      <w:pPr>
        <w:rPr>
          <w:rFonts w:ascii="Calibri" w:eastAsia="Calibri" w:hAnsi="Calibri" w:cs="Calibri"/>
          <w:color w:val="222222"/>
          <w:highlight w:val="white"/>
        </w:rPr>
      </w:pPr>
      <w:r>
        <w:rPr>
          <w:rFonts w:ascii="Calibri" w:eastAsia="Calibri" w:hAnsi="Calibri" w:cs="Calibri"/>
          <w:color w:val="222222"/>
          <w:highlight w:val="white"/>
        </w:rPr>
        <w:t xml:space="preserve">Squires, P., Silvestri, A., Grimshaw, R. and Solomon, E., 2008. </w:t>
      </w:r>
      <w:r>
        <w:rPr>
          <w:rFonts w:ascii="Calibri" w:eastAsia="Calibri" w:hAnsi="Calibri" w:cs="Calibri"/>
          <w:i/>
          <w:color w:val="222222"/>
          <w:highlight w:val="white"/>
        </w:rPr>
        <w:t>Street weapons commission: Guns, knives and street violence</w:t>
      </w:r>
      <w:r>
        <w:rPr>
          <w:rFonts w:ascii="Calibri" w:eastAsia="Calibri" w:hAnsi="Calibri" w:cs="Calibri"/>
          <w:color w:val="222222"/>
          <w:highlight w:val="white"/>
        </w:rPr>
        <w:t>. London: Centre for Crime and Justice Studies.</w:t>
      </w:r>
    </w:p>
    <w:p w14:paraId="6E269BB1" w14:textId="77777777" w:rsidR="00236F22" w:rsidRDefault="00236F22" w:rsidP="00236F22">
      <w:pPr>
        <w:spacing w:after="160" w:line="256" w:lineRule="auto"/>
        <w:rPr>
          <w:rFonts w:ascii="Calibri" w:eastAsia="Calibri" w:hAnsi="Calibri" w:cs="Calibri"/>
          <w:color w:val="222222"/>
          <w:highlight w:val="white"/>
        </w:rPr>
      </w:pPr>
    </w:p>
    <w:p w14:paraId="5A2FBC40" w14:textId="77777777" w:rsidR="00236F22" w:rsidRDefault="00236F22" w:rsidP="00236F22">
      <w:pPr>
        <w:spacing w:after="160" w:line="256" w:lineRule="auto"/>
        <w:rPr>
          <w:rFonts w:ascii="Calibri" w:eastAsia="Calibri" w:hAnsi="Calibri" w:cs="Calibri"/>
          <w:color w:val="222222"/>
          <w:highlight w:val="white"/>
        </w:rPr>
      </w:pPr>
      <w:bookmarkStart w:id="17" w:name="_aeuqaxfoogtg"/>
      <w:bookmarkEnd w:id="17"/>
      <w:r>
        <w:rPr>
          <w:rFonts w:ascii="Calibri" w:eastAsia="Calibri" w:hAnsi="Calibri" w:cs="Calibri"/>
          <w:color w:val="222222"/>
          <w:highlight w:val="white"/>
        </w:rPr>
        <w:t>Taylor, P.J., Corteen, K., Ogden, C.A. and Morely, S., (2012). ‘Standing by’: disability hate crime and the police in England.</w:t>
      </w:r>
    </w:p>
    <w:p w14:paraId="7455D344" w14:textId="77777777" w:rsidR="00236F22" w:rsidRDefault="00236F22" w:rsidP="00236F22">
      <w:pPr>
        <w:spacing w:after="160" w:line="256" w:lineRule="auto"/>
        <w:rPr>
          <w:rFonts w:ascii="Calibri" w:eastAsia="Calibri" w:hAnsi="Calibri" w:cs="Calibri"/>
          <w:color w:val="222222"/>
          <w:highlight w:val="white"/>
        </w:rPr>
      </w:pPr>
      <w:bookmarkStart w:id="18" w:name="_4pteshza4go9"/>
      <w:bookmarkEnd w:id="18"/>
    </w:p>
    <w:p w14:paraId="1B96C6C0" w14:textId="77777777" w:rsidR="00236F22" w:rsidRDefault="00236F22" w:rsidP="00236F22">
      <w:pPr>
        <w:spacing w:before="240"/>
        <w:rPr>
          <w:rFonts w:ascii="Calibri" w:eastAsia="Calibri" w:hAnsi="Calibri" w:cs="Calibri"/>
        </w:rPr>
      </w:pPr>
      <w:r>
        <w:rPr>
          <w:rFonts w:ascii="Calibri" w:eastAsia="Calibri" w:hAnsi="Calibri" w:cs="Calibri"/>
          <w:color w:val="222222"/>
          <w:highlight w:val="white"/>
        </w:rPr>
        <w:t xml:space="preserve">Tufail, W., (2015). ‘Rotherham, Rochdale, and the racialised threat of the 'Muslim Grooming Gang'. </w:t>
      </w:r>
      <w:r>
        <w:rPr>
          <w:rFonts w:ascii="Calibri" w:eastAsia="Calibri" w:hAnsi="Calibri" w:cs="Calibri"/>
          <w:i/>
        </w:rPr>
        <w:t>International Journal for Crime, Justice and Social Democracy</w:t>
      </w:r>
      <w:r>
        <w:rPr>
          <w:rFonts w:ascii="Calibri" w:eastAsia="Calibri" w:hAnsi="Calibri" w:cs="Calibri"/>
        </w:rPr>
        <w:t xml:space="preserve">, </w:t>
      </w:r>
      <w:r>
        <w:rPr>
          <w:rFonts w:ascii="Calibri" w:eastAsia="Calibri" w:hAnsi="Calibri" w:cs="Calibri"/>
          <w:i/>
        </w:rPr>
        <w:t>4</w:t>
      </w:r>
      <w:r>
        <w:rPr>
          <w:rFonts w:ascii="Calibri" w:eastAsia="Calibri" w:hAnsi="Calibri" w:cs="Calibri"/>
        </w:rPr>
        <w:t xml:space="preserve">(3), pp.30-43.. Rotherham, Rochdale, and the racialised threat of the'Muslim Grooming Gang'. </w:t>
      </w:r>
      <w:r>
        <w:rPr>
          <w:rFonts w:ascii="Calibri" w:eastAsia="Calibri" w:hAnsi="Calibri" w:cs="Calibri"/>
          <w:i/>
        </w:rPr>
        <w:t>International Journal for Crime, Justice and Social Democracy</w:t>
      </w:r>
      <w:r>
        <w:rPr>
          <w:rFonts w:ascii="Calibri" w:eastAsia="Calibri" w:hAnsi="Calibri" w:cs="Calibri"/>
        </w:rPr>
        <w:t xml:space="preserve">, </w:t>
      </w:r>
      <w:r>
        <w:rPr>
          <w:rFonts w:ascii="Calibri" w:eastAsia="Calibri" w:hAnsi="Calibri" w:cs="Calibri"/>
          <w:i/>
        </w:rPr>
        <w:t>4</w:t>
      </w:r>
      <w:r>
        <w:rPr>
          <w:rFonts w:ascii="Calibri" w:eastAsia="Calibri" w:hAnsi="Calibri" w:cs="Calibri"/>
        </w:rPr>
        <w:t>(3), pp.30-43.</w:t>
      </w:r>
    </w:p>
    <w:p w14:paraId="02536EB9" w14:textId="77777777" w:rsidR="00236F22" w:rsidRDefault="00236F22" w:rsidP="00236F22">
      <w:pPr>
        <w:spacing w:before="240" w:after="240"/>
        <w:rPr>
          <w:rFonts w:ascii="Calibri" w:eastAsia="Calibri" w:hAnsi="Calibri" w:cs="Calibri"/>
          <w:highlight w:val="white"/>
        </w:rPr>
      </w:pPr>
    </w:p>
    <w:p w14:paraId="55CB60CF" w14:textId="77777777" w:rsidR="00236F22" w:rsidRDefault="00236F22" w:rsidP="00236F22">
      <w:pPr>
        <w:spacing w:before="240" w:after="240"/>
        <w:rPr>
          <w:rFonts w:ascii="Calibri" w:eastAsia="Calibri" w:hAnsi="Calibri" w:cs="Calibri"/>
        </w:rPr>
      </w:pPr>
      <w:r>
        <w:rPr>
          <w:rFonts w:ascii="Calibri" w:eastAsia="Calibri" w:hAnsi="Calibri" w:cs="Calibri"/>
          <w:color w:val="222222"/>
          <w:highlight w:val="white"/>
        </w:rPr>
        <w:t xml:space="preserve">Wilcox, P., 2008. Constructing the victim and perpetrator of domestic violence. </w:t>
      </w:r>
      <w:r>
        <w:rPr>
          <w:rFonts w:ascii="Calibri" w:eastAsia="Calibri" w:hAnsi="Calibri" w:cs="Calibri"/>
          <w:i/>
        </w:rPr>
        <w:t>Media, representation and society</w:t>
      </w:r>
      <w:r>
        <w:rPr>
          <w:rFonts w:ascii="Calibri" w:eastAsia="Calibri" w:hAnsi="Calibri" w:cs="Calibri"/>
        </w:rPr>
        <w:t>, pp.76-98.</w:t>
      </w:r>
    </w:p>
    <w:p w14:paraId="764DC87B" w14:textId="77777777" w:rsidR="00236F22" w:rsidRDefault="00236F22" w:rsidP="00236F22">
      <w:pPr>
        <w:spacing w:before="240" w:after="240"/>
      </w:pPr>
    </w:p>
    <w:p w14:paraId="2B7CB2C0" w14:textId="77777777" w:rsidR="007C3775" w:rsidRDefault="007C3775"/>
    <w:sectPr w:rsidR="007C37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16896" w14:textId="77777777" w:rsidR="00236F22" w:rsidRDefault="00236F22" w:rsidP="00236F22">
      <w:pPr>
        <w:spacing w:line="240" w:lineRule="auto"/>
      </w:pPr>
      <w:r>
        <w:separator/>
      </w:r>
    </w:p>
  </w:endnote>
  <w:endnote w:type="continuationSeparator" w:id="0">
    <w:p w14:paraId="2E3FEECB" w14:textId="77777777" w:rsidR="00236F22" w:rsidRDefault="00236F22" w:rsidP="00236F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F1822" w14:textId="77777777" w:rsidR="00236F22" w:rsidRDefault="00236F22" w:rsidP="00236F22">
      <w:pPr>
        <w:spacing w:line="240" w:lineRule="auto"/>
      </w:pPr>
      <w:r>
        <w:separator/>
      </w:r>
    </w:p>
  </w:footnote>
  <w:footnote w:type="continuationSeparator" w:id="0">
    <w:p w14:paraId="04A36055" w14:textId="77777777" w:rsidR="00236F22" w:rsidRDefault="00236F22" w:rsidP="00236F2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F22"/>
    <w:rsid w:val="00236F22"/>
    <w:rsid w:val="007C3775"/>
    <w:rsid w:val="00A91C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1138D3"/>
  <w15:chartTrackingRefBased/>
  <w15:docId w15:val="{61CE00D3-E59B-483C-B18B-32F91D20E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6F22"/>
    <w:pPr>
      <w:spacing w:after="0" w:line="276" w:lineRule="auto"/>
    </w:pPr>
    <w:rPr>
      <w:rFonts w:ascii="Arial" w:eastAsia="Arial" w:hAnsi="Arial"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36F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019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ticeinspectorates.gov.uk/hmicfrs/media/Multi-agency-public-protection-arrangements.pd" TargetMode="External"/><Relationship Id="rId3" Type="http://schemas.openxmlformats.org/officeDocument/2006/relationships/webSettings" Target="webSettings.xml"/><Relationship Id="rId7" Type="http://schemas.openxmlformats.org/officeDocument/2006/relationships/hyperlink" Target="https://doi.org/10.1111/j.1745-9125.1994.tb01144.x"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5204/ijcjsd.v4i2.214"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www.gov.uk/government/publications/multi-agency-public-protection-arrangements-mappa-guidanc" TargetMode="External"/><Relationship Id="rId4" Type="http://schemas.openxmlformats.org/officeDocument/2006/relationships/footnotes" Target="footnotes.xml"/><Relationship Id="rId9" Type="http://schemas.openxmlformats.org/officeDocument/2006/relationships/hyperlink" Target="https://www.cps.gov.uk/sites/default/files/documents/legal_guidance/OD_00004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5581</Words>
  <Characters>31815</Characters>
  <Application>Microsoft Office Word</Application>
  <DocSecurity>0</DocSecurity>
  <Lines>265</Lines>
  <Paragraphs>74</Paragraphs>
  <ScaleCrop>false</ScaleCrop>
  <Company/>
  <LinksUpToDate>false</LinksUpToDate>
  <CharactersWithSpaces>37322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Fleming,Stephanie swp8158</dc:creator>
  <cp:keywords/>
  <dc:description/>
  <cp:lastModifiedBy>Fleming,Stephanie swp8158</cp:lastModifiedBy>
  <cp:revision>2</cp:revision>
  <dcterms:created xsi:type="dcterms:W3CDTF">2023-05-05T19:45:00Z</dcterms:created>
  <dcterms:modified xsi:type="dcterms:W3CDTF">2023-05-05T19:45:00Z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2023-05-05T19:32:26Z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0c72997e-13c6-49a5-bbfc-1879cd4100b6</vt:lpwstr>
  </property>
  <property fmtid="{D5CDD505-2E9C-101B-9397-08002B2CF9AE}" pid="8" name="MSIP_Label_66cf8fe5-b7b7-4df7-b38d-1c61ac2f6639_ContentBits">
    <vt:lpwstr>0</vt:lpwstr>
  </property>
</Properties>
</file>