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13D4BB" w14:textId="3CB4754F" w:rsidR="00546122" w:rsidRDefault="000E5B1E" w:rsidP="00546122">
      <w:pPr>
        <w:rPr>
          <w:sz w:val="24"/>
        </w:rPr>
      </w:pPr>
      <w:r>
        <w:rPr>
          <w:sz w:val="24"/>
        </w:rPr>
        <w:t>Religious experiences are events, either individual or in a larger group, that are believed to be direct contact with a deity or God. These experiences have been used to attempt to prove God’s existence, as they suggest that there has been direct contact with God</w:t>
      </w:r>
      <w:r w:rsidR="008F4172">
        <w:rPr>
          <w:sz w:val="24"/>
        </w:rPr>
        <w:t xml:space="preserve">. Through this idea they can be argued to provide evidence for the existence of God. Although, it is important to note that religious experiences are often personal, spiritually significant for the individual or group that has been involved. As science develops it has presented problems with this argument, for example the knowledge gained from neurological research and what this may suggest about the origin of these religious experiences. </w:t>
      </w:r>
      <w:r w:rsidR="00AE505B">
        <w:rPr>
          <w:sz w:val="24"/>
        </w:rPr>
        <w:t>These p</w:t>
      </w:r>
      <w:r w:rsidR="005B67C1">
        <w:rPr>
          <w:sz w:val="24"/>
        </w:rPr>
        <w:t xml:space="preserve">roblems with the religious experience argument are </w:t>
      </w:r>
      <w:r w:rsidR="00AE505B">
        <w:rPr>
          <w:sz w:val="24"/>
        </w:rPr>
        <w:t>supported by</w:t>
      </w:r>
      <w:r w:rsidR="005B67C1">
        <w:rPr>
          <w:sz w:val="24"/>
        </w:rPr>
        <w:t xml:space="preserve"> through the materialistic approach, arguing that </w:t>
      </w:r>
      <w:r w:rsidR="00304ACF">
        <w:rPr>
          <w:sz w:val="24"/>
        </w:rPr>
        <w:t xml:space="preserve">there is a biological, as well as other, explanations for why people have these experiences and that it is not a God. </w:t>
      </w:r>
      <w:r w:rsidR="00A74E24">
        <w:rPr>
          <w:sz w:val="24"/>
        </w:rPr>
        <w:t>For example, ideas surrounding the individuals brain chemistry, such as narcotics or hallucinations. However, William James presents support for the validity and the personal result of the religious experience and if this experience has resulted in a significant affect for the individual. James suggests that this is the most important aspect of religious experiences as they are considered truth for those involved</w:t>
      </w:r>
      <w:r w:rsidR="007B47F7">
        <w:rPr>
          <w:sz w:val="24"/>
        </w:rPr>
        <w:t xml:space="preserve">. Through discussing these ideas, it can be seen if religious experiences provide </w:t>
      </w:r>
      <w:r w:rsidR="00F3693D">
        <w:rPr>
          <w:sz w:val="24"/>
        </w:rPr>
        <w:t xml:space="preserve">convincing </w:t>
      </w:r>
      <w:r w:rsidR="007B47F7">
        <w:rPr>
          <w:sz w:val="24"/>
        </w:rPr>
        <w:t xml:space="preserve">evidence for the existence of God, and if so, is it enough evidence to objectively prove that God does exist. The ideas of the spiritual evidence and affect it has had on the person or group who had the experience is also important to be considered, as these events are having a profound </w:t>
      </w:r>
      <w:r w:rsidR="00BA1A6F">
        <w:rPr>
          <w:sz w:val="24"/>
        </w:rPr>
        <w:t>effect</w:t>
      </w:r>
      <w:r w:rsidR="007B47F7">
        <w:rPr>
          <w:sz w:val="24"/>
        </w:rPr>
        <w:t xml:space="preserve"> on these people. </w:t>
      </w:r>
      <w:r w:rsidR="00546122">
        <w:rPr>
          <w:sz w:val="24"/>
        </w:rPr>
        <w:t xml:space="preserve">This suggests that the affect these experiences </w:t>
      </w:r>
      <w:bookmarkStart w:id="0" w:name="_GoBack"/>
      <w:bookmarkEnd w:id="0"/>
      <w:r w:rsidR="00546122">
        <w:rPr>
          <w:sz w:val="24"/>
        </w:rPr>
        <w:t xml:space="preserve">have also reflect a validity to the experience itself, as it significantly affects the people who claim to have an experience. However, it is to be seen if this argument is strong enough to prove God with no doubt. The evidence against religious experiences, that recent neurological science suggests, must also be discussed as there is a biological argument against religious experiences, that attempts to provide a scientific reason for these experiences. </w:t>
      </w:r>
    </w:p>
    <w:p w14:paraId="50D4F2D5" w14:textId="77777777" w:rsidR="00FF6CD1" w:rsidRDefault="00FF6CD1" w:rsidP="00FF6CD1">
      <w:pPr>
        <w:rPr>
          <w:sz w:val="24"/>
        </w:rPr>
      </w:pPr>
      <w:r>
        <w:rPr>
          <w:sz w:val="24"/>
        </w:rPr>
        <w:t xml:space="preserve">Firstly, it is important to discuss the argument from religious experience and what it attempts to prove. Brian Davis explains, a person after </w:t>
      </w:r>
      <w:r w:rsidR="00DA4389">
        <w:rPr>
          <w:sz w:val="24"/>
        </w:rPr>
        <w:t>having a</w:t>
      </w:r>
      <w:r>
        <w:rPr>
          <w:sz w:val="24"/>
        </w:rPr>
        <w:t xml:space="preserve"> religious experience would suggest that “ I can reasonably say that there is a God because I have directly experienced it.”</w:t>
      </w:r>
      <w:r>
        <w:rPr>
          <w:rStyle w:val="FootnoteReference"/>
          <w:sz w:val="24"/>
        </w:rPr>
        <w:footnoteReference w:id="1"/>
      </w:r>
      <w:r>
        <w:rPr>
          <w:sz w:val="24"/>
        </w:rPr>
        <w:t xml:space="preserve"> </w:t>
      </w:r>
      <w:r w:rsidR="0024499D">
        <w:rPr>
          <w:sz w:val="24"/>
        </w:rPr>
        <w:t xml:space="preserve">This is the basis for the argument from religious experience. After having a religious experience, it can be suggested that the individual may believe that this has proven the existence of a God. This can be seen as </w:t>
      </w:r>
      <w:r w:rsidR="003C7A46">
        <w:rPr>
          <w:sz w:val="24"/>
        </w:rPr>
        <w:t>Davis explain</w:t>
      </w:r>
      <w:r w:rsidR="00CB0D76">
        <w:rPr>
          <w:sz w:val="24"/>
        </w:rPr>
        <w:t>s</w:t>
      </w:r>
      <w:r w:rsidR="003C7A46">
        <w:rPr>
          <w:sz w:val="24"/>
        </w:rPr>
        <w:t>, it is empirical proof for the individual or group that there is a God, as the experience is the undoubtable proof</w:t>
      </w:r>
      <w:r w:rsidR="00C171C7">
        <w:rPr>
          <w:sz w:val="24"/>
        </w:rPr>
        <w:t xml:space="preserve"> that they believe they have experienced God or heaven</w:t>
      </w:r>
      <w:r w:rsidR="003C7A46">
        <w:rPr>
          <w:sz w:val="24"/>
        </w:rPr>
        <w:t xml:space="preserve">. </w:t>
      </w:r>
      <w:r w:rsidR="00E84806">
        <w:rPr>
          <w:sz w:val="24"/>
        </w:rPr>
        <w:t xml:space="preserve">Thus, the argument from religious experience claims that these experiences are evidence that God exists, something must be responsible for the origin of these experiences. These experiences also rely on empirical </w:t>
      </w:r>
      <w:r w:rsidR="00160BAD">
        <w:rPr>
          <w:sz w:val="24"/>
        </w:rPr>
        <w:t>experience and</w:t>
      </w:r>
      <w:r w:rsidR="00E84806">
        <w:rPr>
          <w:sz w:val="24"/>
        </w:rPr>
        <w:t xml:space="preserve"> are experienced in the same way that everyday experiences are, through the senses and perception. </w:t>
      </w:r>
      <w:r w:rsidR="00160BAD">
        <w:rPr>
          <w:sz w:val="24"/>
        </w:rPr>
        <w:t>This idea suggests that these experiences are valid and should be taken into account when questioning the existence of God</w:t>
      </w:r>
      <w:r w:rsidR="001402BB">
        <w:rPr>
          <w:sz w:val="24"/>
        </w:rPr>
        <w:t xml:space="preserve"> as D.G Attfield presents, if you experience a tree then the tree is real</w:t>
      </w:r>
      <w:r w:rsidR="00744C7C">
        <w:rPr>
          <w:sz w:val="24"/>
        </w:rPr>
        <w:t>, you see the tree because it is there</w:t>
      </w:r>
      <w:r w:rsidR="001402BB">
        <w:rPr>
          <w:sz w:val="24"/>
        </w:rPr>
        <w:t>. This is the same for God through the medium of religious experiences</w:t>
      </w:r>
      <w:r w:rsidR="00961B9E">
        <w:rPr>
          <w:sz w:val="24"/>
        </w:rPr>
        <w:t xml:space="preserve"> where the individual experiences God</w:t>
      </w:r>
      <w:r w:rsidR="001402BB">
        <w:rPr>
          <w:sz w:val="24"/>
        </w:rPr>
        <w:t xml:space="preserve">. These </w:t>
      </w:r>
      <w:r w:rsidR="001402BB">
        <w:rPr>
          <w:sz w:val="24"/>
        </w:rPr>
        <w:lastRenderedPageBreak/>
        <w:t>individuals experience God and so God exists.</w:t>
      </w:r>
      <w:r w:rsidR="001177D6">
        <w:rPr>
          <w:rStyle w:val="FootnoteReference"/>
          <w:sz w:val="24"/>
        </w:rPr>
        <w:footnoteReference w:id="2"/>
      </w:r>
      <w:r w:rsidR="00542309">
        <w:rPr>
          <w:sz w:val="24"/>
        </w:rPr>
        <w:t xml:space="preserve"> The argument claims that the origin of these experiences is God. William James’ ideas can be </w:t>
      </w:r>
      <w:r w:rsidR="0029666F">
        <w:rPr>
          <w:sz w:val="24"/>
        </w:rPr>
        <w:t xml:space="preserve">used </w:t>
      </w:r>
      <w:r w:rsidR="00542309">
        <w:rPr>
          <w:sz w:val="24"/>
        </w:rPr>
        <w:t>to support this argument as James claimed that “From an absolute view, mystical experience and ordinary sensory experience are on the same epistemological footing.”</w:t>
      </w:r>
      <w:r w:rsidR="00542309">
        <w:rPr>
          <w:rStyle w:val="FootnoteReference"/>
          <w:sz w:val="24"/>
        </w:rPr>
        <w:footnoteReference w:id="3"/>
      </w:r>
      <w:r w:rsidR="00542309">
        <w:rPr>
          <w:sz w:val="24"/>
        </w:rPr>
        <w:t xml:space="preserve"> </w:t>
      </w:r>
      <w:r w:rsidR="00F55F59">
        <w:rPr>
          <w:sz w:val="24"/>
        </w:rPr>
        <w:t>Although, it is important to note that this is not all of James’ argument</w:t>
      </w:r>
      <w:r w:rsidR="00C51A1B">
        <w:rPr>
          <w:sz w:val="24"/>
        </w:rPr>
        <w:t xml:space="preserve"> about the evidence provided for religious experiences</w:t>
      </w:r>
      <w:r w:rsidR="00F55F59">
        <w:rPr>
          <w:sz w:val="24"/>
        </w:rPr>
        <w:t xml:space="preserve">. </w:t>
      </w:r>
      <w:r w:rsidR="00542309">
        <w:rPr>
          <w:sz w:val="24"/>
        </w:rPr>
        <w:t xml:space="preserve">Anthony O’Hear explains James suggests that our ordinary, everyday experience is logically the same as those who have a mystical experience, they perceive this experience the same as we experience our everyday lives. They rely on what their senses and perception to experience the mystical, just as we rely on them for the non-mystical. </w:t>
      </w:r>
      <w:r w:rsidR="00875CE2">
        <w:rPr>
          <w:sz w:val="24"/>
        </w:rPr>
        <w:t xml:space="preserve">However, James’ explanation does not link these experiences to a God, it can be seen to support the validity of religious experiences and that they hold a significance as being factual and valid for the person experiencing </w:t>
      </w:r>
      <w:r w:rsidR="00F55F59">
        <w:rPr>
          <w:sz w:val="24"/>
        </w:rPr>
        <w:t>it but</w:t>
      </w:r>
      <w:r w:rsidR="00875CE2">
        <w:rPr>
          <w:sz w:val="24"/>
        </w:rPr>
        <w:t xml:space="preserve"> does not link the origin </w:t>
      </w:r>
      <w:r w:rsidR="00995263">
        <w:rPr>
          <w:sz w:val="24"/>
        </w:rPr>
        <w:t>of the experience to God.</w:t>
      </w:r>
      <w:r w:rsidR="00F55F59">
        <w:rPr>
          <w:sz w:val="24"/>
        </w:rPr>
        <w:t xml:space="preserve"> </w:t>
      </w:r>
      <w:r w:rsidR="00F3589E">
        <w:rPr>
          <w:sz w:val="24"/>
        </w:rPr>
        <w:t xml:space="preserve">Nevertheless, by suggesting that there is a validity to religious experiences, and that, due to this, they should be regarded seriously, it also suggests that what the individual experienced is valid. </w:t>
      </w:r>
      <w:r w:rsidR="00C92319">
        <w:rPr>
          <w:sz w:val="24"/>
        </w:rPr>
        <w:t xml:space="preserve">If </w:t>
      </w:r>
      <w:r w:rsidR="0011634A">
        <w:rPr>
          <w:sz w:val="24"/>
        </w:rPr>
        <w:t>the religious experience has a validity and the individual</w:t>
      </w:r>
      <w:r w:rsidR="00022494">
        <w:rPr>
          <w:sz w:val="24"/>
        </w:rPr>
        <w:t>’</w:t>
      </w:r>
      <w:r w:rsidR="0011634A">
        <w:rPr>
          <w:sz w:val="24"/>
        </w:rPr>
        <w:t>s testimony claims they heard God</w:t>
      </w:r>
      <w:r w:rsidR="00292FE1">
        <w:rPr>
          <w:sz w:val="24"/>
        </w:rPr>
        <w:t>’</w:t>
      </w:r>
      <w:r w:rsidR="0011634A">
        <w:rPr>
          <w:sz w:val="24"/>
        </w:rPr>
        <w:t>s voic</w:t>
      </w:r>
      <w:r w:rsidR="00475FA2">
        <w:rPr>
          <w:sz w:val="24"/>
        </w:rPr>
        <w:t>e, which</w:t>
      </w:r>
      <w:r w:rsidR="00022494">
        <w:rPr>
          <w:sz w:val="24"/>
        </w:rPr>
        <w:t>,</w:t>
      </w:r>
      <w:r w:rsidR="00475FA2">
        <w:rPr>
          <w:sz w:val="24"/>
        </w:rPr>
        <w:t xml:space="preserve"> for the individual</w:t>
      </w:r>
      <w:r w:rsidR="00022494">
        <w:rPr>
          <w:sz w:val="24"/>
        </w:rPr>
        <w:t>,</w:t>
      </w:r>
      <w:r w:rsidR="00475FA2">
        <w:rPr>
          <w:sz w:val="24"/>
        </w:rPr>
        <w:t xml:space="preserve"> proves God</w:t>
      </w:r>
      <w:r w:rsidR="00292FE1">
        <w:rPr>
          <w:sz w:val="24"/>
        </w:rPr>
        <w:t>’</w:t>
      </w:r>
      <w:r w:rsidR="00475FA2">
        <w:rPr>
          <w:sz w:val="24"/>
        </w:rPr>
        <w:t>s existence</w:t>
      </w:r>
      <w:r w:rsidR="00292FE1">
        <w:rPr>
          <w:sz w:val="24"/>
        </w:rPr>
        <w:t>, then should this be understood</w:t>
      </w:r>
      <w:r w:rsidR="00236DE7">
        <w:rPr>
          <w:sz w:val="24"/>
        </w:rPr>
        <w:t xml:space="preserve"> as valid evidence for God</w:t>
      </w:r>
      <w:r w:rsidR="00022494">
        <w:rPr>
          <w:sz w:val="24"/>
        </w:rPr>
        <w:t>?</w:t>
      </w:r>
      <w:r w:rsidR="003B5007">
        <w:rPr>
          <w:sz w:val="24"/>
        </w:rPr>
        <w:t xml:space="preserve"> On the other hand,</w:t>
      </w:r>
      <w:r w:rsidR="00737F29">
        <w:rPr>
          <w:sz w:val="24"/>
        </w:rPr>
        <w:t xml:space="preserve"> </w:t>
      </w:r>
      <w:r w:rsidR="00C948F3">
        <w:rPr>
          <w:sz w:val="24"/>
        </w:rPr>
        <w:t xml:space="preserve">O’Hear questions if the </w:t>
      </w:r>
      <w:r w:rsidR="0035371D">
        <w:rPr>
          <w:sz w:val="24"/>
        </w:rPr>
        <w:t>individual’s</w:t>
      </w:r>
      <w:r w:rsidR="00C948F3">
        <w:rPr>
          <w:sz w:val="24"/>
        </w:rPr>
        <w:t xml:space="preserve"> belief du</w:t>
      </w:r>
      <w:r w:rsidR="0035371D">
        <w:rPr>
          <w:sz w:val="24"/>
        </w:rPr>
        <w:t>e to their private</w:t>
      </w:r>
      <w:r w:rsidR="00C948F3">
        <w:rPr>
          <w:sz w:val="24"/>
        </w:rPr>
        <w:t xml:space="preserve"> experience is objective evidence for God</w:t>
      </w:r>
      <w:r w:rsidR="0035371D">
        <w:rPr>
          <w:sz w:val="24"/>
        </w:rPr>
        <w:t>’s existence</w:t>
      </w:r>
      <w:r w:rsidR="00EA5BC3">
        <w:rPr>
          <w:sz w:val="24"/>
        </w:rPr>
        <w:t>.</w:t>
      </w:r>
      <w:r w:rsidR="00FA2522">
        <w:rPr>
          <w:rStyle w:val="FootnoteReference"/>
          <w:sz w:val="24"/>
        </w:rPr>
        <w:footnoteReference w:id="4"/>
      </w:r>
      <w:r w:rsidR="00182D8C">
        <w:rPr>
          <w:sz w:val="24"/>
        </w:rPr>
        <w:t xml:space="preserve"> This presents a problem with this argument as these ideas are founded on the experience of </w:t>
      </w:r>
      <w:r w:rsidR="00084BFE">
        <w:rPr>
          <w:sz w:val="24"/>
        </w:rPr>
        <w:t xml:space="preserve">individuals that not all people </w:t>
      </w:r>
      <w:r w:rsidR="00C34A22">
        <w:rPr>
          <w:sz w:val="24"/>
        </w:rPr>
        <w:t xml:space="preserve">can have the opportunity to experience. </w:t>
      </w:r>
      <w:r w:rsidR="00F3589E">
        <w:rPr>
          <w:sz w:val="24"/>
        </w:rPr>
        <w:t xml:space="preserve"> Swinburne also presents the issue that if you perceive that there is a table in a room, then it is likely there is a table in the room. If another person enters the room and see’s no table then it is also valid that there is no table. By this logic an atheist or individual can </w:t>
      </w:r>
      <w:r w:rsidR="001E3321">
        <w:rPr>
          <w:sz w:val="24"/>
        </w:rPr>
        <w:t>have an experience that prov</w:t>
      </w:r>
      <w:r w:rsidR="007F42D7">
        <w:rPr>
          <w:sz w:val="24"/>
        </w:rPr>
        <w:t>es, for the individual, that</w:t>
      </w:r>
      <w:r w:rsidR="001E3321">
        <w:rPr>
          <w:sz w:val="24"/>
        </w:rPr>
        <w:t xml:space="preserve"> there is no God</w:t>
      </w:r>
      <w:r w:rsidR="00DF2400">
        <w:rPr>
          <w:sz w:val="24"/>
        </w:rPr>
        <w:t xml:space="preserve"> and it be as valid as an individual having an experience that claims to prove there is a God</w:t>
      </w:r>
      <w:r w:rsidR="00835433">
        <w:rPr>
          <w:sz w:val="24"/>
        </w:rPr>
        <w:t>.</w:t>
      </w:r>
      <w:r w:rsidR="00516E4B">
        <w:rPr>
          <w:rStyle w:val="FootnoteReference"/>
          <w:sz w:val="24"/>
        </w:rPr>
        <w:footnoteReference w:id="5"/>
      </w:r>
      <w:r w:rsidR="00835433">
        <w:rPr>
          <w:sz w:val="24"/>
        </w:rPr>
        <w:t xml:space="preserve"> This is a significant issue when studying the argument from religious experience</w:t>
      </w:r>
      <w:r w:rsidR="00DF2400">
        <w:rPr>
          <w:sz w:val="24"/>
        </w:rPr>
        <w:t xml:space="preserve"> as </w:t>
      </w:r>
      <w:r w:rsidR="00F725A9">
        <w:rPr>
          <w:sz w:val="24"/>
        </w:rPr>
        <w:t>if there is validity in a persons religious experience</w:t>
      </w:r>
      <w:r w:rsidR="00111863">
        <w:rPr>
          <w:sz w:val="24"/>
        </w:rPr>
        <w:t>, as they perceive and understand it through their senses, then an experience that provides evidence for no God must also be valid.</w:t>
      </w:r>
    </w:p>
    <w:p w14:paraId="1474BA9C" w14:textId="77777777" w:rsidR="004A6DA4" w:rsidRDefault="007109F4" w:rsidP="00FF071A">
      <w:pPr>
        <w:rPr>
          <w:sz w:val="24"/>
        </w:rPr>
      </w:pPr>
      <w:r>
        <w:rPr>
          <w:sz w:val="24"/>
        </w:rPr>
        <w:t>Another problem with the argument from religious experience is t</w:t>
      </w:r>
      <w:r w:rsidR="00FA1719">
        <w:rPr>
          <w:sz w:val="24"/>
        </w:rPr>
        <w:t xml:space="preserve">hat God can be argued to not be the only </w:t>
      </w:r>
      <w:r w:rsidR="009C39D8">
        <w:rPr>
          <w:sz w:val="24"/>
        </w:rPr>
        <w:t xml:space="preserve">explanation for these experiences. </w:t>
      </w:r>
      <w:r w:rsidR="007224F5">
        <w:rPr>
          <w:sz w:val="24"/>
        </w:rPr>
        <w:t xml:space="preserve">Another explanation for the origin of religious experiences is biological and neurological. </w:t>
      </w:r>
      <w:r w:rsidR="00752711">
        <w:rPr>
          <w:sz w:val="24"/>
        </w:rPr>
        <w:t xml:space="preserve">The medical materialistic approach </w:t>
      </w:r>
      <w:r w:rsidR="001664D1">
        <w:rPr>
          <w:sz w:val="24"/>
        </w:rPr>
        <w:t xml:space="preserve">against religious experiences argues that there are other </w:t>
      </w:r>
      <w:r w:rsidR="0024603B">
        <w:rPr>
          <w:sz w:val="24"/>
        </w:rPr>
        <w:t xml:space="preserve">and better </w:t>
      </w:r>
      <w:r w:rsidR="001664D1">
        <w:rPr>
          <w:sz w:val="24"/>
        </w:rPr>
        <w:t>causes for religious experie</w:t>
      </w:r>
      <w:r w:rsidR="0024603B">
        <w:rPr>
          <w:sz w:val="24"/>
        </w:rPr>
        <w:t xml:space="preserve">nce </w:t>
      </w:r>
      <w:r w:rsidR="005D3211">
        <w:rPr>
          <w:sz w:val="24"/>
        </w:rPr>
        <w:t xml:space="preserve">than </w:t>
      </w:r>
      <w:r w:rsidR="00EE2E05">
        <w:rPr>
          <w:sz w:val="24"/>
        </w:rPr>
        <w:t>that the origin is God.</w:t>
      </w:r>
      <w:r w:rsidR="009879CA">
        <w:rPr>
          <w:sz w:val="24"/>
        </w:rPr>
        <w:t xml:space="preserve"> </w:t>
      </w:r>
      <w:r w:rsidR="00E2584E">
        <w:rPr>
          <w:sz w:val="24"/>
        </w:rPr>
        <w:t xml:space="preserve">These </w:t>
      </w:r>
      <w:r w:rsidR="00C718A0">
        <w:rPr>
          <w:sz w:val="24"/>
        </w:rPr>
        <w:t>more logical causes for religious experience are often founded in trying to explain them through scientific understandings.</w:t>
      </w:r>
      <w:r w:rsidR="000D0211">
        <w:rPr>
          <w:sz w:val="24"/>
        </w:rPr>
        <w:t xml:space="preserve"> John Hick explains the neuroscientist </w:t>
      </w:r>
      <w:r w:rsidR="003E1290">
        <w:rPr>
          <w:sz w:val="24"/>
        </w:rPr>
        <w:t xml:space="preserve">challenge </w:t>
      </w:r>
      <w:r w:rsidR="0080723B">
        <w:rPr>
          <w:sz w:val="24"/>
        </w:rPr>
        <w:t xml:space="preserve">to religious </w:t>
      </w:r>
      <w:r w:rsidR="00113901">
        <w:rPr>
          <w:sz w:val="24"/>
        </w:rPr>
        <w:t>experiences and</w:t>
      </w:r>
      <w:r w:rsidR="0046649E">
        <w:rPr>
          <w:sz w:val="24"/>
        </w:rPr>
        <w:t xml:space="preserve"> highlighting the development of the study of the brain over the last 50 years.</w:t>
      </w:r>
      <w:r w:rsidR="004D7130">
        <w:rPr>
          <w:sz w:val="24"/>
        </w:rPr>
        <w:t xml:space="preserve"> Hick goes on to explain the various ways brain chemistry and neuroscience can cause what can be seen to be religious experiences.</w:t>
      </w:r>
      <w:r w:rsidR="0046649E">
        <w:rPr>
          <w:rStyle w:val="FootnoteReference"/>
          <w:sz w:val="24"/>
        </w:rPr>
        <w:footnoteReference w:id="6"/>
      </w:r>
      <w:r w:rsidR="00562C33">
        <w:rPr>
          <w:sz w:val="24"/>
        </w:rPr>
        <w:t xml:space="preserve"> </w:t>
      </w:r>
      <w:r w:rsidR="007A3E14">
        <w:rPr>
          <w:sz w:val="24"/>
        </w:rPr>
        <w:t xml:space="preserve">Hick presents the argument that an individual who believes to have had a </w:t>
      </w:r>
      <w:r w:rsidR="007A3E14">
        <w:rPr>
          <w:sz w:val="24"/>
        </w:rPr>
        <w:lastRenderedPageBreak/>
        <w:t>religious experience and hear the voice of God, or see the afterlife, may have been narcotics, stating that “drugs can alter the chemistry of the brain”</w:t>
      </w:r>
      <w:r w:rsidR="00A45485">
        <w:rPr>
          <w:rStyle w:val="FootnoteReference"/>
          <w:sz w:val="24"/>
        </w:rPr>
        <w:footnoteReference w:id="7"/>
      </w:r>
      <w:r w:rsidR="004E7099">
        <w:rPr>
          <w:sz w:val="24"/>
        </w:rPr>
        <w:t xml:space="preserve"> and result in these experiences. </w:t>
      </w:r>
      <w:r w:rsidR="00EC321B">
        <w:rPr>
          <w:sz w:val="24"/>
        </w:rPr>
        <w:t xml:space="preserve">This suggests evidence for an origin of religious experiences that is not God and so presents problems with the argument from religious experiences as if someone is under the influence and because of this they have what is believed to be a religious experience, then the validity of the experience being from God is questioned. The experience is possibly a result of </w:t>
      </w:r>
      <w:r w:rsidR="00173F70">
        <w:rPr>
          <w:sz w:val="24"/>
        </w:rPr>
        <w:t xml:space="preserve">anything in their system. However, this does not account for the religious experiences where the individual is not known to be under the influence of narcotics or any other substance. In these </w:t>
      </w:r>
      <w:r w:rsidR="00AC752C">
        <w:rPr>
          <w:sz w:val="24"/>
        </w:rPr>
        <w:t>cases,</w:t>
      </w:r>
      <w:r w:rsidR="00173F70">
        <w:rPr>
          <w:sz w:val="24"/>
        </w:rPr>
        <w:t xml:space="preserve"> the experiences validity can not be questioned due to a substance they have taken affecting their brain chemistry.</w:t>
      </w:r>
      <w:r w:rsidR="00AC752C">
        <w:rPr>
          <w:sz w:val="24"/>
        </w:rPr>
        <w:t xml:space="preserve"> However, this evidence is convincing in the cases where an individual is known to be under the influence of a substance</w:t>
      </w:r>
      <w:r w:rsidR="00F657AD">
        <w:rPr>
          <w:sz w:val="24"/>
        </w:rPr>
        <w:t xml:space="preserve"> that </w:t>
      </w:r>
      <w:r w:rsidR="00347C20">
        <w:rPr>
          <w:sz w:val="24"/>
        </w:rPr>
        <w:t>influences the chemistry of the brain as it questions the validity of their experience. Thus, the conclusion that this could be evidence for the existence of God</w:t>
      </w:r>
      <w:r w:rsidR="009C2CFA">
        <w:rPr>
          <w:sz w:val="24"/>
        </w:rPr>
        <w:t xml:space="preserve"> is problematic and highlights that there is a better explanation in these instances</w:t>
      </w:r>
      <w:r w:rsidR="00AC752C">
        <w:rPr>
          <w:sz w:val="24"/>
        </w:rPr>
        <w:t>.</w:t>
      </w:r>
      <w:r w:rsidR="00173F70">
        <w:rPr>
          <w:sz w:val="24"/>
        </w:rPr>
        <w:t xml:space="preserve"> </w:t>
      </w:r>
      <w:r w:rsidR="00D5326C">
        <w:rPr>
          <w:sz w:val="24"/>
        </w:rPr>
        <w:t xml:space="preserve">On the other hand, the </w:t>
      </w:r>
      <w:r w:rsidR="001043E3">
        <w:rPr>
          <w:sz w:val="24"/>
        </w:rPr>
        <w:t xml:space="preserve">instances where the individual is not under the influence of a substance is still to be accounted for. </w:t>
      </w:r>
      <w:r w:rsidR="00AC752C">
        <w:rPr>
          <w:sz w:val="24"/>
        </w:rPr>
        <w:t>This presents a problem with this solution to the origin of religious experiences</w:t>
      </w:r>
      <w:r w:rsidR="007E1A98">
        <w:rPr>
          <w:sz w:val="24"/>
        </w:rPr>
        <w:t xml:space="preserve"> as it only accounts for certain religious experiences. </w:t>
      </w:r>
      <w:r w:rsidR="00DD6824">
        <w:rPr>
          <w:sz w:val="24"/>
        </w:rPr>
        <w:t xml:space="preserve">In response to this Hick continues to explain the Limbic system, an area of the brain that causes seizers, and the individuals who have experienced them </w:t>
      </w:r>
      <w:r w:rsidR="00AD5B02">
        <w:rPr>
          <w:sz w:val="24"/>
        </w:rPr>
        <w:t xml:space="preserve">often </w:t>
      </w:r>
      <w:r w:rsidR="00DD6824">
        <w:rPr>
          <w:sz w:val="24"/>
        </w:rPr>
        <w:t>claim to have seen bright lights and Jesus Christ</w:t>
      </w:r>
      <w:r w:rsidR="00AD5B02">
        <w:rPr>
          <w:sz w:val="24"/>
        </w:rPr>
        <w:t xml:space="preserve"> as well as other religious experiences</w:t>
      </w:r>
      <w:r w:rsidR="00FA1A24">
        <w:rPr>
          <w:sz w:val="24"/>
        </w:rPr>
        <w:t xml:space="preserve"> such as a presence</w:t>
      </w:r>
      <w:r w:rsidR="00DD6824">
        <w:rPr>
          <w:sz w:val="24"/>
        </w:rPr>
        <w:t>.</w:t>
      </w:r>
      <w:r w:rsidR="00DD6824">
        <w:rPr>
          <w:rStyle w:val="FootnoteReference"/>
          <w:sz w:val="24"/>
        </w:rPr>
        <w:footnoteReference w:id="8"/>
      </w:r>
      <w:r w:rsidR="00185D22">
        <w:rPr>
          <w:sz w:val="24"/>
        </w:rPr>
        <w:t xml:space="preserve"> </w:t>
      </w:r>
      <w:r w:rsidR="00CA2A8A">
        <w:rPr>
          <w:sz w:val="24"/>
        </w:rPr>
        <w:t xml:space="preserve">The Limbic system provides a biological explanation of the individuals who have religious experiences but are not under any influences. </w:t>
      </w:r>
      <w:r w:rsidR="00185D22">
        <w:rPr>
          <w:sz w:val="24"/>
        </w:rPr>
        <w:t xml:space="preserve">This can be seen to be problematic for the argument from religious experience as it provides </w:t>
      </w:r>
      <w:r w:rsidR="00D6464B">
        <w:rPr>
          <w:sz w:val="24"/>
        </w:rPr>
        <w:t>convincing evide</w:t>
      </w:r>
      <w:r w:rsidR="00185D22">
        <w:rPr>
          <w:sz w:val="24"/>
        </w:rPr>
        <w:t>nce that there is a scientific origin to religious experiences. These biological explanations are further supported by the idea that these results have been repeated among several cases.</w:t>
      </w:r>
      <w:r w:rsidR="00AC2960">
        <w:rPr>
          <w:sz w:val="24"/>
        </w:rPr>
        <w:t xml:space="preserve"> The repetitive studies and accounts also further support the evidence of th</w:t>
      </w:r>
      <w:r w:rsidR="005A7355">
        <w:rPr>
          <w:sz w:val="24"/>
        </w:rPr>
        <w:t>e explanation that religious experiences are caused by chemical and biological factors</w:t>
      </w:r>
      <w:r w:rsidR="00CA2A8A">
        <w:rPr>
          <w:sz w:val="24"/>
        </w:rPr>
        <w:t xml:space="preserve">. However, it is important to note </w:t>
      </w:r>
      <w:r w:rsidR="00FF1DB6">
        <w:rPr>
          <w:sz w:val="24"/>
        </w:rPr>
        <w:t>that this argument relies on the notion that individuals who have a religious experience also are experiencing a chemical imbalance or a change in the chemistry of their brain.</w:t>
      </w:r>
      <w:r w:rsidR="00D17D11">
        <w:rPr>
          <w:sz w:val="24"/>
        </w:rPr>
        <w:t xml:space="preserve"> This evidence remains the most convincing for the origin of religious experiences nevertheless not all religious experiences can be recorded nor is their brain able to be studied during the process. </w:t>
      </w:r>
      <w:r w:rsidR="00FF071A">
        <w:rPr>
          <w:sz w:val="24"/>
        </w:rPr>
        <w:t xml:space="preserve">Scientific evidence remains the most convincing evidence, due to the ability to </w:t>
      </w:r>
      <w:r w:rsidR="005871D1">
        <w:rPr>
          <w:sz w:val="24"/>
        </w:rPr>
        <w:t xml:space="preserve">replicate results </w:t>
      </w:r>
      <w:r w:rsidR="00CA2E6A">
        <w:rPr>
          <w:sz w:val="24"/>
        </w:rPr>
        <w:t>suggests a validity to the explanation</w:t>
      </w:r>
      <w:r w:rsidR="001B4113">
        <w:rPr>
          <w:sz w:val="24"/>
        </w:rPr>
        <w:t xml:space="preserve"> as </w:t>
      </w:r>
      <w:r w:rsidR="007D195B">
        <w:rPr>
          <w:sz w:val="24"/>
        </w:rPr>
        <w:t>the evidence provided is also able to be seen and studied by several people. The evidence can be seen and understood by anyone, whereas the evidence and testimony provided by those who have had a religious experience is an individual experience</w:t>
      </w:r>
      <w:r w:rsidR="00267E32">
        <w:rPr>
          <w:sz w:val="24"/>
        </w:rPr>
        <w:t xml:space="preserve"> that not all can experience. </w:t>
      </w:r>
    </w:p>
    <w:p w14:paraId="5D27B55B" w14:textId="77777777" w:rsidR="003160B2" w:rsidRDefault="00AD01DB" w:rsidP="00FF071A">
      <w:pPr>
        <w:rPr>
          <w:sz w:val="24"/>
        </w:rPr>
      </w:pPr>
      <w:r>
        <w:rPr>
          <w:sz w:val="24"/>
        </w:rPr>
        <w:t xml:space="preserve">William James highlights a key aspect </w:t>
      </w:r>
      <w:r w:rsidR="00E64ABD">
        <w:rPr>
          <w:sz w:val="24"/>
        </w:rPr>
        <w:t>that must be</w:t>
      </w:r>
      <w:r w:rsidR="004E6449">
        <w:rPr>
          <w:sz w:val="24"/>
        </w:rPr>
        <w:t xml:space="preserve"> consid</w:t>
      </w:r>
      <w:r w:rsidR="00E64ABD">
        <w:rPr>
          <w:sz w:val="24"/>
        </w:rPr>
        <w:t xml:space="preserve">ered when discussing </w:t>
      </w:r>
      <w:r w:rsidR="004401E2">
        <w:rPr>
          <w:sz w:val="24"/>
        </w:rPr>
        <w:t xml:space="preserve">religious experiences. James suggests that the spiritual evidence </w:t>
      </w:r>
      <w:r w:rsidR="00601B3C">
        <w:rPr>
          <w:sz w:val="24"/>
        </w:rPr>
        <w:t xml:space="preserve">and </w:t>
      </w:r>
      <w:r w:rsidR="004B1C6D">
        <w:rPr>
          <w:sz w:val="24"/>
        </w:rPr>
        <w:t xml:space="preserve">aftermath is the most important thing to consider when studying religious experiences. </w:t>
      </w:r>
      <w:r w:rsidR="00BF7321">
        <w:rPr>
          <w:sz w:val="24"/>
        </w:rPr>
        <w:t xml:space="preserve">James’ ideas surrounding religious experiences focus on the importance of </w:t>
      </w:r>
      <w:r w:rsidR="00EA3F00">
        <w:rPr>
          <w:sz w:val="24"/>
        </w:rPr>
        <w:t xml:space="preserve">the spiritual affect the experience has on the individual or group. </w:t>
      </w:r>
      <w:r w:rsidR="00D84BDC">
        <w:rPr>
          <w:sz w:val="24"/>
        </w:rPr>
        <w:t xml:space="preserve">James claims that “religious experience brings a sort of enchantment to </w:t>
      </w:r>
      <w:r w:rsidR="00D84BDC">
        <w:rPr>
          <w:sz w:val="24"/>
        </w:rPr>
        <w:lastRenderedPageBreak/>
        <w:t>life that gives a new sphere of power that enables to open human</w:t>
      </w:r>
      <w:r w:rsidR="00497E21">
        <w:rPr>
          <w:sz w:val="24"/>
        </w:rPr>
        <w:t xml:space="preserve"> potential for development.”</w:t>
      </w:r>
      <w:r w:rsidR="00CC7B5B">
        <w:rPr>
          <w:rStyle w:val="FootnoteReference"/>
          <w:sz w:val="24"/>
        </w:rPr>
        <w:footnoteReference w:id="9"/>
      </w:r>
      <w:r w:rsidR="007A3373">
        <w:rPr>
          <w:sz w:val="24"/>
        </w:rPr>
        <w:t xml:space="preserve"> James emphasizes the </w:t>
      </w:r>
      <w:r w:rsidR="00294345">
        <w:rPr>
          <w:sz w:val="24"/>
        </w:rPr>
        <w:t>personal development that religious experiences often result in for the individual. This highlights the spiritual and personal significance that religious experiences have on those who have had an experience. This can be argued to be the most important thing to consider when discussing religious experiences</w:t>
      </w:r>
      <w:r w:rsidR="003B790C">
        <w:rPr>
          <w:sz w:val="24"/>
        </w:rPr>
        <w:t>.</w:t>
      </w:r>
      <w:r w:rsidR="00F774D5">
        <w:rPr>
          <w:sz w:val="24"/>
        </w:rPr>
        <w:t xml:space="preserve"> James emphasises the importance of considering the moral helpfulness of religious experiences which must always be considered, according to Tadd Ruetenik’s explanation of James’ ideas.</w:t>
      </w:r>
      <w:r w:rsidR="001D7C13">
        <w:rPr>
          <w:rStyle w:val="FootnoteReference"/>
          <w:sz w:val="24"/>
        </w:rPr>
        <w:footnoteReference w:id="10"/>
      </w:r>
      <w:r w:rsidR="003B790C">
        <w:rPr>
          <w:sz w:val="24"/>
        </w:rPr>
        <w:t xml:space="preserve"> Although there is convincing evidence for the origin of religious experience being scientifically founded </w:t>
      </w:r>
      <w:r w:rsidR="00F75724">
        <w:rPr>
          <w:sz w:val="24"/>
        </w:rPr>
        <w:t>this does not diminish the personal significance of religious experiences.</w:t>
      </w:r>
      <w:r w:rsidR="00BC7DC5">
        <w:rPr>
          <w:sz w:val="24"/>
        </w:rPr>
        <w:t xml:space="preserve"> John Hopkins University studied religious experiences that had been caused by the ingestion of substances, despite this being the origin of these experiences 67% of participants found it to be one of the most spiritually significant experiences of their lives and 17% found it to be the most significant experience.</w:t>
      </w:r>
      <w:r w:rsidR="0002620F">
        <w:rPr>
          <w:rStyle w:val="FootnoteReference"/>
          <w:sz w:val="24"/>
        </w:rPr>
        <w:footnoteReference w:id="11"/>
      </w:r>
      <w:r w:rsidR="00BD3265">
        <w:rPr>
          <w:sz w:val="24"/>
        </w:rPr>
        <w:t xml:space="preserve"> This presents a situation where scientific reasons are clearly the origin of these experiences however, they still remain meaningful and significant to the participants. This supports James’ ideas of that the personal development and meaning of these experiences should always be considered, despite if the origin lies in God or in scientific understanding. </w:t>
      </w:r>
      <w:r w:rsidR="006E05FD">
        <w:rPr>
          <w:sz w:val="24"/>
        </w:rPr>
        <w:t xml:space="preserve">These ideas present that </w:t>
      </w:r>
      <w:r w:rsidR="001A6848">
        <w:rPr>
          <w:sz w:val="24"/>
        </w:rPr>
        <w:t xml:space="preserve">the spiritual, moral and personal significance must always be considered when discussing religious experiences and highlight that this is one of the most important aspects to consider. The origin of religious experience does not diminish the meaningfulness and significance that these experiences have on the individuals and this is more important than the origin. The argument of the origin of religious experiences is not as significant as the importance that these experiences have morally. This is supported by James’ criteria for considering religious experiences, including the moral aspect of the experience. </w:t>
      </w:r>
    </w:p>
    <w:p w14:paraId="57655739" w14:textId="57D6BB50" w:rsidR="002919A7" w:rsidRDefault="00AF0706" w:rsidP="00FF071A">
      <w:pPr>
        <w:rPr>
          <w:sz w:val="24"/>
        </w:rPr>
      </w:pPr>
      <w:r>
        <w:rPr>
          <w:sz w:val="24"/>
        </w:rPr>
        <w:t>Overall, the argument from religious experience attempts to logical prove that religious experiences objectively prove God, as the individuals experience God dire</w:t>
      </w:r>
      <w:r w:rsidR="00C82A8E">
        <w:rPr>
          <w:sz w:val="24"/>
        </w:rPr>
        <w:t xml:space="preserve">ctly. The individuals have experienced God with their senses, which are relied upon for our any empirical experience. </w:t>
      </w:r>
      <w:r w:rsidR="00D63A08">
        <w:rPr>
          <w:sz w:val="24"/>
        </w:rPr>
        <w:t xml:space="preserve">The individual experiences the experience through their senses, as everyday life is understood and so it should be treated with a sense of validity. </w:t>
      </w:r>
      <w:r w:rsidR="0082044A">
        <w:rPr>
          <w:sz w:val="24"/>
        </w:rPr>
        <w:t xml:space="preserve">Although, this proves the existence of God for the individual it is not </w:t>
      </w:r>
      <w:r w:rsidR="00BE317A">
        <w:rPr>
          <w:sz w:val="24"/>
        </w:rPr>
        <w:t xml:space="preserve">enough objective evidence that the origin of religious experiences </w:t>
      </w:r>
      <w:r w:rsidR="009A15D4">
        <w:rPr>
          <w:sz w:val="24"/>
        </w:rPr>
        <w:t>is</w:t>
      </w:r>
      <w:r w:rsidR="00BE317A">
        <w:rPr>
          <w:sz w:val="24"/>
        </w:rPr>
        <w:t xml:space="preserve"> God and thus, God ex</w:t>
      </w:r>
      <w:r w:rsidR="009C7EF9">
        <w:rPr>
          <w:sz w:val="24"/>
        </w:rPr>
        <w:t xml:space="preserve">ists as there are several problems presented against this argument. </w:t>
      </w:r>
      <w:r w:rsidR="009A15D4">
        <w:rPr>
          <w:sz w:val="24"/>
        </w:rPr>
        <w:t>These experiences are often too individual to prove God for those who have never experienced them</w:t>
      </w:r>
      <w:r w:rsidR="00D63A08">
        <w:rPr>
          <w:sz w:val="24"/>
        </w:rPr>
        <w:t xml:space="preserve"> and though they are perceived through the senses and contain a validity this does not link the experiences to a God. Swinburne also mentions a problem with this argument as if someone has an experience, and </w:t>
      </w:r>
      <w:r w:rsidR="00401B82">
        <w:rPr>
          <w:sz w:val="24"/>
        </w:rPr>
        <w:t>it</w:t>
      </w:r>
      <w:r w:rsidR="00D63A08">
        <w:rPr>
          <w:sz w:val="24"/>
        </w:rPr>
        <w:t xml:space="preserve"> should be treated as valid due to the individual experiencing it with their senses and perception, then by this argument an </w:t>
      </w:r>
      <w:r w:rsidR="000A0438">
        <w:rPr>
          <w:sz w:val="24"/>
        </w:rPr>
        <w:t>individual who has an</w:t>
      </w:r>
      <w:r w:rsidR="00D63A08">
        <w:rPr>
          <w:sz w:val="24"/>
        </w:rPr>
        <w:t xml:space="preserve"> experience that proves for them there is no God is also valid. </w:t>
      </w:r>
      <w:r w:rsidR="000A0438">
        <w:rPr>
          <w:sz w:val="24"/>
        </w:rPr>
        <w:t xml:space="preserve">The argument from religious experience also is presented with problems through the medical materialism argument that Hick explains. With the developments made </w:t>
      </w:r>
      <w:r w:rsidR="000A0438">
        <w:rPr>
          <w:sz w:val="24"/>
        </w:rPr>
        <w:lastRenderedPageBreak/>
        <w:t>in neuroscience there are significant evidence that these experiences are often changes in brain chemistry. This may be due to the intake of substances or a change in the brain that triggers what is understood as a religious experience.</w:t>
      </w:r>
      <w:r w:rsidR="00C1449F">
        <w:rPr>
          <w:sz w:val="24"/>
        </w:rPr>
        <w:t xml:space="preserve"> The ability to repeat this evidence and the factual backing of several experiments suggests that this evidence for the origin of religious experiences is more convincing than the idea that the origin of religious experiences is God. Thus, the argument from religious experience does not provide convincing enough evidence, while the developments in science are problematic to the argument as they present an alternative argument for the origin of religious experiences and how to explain them. Despite this it is important to note that although religious experiences can be scientifically explained this should not be allowed to diminish the profound spiritual meaning for the individuals who have been involved. The origin of religious e</w:t>
      </w:r>
      <w:r w:rsidR="00F423F6">
        <w:rPr>
          <w:sz w:val="24"/>
        </w:rPr>
        <w:t>xperiences is not as important or significant as the affect these experiences have had on the individual themselves. This remains the most important aspect to be considered when discussing religious experiences as they contain profound meaningfulness for those who have experienced them</w:t>
      </w:r>
      <w:r w:rsidR="00E51420">
        <w:rPr>
          <w:sz w:val="24"/>
        </w:rPr>
        <w:t xml:space="preserve"> and, as James presents, this can often be important morally as well as important for the self. </w:t>
      </w:r>
    </w:p>
    <w:p w14:paraId="63DCCCCB" w14:textId="28A974B2" w:rsidR="005165FC" w:rsidRDefault="005165FC" w:rsidP="00FF071A">
      <w:pPr>
        <w:rPr>
          <w:sz w:val="24"/>
        </w:rPr>
      </w:pPr>
    </w:p>
    <w:p w14:paraId="07EE8831" w14:textId="64EB63C4" w:rsidR="005165FC" w:rsidRDefault="005165FC" w:rsidP="00FF071A">
      <w:pPr>
        <w:rPr>
          <w:sz w:val="24"/>
        </w:rPr>
      </w:pPr>
    </w:p>
    <w:p w14:paraId="355F373C" w14:textId="20D6DB41" w:rsidR="005165FC" w:rsidRDefault="005165FC" w:rsidP="00FF071A">
      <w:pPr>
        <w:rPr>
          <w:sz w:val="24"/>
        </w:rPr>
      </w:pPr>
    </w:p>
    <w:p w14:paraId="6DA61A03" w14:textId="1840D749" w:rsidR="005165FC" w:rsidRDefault="005165FC" w:rsidP="00FF071A">
      <w:pPr>
        <w:rPr>
          <w:sz w:val="24"/>
        </w:rPr>
      </w:pPr>
    </w:p>
    <w:p w14:paraId="0A8FB81B" w14:textId="46969A35" w:rsidR="005165FC" w:rsidRDefault="005165FC" w:rsidP="00FF071A">
      <w:pPr>
        <w:rPr>
          <w:sz w:val="24"/>
        </w:rPr>
      </w:pPr>
    </w:p>
    <w:p w14:paraId="1AA6B826" w14:textId="08F35BEE" w:rsidR="005165FC" w:rsidRDefault="005165FC" w:rsidP="00FF071A">
      <w:pPr>
        <w:rPr>
          <w:sz w:val="24"/>
        </w:rPr>
      </w:pPr>
    </w:p>
    <w:p w14:paraId="7B1A6FEE" w14:textId="4044FFB0" w:rsidR="005165FC" w:rsidRDefault="005165FC" w:rsidP="00FF071A">
      <w:pPr>
        <w:rPr>
          <w:sz w:val="24"/>
        </w:rPr>
      </w:pPr>
    </w:p>
    <w:p w14:paraId="3211D117" w14:textId="708F2423" w:rsidR="005165FC" w:rsidRDefault="005165FC" w:rsidP="00FF071A">
      <w:pPr>
        <w:rPr>
          <w:sz w:val="24"/>
        </w:rPr>
      </w:pPr>
    </w:p>
    <w:p w14:paraId="3E6A492D" w14:textId="0E8623EF" w:rsidR="005165FC" w:rsidRDefault="005165FC" w:rsidP="00FF071A">
      <w:pPr>
        <w:rPr>
          <w:sz w:val="24"/>
        </w:rPr>
      </w:pPr>
    </w:p>
    <w:p w14:paraId="4B1D4078" w14:textId="3C3F21B9" w:rsidR="005165FC" w:rsidRDefault="005165FC" w:rsidP="00FF071A">
      <w:pPr>
        <w:rPr>
          <w:sz w:val="24"/>
        </w:rPr>
      </w:pPr>
    </w:p>
    <w:p w14:paraId="5CFD7FC9" w14:textId="041C2A19" w:rsidR="005165FC" w:rsidRDefault="005165FC" w:rsidP="00FF071A">
      <w:pPr>
        <w:rPr>
          <w:sz w:val="24"/>
        </w:rPr>
      </w:pPr>
    </w:p>
    <w:p w14:paraId="4787C006" w14:textId="3DDE6FD6" w:rsidR="005165FC" w:rsidRDefault="005165FC" w:rsidP="00FF071A">
      <w:pPr>
        <w:rPr>
          <w:sz w:val="24"/>
        </w:rPr>
      </w:pPr>
    </w:p>
    <w:p w14:paraId="19752D6D" w14:textId="3F5C696B" w:rsidR="005165FC" w:rsidRDefault="005165FC" w:rsidP="00FF071A">
      <w:pPr>
        <w:rPr>
          <w:sz w:val="24"/>
        </w:rPr>
      </w:pPr>
    </w:p>
    <w:p w14:paraId="5744F7E6" w14:textId="0BE71E15" w:rsidR="005165FC" w:rsidRDefault="005165FC" w:rsidP="00FF071A">
      <w:pPr>
        <w:rPr>
          <w:sz w:val="24"/>
        </w:rPr>
      </w:pPr>
    </w:p>
    <w:p w14:paraId="3C79B1D8" w14:textId="23A87760" w:rsidR="005165FC" w:rsidRDefault="005165FC" w:rsidP="00FF071A">
      <w:pPr>
        <w:rPr>
          <w:sz w:val="24"/>
        </w:rPr>
      </w:pPr>
    </w:p>
    <w:p w14:paraId="10F8516E" w14:textId="21589B3D" w:rsidR="005165FC" w:rsidRDefault="005165FC" w:rsidP="00FF071A">
      <w:pPr>
        <w:rPr>
          <w:sz w:val="24"/>
        </w:rPr>
      </w:pPr>
    </w:p>
    <w:p w14:paraId="5F48486D" w14:textId="730F728F" w:rsidR="005165FC" w:rsidRDefault="005165FC" w:rsidP="00FF071A">
      <w:pPr>
        <w:rPr>
          <w:sz w:val="24"/>
        </w:rPr>
      </w:pPr>
    </w:p>
    <w:p w14:paraId="32AAC68B" w14:textId="5C8FA03B" w:rsidR="005165FC" w:rsidRDefault="005165FC" w:rsidP="00FF071A">
      <w:pPr>
        <w:rPr>
          <w:sz w:val="24"/>
        </w:rPr>
      </w:pPr>
    </w:p>
    <w:p w14:paraId="0D02DA31" w14:textId="41794CB6" w:rsidR="005165FC" w:rsidRDefault="005165FC" w:rsidP="00FF071A">
      <w:pPr>
        <w:rPr>
          <w:sz w:val="24"/>
        </w:rPr>
      </w:pPr>
    </w:p>
    <w:p w14:paraId="79F08BBD" w14:textId="77F0CEB9" w:rsidR="005165FC" w:rsidRDefault="005165FC" w:rsidP="00FF071A">
      <w:pPr>
        <w:rPr>
          <w:sz w:val="24"/>
        </w:rPr>
      </w:pPr>
      <w:r>
        <w:rPr>
          <w:sz w:val="24"/>
        </w:rPr>
        <w:t>Bibliography;</w:t>
      </w:r>
    </w:p>
    <w:p w14:paraId="7A286E4D" w14:textId="3E6A1C16" w:rsidR="009A1847" w:rsidRPr="00820C58" w:rsidRDefault="009A1847" w:rsidP="00820C58">
      <w:pPr>
        <w:pStyle w:val="ListParagraph"/>
        <w:numPr>
          <w:ilvl w:val="0"/>
          <w:numId w:val="3"/>
        </w:numPr>
        <w:rPr>
          <w:sz w:val="24"/>
          <w:szCs w:val="24"/>
        </w:rPr>
      </w:pPr>
      <w:r w:rsidRPr="00820C58">
        <w:rPr>
          <w:sz w:val="24"/>
          <w:szCs w:val="24"/>
        </w:rPr>
        <w:t xml:space="preserve">Attfield, D.G ‘Argument from Religious Experience’, </w:t>
      </w:r>
      <w:r w:rsidRPr="00820C58">
        <w:rPr>
          <w:i/>
          <w:sz w:val="24"/>
          <w:szCs w:val="24"/>
        </w:rPr>
        <w:t xml:space="preserve">Religious Studies, </w:t>
      </w:r>
      <w:r w:rsidRPr="00820C58">
        <w:rPr>
          <w:sz w:val="24"/>
          <w:szCs w:val="24"/>
        </w:rPr>
        <w:t>11(3) (1975) pp. 335-344.</w:t>
      </w:r>
    </w:p>
    <w:p w14:paraId="7C1C6D71" w14:textId="77777777" w:rsidR="009A1847" w:rsidRPr="00820C58" w:rsidRDefault="009A1847" w:rsidP="00820C58">
      <w:pPr>
        <w:pStyle w:val="ListParagraph"/>
        <w:numPr>
          <w:ilvl w:val="0"/>
          <w:numId w:val="3"/>
        </w:numPr>
        <w:rPr>
          <w:sz w:val="24"/>
          <w:szCs w:val="24"/>
        </w:rPr>
      </w:pPr>
      <w:r w:rsidRPr="00820C58">
        <w:rPr>
          <w:sz w:val="24"/>
          <w:szCs w:val="24"/>
        </w:rPr>
        <w:t>Davis, B (1982) ‘An Introduction to the Philosophy of Religion’, Oxford: Oxford University Press.</w:t>
      </w:r>
    </w:p>
    <w:p w14:paraId="699F706C" w14:textId="77777777" w:rsidR="009A1847" w:rsidRPr="00820C58" w:rsidRDefault="009A1847" w:rsidP="00820C58">
      <w:pPr>
        <w:pStyle w:val="ListParagraph"/>
        <w:numPr>
          <w:ilvl w:val="0"/>
          <w:numId w:val="3"/>
        </w:numPr>
        <w:rPr>
          <w:sz w:val="24"/>
          <w:szCs w:val="24"/>
        </w:rPr>
      </w:pPr>
      <w:r w:rsidRPr="00820C58">
        <w:rPr>
          <w:sz w:val="24"/>
          <w:szCs w:val="24"/>
        </w:rPr>
        <w:t>Hick, J (2006) ‘New Frontier of Religion and Science; Religious Experience, Neuroscience, and the Transcendent’, Basingstoke: Palgrave Macmillan.</w:t>
      </w:r>
    </w:p>
    <w:p w14:paraId="24A8E07D" w14:textId="77777777" w:rsidR="009A1847" w:rsidRPr="00820C58" w:rsidRDefault="009A1847" w:rsidP="00820C58">
      <w:pPr>
        <w:pStyle w:val="ListParagraph"/>
        <w:numPr>
          <w:ilvl w:val="0"/>
          <w:numId w:val="3"/>
        </w:numPr>
        <w:rPr>
          <w:sz w:val="24"/>
          <w:szCs w:val="24"/>
        </w:rPr>
      </w:pPr>
      <w:r w:rsidRPr="00820C58">
        <w:rPr>
          <w:sz w:val="24"/>
          <w:szCs w:val="24"/>
        </w:rPr>
        <w:t>Laker, M.K  ‘Religious Experiences and Mind-Brain Science in the 21</w:t>
      </w:r>
      <w:r w:rsidRPr="00820C58">
        <w:rPr>
          <w:sz w:val="24"/>
          <w:szCs w:val="24"/>
          <w:vertAlign w:val="superscript"/>
        </w:rPr>
        <w:t>st</w:t>
      </w:r>
      <w:r w:rsidRPr="00820C58">
        <w:rPr>
          <w:sz w:val="24"/>
          <w:szCs w:val="24"/>
        </w:rPr>
        <w:t xml:space="preserve"> Century’, </w:t>
      </w:r>
      <w:r w:rsidRPr="00820C58">
        <w:rPr>
          <w:i/>
          <w:sz w:val="24"/>
          <w:szCs w:val="24"/>
        </w:rPr>
        <w:t xml:space="preserve">Activitas Nervosa Superior, </w:t>
      </w:r>
      <w:r w:rsidRPr="00820C58">
        <w:rPr>
          <w:sz w:val="24"/>
          <w:szCs w:val="24"/>
        </w:rPr>
        <w:t>57(1) (2015) pp.34-41</w:t>
      </w:r>
    </w:p>
    <w:p w14:paraId="7DB8DB8C" w14:textId="77777777" w:rsidR="009A1847" w:rsidRPr="00820C58" w:rsidRDefault="009A1847" w:rsidP="00820C58">
      <w:pPr>
        <w:pStyle w:val="ListParagraph"/>
        <w:numPr>
          <w:ilvl w:val="0"/>
          <w:numId w:val="3"/>
        </w:numPr>
        <w:rPr>
          <w:sz w:val="24"/>
          <w:szCs w:val="24"/>
        </w:rPr>
      </w:pPr>
      <w:r w:rsidRPr="00820C58">
        <w:rPr>
          <w:sz w:val="24"/>
          <w:szCs w:val="24"/>
        </w:rPr>
        <w:t>O’Hear, A (1984) ‘Experience, Explanation and Faith’, London: Routledge.</w:t>
      </w:r>
    </w:p>
    <w:p w14:paraId="37CB7648" w14:textId="77777777" w:rsidR="009A1847" w:rsidRPr="00820C58" w:rsidRDefault="009A1847" w:rsidP="00820C58">
      <w:pPr>
        <w:pStyle w:val="ListParagraph"/>
        <w:numPr>
          <w:ilvl w:val="0"/>
          <w:numId w:val="3"/>
        </w:numPr>
        <w:rPr>
          <w:sz w:val="24"/>
          <w:szCs w:val="24"/>
        </w:rPr>
      </w:pPr>
      <w:r w:rsidRPr="00820C58">
        <w:rPr>
          <w:sz w:val="24"/>
          <w:szCs w:val="24"/>
        </w:rPr>
        <w:t>Proudfoot, W (1985) ‘Religious Experience’, Berkeley: University of California Press.</w:t>
      </w:r>
    </w:p>
    <w:p w14:paraId="13857BB4" w14:textId="77777777" w:rsidR="009A1847" w:rsidRPr="00820C58" w:rsidRDefault="009A1847" w:rsidP="00820C58">
      <w:pPr>
        <w:pStyle w:val="ListParagraph"/>
        <w:numPr>
          <w:ilvl w:val="0"/>
          <w:numId w:val="3"/>
        </w:numPr>
        <w:rPr>
          <w:sz w:val="24"/>
          <w:szCs w:val="24"/>
        </w:rPr>
      </w:pPr>
      <w:r w:rsidRPr="00820C58">
        <w:rPr>
          <w:sz w:val="24"/>
          <w:szCs w:val="24"/>
        </w:rPr>
        <w:t>Richard Swinburne, (1979) ‘The Existence of God’, New York: Oxford University Press.</w:t>
      </w:r>
    </w:p>
    <w:p w14:paraId="02E7702D" w14:textId="32F3C765" w:rsidR="009A1847" w:rsidRPr="00820C58" w:rsidRDefault="009A1847" w:rsidP="00820C58">
      <w:pPr>
        <w:pStyle w:val="ListParagraph"/>
        <w:numPr>
          <w:ilvl w:val="0"/>
          <w:numId w:val="3"/>
        </w:numPr>
        <w:rPr>
          <w:sz w:val="24"/>
          <w:szCs w:val="24"/>
        </w:rPr>
      </w:pPr>
      <w:r w:rsidRPr="00820C58">
        <w:rPr>
          <w:sz w:val="24"/>
          <w:szCs w:val="24"/>
        </w:rPr>
        <w:t xml:space="preserve">Ruetenik, T ‘Fruits of Health: Roots of Despair: William James, Medical Materialism and the Evaluation of Religious Experience’, </w:t>
      </w:r>
      <w:r w:rsidRPr="00820C58">
        <w:rPr>
          <w:i/>
          <w:sz w:val="24"/>
          <w:szCs w:val="24"/>
        </w:rPr>
        <w:t xml:space="preserve">Journal of Religion and Health, </w:t>
      </w:r>
      <w:r w:rsidRPr="00820C58">
        <w:rPr>
          <w:sz w:val="24"/>
          <w:szCs w:val="24"/>
        </w:rPr>
        <w:t>45(3) pp.382-395</w:t>
      </w:r>
    </w:p>
    <w:sectPr w:rsidR="009A1847" w:rsidRPr="00820C5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E9410E" w14:textId="77777777" w:rsidR="007A3373" w:rsidRDefault="007A3373" w:rsidP="000E5B1E">
      <w:pPr>
        <w:spacing w:after="0" w:line="240" w:lineRule="auto"/>
      </w:pPr>
      <w:r>
        <w:separator/>
      </w:r>
    </w:p>
  </w:endnote>
  <w:endnote w:type="continuationSeparator" w:id="0">
    <w:p w14:paraId="2DA32BB0" w14:textId="77777777" w:rsidR="007A3373" w:rsidRDefault="007A3373" w:rsidP="000E5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00683" w14:textId="77777777" w:rsidR="007A3373" w:rsidRDefault="007A3373" w:rsidP="000E5B1E">
      <w:pPr>
        <w:spacing w:after="0" w:line="240" w:lineRule="auto"/>
      </w:pPr>
      <w:r>
        <w:separator/>
      </w:r>
    </w:p>
  </w:footnote>
  <w:footnote w:type="continuationSeparator" w:id="0">
    <w:p w14:paraId="4AD705A1" w14:textId="77777777" w:rsidR="007A3373" w:rsidRDefault="007A3373" w:rsidP="000E5B1E">
      <w:pPr>
        <w:spacing w:after="0" w:line="240" w:lineRule="auto"/>
      </w:pPr>
      <w:r>
        <w:continuationSeparator/>
      </w:r>
    </w:p>
  </w:footnote>
  <w:footnote w:id="1">
    <w:p w14:paraId="58A2BD9C" w14:textId="77777777" w:rsidR="007A3373" w:rsidRPr="00FD4C21" w:rsidRDefault="007A3373" w:rsidP="00FF6CD1">
      <w:pPr>
        <w:pStyle w:val="FootnoteText"/>
        <w:rPr>
          <w:sz w:val="18"/>
        </w:rPr>
      </w:pPr>
      <w:r>
        <w:rPr>
          <w:rStyle w:val="FootnoteReference"/>
        </w:rPr>
        <w:footnoteRef/>
      </w:r>
      <w:r>
        <w:t xml:space="preserve"> </w:t>
      </w:r>
      <w:r>
        <w:rPr>
          <w:sz w:val="18"/>
        </w:rPr>
        <w:t>Brian Davis, ‘An Introduction to the Philosophy of Religion’, (Oxford: Oxford University Press, 1982).</w:t>
      </w:r>
    </w:p>
  </w:footnote>
  <w:footnote w:id="2">
    <w:p w14:paraId="7650E30F" w14:textId="77777777" w:rsidR="007A3373" w:rsidRDefault="007A3373">
      <w:pPr>
        <w:pStyle w:val="FootnoteText"/>
      </w:pPr>
      <w:r>
        <w:rPr>
          <w:rStyle w:val="FootnoteReference"/>
        </w:rPr>
        <w:footnoteRef/>
      </w:r>
      <w:r>
        <w:t xml:space="preserve"> </w:t>
      </w:r>
      <w:r w:rsidRPr="00280403">
        <w:rPr>
          <w:sz w:val="18"/>
        </w:rPr>
        <w:t>D.G Attfield,</w:t>
      </w:r>
      <w:r>
        <w:rPr>
          <w:sz w:val="18"/>
        </w:rPr>
        <w:t xml:space="preserve"> ‘Argument from Religious Experience’, </w:t>
      </w:r>
      <w:r>
        <w:rPr>
          <w:i/>
          <w:sz w:val="18"/>
        </w:rPr>
        <w:t xml:space="preserve">Religious Studies, </w:t>
      </w:r>
      <w:r>
        <w:rPr>
          <w:sz w:val="18"/>
        </w:rPr>
        <w:t>11(3) (1975) pp. 335-344.</w:t>
      </w:r>
    </w:p>
  </w:footnote>
  <w:footnote w:id="3">
    <w:p w14:paraId="1823AB0A" w14:textId="77777777" w:rsidR="007A3373" w:rsidRPr="00FD4C21" w:rsidRDefault="007A3373" w:rsidP="00542309">
      <w:pPr>
        <w:pStyle w:val="FootnoteText"/>
        <w:rPr>
          <w:sz w:val="18"/>
        </w:rPr>
      </w:pPr>
      <w:r>
        <w:rPr>
          <w:rStyle w:val="FootnoteReference"/>
        </w:rPr>
        <w:footnoteRef/>
      </w:r>
      <w:r>
        <w:t xml:space="preserve"> </w:t>
      </w:r>
      <w:r>
        <w:rPr>
          <w:sz w:val="18"/>
        </w:rPr>
        <w:t>Anthony O’Hear, ‘Experience, Explanation and Faith’, (London: Routledge, 1984) pp. 28-29.</w:t>
      </w:r>
    </w:p>
  </w:footnote>
  <w:footnote w:id="4">
    <w:p w14:paraId="2B656A63" w14:textId="77777777" w:rsidR="007A3373" w:rsidRDefault="007A3373">
      <w:pPr>
        <w:pStyle w:val="FootnoteText"/>
      </w:pPr>
      <w:r>
        <w:rPr>
          <w:rStyle w:val="FootnoteReference"/>
        </w:rPr>
        <w:footnoteRef/>
      </w:r>
      <w:r>
        <w:t xml:space="preserve"> </w:t>
      </w:r>
      <w:r>
        <w:rPr>
          <w:sz w:val="18"/>
        </w:rPr>
        <w:t>Anthony O’Hear, ‘Experience, Explanation and Faith’ p.27.</w:t>
      </w:r>
    </w:p>
  </w:footnote>
  <w:footnote w:id="5">
    <w:p w14:paraId="6CAF23F1" w14:textId="77777777" w:rsidR="007A3373" w:rsidRDefault="007A3373">
      <w:pPr>
        <w:pStyle w:val="FootnoteText"/>
      </w:pPr>
      <w:r>
        <w:rPr>
          <w:rStyle w:val="FootnoteReference"/>
        </w:rPr>
        <w:footnoteRef/>
      </w:r>
      <w:r>
        <w:t xml:space="preserve"> </w:t>
      </w:r>
      <w:r>
        <w:rPr>
          <w:sz w:val="18"/>
        </w:rPr>
        <w:t>Richard Swinburne, ‘The Existence of God’, (New York: Oxford University Press 1979) pp. 254-255.</w:t>
      </w:r>
    </w:p>
  </w:footnote>
  <w:footnote w:id="6">
    <w:p w14:paraId="1602B570" w14:textId="77777777" w:rsidR="007A3373" w:rsidRPr="00C04CF8" w:rsidRDefault="007A3373">
      <w:pPr>
        <w:pStyle w:val="FootnoteText"/>
        <w:rPr>
          <w:sz w:val="18"/>
        </w:rPr>
      </w:pPr>
      <w:r>
        <w:rPr>
          <w:rStyle w:val="FootnoteReference"/>
        </w:rPr>
        <w:footnoteRef/>
      </w:r>
      <w:r>
        <w:t xml:space="preserve"> </w:t>
      </w:r>
      <w:r>
        <w:rPr>
          <w:sz w:val="18"/>
        </w:rPr>
        <w:t>John Hick, ‘New Frontier of Religion and Science; Religious Experience, Neuroscience, and the Transcendent’, (Basingstoke: Palgrave Macmillan 2006) p. 59.</w:t>
      </w:r>
    </w:p>
  </w:footnote>
  <w:footnote w:id="7">
    <w:p w14:paraId="00F737EC" w14:textId="77777777" w:rsidR="007A3373" w:rsidRDefault="007A3373">
      <w:pPr>
        <w:pStyle w:val="FootnoteText"/>
      </w:pPr>
      <w:r>
        <w:rPr>
          <w:rStyle w:val="FootnoteReference"/>
        </w:rPr>
        <w:footnoteRef/>
      </w:r>
      <w:bookmarkStart w:id="1" w:name="_Hlk3048335"/>
      <w:r>
        <w:t xml:space="preserve"> </w:t>
      </w:r>
      <w:r>
        <w:rPr>
          <w:sz w:val="18"/>
        </w:rPr>
        <w:t>John Hick, ‘New Frontier of Religion and Science; Religious Experience, Neuroscience, and the Transcendent’ p.</w:t>
      </w:r>
      <w:bookmarkEnd w:id="1"/>
      <w:r>
        <w:rPr>
          <w:sz w:val="18"/>
        </w:rPr>
        <w:t>60.</w:t>
      </w:r>
    </w:p>
  </w:footnote>
  <w:footnote w:id="8">
    <w:p w14:paraId="27290EFC" w14:textId="77777777" w:rsidR="007A3373" w:rsidRDefault="007A3373">
      <w:pPr>
        <w:pStyle w:val="FootnoteText"/>
      </w:pPr>
      <w:r>
        <w:rPr>
          <w:rStyle w:val="FootnoteReference"/>
        </w:rPr>
        <w:footnoteRef/>
      </w:r>
      <w:r>
        <w:t xml:space="preserve"> </w:t>
      </w:r>
      <w:r>
        <w:rPr>
          <w:sz w:val="18"/>
        </w:rPr>
        <w:t xml:space="preserve">John Hick, ‘New Frontier of Religion and Science; Religious Experience, Neuroscience, and the Transcendent’ p.63. </w:t>
      </w:r>
    </w:p>
  </w:footnote>
  <w:footnote w:id="9">
    <w:p w14:paraId="6D30A081" w14:textId="77777777" w:rsidR="007A3373" w:rsidRPr="00E466FA" w:rsidRDefault="007A3373">
      <w:pPr>
        <w:pStyle w:val="FootnoteText"/>
        <w:rPr>
          <w:sz w:val="18"/>
        </w:rPr>
      </w:pPr>
      <w:r>
        <w:rPr>
          <w:rStyle w:val="FootnoteReference"/>
        </w:rPr>
        <w:footnoteRef/>
      </w:r>
      <w:r>
        <w:t xml:space="preserve"> </w:t>
      </w:r>
      <w:r>
        <w:rPr>
          <w:sz w:val="18"/>
        </w:rPr>
        <w:t>Matthew k. Laker, ‘Religious Experiences and Mind-Brain Science in the 21</w:t>
      </w:r>
      <w:r w:rsidRPr="00CC7B5B">
        <w:rPr>
          <w:sz w:val="18"/>
          <w:vertAlign w:val="superscript"/>
        </w:rPr>
        <w:t>st</w:t>
      </w:r>
      <w:r>
        <w:rPr>
          <w:sz w:val="18"/>
        </w:rPr>
        <w:t xml:space="preserve"> Century’, </w:t>
      </w:r>
      <w:r>
        <w:rPr>
          <w:i/>
          <w:sz w:val="18"/>
        </w:rPr>
        <w:t xml:space="preserve">Activitas Nervosa Superior, </w:t>
      </w:r>
      <w:r>
        <w:rPr>
          <w:sz w:val="18"/>
        </w:rPr>
        <w:t xml:space="preserve">57(1) (2015) pp.34-41. </w:t>
      </w:r>
    </w:p>
  </w:footnote>
  <w:footnote w:id="10">
    <w:p w14:paraId="7D8A5ABA" w14:textId="77777777" w:rsidR="001D7C13" w:rsidRPr="00614D01" w:rsidRDefault="001D7C13">
      <w:pPr>
        <w:pStyle w:val="FootnoteText"/>
        <w:rPr>
          <w:sz w:val="18"/>
        </w:rPr>
      </w:pPr>
      <w:r>
        <w:rPr>
          <w:rStyle w:val="FootnoteReference"/>
        </w:rPr>
        <w:footnoteRef/>
      </w:r>
      <w:r>
        <w:t xml:space="preserve"> </w:t>
      </w:r>
      <w:r>
        <w:rPr>
          <w:sz w:val="18"/>
        </w:rPr>
        <w:t>Tadd Ruetenik, ‘Fruits of Health: Roots of Despair: William James</w:t>
      </w:r>
      <w:r w:rsidR="00886AE5">
        <w:rPr>
          <w:sz w:val="18"/>
        </w:rPr>
        <w:t xml:space="preserve">, Medical Materialism and the Evaluation of Religious Experience’, </w:t>
      </w:r>
      <w:r w:rsidR="00614D01">
        <w:rPr>
          <w:i/>
          <w:sz w:val="18"/>
        </w:rPr>
        <w:t xml:space="preserve">Journal of Religion and Health, </w:t>
      </w:r>
      <w:r w:rsidR="008B6400">
        <w:rPr>
          <w:sz w:val="18"/>
        </w:rPr>
        <w:t xml:space="preserve">45(3) </w:t>
      </w:r>
      <w:r w:rsidR="00490371">
        <w:rPr>
          <w:sz w:val="18"/>
        </w:rPr>
        <w:t xml:space="preserve">pp.382-395. </w:t>
      </w:r>
    </w:p>
  </w:footnote>
  <w:footnote w:id="11">
    <w:p w14:paraId="3FC77C58" w14:textId="77777777" w:rsidR="0002620F" w:rsidRDefault="0002620F">
      <w:pPr>
        <w:pStyle w:val="FootnoteText"/>
      </w:pPr>
      <w:r>
        <w:rPr>
          <w:rStyle w:val="FootnoteReference"/>
        </w:rPr>
        <w:footnoteRef/>
      </w:r>
      <w:r>
        <w:t xml:space="preserve"> </w:t>
      </w:r>
      <w:r>
        <w:rPr>
          <w:sz w:val="18"/>
        </w:rPr>
        <w:t>Matthew k. Laker, ‘Religious Experiences and Mind-Brain Science in the 21</w:t>
      </w:r>
      <w:r w:rsidRPr="00CC7B5B">
        <w:rPr>
          <w:sz w:val="18"/>
          <w:vertAlign w:val="superscript"/>
        </w:rPr>
        <w:t>st</w:t>
      </w:r>
      <w:r>
        <w:rPr>
          <w:sz w:val="18"/>
        </w:rPr>
        <w:t xml:space="preserve"> Century’ p. 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B09C7C" w14:textId="77777777" w:rsidR="007A3373" w:rsidRDefault="007A3373" w:rsidP="000E5B1E">
    <w:pPr>
      <w:pStyle w:val="Header"/>
    </w:pPr>
    <w:r>
      <w:t>Do Religious Experiences Provide Evidence for the Existence of God?</w:t>
    </w:r>
  </w:p>
  <w:p w14:paraId="3170048F" w14:textId="77777777" w:rsidR="007A3373" w:rsidRDefault="007A33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882FDD"/>
    <w:multiLevelType w:val="hybridMultilevel"/>
    <w:tmpl w:val="F5927B2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0754F"/>
    <w:multiLevelType w:val="hybridMultilevel"/>
    <w:tmpl w:val="66F2C7BA"/>
    <w:lvl w:ilvl="0" w:tplc="0D70C0E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5D608D"/>
    <w:multiLevelType w:val="hybridMultilevel"/>
    <w:tmpl w:val="B87E397A"/>
    <w:lvl w:ilvl="0" w:tplc="0D70C0E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B1E"/>
    <w:rsid w:val="00016E03"/>
    <w:rsid w:val="00022494"/>
    <w:rsid w:val="0002620F"/>
    <w:rsid w:val="00035DBE"/>
    <w:rsid w:val="00084BFE"/>
    <w:rsid w:val="000A0438"/>
    <w:rsid w:val="000B4E3F"/>
    <w:rsid w:val="000D0211"/>
    <w:rsid w:val="000E5B1E"/>
    <w:rsid w:val="001043E3"/>
    <w:rsid w:val="00111863"/>
    <w:rsid w:val="00113901"/>
    <w:rsid w:val="0011634A"/>
    <w:rsid w:val="001177D6"/>
    <w:rsid w:val="001402BB"/>
    <w:rsid w:val="00150CCC"/>
    <w:rsid w:val="0015539A"/>
    <w:rsid w:val="00160BAD"/>
    <w:rsid w:val="001664D1"/>
    <w:rsid w:val="00173F70"/>
    <w:rsid w:val="00182D8C"/>
    <w:rsid w:val="00185D22"/>
    <w:rsid w:val="001876AD"/>
    <w:rsid w:val="00195509"/>
    <w:rsid w:val="001A6848"/>
    <w:rsid w:val="001B4113"/>
    <w:rsid w:val="001D7C13"/>
    <w:rsid w:val="001E3321"/>
    <w:rsid w:val="0023278F"/>
    <w:rsid w:val="00236DE7"/>
    <w:rsid w:val="0024499D"/>
    <w:rsid w:val="0024603B"/>
    <w:rsid w:val="00267E32"/>
    <w:rsid w:val="00280403"/>
    <w:rsid w:val="002843E5"/>
    <w:rsid w:val="002919A7"/>
    <w:rsid w:val="00292FE1"/>
    <w:rsid w:val="00294345"/>
    <w:rsid w:val="0029666F"/>
    <w:rsid w:val="00304ACF"/>
    <w:rsid w:val="003160B2"/>
    <w:rsid w:val="00335D00"/>
    <w:rsid w:val="00347C20"/>
    <w:rsid w:val="0035371D"/>
    <w:rsid w:val="0036727E"/>
    <w:rsid w:val="00373191"/>
    <w:rsid w:val="00375B1B"/>
    <w:rsid w:val="00377AD9"/>
    <w:rsid w:val="003B5007"/>
    <w:rsid w:val="003B790C"/>
    <w:rsid w:val="003C7A46"/>
    <w:rsid w:val="003E1290"/>
    <w:rsid w:val="003E1A95"/>
    <w:rsid w:val="00401B82"/>
    <w:rsid w:val="00425B8C"/>
    <w:rsid w:val="004401E2"/>
    <w:rsid w:val="00441BBA"/>
    <w:rsid w:val="0046649E"/>
    <w:rsid w:val="00475FA2"/>
    <w:rsid w:val="00490371"/>
    <w:rsid w:val="00496501"/>
    <w:rsid w:val="00497E21"/>
    <w:rsid w:val="004A6DA4"/>
    <w:rsid w:val="004B1C6D"/>
    <w:rsid w:val="004D1AEF"/>
    <w:rsid w:val="004D6683"/>
    <w:rsid w:val="004D7130"/>
    <w:rsid w:val="004E6449"/>
    <w:rsid w:val="004E7099"/>
    <w:rsid w:val="005138DD"/>
    <w:rsid w:val="005165FC"/>
    <w:rsid w:val="00516E4B"/>
    <w:rsid w:val="00542309"/>
    <w:rsid w:val="00546122"/>
    <w:rsid w:val="00562C33"/>
    <w:rsid w:val="0057603A"/>
    <w:rsid w:val="005871D1"/>
    <w:rsid w:val="005A7355"/>
    <w:rsid w:val="005B67C1"/>
    <w:rsid w:val="005D3211"/>
    <w:rsid w:val="00601B3C"/>
    <w:rsid w:val="00614D01"/>
    <w:rsid w:val="006C597F"/>
    <w:rsid w:val="006E05FD"/>
    <w:rsid w:val="006E3D87"/>
    <w:rsid w:val="006E40FC"/>
    <w:rsid w:val="007109F4"/>
    <w:rsid w:val="0071268F"/>
    <w:rsid w:val="007224F5"/>
    <w:rsid w:val="00737F29"/>
    <w:rsid w:val="00744C7C"/>
    <w:rsid w:val="00752711"/>
    <w:rsid w:val="007A3373"/>
    <w:rsid w:val="007A3E14"/>
    <w:rsid w:val="007B47F7"/>
    <w:rsid w:val="007B73E4"/>
    <w:rsid w:val="007D195B"/>
    <w:rsid w:val="007E1A98"/>
    <w:rsid w:val="007F42D7"/>
    <w:rsid w:val="0080723B"/>
    <w:rsid w:val="0082044A"/>
    <w:rsid w:val="00820C58"/>
    <w:rsid w:val="00835433"/>
    <w:rsid w:val="00875CE2"/>
    <w:rsid w:val="00886AE5"/>
    <w:rsid w:val="008A7675"/>
    <w:rsid w:val="008B6400"/>
    <w:rsid w:val="008F4172"/>
    <w:rsid w:val="00961B9E"/>
    <w:rsid w:val="009879CA"/>
    <w:rsid w:val="00995263"/>
    <w:rsid w:val="009A15D4"/>
    <w:rsid w:val="009A1847"/>
    <w:rsid w:val="009C2CFA"/>
    <w:rsid w:val="009C39D8"/>
    <w:rsid w:val="009C7EF9"/>
    <w:rsid w:val="00A364FF"/>
    <w:rsid w:val="00A45485"/>
    <w:rsid w:val="00A52F23"/>
    <w:rsid w:val="00A66D44"/>
    <w:rsid w:val="00A74E24"/>
    <w:rsid w:val="00AC2960"/>
    <w:rsid w:val="00AC752C"/>
    <w:rsid w:val="00AD01DB"/>
    <w:rsid w:val="00AD5B02"/>
    <w:rsid w:val="00AE0330"/>
    <w:rsid w:val="00AE505B"/>
    <w:rsid w:val="00AF0706"/>
    <w:rsid w:val="00B755B0"/>
    <w:rsid w:val="00BA1A6F"/>
    <w:rsid w:val="00BC7DC5"/>
    <w:rsid w:val="00BD3265"/>
    <w:rsid w:val="00BE317A"/>
    <w:rsid w:val="00BF7321"/>
    <w:rsid w:val="00C04CF8"/>
    <w:rsid w:val="00C12FE0"/>
    <w:rsid w:val="00C1352E"/>
    <w:rsid w:val="00C1449F"/>
    <w:rsid w:val="00C171C7"/>
    <w:rsid w:val="00C25EA6"/>
    <w:rsid w:val="00C34A22"/>
    <w:rsid w:val="00C51A1B"/>
    <w:rsid w:val="00C718A0"/>
    <w:rsid w:val="00C82A8E"/>
    <w:rsid w:val="00C92319"/>
    <w:rsid w:val="00C948F3"/>
    <w:rsid w:val="00CA2A8A"/>
    <w:rsid w:val="00CA2E6A"/>
    <w:rsid w:val="00CB0D76"/>
    <w:rsid w:val="00CC7B5B"/>
    <w:rsid w:val="00CE2726"/>
    <w:rsid w:val="00CF31F8"/>
    <w:rsid w:val="00D17D11"/>
    <w:rsid w:val="00D5326C"/>
    <w:rsid w:val="00D63A08"/>
    <w:rsid w:val="00D6464B"/>
    <w:rsid w:val="00D84BDC"/>
    <w:rsid w:val="00DA4389"/>
    <w:rsid w:val="00DD6824"/>
    <w:rsid w:val="00DE175C"/>
    <w:rsid w:val="00DF2400"/>
    <w:rsid w:val="00E2584E"/>
    <w:rsid w:val="00E435A5"/>
    <w:rsid w:val="00E466FA"/>
    <w:rsid w:val="00E51420"/>
    <w:rsid w:val="00E64ABD"/>
    <w:rsid w:val="00E84806"/>
    <w:rsid w:val="00EA3F00"/>
    <w:rsid w:val="00EA5BC3"/>
    <w:rsid w:val="00EC321B"/>
    <w:rsid w:val="00EE2E05"/>
    <w:rsid w:val="00F3589E"/>
    <w:rsid w:val="00F3693D"/>
    <w:rsid w:val="00F423F6"/>
    <w:rsid w:val="00F55F59"/>
    <w:rsid w:val="00F657AD"/>
    <w:rsid w:val="00F725A9"/>
    <w:rsid w:val="00F74DB1"/>
    <w:rsid w:val="00F75724"/>
    <w:rsid w:val="00F774D5"/>
    <w:rsid w:val="00FA1719"/>
    <w:rsid w:val="00FA1A24"/>
    <w:rsid w:val="00FA2522"/>
    <w:rsid w:val="00FF071A"/>
    <w:rsid w:val="00FF1DB6"/>
    <w:rsid w:val="00FF2E92"/>
    <w:rsid w:val="00FF491B"/>
    <w:rsid w:val="00FF6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2C945E"/>
  <w15:chartTrackingRefBased/>
  <w15:docId w15:val="{47025C4C-BF18-4AF3-969A-51D7FB2C6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5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B1E"/>
  </w:style>
  <w:style w:type="paragraph" w:styleId="Footer">
    <w:name w:val="footer"/>
    <w:basedOn w:val="Normal"/>
    <w:link w:val="FooterChar"/>
    <w:uiPriority w:val="99"/>
    <w:unhideWhenUsed/>
    <w:rsid w:val="000E5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B1E"/>
  </w:style>
  <w:style w:type="paragraph" w:styleId="FootnoteText">
    <w:name w:val="footnote text"/>
    <w:basedOn w:val="Normal"/>
    <w:link w:val="FootnoteTextChar"/>
    <w:uiPriority w:val="99"/>
    <w:semiHidden/>
    <w:unhideWhenUsed/>
    <w:rsid w:val="00FF6C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6CD1"/>
    <w:rPr>
      <w:sz w:val="20"/>
      <w:szCs w:val="20"/>
    </w:rPr>
  </w:style>
  <w:style w:type="character" w:styleId="FootnoteReference">
    <w:name w:val="footnote reference"/>
    <w:basedOn w:val="DefaultParagraphFont"/>
    <w:uiPriority w:val="99"/>
    <w:semiHidden/>
    <w:unhideWhenUsed/>
    <w:rsid w:val="00FF6CD1"/>
    <w:rPr>
      <w:vertAlign w:val="superscript"/>
    </w:rPr>
  </w:style>
  <w:style w:type="paragraph" w:styleId="ListParagraph">
    <w:name w:val="List Paragraph"/>
    <w:basedOn w:val="Normal"/>
    <w:uiPriority w:val="34"/>
    <w:qFormat/>
    <w:rsid w:val="009A18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FA4950-8CC9-4FFB-B98C-FEC63B6BF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3395</TotalTime>
  <Pages>6</Pages>
  <Words>2443</Words>
  <Characters>13929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207</cp:revision>
  <dcterms:created xsi:type="dcterms:W3CDTF">2019-03-07T15:54:00Z</dcterms:created>
  <dcterms:modified xsi:type="dcterms:W3CDTF">2019-03-10T17:56:00Z</dcterms:modified>
</cp:coreProperties>
</file>