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65D7" w:rsidRDefault="00B97AE6" w:rsidP="00347999">
      <w:pPr>
        <w:jc w:val="both"/>
        <w:rPr>
          <w:b/>
        </w:rPr>
      </w:pPr>
      <w:r>
        <w:rPr>
          <w:b/>
        </w:rPr>
        <w:t>The authority of the Prophet is only limited to doctrinal affairs and the matters of worship, as far as the worldly affairs are concerned; they are not governed by the prophetic authority.</w:t>
      </w:r>
    </w:p>
    <w:p w:rsidR="006511C4" w:rsidRDefault="002A6EB6" w:rsidP="006511C4">
      <w:pPr>
        <w:ind w:firstLine="720"/>
        <w:jc w:val="both"/>
      </w:pPr>
      <w:r>
        <w:t>Islam is a complete system o</w:t>
      </w:r>
      <w:r w:rsidR="000C6BDD">
        <w:t xml:space="preserve">f life, a system which </w:t>
      </w:r>
      <w:r w:rsidR="00922729">
        <w:t>encompasses</w:t>
      </w:r>
      <w:r w:rsidR="000C6BDD">
        <w:t xml:space="preserve"> over</w:t>
      </w:r>
      <w:r>
        <w:t xml:space="preserve"> every aspect of a Muslim’s life; from eating, </w:t>
      </w:r>
      <w:r w:rsidR="00922729">
        <w:t>family relations</w:t>
      </w:r>
      <w:r>
        <w:t xml:space="preserve">, worship, </w:t>
      </w:r>
      <w:r w:rsidR="00922729">
        <w:t>sleeping, doctrinal and judicial matters etc; b</w:t>
      </w:r>
      <w:r>
        <w:t xml:space="preserve">uilt upon the </w:t>
      </w:r>
      <w:proofErr w:type="spellStart"/>
      <w:r w:rsidR="00F5188E">
        <w:rPr>
          <w:i/>
        </w:rPr>
        <w:t>Qur</w:t>
      </w:r>
      <w:r w:rsidR="00F5188E">
        <w:t>’</w:t>
      </w:r>
      <w:r w:rsidR="00F5188E" w:rsidRPr="00F5188E">
        <w:rPr>
          <w:i/>
        </w:rPr>
        <w:t>ā</w:t>
      </w:r>
      <w:r w:rsidRPr="002A6EB6">
        <w:rPr>
          <w:i/>
        </w:rPr>
        <w:t>n</w:t>
      </w:r>
      <w:proofErr w:type="spellEnd"/>
      <w:r>
        <w:rPr>
          <w:i/>
        </w:rPr>
        <w:t xml:space="preserve"> </w:t>
      </w:r>
      <w:r>
        <w:t xml:space="preserve">and the </w:t>
      </w:r>
      <w:r>
        <w:rPr>
          <w:i/>
        </w:rPr>
        <w:t xml:space="preserve">Sunnah </w:t>
      </w:r>
      <w:r>
        <w:t xml:space="preserve">(the prophetic </w:t>
      </w:r>
      <w:r w:rsidR="000C6BDD">
        <w:t>tradition)</w:t>
      </w:r>
      <w:r w:rsidR="00CA6EF0">
        <w:t>;</w:t>
      </w:r>
      <w:r w:rsidR="000C6BDD">
        <w:t xml:space="preserve"> two main fundamental sources from wherein the laws that govern the day-to-day life of the</w:t>
      </w:r>
      <w:r w:rsidR="00CA6EF0">
        <w:t xml:space="preserve"> Muslim are deduced</w:t>
      </w:r>
      <w:r w:rsidR="000C6BDD">
        <w:t xml:space="preserve"> from. </w:t>
      </w:r>
    </w:p>
    <w:p w:rsidR="00B97AE6" w:rsidRDefault="000C6BDD" w:rsidP="006511C4">
      <w:pPr>
        <w:ind w:firstLine="720"/>
        <w:jc w:val="both"/>
      </w:pPr>
      <w:r>
        <w:t>For one to assume that</w:t>
      </w:r>
      <w:r w:rsidR="00922729">
        <w:t xml:space="preserve"> there is leeway in limiting or</w:t>
      </w:r>
      <w:r>
        <w:t xml:space="preserve"> downplaying the authority of the Prophet with regards to worldly affairs is absurd, to say the least. To</w:t>
      </w:r>
      <w:r w:rsidR="00F5188E">
        <w:t xml:space="preserve"> limit his authority only to</w:t>
      </w:r>
      <w:r w:rsidR="00CA6EF0">
        <w:t xml:space="preserve"> doctrinal matters and to </w:t>
      </w:r>
      <w:r>
        <w:t>worship</w:t>
      </w:r>
      <w:r w:rsidR="006B1F07">
        <w:t xml:space="preserve"> is</w:t>
      </w:r>
      <w:r w:rsidR="001621CC">
        <w:t xml:space="preserve"> in</w:t>
      </w:r>
      <w:r w:rsidR="006B1F07">
        <w:t xml:space="preserve"> direct conflict with the Quranic text, as well a</w:t>
      </w:r>
      <w:r w:rsidR="00922729">
        <w:t>s a</w:t>
      </w:r>
      <w:r w:rsidR="006B1F07">
        <w:t xml:space="preserve"> challenge </w:t>
      </w:r>
      <w:r w:rsidR="00CA6EF0">
        <w:t>to the authority of God himself</w:t>
      </w:r>
      <w:r w:rsidR="00922729">
        <w:t>,</w:t>
      </w:r>
      <w:r w:rsidR="006B1F07">
        <w:t xml:space="preserve"> by</w:t>
      </w:r>
      <w:r w:rsidR="00922729">
        <w:t xml:space="preserve"> leading into</w:t>
      </w:r>
      <w:r w:rsidR="006B1F07">
        <w:t xml:space="preserve"> one’s own whims and desires. In </w:t>
      </w:r>
      <w:r w:rsidR="006511C4">
        <w:t xml:space="preserve">the </w:t>
      </w:r>
      <w:proofErr w:type="spellStart"/>
      <w:r w:rsidR="00272FA0">
        <w:rPr>
          <w:i/>
        </w:rPr>
        <w:t>Sūrah</w:t>
      </w:r>
      <w:proofErr w:type="spellEnd"/>
      <w:r w:rsidR="006B1F07" w:rsidRPr="006B1F07">
        <w:rPr>
          <w:i/>
        </w:rPr>
        <w:t xml:space="preserve"> </w:t>
      </w:r>
      <w:proofErr w:type="spellStart"/>
      <w:r w:rsidR="006B1F07" w:rsidRPr="006B1F07">
        <w:rPr>
          <w:i/>
        </w:rPr>
        <w:t>al-Nis</w:t>
      </w:r>
      <w:r w:rsidR="00F5188E" w:rsidRPr="00F5188E">
        <w:rPr>
          <w:i/>
        </w:rPr>
        <w:t>a</w:t>
      </w:r>
      <w:proofErr w:type="spellEnd"/>
      <w:r w:rsidR="00F5188E" w:rsidRPr="00F5188E">
        <w:rPr>
          <w:i/>
        </w:rPr>
        <w:t>̄</w:t>
      </w:r>
      <w:r w:rsidR="001621CC">
        <w:rPr>
          <w:i/>
        </w:rPr>
        <w:t xml:space="preserve">, </w:t>
      </w:r>
      <w:r w:rsidR="001621CC">
        <w:t>among many other places</w:t>
      </w:r>
      <w:r w:rsidR="00A73FD8">
        <w:t>, God clearly declares the au</w:t>
      </w:r>
      <w:r w:rsidR="006511C4">
        <w:t>thority of the messengers he has</w:t>
      </w:r>
      <w:r w:rsidR="00A73FD8">
        <w:t xml:space="preserve"> sent</w:t>
      </w:r>
      <w:r w:rsidR="006B1F07">
        <w:rPr>
          <w:i/>
        </w:rPr>
        <w:t xml:space="preserve">: </w:t>
      </w:r>
      <w:r w:rsidR="006B1F07">
        <w:t>“And We did not send any messenger except to be obeyed by permission of God…”</w:t>
      </w:r>
      <w:r w:rsidR="00A73FD8">
        <w:rPr>
          <w:rStyle w:val="FootnoteReference"/>
        </w:rPr>
        <w:footnoteReference w:id="1"/>
      </w:r>
      <w:r w:rsidR="001621CC">
        <w:t xml:space="preserve"> Reiterating the authority that he bestowed upon this messenger, he lays down a clear-cut command which </w:t>
      </w:r>
      <w:r w:rsidR="00922729">
        <w:t>highlights</w:t>
      </w:r>
      <w:r w:rsidR="001621CC">
        <w:t xml:space="preserve"> the vastness of his messenger’s authority in all matter</w:t>
      </w:r>
      <w:r w:rsidR="00882C77">
        <w:t xml:space="preserve">s, whether doctrinal </w:t>
      </w:r>
      <w:r w:rsidR="001621CC">
        <w:t>or worldly</w:t>
      </w:r>
      <w:r w:rsidR="00882C77">
        <w:t>,</w:t>
      </w:r>
      <w:r w:rsidR="0058796C">
        <w:t xml:space="preserve"> as well as mentioning his anger for </w:t>
      </w:r>
      <w:r w:rsidR="00922729">
        <w:t xml:space="preserve">the </w:t>
      </w:r>
      <w:r w:rsidR="0058796C">
        <w:t>one who does not</w:t>
      </w:r>
      <w:r w:rsidR="00CA6EF0">
        <w:t xml:space="preserve"> adhere to it</w:t>
      </w:r>
      <w:r w:rsidR="0058796C">
        <w:t>:</w:t>
      </w:r>
      <w:r w:rsidR="00882C77">
        <w:t xml:space="preserve"> “…And whatever the messenger has given you - take; and whatever he has forbidden you - refrain from</w:t>
      </w:r>
      <w:r w:rsidR="0058796C">
        <w:t>. And fear God; indeed, God is severe in punishment.”</w:t>
      </w:r>
      <w:r w:rsidR="00AF760B">
        <w:rPr>
          <w:rStyle w:val="FootnoteReference"/>
        </w:rPr>
        <w:footnoteReference w:id="2"/>
      </w:r>
    </w:p>
    <w:p w:rsidR="00AF760B" w:rsidRDefault="00873A09" w:rsidP="00347999">
      <w:pPr>
        <w:ind w:firstLine="720"/>
        <w:jc w:val="both"/>
      </w:pPr>
      <w:r>
        <w:t>The actual definitio</w:t>
      </w:r>
      <w:r w:rsidR="00922729">
        <w:t>n of this opinion seems obscure;</w:t>
      </w:r>
      <w:r>
        <w:t xml:space="preserve"> what would </w:t>
      </w:r>
      <w:r w:rsidR="00922729">
        <w:t>be classed</w:t>
      </w:r>
      <w:r>
        <w:t xml:space="preserve"> as</w:t>
      </w:r>
      <w:r w:rsidR="00922729">
        <w:t xml:space="preserve"> a worldly affair</w:t>
      </w:r>
      <w:r>
        <w:t xml:space="preserve"> </w:t>
      </w:r>
      <w:proofErr w:type="gramStart"/>
      <w:r w:rsidR="00922729">
        <w:t>so as to</w:t>
      </w:r>
      <w:proofErr w:type="gramEnd"/>
      <w:r>
        <w:t xml:space="preserve"> cancel out the authority of the Prophet, leaving God’s authority in-place within the worldly affairs. </w:t>
      </w:r>
      <w:r w:rsidR="00966440">
        <w:t>Whichever way</w:t>
      </w:r>
      <w:r w:rsidR="00922729">
        <w:t xml:space="preserve"> one might look at</w:t>
      </w:r>
      <w:r>
        <w:t xml:space="preserve"> it, there are varying chains to a narration of the Prophet himself which would possibly give rise to such an </w:t>
      </w:r>
      <w:r w:rsidR="00CA6EF0">
        <w:t>argument</w:t>
      </w:r>
      <w:r>
        <w:t>.</w:t>
      </w:r>
      <w:r w:rsidR="00BB6BE7">
        <w:t xml:space="preserve"> There is a </w:t>
      </w:r>
      <w:proofErr w:type="gramStart"/>
      <w:r w:rsidR="00BB6BE7">
        <w:t>particular narration</w:t>
      </w:r>
      <w:proofErr w:type="gramEnd"/>
      <w:r w:rsidR="00BB6BE7">
        <w:t xml:space="preserve"> in the </w:t>
      </w:r>
      <w:r w:rsidR="008A60B0" w:rsidRPr="008A60B0">
        <w:rPr>
          <w:i/>
        </w:rPr>
        <w:t>Saḥīḥ</w:t>
      </w:r>
      <w:r w:rsidR="00BB6BE7">
        <w:t xml:space="preserve"> of Muslim, second most authentic </w:t>
      </w:r>
      <w:r w:rsidR="00BB6BE7" w:rsidRPr="00BB6BE7">
        <w:rPr>
          <w:i/>
        </w:rPr>
        <w:t>hadith</w:t>
      </w:r>
      <w:r w:rsidR="00BB6BE7">
        <w:t xml:space="preserve"> collection within Sunni Theology</w:t>
      </w:r>
      <w:r w:rsidR="00922729">
        <w:t xml:space="preserve"> i</w:t>
      </w:r>
      <w:r w:rsidR="003D431B">
        <w:t>n</w:t>
      </w:r>
      <w:r w:rsidR="00BB6BE7">
        <w:t xml:space="preserve"> which </w:t>
      </w:r>
      <w:r w:rsidR="003D431B">
        <w:t xml:space="preserve">the Prophet </w:t>
      </w:r>
      <w:r w:rsidR="00C37301">
        <w:t>came across people grafting their date-palm tree</w:t>
      </w:r>
      <w:r w:rsidR="004077E4">
        <w:t>s</w:t>
      </w:r>
      <w:r w:rsidR="00C37301">
        <w:t>, upon enquiring</w:t>
      </w:r>
      <w:r w:rsidR="00922729">
        <w:t>,</w:t>
      </w:r>
      <w:r w:rsidR="00C37301">
        <w:t xml:space="preserve"> he stated</w:t>
      </w:r>
      <w:r w:rsidR="00272FA0">
        <w:t>:</w:t>
      </w:r>
      <w:r w:rsidR="00C37301">
        <w:t xml:space="preserve"> “</w:t>
      </w:r>
      <w:r w:rsidR="00836261" w:rsidRPr="00836261">
        <w:t>I do not find it to be of any use.</w:t>
      </w:r>
      <w:r w:rsidR="00C37301">
        <w:t>”</w:t>
      </w:r>
      <w:r w:rsidR="00C37301">
        <w:rPr>
          <w:rStyle w:val="FootnoteReference"/>
        </w:rPr>
        <w:footnoteReference w:id="3"/>
      </w:r>
      <w:r w:rsidR="00922729">
        <w:t xml:space="preserve"> H</w:t>
      </w:r>
      <w:r w:rsidR="00C37301">
        <w:t>ence</w:t>
      </w:r>
      <w:r w:rsidR="006511C4">
        <w:t xml:space="preserve"> due to his opinion</w:t>
      </w:r>
      <w:r w:rsidR="00C37301">
        <w:t xml:space="preserve"> the pe</w:t>
      </w:r>
      <w:r w:rsidR="00272FA0">
        <w:t>ople abandoned that practice. When he</w:t>
      </w:r>
      <w:r w:rsidR="00C37301">
        <w:t xml:space="preserve"> was</w:t>
      </w:r>
      <w:r w:rsidR="006511C4">
        <w:t xml:space="preserve"> </w:t>
      </w:r>
      <w:r w:rsidR="00C37301">
        <w:t xml:space="preserve"> informed </w:t>
      </w:r>
      <w:r w:rsidR="00322E3D">
        <w:t>“</w:t>
      </w:r>
      <w:r w:rsidR="00836261" w:rsidRPr="00F5188E">
        <w:rPr>
          <w:rFonts w:cs="Helvetica"/>
          <w:color w:val="08081A"/>
        </w:rPr>
        <w:t>that the yield had dwindled</w:t>
      </w:r>
      <w:r w:rsidR="00322E3D">
        <w:t>”</w:t>
      </w:r>
      <w:r w:rsidR="00322E3D">
        <w:rPr>
          <w:rStyle w:val="FootnoteReference"/>
        </w:rPr>
        <w:footnoteReference w:id="4"/>
      </w:r>
      <w:r w:rsidR="00322E3D">
        <w:t>, he replied: “</w:t>
      </w:r>
      <w:r w:rsidR="00836261" w:rsidRPr="00836261">
        <w:t>If there is any use of it, then they should do it, for it was just a personal opinion of mine, and do not go after my personal opinion; but when I say to you anything on behalf of Allah, then do accept it, for I do not attribute lie to Allah, the Exalted and Glorious.</w:t>
      </w:r>
      <w:r w:rsidR="00836261">
        <w:t>”</w:t>
      </w:r>
      <w:r w:rsidR="00836261">
        <w:rPr>
          <w:rStyle w:val="FootnoteReference"/>
        </w:rPr>
        <w:footnoteReference w:id="5"/>
      </w:r>
      <w:r w:rsidR="00836261">
        <w:t xml:space="preserve"> </w:t>
      </w:r>
      <w:r w:rsidR="00966440">
        <w:t>This narration clear</w:t>
      </w:r>
      <w:r w:rsidR="00836261">
        <w:t>ly</w:t>
      </w:r>
      <w:r w:rsidR="00966440">
        <w:t xml:space="preserve"> sets out the parameters for when his judgements i.e. his authority should be followed regardless of how one might want to interpret it. </w:t>
      </w:r>
      <w:r w:rsidR="00836261" w:rsidRPr="00272FA0">
        <w:rPr>
          <w:i/>
        </w:rPr>
        <w:t>Al-</w:t>
      </w:r>
      <w:proofErr w:type="spellStart"/>
      <w:r w:rsidR="00836261" w:rsidRPr="00272FA0">
        <w:rPr>
          <w:i/>
        </w:rPr>
        <w:t>Nawawi</w:t>
      </w:r>
      <w:proofErr w:type="spellEnd"/>
      <w:r w:rsidR="00836261">
        <w:t>, commenting on this</w:t>
      </w:r>
      <w:r w:rsidR="00120E31">
        <w:t xml:space="preserve"> narration, </w:t>
      </w:r>
      <w:r w:rsidR="00922729">
        <w:t xml:space="preserve">in respect of </w:t>
      </w:r>
      <w:r w:rsidR="00836261">
        <w:t>not following the ‘</w:t>
      </w:r>
      <w:proofErr w:type="gramStart"/>
      <w:r w:rsidR="00836261">
        <w:t>personal opinion</w:t>
      </w:r>
      <w:proofErr w:type="gramEnd"/>
      <w:r w:rsidR="00836261">
        <w:t>’ of the Prophet</w:t>
      </w:r>
      <w:r w:rsidR="00922729">
        <w:t>,</w:t>
      </w:r>
      <w:r w:rsidR="00120E31">
        <w:t xml:space="preserve"> explains: “…personal opinion, i.e. </w:t>
      </w:r>
      <w:r w:rsidR="00DD5600">
        <w:t xml:space="preserve">affair(s) of the world and living (in) it, not with regards to </w:t>
      </w:r>
      <w:r w:rsidR="006511C4">
        <w:t>legislating</w:t>
      </w:r>
      <w:r w:rsidR="00922729">
        <w:t>,</w:t>
      </w:r>
      <w:r w:rsidR="00DD5600">
        <w:t xml:space="preserve"> as for what he said according to his </w:t>
      </w:r>
      <w:proofErr w:type="spellStart"/>
      <w:r w:rsidR="00F5188E">
        <w:rPr>
          <w:i/>
        </w:rPr>
        <w:t>ijtih</w:t>
      </w:r>
      <w:r w:rsidR="00F5188E" w:rsidRPr="00F5188E">
        <w:rPr>
          <w:i/>
        </w:rPr>
        <w:t>ā</w:t>
      </w:r>
      <w:r w:rsidR="00DD5600" w:rsidRPr="00DD5600">
        <w:rPr>
          <w:i/>
        </w:rPr>
        <w:t>d</w:t>
      </w:r>
      <w:proofErr w:type="spellEnd"/>
      <w:r w:rsidR="006511C4">
        <w:t xml:space="preserve"> is</w:t>
      </w:r>
      <w:r w:rsidR="00DD5600">
        <w:t xml:space="preserve"> viewed as the </w:t>
      </w:r>
      <w:proofErr w:type="spellStart"/>
      <w:r w:rsidR="00C30039">
        <w:rPr>
          <w:i/>
        </w:rPr>
        <w:t>shar</w:t>
      </w:r>
      <w:r w:rsidR="00C30039" w:rsidRPr="00C30039">
        <w:rPr>
          <w:i/>
        </w:rPr>
        <w:t>ī</w:t>
      </w:r>
      <w:r w:rsidR="00DD5600" w:rsidRPr="00DD5600">
        <w:rPr>
          <w:i/>
        </w:rPr>
        <w:t>’ah</w:t>
      </w:r>
      <w:proofErr w:type="spellEnd"/>
      <w:r w:rsidR="00DD5600">
        <w:t>, it is compulsory to act upon it.</w:t>
      </w:r>
      <w:r w:rsidR="00120E31">
        <w:t>”</w:t>
      </w:r>
      <w:r w:rsidR="00DD5600">
        <w:rPr>
          <w:rStyle w:val="FootnoteReference"/>
        </w:rPr>
        <w:footnoteReference w:id="6"/>
      </w:r>
    </w:p>
    <w:p w:rsidR="003F3FD0" w:rsidRDefault="002E4A9D" w:rsidP="00F5188E">
      <w:pPr>
        <w:ind w:firstLine="720"/>
        <w:jc w:val="both"/>
      </w:pPr>
      <w:r>
        <w:t>If this opinion was</w:t>
      </w:r>
      <w:r w:rsidR="00693791">
        <w:t xml:space="preserve"> only</w:t>
      </w:r>
      <w:r>
        <w:t xml:space="preserve"> </w:t>
      </w:r>
      <w:r w:rsidR="00347999">
        <w:t>directed towards politics</w:t>
      </w:r>
      <w:r w:rsidR="00693791">
        <w:t>, i.e.</w:t>
      </w:r>
      <w:r w:rsidR="009003D6">
        <w:t xml:space="preserve"> separating </w:t>
      </w:r>
      <w:r w:rsidR="00272FA0">
        <w:t>the Prophet’s authority from it;</w:t>
      </w:r>
      <w:r w:rsidR="009003D6">
        <w:t xml:space="preserve"> how much of God’s authority would suffice in governance</w:t>
      </w:r>
      <w:r w:rsidR="00693791">
        <w:t>, in the judicial system etc. When in reality</w:t>
      </w:r>
      <w:r w:rsidR="00922729">
        <w:t>,</w:t>
      </w:r>
      <w:r w:rsidR="00693791">
        <w:t xml:space="preserve"> the</w:t>
      </w:r>
      <w:r w:rsidR="000B17BF">
        <w:t xml:space="preserve"> judgement of the Prophet is also the</w:t>
      </w:r>
      <w:r w:rsidR="00693791">
        <w:t xml:space="preserve"> judgement of God, as he says in </w:t>
      </w:r>
      <w:proofErr w:type="spellStart"/>
      <w:r w:rsidR="00272FA0">
        <w:rPr>
          <w:i/>
        </w:rPr>
        <w:t>Sūrah</w:t>
      </w:r>
      <w:proofErr w:type="spellEnd"/>
      <w:r w:rsidR="00693791">
        <w:t xml:space="preserve"> </w:t>
      </w:r>
      <w:r w:rsidR="00F5188E">
        <w:rPr>
          <w:i/>
        </w:rPr>
        <w:t>al-M</w:t>
      </w:r>
      <w:r w:rsidR="00F5188E" w:rsidRPr="00F5188E">
        <w:rPr>
          <w:i/>
        </w:rPr>
        <w:t>ā</w:t>
      </w:r>
      <w:r w:rsidR="00693791" w:rsidRPr="00693791">
        <w:rPr>
          <w:i/>
        </w:rPr>
        <w:t>’</w:t>
      </w:r>
      <w:proofErr w:type="spellStart"/>
      <w:r w:rsidR="00693791" w:rsidRPr="00693791">
        <w:rPr>
          <w:i/>
        </w:rPr>
        <w:t>idah</w:t>
      </w:r>
      <w:proofErr w:type="spellEnd"/>
      <w:r w:rsidR="00693791">
        <w:t>: “And judge, [O Muhamm</w:t>
      </w:r>
      <w:r w:rsidR="000B17BF">
        <w:t>ad], between them by what God has revealed and do not follow their inclinations and beware of them…</w:t>
      </w:r>
      <w:r w:rsidR="00693791">
        <w:t>”</w:t>
      </w:r>
      <w:r w:rsidR="000B17BF">
        <w:rPr>
          <w:rStyle w:val="FootnoteReference"/>
        </w:rPr>
        <w:footnoteReference w:id="7"/>
      </w:r>
      <w:r w:rsidR="000B17BF">
        <w:t>, and in the following verse God rebukes those who desire the “judgement of [the time of] ignorance.”</w:t>
      </w:r>
      <w:r w:rsidR="000B17BF">
        <w:rPr>
          <w:rStyle w:val="FootnoteReference"/>
        </w:rPr>
        <w:footnoteReference w:id="8"/>
      </w:r>
      <w:r w:rsidR="00922729">
        <w:t xml:space="preserve"> Therefore, if </w:t>
      </w:r>
      <w:r w:rsidR="000B17BF">
        <w:t xml:space="preserve">one thinks that separating the authority of the Prophet from </w:t>
      </w:r>
      <w:r w:rsidR="000B17BF">
        <w:lastRenderedPageBreak/>
        <w:t>governance and judicial matters is no issue whatsoever</w:t>
      </w:r>
      <w:r w:rsidR="00922729">
        <w:t>, then this</w:t>
      </w:r>
      <w:r w:rsidR="000B17BF">
        <w:t xml:space="preserve"> is actually conflict</w:t>
      </w:r>
      <w:r w:rsidR="00922729">
        <w:t>ing</w:t>
      </w:r>
      <w:r w:rsidR="000B17BF">
        <w:t xml:space="preserve"> with the will of God by not accepting his own Prophet’</w:t>
      </w:r>
      <w:r w:rsidR="00E96187">
        <w:t xml:space="preserve">s judgements. Furthermore, we see that such a view is also contradictory by the fact that God has clearly stated that </w:t>
      </w:r>
      <w:proofErr w:type="spellStart"/>
      <w:r w:rsidR="00C30039" w:rsidRPr="00C30039">
        <w:rPr>
          <w:i/>
        </w:rPr>
        <w:t>ḥ</w:t>
      </w:r>
      <w:r w:rsidR="00E96187" w:rsidRPr="00E96187">
        <w:rPr>
          <w:i/>
        </w:rPr>
        <w:t>ukm</w:t>
      </w:r>
      <w:proofErr w:type="spellEnd"/>
      <w:r w:rsidR="00E96187">
        <w:rPr>
          <w:i/>
        </w:rPr>
        <w:t xml:space="preserve"> </w:t>
      </w:r>
      <w:r w:rsidR="00E96187">
        <w:t>(legislating</w:t>
      </w:r>
      <w:r w:rsidR="00F5188E">
        <w:t>/governing</w:t>
      </w:r>
      <w:r w:rsidR="00E96187">
        <w:t xml:space="preserve">) is connected to worship, </w:t>
      </w:r>
      <w:r w:rsidR="00E96187" w:rsidRPr="00E96187">
        <w:rPr>
          <w:i/>
        </w:rPr>
        <w:t>albeit</w:t>
      </w:r>
      <w:r w:rsidR="00E96187">
        <w:t xml:space="preserve">, a type of worship </w:t>
      </w:r>
      <w:r w:rsidR="009B6E9F">
        <w:t>and in tu</w:t>
      </w:r>
      <w:r w:rsidR="00272FA0">
        <w:t>rn being connected to worship,</w:t>
      </w:r>
      <w:r w:rsidR="00E96187">
        <w:t xml:space="preserve"> an integral part of the religion. He say</w:t>
      </w:r>
      <w:r w:rsidR="003F3FD0">
        <w:t>s</w:t>
      </w:r>
      <w:r w:rsidR="00E96187">
        <w:t xml:space="preserve"> in </w:t>
      </w:r>
      <w:proofErr w:type="spellStart"/>
      <w:r w:rsidR="00272FA0">
        <w:rPr>
          <w:i/>
        </w:rPr>
        <w:t>Sūrah</w:t>
      </w:r>
      <w:proofErr w:type="spellEnd"/>
      <w:r w:rsidR="00E96187">
        <w:rPr>
          <w:i/>
        </w:rPr>
        <w:t xml:space="preserve"> </w:t>
      </w:r>
      <w:proofErr w:type="spellStart"/>
      <w:r w:rsidR="00524207">
        <w:rPr>
          <w:i/>
        </w:rPr>
        <w:t>Y</w:t>
      </w:r>
      <w:r w:rsidR="00524207" w:rsidRPr="00524207">
        <w:rPr>
          <w:i/>
        </w:rPr>
        <w:t>ū</w:t>
      </w:r>
      <w:r w:rsidR="00E96187" w:rsidRPr="00E96187">
        <w:rPr>
          <w:i/>
        </w:rPr>
        <w:t>suf</w:t>
      </w:r>
      <w:proofErr w:type="spellEnd"/>
      <w:r w:rsidR="003F3FD0" w:rsidRPr="003F3FD0">
        <w:t>, once again throwing this opinion</w:t>
      </w:r>
      <w:r w:rsidR="003F3FD0">
        <w:t xml:space="preserve"> of separation</w:t>
      </w:r>
      <w:r w:rsidR="003F3FD0" w:rsidRPr="003F3FD0">
        <w:t xml:space="preserve"> into another conundrum</w:t>
      </w:r>
      <w:r w:rsidR="00E96187">
        <w:t>: “…Legislation is not but for God. He has commanded that you worship not except him. That is the correct religion, but most of the people do not know.”</w:t>
      </w:r>
      <w:r w:rsidR="00E96187">
        <w:rPr>
          <w:rStyle w:val="FootnoteReference"/>
        </w:rPr>
        <w:footnoteReference w:id="9"/>
      </w:r>
      <w:r w:rsidR="003F3FD0">
        <w:t xml:space="preserve">  </w:t>
      </w:r>
    </w:p>
    <w:p w:rsidR="003F3FD0" w:rsidRPr="003F3FD0" w:rsidRDefault="003F3FD0" w:rsidP="00347999">
      <w:pPr>
        <w:ind w:firstLine="720"/>
        <w:jc w:val="both"/>
      </w:pPr>
      <w:r>
        <w:t>This</w:t>
      </w:r>
      <w:r w:rsidR="005E29ED">
        <w:t xml:space="preserve"> whole</w:t>
      </w:r>
      <w:r>
        <w:t xml:space="preserve"> statement is contradictory when analysed accord</w:t>
      </w:r>
      <w:r w:rsidR="005E29ED">
        <w:t>ing to the Quranic text and according to</w:t>
      </w:r>
      <w:r>
        <w:t xml:space="preserve"> the </w:t>
      </w:r>
      <w:r w:rsidRPr="003F3FD0">
        <w:rPr>
          <w:i/>
        </w:rPr>
        <w:t>Sunnah</w:t>
      </w:r>
      <w:r>
        <w:t>. There are</w:t>
      </w:r>
      <w:r w:rsidR="005E29ED">
        <w:t xml:space="preserve"> many, many</w:t>
      </w:r>
      <w:r>
        <w:t xml:space="preserve"> verses which clarify that cancelling or even separating the authority of the Prophet, in full or in partial, is in direct c</w:t>
      </w:r>
      <w:r w:rsidR="005E29ED">
        <w:t>onflict with the will of God to</w:t>
      </w:r>
      <w:r>
        <w:t xml:space="preserve"> his w</w:t>
      </w:r>
      <w:r w:rsidR="005E29ED">
        <w:t>orshippers; warning them of</w:t>
      </w:r>
      <w:r>
        <w:t xml:space="preserve"> punishment in the hereafter.</w:t>
      </w:r>
      <w:r w:rsidR="00353715">
        <w:t xml:space="preserve"> For </w:t>
      </w:r>
      <w:r w:rsidR="009B6E9F">
        <w:t>example,</w:t>
      </w:r>
      <w:r w:rsidR="00353715">
        <w:t xml:space="preserve"> in </w:t>
      </w:r>
      <w:proofErr w:type="spellStart"/>
      <w:r w:rsidR="00272FA0">
        <w:rPr>
          <w:i/>
        </w:rPr>
        <w:t>Sūrah</w:t>
      </w:r>
      <w:proofErr w:type="spellEnd"/>
      <w:r w:rsidR="00C30039">
        <w:rPr>
          <w:i/>
        </w:rPr>
        <w:t xml:space="preserve"> </w:t>
      </w:r>
      <w:proofErr w:type="spellStart"/>
      <w:r w:rsidR="00C30039">
        <w:rPr>
          <w:i/>
        </w:rPr>
        <w:t>al-A</w:t>
      </w:r>
      <w:r w:rsidR="00C30039" w:rsidRPr="00C30039">
        <w:rPr>
          <w:i/>
        </w:rPr>
        <w:t>ḥ</w:t>
      </w:r>
      <w:r w:rsidR="00F5188E">
        <w:rPr>
          <w:i/>
        </w:rPr>
        <w:t>z</w:t>
      </w:r>
      <w:r w:rsidR="00F5188E" w:rsidRPr="00F5188E">
        <w:rPr>
          <w:i/>
        </w:rPr>
        <w:t>ā</w:t>
      </w:r>
      <w:r w:rsidR="00353715" w:rsidRPr="005E29ED">
        <w:rPr>
          <w:i/>
        </w:rPr>
        <w:t>b</w:t>
      </w:r>
      <w:proofErr w:type="spellEnd"/>
      <w:r w:rsidR="00353715">
        <w:t xml:space="preserve">, directing it </w:t>
      </w:r>
      <w:r w:rsidR="00272FA0">
        <w:t xml:space="preserve">to the </w:t>
      </w:r>
      <w:r w:rsidR="00353715">
        <w:t>believers</w:t>
      </w:r>
      <w:r w:rsidR="00272FA0">
        <w:t xml:space="preserve">, </w:t>
      </w:r>
      <w:r w:rsidR="00272FA0" w:rsidRPr="00272FA0">
        <w:t>he said</w:t>
      </w:r>
      <w:r w:rsidR="00353715" w:rsidRPr="00272FA0">
        <w:t>:</w:t>
      </w:r>
      <w:r w:rsidR="00353715">
        <w:t xml:space="preserve"> “It is not for a believing</w:t>
      </w:r>
      <w:r w:rsidR="005E29ED">
        <w:t xml:space="preserve"> man or a believing woman, when God and His Messenger have decided a matter, that they should [thereafter] have any choice about their affair. And whosoever disobeys God and His Messenger has certainly strayed into clear error.</w:t>
      </w:r>
      <w:r w:rsidR="00353715">
        <w:t>”</w:t>
      </w:r>
      <w:r w:rsidR="005E29ED">
        <w:rPr>
          <w:rStyle w:val="FootnoteReference"/>
        </w:rPr>
        <w:footnoteReference w:id="10"/>
      </w:r>
      <w:r w:rsidR="005E29ED">
        <w:t xml:space="preserve"> This whole issue of separating Islamic Law, whether one wants to look at</w:t>
      </w:r>
      <w:r w:rsidR="000100DE">
        <w:t xml:space="preserve"> it as removing the authority from the Prophet</w:t>
      </w:r>
      <w:r w:rsidR="005E29ED">
        <w:t xml:space="preserve">, in certain aspects or in full, is not a new thing. </w:t>
      </w:r>
      <w:r w:rsidR="009B6E9F">
        <w:t xml:space="preserve">It is </w:t>
      </w:r>
      <w:proofErr w:type="gramStart"/>
      <w:r w:rsidR="007A1B72">
        <w:t>similar to</w:t>
      </w:r>
      <w:proofErr w:type="gramEnd"/>
      <w:r w:rsidR="007A1B72">
        <w:t xml:space="preserve"> what the </w:t>
      </w:r>
      <w:proofErr w:type="spellStart"/>
      <w:r w:rsidR="007A1B72">
        <w:t>Mu’tazalites</w:t>
      </w:r>
      <w:proofErr w:type="spellEnd"/>
      <w:r w:rsidR="007A1B72">
        <w:t xml:space="preserve"> of the past </w:t>
      </w:r>
      <w:r w:rsidR="009B6E9F">
        <w:t>suggested</w:t>
      </w:r>
      <w:r w:rsidR="007A1B72">
        <w:t xml:space="preserve"> and as their new-age successors; the ‘modernists’</w:t>
      </w:r>
      <w:r w:rsidR="00E62755">
        <w:t xml:space="preserve"> </w:t>
      </w:r>
      <w:r w:rsidR="007A1B72">
        <w:t xml:space="preserve">are </w:t>
      </w:r>
      <w:r w:rsidR="009B6E9F">
        <w:t>suggesting</w:t>
      </w:r>
      <w:r w:rsidR="00C54612">
        <w:rPr>
          <w:rStyle w:val="FootnoteReference"/>
        </w:rPr>
        <w:footnoteReference w:id="11"/>
      </w:r>
      <w:r w:rsidR="007A1B72">
        <w:t>.</w:t>
      </w:r>
      <w:r w:rsidR="00C54612">
        <w:t xml:space="preserve"> </w:t>
      </w:r>
      <w:r w:rsidR="00267250">
        <w:t>For one to lay claim to such a statement there has to be a substantial premise or even an inclination behind it; unfortunately for this there does not seem to be any.</w:t>
      </w:r>
    </w:p>
    <w:p w:rsidR="00E96187" w:rsidRPr="00E96187" w:rsidRDefault="00E96187" w:rsidP="00347999">
      <w:pPr>
        <w:ind w:firstLine="720"/>
        <w:jc w:val="both"/>
      </w:pPr>
    </w:p>
    <w:sectPr w:rsidR="00E96187" w:rsidRPr="00E9618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15BE" w:rsidRDefault="00A715BE" w:rsidP="00FC00F3">
      <w:pPr>
        <w:spacing w:after="0" w:line="240" w:lineRule="auto"/>
      </w:pPr>
      <w:r>
        <w:separator/>
      </w:r>
    </w:p>
  </w:endnote>
  <w:endnote w:type="continuationSeparator" w:id="0">
    <w:p w:rsidR="00A715BE" w:rsidRDefault="00A715BE" w:rsidP="00FC0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15BE" w:rsidRDefault="00A715BE" w:rsidP="00FC00F3">
      <w:pPr>
        <w:spacing w:after="0" w:line="240" w:lineRule="auto"/>
      </w:pPr>
      <w:r>
        <w:separator/>
      </w:r>
    </w:p>
  </w:footnote>
  <w:footnote w:type="continuationSeparator" w:id="0">
    <w:p w:rsidR="00A715BE" w:rsidRDefault="00A715BE" w:rsidP="00FC00F3">
      <w:pPr>
        <w:spacing w:after="0" w:line="240" w:lineRule="auto"/>
      </w:pPr>
      <w:r>
        <w:continuationSeparator/>
      </w:r>
    </w:p>
  </w:footnote>
  <w:footnote w:id="1">
    <w:p w:rsidR="00A73FD8" w:rsidRPr="00462C2E" w:rsidRDefault="00A73FD8">
      <w:pPr>
        <w:pStyle w:val="FootnoteText"/>
        <w:rPr>
          <w:rFonts w:asciiTheme="majorHAnsi" w:hAnsiTheme="majorHAnsi"/>
          <w:color w:val="000000" w:themeColor="text1"/>
        </w:rPr>
      </w:pPr>
      <w:r w:rsidRPr="00462C2E">
        <w:rPr>
          <w:rStyle w:val="FootnoteReference"/>
          <w:rFonts w:asciiTheme="majorHAnsi" w:hAnsiTheme="majorHAnsi"/>
          <w:color w:val="000000" w:themeColor="text1"/>
        </w:rPr>
        <w:footnoteRef/>
      </w:r>
      <w:r w:rsidRPr="00462C2E">
        <w:rPr>
          <w:rFonts w:asciiTheme="majorHAnsi" w:hAnsiTheme="majorHAnsi"/>
          <w:color w:val="000000" w:themeColor="text1"/>
        </w:rPr>
        <w:t xml:space="preserve"> </w:t>
      </w:r>
      <w:r w:rsidR="00C54612" w:rsidRPr="00462C2E">
        <w:rPr>
          <w:rFonts w:asciiTheme="majorHAnsi" w:hAnsiTheme="majorHAnsi" w:cs="Arial"/>
          <w:color w:val="000000" w:themeColor="text1"/>
          <w:shd w:val="clear" w:color="auto" w:fill="FFF5AA"/>
        </w:rPr>
        <w:t>al-</w:t>
      </w:r>
      <w:proofErr w:type="spellStart"/>
      <w:r w:rsidR="00C54612" w:rsidRPr="00462C2E">
        <w:rPr>
          <w:rFonts w:asciiTheme="majorHAnsi" w:hAnsiTheme="majorHAnsi" w:cs="Arial"/>
          <w:color w:val="000000" w:themeColor="text1"/>
          <w:shd w:val="clear" w:color="auto" w:fill="FFF5AA"/>
        </w:rPr>
        <w:t>Mehri</w:t>
      </w:r>
      <w:proofErr w:type="spellEnd"/>
      <w:r w:rsidR="00C54612" w:rsidRPr="00462C2E">
        <w:rPr>
          <w:rFonts w:asciiTheme="majorHAnsi" w:hAnsiTheme="majorHAnsi" w:cs="Arial"/>
          <w:color w:val="000000" w:themeColor="text1"/>
          <w:shd w:val="clear" w:color="auto" w:fill="FFF5AA"/>
        </w:rPr>
        <w:t>, A. (2010). </w:t>
      </w:r>
      <w:r w:rsidR="00C54612" w:rsidRPr="00462C2E">
        <w:rPr>
          <w:rFonts w:asciiTheme="majorHAnsi" w:hAnsiTheme="majorHAnsi" w:cs="Arial"/>
          <w:i/>
          <w:iCs/>
          <w:color w:val="000000" w:themeColor="text1"/>
          <w:shd w:val="clear" w:color="auto" w:fill="FFF5AA"/>
        </w:rPr>
        <w:t xml:space="preserve">The </w:t>
      </w:r>
      <w:proofErr w:type="spellStart"/>
      <w:r w:rsidR="00C54612" w:rsidRPr="00462C2E">
        <w:rPr>
          <w:rFonts w:asciiTheme="majorHAnsi" w:hAnsiTheme="majorHAnsi" w:cs="Arial"/>
          <w:i/>
          <w:iCs/>
          <w:color w:val="000000" w:themeColor="text1"/>
          <w:shd w:val="clear" w:color="auto" w:fill="FFF5AA"/>
        </w:rPr>
        <w:t>Qurʼān</w:t>
      </w:r>
      <w:proofErr w:type="spellEnd"/>
      <w:r w:rsidR="00C54612" w:rsidRPr="00462C2E">
        <w:rPr>
          <w:rFonts w:asciiTheme="majorHAnsi" w:hAnsiTheme="majorHAnsi" w:cs="Arial"/>
          <w:color w:val="000000" w:themeColor="text1"/>
          <w:shd w:val="clear" w:color="auto" w:fill="FFF5AA"/>
        </w:rPr>
        <w:t xml:space="preserve">. Birmingham: </w:t>
      </w:r>
      <w:proofErr w:type="spellStart"/>
      <w:r w:rsidR="00C54612" w:rsidRPr="00462C2E">
        <w:rPr>
          <w:rFonts w:asciiTheme="majorHAnsi" w:hAnsiTheme="majorHAnsi" w:cs="Arial"/>
          <w:color w:val="000000" w:themeColor="text1"/>
          <w:shd w:val="clear" w:color="auto" w:fill="FFF5AA"/>
        </w:rPr>
        <w:t>Maktabah</w:t>
      </w:r>
      <w:proofErr w:type="spellEnd"/>
      <w:r w:rsidR="00C54612" w:rsidRPr="00462C2E">
        <w:rPr>
          <w:rFonts w:asciiTheme="majorHAnsi" w:hAnsiTheme="majorHAnsi" w:cs="Arial"/>
          <w:color w:val="000000" w:themeColor="text1"/>
          <w:shd w:val="clear" w:color="auto" w:fill="FFF5AA"/>
        </w:rPr>
        <w:t xml:space="preserve"> Booksellers and</w:t>
      </w:r>
      <w:bookmarkStart w:id="0" w:name="_GoBack"/>
      <w:bookmarkEnd w:id="0"/>
      <w:r w:rsidR="00C54612" w:rsidRPr="00462C2E">
        <w:rPr>
          <w:rFonts w:asciiTheme="majorHAnsi" w:hAnsiTheme="majorHAnsi" w:cs="Arial"/>
          <w:color w:val="000000" w:themeColor="text1"/>
          <w:shd w:val="clear" w:color="auto" w:fill="FFF5AA"/>
        </w:rPr>
        <w:t xml:space="preserve"> Publishers, p.85, verse.64.</w:t>
      </w:r>
    </w:p>
  </w:footnote>
  <w:footnote w:id="2">
    <w:p w:rsidR="00AF760B" w:rsidRPr="00462C2E" w:rsidRDefault="00AF760B">
      <w:pPr>
        <w:pStyle w:val="FootnoteText"/>
        <w:rPr>
          <w:rFonts w:asciiTheme="majorHAnsi" w:hAnsiTheme="majorHAnsi"/>
          <w:color w:val="000000" w:themeColor="text1"/>
        </w:rPr>
      </w:pPr>
      <w:r w:rsidRPr="00462C2E">
        <w:rPr>
          <w:rStyle w:val="FootnoteReference"/>
          <w:rFonts w:asciiTheme="majorHAnsi" w:hAnsiTheme="majorHAnsi"/>
          <w:color w:val="000000" w:themeColor="text1"/>
        </w:rPr>
        <w:footnoteRef/>
      </w:r>
      <w:r w:rsidR="00C54612" w:rsidRPr="00462C2E">
        <w:rPr>
          <w:rFonts w:asciiTheme="majorHAnsi" w:hAnsiTheme="majorHAnsi"/>
          <w:color w:val="000000" w:themeColor="text1"/>
        </w:rPr>
        <w:t xml:space="preserve"> al-</w:t>
      </w:r>
      <w:proofErr w:type="spellStart"/>
      <w:r w:rsidR="00C54612" w:rsidRPr="00462C2E">
        <w:rPr>
          <w:rFonts w:asciiTheme="majorHAnsi" w:hAnsiTheme="majorHAnsi"/>
          <w:color w:val="000000" w:themeColor="text1"/>
        </w:rPr>
        <w:t>Mehri</w:t>
      </w:r>
      <w:proofErr w:type="spellEnd"/>
      <w:r w:rsidR="00C54612" w:rsidRPr="00462C2E">
        <w:rPr>
          <w:rFonts w:asciiTheme="majorHAnsi" w:hAnsiTheme="majorHAnsi"/>
          <w:color w:val="000000" w:themeColor="text1"/>
        </w:rPr>
        <w:t xml:space="preserve">, A. (2010). The </w:t>
      </w:r>
      <w:proofErr w:type="spellStart"/>
      <w:r w:rsidR="00C54612" w:rsidRPr="00462C2E">
        <w:rPr>
          <w:rFonts w:asciiTheme="majorHAnsi" w:hAnsiTheme="majorHAnsi"/>
          <w:color w:val="000000" w:themeColor="text1"/>
        </w:rPr>
        <w:t>Qurʼān</w:t>
      </w:r>
      <w:proofErr w:type="spellEnd"/>
      <w:r w:rsidR="00C54612" w:rsidRPr="00462C2E">
        <w:rPr>
          <w:rFonts w:asciiTheme="majorHAnsi" w:hAnsiTheme="majorHAnsi"/>
          <w:color w:val="000000" w:themeColor="text1"/>
        </w:rPr>
        <w:t xml:space="preserve">. Birmingham: </w:t>
      </w:r>
      <w:proofErr w:type="spellStart"/>
      <w:r w:rsidR="00C54612" w:rsidRPr="00462C2E">
        <w:rPr>
          <w:rFonts w:asciiTheme="majorHAnsi" w:hAnsiTheme="majorHAnsi"/>
          <w:color w:val="000000" w:themeColor="text1"/>
        </w:rPr>
        <w:t>Maktabah</w:t>
      </w:r>
      <w:proofErr w:type="spellEnd"/>
      <w:r w:rsidR="00C54612" w:rsidRPr="00462C2E">
        <w:rPr>
          <w:rFonts w:asciiTheme="majorHAnsi" w:hAnsiTheme="majorHAnsi"/>
          <w:color w:val="000000" w:themeColor="text1"/>
        </w:rPr>
        <w:t xml:space="preserve"> Booksellers and Publishers, p.523, verse.7.</w:t>
      </w:r>
    </w:p>
  </w:footnote>
  <w:footnote w:id="3">
    <w:p w:rsidR="00C37301" w:rsidRPr="00462C2E" w:rsidRDefault="00C37301">
      <w:pPr>
        <w:pStyle w:val="FootnoteText"/>
        <w:rPr>
          <w:rFonts w:asciiTheme="majorHAnsi" w:hAnsiTheme="majorHAnsi"/>
          <w:color w:val="000000" w:themeColor="text1"/>
        </w:rPr>
      </w:pPr>
      <w:r w:rsidRPr="00462C2E">
        <w:rPr>
          <w:rStyle w:val="FootnoteReference"/>
          <w:rFonts w:asciiTheme="majorHAnsi" w:hAnsiTheme="majorHAnsi"/>
          <w:color w:val="000000" w:themeColor="text1"/>
        </w:rPr>
        <w:footnoteRef/>
      </w:r>
      <w:r w:rsidRPr="00462C2E">
        <w:rPr>
          <w:rFonts w:asciiTheme="majorHAnsi" w:hAnsiTheme="majorHAnsi"/>
          <w:color w:val="000000" w:themeColor="text1"/>
        </w:rPr>
        <w:t xml:space="preserve"> </w:t>
      </w:r>
      <w:r w:rsidRPr="00462C2E">
        <w:rPr>
          <w:rFonts w:asciiTheme="majorHAnsi" w:hAnsiTheme="majorHAnsi" w:cs="Arial"/>
          <w:color w:val="000000" w:themeColor="text1"/>
          <w:shd w:val="clear" w:color="auto" w:fill="FFF5AA"/>
        </w:rPr>
        <w:t>Sunnah.com. (</w:t>
      </w:r>
      <w:proofErr w:type="spellStart"/>
      <w:r w:rsidRPr="00462C2E">
        <w:rPr>
          <w:rFonts w:asciiTheme="majorHAnsi" w:hAnsiTheme="majorHAnsi" w:cs="Arial"/>
          <w:color w:val="000000" w:themeColor="text1"/>
          <w:shd w:val="clear" w:color="auto" w:fill="FFF5AA"/>
        </w:rPr>
        <w:t>n.d.</w:t>
      </w:r>
      <w:proofErr w:type="spellEnd"/>
      <w:r w:rsidRPr="00462C2E">
        <w:rPr>
          <w:rFonts w:asciiTheme="majorHAnsi" w:hAnsiTheme="majorHAnsi" w:cs="Arial"/>
          <w:color w:val="000000" w:themeColor="text1"/>
          <w:shd w:val="clear" w:color="auto" w:fill="FFF5AA"/>
        </w:rPr>
        <w:t>). </w:t>
      </w:r>
      <w:r w:rsidRPr="00462C2E">
        <w:rPr>
          <w:rFonts w:asciiTheme="majorHAnsi" w:hAnsiTheme="majorHAnsi" w:cs="Arial"/>
          <w:i/>
          <w:iCs/>
          <w:color w:val="000000" w:themeColor="text1"/>
          <w:shd w:val="clear" w:color="auto" w:fill="FFF5AA"/>
        </w:rPr>
        <w:t>Hadith No: 236</w:t>
      </w:r>
      <w:r w:rsidR="00836261" w:rsidRPr="00462C2E">
        <w:rPr>
          <w:rFonts w:asciiTheme="majorHAnsi" w:hAnsiTheme="majorHAnsi" w:cs="Arial"/>
          <w:i/>
          <w:iCs/>
          <w:color w:val="000000" w:themeColor="text1"/>
          <w:shd w:val="clear" w:color="auto" w:fill="FFF5AA"/>
        </w:rPr>
        <w:t>1</w:t>
      </w:r>
      <w:r w:rsidRPr="00462C2E">
        <w:rPr>
          <w:rFonts w:asciiTheme="majorHAnsi" w:hAnsiTheme="majorHAnsi" w:cs="Arial"/>
          <w:i/>
          <w:iCs/>
          <w:color w:val="000000" w:themeColor="text1"/>
          <w:shd w:val="clear" w:color="auto" w:fill="FFF5AA"/>
        </w:rPr>
        <w:t xml:space="preserve"> - The Book of Virtues - Sahih Muslim</w:t>
      </w:r>
      <w:r w:rsidRPr="00462C2E">
        <w:rPr>
          <w:rFonts w:asciiTheme="majorHAnsi" w:hAnsiTheme="majorHAnsi" w:cs="Arial"/>
          <w:color w:val="000000" w:themeColor="text1"/>
          <w:shd w:val="clear" w:color="auto" w:fill="FFF5AA"/>
        </w:rPr>
        <w:t>. [online] Available at: http://sunnah.com/muslim/43/184 [Accessed 12 Dec. 2017].</w:t>
      </w:r>
    </w:p>
  </w:footnote>
  <w:footnote w:id="4">
    <w:p w:rsidR="00322E3D" w:rsidRPr="00267250" w:rsidRDefault="00322E3D">
      <w:pPr>
        <w:pStyle w:val="FootnoteText"/>
        <w:rPr>
          <w:rFonts w:asciiTheme="majorHAnsi" w:hAnsiTheme="majorHAnsi"/>
          <w:color w:val="000000" w:themeColor="text1"/>
        </w:rPr>
      </w:pPr>
      <w:r w:rsidRPr="00462C2E">
        <w:rPr>
          <w:rStyle w:val="FootnoteReference"/>
          <w:rFonts w:asciiTheme="majorHAnsi" w:hAnsiTheme="majorHAnsi"/>
          <w:color w:val="000000" w:themeColor="text1"/>
        </w:rPr>
        <w:footnoteRef/>
      </w:r>
      <w:r w:rsidRPr="00462C2E">
        <w:rPr>
          <w:rFonts w:asciiTheme="majorHAnsi" w:hAnsiTheme="majorHAnsi"/>
          <w:color w:val="000000" w:themeColor="text1"/>
        </w:rPr>
        <w:t xml:space="preserve"> ibid</w:t>
      </w:r>
    </w:p>
  </w:footnote>
  <w:footnote w:id="5">
    <w:p w:rsidR="00836261" w:rsidRPr="00267250" w:rsidRDefault="00836261">
      <w:pPr>
        <w:pStyle w:val="FootnoteText"/>
        <w:rPr>
          <w:rFonts w:asciiTheme="majorHAnsi" w:hAnsiTheme="majorHAnsi"/>
          <w:color w:val="000000" w:themeColor="text1"/>
        </w:rPr>
      </w:pPr>
      <w:r w:rsidRPr="00267250">
        <w:rPr>
          <w:rStyle w:val="FootnoteReference"/>
          <w:rFonts w:asciiTheme="majorHAnsi" w:hAnsiTheme="majorHAnsi"/>
          <w:color w:val="000000" w:themeColor="text1"/>
        </w:rPr>
        <w:footnoteRef/>
      </w:r>
      <w:r w:rsidRPr="00267250">
        <w:rPr>
          <w:rFonts w:asciiTheme="majorHAnsi" w:hAnsiTheme="majorHAnsi"/>
          <w:color w:val="000000" w:themeColor="text1"/>
        </w:rPr>
        <w:t xml:space="preserve"> ibid</w:t>
      </w:r>
    </w:p>
  </w:footnote>
  <w:footnote w:id="6">
    <w:p w:rsidR="00DD5600" w:rsidRPr="00267250" w:rsidRDefault="00DD5600">
      <w:pPr>
        <w:pStyle w:val="FootnoteText"/>
        <w:rPr>
          <w:rFonts w:asciiTheme="majorHAnsi" w:hAnsiTheme="majorHAnsi"/>
          <w:color w:val="000000" w:themeColor="text1"/>
        </w:rPr>
      </w:pPr>
      <w:r w:rsidRPr="00267250">
        <w:rPr>
          <w:rStyle w:val="FootnoteReference"/>
          <w:rFonts w:asciiTheme="majorHAnsi" w:hAnsiTheme="majorHAnsi"/>
          <w:color w:val="000000" w:themeColor="text1"/>
        </w:rPr>
        <w:footnoteRef/>
      </w:r>
      <w:r w:rsidRPr="00267250">
        <w:rPr>
          <w:rFonts w:asciiTheme="majorHAnsi" w:hAnsiTheme="majorHAnsi"/>
          <w:color w:val="000000" w:themeColor="text1"/>
        </w:rPr>
        <w:t xml:space="preserve"> </w:t>
      </w:r>
      <w:r w:rsidR="00C54612" w:rsidRPr="00267250">
        <w:rPr>
          <w:rFonts w:asciiTheme="majorHAnsi" w:hAnsiTheme="majorHAnsi"/>
          <w:color w:val="000000" w:themeColor="text1"/>
        </w:rPr>
        <w:t>al-</w:t>
      </w:r>
      <w:proofErr w:type="spellStart"/>
      <w:r w:rsidR="00C54612" w:rsidRPr="00267250">
        <w:rPr>
          <w:rFonts w:asciiTheme="majorHAnsi" w:hAnsiTheme="majorHAnsi"/>
          <w:color w:val="000000" w:themeColor="text1"/>
        </w:rPr>
        <w:t>Qushayri</w:t>
      </w:r>
      <w:proofErr w:type="spellEnd"/>
      <w:r w:rsidR="00C54612" w:rsidRPr="00267250">
        <w:rPr>
          <w:rFonts w:asciiTheme="majorHAnsi" w:hAnsiTheme="majorHAnsi"/>
          <w:color w:val="000000" w:themeColor="text1"/>
        </w:rPr>
        <w:t xml:space="preserve">, Muslim. (1995). </w:t>
      </w:r>
      <w:proofErr w:type="spellStart"/>
      <w:r w:rsidR="00960EA7">
        <w:rPr>
          <w:rFonts w:asciiTheme="majorHAnsi" w:hAnsiTheme="majorHAnsi"/>
          <w:color w:val="000000" w:themeColor="text1"/>
        </w:rPr>
        <w:t>Sa</w:t>
      </w:r>
      <w:r w:rsidR="00960EA7" w:rsidRPr="00960EA7">
        <w:rPr>
          <w:rFonts w:asciiTheme="majorHAnsi" w:hAnsiTheme="majorHAnsi"/>
          <w:color w:val="000000" w:themeColor="text1"/>
        </w:rPr>
        <w:t>ḥīḥ</w:t>
      </w:r>
      <w:proofErr w:type="spellEnd"/>
      <w:r w:rsidR="00960EA7">
        <w:rPr>
          <w:rFonts w:asciiTheme="majorHAnsi" w:hAnsiTheme="majorHAnsi"/>
          <w:color w:val="000000" w:themeColor="text1"/>
        </w:rPr>
        <w:t xml:space="preserve"> Muslim bi </w:t>
      </w:r>
      <w:proofErr w:type="spellStart"/>
      <w:r w:rsidR="00960EA7">
        <w:rPr>
          <w:rFonts w:asciiTheme="majorHAnsi" w:hAnsiTheme="majorHAnsi"/>
          <w:color w:val="000000" w:themeColor="text1"/>
        </w:rPr>
        <w:t>Shar</w:t>
      </w:r>
      <w:r w:rsidR="00960EA7" w:rsidRPr="00960EA7">
        <w:rPr>
          <w:rFonts w:asciiTheme="majorHAnsi" w:hAnsiTheme="majorHAnsi"/>
          <w:color w:val="000000" w:themeColor="text1"/>
        </w:rPr>
        <w:t>ḥ</w:t>
      </w:r>
      <w:proofErr w:type="spellEnd"/>
      <w:r w:rsidR="00F5188E">
        <w:rPr>
          <w:rFonts w:asciiTheme="majorHAnsi" w:hAnsiTheme="majorHAnsi"/>
          <w:color w:val="000000" w:themeColor="text1"/>
        </w:rPr>
        <w:t xml:space="preserve"> al-</w:t>
      </w:r>
      <w:proofErr w:type="spellStart"/>
      <w:r w:rsidR="00F5188E">
        <w:rPr>
          <w:rFonts w:asciiTheme="majorHAnsi" w:hAnsiTheme="majorHAnsi"/>
          <w:color w:val="000000" w:themeColor="text1"/>
        </w:rPr>
        <w:t>Nawawi</w:t>
      </w:r>
      <w:proofErr w:type="spellEnd"/>
      <w:r w:rsidR="00F5188E">
        <w:rPr>
          <w:rFonts w:asciiTheme="majorHAnsi" w:hAnsiTheme="majorHAnsi"/>
          <w:color w:val="000000" w:themeColor="text1"/>
        </w:rPr>
        <w:t xml:space="preserve">. </w:t>
      </w:r>
      <w:proofErr w:type="spellStart"/>
      <w:r w:rsidR="00F5188E">
        <w:rPr>
          <w:rFonts w:asciiTheme="majorHAnsi" w:hAnsiTheme="majorHAnsi"/>
          <w:color w:val="000000" w:themeColor="text1"/>
        </w:rPr>
        <w:t>D</w:t>
      </w:r>
      <w:r w:rsidR="00F5188E" w:rsidRPr="00F5188E">
        <w:rPr>
          <w:rFonts w:asciiTheme="majorHAnsi" w:hAnsiTheme="majorHAnsi"/>
          <w:color w:val="000000" w:themeColor="text1"/>
        </w:rPr>
        <w:t>ā</w:t>
      </w:r>
      <w:r w:rsidR="00F5188E">
        <w:rPr>
          <w:rFonts w:asciiTheme="majorHAnsi" w:hAnsiTheme="majorHAnsi"/>
          <w:color w:val="000000" w:themeColor="text1"/>
        </w:rPr>
        <w:t>r</w:t>
      </w:r>
      <w:proofErr w:type="spellEnd"/>
      <w:r w:rsidR="00F5188E">
        <w:rPr>
          <w:rFonts w:asciiTheme="majorHAnsi" w:hAnsiTheme="majorHAnsi"/>
          <w:color w:val="000000" w:themeColor="text1"/>
        </w:rPr>
        <w:t xml:space="preserve"> </w:t>
      </w:r>
      <w:proofErr w:type="spellStart"/>
      <w:r w:rsidR="00F5188E">
        <w:rPr>
          <w:rFonts w:asciiTheme="majorHAnsi" w:hAnsiTheme="majorHAnsi"/>
          <w:color w:val="000000" w:themeColor="text1"/>
        </w:rPr>
        <w:t>Ab</w:t>
      </w:r>
      <w:r w:rsidR="00960EA7" w:rsidRPr="00960EA7">
        <w:rPr>
          <w:rFonts w:asciiTheme="majorHAnsi" w:hAnsiTheme="majorHAnsi"/>
          <w:color w:val="000000" w:themeColor="text1"/>
        </w:rPr>
        <w:t>ī</w:t>
      </w:r>
      <w:proofErr w:type="spellEnd"/>
      <w:r w:rsidR="00960EA7">
        <w:rPr>
          <w:rFonts w:asciiTheme="majorHAnsi" w:hAnsiTheme="majorHAnsi"/>
          <w:color w:val="000000" w:themeColor="text1"/>
        </w:rPr>
        <w:t xml:space="preserve"> </w:t>
      </w:r>
      <w:proofErr w:type="spellStart"/>
      <w:r w:rsidR="00960EA7" w:rsidRPr="00960EA7">
        <w:rPr>
          <w:rFonts w:asciiTheme="majorHAnsi" w:hAnsiTheme="majorHAnsi"/>
          <w:color w:val="000000" w:themeColor="text1"/>
        </w:rPr>
        <w:t>Ḥ</w:t>
      </w:r>
      <w:r w:rsidR="00F5188E">
        <w:rPr>
          <w:rFonts w:asciiTheme="majorHAnsi" w:hAnsiTheme="majorHAnsi"/>
          <w:color w:val="000000" w:themeColor="text1"/>
        </w:rPr>
        <w:t>ayy</w:t>
      </w:r>
      <w:r w:rsidR="00F5188E" w:rsidRPr="00F5188E">
        <w:rPr>
          <w:rFonts w:asciiTheme="majorHAnsi" w:hAnsiTheme="majorHAnsi"/>
          <w:color w:val="000000" w:themeColor="text1"/>
        </w:rPr>
        <w:t>ā</w:t>
      </w:r>
      <w:r w:rsidR="00E62755" w:rsidRPr="00267250">
        <w:rPr>
          <w:rFonts w:asciiTheme="majorHAnsi" w:hAnsiTheme="majorHAnsi"/>
          <w:color w:val="000000" w:themeColor="text1"/>
        </w:rPr>
        <w:t>n</w:t>
      </w:r>
      <w:proofErr w:type="spellEnd"/>
      <w:r w:rsidR="00C54612" w:rsidRPr="00267250">
        <w:rPr>
          <w:rFonts w:asciiTheme="majorHAnsi" w:hAnsiTheme="majorHAnsi"/>
          <w:color w:val="000000" w:themeColor="text1"/>
        </w:rPr>
        <w:t>,</w:t>
      </w:r>
      <w:r w:rsidR="00E62755" w:rsidRPr="00267250">
        <w:rPr>
          <w:rFonts w:asciiTheme="majorHAnsi" w:hAnsiTheme="majorHAnsi"/>
          <w:color w:val="000000" w:themeColor="text1"/>
        </w:rPr>
        <w:t xml:space="preserve"> vol.4,</w:t>
      </w:r>
      <w:r w:rsidR="00C54612" w:rsidRPr="00267250">
        <w:rPr>
          <w:rFonts w:asciiTheme="majorHAnsi" w:hAnsiTheme="majorHAnsi"/>
          <w:color w:val="000000" w:themeColor="text1"/>
        </w:rPr>
        <w:t xml:space="preserve"> p.128.</w:t>
      </w:r>
    </w:p>
  </w:footnote>
  <w:footnote w:id="7">
    <w:p w:rsidR="000B17BF" w:rsidRPr="00267250" w:rsidRDefault="000B17BF" w:rsidP="00E62755">
      <w:pPr>
        <w:pStyle w:val="FootnoteText"/>
        <w:rPr>
          <w:rFonts w:asciiTheme="majorHAnsi" w:hAnsiTheme="majorHAnsi"/>
          <w:color w:val="000000" w:themeColor="text1"/>
        </w:rPr>
      </w:pPr>
      <w:r w:rsidRPr="00267250">
        <w:rPr>
          <w:rStyle w:val="FootnoteReference"/>
          <w:rFonts w:asciiTheme="majorHAnsi" w:hAnsiTheme="majorHAnsi"/>
          <w:color w:val="000000" w:themeColor="text1"/>
        </w:rPr>
        <w:footnoteRef/>
      </w:r>
      <w:r w:rsidR="00E62755" w:rsidRPr="00267250">
        <w:rPr>
          <w:rFonts w:asciiTheme="majorHAnsi" w:hAnsiTheme="majorHAnsi"/>
          <w:color w:val="000000" w:themeColor="text1"/>
        </w:rPr>
        <w:t xml:space="preserve"> al-</w:t>
      </w:r>
      <w:proofErr w:type="spellStart"/>
      <w:r w:rsidR="00E62755" w:rsidRPr="00267250">
        <w:rPr>
          <w:rFonts w:asciiTheme="majorHAnsi" w:hAnsiTheme="majorHAnsi"/>
          <w:color w:val="000000" w:themeColor="text1"/>
        </w:rPr>
        <w:t>Mehri</w:t>
      </w:r>
      <w:proofErr w:type="spellEnd"/>
      <w:r w:rsidR="00E62755" w:rsidRPr="00267250">
        <w:rPr>
          <w:rFonts w:asciiTheme="majorHAnsi" w:hAnsiTheme="majorHAnsi"/>
          <w:color w:val="000000" w:themeColor="text1"/>
        </w:rPr>
        <w:t xml:space="preserve">, A. (2010). The </w:t>
      </w:r>
      <w:proofErr w:type="spellStart"/>
      <w:r w:rsidR="00E62755" w:rsidRPr="00267250">
        <w:rPr>
          <w:rFonts w:asciiTheme="majorHAnsi" w:hAnsiTheme="majorHAnsi"/>
          <w:color w:val="000000" w:themeColor="text1"/>
        </w:rPr>
        <w:t>Qurʼān</w:t>
      </w:r>
      <w:proofErr w:type="spellEnd"/>
      <w:r w:rsidR="00E62755" w:rsidRPr="00267250">
        <w:rPr>
          <w:rFonts w:asciiTheme="majorHAnsi" w:hAnsiTheme="majorHAnsi"/>
          <w:color w:val="000000" w:themeColor="text1"/>
        </w:rPr>
        <w:t xml:space="preserve">. Birmingham: </w:t>
      </w:r>
      <w:proofErr w:type="spellStart"/>
      <w:r w:rsidR="00E62755" w:rsidRPr="00267250">
        <w:rPr>
          <w:rFonts w:asciiTheme="majorHAnsi" w:hAnsiTheme="majorHAnsi"/>
          <w:color w:val="000000" w:themeColor="text1"/>
        </w:rPr>
        <w:t>Maktabah</w:t>
      </w:r>
      <w:proofErr w:type="spellEnd"/>
      <w:r w:rsidR="00E62755" w:rsidRPr="00267250">
        <w:rPr>
          <w:rFonts w:asciiTheme="majorHAnsi" w:hAnsiTheme="majorHAnsi"/>
          <w:color w:val="000000" w:themeColor="text1"/>
        </w:rPr>
        <w:t xml:space="preserve"> Booksellers and Publishers, p.103, verse.49.</w:t>
      </w:r>
    </w:p>
  </w:footnote>
  <w:footnote w:id="8">
    <w:p w:rsidR="000B17BF" w:rsidRPr="00267250" w:rsidRDefault="000B17BF">
      <w:pPr>
        <w:pStyle w:val="FootnoteText"/>
        <w:rPr>
          <w:rFonts w:asciiTheme="majorHAnsi" w:hAnsiTheme="majorHAnsi"/>
          <w:color w:val="000000" w:themeColor="text1"/>
        </w:rPr>
      </w:pPr>
      <w:r w:rsidRPr="00267250">
        <w:rPr>
          <w:rStyle w:val="FootnoteReference"/>
          <w:rFonts w:asciiTheme="majorHAnsi" w:hAnsiTheme="majorHAnsi"/>
          <w:color w:val="000000" w:themeColor="text1"/>
        </w:rPr>
        <w:footnoteRef/>
      </w:r>
      <w:r w:rsidRPr="00267250">
        <w:rPr>
          <w:rFonts w:asciiTheme="majorHAnsi" w:hAnsiTheme="majorHAnsi"/>
          <w:color w:val="000000" w:themeColor="text1"/>
        </w:rPr>
        <w:t xml:space="preserve"> </w:t>
      </w:r>
      <w:r w:rsidR="00E62755" w:rsidRPr="00267250">
        <w:rPr>
          <w:rFonts w:asciiTheme="majorHAnsi" w:hAnsiTheme="majorHAnsi"/>
          <w:color w:val="000000" w:themeColor="text1"/>
        </w:rPr>
        <w:t>al-</w:t>
      </w:r>
      <w:proofErr w:type="spellStart"/>
      <w:r w:rsidR="00E62755" w:rsidRPr="00267250">
        <w:rPr>
          <w:rFonts w:asciiTheme="majorHAnsi" w:hAnsiTheme="majorHAnsi"/>
          <w:color w:val="000000" w:themeColor="text1"/>
        </w:rPr>
        <w:t>Mehri</w:t>
      </w:r>
      <w:proofErr w:type="spellEnd"/>
      <w:r w:rsidR="00E62755" w:rsidRPr="00267250">
        <w:rPr>
          <w:rFonts w:asciiTheme="majorHAnsi" w:hAnsiTheme="majorHAnsi"/>
          <w:color w:val="000000" w:themeColor="text1"/>
        </w:rPr>
        <w:t xml:space="preserve">, A. (2010). The </w:t>
      </w:r>
      <w:proofErr w:type="spellStart"/>
      <w:r w:rsidR="00E62755" w:rsidRPr="00267250">
        <w:rPr>
          <w:rFonts w:asciiTheme="majorHAnsi" w:hAnsiTheme="majorHAnsi"/>
          <w:color w:val="000000" w:themeColor="text1"/>
        </w:rPr>
        <w:t>Qurʼān</w:t>
      </w:r>
      <w:proofErr w:type="spellEnd"/>
      <w:r w:rsidR="00E62755" w:rsidRPr="00267250">
        <w:rPr>
          <w:rFonts w:asciiTheme="majorHAnsi" w:hAnsiTheme="majorHAnsi"/>
          <w:color w:val="000000" w:themeColor="text1"/>
        </w:rPr>
        <w:t xml:space="preserve">. Birmingham: </w:t>
      </w:r>
      <w:proofErr w:type="spellStart"/>
      <w:r w:rsidR="00E62755" w:rsidRPr="00267250">
        <w:rPr>
          <w:rFonts w:asciiTheme="majorHAnsi" w:hAnsiTheme="majorHAnsi"/>
          <w:color w:val="000000" w:themeColor="text1"/>
        </w:rPr>
        <w:t>Maktabah</w:t>
      </w:r>
      <w:proofErr w:type="spellEnd"/>
      <w:r w:rsidR="00E62755" w:rsidRPr="00267250">
        <w:rPr>
          <w:rFonts w:asciiTheme="majorHAnsi" w:hAnsiTheme="majorHAnsi"/>
          <w:color w:val="000000" w:themeColor="text1"/>
        </w:rPr>
        <w:t xml:space="preserve"> Booksellers and Publishers, p.103, verse.50.</w:t>
      </w:r>
    </w:p>
  </w:footnote>
  <w:footnote w:id="9">
    <w:p w:rsidR="00E96187" w:rsidRPr="00267250" w:rsidRDefault="00E96187">
      <w:pPr>
        <w:pStyle w:val="FootnoteText"/>
        <w:rPr>
          <w:rFonts w:asciiTheme="majorHAnsi" w:hAnsiTheme="majorHAnsi"/>
          <w:color w:val="000000" w:themeColor="text1"/>
        </w:rPr>
      </w:pPr>
      <w:r w:rsidRPr="00267250">
        <w:rPr>
          <w:rStyle w:val="FootnoteReference"/>
          <w:rFonts w:asciiTheme="majorHAnsi" w:hAnsiTheme="majorHAnsi"/>
          <w:color w:val="000000" w:themeColor="text1"/>
        </w:rPr>
        <w:footnoteRef/>
      </w:r>
      <w:r w:rsidRPr="00267250">
        <w:rPr>
          <w:rFonts w:asciiTheme="majorHAnsi" w:hAnsiTheme="majorHAnsi"/>
          <w:color w:val="000000" w:themeColor="text1"/>
        </w:rPr>
        <w:t xml:space="preserve"> </w:t>
      </w:r>
      <w:r w:rsidR="00E62755" w:rsidRPr="00267250">
        <w:rPr>
          <w:rFonts w:asciiTheme="majorHAnsi" w:hAnsiTheme="majorHAnsi"/>
          <w:color w:val="000000" w:themeColor="text1"/>
        </w:rPr>
        <w:t>al-</w:t>
      </w:r>
      <w:proofErr w:type="spellStart"/>
      <w:r w:rsidR="00E62755" w:rsidRPr="00267250">
        <w:rPr>
          <w:rFonts w:asciiTheme="majorHAnsi" w:hAnsiTheme="majorHAnsi"/>
          <w:color w:val="000000" w:themeColor="text1"/>
        </w:rPr>
        <w:t>Mehri</w:t>
      </w:r>
      <w:proofErr w:type="spellEnd"/>
      <w:r w:rsidR="00E62755" w:rsidRPr="00267250">
        <w:rPr>
          <w:rFonts w:asciiTheme="majorHAnsi" w:hAnsiTheme="majorHAnsi"/>
          <w:color w:val="000000" w:themeColor="text1"/>
        </w:rPr>
        <w:t xml:space="preserve">, A. (2010). The </w:t>
      </w:r>
      <w:proofErr w:type="spellStart"/>
      <w:r w:rsidR="00E62755" w:rsidRPr="00267250">
        <w:rPr>
          <w:rFonts w:asciiTheme="majorHAnsi" w:hAnsiTheme="majorHAnsi"/>
          <w:color w:val="000000" w:themeColor="text1"/>
        </w:rPr>
        <w:t>Qurʼān</w:t>
      </w:r>
      <w:proofErr w:type="spellEnd"/>
      <w:r w:rsidR="00E62755" w:rsidRPr="00267250">
        <w:rPr>
          <w:rFonts w:asciiTheme="majorHAnsi" w:hAnsiTheme="majorHAnsi"/>
          <w:color w:val="000000" w:themeColor="text1"/>
        </w:rPr>
        <w:t xml:space="preserve">. Birmingham: </w:t>
      </w:r>
      <w:proofErr w:type="spellStart"/>
      <w:r w:rsidR="00E62755" w:rsidRPr="00267250">
        <w:rPr>
          <w:rFonts w:asciiTheme="majorHAnsi" w:hAnsiTheme="majorHAnsi"/>
          <w:color w:val="000000" w:themeColor="text1"/>
        </w:rPr>
        <w:t>Maktabah</w:t>
      </w:r>
      <w:proofErr w:type="spellEnd"/>
      <w:r w:rsidR="00E62755" w:rsidRPr="00267250">
        <w:rPr>
          <w:rFonts w:asciiTheme="majorHAnsi" w:hAnsiTheme="majorHAnsi"/>
          <w:color w:val="000000" w:themeColor="text1"/>
        </w:rPr>
        <w:t xml:space="preserve"> Booksellers and Publishers, p.196, verse.40.</w:t>
      </w:r>
    </w:p>
  </w:footnote>
  <w:footnote w:id="10">
    <w:p w:rsidR="005E29ED" w:rsidRPr="00267250" w:rsidRDefault="005E29ED">
      <w:pPr>
        <w:pStyle w:val="FootnoteText"/>
        <w:rPr>
          <w:rFonts w:asciiTheme="majorHAnsi" w:hAnsiTheme="majorHAnsi"/>
          <w:color w:val="000000" w:themeColor="text1"/>
        </w:rPr>
      </w:pPr>
      <w:r w:rsidRPr="00267250">
        <w:rPr>
          <w:rStyle w:val="FootnoteReference"/>
          <w:rFonts w:asciiTheme="majorHAnsi" w:hAnsiTheme="majorHAnsi"/>
          <w:color w:val="000000" w:themeColor="text1"/>
        </w:rPr>
        <w:footnoteRef/>
      </w:r>
      <w:r w:rsidRPr="00267250">
        <w:rPr>
          <w:rFonts w:asciiTheme="majorHAnsi" w:hAnsiTheme="majorHAnsi"/>
          <w:color w:val="000000" w:themeColor="text1"/>
        </w:rPr>
        <w:t xml:space="preserve"> </w:t>
      </w:r>
      <w:r w:rsidR="00E62755" w:rsidRPr="00267250">
        <w:rPr>
          <w:rFonts w:asciiTheme="majorHAnsi" w:hAnsiTheme="majorHAnsi"/>
          <w:color w:val="000000" w:themeColor="text1"/>
        </w:rPr>
        <w:t>al-</w:t>
      </w:r>
      <w:proofErr w:type="spellStart"/>
      <w:r w:rsidR="00E62755" w:rsidRPr="00267250">
        <w:rPr>
          <w:rFonts w:asciiTheme="majorHAnsi" w:hAnsiTheme="majorHAnsi"/>
          <w:color w:val="000000" w:themeColor="text1"/>
        </w:rPr>
        <w:t>Mehri</w:t>
      </w:r>
      <w:proofErr w:type="spellEnd"/>
      <w:r w:rsidR="00E62755" w:rsidRPr="00267250">
        <w:rPr>
          <w:rFonts w:asciiTheme="majorHAnsi" w:hAnsiTheme="majorHAnsi"/>
          <w:color w:val="000000" w:themeColor="text1"/>
        </w:rPr>
        <w:t xml:space="preserve">, A. (2010). The </w:t>
      </w:r>
      <w:proofErr w:type="spellStart"/>
      <w:r w:rsidR="00E62755" w:rsidRPr="00267250">
        <w:rPr>
          <w:rFonts w:asciiTheme="majorHAnsi" w:hAnsiTheme="majorHAnsi"/>
          <w:color w:val="000000" w:themeColor="text1"/>
        </w:rPr>
        <w:t>Qurʼān</w:t>
      </w:r>
      <w:proofErr w:type="spellEnd"/>
      <w:r w:rsidR="00E62755" w:rsidRPr="00267250">
        <w:rPr>
          <w:rFonts w:asciiTheme="majorHAnsi" w:hAnsiTheme="majorHAnsi"/>
          <w:color w:val="000000" w:themeColor="text1"/>
        </w:rPr>
        <w:t xml:space="preserve">. Birmingham: </w:t>
      </w:r>
      <w:proofErr w:type="spellStart"/>
      <w:r w:rsidR="00E62755" w:rsidRPr="00267250">
        <w:rPr>
          <w:rFonts w:asciiTheme="majorHAnsi" w:hAnsiTheme="majorHAnsi"/>
          <w:color w:val="000000" w:themeColor="text1"/>
        </w:rPr>
        <w:t>Maktabah</w:t>
      </w:r>
      <w:proofErr w:type="spellEnd"/>
      <w:r w:rsidR="00E62755" w:rsidRPr="00267250">
        <w:rPr>
          <w:rFonts w:asciiTheme="majorHAnsi" w:hAnsiTheme="majorHAnsi"/>
          <w:color w:val="000000" w:themeColor="text1"/>
        </w:rPr>
        <w:t xml:space="preserve"> Booksellers and Publishers, p.368, verse.36.</w:t>
      </w:r>
    </w:p>
  </w:footnote>
  <w:footnote w:id="11">
    <w:p w:rsidR="00C54612" w:rsidRPr="00267250" w:rsidRDefault="00C54612" w:rsidP="00C54612">
      <w:pPr>
        <w:pStyle w:val="FootnoteText"/>
        <w:rPr>
          <w:rFonts w:asciiTheme="majorHAnsi" w:hAnsiTheme="majorHAnsi"/>
          <w:color w:val="000000" w:themeColor="text1"/>
        </w:rPr>
      </w:pPr>
      <w:r w:rsidRPr="00267250">
        <w:rPr>
          <w:rStyle w:val="FootnoteReference"/>
          <w:rFonts w:asciiTheme="majorHAnsi" w:hAnsiTheme="majorHAnsi"/>
          <w:color w:val="000000" w:themeColor="text1"/>
        </w:rPr>
        <w:footnoteRef/>
      </w:r>
      <w:r w:rsidRPr="00267250">
        <w:rPr>
          <w:rFonts w:asciiTheme="majorHAnsi" w:hAnsiTheme="majorHAnsi"/>
          <w:color w:val="000000" w:themeColor="text1"/>
        </w:rPr>
        <w:t xml:space="preserve"> </w:t>
      </w:r>
      <w:proofErr w:type="spellStart"/>
      <w:r w:rsidRPr="00267250">
        <w:rPr>
          <w:rFonts w:asciiTheme="majorHAnsi" w:hAnsiTheme="majorHAnsi" w:cs="Arial"/>
          <w:color w:val="000000" w:themeColor="text1"/>
          <w:shd w:val="clear" w:color="auto" w:fill="FFFFFF"/>
        </w:rPr>
        <w:t>Muslehuddin</w:t>
      </w:r>
      <w:proofErr w:type="spellEnd"/>
      <w:r w:rsidRPr="00267250">
        <w:rPr>
          <w:rFonts w:asciiTheme="majorHAnsi" w:hAnsiTheme="majorHAnsi" w:cs="Arial"/>
          <w:color w:val="000000" w:themeColor="text1"/>
          <w:shd w:val="clear" w:color="auto" w:fill="FFFFFF"/>
        </w:rPr>
        <w:t>, M. (2000). </w:t>
      </w:r>
      <w:r w:rsidRPr="00267250">
        <w:rPr>
          <w:rFonts w:asciiTheme="majorHAnsi" w:hAnsiTheme="majorHAnsi" w:cs="Arial"/>
          <w:i/>
          <w:iCs/>
          <w:color w:val="000000" w:themeColor="text1"/>
          <w:shd w:val="clear" w:color="auto" w:fill="FFFFFF"/>
        </w:rPr>
        <w:t>Islam: Its theology &amp; The Greek philosophy</w:t>
      </w:r>
      <w:r w:rsidRPr="00267250">
        <w:rPr>
          <w:rFonts w:asciiTheme="majorHAnsi" w:hAnsiTheme="majorHAnsi" w:cs="Arial"/>
          <w:color w:val="000000" w:themeColor="text1"/>
          <w:shd w:val="clear" w:color="auto" w:fill="FFFFFF"/>
        </w:rPr>
        <w:t xml:space="preserve">. New Delhi: </w:t>
      </w:r>
      <w:proofErr w:type="spellStart"/>
      <w:r w:rsidRPr="00267250">
        <w:rPr>
          <w:rFonts w:asciiTheme="majorHAnsi" w:hAnsiTheme="majorHAnsi" w:cs="Arial"/>
          <w:color w:val="000000" w:themeColor="text1"/>
          <w:shd w:val="clear" w:color="auto" w:fill="FFFFFF"/>
        </w:rPr>
        <w:t>Kitab</w:t>
      </w:r>
      <w:proofErr w:type="spellEnd"/>
      <w:r w:rsidRPr="00267250">
        <w:rPr>
          <w:rFonts w:asciiTheme="majorHAnsi" w:hAnsiTheme="majorHAnsi" w:cs="Arial"/>
          <w:color w:val="000000" w:themeColor="text1"/>
          <w:shd w:val="clear" w:color="auto" w:fill="FFFFFF"/>
        </w:rPr>
        <w:t xml:space="preserve"> </w:t>
      </w:r>
      <w:proofErr w:type="spellStart"/>
      <w:r w:rsidRPr="00267250">
        <w:rPr>
          <w:rFonts w:asciiTheme="majorHAnsi" w:hAnsiTheme="majorHAnsi" w:cs="Arial"/>
          <w:color w:val="000000" w:themeColor="text1"/>
          <w:shd w:val="clear" w:color="auto" w:fill="FFFFFF"/>
        </w:rPr>
        <w:t>Bhavan</w:t>
      </w:r>
      <w:proofErr w:type="spellEnd"/>
      <w:r w:rsidRPr="00267250">
        <w:rPr>
          <w:rFonts w:asciiTheme="majorHAnsi" w:hAnsiTheme="majorHAnsi" w:cs="Arial"/>
          <w:color w:val="000000" w:themeColor="text1"/>
          <w:shd w:val="clear" w:color="auto" w:fill="FFFFFF"/>
        </w:rPr>
        <w:t>, p.75.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0400" w:rsidRDefault="00BD0400" w:rsidP="00BD0400">
    <w:pPr>
      <w:pStyle w:val="Header"/>
    </w:pPr>
    <w:proofErr w:type="spellStart"/>
    <w:r>
      <w:t>Hammaad</w:t>
    </w:r>
    <w:proofErr w:type="spellEnd"/>
    <w:r>
      <w:t xml:space="preserve"> Yusuf (1602439)</w:t>
    </w:r>
    <w:r>
      <w:br/>
      <w:t>TRDL70</w:t>
    </w:r>
    <w:r w:rsidR="00842493">
      <w:t xml:space="preserve">80 – </w:t>
    </w:r>
    <w:r w:rsidR="00E96187">
      <w:t>Perspectives</w:t>
    </w:r>
    <w:r w:rsidR="00842493">
      <w:t xml:space="preserve"> on Islamic Sources – Part 1</w:t>
    </w:r>
  </w:p>
  <w:p w:rsidR="00FC00F3" w:rsidRPr="00BD0400" w:rsidRDefault="00FC00F3" w:rsidP="00BD04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7F0"/>
    <w:rsid w:val="000100DE"/>
    <w:rsid w:val="000401B8"/>
    <w:rsid w:val="000964F5"/>
    <w:rsid w:val="000967F0"/>
    <w:rsid w:val="000B17BF"/>
    <w:rsid w:val="000C6BDD"/>
    <w:rsid w:val="00120E31"/>
    <w:rsid w:val="001621CC"/>
    <w:rsid w:val="00267250"/>
    <w:rsid w:val="00272FA0"/>
    <w:rsid w:val="002866CC"/>
    <w:rsid w:val="002A6EB6"/>
    <w:rsid w:val="002E4A9D"/>
    <w:rsid w:val="00322E3D"/>
    <w:rsid w:val="00347999"/>
    <w:rsid w:val="00353715"/>
    <w:rsid w:val="00372EE9"/>
    <w:rsid w:val="00373736"/>
    <w:rsid w:val="003B0707"/>
    <w:rsid w:val="003D431B"/>
    <w:rsid w:val="003E03C1"/>
    <w:rsid w:val="003F3FD0"/>
    <w:rsid w:val="004077E4"/>
    <w:rsid w:val="00423FC9"/>
    <w:rsid w:val="00462C2E"/>
    <w:rsid w:val="00496164"/>
    <w:rsid w:val="004A1C76"/>
    <w:rsid w:val="004C40A0"/>
    <w:rsid w:val="00524207"/>
    <w:rsid w:val="00560E7B"/>
    <w:rsid w:val="005765D7"/>
    <w:rsid w:val="0058796C"/>
    <w:rsid w:val="005C1D98"/>
    <w:rsid w:val="005E29ED"/>
    <w:rsid w:val="006511C4"/>
    <w:rsid w:val="00693791"/>
    <w:rsid w:val="006B1F07"/>
    <w:rsid w:val="006B4A85"/>
    <w:rsid w:val="006B6AAB"/>
    <w:rsid w:val="006D16D4"/>
    <w:rsid w:val="007342C0"/>
    <w:rsid w:val="0075751A"/>
    <w:rsid w:val="007A1B72"/>
    <w:rsid w:val="007B01F4"/>
    <w:rsid w:val="00836261"/>
    <w:rsid w:val="00842493"/>
    <w:rsid w:val="0086329B"/>
    <w:rsid w:val="00873A09"/>
    <w:rsid w:val="00882C77"/>
    <w:rsid w:val="008928D6"/>
    <w:rsid w:val="008A5C10"/>
    <w:rsid w:val="008A60B0"/>
    <w:rsid w:val="008C154F"/>
    <w:rsid w:val="008C7AEA"/>
    <w:rsid w:val="008D2371"/>
    <w:rsid w:val="009003D6"/>
    <w:rsid w:val="00913AE9"/>
    <w:rsid w:val="00922729"/>
    <w:rsid w:val="00960EA7"/>
    <w:rsid w:val="00966440"/>
    <w:rsid w:val="00983CFE"/>
    <w:rsid w:val="009B6E9F"/>
    <w:rsid w:val="009D1D5D"/>
    <w:rsid w:val="00A16442"/>
    <w:rsid w:val="00A715BE"/>
    <w:rsid w:val="00A73FD8"/>
    <w:rsid w:val="00AE20DB"/>
    <w:rsid w:val="00AF760B"/>
    <w:rsid w:val="00B254EF"/>
    <w:rsid w:val="00B46ACA"/>
    <w:rsid w:val="00B60797"/>
    <w:rsid w:val="00B97AE6"/>
    <w:rsid w:val="00BB6BE7"/>
    <w:rsid w:val="00BC0126"/>
    <w:rsid w:val="00BD0400"/>
    <w:rsid w:val="00C30039"/>
    <w:rsid w:val="00C37301"/>
    <w:rsid w:val="00C54612"/>
    <w:rsid w:val="00C70113"/>
    <w:rsid w:val="00CA6EF0"/>
    <w:rsid w:val="00DC7155"/>
    <w:rsid w:val="00DD5600"/>
    <w:rsid w:val="00DD720E"/>
    <w:rsid w:val="00DF78CA"/>
    <w:rsid w:val="00E52AA0"/>
    <w:rsid w:val="00E54230"/>
    <w:rsid w:val="00E62755"/>
    <w:rsid w:val="00E96187"/>
    <w:rsid w:val="00EA4DDF"/>
    <w:rsid w:val="00F5188E"/>
    <w:rsid w:val="00FC00F3"/>
    <w:rsid w:val="00FE6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15362C"/>
  <w15:chartTrackingRefBased/>
  <w15:docId w15:val="{5EB5F7B5-C122-4464-A7C7-7A3097A03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electable">
    <w:name w:val="selectable"/>
    <w:basedOn w:val="DefaultParagraphFont"/>
    <w:rsid w:val="000967F0"/>
  </w:style>
  <w:style w:type="paragraph" w:styleId="Header">
    <w:name w:val="header"/>
    <w:basedOn w:val="Normal"/>
    <w:link w:val="HeaderChar"/>
    <w:uiPriority w:val="99"/>
    <w:unhideWhenUsed/>
    <w:rsid w:val="00FC00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00F3"/>
  </w:style>
  <w:style w:type="paragraph" w:styleId="Footer">
    <w:name w:val="footer"/>
    <w:basedOn w:val="Normal"/>
    <w:link w:val="FooterChar"/>
    <w:uiPriority w:val="99"/>
    <w:unhideWhenUsed/>
    <w:rsid w:val="00FC00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00F3"/>
  </w:style>
  <w:style w:type="paragraph" w:styleId="FootnoteText">
    <w:name w:val="footnote text"/>
    <w:basedOn w:val="Normal"/>
    <w:link w:val="FootnoteTextChar"/>
    <w:uiPriority w:val="99"/>
    <w:semiHidden/>
    <w:unhideWhenUsed/>
    <w:rsid w:val="00A73FD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73FD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73FD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1B3C8E16-A32C-4336-B42D-33371EC0F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2</Pages>
  <Words>812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irigb.sc1</cp:lastModifiedBy>
  <cp:revision>23</cp:revision>
  <dcterms:created xsi:type="dcterms:W3CDTF">2017-12-12T09:48:00Z</dcterms:created>
  <dcterms:modified xsi:type="dcterms:W3CDTF">2017-12-12T20:34:00Z</dcterms:modified>
</cp:coreProperties>
</file>