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F025B53" w14:paraId="5E5787A5" wp14:textId="41B35C59">
      <w:pPr>
        <w:rPr>
          <w:rFonts w:ascii="Calibri" w:hAnsi="Calibri" w:eastAsia="Calibri" w:cs="Calibri"/>
          <w:sz w:val="24"/>
          <w:szCs w:val="24"/>
        </w:rPr>
      </w:pPr>
      <w:bookmarkStart w:name="_GoBack" w:id="0"/>
      <w:bookmarkEnd w:id="0"/>
      <w:r w:rsidRPr="1F025B53" w:rsidR="1F025B53">
        <w:rPr>
          <w:rFonts w:ascii="Calibri" w:hAnsi="Calibri" w:eastAsia="Calibri" w:cs="Calibri"/>
          <w:sz w:val="24"/>
          <w:szCs w:val="24"/>
        </w:rPr>
        <w:t xml:space="preserve">Anne </w:t>
      </w:r>
      <w:proofErr w:type="spellStart"/>
      <w:r w:rsidRPr="1F025B53" w:rsidR="1F025B53">
        <w:rPr>
          <w:rFonts w:ascii="Calibri" w:hAnsi="Calibri" w:eastAsia="Calibri" w:cs="Calibri"/>
          <w:sz w:val="24"/>
          <w:szCs w:val="24"/>
        </w:rPr>
        <w:t>Wagstaffe</w:t>
      </w:r>
      <w:proofErr w:type="spellEnd"/>
      <w:r w:rsidRPr="1F025B53" w:rsidR="1F025B53">
        <w:rPr>
          <w:rFonts w:ascii="Calibri" w:hAnsi="Calibri" w:eastAsia="Calibri" w:cs="Calibri"/>
          <w:sz w:val="24"/>
          <w:szCs w:val="24"/>
        </w:rPr>
        <w:t xml:space="preserve"> 1903773</w:t>
      </w:r>
    </w:p>
    <w:p w:rsidR="1BB03534" w:rsidP="1F025B53" w:rsidRDefault="1BB03534" w14:paraId="02B81125" w14:textId="05F3271F">
      <w:pPr>
        <w:pStyle w:val="Normal"/>
        <w:rPr>
          <w:rFonts w:ascii="Calibri" w:hAnsi="Calibri" w:eastAsia="Calibri" w:cs="Calibri"/>
          <w:sz w:val="24"/>
          <w:szCs w:val="24"/>
        </w:rPr>
      </w:pPr>
      <w:r w:rsidRPr="1F025B53" w:rsidR="1F025B53">
        <w:rPr>
          <w:rFonts w:ascii="Calibri" w:hAnsi="Calibri" w:eastAsia="Calibri" w:cs="Calibri"/>
          <w:sz w:val="24"/>
          <w:szCs w:val="24"/>
        </w:rPr>
        <w:t>Book Review Assignment 1</w:t>
      </w:r>
    </w:p>
    <w:p w:rsidR="1BB03534" w:rsidP="1F025B53" w:rsidRDefault="1BB03534" w14:paraId="39C32A36" w14:textId="124E94C6">
      <w:pPr>
        <w:pStyle w:val="Normal"/>
        <w:rPr>
          <w:rFonts w:ascii="Calibri" w:hAnsi="Calibri" w:eastAsia="Calibri" w:cs="Calibri"/>
          <w:sz w:val="24"/>
          <w:szCs w:val="24"/>
        </w:rPr>
      </w:pPr>
      <w:r w:rsidRPr="1F025B53" w:rsidR="1F025B53">
        <w:rPr>
          <w:rFonts w:ascii="Calibri" w:hAnsi="Calibri" w:eastAsia="Calibri" w:cs="Calibri"/>
          <w:sz w:val="24"/>
          <w:szCs w:val="24"/>
        </w:rPr>
        <w:t>Word count: 1288</w:t>
      </w:r>
    </w:p>
    <w:p w:rsidR="1BB03534" w:rsidP="1F025B53" w:rsidRDefault="1BB03534" w14:paraId="216ADC61" w14:textId="3E36549B">
      <w:pPr>
        <w:pStyle w:val="Normal"/>
        <w:rPr>
          <w:rFonts w:ascii="Calibri" w:hAnsi="Calibri" w:eastAsia="Calibri" w:cs="Calibri"/>
          <w:sz w:val="24"/>
          <w:szCs w:val="24"/>
        </w:rPr>
      </w:pPr>
      <w:r w:rsidRPr="1F025B53" w:rsidR="1F025B53">
        <w:rPr>
          <w:rFonts w:ascii="Calibri" w:hAnsi="Calibri" w:eastAsia="Calibri" w:cs="Calibri"/>
          <w:sz w:val="24"/>
          <w:szCs w:val="24"/>
        </w:rPr>
        <w:t>Studia</w:t>
      </w:r>
      <w:r w:rsidRPr="1F025B53" w:rsidR="1F025B53">
        <w:rPr>
          <w:rFonts w:ascii="Calibri" w:hAnsi="Calibri" w:eastAsia="Calibri" w:cs="Calibri"/>
          <w:sz w:val="24"/>
          <w:szCs w:val="24"/>
        </w:rPr>
        <w:t xml:space="preserve"> Celtica</w:t>
      </w:r>
    </w:p>
    <w:p w:rsidR="1BB03534" w:rsidP="1F025B53" w:rsidRDefault="1BB03534" w14:paraId="4C4122DF" w14:textId="3C555911">
      <w:pPr>
        <w:pStyle w:val="Normal"/>
        <w:rPr>
          <w:rFonts w:ascii="Calibri" w:hAnsi="Calibri" w:eastAsia="Calibri" w:cs="Calibri"/>
          <w:sz w:val="24"/>
          <w:szCs w:val="24"/>
        </w:rPr>
      </w:pPr>
    </w:p>
    <w:p w:rsidR="1BB03534" w:rsidP="1F025B53" w:rsidRDefault="1BB03534" w14:paraId="6BC6DF81" w14:textId="74DBD6B4">
      <w:pPr>
        <w:pStyle w:val="Normal"/>
        <w:rPr>
          <w:rFonts w:ascii="Calibri" w:hAnsi="Calibri" w:eastAsia="Calibri" w:cs="Calibri"/>
          <w:sz w:val="24"/>
          <w:szCs w:val="24"/>
        </w:rPr>
      </w:pPr>
    </w:p>
    <w:p w:rsidR="1BB03534" w:rsidP="1F025B53" w:rsidRDefault="1BB03534" w14:paraId="71A6DDBB" w14:textId="648E4825">
      <w:pPr>
        <w:pStyle w:val="Normal"/>
        <w:rPr>
          <w:rFonts w:ascii="Calibri" w:hAnsi="Calibri" w:eastAsia="Calibri" w:cs="Calibri"/>
          <w:sz w:val="24"/>
          <w:szCs w:val="24"/>
        </w:rPr>
      </w:pPr>
      <w:proofErr w:type="spellStart"/>
      <w:r w:rsidRPr="1F025B53" w:rsidR="1F025B53">
        <w:rPr>
          <w:rFonts w:ascii="Calibri" w:hAnsi="Calibri" w:eastAsia="Calibri" w:cs="Calibri"/>
          <w:sz w:val="24"/>
          <w:szCs w:val="24"/>
        </w:rPr>
        <w:t>Adolygiadu</w:t>
      </w:r>
      <w:proofErr w:type="spellEnd"/>
      <w:r w:rsidRPr="1F025B53" w:rsidR="1F025B53">
        <w:rPr>
          <w:rFonts w:ascii="Calibri" w:hAnsi="Calibri" w:eastAsia="Calibri" w:cs="Calibri"/>
          <w:sz w:val="24"/>
          <w:szCs w:val="24"/>
        </w:rPr>
        <w:t>-Reviews</w:t>
      </w:r>
    </w:p>
    <w:p w:rsidR="1BB03534" w:rsidP="1F025B53" w:rsidRDefault="1BB03534" w14:paraId="1F7C53A1" w14:textId="4F26C7EC">
      <w:pPr>
        <w:pStyle w:val="Normal"/>
        <w:rPr>
          <w:rFonts w:ascii="Calibri" w:hAnsi="Calibri" w:eastAsia="Calibri" w:cs="Calibri"/>
          <w:i w:val="0"/>
          <w:iCs w:val="0"/>
          <w:sz w:val="24"/>
          <w:szCs w:val="24"/>
        </w:rPr>
      </w:pPr>
      <w:r w:rsidRPr="1F025B53" w:rsidR="1F025B53">
        <w:rPr>
          <w:rFonts w:ascii="Calibri" w:hAnsi="Calibri" w:eastAsia="Calibri" w:cs="Calibri"/>
          <w:sz w:val="24"/>
          <w:szCs w:val="24"/>
        </w:rPr>
        <w:t xml:space="preserve">Jane Aaron, </w:t>
      </w:r>
      <w:r w:rsidRPr="1F025B53" w:rsidR="1F025B53">
        <w:rPr>
          <w:rFonts w:ascii="Calibri" w:hAnsi="Calibri" w:eastAsia="Calibri" w:cs="Calibri"/>
          <w:i w:val="1"/>
          <w:iCs w:val="1"/>
          <w:sz w:val="24"/>
          <w:szCs w:val="24"/>
        </w:rPr>
        <w:t xml:space="preserve">Welsh Gothic </w:t>
      </w:r>
      <w:r w:rsidRPr="1F025B53" w:rsidR="1F025B53">
        <w:rPr>
          <w:rFonts w:ascii="Calibri" w:hAnsi="Calibri" w:eastAsia="Calibri" w:cs="Calibri"/>
          <w:i w:val="0"/>
          <w:iCs w:val="0"/>
          <w:sz w:val="24"/>
          <w:szCs w:val="24"/>
        </w:rPr>
        <w:t xml:space="preserve">(Cardiff: University of Wales Press, 2013). Pp. viii + 288. £24.99. ISBN 978-0-70832-608-4  </w:t>
      </w:r>
    </w:p>
    <w:p w:rsidR="1BB03534" w:rsidP="1F025B53" w:rsidRDefault="1BB03534" w14:paraId="5CD36DFA" w14:textId="641169D7">
      <w:pPr>
        <w:pStyle w:val="Normal"/>
        <w:rPr>
          <w:rFonts w:ascii="Calibri" w:hAnsi="Calibri" w:eastAsia="Calibri" w:cs="Calibri"/>
          <w:i w:val="0"/>
          <w:iCs w:val="0"/>
          <w:sz w:val="24"/>
          <w:szCs w:val="24"/>
        </w:rPr>
      </w:pPr>
      <w:r w:rsidRPr="1F025B53" w:rsidR="1F025B53">
        <w:rPr>
          <w:rFonts w:ascii="Calibri" w:hAnsi="Calibri" w:eastAsia="Calibri" w:cs="Calibri"/>
          <w:i w:val="0"/>
          <w:iCs w:val="0"/>
          <w:sz w:val="24"/>
          <w:szCs w:val="24"/>
        </w:rPr>
        <w:t xml:space="preserve">A valuable addition to the Gothic Literary Studies series, </w:t>
      </w:r>
      <w:r w:rsidRPr="1F025B53" w:rsidR="1F025B53">
        <w:rPr>
          <w:rFonts w:ascii="Calibri" w:hAnsi="Calibri" w:eastAsia="Calibri" w:cs="Calibri"/>
          <w:i w:val="1"/>
          <w:iCs w:val="1"/>
          <w:sz w:val="24"/>
          <w:szCs w:val="24"/>
        </w:rPr>
        <w:t>Welsh Gothic</w:t>
      </w:r>
      <w:r w:rsidRPr="1F025B53" w:rsidR="1F025B53">
        <w:rPr>
          <w:rFonts w:ascii="Calibri" w:hAnsi="Calibri" w:eastAsia="Calibri" w:cs="Calibri"/>
          <w:i w:val="0"/>
          <w:iCs w:val="0"/>
          <w:sz w:val="24"/>
          <w:szCs w:val="24"/>
        </w:rPr>
        <w:t xml:space="preserve"> explores a unique branch of the genre which is often overlooked. Covering a period from the late eighteenth century to the present day, Jane Aaron addresses the historical and cultural forces at play in this ’wild country of a myriad ghosts’ alongside the specific literary themes produced </w:t>
      </w:r>
      <w:r w:rsidRPr="1F025B53" w:rsidR="1F025B53">
        <w:rPr>
          <w:rFonts w:ascii="Calibri" w:hAnsi="Calibri" w:eastAsia="Calibri" w:cs="Calibri"/>
          <w:i w:val="0"/>
          <w:iCs w:val="0"/>
          <w:sz w:val="24"/>
          <w:szCs w:val="24"/>
        </w:rPr>
        <w:t>as a consequence</w:t>
      </w:r>
      <w:r w:rsidRPr="1F025B53" w:rsidR="1F025B53">
        <w:rPr>
          <w:rFonts w:ascii="Calibri" w:hAnsi="Calibri" w:eastAsia="Calibri" w:cs="Calibri"/>
          <w:i w:val="0"/>
          <w:iCs w:val="0"/>
          <w:sz w:val="24"/>
          <w:szCs w:val="24"/>
        </w:rPr>
        <w:t>.</w:t>
      </w:r>
    </w:p>
    <w:p w:rsidR="1BB03534" w:rsidP="1F025B53" w:rsidRDefault="1BB03534" w14:paraId="652BBCF8" w14:textId="3D71B219">
      <w:pPr>
        <w:pStyle w:val="Normal"/>
        <w:rPr>
          <w:rFonts w:ascii="Calibri" w:hAnsi="Calibri" w:eastAsia="Calibri" w:cs="Calibri"/>
          <w:i w:val="0"/>
          <w:iCs w:val="0"/>
          <w:sz w:val="24"/>
          <w:szCs w:val="24"/>
        </w:rPr>
      </w:pPr>
      <w:r w:rsidRPr="1F025B53" w:rsidR="1F025B53">
        <w:rPr>
          <w:rFonts w:ascii="Calibri" w:hAnsi="Calibri" w:eastAsia="Calibri" w:cs="Calibri"/>
          <w:i w:val="0"/>
          <w:iCs w:val="0"/>
          <w:sz w:val="24"/>
          <w:szCs w:val="24"/>
        </w:rPr>
        <w:t xml:space="preserve"> The resulting book is an interesting amalgamation of scholarly disciplines. The author has extensive knowledge of Welsh and Anglo-Welsh literature and takes a new direction here to focus on examples of the Gothic element apparent in Welsh writing. As a starting point, the author took the list of Anglo-Welsh literature from the Romantic period compiled by Andrew Davies. She notes that apart from interest in the horror writing of Arthur Machen, Welsh examples are often neglected in studies of the Gothic genre. The work of Kirsti Bohatu on post-colonial theory and Welsh writing in English is acknowledged, as is the work of Darryl Jones in the area of popular horror fiction. Jones’ work on Victorian and Edwardian writing on the supernatural is of special relevance here. Jarlath Killen’s studies of Irish Gothic fiction are an interesting comparison, although he places more focus on the significance of religion, an example of how the nature of Gothic writing adapts in association with a specific background.</w:t>
      </w:r>
      <w:proofErr w:type="spellStart"/>
      <w:proofErr w:type="spellEnd"/>
    </w:p>
    <w:p w:rsidR="36865514" w:rsidP="1F025B53" w:rsidRDefault="36865514" w14:paraId="235C37D6" w14:textId="3E006169">
      <w:pPr>
        <w:pStyle w:val="Normal"/>
        <w:rPr>
          <w:rFonts w:ascii="Calibri" w:hAnsi="Calibri" w:eastAsia="Calibri" w:cs="Calibri"/>
          <w:i w:val="0"/>
          <w:iCs w:val="0"/>
          <w:sz w:val="24"/>
          <w:szCs w:val="24"/>
        </w:rPr>
      </w:pPr>
      <w:r w:rsidRPr="1F025B53" w:rsidR="1F025B53">
        <w:rPr>
          <w:rFonts w:ascii="Calibri" w:hAnsi="Calibri" w:eastAsia="Calibri" w:cs="Calibri"/>
          <w:i w:val="0"/>
          <w:iCs w:val="0"/>
          <w:sz w:val="24"/>
          <w:szCs w:val="24"/>
        </w:rPr>
        <w:t>Aaron argues that the ‘terror’ experienced by the Welsh people over time at the loss of culture and language remained in collective memory, only for the trauma to re-emerge in the terror of Welsh Gothic writing. She identifies four ways in which this can occur.</w:t>
      </w:r>
    </w:p>
    <w:p w:rsidR="36865514" w:rsidP="1F025B53" w:rsidRDefault="36865514" w14:paraId="0A7607C1" w14:textId="04DD9A42">
      <w:pPr>
        <w:pStyle w:val="Normal"/>
        <w:rPr>
          <w:rFonts w:ascii="Calibri" w:hAnsi="Calibri" w:eastAsia="Calibri" w:cs="Calibri"/>
          <w:i w:val="0"/>
          <w:iCs w:val="0"/>
          <w:sz w:val="24"/>
          <w:szCs w:val="24"/>
        </w:rPr>
      </w:pPr>
      <w:r w:rsidRPr="1F025B53" w:rsidR="1F025B53">
        <w:rPr>
          <w:rFonts w:ascii="Calibri" w:hAnsi="Calibri" w:eastAsia="Calibri" w:cs="Calibri"/>
          <w:i w:val="0"/>
          <w:iCs w:val="0"/>
          <w:sz w:val="24"/>
          <w:szCs w:val="24"/>
        </w:rPr>
        <w:t>The colonizing culture identifies the colonized as ‘other’. The colonized culture fights back by using the Gothic mode. The colonized self- identify as primitive and demonic. The colonizing culture can ‘go native’ and identify with the colonized. All these options can combine within a piece of writing. Aaron uses post-colonial theory as the basis for her ideas while acknowledging debate around this hypothesis in the Welsh context. It is certainly true that a powerful culture often views aspects of a less powerful culture as ‘other’ in complex ways which may be encoded in the related literature.</w:t>
      </w:r>
    </w:p>
    <w:p w:rsidR="2897C357" w:rsidP="1F025B53" w:rsidRDefault="2897C357" w14:paraId="3BD28E3D" w14:textId="1BF63208">
      <w:pPr>
        <w:pStyle w:val="Normal"/>
        <w:rPr>
          <w:rFonts w:ascii="Calibri" w:hAnsi="Calibri" w:eastAsia="Calibri" w:cs="Calibri"/>
          <w:i w:val="0"/>
          <w:iCs w:val="0"/>
          <w:sz w:val="24"/>
          <w:szCs w:val="24"/>
        </w:rPr>
      </w:pPr>
      <w:r w:rsidRPr="1F025B53" w:rsidR="1F025B53">
        <w:rPr>
          <w:rFonts w:ascii="Calibri" w:hAnsi="Calibri" w:eastAsia="Calibri" w:cs="Calibri"/>
          <w:i w:val="0"/>
          <w:iCs w:val="0"/>
          <w:sz w:val="24"/>
          <w:szCs w:val="24"/>
        </w:rPr>
        <w:t xml:space="preserve">The author begins by describing how the book sprang from an idea, while teaching a University module on Welsh writing in English, to add a dash of Gothic into the curriculum.  </w:t>
      </w:r>
    </w:p>
    <w:p w:rsidR="2897C357" w:rsidP="1F025B53" w:rsidRDefault="2897C357" w14:paraId="34B53908" w14:textId="28925024">
      <w:pPr>
        <w:pStyle w:val="Normal"/>
        <w:rPr>
          <w:rFonts w:ascii="Calibri" w:hAnsi="Calibri" w:eastAsia="Calibri" w:cs="Calibri"/>
          <w:i w:val="0"/>
          <w:iCs w:val="0"/>
          <w:sz w:val="24"/>
          <w:szCs w:val="24"/>
        </w:rPr>
      </w:pPr>
      <w:r w:rsidRPr="1F025B53" w:rsidR="1F025B53">
        <w:rPr>
          <w:rFonts w:ascii="Calibri" w:hAnsi="Calibri" w:eastAsia="Calibri" w:cs="Calibri"/>
          <w:i w:val="0"/>
          <w:iCs w:val="0"/>
          <w:sz w:val="24"/>
          <w:szCs w:val="24"/>
        </w:rPr>
        <w:t>The prologue sets out the structure of the book, detailing the background to each chapter.</w:t>
      </w:r>
    </w:p>
    <w:p w:rsidR="2897C357" w:rsidP="1F025B53" w:rsidRDefault="2897C357" w14:paraId="16471149" w14:textId="1E5EC979">
      <w:pPr>
        <w:pStyle w:val="Normal"/>
        <w:rPr>
          <w:rFonts w:ascii="Calibri" w:hAnsi="Calibri" w:eastAsia="Calibri" w:cs="Calibri"/>
          <w:i w:val="0"/>
          <w:iCs w:val="0"/>
          <w:sz w:val="24"/>
          <w:szCs w:val="24"/>
        </w:rPr>
      </w:pPr>
      <w:r w:rsidRPr="1F025B53" w:rsidR="1F025B53">
        <w:rPr>
          <w:rFonts w:ascii="Calibri" w:hAnsi="Calibri" w:eastAsia="Calibri" w:cs="Calibri"/>
          <w:i w:val="0"/>
          <w:iCs w:val="0"/>
          <w:sz w:val="24"/>
          <w:szCs w:val="24"/>
        </w:rPr>
        <w:t xml:space="preserve">The main body of the book is divided into two parts. The first, ‘Haunted by History’, contains four chapters which proceed in chronological order to survey many examples of relevant literature.  Chapter one, ‘Cambria </w:t>
      </w:r>
      <w:proofErr w:type="spellStart"/>
      <w:r w:rsidRPr="1F025B53" w:rsidR="1F025B53">
        <w:rPr>
          <w:rFonts w:ascii="Calibri" w:hAnsi="Calibri" w:eastAsia="Calibri" w:cs="Calibri"/>
          <w:i w:val="0"/>
          <w:iCs w:val="0"/>
          <w:sz w:val="24"/>
          <w:szCs w:val="24"/>
        </w:rPr>
        <w:t>Gothica</w:t>
      </w:r>
      <w:proofErr w:type="spellEnd"/>
      <w:r w:rsidRPr="1F025B53" w:rsidR="1F025B53">
        <w:rPr>
          <w:rFonts w:ascii="Calibri" w:hAnsi="Calibri" w:eastAsia="Calibri" w:cs="Calibri"/>
          <w:i w:val="0"/>
          <w:iCs w:val="0"/>
          <w:sz w:val="24"/>
          <w:szCs w:val="24"/>
        </w:rPr>
        <w:t xml:space="preserve"> (1780s – 1820s)’ examines the earliest examples, showing how frequently, the novels written from a Welsh perspective feature a hero suffering at the hands of the English, and those written from an English viewpoint involve a journey into the unknown land of Wales. She gives an interesting analysis of the psychological elements behind ‘The Stranger of Llewellyn Family: A Cambrian Tale’, published by Robert Evans in 1798. A Welsh student faces the dangers of corrupt English society and is mysteriously under surveillance. The spy is revealed to be a fellow Welshman working for the matriarch Madame Llewellyn and the student becomes her heir. The hero therefore succeeds in the acknowledgement of his hidden Welsh double. </w:t>
      </w:r>
    </w:p>
    <w:p w:rsidR="2897C357" w:rsidP="1F025B53" w:rsidRDefault="2897C357" w14:paraId="4D11CB51" w14:textId="58B9A67B">
      <w:pPr>
        <w:pStyle w:val="Normal"/>
        <w:rPr>
          <w:rFonts w:ascii="Calibri" w:hAnsi="Calibri" w:eastAsia="Calibri" w:cs="Calibri"/>
          <w:i w:val="0"/>
          <w:iCs w:val="0"/>
          <w:sz w:val="24"/>
          <w:szCs w:val="24"/>
        </w:rPr>
      </w:pPr>
      <w:r w:rsidRPr="1F025B53" w:rsidR="1F025B53">
        <w:rPr>
          <w:rFonts w:ascii="Calibri" w:hAnsi="Calibri" w:eastAsia="Calibri" w:cs="Calibri"/>
          <w:i w:val="0"/>
          <w:iCs w:val="0"/>
          <w:sz w:val="24"/>
          <w:szCs w:val="24"/>
        </w:rPr>
        <w:t>In Chapter Two, ‘An Underworld of One’s Own (1830s – 1900s)’ The Industrial Revolution is a central theme, as growing interest in the occult, the world of the Druids and the Grail legend mark a new direction for old themes. The author spends some time discussing the 1847 ‘Report of the commissioners of inquiry into the state of education in Wales’, which equated low educational standards with Welsh language use and labelled the Welsh as barbarous and immoral.</w:t>
      </w:r>
    </w:p>
    <w:p w:rsidR="2897C357" w:rsidP="1F025B53" w:rsidRDefault="2897C357" w14:paraId="0AAB425B" w14:textId="07476267">
      <w:pPr>
        <w:pStyle w:val="Normal"/>
        <w:rPr>
          <w:rFonts w:ascii="Calibri" w:hAnsi="Calibri" w:eastAsia="Calibri" w:cs="Calibri"/>
          <w:i w:val="0"/>
          <w:iCs w:val="0"/>
          <w:sz w:val="24"/>
          <w:szCs w:val="24"/>
        </w:rPr>
      </w:pPr>
      <w:r w:rsidRPr="1F025B53" w:rsidR="1F025B53">
        <w:rPr>
          <w:rFonts w:ascii="Calibri" w:hAnsi="Calibri" w:eastAsia="Calibri" w:cs="Calibri"/>
          <w:i w:val="0"/>
          <w:iCs w:val="0"/>
          <w:sz w:val="24"/>
          <w:szCs w:val="24"/>
        </w:rPr>
        <w:t xml:space="preserve">Chapter 3, ‘Haunted Communities (1900s – 1940s)’ sees the rise of coal, alongside the development of iron, slate and steel works providing a new form of Welsh Gothicization influenced by stark industrial landscapes. Caradoc Evans’ </w:t>
      </w:r>
      <w:r w:rsidRPr="1F025B53" w:rsidR="1F025B53">
        <w:rPr>
          <w:rFonts w:ascii="Calibri" w:hAnsi="Calibri" w:eastAsia="Calibri" w:cs="Calibri"/>
          <w:i w:val="1"/>
          <w:iCs w:val="1"/>
          <w:sz w:val="24"/>
          <w:szCs w:val="24"/>
        </w:rPr>
        <w:t>My People</w:t>
      </w:r>
      <w:r w:rsidRPr="1F025B53" w:rsidR="1F025B53">
        <w:rPr>
          <w:rFonts w:ascii="Calibri" w:hAnsi="Calibri" w:eastAsia="Calibri" w:cs="Calibri"/>
          <w:i w:val="0"/>
          <w:iCs w:val="0"/>
          <w:sz w:val="24"/>
          <w:szCs w:val="24"/>
        </w:rPr>
        <w:t xml:space="preserve"> 1915 contains an early version of a tale featuring Gothicization of Welsh chapel culture, which is often demonised in this genre. The loss of the Welsh language is an additional factor, coupled with a sense of guilt overhanging a people who believe they have forsaken their own culture. The fourth chapter, ‘Land of the Living Dead (1940s – 1997)’ describes an era where the Welsh setting is offered up to the English reader, and the ‘primitive’ characteristics of the Welsh are emphasised. Aaron looks at Welsh </w:t>
      </w:r>
      <w:r w:rsidRPr="1F025B53" w:rsidR="1F025B53">
        <w:rPr>
          <w:rFonts w:ascii="Calibri" w:hAnsi="Calibri" w:eastAsia="Calibri" w:cs="Calibri"/>
          <w:i w:val="0"/>
          <w:iCs w:val="0"/>
          <w:sz w:val="24"/>
          <w:szCs w:val="24"/>
        </w:rPr>
        <w:t>Zombie fiction</w:t>
      </w:r>
      <w:r w:rsidRPr="1F025B53" w:rsidR="1F025B53">
        <w:rPr>
          <w:rFonts w:ascii="Calibri" w:hAnsi="Calibri" w:eastAsia="Calibri" w:cs="Calibri"/>
          <w:i w:val="0"/>
          <w:iCs w:val="0"/>
          <w:sz w:val="24"/>
          <w:szCs w:val="24"/>
        </w:rPr>
        <w:t>, seeing the emergence of the corpse as a parallel for the resurfacing of neglected Welsh language and culture. The 1997 cut-off date at the end of the chapter ties in with the date of the Welsh devolution referendum.</w:t>
      </w:r>
    </w:p>
    <w:p w:rsidR="2897C357" w:rsidP="1F025B53" w:rsidRDefault="2897C357" w14:paraId="389C4A06" w14:textId="77A60AD2">
      <w:pPr>
        <w:pStyle w:val="Normal"/>
        <w:rPr>
          <w:rFonts w:ascii="Calibri" w:hAnsi="Calibri" w:eastAsia="Calibri" w:cs="Calibri"/>
          <w:i w:val="0"/>
          <w:iCs w:val="0"/>
          <w:sz w:val="24"/>
          <w:szCs w:val="24"/>
        </w:rPr>
      </w:pPr>
      <w:r w:rsidRPr="1F025B53" w:rsidR="1F025B53">
        <w:rPr>
          <w:rFonts w:ascii="Calibri" w:hAnsi="Calibri" w:eastAsia="Calibri" w:cs="Calibri"/>
          <w:i w:val="0"/>
          <w:iCs w:val="0"/>
          <w:sz w:val="24"/>
          <w:szCs w:val="24"/>
        </w:rPr>
        <w:t xml:space="preserve">Part 2, appealingly entitled ‘Things that go Bump in the Celtic Twilight’, has by contrast, a structure of two chapters. The first focuses on witches, Druids and the Hounds of Annwn, these being examples of folklore transformed into new literary forms. The witch in Wales is seen as a powerful goddess-like figure. The Druids are closely associated with Wales and </w:t>
      </w:r>
      <w:r w:rsidRPr="1F025B53" w:rsidR="1F025B53">
        <w:rPr>
          <w:rFonts w:ascii="Calibri" w:hAnsi="Calibri" w:eastAsia="Calibri" w:cs="Calibri"/>
          <w:i w:val="1"/>
          <w:iCs w:val="1"/>
          <w:sz w:val="24"/>
          <w:szCs w:val="24"/>
        </w:rPr>
        <w:t>Buffy the</w:t>
      </w:r>
      <w:r w:rsidRPr="1F025B53" w:rsidR="1F025B53">
        <w:rPr>
          <w:rFonts w:ascii="Calibri" w:hAnsi="Calibri" w:eastAsia="Calibri" w:cs="Calibri"/>
          <w:i w:val="0"/>
          <w:iCs w:val="0"/>
          <w:sz w:val="24"/>
          <w:szCs w:val="24"/>
        </w:rPr>
        <w:t xml:space="preserve"> </w:t>
      </w:r>
      <w:r w:rsidRPr="1F025B53" w:rsidR="1F025B53">
        <w:rPr>
          <w:rFonts w:ascii="Calibri" w:hAnsi="Calibri" w:eastAsia="Calibri" w:cs="Calibri"/>
          <w:i w:val="1"/>
          <w:iCs w:val="1"/>
          <w:sz w:val="24"/>
          <w:szCs w:val="24"/>
        </w:rPr>
        <w:t>Vampire Slayer</w:t>
      </w:r>
      <w:r w:rsidRPr="1F025B53" w:rsidR="1F025B53">
        <w:rPr>
          <w:rFonts w:ascii="Calibri" w:hAnsi="Calibri" w:eastAsia="Calibri" w:cs="Calibri"/>
          <w:i w:val="0"/>
          <w:iCs w:val="0"/>
          <w:sz w:val="24"/>
          <w:szCs w:val="24"/>
        </w:rPr>
        <w:t xml:space="preserve"> features Druids of Welsh origin. </w:t>
      </w:r>
      <w:r w:rsidRPr="1F025B53" w:rsidR="1F025B53">
        <w:rPr>
          <w:rFonts w:ascii="Calibri" w:hAnsi="Calibri" w:eastAsia="Calibri" w:cs="Calibri"/>
          <w:i w:val="1"/>
          <w:iCs w:val="1"/>
          <w:sz w:val="24"/>
          <w:szCs w:val="24"/>
        </w:rPr>
        <w:t>Cwn Annwn</w:t>
      </w:r>
      <w:r w:rsidRPr="1F025B53" w:rsidR="1F025B53">
        <w:rPr>
          <w:rFonts w:ascii="Calibri" w:hAnsi="Calibri" w:eastAsia="Calibri" w:cs="Calibri"/>
          <w:i w:val="0"/>
          <w:iCs w:val="0"/>
          <w:sz w:val="24"/>
          <w:szCs w:val="24"/>
        </w:rPr>
        <w:t xml:space="preserve">, the Hounds of the Underworld are let loose in the </w:t>
      </w:r>
      <w:r w:rsidRPr="1F025B53" w:rsidR="1F025B53">
        <w:rPr>
          <w:rFonts w:ascii="Calibri" w:hAnsi="Calibri" w:eastAsia="Calibri" w:cs="Calibri"/>
          <w:i w:val="1"/>
          <w:iCs w:val="1"/>
          <w:sz w:val="24"/>
          <w:szCs w:val="24"/>
        </w:rPr>
        <w:t>Mabinogi</w:t>
      </w:r>
      <w:r w:rsidRPr="1F025B53" w:rsidR="1F025B53">
        <w:rPr>
          <w:rFonts w:ascii="Calibri" w:hAnsi="Calibri" w:eastAsia="Calibri" w:cs="Calibri"/>
          <w:i w:val="0"/>
          <w:iCs w:val="0"/>
          <w:sz w:val="24"/>
          <w:szCs w:val="24"/>
        </w:rPr>
        <w:t xml:space="preserve"> and are still going strong in ‘World of Warcraft’ computer games.</w:t>
      </w:r>
    </w:p>
    <w:p w:rsidR="1F025B53" w:rsidP="1F025B53" w:rsidRDefault="1F025B53" w14:paraId="5BFB0E1C" w14:textId="57474E6E">
      <w:pPr>
        <w:pStyle w:val="Normal"/>
        <w:rPr>
          <w:rFonts w:ascii="Calibri" w:hAnsi="Calibri" w:eastAsia="Calibri" w:cs="Calibri"/>
          <w:i w:val="0"/>
          <w:iCs w:val="0"/>
          <w:sz w:val="24"/>
          <w:szCs w:val="24"/>
        </w:rPr>
      </w:pPr>
      <w:r w:rsidRPr="1F025B53" w:rsidR="1F025B53">
        <w:rPr>
          <w:rFonts w:ascii="Calibri" w:hAnsi="Calibri" w:eastAsia="Calibri" w:cs="Calibri"/>
          <w:i w:val="0"/>
          <w:iCs w:val="0"/>
          <w:sz w:val="24"/>
          <w:szCs w:val="24"/>
        </w:rPr>
        <w:t>The sin-eater of the sixth chapter is an isolated character taking on the sins of the dead to spare the community and better known today outside Wales. John Aubrey’s manuscript published in 1881 was the source of many references. Even appearing in Spider Man comics, Aaron sees the sin-eater in literature and culture as a device used to express the absorption of tensions and shame in society.</w:t>
      </w:r>
    </w:p>
    <w:p w:rsidR="1F025B53" w:rsidP="1F025B53" w:rsidRDefault="1F025B53" w14:paraId="76D42661" w14:textId="62CE1258">
      <w:pPr>
        <w:pStyle w:val="Normal"/>
        <w:rPr>
          <w:rFonts w:ascii="Calibri" w:hAnsi="Calibri" w:eastAsia="Calibri" w:cs="Calibri"/>
          <w:i w:val="0"/>
          <w:iCs w:val="0"/>
          <w:sz w:val="24"/>
          <w:szCs w:val="24"/>
        </w:rPr>
      </w:pPr>
      <w:r w:rsidRPr="1F025B53" w:rsidR="1F025B53">
        <w:rPr>
          <w:rFonts w:ascii="Calibri" w:hAnsi="Calibri" w:eastAsia="Calibri" w:cs="Calibri"/>
          <w:i w:val="0"/>
          <w:iCs w:val="0"/>
          <w:sz w:val="24"/>
          <w:szCs w:val="24"/>
        </w:rPr>
        <w:t xml:space="preserve"> The Epilogue evaluates Welsh Gothic in the twenty first century, observing a healing of past traumas through acknowledgment and understanding post-1997 that is reflected in the literature. Occasionally the ghost of the past lingering in the shadow of industrial and rural atrophy is still detected.</w:t>
      </w:r>
    </w:p>
    <w:p w:rsidR="1F025B53" w:rsidP="1F025B53" w:rsidRDefault="1F025B53" w14:paraId="326A5C4A" w14:textId="156ADF07">
      <w:pPr>
        <w:pStyle w:val="Normal"/>
        <w:rPr>
          <w:rFonts w:ascii="Calibri" w:hAnsi="Calibri" w:eastAsia="Calibri" w:cs="Calibri"/>
          <w:i w:val="0"/>
          <w:iCs w:val="0"/>
          <w:sz w:val="24"/>
          <w:szCs w:val="24"/>
        </w:rPr>
      </w:pPr>
      <w:r w:rsidRPr="1F025B53" w:rsidR="1F025B53">
        <w:rPr>
          <w:rFonts w:ascii="Calibri" w:hAnsi="Calibri" w:eastAsia="Calibri" w:cs="Calibri"/>
          <w:i w:val="1"/>
          <w:iCs w:val="1"/>
          <w:sz w:val="24"/>
          <w:szCs w:val="24"/>
        </w:rPr>
        <w:t xml:space="preserve">Welsh Gothic </w:t>
      </w:r>
      <w:r w:rsidRPr="1F025B53" w:rsidR="1F025B53">
        <w:rPr>
          <w:rFonts w:ascii="Calibri" w:hAnsi="Calibri" w:eastAsia="Calibri" w:cs="Calibri"/>
          <w:i w:val="0"/>
          <w:iCs w:val="0"/>
          <w:sz w:val="24"/>
          <w:szCs w:val="24"/>
        </w:rPr>
        <w:t xml:space="preserve">is an impressive survey presenting an array of evidence from literature and culture backed up by a theoretical discussion of underlying forces. Not all readers will agree with the post- colonial analysis employed, but a good case emerges for its use as a tool in this situation. Jane Aaron evidences the reappearance in Gothic writing of the haunting weight of past oppressions. </w:t>
      </w:r>
    </w:p>
    <w:p w:rsidR="1F025B53" w:rsidP="1F025B53" w:rsidRDefault="1F025B53" w14:paraId="2675FDFA" w14:textId="71A589ED">
      <w:pPr>
        <w:pStyle w:val="Normal"/>
        <w:rPr>
          <w:rFonts w:ascii="Calibri" w:hAnsi="Calibri" w:eastAsia="Calibri" w:cs="Calibri"/>
          <w:i w:val="0"/>
          <w:iCs w:val="0"/>
          <w:sz w:val="24"/>
          <w:szCs w:val="24"/>
        </w:rPr>
      </w:pPr>
      <w:r w:rsidRPr="1F025B53" w:rsidR="1F025B53">
        <w:rPr>
          <w:rFonts w:ascii="Calibri" w:hAnsi="Calibri" w:eastAsia="Calibri" w:cs="Calibri"/>
          <w:i w:val="0"/>
          <w:iCs w:val="0"/>
          <w:sz w:val="24"/>
          <w:szCs w:val="24"/>
        </w:rPr>
        <w:t>The jump from one example of writing to another is at times a dizzying rollercoaster. Although the author writes at greater length about writers such as Arthur Machen, the number of works cited is extensive and some points could be explored in more detail in future work.</w:t>
      </w:r>
    </w:p>
    <w:p w:rsidR="1F025B53" w:rsidP="1F025B53" w:rsidRDefault="1F025B53" w14:paraId="10803BF3" w14:textId="5349BD2B">
      <w:pPr>
        <w:pStyle w:val="Normal"/>
        <w:rPr>
          <w:rFonts w:ascii="Calibri" w:hAnsi="Calibri" w:eastAsia="Calibri" w:cs="Calibri"/>
          <w:i w:val="0"/>
          <w:iCs w:val="0"/>
          <w:sz w:val="24"/>
          <w:szCs w:val="24"/>
        </w:rPr>
      </w:pPr>
      <w:r w:rsidRPr="1F025B53" w:rsidR="1F025B53">
        <w:rPr>
          <w:rFonts w:ascii="Calibri" w:hAnsi="Calibri" w:eastAsia="Calibri" w:cs="Calibri"/>
          <w:i w:val="0"/>
          <w:iCs w:val="0"/>
          <w:sz w:val="24"/>
          <w:szCs w:val="24"/>
        </w:rPr>
        <w:t>The disconnect between the two parts of the book is a risk in terms of its overall unity. The first is a chronological history and the second a study of four themes, which could possibly form a separate volume. However, the use of literary examples throughout to evidence the points raised, integrates the two sections to good effect.</w:t>
      </w:r>
    </w:p>
    <w:p w:rsidR="1F025B53" w:rsidP="1F025B53" w:rsidRDefault="1F025B53" w14:paraId="6C210CA5" w14:textId="69926F60">
      <w:pPr>
        <w:pStyle w:val="Normal"/>
        <w:rPr>
          <w:rFonts w:ascii="Calibri" w:hAnsi="Calibri" w:eastAsia="Calibri" w:cs="Calibri"/>
          <w:i w:val="0"/>
          <w:iCs w:val="0"/>
          <w:sz w:val="24"/>
          <w:szCs w:val="24"/>
        </w:rPr>
      </w:pPr>
      <w:r w:rsidRPr="1F025B53" w:rsidR="1F025B53">
        <w:rPr>
          <w:rFonts w:ascii="Calibri" w:hAnsi="Calibri" w:eastAsia="Calibri" w:cs="Calibri"/>
          <w:i w:val="0"/>
          <w:iCs w:val="0"/>
          <w:sz w:val="24"/>
          <w:szCs w:val="24"/>
        </w:rPr>
        <w:t xml:space="preserve">Not merely a description of haunted castles and ruined chapels, </w:t>
      </w:r>
      <w:r w:rsidRPr="1F025B53" w:rsidR="1F025B53">
        <w:rPr>
          <w:rFonts w:ascii="Calibri" w:hAnsi="Calibri" w:eastAsia="Calibri" w:cs="Calibri"/>
          <w:i w:val="1"/>
          <w:iCs w:val="1"/>
          <w:sz w:val="24"/>
          <w:szCs w:val="24"/>
        </w:rPr>
        <w:t>Welsh Gothic</w:t>
      </w:r>
      <w:r w:rsidRPr="1F025B53" w:rsidR="1F025B53">
        <w:rPr>
          <w:rFonts w:ascii="Calibri" w:hAnsi="Calibri" w:eastAsia="Calibri" w:cs="Calibri"/>
          <w:i w:val="0"/>
          <w:iCs w:val="0"/>
          <w:sz w:val="24"/>
          <w:szCs w:val="24"/>
        </w:rPr>
        <w:t xml:space="preserve"> is a catalogue of relevant literature and culture scrutinised within the wider Welsh context. It is of interest to both the scholar of Welsh studies and to the scholar of Romantic literature. A wider audience seeking all things Gothic may enjoy this book, although the theoretical threads are not aimed at this readership. Overall, the book succeeds in highlighting the existence of the ‘characteristic patterns’ of Welsh Gothic in a worthwhile study.</w:t>
      </w:r>
    </w:p>
    <w:p w:rsidR="1F025B53" w:rsidP="1F025B53" w:rsidRDefault="1F025B53" w14:paraId="63BBAD6B" w14:textId="21D851CD">
      <w:pPr>
        <w:pStyle w:val="Normal"/>
        <w:rPr>
          <w:rFonts w:ascii="Calibri" w:hAnsi="Calibri" w:eastAsia="Calibri" w:cs="Calibri"/>
          <w:i w:val="0"/>
          <w:iCs w:val="0"/>
          <w:sz w:val="24"/>
          <w:szCs w:val="24"/>
        </w:rPr>
      </w:pPr>
      <w:r w:rsidRPr="1F025B53" w:rsidR="1F025B53">
        <w:rPr>
          <w:rFonts w:ascii="Calibri" w:hAnsi="Calibri" w:eastAsia="Calibri" w:cs="Calibri"/>
          <w:i w:val="1"/>
          <w:iCs w:val="1"/>
          <w:sz w:val="24"/>
          <w:szCs w:val="24"/>
        </w:rPr>
        <w:t xml:space="preserve">Derbyshire </w:t>
      </w:r>
      <w:r w:rsidRPr="1F025B53" w:rsidR="1F025B53">
        <w:rPr>
          <w:rFonts w:ascii="Calibri" w:hAnsi="Calibri" w:eastAsia="Calibri" w:cs="Calibri"/>
          <w:i w:val="0"/>
          <w:iCs w:val="0"/>
          <w:sz w:val="24"/>
          <w:szCs w:val="24"/>
        </w:rPr>
        <w:t xml:space="preserve">                                                                                                              ANNE WAGSTAFFE</w:t>
      </w:r>
    </w:p>
    <w:p w:rsidR="1F025B53" w:rsidP="1F025B53" w:rsidRDefault="1F025B53" w14:paraId="34CEC32E" w14:textId="6934EE4D">
      <w:pPr>
        <w:pStyle w:val="Normal"/>
        <w:rPr>
          <w:rFonts w:ascii="Calibri" w:hAnsi="Calibri" w:eastAsia="Calibri" w:cs="Calibri"/>
          <w:i w:val="0"/>
          <w:iCs w:val="0"/>
          <w:sz w:val="24"/>
          <w:szCs w:val="24"/>
        </w:rPr>
      </w:pPr>
    </w:p>
    <w:p w:rsidR="1F025B53" w:rsidP="1F025B53" w:rsidRDefault="1F025B53" w14:paraId="7F641688" w14:textId="565F6E23">
      <w:pPr>
        <w:pStyle w:val="Normal"/>
        <w:rPr>
          <w:rFonts w:ascii="Calibri" w:hAnsi="Calibri" w:eastAsia="Calibri" w:cs="Calibri"/>
          <w:i w:val="0"/>
          <w:iCs w:val="0"/>
          <w:sz w:val="24"/>
          <w:szCs w:val="24"/>
        </w:rPr>
      </w:pPr>
    </w:p>
    <w:p w:rsidR="1F025B53" w:rsidP="1F025B53" w:rsidRDefault="1F025B53" w14:paraId="42A6F2CD" w14:textId="097EC17E">
      <w:pPr>
        <w:pStyle w:val="Normal"/>
        <w:rPr>
          <w:rFonts w:ascii="Calibri" w:hAnsi="Calibri" w:eastAsia="Calibri" w:cs="Calibri"/>
          <w:i w:val="0"/>
          <w:iCs w:val="0"/>
          <w:sz w:val="24"/>
          <w:szCs w:val="24"/>
        </w:rPr>
      </w:pPr>
    </w:p>
    <w:p w:rsidR="1F025B53" w:rsidP="1F025B53" w:rsidRDefault="1F025B53" w14:paraId="6C9FACAA" w14:textId="603DA181">
      <w:pPr>
        <w:pStyle w:val="Normal"/>
        <w:rPr>
          <w:rFonts w:ascii="Calibri" w:hAnsi="Calibri" w:eastAsia="Calibri" w:cs="Calibri"/>
          <w:i w:val="0"/>
          <w:iCs w:val="0"/>
          <w:sz w:val="24"/>
          <w:szCs w:val="24"/>
        </w:rPr>
      </w:pPr>
    </w:p>
    <w:p w:rsidR="1F025B53" w:rsidP="1F025B53" w:rsidRDefault="1F025B53" w14:paraId="053BA337" w14:textId="57CE2B60">
      <w:pPr>
        <w:pStyle w:val="Normal"/>
        <w:rPr>
          <w:rFonts w:ascii="Calibri" w:hAnsi="Calibri" w:eastAsia="Calibri" w:cs="Calibri"/>
          <w:i w:val="0"/>
          <w:iCs w:val="0"/>
          <w:sz w:val="24"/>
          <w:szCs w:val="24"/>
        </w:rPr>
      </w:pPr>
    </w:p>
    <w:p w:rsidR="1F025B53" w:rsidP="1F025B53" w:rsidRDefault="1F025B53" w14:paraId="0C946CFC" w14:textId="316DBA34">
      <w:pPr>
        <w:pStyle w:val="Normal"/>
        <w:rPr>
          <w:rFonts w:ascii="Calibri" w:hAnsi="Calibri" w:eastAsia="Calibri" w:cs="Calibri"/>
          <w:i w:val="0"/>
          <w:iCs w:val="0"/>
          <w:sz w:val="24"/>
          <w:szCs w:val="24"/>
        </w:rPr>
      </w:pPr>
    </w:p>
    <w:p w:rsidR="1F025B53" w:rsidP="1F025B53" w:rsidRDefault="1F025B53" w14:paraId="275501E8" w14:textId="6A0B6755">
      <w:pPr>
        <w:pStyle w:val="Normal"/>
        <w:rPr>
          <w:rFonts w:ascii="Calibri" w:hAnsi="Calibri" w:eastAsia="Calibri" w:cs="Calibri"/>
          <w:i w:val="0"/>
          <w:iCs w:val="0"/>
          <w:sz w:val="24"/>
          <w:szCs w:val="24"/>
        </w:rPr>
      </w:pPr>
    </w:p>
    <w:p w:rsidR="1F025B53" w:rsidP="1F025B53" w:rsidRDefault="1F025B53" w14:paraId="3D5E7CC6" w14:textId="25E304DF">
      <w:pPr>
        <w:pStyle w:val="Normal"/>
        <w:rPr>
          <w:rFonts w:ascii="Calibri" w:hAnsi="Calibri" w:eastAsia="Calibri" w:cs="Calibri"/>
          <w:i w:val="0"/>
          <w:iCs w:val="0"/>
          <w:sz w:val="24"/>
          <w:szCs w:val="24"/>
        </w:rPr>
      </w:pPr>
    </w:p>
    <w:p w:rsidR="1F025B53" w:rsidP="1F025B53" w:rsidRDefault="1F025B53" w14:paraId="1C4C8D89" w14:textId="2C231992">
      <w:pPr>
        <w:pStyle w:val="Normal"/>
        <w:rPr>
          <w:rFonts w:ascii="Calibri" w:hAnsi="Calibri" w:eastAsia="Calibri" w:cs="Calibri"/>
          <w:i w:val="0"/>
          <w:iCs w:val="0"/>
          <w:sz w:val="24"/>
          <w:szCs w:val="24"/>
        </w:rPr>
      </w:pPr>
    </w:p>
    <w:p w:rsidR="1F025B53" w:rsidP="1F025B53" w:rsidRDefault="1F025B53" w14:paraId="03DDA375" w14:textId="2E176498">
      <w:pPr>
        <w:pStyle w:val="Normal"/>
        <w:rPr>
          <w:rFonts w:ascii="Calibri" w:hAnsi="Calibri" w:eastAsia="Calibri" w:cs="Calibri"/>
          <w:i w:val="0"/>
          <w:iCs w:val="0"/>
          <w:sz w:val="24"/>
          <w:szCs w:val="24"/>
        </w:rPr>
      </w:pPr>
    </w:p>
    <w:p w:rsidR="1F025B53" w:rsidP="1F025B53" w:rsidRDefault="1F025B53" w14:paraId="1DEF9DAB" w14:textId="1EDDE07C">
      <w:pPr>
        <w:pStyle w:val="Normal"/>
        <w:rPr>
          <w:rFonts w:ascii="Calibri" w:hAnsi="Calibri" w:eastAsia="Calibri" w:cs="Calibri"/>
          <w:i w:val="0"/>
          <w:iCs w:val="0"/>
          <w:sz w:val="24"/>
          <w:szCs w:val="24"/>
        </w:rPr>
      </w:pPr>
    </w:p>
    <w:p w:rsidR="1F025B53" w:rsidP="1F025B53" w:rsidRDefault="1F025B53" w14:paraId="7E53EE98" w14:textId="29410CC7">
      <w:pPr>
        <w:pStyle w:val="Normal"/>
        <w:rPr>
          <w:rFonts w:ascii="Calibri" w:hAnsi="Calibri" w:eastAsia="Calibri" w:cs="Calibri"/>
          <w:i w:val="0"/>
          <w:iCs w:val="0"/>
          <w:sz w:val="24"/>
          <w:szCs w:val="24"/>
        </w:rPr>
      </w:pPr>
    </w:p>
    <w:p w:rsidR="1F025B53" w:rsidP="1F025B53" w:rsidRDefault="1F025B53" w14:paraId="66715317" w14:textId="162D80C2">
      <w:pPr>
        <w:pStyle w:val="Normal"/>
        <w:rPr>
          <w:rFonts w:ascii="Calibri" w:hAnsi="Calibri" w:eastAsia="Calibri" w:cs="Calibri"/>
          <w:i w:val="0"/>
          <w:iCs w:val="0"/>
          <w:sz w:val="24"/>
          <w:szCs w:val="24"/>
        </w:rPr>
      </w:pPr>
    </w:p>
    <w:p w:rsidR="1F025B53" w:rsidRDefault="1F025B53" w14:paraId="386592B0" w14:textId="522C3270">
      <w:r w:rsidRPr="1F025B53" w:rsidR="1F025B53">
        <w:rPr>
          <w:rFonts w:ascii="Calibri" w:hAnsi="Calibri" w:eastAsia="Calibri" w:cs="Calibri"/>
          <w:noProof w:val="0"/>
          <w:sz w:val="24"/>
          <w:szCs w:val="24"/>
          <w:lang w:val="en-GB"/>
        </w:rPr>
        <w:t xml:space="preserve">Anne Wagstaffe 1903773 </w:t>
      </w:r>
    </w:p>
    <w:p w:rsidR="1F025B53" w:rsidRDefault="1F025B53" w14:paraId="60360C78" w14:textId="11CA56F0">
      <w:r w:rsidRPr="1F025B53" w:rsidR="1F025B53">
        <w:rPr>
          <w:rFonts w:ascii="Calibri" w:hAnsi="Calibri" w:eastAsia="Calibri" w:cs="Calibri"/>
          <w:noProof w:val="0"/>
          <w:sz w:val="24"/>
          <w:szCs w:val="24"/>
          <w:lang w:val="en-GB"/>
        </w:rPr>
        <w:t xml:space="preserve">Assignment 2, Encyclopaedia Entry </w:t>
      </w:r>
    </w:p>
    <w:p w:rsidR="1F025B53" w:rsidRDefault="1F025B53" w14:paraId="61EEA8D8" w14:textId="345CAB7B">
      <w:r w:rsidRPr="1F025B53" w:rsidR="1F025B53">
        <w:rPr>
          <w:rFonts w:ascii="Calibri" w:hAnsi="Calibri" w:eastAsia="Calibri" w:cs="Calibri"/>
          <w:noProof w:val="0"/>
          <w:sz w:val="24"/>
          <w:szCs w:val="24"/>
          <w:lang w:val="en-GB"/>
        </w:rPr>
        <w:t>Word count 1369</w:t>
      </w:r>
    </w:p>
    <w:p w:rsidR="1F025B53" w:rsidRDefault="1F025B53" w14:paraId="59D0E6DF" w14:textId="466543F1">
      <w:r w:rsidRPr="1F025B53" w:rsidR="1F025B53">
        <w:rPr>
          <w:rFonts w:ascii="Calibri" w:hAnsi="Calibri" w:eastAsia="Calibri" w:cs="Calibri"/>
          <w:noProof w:val="0"/>
          <w:sz w:val="24"/>
          <w:szCs w:val="24"/>
          <w:lang w:val="en-GB"/>
        </w:rPr>
        <w:t xml:space="preserve"> </w:t>
      </w:r>
    </w:p>
    <w:p w:rsidR="1F025B53" w:rsidRDefault="1F025B53" w14:paraId="463CA6F9" w14:textId="4F460D05">
      <w:r w:rsidRPr="1F025B53" w:rsidR="1F025B53">
        <w:rPr>
          <w:rFonts w:ascii="Calibri" w:hAnsi="Calibri" w:eastAsia="Calibri" w:cs="Calibri"/>
          <w:noProof w:val="0"/>
          <w:sz w:val="24"/>
          <w:szCs w:val="24"/>
          <w:lang w:val="en-GB"/>
        </w:rPr>
        <w:t xml:space="preserve"> </w:t>
      </w:r>
    </w:p>
    <w:p w:rsidR="1F025B53" w:rsidRDefault="1F025B53" w14:paraId="3605DE59" w14:textId="21E9F67E">
      <w:r w:rsidRPr="1F025B53" w:rsidR="1F025B53">
        <w:rPr>
          <w:rFonts w:ascii="Calibri" w:hAnsi="Calibri" w:eastAsia="Calibri" w:cs="Calibri"/>
          <w:noProof w:val="0"/>
          <w:sz w:val="24"/>
          <w:szCs w:val="24"/>
          <w:lang w:val="en-GB"/>
        </w:rPr>
        <w:t>Oxford Dictionary of National Biography</w:t>
      </w:r>
    </w:p>
    <w:p w:rsidR="1F025B53" w:rsidRDefault="1F025B53" w14:paraId="77CE6489" w14:textId="655FDE91">
      <w:r w:rsidRPr="1F025B53" w:rsidR="1F025B53">
        <w:rPr>
          <w:rFonts w:ascii="Calibri" w:hAnsi="Calibri" w:eastAsia="Calibri" w:cs="Calibri"/>
          <w:noProof w:val="0"/>
          <w:sz w:val="24"/>
          <w:szCs w:val="24"/>
          <w:lang w:val="en-GB"/>
        </w:rPr>
        <w:t xml:space="preserve">                                                     </w:t>
      </w:r>
    </w:p>
    <w:p w:rsidR="1F025B53" w:rsidRDefault="1F025B53" w14:paraId="1935D292" w14:textId="49AC6AC7">
      <w:r w:rsidRPr="1F025B53" w:rsidR="1F025B53">
        <w:rPr>
          <w:rFonts w:ascii="Calibri" w:hAnsi="Calibri" w:eastAsia="Calibri" w:cs="Calibri"/>
          <w:noProof w:val="0"/>
          <w:sz w:val="24"/>
          <w:szCs w:val="24"/>
          <w:lang w:val="en-GB"/>
        </w:rPr>
        <w:t>Gonne [married name MacBride], (Edith) Maud</w:t>
      </w:r>
    </w:p>
    <w:p w:rsidR="1F025B53" w:rsidRDefault="1F025B53" w14:paraId="0AE587B1" w14:textId="093EB18F">
      <w:r w:rsidRPr="1F025B53" w:rsidR="1F025B53">
        <w:rPr>
          <w:rFonts w:ascii="Calibri" w:hAnsi="Calibri" w:eastAsia="Calibri" w:cs="Calibri"/>
          <w:noProof w:val="0"/>
          <w:sz w:val="24"/>
          <w:szCs w:val="24"/>
          <w:lang w:val="en-GB"/>
        </w:rPr>
        <w:t>(1866-1953)</w:t>
      </w:r>
    </w:p>
    <w:p w:rsidR="1F025B53" w:rsidRDefault="1F025B53" w14:paraId="78C9ADD3" w14:textId="269767D7">
      <w:r w:rsidRPr="1F025B53" w:rsidR="1F025B53">
        <w:rPr>
          <w:rFonts w:ascii="Calibri" w:hAnsi="Calibri" w:eastAsia="Calibri" w:cs="Calibri"/>
          <w:noProof w:val="0"/>
          <w:sz w:val="24"/>
          <w:szCs w:val="24"/>
          <w:lang w:val="en-GB"/>
        </w:rPr>
        <w:t>Anne E. Wagstaffe</w:t>
      </w:r>
    </w:p>
    <w:p w:rsidR="1F025B53" w:rsidRDefault="1F025B53" w14:paraId="75B2B8B3" w14:textId="13731C0E">
      <w:r w:rsidRPr="1F025B53" w:rsidR="1F025B53">
        <w:rPr>
          <w:rFonts w:ascii="Calibri" w:hAnsi="Calibri" w:eastAsia="Calibri" w:cs="Calibri"/>
          <w:noProof w:val="0"/>
          <w:sz w:val="24"/>
          <w:szCs w:val="24"/>
          <w:lang w:val="en-GB"/>
        </w:rPr>
        <w:t xml:space="preserve"> </w:t>
      </w:r>
    </w:p>
    <w:p w:rsidR="1F025B53" w:rsidRDefault="1F025B53" w14:paraId="0E6C66E3" w14:textId="035EB3A5">
      <w:r w:rsidRPr="1F025B53" w:rsidR="1F025B53">
        <w:rPr>
          <w:rFonts w:ascii="Calibri" w:hAnsi="Calibri" w:eastAsia="Calibri" w:cs="Calibri"/>
          <w:noProof w:val="0"/>
          <w:sz w:val="24"/>
          <w:szCs w:val="24"/>
          <w:lang w:val="en-GB"/>
        </w:rPr>
        <w:t>Published in print: 24 February 2020    Published online: 24 February 2020</w:t>
      </w:r>
    </w:p>
    <w:p w:rsidR="1F025B53" w:rsidRDefault="1F025B53" w14:paraId="6F7CEF4A" w14:textId="0D66D691">
      <w:r w:rsidRPr="1F025B53" w:rsidR="1F025B53">
        <w:rPr>
          <w:rFonts w:ascii="Calibri" w:hAnsi="Calibri" w:eastAsia="Calibri" w:cs="Calibri"/>
          <w:noProof w:val="0"/>
          <w:sz w:val="24"/>
          <w:szCs w:val="24"/>
          <w:lang w:val="en-GB"/>
        </w:rPr>
        <w:t>This version: 24 February 2020</w:t>
      </w:r>
    </w:p>
    <w:p w:rsidR="1F025B53" w:rsidRDefault="1F025B53" w14:paraId="355AC59A" w14:textId="05AD891D">
      <w:r w:rsidRPr="1F025B53" w:rsidR="1F025B53">
        <w:rPr>
          <w:rFonts w:ascii="Calibri" w:hAnsi="Calibri" w:eastAsia="Calibri" w:cs="Calibri"/>
          <w:b w:val="1"/>
          <w:bCs w:val="1"/>
          <w:noProof w:val="0"/>
          <w:sz w:val="28"/>
          <w:szCs w:val="28"/>
          <w:lang w:val="en-GB"/>
        </w:rPr>
        <w:t xml:space="preserve">Gonne (married name MacBride), Edith Maud </w:t>
      </w:r>
      <w:r w:rsidRPr="1F025B53" w:rsidR="1F025B53">
        <w:rPr>
          <w:rFonts w:ascii="Calibri" w:hAnsi="Calibri" w:eastAsia="Calibri" w:cs="Calibri"/>
          <w:noProof w:val="0"/>
          <w:sz w:val="24"/>
          <w:szCs w:val="24"/>
          <w:lang w:val="en-GB"/>
        </w:rPr>
        <w:t xml:space="preserve">(1866-1953), Irish nationalist, actress and writer, was born on 21 December 1866 at </w:t>
      </w:r>
      <w:proofErr w:type="spellStart"/>
      <w:r w:rsidRPr="1F025B53" w:rsidR="1F025B53">
        <w:rPr>
          <w:rFonts w:ascii="Calibri" w:hAnsi="Calibri" w:eastAsia="Calibri" w:cs="Calibri"/>
          <w:noProof w:val="0"/>
          <w:sz w:val="24"/>
          <w:szCs w:val="24"/>
          <w:lang w:val="en-GB"/>
        </w:rPr>
        <w:t>Tongham</w:t>
      </w:r>
      <w:proofErr w:type="spellEnd"/>
      <w:r w:rsidRPr="1F025B53" w:rsidR="1F025B53">
        <w:rPr>
          <w:rFonts w:ascii="Calibri" w:hAnsi="Calibri" w:eastAsia="Calibri" w:cs="Calibri"/>
          <w:noProof w:val="0"/>
          <w:sz w:val="24"/>
          <w:szCs w:val="24"/>
          <w:lang w:val="en-GB"/>
        </w:rPr>
        <w:t>, Surrey. The eldest child of Thomas Gonne (1835-1886), a Colonel in the British Army, and his wife Edith Frith Cook (1844-1871), she came from a wealthy English family, although she claimed to have Irish ancestry.</w:t>
      </w:r>
    </w:p>
    <w:p w:rsidR="1F025B53" w:rsidRDefault="1F025B53" w14:paraId="6F88857D" w14:textId="3E359647">
      <w:r w:rsidRPr="1F025B53" w:rsidR="1F025B53">
        <w:rPr>
          <w:rFonts w:ascii="Calibri" w:hAnsi="Calibri" w:eastAsia="Calibri" w:cs="Calibri"/>
          <w:noProof w:val="0"/>
          <w:sz w:val="24"/>
          <w:szCs w:val="24"/>
          <w:lang w:val="en-GB"/>
        </w:rPr>
        <w:t xml:space="preserve"> </w:t>
      </w:r>
    </w:p>
    <w:p w:rsidR="1F025B53" w:rsidP="1F025B53" w:rsidRDefault="1F025B53" w14:paraId="13A00999" w14:textId="2BCAE9FB">
      <w:pPr>
        <w:rPr>
          <w:rFonts w:ascii="Calibri" w:hAnsi="Calibri" w:eastAsia="Calibri" w:cs="Calibri"/>
          <w:b w:val="1"/>
          <w:bCs w:val="1"/>
          <w:noProof w:val="0"/>
          <w:sz w:val="28"/>
          <w:szCs w:val="28"/>
          <w:lang w:val="en-GB"/>
        </w:rPr>
      </w:pPr>
      <w:r w:rsidRPr="1F025B53" w:rsidR="1F025B53">
        <w:rPr>
          <w:rFonts w:ascii="Calibri" w:hAnsi="Calibri" w:eastAsia="Calibri" w:cs="Calibri"/>
          <w:b w:val="1"/>
          <w:bCs w:val="1"/>
          <w:noProof w:val="0"/>
          <w:sz w:val="28"/>
          <w:szCs w:val="28"/>
          <w:lang w:val="en-GB"/>
        </w:rPr>
        <w:t>Background and early life</w:t>
      </w:r>
    </w:p>
    <w:p w:rsidR="1F025B53" w:rsidRDefault="1F025B53" w14:paraId="2A6E2335" w14:textId="130A2246">
      <w:r w:rsidRPr="1F025B53" w:rsidR="1F025B53">
        <w:rPr>
          <w:rFonts w:ascii="Calibri" w:hAnsi="Calibri" w:eastAsia="Calibri" w:cs="Calibri"/>
          <w:noProof w:val="0"/>
          <w:sz w:val="24"/>
          <w:szCs w:val="24"/>
          <w:lang w:val="en-GB"/>
        </w:rPr>
        <w:t xml:space="preserve">Gonne’s great grandfather founded the highly successful company Cook, Son &amp; Co, traders of silk, cotton, wool and linen. Her great uncle Francis Cook (1817-1901) was considered one of the wealthiest men in Britain before his death. Also involved in an established family business, her paternal grandfather imported port wine from Portugal, a career rejected by Thomas Gonne when he purchased a commission in the British Army. </w:t>
      </w:r>
    </w:p>
    <w:p w:rsidR="1F025B53" w:rsidRDefault="1F025B53" w14:paraId="0FA1863D" w14:textId="44D92013">
      <w:r w:rsidRPr="1F025B53" w:rsidR="1F025B53">
        <w:rPr>
          <w:rFonts w:ascii="Calibri" w:hAnsi="Calibri" w:eastAsia="Calibri" w:cs="Calibri"/>
          <w:noProof w:val="0"/>
          <w:sz w:val="24"/>
          <w:szCs w:val="24"/>
          <w:lang w:val="en-GB"/>
        </w:rPr>
        <w:t>Known as Maud Gonne, she grew up in England, France and Ireland, where her father was appointed Assistant Adjutant-General of Dublin before his death. She had a sister Kathleen Mary Gonne (1870-1919) and a half sister Eileen Constance Wilson (1886-1972), illegitimate daughter of Thomas Gonne and Margaret Wilson. Gonne did not attend a traditional school and was taught mainly by governesses, although one record from 1881 shows that, with her sister and cousin the only other pupils, she boarded at Rosemont School in Newton Abbot. Her upbringing was not sheltered, however, and Thomas Gonne’s aunt Mary, known as the Countess de la Sizeranne introduced her to the Parisien demi-monde of the Bois de Boulogne as a teenager.</w:t>
      </w:r>
    </w:p>
    <w:p w:rsidR="1F025B53" w:rsidRDefault="1F025B53" w14:paraId="11595468" w14:textId="26D37903">
      <w:r w:rsidRPr="1F025B53" w:rsidR="1F025B53">
        <w:rPr>
          <w:rFonts w:ascii="Calibri" w:hAnsi="Calibri" w:eastAsia="Calibri" w:cs="Calibri"/>
          <w:noProof w:val="0"/>
          <w:sz w:val="24"/>
          <w:szCs w:val="24"/>
          <w:lang w:val="en-GB"/>
        </w:rPr>
        <w:t xml:space="preserve"> </w:t>
      </w:r>
    </w:p>
    <w:p w:rsidR="1F025B53" w:rsidP="1F025B53" w:rsidRDefault="1F025B53" w14:paraId="6686CF86" w14:textId="619788D1">
      <w:pPr>
        <w:rPr>
          <w:rFonts w:ascii="Calibri" w:hAnsi="Calibri" w:eastAsia="Calibri" w:cs="Calibri"/>
          <w:b w:val="1"/>
          <w:bCs w:val="1"/>
          <w:noProof w:val="0"/>
          <w:sz w:val="28"/>
          <w:szCs w:val="28"/>
          <w:lang w:val="en-GB"/>
        </w:rPr>
      </w:pPr>
      <w:r w:rsidRPr="1F025B53" w:rsidR="1F025B53">
        <w:rPr>
          <w:rFonts w:ascii="Calibri" w:hAnsi="Calibri" w:eastAsia="Calibri" w:cs="Calibri"/>
          <w:b w:val="1"/>
          <w:bCs w:val="1"/>
          <w:noProof w:val="0"/>
          <w:sz w:val="28"/>
          <w:szCs w:val="28"/>
          <w:lang w:val="en-GB"/>
        </w:rPr>
        <w:t xml:space="preserve">Her father’s death and aftermath </w:t>
      </w:r>
    </w:p>
    <w:p w:rsidR="1F025B53" w:rsidRDefault="1F025B53" w14:paraId="752C0161" w14:textId="333D8305">
      <w:r w:rsidRPr="1F025B53" w:rsidR="1F025B53">
        <w:rPr>
          <w:rFonts w:ascii="Calibri" w:hAnsi="Calibri" w:eastAsia="Calibri" w:cs="Calibri"/>
          <w:noProof w:val="0"/>
          <w:sz w:val="24"/>
          <w:szCs w:val="24"/>
          <w:lang w:val="en-GB"/>
        </w:rPr>
        <w:t xml:space="preserve">At the age of four, Gonne lost her mother to tuberculosis, her father dying of fever, possibly typhoid, when she was eighteen. On her twenty first birthday she received a considerable inheritance which enabled her to lead an independent life thereafter. She chose to provide financial support to her father’s mistress Margaret Wilson and her half sister Eileen, bringing up Eileen herself after helping Margaret Wilson to obtain the post of English teacher overseas. </w:t>
      </w:r>
    </w:p>
    <w:p w:rsidR="1F025B53" w:rsidRDefault="1F025B53" w14:paraId="180AA515" w14:textId="1F733AE1">
      <w:r w:rsidRPr="1F025B53" w:rsidR="1F025B53">
        <w:rPr>
          <w:rFonts w:ascii="Calibri" w:hAnsi="Calibri" w:eastAsia="Calibri" w:cs="Calibri"/>
          <w:noProof w:val="0"/>
          <w:sz w:val="24"/>
          <w:szCs w:val="24"/>
          <w:lang w:val="en-GB"/>
        </w:rPr>
        <w:t xml:space="preserve">According to Gonne’s autobiography, family nurse Mary Ann Meredith helped her to attend acting lessons in London, under the drama and elocution teacher Herman </w:t>
      </w:r>
      <w:proofErr w:type="spellStart"/>
      <w:r w:rsidRPr="1F025B53" w:rsidR="1F025B53">
        <w:rPr>
          <w:rFonts w:ascii="Calibri" w:hAnsi="Calibri" w:eastAsia="Calibri" w:cs="Calibri"/>
          <w:noProof w:val="0"/>
          <w:sz w:val="24"/>
          <w:szCs w:val="24"/>
          <w:lang w:val="en-GB"/>
        </w:rPr>
        <w:t>Vezin</w:t>
      </w:r>
      <w:proofErr w:type="spellEnd"/>
      <w:r w:rsidRPr="1F025B53" w:rsidR="1F025B53">
        <w:rPr>
          <w:rFonts w:ascii="Calibri" w:hAnsi="Calibri" w:eastAsia="Calibri" w:cs="Calibri"/>
          <w:noProof w:val="0"/>
          <w:sz w:val="24"/>
          <w:szCs w:val="24"/>
          <w:lang w:val="en-GB"/>
        </w:rPr>
        <w:t xml:space="preserve">. A lung condition, possibly a diagnosis of tuberculosis, curtailed her stage career in London and while recuperating in the South of France in 1887, she met the married French politician and journalist Lucien Millevoye (1850-1918). A follower of the right-wing Boulangist movement, he may have influenced Gonne’s fervent anti-English sentiments. Gonne gave birth to his child Georges </w:t>
      </w:r>
      <w:proofErr w:type="spellStart"/>
      <w:r w:rsidRPr="1F025B53" w:rsidR="1F025B53">
        <w:rPr>
          <w:rFonts w:ascii="Calibri" w:hAnsi="Calibri" w:eastAsia="Calibri" w:cs="Calibri"/>
          <w:noProof w:val="0"/>
          <w:sz w:val="24"/>
          <w:szCs w:val="24"/>
          <w:lang w:val="en-GB"/>
        </w:rPr>
        <w:t>Silvère</w:t>
      </w:r>
      <w:proofErr w:type="spellEnd"/>
      <w:r w:rsidRPr="1F025B53" w:rsidR="1F025B53">
        <w:rPr>
          <w:rFonts w:ascii="Calibri" w:hAnsi="Calibri" w:eastAsia="Calibri" w:cs="Calibri"/>
          <w:noProof w:val="0"/>
          <w:sz w:val="24"/>
          <w:szCs w:val="24"/>
          <w:lang w:val="en-GB"/>
        </w:rPr>
        <w:t xml:space="preserve"> on 11 January 1889, describing Georges as her ward or adopted child. After Georges’ death in Paris on 31 August 1891 she had a second child by Millevoye in 1894, Germaine Lucille, known as </w:t>
      </w:r>
      <w:r w:rsidRPr="1F025B53" w:rsidR="1F025B53">
        <w:rPr>
          <w:rFonts w:ascii="Calibri" w:hAnsi="Calibri" w:eastAsia="Calibri" w:cs="Calibri"/>
          <w:noProof w:val="0"/>
          <w:color w:val="2F5496" w:themeColor="accent1" w:themeTint="FF" w:themeShade="BF"/>
          <w:sz w:val="24"/>
          <w:szCs w:val="24"/>
          <w:u w:val="single"/>
          <w:lang w:val="en-GB"/>
        </w:rPr>
        <w:t>Iseult Gonne (1894-1954)</w:t>
      </w:r>
      <w:r w:rsidRPr="1F025B53" w:rsidR="1F025B53">
        <w:rPr>
          <w:rFonts w:ascii="Calibri" w:hAnsi="Calibri" w:eastAsia="Calibri" w:cs="Calibri"/>
          <w:noProof w:val="0"/>
          <w:sz w:val="24"/>
          <w:szCs w:val="24"/>
          <w:lang w:val="en-GB"/>
        </w:rPr>
        <w:t xml:space="preserve">. Iseult was reportedly conceived in the mausoleum of Georges in the expectation of his reincarnation. Like Georges, Iseult was never openly acknowledged by her mother and the poet </w:t>
      </w:r>
      <w:r w:rsidRPr="1F025B53" w:rsidR="1F025B53">
        <w:rPr>
          <w:rFonts w:ascii="Calibri" w:hAnsi="Calibri" w:eastAsia="Calibri" w:cs="Calibri"/>
          <w:noProof w:val="0"/>
          <w:color w:val="2F5496" w:themeColor="accent1" w:themeTint="FF" w:themeShade="BF"/>
          <w:sz w:val="24"/>
          <w:szCs w:val="24"/>
          <w:u w:val="single"/>
          <w:lang w:val="en-GB"/>
        </w:rPr>
        <w:t>William Butler Yeats (1865-1939)</w:t>
      </w:r>
      <w:r w:rsidRPr="1F025B53" w:rsidR="1F025B53">
        <w:rPr>
          <w:rFonts w:ascii="Calibri" w:hAnsi="Calibri" w:eastAsia="Calibri" w:cs="Calibri"/>
          <w:noProof w:val="0"/>
          <w:color w:val="8EAADB" w:themeColor="accent1" w:themeTint="99" w:themeShade="FF"/>
          <w:sz w:val="24"/>
          <w:szCs w:val="24"/>
          <w:lang w:val="en-GB"/>
        </w:rPr>
        <w:t xml:space="preserve"> </w:t>
      </w:r>
      <w:r w:rsidRPr="1F025B53" w:rsidR="1F025B53">
        <w:rPr>
          <w:rFonts w:ascii="Calibri" w:hAnsi="Calibri" w:eastAsia="Calibri" w:cs="Calibri"/>
          <w:noProof w:val="0"/>
          <w:sz w:val="24"/>
          <w:szCs w:val="24"/>
          <w:lang w:val="en-GB"/>
        </w:rPr>
        <w:t>was unaware of the situation for some time after his first meeting with Gonne in Bedford Park, London on 30 January 1889, although he later wrote the poem On a Child’s Death inspired by Gonne’s experience.</w:t>
      </w:r>
    </w:p>
    <w:p w:rsidR="1F025B53" w:rsidRDefault="1F025B53" w14:paraId="166EFD51" w14:textId="5B869D28">
      <w:r w:rsidRPr="1F025B53" w:rsidR="1F025B53">
        <w:rPr>
          <w:rFonts w:ascii="Calibri" w:hAnsi="Calibri" w:eastAsia="Calibri" w:cs="Calibri"/>
          <w:noProof w:val="0"/>
          <w:sz w:val="24"/>
          <w:szCs w:val="24"/>
          <w:lang w:val="en-GB"/>
        </w:rPr>
        <w:t xml:space="preserve"> </w:t>
      </w:r>
    </w:p>
    <w:p w:rsidR="1F025B53" w:rsidRDefault="1F025B53" w14:paraId="6A2FF2BB" w14:textId="4A618C7C">
      <w:r w:rsidRPr="1F025B53" w:rsidR="1F025B53">
        <w:rPr>
          <w:rFonts w:ascii="Calibri" w:hAnsi="Calibri" w:eastAsia="Calibri" w:cs="Calibri"/>
          <w:b w:val="1"/>
          <w:bCs w:val="1"/>
          <w:noProof w:val="0"/>
          <w:sz w:val="28"/>
          <w:szCs w:val="28"/>
          <w:lang w:val="en-GB"/>
        </w:rPr>
        <w:t>Political Involvemen</w:t>
      </w:r>
      <w:r w:rsidRPr="1F025B53" w:rsidR="1F025B53">
        <w:rPr>
          <w:rFonts w:ascii="Calibri" w:hAnsi="Calibri" w:eastAsia="Calibri" w:cs="Calibri"/>
          <w:b w:val="1"/>
          <w:bCs w:val="1"/>
          <w:noProof w:val="0"/>
          <w:sz w:val="24"/>
          <w:szCs w:val="24"/>
          <w:lang w:val="en-GB"/>
        </w:rPr>
        <w:t xml:space="preserve">t </w:t>
      </w:r>
    </w:p>
    <w:p w:rsidR="1F025B53" w:rsidRDefault="1F025B53" w14:paraId="25AC5DE3" w14:textId="29D6F289">
      <w:r w:rsidRPr="1F025B53" w:rsidR="1F025B53">
        <w:rPr>
          <w:rFonts w:ascii="Calibri" w:hAnsi="Calibri" w:eastAsia="Calibri" w:cs="Calibri"/>
          <w:noProof w:val="0"/>
          <w:sz w:val="24"/>
          <w:szCs w:val="24"/>
          <w:lang w:val="en-GB"/>
        </w:rPr>
        <w:t xml:space="preserve">Known as the ‘Irish Joan of Arc’, Maud Gonne was committed to the nationalist cause. Having witnessed the harsh treatment of evicted tenants in Donegal, she campaigned on their behalf during long standing rent protests. In 1887 she led a counter demonstration in Dublin against Queen Victoria’s Diamond Jubilee. From 1888 to early 1889 she began to work for the acceptance of women in the male dominated republican movement, receiving support from John O’Leary and Douglas Hyde, but opposition from Michael Davitt, founder of the Land League. To assist the commemoration of the centenary of the French expedition to Ireland of 1898, she raised money by lecturing in France and America. </w:t>
      </w:r>
    </w:p>
    <w:p w:rsidR="1F025B53" w:rsidRDefault="1F025B53" w14:paraId="660F9F17" w14:textId="603D96B5">
      <w:r w:rsidRPr="1F025B53" w:rsidR="1F025B53">
        <w:rPr>
          <w:rFonts w:ascii="Calibri" w:hAnsi="Calibri" w:eastAsia="Calibri" w:cs="Calibri"/>
          <w:noProof w:val="0"/>
          <w:sz w:val="24"/>
          <w:szCs w:val="24"/>
          <w:lang w:val="en-GB"/>
        </w:rPr>
        <w:t>In 1900, Gonne headed a protest to Queen Victoria’s visit to Ireland by providing a Patriotic Children’s Treat in Phoenix Park, Dublin. From this event sprang the formation of the organisation Inghinidhe na hÉireann (daughters of Ireland), its aims to further the involvement of women in the fight for Irish independence and to promote Irish language and culture. Gonne was president of the group, which merged with the newly formed republican Cumann na mBan in 1914. She was monitored closely as a result of her political activities, unable to return to Ireland during the 1916 Dublin uprising as the British authorities refused her a passport and she was arrested and imprisoned several times in her life. She wrote many articles and campaigned for the release of Republican prisoners.</w:t>
      </w:r>
    </w:p>
    <w:p w:rsidR="1F025B53" w:rsidRDefault="1F025B53" w14:paraId="6054C746" w14:textId="5CC35C5E">
      <w:r w:rsidRPr="1F025B53" w:rsidR="1F025B53">
        <w:rPr>
          <w:rFonts w:ascii="Calibri" w:hAnsi="Calibri" w:eastAsia="Calibri" w:cs="Calibri"/>
          <w:noProof w:val="0"/>
          <w:sz w:val="24"/>
          <w:szCs w:val="24"/>
          <w:lang w:val="en-GB"/>
        </w:rPr>
        <w:t xml:space="preserve"> </w:t>
      </w:r>
    </w:p>
    <w:p w:rsidR="1F025B53" w:rsidRDefault="1F025B53" w14:paraId="163FB7A5" w14:textId="08171DF4">
      <w:r w:rsidRPr="1F025B53" w:rsidR="1F025B53">
        <w:rPr>
          <w:rFonts w:ascii="Calibri" w:hAnsi="Calibri" w:eastAsia="Calibri" w:cs="Calibri"/>
          <w:noProof w:val="0"/>
          <w:sz w:val="24"/>
          <w:szCs w:val="24"/>
          <w:lang w:val="en-GB"/>
        </w:rPr>
        <w:t xml:space="preserve"> </w:t>
      </w:r>
    </w:p>
    <w:p w:rsidR="1F025B53" w:rsidP="1F025B53" w:rsidRDefault="1F025B53" w14:paraId="41000EDD" w14:textId="7C0095A8">
      <w:pPr>
        <w:rPr>
          <w:rFonts w:ascii="Calibri" w:hAnsi="Calibri" w:eastAsia="Calibri" w:cs="Calibri"/>
          <w:b w:val="1"/>
          <w:bCs w:val="1"/>
          <w:noProof w:val="0"/>
          <w:sz w:val="28"/>
          <w:szCs w:val="28"/>
          <w:lang w:val="en-GB"/>
        </w:rPr>
      </w:pPr>
      <w:r w:rsidRPr="1F025B53" w:rsidR="1F025B53">
        <w:rPr>
          <w:rFonts w:ascii="Calibri" w:hAnsi="Calibri" w:eastAsia="Calibri" w:cs="Calibri"/>
          <w:b w:val="1"/>
          <w:bCs w:val="1"/>
          <w:noProof w:val="0"/>
          <w:sz w:val="28"/>
          <w:szCs w:val="28"/>
          <w:lang w:val="en-GB"/>
        </w:rPr>
        <w:t>Relationship with Yeats and Irish theatre</w:t>
      </w:r>
    </w:p>
    <w:p w:rsidR="1F025B53" w:rsidRDefault="1F025B53" w14:paraId="5A2AB14E" w14:textId="23E3213D">
      <w:r w:rsidRPr="1F025B53" w:rsidR="1F025B53">
        <w:rPr>
          <w:rFonts w:ascii="Calibri" w:hAnsi="Calibri" w:eastAsia="Calibri" w:cs="Calibri"/>
          <w:noProof w:val="0"/>
          <w:sz w:val="24"/>
          <w:szCs w:val="24"/>
          <w:lang w:val="en-GB"/>
        </w:rPr>
        <w:t xml:space="preserve">For many years his unattainable muse, the romantic connection between W.B. Yeats and Maud Gonne was more spiritual than physical. Letters between them, however, suggest that the relationship was consummated in December 1908. She inspired much of his work, including the poem </w:t>
      </w:r>
      <w:r w:rsidRPr="1F025B53" w:rsidR="1F025B53">
        <w:rPr>
          <w:rFonts w:ascii="Calibri" w:hAnsi="Calibri" w:eastAsia="Calibri" w:cs="Calibri"/>
          <w:i w:val="1"/>
          <w:iCs w:val="1"/>
          <w:noProof w:val="0"/>
          <w:sz w:val="24"/>
          <w:szCs w:val="24"/>
          <w:lang w:val="en-GB"/>
        </w:rPr>
        <w:t xml:space="preserve">‘Adam’s Curse’ </w:t>
      </w:r>
      <w:r w:rsidRPr="1F025B53" w:rsidR="1F025B53">
        <w:rPr>
          <w:rFonts w:ascii="Calibri" w:hAnsi="Calibri" w:eastAsia="Calibri" w:cs="Calibri"/>
          <w:noProof w:val="0"/>
          <w:sz w:val="24"/>
          <w:szCs w:val="24"/>
          <w:lang w:val="en-GB"/>
        </w:rPr>
        <w:t>and the well-known line ‘Tread softly because you tread on my dreams.’ from ‘</w:t>
      </w:r>
      <w:r w:rsidRPr="1F025B53" w:rsidR="1F025B53">
        <w:rPr>
          <w:rFonts w:ascii="Calibri" w:hAnsi="Calibri" w:eastAsia="Calibri" w:cs="Calibri"/>
          <w:i w:val="1"/>
          <w:iCs w:val="1"/>
          <w:noProof w:val="0"/>
          <w:sz w:val="24"/>
          <w:szCs w:val="24"/>
          <w:lang w:val="en-GB"/>
        </w:rPr>
        <w:t>Aedh Wishes for the Cloths of Heaven’</w:t>
      </w:r>
      <w:r w:rsidRPr="1F025B53" w:rsidR="1F025B53">
        <w:rPr>
          <w:rFonts w:ascii="Calibri" w:hAnsi="Calibri" w:eastAsia="Calibri" w:cs="Calibri"/>
          <w:noProof w:val="0"/>
          <w:sz w:val="24"/>
          <w:szCs w:val="24"/>
          <w:lang w:val="en-GB"/>
        </w:rPr>
        <w:t xml:space="preserve">. He wrote </w:t>
      </w:r>
      <w:r w:rsidRPr="1F025B53" w:rsidR="1F025B53">
        <w:rPr>
          <w:rFonts w:ascii="Calibri" w:hAnsi="Calibri" w:eastAsia="Calibri" w:cs="Calibri"/>
          <w:i w:val="1"/>
          <w:iCs w:val="1"/>
          <w:noProof w:val="0"/>
          <w:sz w:val="24"/>
          <w:szCs w:val="24"/>
          <w:lang w:val="en-GB"/>
        </w:rPr>
        <w:t>The Countess Cathleen</w:t>
      </w:r>
      <w:r w:rsidRPr="1F025B53" w:rsidR="1F025B53">
        <w:rPr>
          <w:rFonts w:ascii="Calibri" w:hAnsi="Calibri" w:eastAsia="Calibri" w:cs="Calibri"/>
          <w:noProof w:val="0"/>
          <w:sz w:val="24"/>
          <w:szCs w:val="24"/>
          <w:lang w:val="en-GB"/>
        </w:rPr>
        <w:t xml:space="preserve"> (1899) with her in mind, although she turned down the title role. However, she played the lead role in </w:t>
      </w:r>
      <w:r w:rsidRPr="1F025B53" w:rsidR="1F025B53">
        <w:rPr>
          <w:rFonts w:ascii="Calibri" w:hAnsi="Calibri" w:eastAsia="Calibri" w:cs="Calibri"/>
          <w:i w:val="1"/>
          <w:iCs w:val="1"/>
          <w:noProof w:val="0"/>
          <w:sz w:val="24"/>
          <w:szCs w:val="24"/>
          <w:lang w:val="en-GB"/>
        </w:rPr>
        <w:t xml:space="preserve">Cathleen </w:t>
      </w:r>
      <w:proofErr w:type="spellStart"/>
      <w:r w:rsidRPr="1F025B53" w:rsidR="1F025B53">
        <w:rPr>
          <w:rFonts w:ascii="Calibri" w:hAnsi="Calibri" w:eastAsia="Calibri" w:cs="Calibri"/>
          <w:i w:val="1"/>
          <w:iCs w:val="1"/>
          <w:noProof w:val="0"/>
          <w:sz w:val="24"/>
          <w:szCs w:val="24"/>
          <w:lang w:val="en-GB"/>
        </w:rPr>
        <w:t>ni</w:t>
      </w:r>
      <w:proofErr w:type="spellEnd"/>
      <w:r w:rsidRPr="1F025B53" w:rsidR="1F025B53">
        <w:rPr>
          <w:rFonts w:ascii="Calibri" w:hAnsi="Calibri" w:eastAsia="Calibri" w:cs="Calibri"/>
          <w:i w:val="1"/>
          <w:iCs w:val="1"/>
          <w:noProof w:val="0"/>
          <w:sz w:val="24"/>
          <w:szCs w:val="24"/>
          <w:lang w:val="en-GB"/>
        </w:rPr>
        <w:t xml:space="preserve"> Hoolihan </w:t>
      </w:r>
      <w:r w:rsidRPr="1F025B53" w:rsidR="1F025B53">
        <w:rPr>
          <w:rFonts w:ascii="Calibri" w:hAnsi="Calibri" w:eastAsia="Calibri" w:cs="Calibri"/>
          <w:noProof w:val="0"/>
          <w:sz w:val="24"/>
          <w:szCs w:val="24"/>
          <w:lang w:val="en-GB"/>
        </w:rPr>
        <w:t xml:space="preserve">written by Yeats and </w:t>
      </w:r>
      <w:r w:rsidRPr="1F025B53" w:rsidR="1F025B53">
        <w:rPr>
          <w:rFonts w:ascii="Calibri" w:hAnsi="Calibri" w:eastAsia="Calibri" w:cs="Calibri"/>
          <w:noProof w:val="0"/>
          <w:color w:val="2F5496" w:themeColor="accent1" w:themeTint="FF" w:themeShade="BF"/>
          <w:sz w:val="24"/>
          <w:szCs w:val="24"/>
          <w:u w:val="single"/>
          <w:lang w:val="en-GB"/>
        </w:rPr>
        <w:t>Augusta Gregory (1852-1932)</w:t>
      </w:r>
      <w:r w:rsidRPr="1F025B53" w:rsidR="1F025B53">
        <w:rPr>
          <w:rFonts w:ascii="Calibri" w:hAnsi="Calibri" w:eastAsia="Calibri" w:cs="Calibri"/>
          <w:noProof w:val="0"/>
          <w:sz w:val="24"/>
          <w:szCs w:val="24"/>
          <w:lang w:val="en-GB"/>
        </w:rPr>
        <w:t>, her tall striking figure and charismatic presence embodying the spirit of Ireland. The play was first performed on 2 April 1902, in St Teresa’s Hall, Dublin, part of the movement to create an Irish national theatre. In an introduction to a published version of the play, Yeats described Gonne as ‘The most beautiful woman of her time, when she played my Cathleen… and never should the part be played but with a like sincerity.’ It was one of the first performances at the Abbey Theatre, Dublin which opened on 27 December 1904. Published in the United Irishman the same year, Gonne’s play Dawn addressed similar themes.</w:t>
      </w:r>
    </w:p>
    <w:p w:rsidR="1F025B53" w:rsidRDefault="1F025B53" w14:paraId="3BB91FA4" w14:textId="55FA6639">
      <w:r w:rsidRPr="1F025B53" w:rsidR="1F025B53">
        <w:rPr>
          <w:rFonts w:ascii="Calibri" w:hAnsi="Calibri" w:eastAsia="Calibri" w:cs="Calibri"/>
          <w:noProof w:val="0"/>
          <w:sz w:val="24"/>
          <w:szCs w:val="24"/>
          <w:lang w:val="en-GB"/>
        </w:rPr>
        <w:t xml:space="preserve"> </w:t>
      </w:r>
    </w:p>
    <w:p w:rsidR="1F025B53" w:rsidP="1F025B53" w:rsidRDefault="1F025B53" w14:paraId="70013CCB" w14:textId="55BADC15">
      <w:pPr>
        <w:rPr>
          <w:rFonts w:ascii="Calibri" w:hAnsi="Calibri" w:eastAsia="Calibri" w:cs="Calibri"/>
          <w:b w:val="1"/>
          <w:bCs w:val="1"/>
          <w:noProof w:val="0"/>
          <w:sz w:val="28"/>
          <w:szCs w:val="28"/>
          <w:lang w:val="en-GB"/>
        </w:rPr>
      </w:pPr>
      <w:r w:rsidRPr="1F025B53" w:rsidR="1F025B53">
        <w:rPr>
          <w:rFonts w:ascii="Calibri" w:hAnsi="Calibri" w:eastAsia="Calibri" w:cs="Calibri"/>
          <w:b w:val="1"/>
          <w:bCs w:val="1"/>
          <w:noProof w:val="0"/>
          <w:sz w:val="28"/>
          <w:szCs w:val="28"/>
          <w:lang w:val="en-GB"/>
        </w:rPr>
        <w:t>The Occult</w:t>
      </w:r>
    </w:p>
    <w:p w:rsidR="1F025B53" w:rsidRDefault="1F025B53" w14:paraId="5089927E" w14:textId="76875A1D">
      <w:r w:rsidRPr="1F025B53" w:rsidR="1F025B53">
        <w:rPr>
          <w:rFonts w:ascii="Calibri" w:hAnsi="Calibri" w:eastAsia="Calibri" w:cs="Calibri"/>
          <w:noProof w:val="0"/>
          <w:sz w:val="24"/>
          <w:szCs w:val="24"/>
          <w:lang w:val="en-GB"/>
        </w:rPr>
        <w:t xml:space="preserve">A shared interest in spirituality, the occult and the power of dreams united Gonne and Yeats and in 1891 Gonne joined Yeats in the Order of the Golden Dawn, her acronym P.I.A.L. representing the words </w:t>
      </w:r>
      <w:r w:rsidRPr="1F025B53" w:rsidR="1F025B53">
        <w:rPr>
          <w:rFonts w:ascii="Calibri" w:hAnsi="Calibri" w:eastAsia="Calibri" w:cs="Calibri"/>
          <w:i w:val="1"/>
          <w:iCs w:val="1"/>
          <w:noProof w:val="0"/>
          <w:sz w:val="24"/>
          <w:szCs w:val="24"/>
          <w:lang w:val="en-GB"/>
        </w:rPr>
        <w:t xml:space="preserve">Per Ignem </w:t>
      </w:r>
      <w:proofErr w:type="gramStart"/>
      <w:r w:rsidRPr="1F025B53" w:rsidR="1F025B53">
        <w:rPr>
          <w:rFonts w:ascii="Calibri" w:hAnsi="Calibri" w:eastAsia="Calibri" w:cs="Calibri"/>
          <w:i w:val="1"/>
          <w:iCs w:val="1"/>
          <w:noProof w:val="0"/>
          <w:sz w:val="24"/>
          <w:szCs w:val="24"/>
          <w:lang w:val="en-GB"/>
        </w:rPr>
        <w:t>ad</w:t>
      </w:r>
      <w:proofErr w:type="gramEnd"/>
      <w:r w:rsidRPr="1F025B53" w:rsidR="1F025B53">
        <w:rPr>
          <w:rFonts w:ascii="Calibri" w:hAnsi="Calibri" w:eastAsia="Calibri" w:cs="Calibri"/>
          <w:i w:val="1"/>
          <w:iCs w:val="1"/>
          <w:noProof w:val="0"/>
          <w:sz w:val="24"/>
          <w:szCs w:val="24"/>
          <w:lang w:val="en-GB"/>
        </w:rPr>
        <w:t xml:space="preserve"> Lucem</w:t>
      </w:r>
      <w:r w:rsidRPr="1F025B53" w:rsidR="1F025B53">
        <w:rPr>
          <w:rFonts w:ascii="Calibri" w:hAnsi="Calibri" w:eastAsia="Calibri" w:cs="Calibri"/>
          <w:noProof w:val="0"/>
          <w:sz w:val="24"/>
          <w:szCs w:val="24"/>
          <w:lang w:val="en-GB"/>
        </w:rPr>
        <w:t xml:space="preserve">. Despite leaving the order in 1894, she continued to share dreams and spiritual experiences with Yeats. In 1908 she gave him a notebook inscribed with the letters P.I.A.L. in which he recorded dreams, visions and astrological events in the context of their relationship. </w:t>
      </w:r>
    </w:p>
    <w:p w:rsidR="1F025B53" w:rsidRDefault="1F025B53" w14:paraId="33F602FA" w14:textId="1FB8013E">
      <w:r w:rsidRPr="1F025B53" w:rsidR="1F025B53">
        <w:rPr>
          <w:rFonts w:ascii="Calibri" w:hAnsi="Calibri" w:eastAsia="Calibri" w:cs="Calibri"/>
          <w:noProof w:val="0"/>
          <w:sz w:val="24"/>
          <w:szCs w:val="24"/>
          <w:lang w:val="en-GB"/>
        </w:rPr>
        <w:t xml:space="preserve"> </w:t>
      </w:r>
    </w:p>
    <w:p w:rsidR="1F025B53" w:rsidP="1F025B53" w:rsidRDefault="1F025B53" w14:paraId="5501A6B8" w14:textId="0E4B5880">
      <w:pPr>
        <w:rPr>
          <w:rFonts w:ascii="Calibri" w:hAnsi="Calibri" w:eastAsia="Calibri" w:cs="Calibri"/>
          <w:b w:val="1"/>
          <w:bCs w:val="1"/>
          <w:noProof w:val="0"/>
          <w:sz w:val="28"/>
          <w:szCs w:val="28"/>
          <w:lang w:val="en-GB"/>
        </w:rPr>
      </w:pPr>
      <w:r w:rsidRPr="1F025B53" w:rsidR="1F025B53">
        <w:rPr>
          <w:rFonts w:ascii="Calibri" w:hAnsi="Calibri" w:eastAsia="Calibri" w:cs="Calibri"/>
          <w:b w:val="1"/>
          <w:bCs w:val="1"/>
          <w:noProof w:val="0"/>
          <w:sz w:val="28"/>
          <w:szCs w:val="28"/>
          <w:lang w:val="en-GB"/>
        </w:rPr>
        <w:t xml:space="preserve">Marriage </w:t>
      </w:r>
    </w:p>
    <w:p w:rsidR="1F025B53" w:rsidRDefault="1F025B53" w14:paraId="04386E45" w14:textId="3DBC19B6">
      <w:r w:rsidRPr="1F025B53" w:rsidR="1F025B53">
        <w:rPr>
          <w:rFonts w:ascii="Calibri" w:hAnsi="Calibri" w:eastAsia="Calibri" w:cs="Calibri"/>
          <w:noProof w:val="0"/>
          <w:sz w:val="24"/>
          <w:szCs w:val="24"/>
          <w:lang w:val="en-GB"/>
        </w:rPr>
        <w:t xml:space="preserve">After converting to Catholicism, Gonne married Irish patriot </w:t>
      </w:r>
      <w:r w:rsidRPr="1F025B53" w:rsidR="1F025B53">
        <w:rPr>
          <w:rFonts w:ascii="Calibri" w:hAnsi="Calibri" w:eastAsia="Calibri" w:cs="Calibri"/>
          <w:noProof w:val="0"/>
          <w:color w:val="2F5496" w:themeColor="accent1" w:themeTint="FF" w:themeShade="BF"/>
          <w:sz w:val="24"/>
          <w:szCs w:val="24"/>
          <w:u w:val="single"/>
          <w:lang w:val="en-GB"/>
        </w:rPr>
        <w:t>John MacBride (1868-1916)</w:t>
      </w:r>
      <w:r w:rsidRPr="1F025B53" w:rsidR="1F025B53">
        <w:rPr>
          <w:rFonts w:ascii="Calibri" w:hAnsi="Calibri" w:eastAsia="Calibri" w:cs="Calibri"/>
          <w:noProof w:val="0"/>
          <w:color w:val="2F5496" w:themeColor="accent1" w:themeTint="FF" w:themeShade="BF"/>
          <w:sz w:val="24"/>
          <w:szCs w:val="24"/>
          <w:lang w:val="en-GB"/>
        </w:rPr>
        <w:t xml:space="preserve"> </w:t>
      </w:r>
      <w:r w:rsidRPr="1F025B53" w:rsidR="1F025B53">
        <w:rPr>
          <w:rFonts w:ascii="Calibri" w:hAnsi="Calibri" w:eastAsia="Calibri" w:cs="Calibri"/>
          <w:noProof w:val="0"/>
          <w:sz w:val="24"/>
          <w:szCs w:val="24"/>
          <w:lang w:val="en-GB"/>
        </w:rPr>
        <w:t xml:space="preserve">in Paris on 21 February 1903, an event which Yeats found deeply disappointing. Their son </w:t>
      </w:r>
      <w:proofErr w:type="spellStart"/>
      <w:r w:rsidRPr="1F025B53" w:rsidR="1F025B53">
        <w:rPr>
          <w:rFonts w:ascii="Calibri" w:hAnsi="Calibri" w:eastAsia="Calibri" w:cs="Calibri"/>
          <w:noProof w:val="0"/>
          <w:color w:val="2F5496" w:themeColor="accent1" w:themeTint="FF" w:themeShade="BF"/>
          <w:sz w:val="24"/>
          <w:szCs w:val="24"/>
          <w:u w:val="single"/>
          <w:lang w:val="en-GB"/>
        </w:rPr>
        <w:t>Seán</w:t>
      </w:r>
      <w:proofErr w:type="spellEnd"/>
      <w:r w:rsidRPr="1F025B53" w:rsidR="1F025B53">
        <w:rPr>
          <w:rFonts w:ascii="Calibri" w:hAnsi="Calibri" w:eastAsia="Calibri" w:cs="Calibri"/>
          <w:noProof w:val="0"/>
          <w:sz w:val="24"/>
          <w:szCs w:val="24"/>
          <w:lang w:val="en-GB"/>
        </w:rPr>
        <w:t xml:space="preserve"> </w:t>
      </w:r>
      <w:r w:rsidRPr="1F025B53" w:rsidR="1F025B53">
        <w:rPr>
          <w:rFonts w:ascii="Calibri" w:hAnsi="Calibri" w:eastAsia="Calibri" w:cs="Calibri"/>
          <w:noProof w:val="0"/>
          <w:color w:val="2F5496" w:themeColor="accent1" w:themeTint="FF" w:themeShade="BF"/>
          <w:sz w:val="24"/>
          <w:szCs w:val="24"/>
          <w:u w:val="single"/>
          <w:lang w:val="en-GB"/>
        </w:rPr>
        <w:t>MacBride (1904-1988)</w:t>
      </w:r>
      <w:r w:rsidRPr="1F025B53" w:rsidR="1F025B53">
        <w:rPr>
          <w:rFonts w:ascii="Calibri" w:hAnsi="Calibri" w:eastAsia="Calibri" w:cs="Calibri"/>
          <w:noProof w:val="0"/>
          <w:sz w:val="24"/>
          <w:szCs w:val="24"/>
          <w:lang w:val="en-GB"/>
        </w:rPr>
        <w:t xml:space="preserve"> was born in 1904 in France. The marriage was not successful, and allegations emerged of MacBride’s heavy drinking, violence and abusive behaviour. Two years later, the couple separated and Gonne experienced public disapproval as a result. John MacBride was executed in 1916 by the British for his role in the Dublin Easter Rising. Irish politician, </w:t>
      </w:r>
      <w:proofErr w:type="spellStart"/>
      <w:r w:rsidRPr="1F025B53" w:rsidR="1F025B53">
        <w:rPr>
          <w:rFonts w:ascii="Calibri" w:hAnsi="Calibri" w:eastAsia="Calibri" w:cs="Calibri"/>
          <w:noProof w:val="0"/>
          <w:sz w:val="24"/>
          <w:szCs w:val="24"/>
          <w:lang w:val="en-GB"/>
        </w:rPr>
        <w:t>Seán</w:t>
      </w:r>
      <w:proofErr w:type="spellEnd"/>
      <w:r w:rsidRPr="1F025B53" w:rsidR="1F025B53">
        <w:rPr>
          <w:rFonts w:ascii="Calibri" w:hAnsi="Calibri" w:eastAsia="Calibri" w:cs="Calibri"/>
          <w:noProof w:val="0"/>
          <w:sz w:val="24"/>
          <w:szCs w:val="24"/>
          <w:lang w:val="en-GB"/>
        </w:rPr>
        <w:t xml:space="preserve"> MacBride, received the Nobel peace prize in 1974, predominantly for his work with the United Nations and Amnesty International.</w:t>
      </w:r>
    </w:p>
    <w:p w:rsidR="1F025B53" w:rsidRDefault="1F025B53" w14:paraId="2F1247C0" w14:textId="4DFF9F68">
      <w:r w:rsidRPr="1F025B53" w:rsidR="1F025B53">
        <w:rPr>
          <w:rFonts w:ascii="Calibri" w:hAnsi="Calibri" w:eastAsia="Calibri" w:cs="Calibri"/>
          <w:noProof w:val="0"/>
          <w:sz w:val="24"/>
          <w:szCs w:val="24"/>
          <w:lang w:val="en-GB"/>
        </w:rPr>
        <w:t xml:space="preserve"> </w:t>
      </w:r>
    </w:p>
    <w:p w:rsidR="1F025B53" w:rsidP="1F025B53" w:rsidRDefault="1F025B53" w14:paraId="4ADE2F86" w14:textId="65FCE336">
      <w:pPr>
        <w:rPr>
          <w:rFonts w:ascii="Calibri" w:hAnsi="Calibri" w:eastAsia="Calibri" w:cs="Calibri"/>
          <w:b w:val="1"/>
          <w:bCs w:val="1"/>
          <w:noProof w:val="0"/>
          <w:sz w:val="28"/>
          <w:szCs w:val="28"/>
          <w:lang w:val="en-GB"/>
        </w:rPr>
      </w:pPr>
      <w:r w:rsidRPr="1F025B53" w:rsidR="1F025B53">
        <w:rPr>
          <w:rFonts w:ascii="Calibri" w:hAnsi="Calibri" w:eastAsia="Calibri" w:cs="Calibri"/>
          <w:b w:val="1"/>
          <w:bCs w:val="1"/>
          <w:noProof w:val="0"/>
          <w:sz w:val="28"/>
          <w:szCs w:val="28"/>
          <w:lang w:val="en-GB"/>
        </w:rPr>
        <w:t>Later Years</w:t>
      </w:r>
    </w:p>
    <w:p w:rsidR="1F025B53" w:rsidRDefault="1F025B53" w14:paraId="62D6DAB0" w14:textId="5B99056D">
      <w:r w:rsidRPr="1F025B53" w:rsidR="1F025B53">
        <w:rPr>
          <w:rFonts w:ascii="Calibri" w:hAnsi="Calibri" w:eastAsia="Calibri" w:cs="Calibri"/>
          <w:noProof w:val="0"/>
          <w:sz w:val="24"/>
          <w:szCs w:val="24"/>
          <w:lang w:val="en-GB"/>
        </w:rPr>
        <w:t>After separating from her husband, Maud Gonne moved to Paris for several years with Iseult, Yeats making frequent visits. In 1917 he proposed unsuccessfully to Iseult after Gonne had turned down his final proposal. Yeats and Gonne corresponded until his death in 1939.</w:t>
      </w:r>
      <w:r w:rsidRPr="1F025B53" w:rsidR="1F025B53">
        <w:rPr>
          <w:rFonts w:ascii="Calibri" w:hAnsi="Calibri" w:eastAsia="Calibri" w:cs="Calibri"/>
          <w:i w:val="1"/>
          <w:iCs w:val="1"/>
          <w:noProof w:val="0"/>
          <w:sz w:val="24"/>
          <w:szCs w:val="24"/>
          <w:lang w:val="en-GB"/>
        </w:rPr>
        <w:t>The Autobiography of Maud Gonne: A Servant of the Queen</w:t>
      </w:r>
      <w:r w:rsidRPr="1F025B53" w:rsidR="1F025B53">
        <w:rPr>
          <w:rFonts w:ascii="Calibri" w:hAnsi="Calibri" w:eastAsia="Calibri" w:cs="Calibri"/>
          <w:noProof w:val="0"/>
          <w:sz w:val="24"/>
          <w:szCs w:val="24"/>
          <w:lang w:val="en-GB"/>
        </w:rPr>
        <w:t xml:space="preserve">, was published by Victor Gollancz in October 1938, the title derived from her role in </w:t>
      </w:r>
      <w:r w:rsidRPr="1F025B53" w:rsidR="1F025B53">
        <w:rPr>
          <w:rFonts w:ascii="Calibri" w:hAnsi="Calibri" w:eastAsia="Calibri" w:cs="Calibri"/>
          <w:i w:val="1"/>
          <w:iCs w:val="1"/>
          <w:noProof w:val="0"/>
          <w:sz w:val="24"/>
          <w:szCs w:val="24"/>
          <w:lang w:val="en-GB"/>
        </w:rPr>
        <w:t xml:space="preserve">Kathleen </w:t>
      </w:r>
      <w:proofErr w:type="spellStart"/>
      <w:r w:rsidRPr="1F025B53" w:rsidR="1F025B53">
        <w:rPr>
          <w:rFonts w:ascii="Calibri" w:hAnsi="Calibri" w:eastAsia="Calibri" w:cs="Calibri"/>
          <w:i w:val="1"/>
          <w:iCs w:val="1"/>
          <w:noProof w:val="0"/>
          <w:sz w:val="24"/>
          <w:szCs w:val="24"/>
          <w:lang w:val="en-GB"/>
        </w:rPr>
        <w:t>ni</w:t>
      </w:r>
      <w:proofErr w:type="spellEnd"/>
      <w:r w:rsidRPr="1F025B53" w:rsidR="1F025B53">
        <w:rPr>
          <w:rFonts w:ascii="Calibri" w:hAnsi="Calibri" w:eastAsia="Calibri" w:cs="Calibri"/>
          <w:i w:val="1"/>
          <w:iCs w:val="1"/>
          <w:noProof w:val="0"/>
          <w:sz w:val="24"/>
          <w:szCs w:val="24"/>
          <w:lang w:val="en-GB"/>
        </w:rPr>
        <w:t xml:space="preserve"> Hoolihan</w:t>
      </w:r>
      <w:r w:rsidRPr="1F025B53" w:rsidR="1F025B53">
        <w:rPr>
          <w:rFonts w:ascii="Calibri" w:hAnsi="Calibri" w:eastAsia="Calibri" w:cs="Calibri"/>
          <w:noProof w:val="0"/>
          <w:sz w:val="24"/>
          <w:szCs w:val="24"/>
          <w:lang w:val="en-GB"/>
        </w:rPr>
        <w:t>. Gonne displayed a lifelong involvement in republican politics, attending Independence Day celebrations with her son in 1949. Maud Gonne died at Roebuck House, Clonskeagh on 27 April 1953 and was buried in Glasnevin Cemetery, Dublin.</w:t>
      </w:r>
    </w:p>
    <w:p w:rsidR="1F025B53" w:rsidRDefault="1F025B53" w14:paraId="1261B717" w14:textId="528FFF82">
      <w:r w:rsidRPr="1F025B53" w:rsidR="1F025B53">
        <w:rPr>
          <w:rFonts w:ascii="Calibri" w:hAnsi="Calibri" w:eastAsia="Calibri" w:cs="Calibri"/>
          <w:noProof w:val="0"/>
          <w:sz w:val="24"/>
          <w:szCs w:val="24"/>
          <w:lang w:val="en-GB"/>
        </w:rPr>
        <w:t xml:space="preserve"> </w:t>
      </w:r>
    </w:p>
    <w:p w:rsidR="1F025B53" w:rsidP="1F025B53" w:rsidRDefault="1F025B53" w14:paraId="1C6F93C1" w14:textId="01BCB78A">
      <w:pPr>
        <w:rPr>
          <w:rFonts w:ascii="Calibri" w:hAnsi="Calibri" w:eastAsia="Calibri" w:cs="Calibri"/>
          <w:b w:val="1"/>
          <w:bCs w:val="1"/>
          <w:noProof w:val="0"/>
          <w:sz w:val="28"/>
          <w:szCs w:val="28"/>
          <w:u w:val="single"/>
          <w:lang w:val="en-GB"/>
        </w:rPr>
      </w:pPr>
      <w:r w:rsidRPr="1F025B53" w:rsidR="1F025B53">
        <w:rPr>
          <w:rFonts w:ascii="Calibri" w:hAnsi="Calibri" w:eastAsia="Calibri" w:cs="Calibri"/>
          <w:b w:val="1"/>
          <w:bCs w:val="1"/>
          <w:noProof w:val="0"/>
          <w:sz w:val="28"/>
          <w:szCs w:val="28"/>
          <w:u w:val="single"/>
          <w:lang w:val="en-GB"/>
        </w:rPr>
        <w:t>Sources</w:t>
      </w:r>
    </w:p>
    <w:p w:rsidR="1F025B53" w:rsidRDefault="1F025B53" w14:paraId="190D6EE3" w14:textId="58B4A3E0">
      <w:r w:rsidRPr="1F025B53" w:rsidR="1F025B53">
        <w:rPr>
          <w:rFonts w:ascii="Calibri" w:hAnsi="Calibri" w:eastAsia="Calibri" w:cs="Calibri"/>
          <w:noProof w:val="0"/>
          <w:sz w:val="24"/>
          <w:szCs w:val="24"/>
          <w:lang w:val="en-GB"/>
        </w:rPr>
        <w:t xml:space="preserve">M. Gonne, </w:t>
      </w:r>
      <w:r w:rsidRPr="1F025B53" w:rsidR="1F025B53">
        <w:rPr>
          <w:rFonts w:ascii="Calibri" w:hAnsi="Calibri" w:eastAsia="Calibri" w:cs="Calibri"/>
          <w:i w:val="1"/>
          <w:iCs w:val="1"/>
          <w:noProof w:val="0"/>
          <w:sz w:val="24"/>
          <w:szCs w:val="24"/>
          <w:lang w:val="en-GB"/>
        </w:rPr>
        <w:t>The Autobiography of Maud Gonne: A Servant of the Queen</w:t>
      </w:r>
      <w:r w:rsidRPr="1F025B53" w:rsidR="1F025B53">
        <w:rPr>
          <w:rFonts w:ascii="Calibri" w:hAnsi="Calibri" w:eastAsia="Calibri" w:cs="Calibri"/>
          <w:noProof w:val="0"/>
          <w:sz w:val="24"/>
          <w:szCs w:val="24"/>
          <w:lang w:val="en-GB"/>
        </w:rPr>
        <w:t>, (1938)</w:t>
      </w:r>
    </w:p>
    <w:p w:rsidR="1F025B53" w:rsidRDefault="1F025B53" w14:paraId="240E0A80" w14:textId="68642181">
      <w:r w:rsidRPr="1F025B53" w:rsidR="1F025B53">
        <w:rPr>
          <w:rFonts w:ascii="Calibri" w:hAnsi="Calibri" w:eastAsia="Calibri" w:cs="Calibri"/>
          <w:i w:val="1"/>
          <w:iCs w:val="1"/>
          <w:noProof w:val="0"/>
          <w:sz w:val="24"/>
          <w:szCs w:val="24"/>
          <w:lang w:val="en-GB"/>
        </w:rPr>
        <w:t>T</w:t>
      </w:r>
      <w:r w:rsidRPr="1F025B53" w:rsidR="1F025B53">
        <w:rPr>
          <w:rFonts w:ascii="Calibri" w:hAnsi="Calibri" w:eastAsia="Calibri" w:cs="Calibri"/>
          <w:i w:val="1"/>
          <w:iCs w:val="1"/>
          <w:noProof w:val="0"/>
          <w:sz w:val="24"/>
          <w:szCs w:val="24"/>
          <w:lang w:val="en-GB"/>
        </w:rPr>
        <w:t>he Gonne-Yeats Letters, 1893-1938</w:t>
      </w:r>
      <w:r w:rsidRPr="1F025B53" w:rsidR="1F025B53">
        <w:rPr>
          <w:rFonts w:ascii="Calibri" w:hAnsi="Calibri" w:eastAsia="Calibri" w:cs="Calibri"/>
          <w:i w:val="1"/>
          <w:iCs w:val="1"/>
          <w:noProof w:val="0"/>
          <w:sz w:val="24"/>
          <w:szCs w:val="24"/>
          <w:lang w:val="en-GB"/>
        </w:rPr>
        <w:t>,</w:t>
      </w:r>
      <w:r w:rsidRPr="1F025B53" w:rsidR="1F025B53">
        <w:rPr>
          <w:rFonts w:ascii="Calibri" w:hAnsi="Calibri" w:eastAsia="Calibri" w:cs="Calibri"/>
          <w:noProof w:val="0"/>
          <w:sz w:val="24"/>
          <w:szCs w:val="24"/>
          <w:lang w:val="en-GB"/>
        </w:rPr>
        <w:t xml:space="preserve"> ed. A. MacBride White and A.N. Jeffares (1992)</w:t>
      </w:r>
    </w:p>
    <w:p w:rsidR="1F025B53" w:rsidRDefault="1F025B53" w14:paraId="7B8A9B24" w14:textId="487C6F61">
      <w:r w:rsidRPr="1F025B53" w:rsidR="1F025B53">
        <w:rPr>
          <w:rFonts w:ascii="Calibri" w:hAnsi="Calibri" w:eastAsia="Calibri" w:cs="Calibri"/>
          <w:noProof w:val="0"/>
          <w:sz w:val="24"/>
          <w:szCs w:val="24"/>
          <w:lang w:val="en-GB"/>
        </w:rPr>
        <w:t xml:space="preserve">A. Frazier, </w:t>
      </w:r>
      <w:r w:rsidRPr="1F025B53" w:rsidR="1F025B53">
        <w:rPr>
          <w:rFonts w:ascii="Calibri" w:hAnsi="Calibri" w:eastAsia="Calibri" w:cs="Calibri"/>
          <w:i w:val="1"/>
          <w:iCs w:val="1"/>
          <w:noProof w:val="0"/>
          <w:sz w:val="24"/>
          <w:szCs w:val="24"/>
          <w:lang w:val="en-GB"/>
        </w:rPr>
        <w:t>Behind the Scenes: Yeats, Horniman and the Struggle for the Abbey Theatre</w:t>
      </w:r>
      <w:r w:rsidRPr="1F025B53" w:rsidR="1F025B53">
        <w:rPr>
          <w:rFonts w:ascii="Calibri" w:hAnsi="Calibri" w:eastAsia="Calibri" w:cs="Calibri"/>
          <w:noProof w:val="0"/>
          <w:sz w:val="24"/>
          <w:szCs w:val="24"/>
          <w:lang w:val="en-GB"/>
        </w:rPr>
        <w:t xml:space="preserve"> (1990)</w:t>
      </w:r>
    </w:p>
    <w:p w:rsidR="1F025B53" w:rsidRDefault="1F025B53" w14:paraId="61F4B615" w14:textId="2EA58A64">
      <w:r w:rsidRPr="1F025B53" w:rsidR="1F025B53">
        <w:rPr>
          <w:rFonts w:ascii="Calibri" w:hAnsi="Calibri" w:eastAsia="Calibri" w:cs="Calibri"/>
          <w:noProof w:val="0"/>
          <w:sz w:val="24"/>
          <w:szCs w:val="24"/>
          <w:lang w:val="en-GB"/>
        </w:rPr>
        <w:t xml:space="preserve">A. Frazier, </w:t>
      </w:r>
      <w:r w:rsidRPr="1F025B53" w:rsidR="1F025B53">
        <w:rPr>
          <w:rFonts w:ascii="Calibri" w:hAnsi="Calibri" w:eastAsia="Calibri" w:cs="Calibri"/>
          <w:i w:val="1"/>
          <w:iCs w:val="1"/>
          <w:noProof w:val="0"/>
          <w:sz w:val="24"/>
          <w:szCs w:val="24"/>
          <w:lang w:val="en-GB"/>
        </w:rPr>
        <w:t>Adulterous Muse: Maud Gonne, Lucien Millevoye and W.B. Yeats</w:t>
      </w:r>
      <w:r w:rsidRPr="1F025B53" w:rsidR="1F025B53">
        <w:rPr>
          <w:rFonts w:ascii="Calibri" w:hAnsi="Calibri" w:eastAsia="Calibri" w:cs="Calibri"/>
          <w:noProof w:val="0"/>
          <w:sz w:val="24"/>
          <w:szCs w:val="24"/>
          <w:lang w:val="en-GB"/>
        </w:rPr>
        <w:t xml:space="preserve"> (2016)</w:t>
      </w:r>
    </w:p>
    <w:p w:rsidR="1F025B53" w:rsidRDefault="1F025B53" w14:paraId="129AB51F" w14:textId="248DECFD">
      <w:r w:rsidRPr="1F025B53" w:rsidR="1F025B53">
        <w:rPr>
          <w:rFonts w:ascii="Calibri" w:hAnsi="Calibri" w:eastAsia="Calibri" w:cs="Calibri"/>
          <w:i w:val="1"/>
          <w:iCs w:val="1"/>
          <w:noProof w:val="0"/>
          <w:sz w:val="24"/>
          <w:szCs w:val="24"/>
          <w:lang w:val="en-GB"/>
        </w:rPr>
        <w:t>Maud Gonne’s Irish Nationalist Writings 1895-1946,</w:t>
      </w:r>
      <w:r w:rsidRPr="1F025B53" w:rsidR="1F025B53">
        <w:rPr>
          <w:rFonts w:ascii="Calibri" w:hAnsi="Calibri" w:eastAsia="Calibri" w:cs="Calibri"/>
          <w:noProof w:val="0"/>
          <w:sz w:val="24"/>
          <w:szCs w:val="24"/>
          <w:lang w:val="en-GB"/>
        </w:rPr>
        <w:t xml:space="preserve"> ed. K. Steele (2004)</w:t>
      </w:r>
    </w:p>
    <w:p w:rsidR="1F025B53" w:rsidRDefault="1F025B53" w14:paraId="425C9504" w14:textId="573B6F83">
      <w:r w:rsidRPr="1F025B53" w:rsidR="1F025B53">
        <w:rPr>
          <w:rFonts w:ascii="Calibri" w:hAnsi="Calibri" w:eastAsia="Calibri" w:cs="Calibri"/>
          <w:noProof w:val="0"/>
          <w:sz w:val="24"/>
          <w:szCs w:val="24"/>
          <w:lang w:val="en-GB"/>
        </w:rPr>
        <w:t xml:space="preserve"> </w:t>
      </w:r>
    </w:p>
    <w:p w:rsidR="1F025B53" w:rsidP="1F025B53" w:rsidRDefault="1F025B53" w14:paraId="13E6C43E" w14:textId="7E5500BD">
      <w:pPr>
        <w:rPr>
          <w:rFonts w:ascii="Calibri" w:hAnsi="Calibri" w:eastAsia="Calibri" w:cs="Calibri"/>
          <w:b w:val="1"/>
          <w:bCs w:val="1"/>
          <w:noProof w:val="0"/>
          <w:sz w:val="28"/>
          <w:szCs w:val="28"/>
          <w:u w:val="single"/>
          <w:lang w:val="en-GB"/>
        </w:rPr>
      </w:pPr>
      <w:r w:rsidRPr="1F025B53" w:rsidR="1F025B53">
        <w:rPr>
          <w:rFonts w:ascii="Calibri" w:hAnsi="Calibri" w:eastAsia="Calibri" w:cs="Calibri"/>
          <w:b w:val="1"/>
          <w:bCs w:val="1"/>
          <w:noProof w:val="0"/>
          <w:sz w:val="28"/>
          <w:szCs w:val="28"/>
          <w:u w:val="single"/>
          <w:lang w:val="en-GB"/>
        </w:rPr>
        <w:t>Archives</w:t>
      </w:r>
    </w:p>
    <w:p w:rsidR="1F025B53" w:rsidRDefault="1F025B53" w14:paraId="3BE2199B" w14:textId="006ECF6C">
      <w:r w:rsidRPr="1F025B53" w:rsidR="1F025B53">
        <w:rPr>
          <w:rFonts w:ascii="Calibri" w:hAnsi="Calibri" w:eastAsia="Calibri" w:cs="Calibri"/>
          <w:noProof w:val="0"/>
          <w:sz w:val="24"/>
          <w:szCs w:val="24"/>
          <w:lang w:val="en-GB"/>
        </w:rPr>
        <w:t>Emory University, Rose Library., corresp. and papers</w:t>
      </w:r>
    </w:p>
    <w:p w:rsidR="1F025B53" w:rsidRDefault="1F025B53" w14:paraId="183DBFCD" w14:textId="09601D15">
      <w:r w:rsidRPr="1F025B53" w:rsidR="1F025B53">
        <w:rPr>
          <w:rFonts w:ascii="Calibri" w:hAnsi="Calibri" w:eastAsia="Calibri" w:cs="Calibri"/>
          <w:noProof w:val="0"/>
          <w:sz w:val="24"/>
          <w:szCs w:val="24"/>
          <w:lang w:val="en-GB"/>
        </w:rPr>
        <w:t xml:space="preserve"> </w:t>
      </w:r>
    </w:p>
    <w:p w:rsidR="1F025B53" w:rsidRDefault="1F025B53" w14:paraId="3A383B2B" w14:textId="787E8A13">
      <w:r w:rsidRPr="1F025B53" w:rsidR="1F025B53">
        <w:rPr>
          <w:rFonts w:ascii="Calibri" w:hAnsi="Calibri" w:eastAsia="Calibri" w:cs="Calibri"/>
          <w:noProof w:val="0"/>
          <w:sz w:val="24"/>
          <w:szCs w:val="24"/>
          <w:lang w:val="en-GB"/>
        </w:rPr>
        <w:t xml:space="preserve"> </w:t>
      </w:r>
    </w:p>
    <w:p w:rsidR="1F025B53" w:rsidP="1F025B53" w:rsidRDefault="1F025B53" w14:paraId="40D4EB5E" w14:textId="1BE4C5C3">
      <w:pPr>
        <w:rPr>
          <w:rFonts w:ascii="Calibri" w:hAnsi="Calibri" w:eastAsia="Calibri" w:cs="Calibri"/>
          <w:noProof w:val="0"/>
          <w:sz w:val="24"/>
          <w:szCs w:val="24"/>
          <w:lang w:val="en-GB"/>
        </w:rPr>
      </w:pPr>
    </w:p>
    <w:p w:rsidR="1F025B53" w:rsidP="1F025B53" w:rsidRDefault="1F025B53" w14:paraId="279607D7" w14:textId="48218E62">
      <w:pPr>
        <w:pStyle w:val="Normal"/>
        <w:rPr>
          <w:rFonts w:ascii="Calibri" w:hAnsi="Calibri" w:eastAsia="Calibri" w:cs="Calibri"/>
          <w:i w:val="0"/>
          <w:iCs w:val="0"/>
          <w:sz w:val="24"/>
          <w:szCs w:val="24"/>
        </w:rPr>
      </w:pPr>
    </w:p>
    <w:p w:rsidR="36865514" w:rsidP="1F025B53" w:rsidRDefault="36865514" w14:paraId="775A5F26" w14:textId="5D66EB78">
      <w:pPr>
        <w:pStyle w:val="Normal"/>
        <w:rPr>
          <w:rFonts w:ascii="Calibri" w:hAnsi="Calibri" w:eastAsia="Calibri" w:cs="Calibri"/>
          <w:i w:val="0"/>
          <w:iCs w:val="0"/>
          <w:sz w:val="24"/>
          <w:szCs w:val="24"/>
        </w:rPr>
      </w:pPr>
    </w:p>
    <w:p w:rsidR="36865514" w:rsidP="1F025B53" w:rsidRDefault="36865514" w14:paraId="72C214FE" w14:textId="3E6BAEBC">
      <w:pPr>
        <w:pStyle w:val="Normal"/>
        <w:rPr>
          <w:rFonts w:ascii="Calibri" w:hAnsi="Calibri" w:eastAsia="Calibri" w:cs="Calibri"/>
          <w:i w:val="0"/>
          <w:iCs w:val="0"/>
          <w:sz w:val="24"/>
          <w:szCs w:val="24"/>
        </w:rPr>
      </w:pPr>
    </w:p>
    <w:p w:rsidR="36865514" w:rsidP="1F025B53" w:rsidRDefault="36865514" w14:paraId="30F3A03D" w14:textId="71787D01">
      <w:pPr>
        <w:pStyle w:val="Normal"/>
        <w:rPr>
          <w:rFonts w:ascii="Calibri" w:hAnsi="Calibri" w:eastAsia="Calibri" w:cs="Calibri"/>
          <w:i w:val="0"/>
          <w:iCs w:val="0"/>
          <w:sz w:val="24"/>
          <w:szCs w:val="24"/>
        </w:rPr>
      </w:pPr>
    </w:p>
    <w:p w:rsidR="36865514" w:rsidP="1F025B53" w:rsidRDefault="36865514" w14:paraId="227A8A52" w14:textId="37D37854">
      <w:pPr>
        <w:pStyle w:val="Normal"/>
        <w:rPr>
          <w:rFonts w:ascii="Calibri" w:hAnsi="Calibri" w:eastAsia="Calibri" w:cs="Calibri"/>
          <w:i w:val="0"/>
          <w:iCs w:val="0"/>
          <w:sz w:val="24"/>
          <w:szCs w:val="24"/>
        </w:rPr>
      </w:pPr>
    </w:p>
    <w:p w:rsidR="36865514" w:rsidP="1F025B53" w:rsidRDefault="36865514" w14:paraId="7397B8F2" w14:textId="72723891">
      <w:pPr>
        <w:pStyle w:val="Normal"/>
        <w:rPr>
          <w:rFonts w:ascii="Calibri" w:hAnsi="Calibri" w:eastAsia="Calibri" w:cs="Calibri"/>
          <w:i w:val="0"/>
          <w:iCs w:val="0"/>
          <w:sz w:val="24"/>
          <w:szCs w:val="24"/>
        </w:rPr>
      </w:pPr>
    </w:p>
    <w:p w:rsidR="5759C422" w:rsidP="1F025B53" w:rsidRDefault="5759C422" w14:paraId="5766C864" w14:textId="3CAD8DFA">
      <w:pPr>
        <w:pStyle w:val="Normal"/>
        <w:rPr>
          <w:rFonts w:ascii="Calibri" w:hAnsi="Calibri" w:eastAsia="Calibri" w:cs="Calibri"/>
          <w:i w:val="0"/>
          <w:iCs w:val="0"/>
          <w:sz w:val="24"/>
          <w:szCs w:val="24"/>
        </w:rPr>
      </w:pPr>
    </w:p>
    <w:p w:rsidR="1BB03534" w:rsidP="1F025B53" w:rsidRDefault="1BB03534" w14:paraId="5D13912F" w14:textId="566D32B7">
      <w:pPr>
        <w:pStyle w:val="Normal"/>
        <w:rPr>
          <w:rFonts w:ascii="Calibri" w:hAnsi="Calibri" w:eastAsia="Calibri" w:cs="Calibri"/>
          <w:i w:val="0"/>
          <w:iCs w:val="0"/>
          <w:sz w:val="24"/>
          <w:szCs w:val="24"/>
        </w:rPr>
      </w:pPr>
    </w:p>
    <w:p w:rsidR="1BB03534" w:rsidP="1F025B53" w:rsidRDefault="1BB03534" w14:paraId="051D55A5" w14:textId="494D123B">
      <w:pPr>
        <w:pStyle w:val="Normal"/>
        <w:rPr>
          <w:rFonts w:ascii="Calibri" w:hAnsi="Calibri" w:eastAsia="Calibri" w:cs="Calibri"/>
          <w:i w:val="0"/>
          <w:iCs w:val="0"/>
          <w:sz w:val="24"/>
          <w:szCs w:val="24"/>
        </w:rPr>
      </w:pPr>
    </w:p>
    <w:p w:rsidR="1BB03534" w:rsidP="1F025B53" w:rsidRDefault="1BB03534" w14:paraId="475BF030" w14:textId="0AF98100">
      <w:pPr>
        <w:pStyle w:val="Normal"/>
        <w:rPr>
          <w:rFonts w:ascii="Calibri" w:hAnsi="Calibri" w:eastAsia="Calibri" w:cs="Calibri"/>
          <w:i w:val="0"/>
          <w:iCs w:val="0"/>
          <w:sz w:val="24"/>
          <w:szCs w:val="24"/>
        </w:rPr>
      </w:pPr>
    </w:p>
    <w:p w:rsidR="1BB03534" w:rsidP="1F025B53" w:rsidRDefault="1BB03534" w14:paraId="5E806AC1" w14:textId="3AAD13B3">
      <w:pPr>
        <w:pStyle w:val="Normal"/>
        <w:rPr>
          <w:rFonts w:ascii="Calibri" w:hAnsi="Calibri" w:eastAsia="Calibri" w:cs="Calibri"/>
          <w:i w:val="0"/>
          <w:iCs w:val="0"/>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3EA40BB"/>
  <w15:docId w15:val="{96539f4c-578f-4da7-89de-ecf828ed81ff}"/>
  <w:rsids>
    <w:rsidRoot w:val="43EA40BB"/>
    <w:rsid w:val="1BB03534"/>
    <w:rsid w:val="1F025B53"/>
    <w:rsid w:val="2897C357"/>
    <w:rsid w:val="36865514"/>
    <w:rsid w:val="43EA40BB"/>
    <w:rsid w:val="5759C422"/>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Anne Wagstaffe (1903773)</dc:creator>
  <keywords/>
  <dc:description/>
  <lastModifiedBy>Anne Wagstaffe (1903773)</lastModifiedBy>
  <revision>6</revision>
  <dcterms:created xsi:type="dcterms:W3CDTF">2020-03-10T20:20:59.3819280Z</dcterms:created>
  <dcterms:modified xsi:type="dcterms:W3CDTF">2020-03-13T22:20:26.6612097Z</dcterms:modified>
</coreProperties>
</file>