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Heading1"/>
        <w:bidi w:val="0"/>
        <w:spacing w:before="240" w:after="120"/>
        <w:jc w:val="left"/>
        <w:rPr/>
      </w:pPr>
      <w:bookmarkStart w:id="0" w:name="__RefHeading___Toc112_1927450756"/>
      <w:bookmarkEnd w:id="0"/>
      <w:r>
        <w:rPr/>
        <w:t>The impact and interaction of Galatian forces with that of the Seleucid Empire</w:t>
      </w:r>
    </w:p>
    <w:p>
      <w:pPr>
        <w:pStyle w:val="Normal"/>
        <w:bidi w:val="0"/>
        <w:jc w:val="left"/>
        <w:rPr/>
      </w:pPr>
      <w:r>
        <w:rPr/>
        <w:t>Author: Patrick Mullane</w:t>
      </w:r>
    </w:p>
    <w:p>
      <w:pPr>
        <w:pStyle w:val="Normal"/>
        <w:bidi w:val="0"/>
        <w:jc w:val="left"/>
        <w:rPr/>
      </w:pPr>
      <w:r>
        <w:rPr/>
      </w:r>
    </w:p>
    <w:p>
      <w:pPr>
        <w:pStyle w:val="Normal"/>
        <w:bidi w:val="0"/>
        <w:jc w:val="left"/>
        <w:rPr/>
      </w:pPr>
      <w:r>
        <w:rPr/>
        <w:t xml:space="preserve">Word Count </w:t>
      </w:r>
      <w:r>
        <w:rPr/>
        <w:t>3</w:t>
      </w:r>
      <w:r>
        <w:rPr/>
        <w:t>4</w:t>
      </w:r>
      <w:r>
        <w:rPr/>
        <w:t>00</w:t>
      </w:r>
    </w:p>
    <w:p>
      <w:pPr>
        <w:pStyle w:val="Normal"/>
        <w:bidi w:val="0"/>
        <w:jc w:val="left"/>
        <w:rPr/>
      </w:pPr>
      <w:r>
        <w:rPr/>
        <w:t xml:space="preserve">Page Count </w:t>
      </w:r>
      <w:r>
        <w:rPr/>
        <w:t>9</w:t>
      </w:r>
    </w:p>
    <w:p>
      <w:pPr>
        <w:pStyle w:val="Normal"/>
        <w:bidi w:val="0"/>
        <w:jc w:val="left"/>
        <w:rPr/>
      </w:pPr>
      <w:r>
        <w:rPr/>
      </w:r>
    </w:p>
    <w:p>
      <w:pPr>
        <w:pStyle w:val="Normal"/>
        <w:bidi w:val="0"/>
        <w:jc w:val="left"/>
        <w:rPr/>
      </w:pPr>
      <w:r>
        <w:rPr/>
      </w:r>
    </w:p>
    <w:sdt>
      <w:sdtPr>
        <w:docPartObj>
          <w:docPartGallery w:val="Table of Contents"/>
          <w:docPartUnique w:val="true"/>
        </w:docPartObj>
      </w:sdtPr>
      <w:sdtContent>
        <w:p>
          <w:pPr>
            <w:pStyle w:val="ContentsHeading"/>
            <w:suppressLineNumbers/>
            <w:ind w:left="0" w:hanging="0"/>
            <w:rPr>
              <w:b/>
              <w:b/>
              <w:bCs/>
              <w:sz w:val="32"/>
              <w:szCs w:val="32"/>
            </w:rPr>
          </w:pPr>
          <w:r>
            <w:rPr>
              <w:b/>
              <w:bCs/>
              <w:sz w:val="32"/>
              <w:szCs w:val="32"/>
            </w:rPr>
            <w:t>Table of Contents</w:t>
          </w:r>
        </w:p>
        <w:p>
          <w:pPr>
            <w:pStyle w:val="Contents1"/>
            <w:tabs>
              <w:tab w:val="right" w:pos="9638" w:leader="dot"/>
            </w:tabs>
            <w:rPr/>
          </w:pPr>
          <w:r>
            <w:fldChar w:fldCharType="begin"/>
          </w:r>
          <w:r>
            <w:rPr>
              <w:rStyle w:val="IndexLink"/>
            </w:rPr>
            <w:instrText> TOC \f \o "1-9" \h</w:instrText>
          </w:r>
          <w:r>
            <w:rPr>
              <w:rStyle w:val="IndexLink"/>
            </w:rPr>
            <w:fldChar w:fldCharType="separate"/>
          </w:r>
          <w:hyperlink w:anchor="__RefHeading___Toc112_1927450756">
            <w:r>
              <w:rPr>
                <w:rStyle w:val="IndexLink"/>
              </w:rPr>
              <w:t>The impact and interaction of Galatian forces with that of the Seleucid Empire</w:t>
              <w:tab/>
              <w:t>1</w:t>
            </w:r>
          </w:hyperlink>
        </w:p>
        <w:p>
          <w:pPr>
            <w:pStyle w:val="Contents2"/>
            <w:tabs>
              <w:tab w:val="right" w:pos="9638" w:leader="dot"/>
            </w:tabs>
            <w:rPr/>
          </w:pPr>
          <w:hyperlink w:anchor="__RefHeading___Toc114_1927450756">
            <w:r>
              <w:rPr>
                <w:rStyle w:val="IndexLink"/>
              </w:rPr>
              <w:t>Introduction</w:t>
              <w:tab/>
              <w:t>2</w:t>
            </w:r>
          </w:hyperlink>
        </w:p>
        <w:p>
          <w:pPr>
            <w:pStyle w:val="Contents2"/>
            <w:tabs>
              <w:tab w:val="right" w:pos="9638" w:leader="dot"/>
            </w:tabs>
            <w:rPr/>
          </w:pPr>
          <w:hyperlink w:anchor="__RefHeading___Toc116_1927450756">
            <w:r>
              <w:rPr>
                <w:rStyle w:val="IndexLink"/>
              </w:rPr>
              <w:t>Source Material</w:t>
              <w:tab/>
              <w:t>2</w:t>
            </w:r>
          </w:hyperlink>
        </w:p>
        <w:p>
          <w:pPr>
            <w:pStyle w:val="Contents2"/>
            <w:tabs>
              <w:tab w:val="right" w:pos="9638" w:leader="dot"/>
            </w:tabs>
            <w:rPr/>
          </w:pPr>
          <w:hyperlink w:anchor="__RefHeading___Toc118_1927450756">
            <w:r>
              <w:rPr>
                <w:rStyle w:val="IndexLink"/>
              </w:rPr>
              <w:t>Theoretical Framework</w:t>
              <w:tab/>
              <w:t>3</w:t>
            </w:r>
          </w:hyperlink>
        </w:p>
        <w:p>
          <w:pPr>
            <w:pStyle w:val="Contents2"/>
            <w:tabs>
              <w:tab w:val="right" w:pos="9638" w:leader="dot"/>
            </w:tabs>
            <w:rPr/>
          </w:pPr>
          <w:hyperlink w:anchor="__RefHeading___Toc120_1927450756">
            <w:r>
              <w:rPr>
                <w:rStyle w:val="IndexLink"/>
              </w:rPr>
              <w:t>Mercenaries in Philip/Alexandrian Army</w:t>
              <w:tab/>
              <w:t>3</w:t>
            </w:r>
          </w:hyperlink>
        </w:p>
        <w:p>
          <w:pPr>
            <w:pStyle w:val="Contents2"/>
            <w:tabs>
              <w:tab w:val="right" w:pos="9638" w:leader="dot"/>
            </w:tabs>
            <w:rPr/>
          </w:pPr>
          <w:hyperlink w:anchor="__RefHeading___Toc234_675534611">
            <w:r>
              <w:rPr>
                <w:rStyle w:val="IndexLink"/>
              </w:rPr>
              <w:t>Economic Factors – push and pull vectors</w:t>
              <w:tab/>
              <w:t>4</w:t>
            </w:r>
          </w:hyperlink>
        </w:p>
        <w:p>
          <w:pPr>
            <w:pStyle w:val="Contents2"/>
            <w:tabs>
              <w:tab w:val="right" w:pos="9638" w:leader="dot"/>
            </w:tabs>
            <w:rPr/>
          </w:pPr>
          <w:hyperlink w:anchor="__RefHeading___Toc122_1927450756">
            <w:r>
              <w:rPr>
                <w:rStyle w:val="IndexLink"/>
              </w:rPr>
              <w:t>Initial coming of the Galicians</w:t>
              <w:tab/>
              <w:t>4</w:t>
            </w:r>
          </w:hyperlink>
        </w:p>
        <w:p>
          <w:pPr>
            <w:pStyle w:val="Contents2"/>
            <w:tabs>
              <w:tab w:val="right" w:pos="9638" w:leader="dot"/>
            </w:tabs>
            <w:rPr/>
          </w:pPr>
          <w:hyperlink w:anchor="__RefHeading___Toc126_19274507561">
            <w:r>
              <w:rPr>
                <w:rStyle w:val="IndexLink"/>
              </w:rPr>
              <w:t>Geography of Anatolia</w:t>
              <w:tab/>
              <w:t>5</w:t>
            </w:r>
          </w:hyperlink>
        </w:p>
        <w:p>
          <w:pPr>
            <w:pStyle w:val="Contents2"/>
            <w:tabs>
              <w:tab w:val="right" w:pos="9638" w:leader="dot"/>
            </w:tabs>
            <w:rPr/>
          </w:pPr>
          <w:hyperlink w:anchor="__RefHeading___Toc124_1927450756">
            <w:r>
              <w:rPr>
                <w:rStyle w:val="IndexLink"/>
              </w:rPr>
              <w:t>Mercenaries in other Hellenic polities</w:t>
              <w:tab/>
              <w:t>5</w:t>
            </w:r>
          </w:hyperlink>
        </w:p>
        <w:p>
          <w:pPr>
            <w:pStyle w:val="Contents2"/>
            <w:tabs>
              <w:tab w:val="right" w:pos="9638" w:leader="dot"/>
            </w:tabs>
            <w:rPr/>
          </w:pPr>
          <w:hyperlink w:anchor="__RefHeading___Toc128_1927450756">
            <w:r>
              <w:rPr>
                <w:rStyle w:val="IndexLink"/>
              </w:rPr>
              <w:t>Unique aspects of Seleucid society that favoured Mercenaries</w:t>
              <w:tab/>
              <w:t>6</w:t>
            </w:r>
          </w:hyperlink>
        </w:p>
        <w:p>
          <w:pPr>
            <w:pStyle w:val="Contents2"/>
            <w:tabs>
              <w:tab w:val="right" w:pos="9638" w:leader="dot"/>
            </w:tabs>
            <w:rPr/>
          </w:pPr>
          <w:hyperlink w:anchor="__RefHeading___Toc130_1927450756">
            <w:r>
              <w:rPr>
                <w:rStyle w:val="IndexLink"/>
              </w:rPr>
              <w:t>Diplomacy and treaties with Galicians</w:t>
              <w:tab/>
              <w:t>7</w:t>
            </w:r>
          </w:hyperlink>
        </w:p>
        <w:p>
          <w:pPr>
            <w:pStyle w:val="Contents2"/>
            <w:tabs>
              <w:tab w:val="right" w:pos="9638" w:leader="dot"/>
            </w:tabs>
            <w:rPr/>
          </w:pPr>
          <w:hyperlink w:anchor="__RefHeading___Toc132_1927450756">
            <w:r>
              <w:rPr>
                <w:rStyle w:val="IndexLink"/>
              </w:rPr>
              <w:t>Galatia, the coming of Rome and the passing of the Kingdoms</w:t>
              <w:tab/>
              <w:t>8</w:t>
            </w:r>
          </w:hyperlink>
        </w:p>
        <w:p>
          <w:pPr>
            <w:pStyle w:val="Contents2"/>
            <w:tabs>
              <w:tab w:val="right" w:pos="9638" w:leader="dot"/>
            </w:tabs>
            <w:rPr/>
          </w:pPr>
          <w:hyperlink w:anchor="__RefHeading___Toc134_1927450756">
            <w:r>
              <w:rPr>
                <w:rStyle w:val="IndexLink"/>
              </w:rPr>
              <w:t>Conclusion</w:t>
              <w:tab/>
              <w:t>8</w:t>
            </w:r>
          </w:hyperlink>
        </w:p>
        <w:p>
          <w:pPr>
            <w:pStyle w:val="Contents2"/>
            <w:tabs>
              <w:tab w:val="right" w:pos="9638" w:leader="dot"/>
            </w:tabs>
            <w:rPr/>
          </w:pPr>
          <w:hyperlink w:anchor="__RefHeading___Toc136_1927450756">
            <w:r>
              <w:rPr>
                <w:rStyle w:val="IndexLink"/>
              </w:rPr>
              <w:t>Appendix</w:t>
              <w:tab/>
              <w:t>9</w:t>
            </w:r>
          </w:hyperlink>
        </w:p>
        <w:p>
          <w:pPr>
            <w:pStyle w:val="Contents2"/>
            <w:tabs>
              <w:tab w:val="right" w:pos="9638" w:leader="dot"/>
            </w:tabs>
            <w:rPr/>
          </w:pPr>
          <w:hyperlink w:anchor="__RefHeading___Toc138_1927450756">
            <w:r>
              <w:rPr>
                <w:rStyle w:val="IndexLink"/>
              </w:rPr>
              <w:t>A References</w:t>
              <w:tab/>
              <w:t>9</w:t>
            </w:r>
          </w:hyperlink>
        </w:p>
        <w:p>
          <w:pPr>
            <w:pStyle w:val="Contents2"/>
            <w:tabs>
              <w:tab w:val="right" w:pos="9638" w:leader="dot"/>
            </w:tabs>
            <w:rPr/>
          </w:pPr>
          <w:hyperlink w:anchor="__RefHeading___Toc140_1927450756">
            <w:r>
              <w:rPr>
                <w:rStyle w:val="IndexLink"/>
              </w:rPr>
              <w:t>B Time Line</w:t>
              <w:tab/>
              <w:t>9</w:t>
            </w:r>
          </w:hyperlink>
          <w:r>
            <w:rPr>
              <w:rStyle w:val="IndexLink"/>
            </w:rPr>
            <w:fldChar w:fldCharType="end"/>
          </w:r>
        </w:p>
      </w:sdtContent>
    </w:sdt>
    <w:p>
      <w:pPr>
        <w:pStyle w:val="Normal"/>
        <w:rPr/>
      </w:pPr>
      <w:r>
        <w:rPr/>
      </w:r>
      <w:r>
        <w:br w:type="page"/>
      </w:r>
    </w:p>
    <w:p>
      <w:pPr>
        <w:pStyle w:val="Heading2"/>
        <w:bidi w:val="0"/>
        <w:jc w:val="left"/>
        <w:rPr/>
      </w:pPr>
      <w:bookmarkStart w:id="1" w:name="__RefHeading___Toc114_1927450756"/>
      <w:bookmarkEnd w:id="1"/>
      <w:r>
        <w:rPr/>
        <w:t xml:space="preserve">Introduction </w:t>
      </w:r>
    </w:p>
    <w:p>
      <w:pPr>
        <w:pStyle w:val="TextBody"/>
        <w:bidi w:val="0"/>
        <w:jc w:val="left"/>
        <w:rPr/>
      </w:pPr>
      <w:r>
        <w:rPr/>
        <w:t>An Empire is according to the definition of Samuel Johnson (Puri, 2021, p.5):</w:t>
      </w:r>
    </w:p>
    <w:p>
      <w:pPr>
        <w:pStyle w:val="TextBody"/>
        <w:bidi w:val="0"/>
        <w:jc w:val="left"/>
        <w:rPr/>
      </w:pPr>
      <w:r>
        <w:rPr/>
      </w:r>
    </w:p>
    <w:p>
      <w:pPr>
        <w:pStyle w:val="TextBody"/>
        <w:bidi w:val="0"/>
        <w:jc w:val="left"/>
        <w:rPr/>
      </w:pPr>
      <w:r>
        <w:rPr/>
        <w:tab/>
        <w:t xml:space="preserve">Imperial Power: supreme dominion, foreign command. </w:t>
      </w:r>
    </w:p>
    <w:p>
      <w:pPr>
        <w:pStyle w:val="TextBody"/>
        <w:bidi w:val="0"/>
        <w:jc w:val="left"/>
        <w:rPr/>
      </w:pPr>
      <w:r>
        <w:rPr/>
        <w:tab/>
        <w:t>The area of which dominion is extended.</w:t>
        <w:tab/>
        <w:tab/>
        <w:tab/>
      </w:r>
    </w:p>
    <w:p>
      <w:pPr>
        <w:pStyle w:val="TextBody"/>
        <w:bidi w:val="0"/>
        <w:jc w:val="left"/>
        <w:rPr/>
      </w:pPr>
      <w:r>
        <w:rPr/>
      </w:r>
    </w:p>
    <w:p>
      <w:pPr>
        <w:pStyle w:val="TextBody"/>
        <w:bidi w:val="0"/>
        <w:jc w:val="left"/>
        <w:rPr/>
      </w:pPr>
      <w:r>
        <w:rPr/>
        <w:t xml:space="preserve">The term Empire itself has a contested legacy, with the passing of the formal Imperial age leaving the main academic impact the debates of various historians assessing the positive or negative impacts (Puri, 2021, p.4) usually within the remit of present day politics. In this paper, a neutral tone will be adapted in describing the Seleucid empire and the interaction this polity had with the various Celtic peoples known as the Galicians </w:t>
      </w:r>
      <w:r>
        <w:rPr/>
        <w:t>(as they became known once they settled in the Anatolian highlands)</w:t>
      </w:r>
      <w:r>
        <w:rPr/>
        <w:t xml:space="preserve">, as these are of sufficient distance from the era of the more recent Great colonial empires.  A context will be provided to explain how the Empire came into being in a region replete with older imperial domains and how the Galicians interacted with the major and minor Hellenic powers by providing a key resource. Military manpower as mercenaries, </w:t>
      </w:r>
      <w:r>
        <w:rPr/>
        <w:t>being defined as the professional soldiers of the classical world (English, 2012, p.7)</w:t>
      </w:r>
    </w:p>
    <w:p>
      <w:pPr>
        <w:pStyle w:val="TextBody"/>
        <w:bidi w:val="0"/>
        <w:jc w:val="left"/>
        <w:rPr/>
      </w:pPr>
      <w:r>
        <w:rPr/>
        <w:t xml:space="preserve">The paper’s time frame will extend from the historical background of Alexander the Great’s encounters with mercenaries (both employment and opposition of), to the foundation of the Seleucid realm from the grand contested funeral games of Alexander by the </w:t>
      </w:r>
      <w:r>
        <w:rPr>
          <w:i/>
          <w:iCs/>
        </w:rPr>
        <w:t>diadochi</w:t>
      </w:r>
      <w:r>
        <w:rPr/>
        <w:t xml:space="preserve">/successors, to the various waves of Galatians and there impact on the waxing and waning of Seleucid fortunes, to finally the fates of both with the coming of the Roman </w:t>
      </w:r>
      <w:r>
        <w:rPr/>
        <w:t>Imperium</w:t>
      </w:r>
      <w:r>
        <w:rPr/>
        <w:t>.</w:t>
      </w:r>
    </w:p>
    <w:p>
      <w:pPr>
        <w:pStyle w:val="TextBody"/>
        <w:bidi w:val="0"/>
        <w:jc w:val="left"/>
        <w:rPr/>
      </w:pPr>
      <w:r>
        <w:rPr/>
      </w:r>
    </w:p>
    <w:p>
      <w:pPr>
        <w:pStyle w:val="TextBody"/>
        <w:bidi w:val="0"/>
        <w:jc w:val="left"/>
        <w:rPr/>
      </w:pPr>
      <w:r>
        <w:rPr/>
      </w:r>
    </w:p>
    <w:p>
      <w:pPr>
        <w:pStyle w:val="Heading2"/>
        <w:bidi w:val="0"/>
        <w:jc w:val="left"/>
        <w:rPr/>
      </w:pPr>
      <w:bookmarkStart w:id="2" w:name="__RefHeading___Toc116_1927450756"/>
      <w:bookmarkEnd w:id="2"/>
      <w:r>
        <w:rPr/>
        <w:t>Source Material</w:t>
      </w:r>
    </w:p>
    <w:p>
      <w:pPr>
        <w:pStyle w:val="TextBody"/>
        <w:bidi w:val="0"/>
        <w:jc w:val="left"/>
        <w:rPr/>
      </w:pPr>
      <w:r>
        <w:rPr/>
        <w:t xml:space="preserve">The primary source materials for this will be the written works of Polybius, with secondary interpretation of his histories. Arrian will be used for the time of Alexander’s </w:t>
      </w:r>
      <w:r>
        <w:rPr/>
        <w:t>reign</w:t>
      </w:r>
      <w:r>
        <w:rPr/>
        <w:t>. Given this historian military-political experience, his interpretations especially of military affairs are of key interest.</w:t>
      </w:r>
    </w:p>
    <w:p>
      <w:pPr>
        <w:pStyle w:val="TextBody"/>
        <w:bidi w:val="0"/>
        <w:jc w:val="left"/>
        <w:rPr/>
      </w:pPr>
      <w:r>
        <w:rPr/>
        <w:t xml:space="preserve">As well, there is a wealth of numismatic evidence from this period </w:t>
      </w:r>
      <w:r>
        <w:rPr/>
        <w:t>that is lacking in the written sources (</w:t>
      </w:r>
      <w:r>
        <w:rPr/>
        <w:t xml:space="preserve">Grainger, </w:t>
      </w:r>
      <w:r>
        <w:rPr/>
        <w:t>2015, p.24)</w:t>
      </w:r>
      <w:r>
        <w:rPr/>
        <w:t xml:space="preserve">. This will be investigated </w:t>
      </w:r>
      <w:r>
        <w:rPr/>
        <w:t xml:space="preserve">as well </w:t>
      </w:r>
      <w:r>
        <w:rPr/>
        <w:t>a focus on the amount of money that flooded the successor states and so provided the engine to power the mercenary economy but also as a magnet to peoples on the margins of the empire seeking such booty.</w:t>
      </w:r>
    </w:p>
    <w:p>
      <w:pPr>
        <w:pStyle w:val="TextBody"/>
        <w:bidi w:val="0"/>
        <w:jc w:val="left"/>
        <w:rPr/>
      </w:pPr>
      <w:r>
        <w:rPr/>
        <w:t>All dates are BC unless otherwise specified.</w:t>
      </w:r>
    </w:p>
    <w:p>
      <w:pPr>
        <w:pStyle w:val="TextBody"/>
        <w:bidi w:val="0"/>
        <w:jc w:val="left"/>
        <w:rPr/>
      </w:pPr>
      <w:r>
        <w:rPr/>
      </w:r>
    </w:p>
    <w:p>
      <w:pPr>
        <w:pStyle w:val="Heading2"/>
        <w:bidi w:val="0"/>
        <w:jc w:val="left"/>
        <w:rPr/>
      </w:pPr>
      <w:bookmarkStart w:id="3" w:name="__RefHeading___Toc118_1927450756"/>
      <w:bookmarkEnd w:id="3"/>
      <w:r>
        <w:rPr/>
        <w:t xml:space="preserve">Theoretical Framework </w:t>
      </w:r>
    </w:p>
    <w:p>
      <w:pPr>
        <w:pStyle w:val="TextBody"/>
        <w:bidi w:val="0"/>
        <w:jc w:val="left"/>
        <w:rPr/>
      </w:pPr>
      <w:r>
        <w:rPr/>
        <w:t>The key thinker of the conceptual framework of military thinking is Karl von Clausewitz. While there are numerous modern interpreters of his work, he had written in the Napoleonic period. This however one can ar</w:t>
      </w:r>
      <w:r>
        <w:rPr/>
        <w:t>g</w:t>
      </w:r>
      <w:r>
        <w:rPr/>
        <w:t>ue does not present an issue when applying his concepts of the Trinitar</w:t>
      </w:r>
      <w:r>
        <w:rPr/>
        <w:t>ian</w:t>
      </w:r>
      <w:r>
        <w:rPr/>
        <w:t xml:space="preserve"> aspects of war to the Classical Era: </w:t>
      </w:r>
      <w:r>
        <w:rPr/>
        <w:t>people, army and political aims</w:t>
      </w:r>
      <w:r>
        <w:rPr/>
        <w:t xml:space="preserve"> Whilst there are differences between the gun-power versus muscle-power era of weaponry, the clash of differing empires and ideologies with the constant requirement for money to support the armies provides a common understanding for the application of Claus</w:t>
      </w:r>
      <w:r>
        <w:rPr/>
        <w:t>e</w:t>
      </w:r>
      <w:r>
        <w:rPr/>
        <w:t>witzian insights.</w:t>
      </w:r>
    </w:p>
    <w:p>
      <w:pPr>
        <w:pStyle w:val="TextBody"/>
        <w:bidi w:val="0"/>
        <w:jc w:val="left"/>
        <w:rPr/>
      </w:pPr>
      <w:r>
        <w:rPr/>
      </w:r>
    </w:p>
    <w:p>
      <w:pPr>
        <w:pStyle w:val="TextBody"/>
        <w:bidi w:val="0"/>
        <w:jc w:val="left"/>
        <w:rPr/>
      </w:pPr>
      <w:r>
        <w:rPr/>
      </w:r>
    </w:p>
    <w:p>
      <w:pPr>
        <w:pStyle w:val="Heading2"/>
        <w:bidi w:val="0"/>
        <w:jc w:val="left"/>
        <w:rPr/>
      </w:pPr>
      <w:bookmarkStart w:id="4" w:name="__RefHeading___Toc120_1927450756"/>
      <w:bookmarkEnd w:id="4"/>
      <w:r>
        <w:rPr/>
        <w:t>Mercenaries in Philip/Alexandrian Army</w:t>
      </w:r>
    </w:p>
    <w:p>
      <w:pPr>
        <w:pStyle w:val="TextBody"/>
        <w:bidi w:val="0"/>
        <w:jc w:val="left"/>
        <w:rPr/>
      </w:pPr>
      <w:r>
        <w:rPr/>
        <w:t>The creation of Philip II’s army has been praised as one of the transformative inflections in military matters, on a par with the professionalisation of the Legions by Marius in the 1</w:t>
      </w:r>
      <w:r>
        <w:rPr>
          <w:vertAlign w:val="superscript"/>
        </w:rPr>
        <w:t>st</w:t>
      </w:r>
      <w:r>
        <w:rPr/>
        <w:t xml:space="preserve"> Century. (</w:t>
      </w:r>
      <w:r>
        <w:rPr/>
        <w:t>Parker, 2021</w:t>
      </w:r>
      <w:r>
        <w:rPr/>
        <w:t xml:space="preserve">). During Philip’s reign, the army was transformed from a militia force that formed on an ad-hoc basis to that of a professional army, </w:t>
      </w:r>
      <w:r>
        <w:rPr/>
        <w:t>that in Arrian’s account of Alexander’s speech at Opis: they had become civilised by Philip</w:t>
      </w:r>
      <w:r>
        <w:rPr/>
        <w:t>. This entailed a common set of weapons (for instance the famous Saris</w:t>
      </w:r>
      <w:r>
        <w:rPr/>
        <w:t>s</w:t>
      </w:r>
      <w:r>
        <w:rPr/>
        <w:t xml:space="preserve">a pike that comprised the main offensive weapon of the Macedonian phalanx), and a complex organisational structure that incorporated differing ethnic units that specialised in waging war by their traditional means. In the case of Cavalry, this was obtained by a levy on the Thracian lands who had accepted Phillip as their nominal ruler. It will be shown, that while this meet the needs of Phillip in his campaigns in Greece and the surrounding regions, by the time of Alexandrian conquests the problem of re-supply of these mounts was a major logistic issue. </w:t>
      </w:r>
    </w:p>
    <w:p>
      <w:pPr>
        <w:pStyle w:val="TextBody"/>
        <w:bidi w:val="0"/>
        <w:jc w:val="left"/>
        <w:rPr/>
      </w:pPr>
      <w:r>
        <w:rPr/>
        <w:t xml:space="preserve">Another factor that differs from the modern military is the amount of time spent in actual battle. In works such as Normandy (Holland, </w:t>
      </w:r>
      <w:r>
        <w:rPr/>
        <w:t>2019</w:t>
      </w:r>
      <w:r>
        <w:rPr/>
        <w:t>) it describes the experience of solders (very much in the tradition of John Keegan’</w:t>
      </w:r>
      <w:r>
        <w:rPr/>
        <w:t>s seminal work</w:t>
      </w:r>
      <w:r>
        <w:rPr/>
        <w:t xml:space="preserve"> “Face of Battle”) as they spend months in constant combat. However in contrast, the vast majority of time classical era soldiers were not engaged in fighting. While there were numerous battles during the Hellenist</w:t>
      </w:r>
      <w:r>
        <w:rPr/>
        <w:t>ic</w:t>
      </w:r>
      <w:r>
        <w:rPr/>
        <w:t xml:space="preserve"> period filled with confusion and conflict these were comparatively rare (</w:t>
      </w:r>
      <w:r>
        <w:rPr/>
        <w:t>Swanton, 2020</w:t>
      </w:r>
      <w:r>
        <w:rPr/>
        <w:t>). Thus there was a paradox, armies were expensive to maintain but without them in the truest Claus</w:t>
      </w:r>
      <w:r>
        <w:rPr/>
        <w:t>e</w:t>
      </w:r>
      <w:r>
        <w:rPr/>
        <w:t xml:space="preserve">witzian sense there would be no continuation of any political means without them. One way around this, independently used by numerous polities was the use of Mercenaries. These were of course used on the battlefield, with one of the key example in the initial clash of </w:t>
      </w:r>
      <w:r>
        <w:rPr/>
        <w:t>the Macedonians</w:t>
      </w:r>
      <w:r>
        <w:rPr/>
        <w:t xml:space="preserve"> versus Persians at </w:t>
      </w:r>
      <w:r>
        <w:rPr/>
        <w:t>the</w:t>
      </w:r>
      <w:r>
        <w:rPr/>
        <w:t xml:space="preserve"> G</w:t>
      </w:r>
      <w:r>
        <w:rPr/>
        <w:t>ranicus</w:t>
      </w:r>
      <w:r>
        <w:rPr/>
        <w:t xml:space="preserve"> (Arrian) as well as being used as specialised units  (</w:t>
      </w:r>
      <w:r>
        <w:rPr/>
        <w:t>for example the</w:t>
      </w:r>
      <w:r>
        <w:rPr/>
        <w:t xml:space="preserve"> Cretan Slingers (</w:t>
      </w:r>
      <w:r>
        <w:rPr/>
        <w:t xml:space="preserve">English, </w:t>
      </w:r>
      <w:r>
        <w:rPr/>
        <w:t>2012</w:t>
      </w:r>
      <w:r>
        <w:rPr/>
        <w:t xml:space="preserve">)). Other modes of employment outside the battle zone were as garrison units. These troops freed up forces that were deemed more reliable to the regime as well as holding onto territory beyond an empire’s metropole.  However, these mercenary soldiers were not bound by the same ties of loyalty and honour that mostly held between the Macedonian people and their king </w:t>
      </w:r>
      <w:r>
        <w:rPr/>
        <w:t xml:space="preserve">(although even that was frayed if wages were too late </w:t>
      </w:r>
      <w:r>
        <w:rPr/>
        <w:t>(Holt, 2016, p.</w:t>
      </w:r>
      <w:r>
        <w:rPr/>
        <w:t>17</w:t>
      </w:r>
      <w:r>
        <w:rPr/>
        <w:t>)</w:t>
      </w:r>
      <w:r>
        <w:rPr/>
        <w:t>)</w:t>
      </w:r>
      <w:r>
        <w:rPr/>
        <w:t xml:space="preserve">. Hence, an economic motivation was required to maintain these forces </w:t>
      </w:r>
      <w:r>
        <w:rPr/>
        <w:t>and that was found from the aftermath of the greatest smash and loot expedition in history (Holt, 2016, p.11)</w:t>
      </w:r>
      <w:r>
        <w:rPr/>
        <w:t>.</w:t>
      </w:r>
    </w:p>
    <w:p>
      <w:pPr>
        <w:pStyle w:val="TextBody"/>
        <w:bidi w:val="0"/>
        <w:jc w:val="left"/>
        <w:rPr/>
      </w:pPr>
      <w:r>
        <w:rPr/>
      </w:r>
    </w:p>
    <w:p>
      <w:pPr>
        <w:pStyle w:val="Heading2"/>
        <w:rPr/>
      </w:pPr>
      <w:bookmarkStart w:id="5" w:name="__RefHeading___Toc234_675534611"/>
      <w:bookmarkEnd w:id="5"/>
      <w:r>
        <w:rPr/>
        <w:t>Economic Factors – push and pull vectors</w:t>
      </w:r>
    </w:p>
    <w:p>
      <w:pPr>
        <w:pStyle w:val="TextBody"/>
        <w:rPr/>
      </w:pPr>
      <w:r>
        <w:rPr/>
        <w:t xml:space="preserve">A key characteristic of a mercenary is a willingness to fight for pay (English, 2012, p.7). Thus a ready supply of specie is needed for potential employers of such. </w:t>
      </w:r>
      <w:r>
        <w:rPr/>
        <w:t xml:space="preserve">One of the great economic stimulations was the sacking of the Persian empire by Alexander. During an age of Credit and Cryptocurrency, it is perhaps difficult to quantify what this entailed in physical terms. In one of the few consistent statistical detail common across a variety of primary sources, the removal of centuries of stored Persian tribute took the combined logistic effort of thousands of pack animals </w:t>
      </w:r>
      <w:r>
        <w:rPr/>
        <w:t xml:space="preserve">(20,000 mules and 5,000 camels) </w:t>
      </w:r>
      <w:r>
        <w:rPr/>
        <w:t>to remove from the various treasure sites (Holt, 2016, p.</w:t>
      </w:r>
      <w:r>
        <w:rPr/>
        <w:t>12</w:t>
      </w:r>
      <w:r>
        <w:rPr/>
        <w:t>5). Alexander had started his campaign financed by deficit spending and had ended it being master of multiple treasures. While such an endeavour did not occur without a cost in lives and a highly disrupted economy, it did flood the region for decades with a ready supply of precious metals and other valuables that were in part the fuel the fired the successor wars. In Plutarch’s life of Eume</w:t>
      </w:r>
      <w:r>
        <w:rPr/>
        <w:t>n</w:t>
      </w:r>
      <w:r>
        <w:rPr/>
        <w:t xml:space="preserve">es he describes the vast baggage train acquired by such units as the Silver Shields who were veterans of Alexander’s army </w:t>
      </w:r>
      <w:r>
        <w:rPr/>
        <w:t>having had a chance to accumulate much of this treasure</w:t>
      </w:r>
      <w:r>
        <w:rPr/>
        <w:t xml:space="preserve">. </w:t>
      </w:r>
      <w:r>
        <w:rPr/>
        <w:t>Thus the Hellenised world provided a tempting target for other groups seeking their share of this wealth.</w:t>
      </w:r>
    </w:p>
    <w:p>
      <w:pPr>
        <w:pStyle w:val="TextBody"/>
        <w:rPr/>
      </w:pPr>
      <w:r>
        <w:rPr/>
      </w:r>
    </w:p>
    <w:p>
      <w:pPr>
        <w:pStyle w:val="TextBody"/>
        <w:rPr/>
      </w:pPr>
      <w:r>
        <w:rPr/>
      </w:r>
    </w:p>
    <w:p>
      <w:pPr>
        <w:pStyle w:val="Heading2"/>
        <w:bidi w:val="0"/>
        <w:jc w:val="left"/>
        <w:rPr/>
      </w:pPr>
      <w:bookmarkStart w:id="6" w:name="__RefHeading___Toc122_1927450756"/>
      <w:bookmarkEnd w:id="6"/>
      <w:r>
        <w:rPr/>
        <w:t xml:space="preserve">Initial coming of the Galicians </w:t>
      </w:r>
    </w:p>
    <w:p>
      <w:pPr>
        <w:pStyle w:val="TextBody"/>
        <w:bidi w:val="0"/>
        <w:jc w:val="left"/>
        <w:rPr/>
      </w:pPr>
      <w:r>
        <w:rPr/>
        <w:t xml:space="preserve">The history of the Celtic peoples are outside the scope of this paper, though works such as </w:t>
      </w:r>
      <w:r>
        <w:rPr/>
        <w:t>the “Galicians”</w:t>
      </w:r>
      <w:r>
        <w:rPr/>
        <w:t xml:space="preserve"> </w:t>
      </w:r>
      <w:r>
        <w:rPr/>
        <w:t xml:space="preserve">by </w:t>
      </w:r>
      <w:r>
        <w:rPr/>
        <w:t xml:space="preserve">Grainger </w:t>
      </w:r>
      <w:r>
        <w:rPr/>
        <w:t>(2019)</w:t>
      </w:r>
      <w:r>
        <w:rPr/>
        <w:t>,</w:t>
      </w:r>
      <w:r>
        <w:rPr/>
        <w:t xml:space="preserve"> can provide a background that incorporates many archaeological finds as </w:t>
      </w:r>
      <w:r>
        <w:rPr/>
        <w:t xml:space="preserve">(hostile) </w:t>
      </w:r>
      <w:r>
        <w:rPr/>
        <w:t xml:space="preserve">written records are almost exclusively in the domain of settled peoples around the </w:t>
      </w:r>
      <w:r>
        <w:rPr/>
        <w:t>Mediterranean</w:t>
      </w:r>
      <w:r>
        <w:rPr/>
        <w:t xml:space="preserve"> basin that the Celts crashed against on numerous occasions, from the incursions that sacked Rome in the 4</w:t>
      </w:r>
      <w:r>
        <w:rPr>
          <w:vertAlign w:val="superscript"/>
        </w:rPr>
        <w:t>th</w:t>
      </w:r>
      <w:r>
        <w:rPr/>
        <w:t xml:space="preserve"> Century to those that shaped the Galatians in the early 3</w:t>
      </w:r>
      <w:r>
        <w:rPr>
          <w:vertAlign w:val="superscript"/>
        </w:rPr>
        <w:t>rd</w:t>
      </w:r>
      <w:r>
        <w:rPr/>
        <w:t xml:space="preserve"> Century. By this time, the Succession wars had settled into a multi-polar </w:t>
      </w:r>
      <w:r>
        <w:rPr/>
        <w:t xml:space="preserve">political </w:t>
      </w:r>
      <w:r>
        <w:rPr/>
        <w:t>environment with various major and minor Hellenic powers jockeying for primacy, including that of the Seleucid empire whose original ruler, Seleukos Nikator I had been killed in an attempt to gain the Macedonian throne, left vacant by the erasure of Alexander’s blood line by rival dynasts. Thus in a period where only one of the first generation of successors died peacefully,  Ptolemy I, violence was an expected hazard of ruling. However, what was unexpected was the arrival of several bands of Celt</w:t>
      </w:r>
      <w:r>
        <w:rPr/>
        <w:t xml:space="preserve">s </w:t>
      </w:r>
      <w:r>
        <w:rPr/>
        <w:t xml:space="preserve">during the years </w:t>
      </w:r>
      <w:r>
        <w:rPr/>
        <w:t>280 onward</w:t>
      </w:r>
      <w:r>
        <w:rPr/>
        <w:t xml:space="preserve">. After decades of war and in a Macedonia suffering a demographic decline caused by the migration of many men of fighting age and their families, the war bands ravaged as far afield as the Shrine of Delphi and in the process destroyed a field army and the reign of </w:t>
      </w:r>
      <w:r>
        <w:rPr/>
        <w:t xml:space="preserve">Keraunos of Macedon </w:t>
      </w:r>
      <w:r>
        <w:rPr/>
        <w:t>sending shock waves through the Hellenic world.</w:t>
      </w:r>
    </w:p>
    <w:p>
      <w:pPr>
        <w:pStyle w:val="TextBody"/>
        <w:bidi w:val="0"/>
        <w:jc w:val="left"/>
        <w:rPr/>
      </w:pPr>
      <w:r>
        <w:rPr/>
      </w:r>
    </w:p>
    <w:p>
      <w:pPr>
        <w:pStyle w:val="TextBody"/>
        <w:bidi w:val="0"/>
        <w:jc w:val="left"/>
        <w:rPr/>
      </w:pPr>
      <w:r>
        <w:rPr/>
        <w:t xml:space="preserve">It was </w:t>
      </w:r>
      <w:r>
        <w:rPr/>
        <w:t xml:space="preserve">Antigonus II </w:t>
      </w:r>
      <w:r>
        <w:rPr/>
        <w:t xml:space="preserve">(who eventually claimed the non-vacant Macedonia throne) who </w:t>
      </w:r>
      <w:r>
        <w:rPr/>
        <w:t>defeated the Celts which rema</w:t>
      </w:r>
      <w:r>
        <w:rPr/>
        <w:t>i</w:t>
      </w:r>
      <w:r>
        <w:rPr/>
        <w:t>ned in Macedonia (</w:t>
      </w:r>
      <w:r>
        <w:rPr/>
        <w:t xml:space="preserve">Grainger, </w:t>
      </w:r>
      <w:r>
        <w:rPr/>
        <w:t xml:space="preserve">2017, p.18) </w:t>
      </w:r>
      <w:r>
        <w:rPr/>
        <w:t xml:space="preserve">employing the novel strategy of hiring one band of Celts to fight against another </w:t>
      </w:r>
      <w:r>
        <w:rPr/>
        <w:t>band of invaders.</w:t>
      </w:r>
    </w:p>
    <w:p>
      <w:pPr>
        <w:pStyle w:val="TextBody"/>
        <w:bidi w:val="0"/>
        <w:jc w:val="left"/>
        <w:rPr/>
      </w:pPr>
      <w:r>
        <w:rPr/>
      </w:r>
    </w:p>
    <w:p>
      <w:pPr>
        <w:pStyle w:val="TextBody"/>
        <w:bidi w:val="0"/>
        <w:jc w:val="left"/>
        <w:rPr/>
      </w:pPr>
      <w:r>
        <w:rPr/>
        <w:t xml:space="preserve">That a rivulet of this wave of Celts (a mostly non-sea faring people) happened across the Black sea is in part due to the turbulent period and marks their employment as paid soldiers </w:t>
      </w:r>
      <w:r>
        <w:rPr/>
        <w:t>in that region</w:t>
      </w:r>
      <w:r>
        <w:rPr/>
        <w:t xml:space="preserve">. In the </w:t>
      </w:r>
      <w:r>
        <w:rPr/>
        <w:t>area</w:t>
      </w:r>
      <w:r>
        <w:rPr/>
        <w:t xml:space="preserve"> of Bithynia, a claimant to a regional throne named Nicomedes invited them as mercenaries in a fratricidal civil dispute (Errington, 2008, p.115). </w:t>
      </w:r>
    </w:p>
    <w:p>
      <w:pPr>
        <w:pStyle w:val="TextBody"/>
        <w:bidi w:val="0"/>
        <w:jc w:val="left"/>
        <w:rPr/>
      </w:pPr>
      <w:r>
        <w:rPr/>
        <w:t xml:space="preserve">By </w:t>
      </w:r>
      <w:r>
        <w:rPr/>
        <w:t xml:space="preserve">269, </w:t>
      </w:r>
      <w:r>
        <w:rPr/>
        <w:t>after the</w:t>
      </w:r>
      <w:r>
        <w:rPr/>
        <w:t xml:space="preserve"> battle of the Elephants Antiochus I </w:t>
      </w:r>
      <w:r>
        <w:rPr/>
        <w:t>had checked their expansion into core Seleucid lands</w:t>
      </w:r>
      <w:r>
        <w:rPr/>
        <w:t xml:space="preserve">. </w:t>
      </w:r>
      <w:r>
        <w:rPr/>
        <w:t>However, given the e</w:t>
      </w:r>
      <w:r>
        <w:rPr/>
        <w:t xml:space="preserve">ndemic shortage of manpower, </w:t>
      </w:r>
      <w:r>
        <w:rPr/>
        <w:t xml:space="preserve">he had </w:t>
      </w:r>
      <w:r>
        <w:rPr/>
        <w:t xml:space="preserve">allowed them to settle in the region </w:t>
      </w:r>
      <w:r>
        <w:rPr/>
        <w:t>as a reservoir of potential mercenary recruits</w:t>
      </w:r>
      <w:r>
        <w:rPr/>
        <w:t xml:space="preserve">. </w:t>
      </w:r>
      <w:r>
        <w:rPr/>
        <w:t>The Celts were now t</w:t>
      </w:r>
      <w:r>
        <w:rPr/>
        <w:t xml:space="preserve">he bogey men of Greek imagination, replacing that of the Persians (Errington, 2008, p.115). </w:t>
      </w:r>
      <w:r>
        <w:rPr/>
        <w:t>Thus a</w:t>
      </w:r>
      <w:r>
        <w:rPr/>
        <w:t xml:space="preserve">s a marketing ploy there are worse reputations to have bestowed </w:t>
      </w:r>
      <w:r>
        <w:rPr/>
        <w:t>for those s</w:t>
      </w:r>
      <w:r>
        <w:rPr/>
        <w:t>ettled in the Anatolian highlands.</w:t>
      </w:r>
    </w:p>
    <w:p>
      <w:pPr>
        <w:pStyle w:val="TextBody"/>
        <w:bidi w:val="0"/>
        <w:jc w:val="left"/>
        <w:rPr/>
      </w:pPr>
      <w:r>
        <w:rPr/>
      </w:r>
    </w:p>
    <w:p>
      <w:pPr>
        <w:pStyle w:val="TextBody"/>
        <w:bidi w:val="0"/>
        <w:jc w:val="left"/>
        <w:rPr/>
      </w:pPr>
      <w:r>
        <w:rPr/>
      </w:r>
    </w:p>
    <w:p>
      <w:pPr>
        <w:pStyle w:val="Heading2"/>
        <w:bidi w:val="0"/>
        <w:jc w:val="left"/>
        <w:rPr/>
      </w:pPr>
      <w:bookmarkStart w:id="7" w:name="__RefHeading___Toc126_19274507561"/>
      <w:bookmarkEnd w:id="7"/>
      <w:r>
        <w:rPr/>
        <w:t xml:space="preserve">Geography of Anatolia </w:t>
      </w:r>
    </w:p>
    <w:p>
      <w:pPr>
        <w:pStyle w:val="TextBody"/>
        <w:bidi w:val="0"/>
        <w:jc w:val="left"/>
        <w:rPr/>
      </w:pPr>
      <w:r>
        <w:rPr/>
        <w:t xml:space="preserve">From Google Earth, the region settled by the Galatian has a number of virtues. Key of which is the defensibility. </w:t>
      </w:r>
      <w:r>
        <w:rPr/>
        <w:t>The land has been described as a dry arid plateau ideal for pastoral cultivation of herd animals (</w:t>
      </w:r>
      <w:r>
        <w:rPr/>
        <w:t xml:space="preserve">Grainger, </w:t>
      </w:r>
      <w:r>
        <w:rPr/>
        <w:t>2019, p.177). As well, the famed Galatian horses calvary thrived here</w:t>
      </w:r>
    </w:p>
    <w:p>
      <w:pPr>
        <w:pStyle w:val="TextBody"/>
        <w:bidi w:val="0"/>
        <w:jc w:val="left"/>
        <w:rPr/>
      </w:pPr>
      <w:r>
        <w:rPr/>
      </w:r>
    </w:p>
    <w:p>
      <w:pPr>
        <w:pStyle w:val="TextBody"/>
        <w:bidi w:val="0"/>
        <w:jc w:val="left"/>
        <w:rPr/>
      </w:pPr>
      <w:r>
        <w:rPr/>
      </w:r>
    </w:p>
    <w:p>
      <w:pPr>
        <w:pStyle w:val="Heading2"/>
        <w:bidi w:val="0"/>
        <w:jc w:val="left"/>
        <w:rPr/>
      </w:pPr>
      <w:bookmarkStart w:id="8" w:name="__RefHeading___Toc124_1927450756"/>
      <w:bookmarkEnd w:id="8"/>
      <w:r>
        <w:rPr/>
        <w:t>Mercenaries in other Hellenic polities</w:t>
      </w:r>
    </w:p>
    <w:p>
      <w:pPr>
        <w:pStyle w:val="TextBody"/>
        <w:bidi w:val="0"/>
        <w:jc w:val="left"/>
        <w:rPr/>
      </w:pPr>
      <w:r>
        <w:rPr/>
        <w:t xml:space="preserve">As mentioned, the role of the mercenaries in the Greek world had a long lineage. </w:t>
      </w:r>
      <w:r>
        <w:rPr/>
        <w:t xml:space="preserve">As Greece was a comparatively poor country yet in constant strife, the export of Mercenaries had a long tradition, best exemplified by Xenophon’s 10,000. </w:t>
      </w:r>
    </w:p>
    <w:p>
      <w:pPr>
        <w:pStyle w:val="TextBody"/>
        <w:bidi w:val="0"/>
        <w:jc w:val="left"/>
        <w:rPr/>
      </w:pPr>
      <w:r>
        <w:rPr/>
      </w:r>
    </w:p>
    <w:p>
      <w:pPr>
        <w:pStyle w:val="TextBody"/>
        <w:bidi w:val="0"/>
        <w:jc w:val="left"/>
        <w:rPr/>
      </w:pPr>
      <w:r>
        <w:rPr/>
        <w:t>In Egypt, an upper stratum of Greeks/Macedonians were in essence in a feudal relationship with the Egypt</w:t>
      </w:r>
      <w:r>
        <w:rPr/>
        <w:t>ian</w:t>
      </w:r>
      <w:r>
        <w:rPr/>
        <w:t xml:space="preserve"> labouring class that provide the means to harvest the agricultural riches of the Black Nile and the Egyptian priestly class who acted as a favoured intermediary between rulers and ruled. For the former, there was always a need for more immigration. One solution was setting up military colonists, </w:t>
      </w:r>
      <w:r>
        <w:rPr/>
        <w:t>(</w:t>
      </w:r>
      <w:r>
        <w:rPr/>
        <w:t xml:space="preserve">Grainger, </w:t>
      </w:r>
      <w:r>
        <w:rPr/>
        <w:t>2017, p</w:t>
      </w:r>
      <w:r>
        <w:rPr/>
        <w:t>.</w:t>
      </w:r>
      <w:r>
        <w:rPr/>
        <w:t>178</w:t>
      </w:r>
      <w:r>
        <w:rPr/>
        <w:t>)</w:t>
      </w:r>
      <w:r>
        <w:rPr/>
        <w:t xml:space="preserve">. The other was the hiring of mercenaries. </w:t>
      </w:r>
    </w:p>
    <w:p>
      <w:pPr>
        <w:pStyle w:val="TextBody"/>
        <w:bidi w:val="0"/>
        <w:jc w:val="left"/>
        <w:rPr/>
      </w:pPr>
      <w:r>
        <w:rPr/>
      </w:r>
    </w:p>
    <w:p>
      <w:pPr>
        <w:pStyle w:val="TextBody"/>
        <w:bidi w:val="0"/>
        <w:jc w:val="left"/>
        <w:rPr/>
      </w:pPr>
      <w:r>
        <w:rPr/>
        <w:t>However, this was not without problems such there provide to be a cultural incompatibility. This proved to be so in the reign of P</w:t>
      </w:r>
      <w:r>
        <w:rPr/>
        <w:t>tolemy</w:t>
      </w:r>
      <w:r>
        <w:rPr/>
        <w:t xml:space="preserve"> II, </w:t>
      </w:r>
      <w:r>
        <w:rPr/>
        <w:t>when a regiment of Galatians went on strike (</w:t>
      </w:r>
      <w:r>
        <w:rPr/>
        <w:t xml:space="preserve">Grainger, </w:t>
      </w:r>
      <w:r>
        <w:rPr/>
        <w:t>2017, p</w:t>
      </w:r>
      <w:r>
        <w:rPr/>
        <w:t>.</w:t>
      </w:r>
      <w:r>
        <w:rPr/>
        <w:t>57).</w:t>
      </w:r>
      <w:r>
        <w:rPr/>
        <w:t xml:space="preserve"> </w:t>
      </w:r>
      <w:r>
        <w:rPr/>
        <w:t xml:space="preserve">Mirroring the actions of Alexander the Great at </w:t>
      </w:r>
      <w:r>
        <w:rPr/>
        <w:t xml:space="preserve">Granicus (334 BC) </w:t>
      </w:r>
      <w:r>
        <w:rPr/>
        <w:t>with the</w:t>
      </w:r>
      <w:r>
        <w:rPr/>
        <w:t xml:space="preserve"> massacre of mercenaries, show</w:t>
      </w:r>
      <w:r>
        <w:rPr/>
        <w:t xml:space="preserve">ed </w:t>
      </w:r>
      <w:r>
        <w:rPr/>
        <w:t xml:space="preserve">greater concern for political rather than economic gain </w:t>
      </w:r>
      <w:r>
        <w:rPr/>
        <w:t>(Holt, 2016, p.75)</w:t>
      </w:r>
    </w:p>
    <w:p>
      <w:pPr>
        <w:pStyle w:val="TextBody"/>
        <w:bidi w:val="0"/>
        <w:jc w:val="left"/>
        <w:rPr/>
      </w:pPr>
      <w:r>
        <w:rPr/>
      </w:r>
    </w:p>
    <w:p>
      <w:pPr>
        <w:pStyle w:val="TextBody"/>
        <w:bidi w:val="0"/>
        <w:jc w:val="left"/>
        <w:rPr/>
      </w:pPr>
      <w:r>
        <w:rPr/>
        <w:t xml:space="preserve">While in the short-term, some kudos could have been gained by linking these Galatians with the iconoclasts that ravaged Delphi, in the long term this would have provided a barrier to hiring more such troops where they could receive a less fraught welcome in other realms, for instance that of the Seleucid’s. </w:t>
      </w:r>
    </w:p>
    <w:p>
      <w:pPr>
        <w:pStyle w:val="TextBody"/>
        <w:bidi w:val="0"/>
        <w:jc w:val="left"/>
        <w:rPr/>
      </w:pPr>
      <w:r>
        <w:rPr/>
      </w:r>
    </w:p>
    <w:p>
      <w:pPr>
        <w:pStyle w:val="TextBody"/>
        <w:bidi w:val="0"/>
        <w:jc w:val="left"/>
        <w:rPr/>
      </w:pPr>
      <w:r>
        <w:rPr/>
      </w:r>
    </w:p>
    <w:p>
      <w:pPr>
        <w:pStyle w:val="TextBody"/>
        <w:bidi w:val="0"/>
        <w:jc w:val="left"/>
        <w:rPr/>
      </w:pPr>
      <w:r>
        <w:rPr/>
      </w:r>
      <w:bookmarkStart w:id="9" w:name="__RefHeading___Toc126_1927450756"/>
      <w:bookmarkStart w:id="10" w:name="__RefHeading___Toc126_1927450756"/>
      <w:bookmarkEnd w:id="10"/>
    </w:p>
    <w:p>
      <w:pPr>
        <w:pStyle w:val="Heading2"/>
        <w:bidi w:val="0"/>
        <w:jc w:val="left"/>
        <w:rPr/>
      </w:pPr>
      <w:bookmarkStart w:id="11" w:name="__RefHeading___Toc128_1927450756"/>
      <w:bookmarkEnd w:id="11"/>
      <w:r>
        <w:rPr/>
        <w:t>Unique aspects of Seleucid society that favoured Mercenaries</w:t>
      </w:r>
    </w:p>
    <w:p>
      <w:pPr>
        <w:pStyle w:val="TextBody"/>
        <w:bidi w:val="0"/>
        <w:jc w:val="left"/>
        <w:rPr/>
      </w:pPr>
      <w:r>
        <w:rPr/>
        <w:t>Of all the successor states, the Seleucid was the largest and deemed to be a major participant in the international completion during its first 150 years of existence (</w:t>
      </w:r>
      <w:r>
        <w:rPr/>
        <w:t>Grainger</w:t>
      </w:r>
      <w:r>
        <w:rPr/>
        <w:t xml:space="preserve">, </w:t>
      </w:r>
      <w:r>
        <w:rPr/>
        <w:t>2015</w:t>
      </w:r>
      <w:r>
        <w:rPr/>
        <w:t>, p.8). Thus there was a need to maintain its standing in competition with other Hellenic and Non-Hellenic kingdoms. In this environment, what were the factors that allowed a non-Greek speaking group such as the Celtic Galatians to flourish. The Seleucid empire provided a magnet for such mercenaries that other powers (such as the naval power of Rhodes or the already infantry rich Macedonia lacked)</w:t>
      </w:r>
    </w:p>
    <w:p>
      <w:pPr>
        <w:pStyle w:val="TextBody"/>
        <w:bidi w:val="0"/>
        <w:jc w:val="left"/>
        <w:rPr/>
      </w:pPr>
      <w:r>
        <w:rPr/>
      </w:r>
    </w:p>
    <w:p>
      <w:pPr>
        <w:pStyle w:val="TextBody"/>
        <w:bidi w:val="0"/>
        <w:jc w:val="left"/>
        <w:rPr/>
      </w:pPr>
      <w:r>
        <w:rPr>
          <w:b/>
          <w:bCs/>
        </w:rPr>
        <w:t>Heterogeneous population.</w:t>
      </w:r>
      <w:r>
        <w:rPr/>
        <w:t xml:space="preserve"> </w:t>
      </w:r>
    </w:p>
    <w:p>
      <w:pPr>
        <w:pStyle w:val="TextBody"/>
        <w:bidi w:val="0"/>
        <w:jc w:val="left"/>
        <w:rPr/>
      </w:pPr>
      <w:r>
        <w:rPr/>
        <w:t xml:space="preserve">Even more than Ptolemaic Egypt, the Greek/Macedonian population was a thin </w:t>
      </w:r>
      <w:r>
        <w:rPr/>
        <w:t>veneer</w:t>
      </w:r>
      <w:r>
        <w:rPr/>
        <w:t xml:space="preserve"> over series of lands that for a thousand year saw a mosaic of empires rise and fall with the consequent migration/deportation of peoples across the region as practised by Assyrians and others (Harrison, 2021). Thus a</w:t>
      </w:r>
      <w:r>
        <w:rPr/>
        <w:t>n</w:t>
      </w:r>
      <w:r>
        <w:rPr/>
        <w:t xml:space="preserve"> issue of Galatian’s origin, outside this area, could have been an advantage as they were not associated with any of the previous waves of displacement (such as the Jewish Babylonian exile) nor with the recent Hellenistic destruction of the Persian empire. Hence, given their position as the “other” this outsider group has likely neither to associate too much with the garrisoned native population or to provide resentment based on perceived historical wrongs. </w:t>
      </w:r>
      <w:r>
        <w:rPr/>
        <w:t xml:space="preserve">To further cement Galatian loyalty, the </w:t>
      </w:r>
      <w:r>
        <w:rPr/>
        <w:t>Seleucids</w:t>
      </w:r>
      <w:r>
        <w:rPr/>
        <w:t xml:space="preserve"> on occasion instigated marriage alliances between Galatian nobles: for instance the marriage of Princess Stratonike in 255 (</w:t>
      </w:r>
      <w:r>
        <w:rPr/>
        <w:t xml:space="preserve">Grainger, </w:t>
      </w:r>
      <w:r>
        <w:rPr/>
        <w:t>2017, p.27).</w:t>
      </w:r>
    </w:p>
    <w:p>
      <w:pPr>
        <w:pStyle w:val="TextBody"/>
        <w:bidi w:val="0"/>
        <w:jc w:val="left"/>
        <w:rPr/>
      </w:pPr>
      <w:r>
        <w:rPr/>
      </w:r>
    </w:p>
    <w:p>
      <w:pPr>
        <w:pStyle w:val="TextBody"/>
        <w:bidi w:val="0"/>
        <w:jc w:val="left"/>
        <w:rPr>
          <w:b/>
          <w:b/>
          <w:bCs/>
        </w:rPr>
      </w:pPr>
      <w:r>
        <w:rPr>
          <w:b/>
          <w:bCs/>
        </w:rPr>
        <w:t>Calvary: Unique talent tree</w:t>
      </w:r>
    </w:p>
    <w:p>
      <w:pPr>
        <w:pStyle w:val="TextBody"/>
        <w:bidi w:val="0"/>
        <w:jc w:val="left"/>
        <w:rPr/>
      </w:pPr>
      <w:r>
        <w:rPr/>
        <w:t xml:space="preserve">The Greek/Macedonian military model had a number of strengths in their land armies. These consisted of both heavy armoured infantry and lightly armoured skirmisher / ranged units. However due to geographic constants,  horses in the form of mounted troops were not widespread in the Greek homeland and as mentioned Thracian calvary was often hired for that role. With the expansion into Asia Minor, these were no longer as readily available. There was precedence for hiring from Steppe nomads, mostly mounted archers, but this would have been an unreliable resource given the migratory nature of these people. Galatians were known for a number of combat types, from war-band to that of Calvary. Reports of the latter being a part of various Seleucid armies are noted </w:t>
      </w:r>
      <w:r>
        <w:rPr/>
        <w:t>feature</w:t>
      </w:r>
      <w:r>
        <w:rPr/>
        <w:t>s</w:t>
      </w:r>
      <w:r>
        <w:rPr/>
        <w:t xml:space="preserve"> of such </w:t>
      </w:r>
      <w:r>
        <w:rPr/>
        <w:t>(</w:t>
      </w:r>
      <w:r>
        <w:rPr/>
        <w:t xml:space="preserve">Grainger, </w:t>
      </w:r>
      <w:r>
        <w:rPr/>
        <w:t>2015)</w:t>
      </w:r>
      <w:r>
        <w:rPr/>
        <w:t>.</w:t>
      </w:r>
    </w:p>
    <w:p>
      <w:pPr>
        <w:pStyle w:val="TextBody"/>
        <w:bidi w:val="0"/>
        <w:jc w:val="left"/>
        <w:rPr/>
      </w:pPr>
      <w:r>
        <w:rPr/>
      </w:r>
    </w:p>
    <w:p>
      <w:pPr>
        <w:pStyle w:val="TextBody"/>
        <w:bidi w:val="0"/>
        <w:jc w:val="left"/>
        <w:rPr/>
      </w:pPr>
      <w:r>
        <w:rPr>
          <w:b/>
          <w:bCs/>
        </w:rPr>
        <w:t>Economic</w:t>
      </w:r>
      <w:r>
        <w:rPr/>
        <w:t xml:space="preserve"> </w:t>
      </w:r>
    </w:p>
    <w:p>
      <w:pPr>
        <w:pStyle w:val="TextBody"/>
        <w:bidi w:val="0"/>
        <w:jc w:val="left"/>
        <w:rPr/>
      </w:pPr>
      <w:r>
        <w:rPr/>
        <w:t xml:space="preserve">The surplus of the division </w:t>
      </w:r>
      <w:r>
        <w:rPr/>
        <w:t>of the Persian empire</w:t>
      </w:r>
      <w:r>
        <w:rPr/>
        <w:t xml:space="preserve"> has been discussed. There are also numerous coinage releases throughout the Seleucid era, marking events and new kings. This suggests an economy robust enough for the extraction of taxes so as to provide the costs of hiring mercenaries. This compares with the Roman custom of creating allies of local communities and allowing these contingents to serve as Socaii (allies) instead of levying such taxes.</w:t>
      </w:r>
    </w:p>
    <w:p>
      <w:pPr>
        <w:pStyle w:val="TextBody"/>
        <w:bidi w:val="0"/>
        <w:jc w:val="left"/>
        <w:rPr/>
      </w:pPr>
      <w:r>
        <w:rPr/>
      </w:r>
    </w:p>
    <w:p>
      <w:pPr>
        <w:pStyle w:val="TextBody"/>
        <w:bidi w:val="0"/>
        <w:jc w:val="left"/>
        <w:rPr>
          <w:b/>
          <w:b/>
          <w:bCs/>
        </w:rPr>
      </w:pPr>
      <w:r>
        <w:rPr>
          <w:b/>
          <w:bCs/>
        </w:rPr>
        <w:t>Constant Wars</w:t>
      </w:r>
    </w:p>
    <w:p>
      <w:pPr>
        <w:pStyle w:val="TextBody"/>
        <w:bidi w:val="0"/>
        <w:jc w:val="left"/>
        <w:rPr/>
      </w:pPr>
      <w:r>
        <w:rPr/>
        <w:t>Several</w:t>
      </w:r>
      <w:r>
        <w:rPr/>
        <w:t xml:space="preserve"> major factors provided the impetus for the at times fractious relationships between the Seleucid</w:t>
      </w:r>
      <w:r>
        <w:rPr/>
        <w:t>s</w:t>
      </w:r>
      <w:r>
        <w:rPr/>
        <w:t xml:space="preserve"> and their neighbours. One being zones of conflict, akin to the Balkans of last century, where Hellenistic dynastic rivalries played out. For example the contested region of K</w:t>
      </w:r>
      <w:r>
        <w:rPr/>
        <w:t xml:space="preserve">oile </w:t>
      </w:r>
      <w:r>
        <w:rPr/>
        <w:t>Syria was the reason for at least six wars between the Ptolemaic</w:t>
      </w:r>
      <w:r>
        <w:rPr/>
        <w:t xml:space="preserve"> </w:t>
      </w:r>
      <w:r>
        <w:rPr/>
        <w:t xml:space="preserve">and Seleucid </w:t>
      </w:r>
      <w:r>
        <w:rPr/>
        <w:t xml:space="preserve">houses </w:t>
      </w:r>
      <w:r>
        <w:rPr/>
        <w:t>(Holt, 2016, p.5)</w:t>
      </w:r>
    </w:p>
    <w:p>
      <w:pPr>
        <w:pStyle w:val="TextBody"/>
        <w:bidi w:val="0"/>
        <w:jc w:val="left"/>
        <w:rPr/>
      </w:pPr>
      <w:r>
        <w:rPr/>
      </w:r>
    </w:p>
    <w:p>
      <w:pPr>
        <w:pStyle w:val="TextBody"/>
        <w:bidi w:val="0"/>
        <w:jc w:val="left"/>
        <w:rPr/>
      </w:pPr>
      <w:r>
        <w:rPr/>
        <w:t xml:space="preserve">Another factor was the centrifugal nature of the empire, as distance regions were liable to achieve de-facto independence. Even in a state with a strong centralising </w:t>
      </w:r>
      <w:r>
        <w:rPr/>
        <w:t>tendency</w:t>
      </w:r>
      <w:r>
        <w:rPr/>
        <w:t xml:space="preserve"> with a built up network of logistic supports (such as the famed Persian pony express) rebellions were common-place, either encouraged by dynastic rivals or from organic dissatisfaction from below. </w:t>
      </w:r>
    </w:p>
    <w:p>
      <w:pPr>
        <w:pStyle w:val="TextBody"/>
        <w:bidi w:val="0"/>
        <w:jc w:val="left"/>
        <w:rPr/>
      </w:pPr>
      <w:r>
        <w:rPr/>
      </w:r>
    </w:p>
    <w:p>
      <w:pPr>
        <w:pStyle w:val="TextBody"/>
        <w:bidi w:val="0"/>
        <w:jc w:val="left"/>
        <w:rPr/>
      </w:pPr>
      <w:r>
        <w:rPr/>
        <w:t xml:space="preserve">Finally, as the claim to the throne became more disputed for each successor, was the use of mercenaries by the various pretenders. (Errington, 2008, p.129). For instance Antiochus Hierax use of the Galatians in the War of the Brothers and as well their role in bringing to an end the reign of Seleukos III. </w:t>
      </w:r>
      <w:r>
        <w:rPr/>
        <w:t>By the start of the 1</w:t>
      </w:r>
      <w:r>
        <w:rPr>
          <w:vertAlign w:val="superscript"/>
        </w:rPr>
        <w:t>st</w:t>
      </w:r>
      <w:r>
        <w:rPr/>
        <w:t xml:space="preserve"> Century, </w:t>
      </w:r>
      <w:r>
        <w:rPr/>
        <w:t xml:space="preserve">however </w:t>
      </w:r>
      <w:r>
        <w:rPr/>
        <w:t xml:space="preserve">none had the backing, wealth or most importantly military force to re-establish a firm foothold on the Seleucid throne </w:t>
      </w:r>
      <w:r>
        <w:rPr/>
        <w:t xml:space="preserve"> (</w:t>
      </w:r>
      <w:r>
        <w:rPr/>
        <w:t xml:space="preserve">Grainger, </w:t>
      </w:r>
      <w:r>
        <w:rPr/>
        <w:t>2015, p.2</w:t>
      </w:r>
      <w:r>
        <w:rPr/>
        <w:t>55</w:t>
      </w:r>
      <w:r>
        <w:rPr/>
        <w:t>).</w:t>
      </w:r>
    </w:p>
    <w:p>
      <w:pPr>
        <w:pStyle w:val="TextBody"/>
        <w:bidi w:val="0"/>
        <w:jc w:val="left"/>
        <w:rPr/>
      </w:pPr>
      <w:r>
        <w:rPr/>
      </w:r>
    </w:p>
    <w:p>
      <w:pPr>
        <w:pStyle w:val="TextBody"/>
        <w:bidi w:val="0"/>
        <w:jc w:val="left"/>
        <w:rPr/>
      </w:pPr>
      <w:r>
        <w:rPr/>
        <w:t xml:space="preserve">In such an environment, there would be a seller’s market for mercenaries’ services </w:t>
      </w:r>
      <w:r>
        <w:rPr/>
        <w:t>as “The hard fact remains that successful ancient wars produced profits, and that ancient leaders were fully aware of that possibility.” (Holt, 2016, p.34)</w:t>
      </w:r>
    </w:p>
    <w:p>
      <w:pPr>
        <w:pStyle w:val="TextBody"/>
        <w:bidi w:val="0"/>
        <w:jc w:val="left"/>
        <w:rPr/>
      </w:pPr>
      <w:r>
        <w:rPr/>
      </w:r>
    </w:p>
    <w:p>
      <w:pPr>
        <w:pStyle w:val="TextBody"/>
        <w:bidi w:val="0"/>
        <w:jc w:val="left"/>
        <w:rPr/>
      </w:pPr>
      <w:r>
        <w:rPr/>
      </w:r>
    </w:p>
    <w:p>
      <w:pPr>
        <w:pStyle w:val="Heading2"/>
        <w:bidi w:val="0"/>
        <w:jc w:val="left"/>
        <w:rPr/>
      </w:pPr>
      <w:bookmarkStart w:id="12" w:name="__RefHeading___Toc130_1927450756"/>
      <w:bookmarkEnd w:id="12"/>
      <w:r>
        <w:rPr/>
        <w:t xml:space="preserve">Diplomacy and treaties with Galicians </w:t>
      </w:r>
    </w:p>
    <w:p>
      <w:pPr>
        <w:pStyle w:val="TextBody"/>
        <w:bidi w:val="0"/>
        <w:jc w:val="left"/>
        <w:rPr/>
      </w:pPr>
      <w:r>
        <w:rPr/>
        <w:t>In the era of Clausewitz, there had developed an elaborate mechanism for the creation of treaties between states. Henry Kissinger’s work “</w:t>
      </w:r>
      <w:r>
        <w:rPr/>
        <w:t>A World restored”</w:t>
      </w:r>
      <w:r>
        <w:rPr/>
        <w:t xml:space="preserve"> stands as one the best work on the subject. However this did not mean that treaties were always kept between their signator</w:t>
      </w:r>
      <w:r>
        <w:rPr/>
        <w:t>ies</w:t>
      </w:r>
      <w:r>
        <w:rPr/>
        <w:t xml:space="preserve">. In the Hellenistic era, this forma infrastructure was not in place but treaties were often as not honoured. A key reason for this was that, unlikely perhaps modern states which lack such a concept, the familial honour keeping ones word was deemed of high social importance. One caveat being that such treaty agreements were bound to serve only for the lifetime of pact members and would then lapse </w:t>
      </w:r>
      <w:r>
        <w:rPr/>
        <w:t>(</w:t>
      </w:r>
      <w:r>
        <w:rPr/>
        <w:t xml:space="preserve">Grainger, </w:t>
      </w:r>
      <w:r>
        <w:rPr/>
        <w:t>2017, p.197).</w:t>
      </w:r>
      <w:r>
        <w:rPr/>
        <w:t xml:space="preserve"> Results of this were manifold. One being that at the end of a ruler’s reign, many provincial elites did not then feel bound to maintain allegiance to the ruler’s successor. This lead to many contested early years, with Antiochus III being an example of a new ruler being bes</w:t>
      </w:r>
      <w:r>
        <w:rPr/>
        <w:t>e</w:t>
      </w:r>
      <w:r>
        <w:rPr/>
        <w:t xml:space="preserve">t. Another was that agreements between non-state actors, such as mercenary groups would likewise be honoured. Modern historians have noted, </w:t>
      </w:r>
      <w:r>
        <w:rPr/>
        <w:t>(Grainger, 2019)</w:t>
      </w:r>
      <w:r>
        <w:rPr/>
        <w:t xml:space="preserve">, that the Galicians were </w:t>
      </w:r>
      <w:r>
        <w:rPr/>
        <w:t>usually scrupulous</w:t>
      </w:r>
      <w:r>
        <w:rPr/>
        <w:t xml:space="preserve"> in maintaining their compacts with their employers, </w:t>
      </w:r>
      <w:r>
        <w:rPr/>
        <w:t xml:space="preserve">fulfilling a key attribute of a good mercenary that of loyalty for the duration of the contract of service </w:t>
      </w:r>
      <w:r>
        <w:rPr/>
        <w:t>(English, 2012, p.</w:t>
      </w:r>
      <w:r>
        <w:rPr/>
        <w:t>8</w:t>
      </w:r>
      <w:r>
        <w:rPr/>
        <w:t xml:space="preserve">). </w:t>
      </w:r>
      <w:r>
        <w:rPr/>
        <w:t>For instance, the Galatians went beyond this normal practice by maintaining a multi-generation</w:t>
      </w:r>
      <w:r>
        <w:rPr/>
        <w:t>al</w:t>
      </w:r>
      <w:r>
        <w:rPr/>
        <w:t xml:space="preserve"> alliance with the kingdom of Bithynia (Grainger, 2017, p.21).</w:t>
      </w:r>
    </w:p>
    <w:p>
      <w:pPr>
        <w:pStyle w:val="TextBody"/>
        <w:bidi w:val="0"/>
        <w:jc w:val="left"/>
        <w:rPr/>
      </w:pPr>
      <w:r>
        <w:rPr/>
      </w:r>
    </w:p>
    <w:p>
      <w:pPr>
        <w:pStyle w:val="TextBody"/>
        <w:bidi w:val="0"/>
        <w:jc w:val="left"/>
        <w:rPr/>
      </w:pPr>
      <w:r>
        <w:rPr/>
      </w:r>
    </w:p>
    <w:p>
      <w:pPr>
        <w:pStyle w:val="Heading2"/>
        <w:bidi w:val="0"/>
        <w:jc w:val="left"/>
        <w:rPr/>
      </w:pPr>
      <w:bookmarkStart w:id="13" w:name="__RefHeading___Toc132_1927450756"/>
      <w:bookmarkEnd w:id="13"/>
      <w:r>
        <w:rPr/>
        <w:t>Galatia, the coming of Rome and the passing of the Kingdoms</w:t>
      </w:r>
    </w:p>
    <w:p>
      <w:pPr>
        <w:pStyle w:val="TextBody"/>
        <w:bidi w:val="0"/>
        <w:jc w:val="left"/>
        <w:rPr/>
      </w:pPr>
      <w:r>
        <w:rPr/>
        <w:t>As shown the fates of the Seleucid</w:t>
      </w:r>
      <w:r>
        <w:rPr/>
        <w:t>s</w:t>
      </w:r>
      <w:r>
        <w:rPr/>
        <w:t xml:space="preserve"> and Galatians were intertwined and so as one waned as did the other. </w:t>
      </w:r>
      <w:r>
        <w:rPr/>
        <w:t xml:space="preserve">At the pivotal battle of Magnesia (190) a major contingent of Gallic calvary were part of Antiochus III’s force </w:t>
      </w:r>
      <w:r>
        <w:rPr/>
        <w:t>but even with such a force, Roman victory signalled a downturn in fortune for both.</w:t>
      </w:r>
      <w:r>
        <w:rPr/>
        <w:t xml:space="preserve"> By 150, historians deem </w:t>
      </w:r>
      <w:r>
        <w:rPr/>
        <w:t>that</w:t>
      </w:r>
      <w:r>
        <w:rPr/>
        <w:t xml:space="preserve"> the Seleucid empire was in decline (</w:t>
      </w:r>
      <w:r>
        <w:rPr/>
        <w:t>Grainger</w:t>
      </w:r>
      <w:r>
        <w:rPr/>
        <w:t xml:space="preserve">, </w:t>
      </w:r>
      <w:r>
        <w:rPr/>
        <w:t>2015</w:t>
      </w:r>
      <w:r>
        <w:rPr/>
        <w:t xml:space="preserve">, p.8) </w:t>
      </w:r>
      <w:r>
        <w:rPr/>
        <w:t>as had many previous polities</w:t>
      </w:r>
      <w:r>
        <w:rPr/>
        <w:t>. This might been a somewhat a retrospective appraisal, but expansion of Rome during this time went unchecked and the demise of the Seleucids was almost as an afterthought at the tail end of the Mithridatic wars with the conversion of their Syrian heartland into a Roman province by Pompey in 64 (Grainger, 2015, p.255). However in appraising their culture impact historians such as Harrison (2021) claim that the Hellenic tradition of the ruler cult and court had a legacy that borne fruit during the time of the Roman Empire. While a similar fate occurred with Galatia, by this time their population had a such a degre</w:t>
      </w:r>
      <w:r>
        <w:rPr/>
        <w:t>e</w:t>
      </w:r>
      <w:r>
        <w:rPr/>
        <w:t xml:space="preserve"> of Hellenisation that the famous letters of St. Paul were written in Koine Greek </w:t>
      </w:r>
      <w:r>
        <w:rPr/>
        <w:t xml:space="preserve">(replacing Aramaic as the lingua franca of the region (Worthington, 2014 )) </w:t>
      </w:r>
      <w:r>
        <w:rPr/>
        <w:t xml:space="preserve">showing the acceptance of the language, customs and culture had transformed the </w:t>
      </w:r>
      <w:r>
        <w:rPr/>
        <w:t>barbarian</w:t>
      </w:r>
      <w:r>
        <w:rPr/>
        <w:t xml:space="preserve"> Galatians into one of the many peoples part of the greater Greek world.</w:t>
      </w:r>
    </w:p>
    <w:p>
      <w:pPr>
        <w:pStyle w:val="TextBody"/>
        <w:bidi w:val="0"/>
        <w:jc w:val="left"/>
        <w:rPr/>
      </w:pPr>
      <w:r>
        <w:rPr/>
      </w:r>
    </w:p>
    <w:p>
      <w:pPr>
        <w:pStyle w:val="TextBody"/>
        <w:bidi w:val="0"/>
        <w:jc w:val="left"/>
        <w:rPr/>
      </w:pPr>
      <w:r>
        <w:rPr/>
      </w:r>
    </w:p>
    <w:p>
      <w:pPr>
        <w:pStyle w:val="Heading2"/>
        <w:bidi w:val="0"/>
        <w:jc w:val="left"/>
        <w:rPr/>
      </w:pPr>
      <w:bookmarkStart w:id="14" w:name="__RefHeading___Toc134_1927450756"/>
      <w:bookmarkEnd w:id="14"/>
      <w:r>
        <w:rPr/>
        <w:t xml:space="preserve">Conclusion </w:t>
      </w:r>
    </w:p>
    <w:p>
      <w:pPr>
        <w:pStyle w:val="TextBody"/>
        <w:bidi w:val="0"/>
        <w:jc w:val="left"/>
        <w:rPr/>
      </w:pPr>
      <w:r>
        <w:rPr/>
        <w:t>Empires have an impact on peoples, both in a direct and indirect fashion. By examining the trajectory of conflict and co-operation between the Seleucids and Galatians, we can investigate the intertwined interactions that occurred in war and peace and so gain a deeper understanding of the two groups.</w:t>
      </w:r>
    </w:p>
    <w:p>
      <w:pPr>
        <w:pStyle w:val="Normal"/>
        <w:rPr/>
      </w:pPr>
      <w:r>
        <w:rPr/>
      </w:r>
    </w:p>
    <w:p>
      <w:pPr>
        <w:pStyle w:val="Normal"/>
        <w:rPr/>
      </w:pPr>
      <w:r>
        <w:rPr/>
      </w:r>
    </w:p>
    <w:p>
      <w:pPr>
        <w:pStyle w:val="Normal"/>
        <w:rPr/>
      </w:pPr>
      <w:r>
        <w:rPr/>
      </w:r>
    </w:p>
    <w:p>
      <w:pPr>
        <w:pStyle w:val="Normal"/>
        <w:rPr/>
      </w:pPr>
      <w:r>
        <w:rPr/>
      </w:r>
      <w:r>
        <w:br w:type="page"/>
      </w:r>
    </w:p>
    <w:p>
      <w:pPr>
        <w:pStyle w:val="Heading2"/>
        <w:bidi w:val="0"/>
        <w:jc w:val="left"/>
        <w:rPr/>
      </w:pPr>
      <w:bookmarkStart w:id="15" w:name="__RefHeading___Toc136_1927450756"/>
      <w:bookmarkEnd w:id="15"/>
      <w:r>
        <w:rPr/>
        <w:t>Appendix</w:t>
      </w:r>
    </w:p>
    <w:p>
      <w:pPr>
        <w:pStyle w:val="Heading2"/>
        <w:bidi w:val="0"/>
        <w:jc w:val="left"/>
        <w:rPr/>
      </w:pPr>
      <w:bookmarkStart w:id="16" w:name="__RefHeading___Toc138_1927450756"/>
      <w:bookmarkEnd w:id="16"/>
      <w:r>
        <w:rPr/>
        <w:t>A References</w:t>
      </w:r>
    </w:p>
    <w:p>
      <w:pPr>
        <w:pStyle w:val="TextBody"/>
        <w:bidi w:val="0"/>
        <w:jc w:val="left"/>
        <w:rPr/>
      </w:pPr>
      <w:r>
        <w:rPr/>
        <w:t xml:space="preserve">Arrian </w:t>
      </w:r>
      <w:r>
        <w:rPr/>
        <w:t>(2004)</w:t>
      </w:r>
      <w:r>
        <w:rPr/>
        <w:t xml:space="preserve">, “Alexander the Great”, </w:t>
      </w:r>
      <w:r>
        <w:rPr/>
        <w:t>(Audible Studios)</w:t>
      </w:r>
    </w:p>
    <w:p>
      <w:pPr>
        <w:pStyle w:val="TextBody"/>
        <w:bidi w:val="0"/>
        <w:jc w:val="left"/>
        <w:rPr/>
      </w:pPr>
      <w:r>
        <w:rPr/>
        <w:t xml:space="preserve">English, S., (2012), “Mercenaries in the Classical World” </w:t>
      </w:r>
      <w:r>
        <w:rPr/>
        <w:t>(Pen and Sword)</w:t>
      </w:r>
    </w:p>
    <w:p>
      <w:pPr>
        <w:pStyle w:val="TextBody"/>
        <w:bidi w:val="0"/>
        <w:jc w:val="left"/>
        <w:rPr/>
      </w:pPr>
      <w:r>
        <w:rPr/>
        <w:t>Errington, R., (2008), “A history of the Hellenistic World”, (Blackwell)</w:t>
      </w:r>
    </w:p>
    <w:p>
      <w:pPr>
        <w:pStyle w:val="TextBody"/>
        <w:bidi w:val="0"/>
        <w:jc w:val="left"/>
        <w:rPr/>
      </w:pPr>
      <w:r>
        <w:rPr/>
        <w:t>Grainger, J., (2015), “The Fall of the Seleukid Empire”, (Pen and Sword)</w:t>
      </w:r>
    </w:p>
    <w:p>
      <w:pPr>
        <w:pStyle w:val="TextBody"/>
        <w:bidi w:val="0"/>
        <w:jc w:val="left"/>
        <w:rPr/>
      </w:pPr>
      <w:r>
        <w:rPr/>
        <w:t>Grainger, J., (201</w:t>
      </w:r>
      <w:r>
        <w:rPr/>
        <w:t>7</w:t>
      </w:r>
      <w:r>
        <w:rPr/>
        <w:t>), “</w:t>
      </w:r>
      <w:r>
        <w:rPr/>
        <w:t>Kings and Kingship in the Hellenistic</w:t>
      </w:r>
      <w:r>
        <w:rPr/>
        <w:t>”, (Pen and Sword)</w:t>
      </w:r>
    </w:p>
    <w:p>
      <w:pPr>
        <w:pStyle w:val="TextBody"/>
        <w:bidi w:val="0"/>
        <w:jc w:val="left"/>
        <w:rPr/>
      </w:pPr>
      <w:r>
        <w:rPr/>
        <w:t>Grainger, J., (201</w:t>
      </w:r>
      <w:r>
        <w:rPr/>
        <w:t>9</w:t>
      </w:r>
      <w:r>
        <w:rPr/>
        <w:t>), “</w:t>
      </w:r>
      <w:r>
        <w:rPr/>
        <w:t>Galatians</w:t>
      </w:r>
      <w:r>
        <w:rPr/>
        <w:t>”, (Pen and Sword)</w:t>
      </w:r>
    </w:p>
    <w:p>
      <w:pPr>
        <w:pStyle w:val="TextBody"/>
        <w:bidi w:val="0"/>
        <w:jc w:val="left"/>
        <w:rPr/>
      </w:pPr>
      <w:r>
        <w:rPr/>
        <w:t>Harrison, T., (2021), “The great empires of the Ancient World”, (Thomas and Hudson)</w:t>
      </w:r>
    </w:p>
    <w:p>
      <w:pPr>
        <w:pStyle w:val="TextBody"/>
        <w:bidi w:val="0"/>
        <w:jc w:val="left"/>
        <w:rPr/>
      </w:pPr>
      <w:r>
        <w:rPr/>
        <w:t xml:space="preserve">Holland, J., (2019), “Normandy ‘44”, </w:t>
      </w:r>
      <w:r>
        <w:rPr/>
        <w:t>(Audible Studios)</w:t>
      </w:r>
    </w:p>
    <w:p>
      <w:pPr>
        <w:pStyle w:val="TextBody"/>
        <w:bidi w:val="0"/>
        <w:jc w:val="left"/>
        <w:rPr/>
      </w:pPr>
      <w:r>
        <w:rPr/>
        <w:t>Holt, F., (2016), “The Treasures of Alexander the Great”, (Oxford University Press)</w:t>
      </w:r>
    </w:p>
    <w:p>
      <w:pPr>
        <w:pStyle w:val="TextBody"/>
        <w:bidi w:val="0"/>
        <w:jc w:val="left"/>
        <w:rPr/>
      </w:pPr>
      <w:r>
        <w:rPr/>
        <w:t>Parker, G., (2021), “The Cambridge History of Warfare</w:t>
      </w:r>
      <w:r>
        <w:rPr/>
        <w:t xml:space="preserve">”, </w:t>
      </w:r>
      <w:r>
        <w:rPr/>
        <w:t>(Audible Studios)</w:t>
      </w:r>
    </w:p>
    <w:p>
      <w:pPr>
        <w:pStyle w:val="TextBody"/>
        <w:bidi w:val="0"/>
        <w:jc w:val="left"/>
        <w:rPr/>
      </w:pPr>
      <w:r>
        <w:rPr/>
        <w:t>Polybius, (2008), “</w:t>
      </w:r>
      <w:r>
        <w:rPr/>
        <w:t xml:space="preserve">Rome and the Mediterranean Vol. 1: The Histories”, </w:t>
      </w:r>
      <w:r>
        <w:rPr/>
        <w:t>(Audible Studios)</w:t>
      </w:r>
    </w:p>
    <w:p>
      <w:pPr>
        <w:pStyle w:val="TextBody"/>
        <w:bidi w:val="0"/>
        <w:jc w:val="left"/>
        <w:rPr/>
      </w:pPr>
      <w:r>
        <w:rPr/>
        <w:t xml:space="preserve">Plutarch, (2015), “Parallel Lives of the Noble Greek and Romans, </w:t>
      </w:r>
      <w:r>
        <w:rPr/>
        <w:t>(Audible Studios)</w:t>
      </w:r>
    </w:p>
    <w:p>
      <w:pPr>
        <w:pStyle w:val="TextBody"/>
        <w:bidi w:val="0"/>
        <w:jc w:val="left"/>
        <w:rPr/>
      </w:pPr>
      <w:r>
        <w:rPr/>
        <w:t>Puri, S., (2021), “The Great Imperial Hangover”, (Atlantic Books, London)</w:t>
      </w:r>
    </w:p>
    <w:p>
      <w:pPr>
        <w:pStyle w:val="TextBody"/>
        <w:bidi w:val="0"/>
        <w:jc w:val="left"/>
        <w:rPr/>
      </w:pPr>
      <w:r>
        <w:rPr/>
        <w:t xml:space="preserve">Swanton, J., </w:t>
      </w:r>
      <w:r>
        <w:rPr/>
        <w:t>(202</w:t>
      </w:r>
      <w:r>
        <w:rPr/>
        <w:t>0</w:t>
      </w:r>
      <w:r>
        <w:rPr/>
        <w:t xml:space="preserve">), </w:t>
      </w:r>
      <w:r>
        <w:rPr/>
        <w:t xml:space="preserve"> “Ancient Battle formations”, </w:t>
      </w:r>
      <w:r>
        <w:rPr/>
        <w:t>(Pen and Sword)</w:t>
      </w:r>
    </w:p>
    <w:p>
      <w:pPr>
        <w:pStyle w:val="TextBody"/>
        <w:bidi w:val="0"/>
        <w:jc w:val="left"/>
        <w:rPr/>
      </w:pPr>
      <w:r>
        <w:rPr/>
        <w:t>Worthington, I., (2014), “By the Spear Philip II, Alexander the Great, and the Rise and Fall of the Macedonian Empire”</w:t>
      </w:r>
      <w:r>
        <w:rPr/>
        <w:t xml:space="preserve">, </w:t>
      </w:r>
      <w:r>
        <w:rPr/>
        <w:t>(Audible Studios)</w:t>
      </w:r>
    </w:p>
    <w:p>
      <w:pPr>
        <w:pStyle w:val="TextBody"/>
        <w:bidi w:val="0"/>
        <w:jc w:val="left"/>
        <w:rPr/>
      </w:pPr>
      <w:r>
        <w:rPr/>
      </w:r>
    </w:p>
    <w:p>
      <w:pPr>
        <w:pStyle w:val="TextBody"/>
        <w:bidi w:val="0"/>
        <w:jc w:val="left"/>
        <w:rPr/>
      </w:pPr>
      <w:r>
        <w:rPr/>
      </w:r>
    </w:p>
    <w:p>
      <w:pPr>
        <w:pStyle w:val="Heading2"/>
        <w:bidi w:val="0"/>
        <w:jc w:val="left"/>
        <w:rPr/>
      </w:pPr>
      <w:bookmarkStart w:id="17" w:name="__RefHeading___Toc140_1927450756"/>
      <w:bookmarkEnd w:id="17"/>
      <w:r>
        <w:rPr/>
        <w:t xml:space="preserve">B Time Line </w:t>
      </w:r>
    </w:p>
    <w:p>
      <w:pPr>
        <w:pStyle w:val="TextBody"/>
        <w:bidi w:val="0"/>
        <w:jc w:val="left"/>
        <w:rPr/>
      </w:pPr>
      <w:r>
        <w:rPr/>
        <w:t>356 Birth of Alexander</w:t>
      </w:r>
    </w:p>
    <w:p>
      <w:pPr>
        <w:pStyle w:val="TextBody"/>
        <w:bidi w:val="0"/>
        <w:jc w:val="left"/>
        <w:rPr/>
      </w:pPr>
      <w:r>
        <w:rPr/>
        <w:t>336 Death of Philip II</w:t>
      </w:r>
    </w:p>
    <w:p>
      <w:pPr>
        <w:pStyle w:val="TextBody"/>
        <w:bidi w:val="0"/>
        <w:jc w:val="left"/>
        <w:rPr/>
      </w:pPr>
      <w:r>
        <w:rPr/>
        <w:t>323 Death of Alexander</w:t>
      </w:r>
    </w:p>
    <w:p>
      <w:pPr>
        <w:pStyle w:val="TextBody"/>
        <w:bidi w:val="0"/>
        <w:jc w:val="left"/>
        <w:rPr/>
      </w:pPr>
      <w:r>
        <w:rPr/>
        <w:t>306/305 Year of the kings</w:t>
      </w:r>
    </w:p>
    <w:p>
      <w:pPr>
        <w:pStyle w:val="TextBody"/>
        <w:bidi w:val="0"/>
        <w:jc w:val="left"/>
        <w:rPr/>
      </w:pPr>
      <w:r>
        <w:rPr/>
        <w:t>280 Incursion of Celtic peoples into Macedonia and Greece</w:t>
      </w:r>
    </w:p>
    <w:p>
      <w:pPr>
        <w:pStyle w:val="TextBody"/>
        <w:bidi w:val="0"/>
        <w:jc w:val="left"/>
        <w:rPr/>
      </w:pPr>
      <w:r>
        <w:rPr/>
        <w:t xml:space="preserve">269 </w:t>
      </w:r>
      <w:r>
        <w:rPr/>
        <w:t>B</w:t>
      </w:r>
      <w:r>
        <w:rPr/>
        <w:t>attle of the Elephants</w:t>
      </w:r>
    </w:p>
    <w:p>
      <w:pPr>
        <w:pStyle w:val="TextBody"/>
        <w:bidi w:val="0"/>
        <w:jc w:val="left"/>
        <w:rPr/>
      </w:pPr>
      <w:r>
        <w:rPr/>
        <w:t>190 Battle of Magnesia</w:t>
      </w:r>
    </w:p>
    <w:p>
      <w:pPr>
        <w:pStyle w:val="TextBody"/>
        <w:bidi w:val="0"/>
        <w:jc w:val="left"/>
        <w:rPr/>
      </w:pPr>
      <w:r>
        <w:rPr/>
        <w:t>64 Incorporation of Syrian in Roman Administration</w:t>
      </w:r>
    </w:p>
    <w:p>
      <w:pPr>
        <w:pStyle w:val="TextBody"/>
        <w:bidi w:val="0"/>
        <w:spacing w:before="0" w:after="140"/>
        <w:jc w:val="left"/>
        <w:rPr/>
      </w:pPr>
      <w:r>
        <w:rPr/>
      </w:r>
    </w:p>
    <w:sectPr>
      <w:headerReference w:type="default" r:id="rId2"/>
      <w:type w:val="nextPage"/>
      <w:pgSz w:w="11906" w:h="16838"/>
      <w:pgMar w:left="1134" w:right="1134" w:gutter="0" w:header="1134" w:top="1693" w:footer="0" w:bottom="1134"/>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OpenSymbol">
    <w:altName w:val="Arial Unicode MS"/>
    <w:charset w:val="02"/>
    <w:family w:val="auto"/>
    <w:pitch w:val="default"/>
  </w:font>
  <w:font w:name="Liberation Sans">
    <w:altName w:val="Arial"/>
    <w:charset w:val="00"/>
    <w:family w:val="roman"/>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bidi w:val="0"/>
      <w:jc w:val="left"/>
      <w:rPr/>
    </w:pPr>
    <w:r>
      <w:rPr/>
      <w:t>Paper</w:t>
      <w:tab/>
      <w:tab/>
    </w:r>
    <w:r>
      <w:rPr/>
      <w:fldChar w:fldCharType="begin"/>
    </w:r>
    <w:r>
      <w:rPr/>
      <w:instrText> PAGE </w:instrText>
    </w:r>
    <w:r>
      <w:rPr/>
      <w:fldChar w:fldCharType="separate"/>
    </w:r>
    <w:r>
      <w:rPr/>
      <w:t>9</w:t>
    </w:r>
    <w:r>
      <w:rPr/>
      <w:fldChar w:fldCharType="end"/>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none"/>
      <w:suff w:val="nothing"/>
      <w:lvlText w:val=""/>
      <w:lvlJc w:val="left"/>
      <w:pPr>
        <w:tabs>
          <w:tab w:val="num" w:pos="0"/>
        </w:tabs>
        <w:ind w:left="0" w:hanging="0"/>
      </w:pPr>
    </w:lvl>
    <w:lvl w:ilvl="1">
      <w:start w:val="1"/>
      <w:pStyle w:val="Heading2"/>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bering>
</file>

<file path=word/settings.xml><?xml version="1.0" encoding="utf-8"?>
<w:settings xmlns:w="http://schemas.openxmlformats.org/wordprocessingml/2006/main">
  <w:zoom w:percent="100"/>
  <w:defaultTabStop w:val="709"/>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en-IE" w:eastAsia="zh-CN" w:bidi="hi-IN"/>
      </w:rPr>
    </w:rPrDefault>
    <w:pPrDefault>
      <w:pPr>
        <w:suppressAutoHyphens w:val="true"/>
      </w:pPr>
    </w:pPrDefault>
  </w:docDefaults>
  <w:style w:type="paragraph" w:styleId="Normal">
    <w:name w:val="Normal"/>
    <w:qFormat/>
    <w:pPr>
      <w:widowControl/>
      <w:suppressAutoHyphens w:val="true"/>
      <w:bidi w:val="0"/>
      <w:spacing w:before="0" w:after="0"/>
      <w:jc w:val="left"/>
    </w:pPr>
    <w:rPr>
      <w:rFonts w:ascii="Liberation Serif" w:hAnsi="Liberation Serif" w:eastAsia="NSimSun" w:cs="Arial"/>
      <w:color w:val="auto"/>
      <w:kern w:val="2"/>
      <w:sz w:val="24"/>
      <w:szCs w:val="24"/>
      <w:lang w:val="en-IE" w:eastAsia="zh-CN" w:bidi="hi-IN"/>
    </w:rPr>
  </w:style>
  <w:style w:type="paragraph" w:styleId="Heading1">
    <w:name w:val="Heading 1"/>
    <w:basedOn w:val="Heading"/>
    <w:next w:val="TextBody"/>
    <w:qFormat/>
    <w:pPr>
      <w:numPr>
        <w:ilvl w:val="0"/>
        <w:numId w:val="1"/>
      </w:numPr>
      <w:spacing w:before="240" w:after="120"/>
      <w:outlineLvl w:val="0"/>
    </w:pPr>
    <w:rPr>
      <w:b/>
      <w:bCs/>
      <w:sz w:val="36"/>
      <w:szCs w:val="36"/>
    </w:rPr>
  </w:style>
  <w:style w:type="paragraph" w:styleId="Heading2">
    <w:name w:val="Heading 2"/>
    <w:basedOn w:val="Heading"/>
    <w:next w:val="TextBody"/>
    <w:qFormat/>
    <w:pPr>
      <w:numPr>
        <w:ilvl w:val="1"/>
        <w:numId w:val="1"/>
      </w:numPr>
      <w:spacing w:before="200" w:after="120"/>
      <w:outlineLvl w:val="1"/>
    </w:pPr>
    <w:rPr>
      <w:b/>
      <w:bCs/>
      <w:sz w:val="32"/>
      <w:szCs w:val="32"/>
    </w:rPr>
  </w:style>
  <w:style w:type="character" w:styleId="InternetLink">
    <w:name w:val="Hyperlink"/>
    <w:rPr>
      <w:color w:val="000080"/>
      <w:u w:val="single"/>
      <w:lang w:val="zxx" w:eastAsia="zxx" w:bidi="zxx"/>
    </w:rPr>
  </w:style>
  <w:style w:type="character" w:styleId="IndexLink">
    <w:name w:val="Index Link"/>
    <w:qFormat/>
    <w:rPr/>
  </w:style>
  <w:style w:type="character" w:styleId="Bullets">
    <w:name w:val="Bullets"/>
    <w:qFormat/>
    <w:rPr>
      <w:rFonts w:ascii="OpenSymbol" w:hAnsi="OpenSymbol" w:eastAsia="OpenSymbol" w:cs="OpenSymbol"/>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IndexHeading">
    <w:name w:val="Index Heading"/>
    <w:basedOn w:val="Heading"/>
    <w:pPr>
      <w:suppressLineNumbers/>
      <w:ind w:left="0" w:hanging="0"/>
    </w:pPr>
    <w:rPr>
      <w:b/>
      <w:bCs/>
      <w:sz w:val="32"/>
      <w:szCs w:val="32"/>
    </w:rPr>
  </w:style>
  <w:style w:type="paragraph" w:styleId="ContentsHeading">
    <w:name w:val="TOC Heading"/>
    <w:basedOn w:val="IndexHeading"/>
    <w:pPr>
      <w:suppressLineNumbers/>
      <w:ind w:left="0" w:hanging="0"/>
    </w:pPr>
    <w:rPr>
      <w:b/>
      <w:bCs/>
      <w:sz w:val="32"/>
      <w:szCs w:val="32"/>
    </w:rPr>
  </w:style>
  <w:style w:type="paragraph" w:styleId="Contents1">
    <w:name w:val="TOC 1"/>
    <w:basedOn w:val="Index"/>
    <w:pPr>
      <w:tabs>
        <w:tab w:val="clear" w:pos="709"/>
        <w:tab w:val="right" w:pos="9638" w:leader="dot"/>
      </w:tabs>
      <w:ind w:left="0" w:hanging="0"/>
    </w:pPr>
    <w:rPr/>
  </w:style>
  <w:style w:type="paragraph" w:styleId="Contents2">
    <w:name w:val="TOC 2"/>
    <w:basedOn w:val="Index"/>
    <w:pPr>
      <w:tabs>
        <w:tab w:val="clear" w:pos="709"/>
        <w:tab w:val="right" w:pos="9638" w:leader="dot"/>
      </w:tabs>
      <w:ind w:left="283" w:hanging="0"/>
    </w:pPr>
    <w:rPr/>
  </w:style>
  <w:style w:type="paragraph" w:styleId="HeaderandFooter">
    <w:name w:val="Header and Footer"/>
    <w:basedOn w:val="Normal"/>
    <w:qFormat/>
    <w:pPr>
      <w:suppressLineNumbers/>
      <w:tabs>
        <w:tab w:val="clear" w:pos="709"/>
        <w:tab w:val="center" w:pos="4819" w:leader="none"/>
        <w:tab w:val="right" w:pos="9638" w:leader="none"/>
      </w:tabs>
    </w:pPr>
    <w:rPr/>
  </w:style>
  <w:style w:type="paragraph" w:styleId="Header">
    <w:name w:val="Header"/>
    <w:basedOn w:val="HeaderandFooter"/>
    <w:pPr>
      <w:suppressLineNumbers/>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353</TotalTime>
  <Application>LibreOffice/7.2.3.2$Windows_X86_64 LibreOffice_project/d166454616c1632304285822f9c83ce2e660fd92</Application>
  <AppVersion>15.0000</AppVersion>
  <Pages>9</Pages>
  <Words>3429</Words>
  <Characters>17841</Characters>
  <CharactersWithSpaces>21205</CharactersWithSpaces>
  <Paragraphs>96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2021-12-06T14:27:51Z</dcterms:created>
  <dc:creator/>
  <dc:description/>
  <dc:language>en-IE</dc:language>
  <cp:lastModifiedBy/>
  <dcterms:modified xsi:type="dcterms:W3CDTF">2022-01-07T20:19:31Z</dcterms:modified>
  <cp:revision>24</cp:revision>
  <dc:subject/>
  <dc:title/>
</cp:coreProperties>
</file>

<file path=docProps/custom.xml><?xml version="1.0" encoding="utf-8"?>
<Properties xmlns="http://schemas.openxmlformats.org/officeDocument/2006/custom-properties" xmlns:vt="http://schemas.openxmlformats.org/officeDocument/2006/docPropsVTypes"/>
</file>