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C7CEE" w:rsidRDefault="00E55C36">
      <w:pPr>
        <w:rPr>
          <w:b/>
        </w:rPr>
      </w:pPr>
      <w:bookmarkStart w:id="0" w:name="_GoBack"/>
      <w:bookmarkEnd w:id="0"/>
      <w:r>
        <w:rPr>
          <w:b/>
        </w:rPr>
        <w:t>Blaenavon</w:t>
      </w:r>
    </w:p>
    <w:p w:rsidR="005C7CEE" w:rsidRDefault="005C7CEE">
      <w:pPr>
        <w:rPr>
          <w:b/>
        </w:rPr>
      </w:pPr>
    </w:p>
    <w:p w:rsidR="005C7CEE" w:rsidRDefault="00E55C36">
      <w:pPr>
        <w:rPr>
          <w:b/>
        </w:rPr>
      </w:pPr>
      <w:r>
        <w:rPr>
          <w:b/>
        </w:rPr>
        <w:t xml:space="preserve">Varteg </w:t>
      </w:r>
    </w:p>
    <w:p w:rsidR="005C7CEE" w:rsidRDefault="005C7CEE">
      <w:pPr>
        <w:rPr>
          <w:b/>
        </w:rPr>
      </w:pPr>
    </w:p>
    <w:p w:rsidR="005C7CEE" w:rsidRDefault="00E55C36">
      <w:pPr>
        <w:rPr>
          <w:b/>
        </w:rPr>
      </w:pPr>
      <w:r>
        <w:rPr>
          <w:b/>
        </w:rPr>
        <w:t xml:space="preserve">Daniel Jackson </w:t>
      </w:r>
    </w:p>
    <w:p w:rsidR="005C7CEE" w:rsidRDefault="005C7CEE">
      <w:pPr>
        <w:rPr>
          <w:b/>
        </w:rPr>
      </w:pPr>
    </w:p>
    <w:p w:rsidR="005C7CEE" w:rsidRDefault="00E55C36">
      <w:pPr>
        <w:rPr>
          <w:b/>
        </w:rPr>
      </w:pPr>
      <w:r>
        <w:rPr>
          <w:b/>
        </w:rPr>
        <w:t>1904793</w:t>
      </w:r>
    </w:p>
    <w:p w:rsidR="005C7CEE" w:rsidRDefault="005C7CEE"/>
    <w:p w:rsidR="005C7CEE" w:rsidRDefault="00E55C36">
      <w:r>
        <w:t xml:space="preserve">This assignment aims to explore the factors at Blaenavon ‘Coed Mike’ tree planting site that have led to the current attempts to remediate contaminated land at the site through the planting of different trees. </w:t>
      </w:r>
    </w:p>
    <w:p w:rsidR="005C7CEE" w:rsidRDefault="005C7CEE"/>
    <w:p w:rsidR="005C7CEE" w:rsidRDefault="00E55C36">
      <w:r>
        <w:t>Blaenavon, located in the South Wales Coalfield region, has its earliest geological history in the Ordovician Period, 485 - 443 million years ago and going all the way through to the Carboniferous Period, 359 - 299 million years ago, creating the iconic Limestone landscape we see both above and below ground. This is in turn overlain with mudstone, sandstone and coal, which has led us to this assignment (Fforest Fawr Geopark 2011).</w:t>
      </w:r>
    </w:p>
    <w:p w:rsidR="005C7CEE" w:rsidRDefault="005C7CEE"/>
    <w:p w:rsidR="005C7CEE" w:rsidRDefault="00E55C36">
      <w:r>
        <w:t>From around 1425 the area around Blaenavon began its history of mining. However, before that the area was covered in a mostly oak forest. Supporting the demands of ironworks and mining industries throughout the centuries. Opencast mining began in 1942, continuing up until 1963, were it closed and the land was reclaimed by the National Coal Board (</w:t>
      </w:r>
      <w:r>
        <w:rPr>
          <w:highlight w:val="white"/>
        </w:rPr>
        <w:t>M.N.V. Prasad, et al 2018).</w:t>
      </w:r>
    </w:p>
    <w:p w:rsidR="005C7CEE" w:rsidRDefault="005C7CEE"/>
    <w:p w:rsidR="005C7CEE" w:rsidRDefault="00E55C36">
      <w:r>
        <w:t xml:space="preserve">Martin Haigh summarises the issues facing the site today as, “large tracts of land, officially described as ‘reclaimed’ from former mineral workings, are in poor condition. Problems include gullying, soil erosion, soil compaction, accelerated run‐off and poor vegetation cover. </w:t>
      </w:r>
      <w:r>
        <w:rPr>
          <w:highlight w:val="white"/>
        </w:rPr>
        <w:t xml:space="preserve">Some of these problems are caused by low quality and inappropriate engineering. Some are due to poor land husbandry” </w:t>
      </w:r>
      <w:r>
        <w:t xml:space="preserve">(Haigh 2000). </w:t>
      </w:r>
    </w:p>
    <w:p w:rsidR="005C7CEE" w:rsidRDefault="005C7CEE"/>
    <w:p w:rsidR="005C7CEE" w:rsidRDefault="00E55C36">
      <w:pPr>
        <w:rPr>
          <w:i/>
        </w:rPr>
      </w:pPr>
      <w:r>
        <w:t>In 1990 Earthwatch created the ‘Cradle for Life’ project aiming to reclaim Varteg Hill. Sitting at an altitude of 320 - 350 meters, exposed to strong winds, with rainfall up to 1500mm a year, waterlogging and summer droughts. The soil is a thin 5cm humus layer above a compact mine spoil. Additionally, it has a low water holding capacity, low infiltration capacity and low nutrient level. This is not a representation of the original soil load in any shape or form (</w:t>
      </w:r>
      <w:r>
        <w:rPr>
          <w:highlight w:val="white"/>
        </w:rPr>
        <w:t>M.N.V. Prasad, et al 2018).</w:t>
      </w:r>
    </w:p>
    <w:p w:rsidR="005C7CEE" w:rsidRDefault="005C7CEE"/>
    <w:p w:rsidR="005C7CEE" w:rsidRDefault="00E55C36">
      <w:r>
        <w:t xml:space="preserve">In the years since the site was reclaimed the land was open grazing land, with sheep, horses, etc grazing here. Even this small stress has stopped anything from growing here to the extent that the site has remained almost identical since the National Coal Board reclaimed the land and it was given to the public. </w:t>
      </w:r>
    </w:p>
    <w:p w:rsidR="005C7CEE" w:rsidRDefault="005C7CEE"/>
    <w:p w:rsidR="005C7CEE" w:rsidRDefault="00E55C36">
      <w:r>
        <w:t xml:space="preserve">The soils of South Wales are highly compact, however “one key to success is creating a rooting substrate with a density that does not inhibit the penetration of root hairs.” (Haigh, 2000) So great care must be taken when selecting a planting method in order to allow effective geological recovery. </w:t>
      </w:r>
    </w:p>
    <w:p w:rsidR="005C7CEE" w:rsidRDefault="005C7CEE"/>
    <w:p w:rsidR="005C7CEE" w:rsidRDefault="00E55C36">
      <w:pPr>
        <w:rPr>
          <w:i/>
        </w:rPr>
      </w:pPr>
      <w:r>
        <w:lastRenderedPageBreak/>
        <w:t>There are three main models of tree planting; notch, pit-planting and trench planting. Notch involves digging a hole that will fit the tree being planted and planting it directly into the ground. Pit-planting involves planting a sapling into a 30cm deep by 30cm diameter hole. Finally, the least commonly used is trench planting, where a trench is dug and saplings are planted along a 50cm wide by 50cm deep trench (</w:t>
      </w:r>
      <w:r>
        <w:rPr>
          <w:highlight w:val="white"/>
        </w:rPr>
        <w:t>M.N.V. Prasad, et al 2018).</w:t>
      </w:r>
    </w:p>
    <w:p w:rsidR="005C7CEE" w:rsidRDefault="005C7CEE"/>
    <w:p w:rsidR="005C7CEE" w:rsidRDefault="00E55C36">
      <w:pPr>
        <w:rPr>
          <w:i/>
        </w:rPr>
      </w:pPr>
      <w:r>
        <w:t>The 6 species selected were chosen on the basis of being UK natives, effective biomass accumulators, and a good record as not only a hardy pioneer species but also a high tolerance for biodiversity, soil remediation and the sites problems in general (</w:t>
      </w:r>
      <w:r>
        <w:rPr>
          <w:highlight w:val="white"/>
        </w:rPr>
        <w:t>M.N.V. Prasad, et al 2018).</w:t>
      </w:r>
    </w:p>
    <w:p w:rsidR="005C7CEE" w:rsidRDefault="005C7CEE"/>
    <w:p w:rsidR="005C7CEE" w:rsidRDefault="00E55C36">
      <w:r>
        <w:t>Which leads us to the current site; 400 trees planted in a Latin square through a combination of pit-planting and trench-planting. Using a mixture of seeds, the trees were planted, in November 2006,</w:t>
      </w:r>
      <w:r>
        <w:rPr>
          <w:b/>
        </w:rPr>
        <w:t xml:space="preserve"> </w:t>
      </w:r>
      <w:r>
        <w:t xml:space="preserve">to help begin the process of reclaiming the land in earnest. </w:t>
      </w:r>
    </w:p>
    <w:p w:rsidR="005C7CEE" w:rsidRDefault="005C7CEE"/>
    <w:p w:rsidR="005C7CEE" w:rsidRDefault="00E55C36">
      <w:r>
        <w:t xml:space="preserve">Plots A, B, C &amp; D were planted in November 2006 and checked every year by teachers and students of The University of Wales Trinity St David. Upon the checks every year a vitality score is recorded. The vitality score is assigned using a numerical score to rank the tree’s health out of 5; 0 being dead or not able to find all the way through to 5, being a very healthy, well grown tree with a full set of foliage. In addition, tree height and girth are also measured. </w:t>
      </w:r>
    </w:p>
    <w:p w:rsidR="005C7CEE" w:rsidRDefault="005C7CEE"/>
    <w:p w:rsidR="005C7CEE" w:rsidRDefault="00E55C36">
      <w:r>
        <w:t xml:space="preserve">This data is recorded every year to analyse whether any trends are emerging from the data log. The trends could include; how different species are growing/ not, what factors could be hindering the trees growth, the relation between volunteer species and mortality rates of the originally planted trees, amongst others. </w:t>
      </w:r>
    </w:p>
    <w:p w:rsidR="005C7CEE" w:rsidRDefault="005C7CEE"/>
    <w:p w:rsidR="005C7CEE" w:rsidRDefault="00E55C36">
      <w:r>
        <w:t>There are some limitations within the data set I’d like to mention before moving on. The farmer, who was managing the land prior to the current site being started, ploughed the plot before the trees were planted.  Ploughing the contaminated land prior to reclamation has had adverse effects on both the trees planted and the data then taken. The heavy metals in the soil, brought to the surface by ploughing, oxidizing and becoming active again. This led to a potentially compromised data set</w:t>
      </w:r>
      <w:r>
        <w:rPr>
          <w:b/>
        </w:rPr>
        <w:t xml:space="preserve"> </w:t>
      </w:r>
      <w:r>
        <w:t>(R. Jenkins 2019, personal communication, 13 December).</w:t>
      </w:r>
    </w:p>
    <w:p w:rsidR="005C7CEE" w:rsidRDefault="005C7CEE">
      <w:pPr>
        <w:rPr>
          <w:b/>
        </w:rPr>
      </w:pPr>
    </w:p>
    <w:p w:rsidR="005C7CEE" w:rsidRDefault="00E55C36">
      <w:r>
        <w:t>Not all species were planted very effectively; due to poor weather conditions on the day of planting the site was hastily abandoned. Upon return the trees were found to be in differing levels of how well planted they were. This could lead to insecure data (R. Jenkins 2019, personal communication, 13 December).</w:t>
      </w:r>
    </w:p>
    <w:p w:rsidR="005C7CEE" w:rsidRDefault="005C7CEE">
      <w:pPr>
        <w:rPr>
          <w:b/>
        </w:rPr>
      </w:pPr>
    </w:p>
    <w:p w:rsidR="005C7CEE" w:rsidRDefault="00E55C36">
      <w:r>
        <w:t xml:space="preserve">The aim of this report is to examine mortality rates amongst all species of planted trees and evaluate possible reasons. Also looking into the future to examine new directions the site could look into. </w:t>
      </w:r>
    </w:p>
    <w:p w:rsidR="005C7CEE" w:rsidRDefault="005C7CEE"/>
    <w:p w:rsidR="005C7CEE" w:rsidRDefault="005C7CEE">
      <w:pPr>
        <w:rPr>
          <w:b/>
        </w:rPr>
      </w:pPr>
    </w:p>
    <w:p w:rsidR="005C7CEE" w:rsidRDefault="005C7CEE">
      <w:pPr>
        <w:rPr>
          <w:b/>
        </w:rPr>
      </w:pPr>
    </w:p>
    <w:p w:rsidR="00E55C36" w:rsidRDefault="00E55C36">
      <w:pPr>
        <w:rPr>
          <w:b/>
        </w:rPr>
      </w:pPr>
    </w:p>
    <w:p w:rsidR="00E55C36" w:rsidRDefault="00E55C36">
      <w:pPr>
        <w:rPr>
          <w:b/>
        </w:rPr>
      </w:pPr>
    </w:p>
    <w:p w:rsidR="005C7CEE" w:rsidRDefault="00E55C36">
      <w:pPr>
        <w:rPr>
          <w:b/>
        </w:rPr>
      </w:pPr>
      <w:r>
        <w:rPr>
          <w:b/>
        </w:rPr>
        <w:lastRenderedPageBreak/>
        <w:t xml:space="preserve">Methodology - </w:t>
      </w:r>
    </w:p>
    <w:p w:rsidR="005C7CEE" w:rsidRDefault="00E55C36">
      <w:r>
        <w:t>Upon arrival at the site the same equipment was handed out to all of the 1st years. This included: -</w:t>
      </w:r>
    </w:p>
    <w:p w:rsidR="005C7CEE" w:rsidRDefault="00E55C36">
      <w:pPr>
        <w:numPr>
          <w:ilvl w:val="0"/>
          <w:numId w:val="2"/>
        </w:numPr>
      </w:pPr>
      <w:r>
        <w:t xml:space="preserve">Weather-writer </w:t>
      </w:r>
    </w:p>
    <w:p w:rsidR="005C7CEE" w:rsidRDefault="00E55C36">
      <w:pPr>
        <w:numPr>
          <w:ilvl w:val="0"/>
          <w:numId w:val="2"/>
        </w:numPr>
      </w:pPr>
      <w:r>
        <w:t>Measuring pole</w:t>
      </w:r>
    </w:p>
    <w:p w:rsidR="005C7CEE" w:rsidRDefault="00E55C36">
      <w:pPr>
        <w:numPr>
          <w:ilvl w:val="0"/>
          <w:numId w:val="2"/>
        </w:numPr>
      </w:pPr>
      <w:r>
        <w:t xml:space="preserve">Callipers </w:t>
      </w:r>
    </w:p>
    <w:p w:rsidR="005C7CEE" w:rsidRDefault="00E55C36">
      <w:pPr>
        <w:numPr>
          <w:ilvl w:val="0"/>
          <w:numId w:val="2"/>
        </w:numPr>
      </w:pPr>
      <w:r>
        <w:t xml:space="preserve">ID cards </w:t>
      </w:r>
    </w:p>
    <w:p w:rsidR="005C7CEE" w:rsidRDefault="005C7CEE"/>
    <w:p w:rsidR="005C7CEE" w:rsidRDefault="00E55C36">
      <w:r>
        <w:t xml:space="preserve">The primary goal of the first years was to record a vitality score of each tree in their assigned plot. In addition to this, assisting the second years in recording the height and girth of the trees was also instructed. </w:t>
      </w:r>
    </w:p>
    <w:p w:rsidR="005C7CEE" w:rsidRDefault="005C7CEE"/>
    <w:p w:rsidR="005C7CEE" w:rsidRDefault="00E55C36">
      <w:r>
        <w:t>Starting at the beginning of the plot and working through systematically, as each tree is tagged for identification purposes, to the plots end, assigning a vitality score whilst progressing. A full breakdown of the vitality scores follows: -</w:t>
      </w:r>
    </w:p>
    <w:p w:rsidR="005C7CEE" w:rsidRDefault="00E55C36">
      <w:r>
        <w:t xml:space="preserve">      0. Missing</w:t>
      </w:r>
    </w:p>
    <w:p w:rsidR="005C7CEE" w:rsidRDefault="00E55C36">
      <w:pPr>
        <w:numPr>
          <w:ilvl w:val="0"/>
          <w:numId w:val="1"/>
        </w:numPr>
      </w:pPr>
      <w:r>
        <w:t>Poor</w:t>
      </w:r>
    </w:p>
    <w:p w:rsidR="005C7CEE" w:rsidRDefault="00E55C36">
      <w:pPr>
        <w:numPr>
          <w:ilvl w:val="0"/>
          <w:numId w:val="1"/>
        </w:numPr>
      </w:pPr>
      <w:r>
        <w:t>Fair</w:t>
      </w:r>
    </w:p>
    <w:p w:rsidR="005C7CEE" w:rsidRDefault="00E55C36">
      <w:pPr>
        <w:numPr>
          <w:ilvl w:val="0"/>
          <w:numId w:val="1"/>
        </w:numPr>
      </w:pPr>
      <w:r>
        <w:t>Average</w:t>
      </w:r>
    </w:p>
    <w:p w:rsidR="005C7CEE" w:rsidRDefault="00E55C36">
      <w:pPr>
        <w:numPr>
          <w:ilvl w:val="0"/>
          <w:numId w:val="1"/>
        </w:numPr>
      </w:pPr>
      <w:r>
        <w:t>Healthy</w:t>
      </w:r>
    </w:p>
    <w:p w:rsidR="005C7CEE" w:rsidRDefault="00E55C36">
      <w:pPr>
        <w:numPr>
          <w:ilvl w:val="0"/>
          <w:numId w:val="1"/>
        </w:numPr>
      </w:pPr>
      <w:r>
        <w:t>Very healthy</w:t>
      </w:r>
    </w:p>
    <w:p w:rsidR="005C7CEE" w:rsidRDefault="005C7CEE">
      <w:pPr>
        <w:rPr>
          <w:b/>
        </w:rPr>
      </w:pPr>
    </w:p>
    <w:p w:rsidR="005C7CEE" w:rsidRDefault="005C7CEE">
      <w:pPr>
        <w:rPr>
          <w:b/>
        </w:rPr>
      </w:pPr>
    </w:p>
    <w:p w:rsidR="005C7CEE" w:rsidRDefault="00E55C36">
      <w:r>
        <w:rPr>
          <w:b/>
        </w:rPr>
        <w:t xml:space="preserve">Results </w:t>
      </w:r>
    </w:p>
    <w:p w:rsidR="005C7CEE" w:rsidRDefault="005C7CEE"/>
    <w:p w:rsidR="005C7CEE" w:rsidRDefault="00E55C36">
      <w:r>
        <w:t xml:space="preserve">The results will be explored using a table below. </w:t>
      </w:r>
    </w:p>
    <w:p w:rsidR="005C7CEE" w:rsidRDefault="00E55C36">
      <w:r>
        <w:rPr>
          <w:noProof/>
          <w:lang w:eastAsia="zh-CN"/>
        </w:rPr>
        <w:drawing>
          <wp:anchor distT="114300" distB="114300" distL="114300" distR="114300" simplePos="0" relativeHeight="251658240" behindDoc="0" locked="0" layoutInCell="1" hidden="0" allowOverlap="1">
            <wp:simplePos x="0" y="0"/>
            <wp:positionH relativeFrom="column">
              <wp:posOffset>-723899</wp:posOffset>
            </wp:positionH>
            <wp:positionV relativeFrom="paragraph">
              <wp:posOffset>200025</wp:posOffset>
            </wp:positionV>
            <wp:extent cx="6807881" cy="3109913"/>
            <wp:effectExtent l="0" t="0" r="0" b="0"/>
            <wp:wrapTopAndBottom distT="114300" distB="1143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6807881" cy="3109913"/>
                    </a:xfrm>
                    <a:prstGeom prst="rect">
                      <a:avLst/>
                    </a:prstGeom>
                    <a:ln/>
                  </pic:spPr>
                </pic:pic>
              </a:graphicData>
            </a:graphic>
          </wp:anchor>
        </w:drawing>
      </w:r>
    </w:p>
    <w:p w:rsidR="005C7CEE" w:rsidRDefault="005C7CEE"/>
    <w:p w:rsidR="005C7CEE" w:rsidRDefault="005C7CEE"/>
    <w:p w:rsidR="005C7CEE" w:rsidRDefault="00E55C36">
      <w:r>
        <w:lastRenderedPageBreak/>
        <w:t xml:space="preserve">Species Mortality is recorded below using a bar chart with a line running across showing the number of trees left alive. </w:t>
      </w:r>
    </w:p>
    <w:p w:rsidR="005C7CEE" w:rsidRDefault="005C7CEE"/>
    <w:p w:rsidR="005C7CEE" w:rsidRDefault="00E55C36">
      <w:r>
        <w:rPr>
          <w:noProof/>
          <w:lang w:eastAsia="zh-CN"/>
        </w:rPr>
        <w:drawing>
          <wp:inline distT="114300" distB="114300" distL="114300" distR="114300">
            <wp:extent cx="4572000" cy="275272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6"/>
                    <a:srcRect/>
                    <a:stretch>
                      <a:fillRect/>
                    </a:stretch>
                  </pic:blipFill>
                  <pic:spPr>
                    <a:xfrm>
                      <a:off x="0" y="0"/>
                      <a:ext cx="4572000" cy="2752725"/>
                    </a:xfrm>
                    <a:prstGeom prst="rect">
                      <a:avLst/>
                    </a:prstGeom>
                    <a:ln/>
                  </pic:spPr>
                </pic:pic>
              </a:graphicData>
            </a:graphic>
          </wp:inline>
        </w:drawing>
      </w:r>
    </w:p>
    <w:p w:rsidR="005C7CEE" w:rsidRDefault="005C7CEE"/>
    <w:p w:rsidR="005C7CEE" w:rsidRDefault="005C7CEE"/>
    <w:p w:rsidR="005C7CEE" w:rsidRDefault="005C7CEE"/>
    <w:p w:rsidR="005C7CEE" w:rsidRDefault="005C7CEE"/>
    <w:p w:rsidR="005C7CEE" w:rsidRDefault="005C7CEE"/>
    <w:p w:rsidR="005C7CEE" w:rsidRDefault="00E55C36">
      <w:r>
        <w:t xml:space="preserve">A table containing the full list of species planted, along with the quantity remaining and a mortality percentage is below. </w:t>
      </w:r>
    </w:p>
    <w:p w:rsidR="005C7CEE" w:rsidRDefault="005C7CEE"/>
    <w:p w:rsidR="005C7CEE" w:rsidRDefault="005C7CEE"/>
    <w:tbl>
      <w:tblPr>
        <w:tblStyle w:val="a"/>
        <w:tblW w:w="9040" w:type="dxa"/>
        <w:tblBorders>
          <w:top w:val="nil"/>
          <w:left w:val="nil"/>
          <w:bottom w:val="nil"/>
          <w:right w:val="nil"/>
          <w:insideH w:val="nil"/>
          <w:insideV w:val="nil"/>
        </w:tblBorders>
        <w:tblLayout w:type="fixed"/>
        <w:tblLook w:val="0600" w:firstRow="0" w:lastRow="0" w:firstColumn="0" w:lastColumn="0" w:noHBand="1" w:noVBand="1"/>
      </w:tblPr>
      <w:tblGrid>
        <w:gridCol w:w="4212"/>
        <w:gridCol w:w="2038"/>
        <w:gridCol w:w="1335"/>
        <w:gridCol w:w="1455"/>
      </w:tblGrid>
      <w:tr w:rsidR="005C7CEE">
        <w:trPr>
          <w:trHeight w:val="500"/>
        </w:trPr>
        <w:tc>
          <w:tcPr>
            <w:tcW w:w="4212" w:type="dxa"/>
            <w:tcBorders>
              <w:top w:val="nil"/>
              <w:left w:val="nil"/>
              <w:bottom w:val="nil"/>
              <w:right w:val="nil"/>
            </w:tcBorders>
            <w:tcMar>
              <w:top w:w="100" w:type="dxa"/>
              <w:left w:w="100" w:type="dxa"/>
              <w:bottom w:w="100" w:type="dxa"/>
              <w:right w:w="100" w:type="dxa"/>
            </w:tcMar>
          </w:tcPr>
          <w:p w:rsidR="005C7CEE" w:rsidRDefault="00E55C36">
            <w:pPr>
              <w:widowControl w:val="0"/>
              <w:pBdr>
                <w:top w:val="nil"/>
                <w:left w:val="nil"/>
                <w:bottom w:val="nil"/>
                <w:right w:val="nil"/>
                <w:between w:val="nil"/>
              </w:pBdr>
              <w:rPr>
                <w:b/>
              </w:rPr>
            </w:pPr>
            <w:r>
              <w:rPr>
                <w:b/>
              </w:rPr>
              <w:t xml:space="preserve">Type of Trees </w:t>
            </w:r>
          </w:p>
        </w:tc>
        <w:tc>
          <w:tcPr>
            <w:tcW w:w="2038" w:type="dxa"/>
            <w:tcBorders>
              <w:top w:val="nil"/>
              <w:left w:val="nil"/>
              <w:bottom w:val="nil"/>
              <w:right w:val="nil"/>
            </w:tcBorders>
            <w:tcMar>
              <w:top w:w="100" w:type="dxa"/>
              <w:left w:w="100" w:type="dxa"/>
              <w:bottom w:w="100" w:type="dxa"/>
              <w:right w:w="100" w:type="dxa"/>
            </w:tcMar>
          </w:tcPr>
          <w:p w:rsidR="005C7CEE" w:rsidRDefault="00E55C36">
            <w:pPr>
              <w:widowControl w:val="0"/>
              <w:pBdr>
                <w:top w:val="nil"/>
                <w:left w:val="nil"/>
                <w:bottom w:val="nil"/>
                <w:right w:val="nil"/>
                <w:between w:val="nil"/>
              </w:pBdr>
              <w:rPr>
                <w:b/>
              </w:rPr>
            </w:pPr>
            <w:r>
              <w:rPr>
                <w:b/>
              </w:rPr>
              <w:t xml:space="preserve">Number Planted  </w:t>
            </w:r>
          </w:p>
        </w:tc>
        <w:tc>
          <w:tcPr>
            <w:tcW w:w="1335" w:type="dxa"/>
            <w:tcBorders>
              <w:top w:val="nil"/>
              <w:left w:val="nil"/>
              <w:bottom w:val="nil"/>
              <w:right w:val="nil"/>
            </w:tcBorders>
            <w:tcMar>
              <w:top w:w="100" w:type="dxa"/>
              <w:left w:w="100" w:type="dxa"/>
              <w:bottom w:w="100" w:type="dxa"/>
              <w:right w:w="100" w:type="dxa"/>
            </w:tcMar>
          </w:tcPr>
          <w:p w:rsidR="005C7CEE" w:rsidRDefault="00E55C36">
            <w:pPr>
              <w:widowControl w:val="0"/>
              <w:pBdr>
                <w:top w:val="nil"/>
                <w:left w:val="nil"/>
                <w:bottom w:val="nil"/>
                <w:right w:val="nil"/>
                <w:between w:val="nil"/>
              </w:pBdr>
              <w:rPr>
                <w:b/>
              </w:rPr>
            </w:pPr>
            <w:r>
              <w:rPr>
                <w:b/>
              </w:rPr>
              <w:t>Amount Remaining</w:t>
            </w:r>
          </w:p>
        </w:tc>
        <w:tc>
          <w:tcPr>
            <w:tcW w:w="1455" w:type="dxa"/>
            <w:tcBorders>
              <w:top w:val="nil"/>
              <w:left w:val="nil"/>
              <w:bottom w:val="nil"/>
              <w:right w:val="nil"/>
            </w:tcBorders>
            <w:tcMar>
              <w:top w:w="100" w:type="dxa"/>
              <w:left w:w="100" w:type="dxa"/>
              <w:bottom w:w="100" w:type="dxa"/>
              <w:right w:w="100" w:type="dxa"/>
            </w:tcMar>
          </w:tcPr>
          <w:p w:rsidR="005C7CEE" w:rsidRDefault="00E55C36">
            <w:pPr>
              <w:widowControl w:val="0"/>
              <w:pBdr>
                <w:top w:val="nil"/>
                <w:left w:val="nil"/>
                <w:bottom w:val="nil"/>
                <w:right w:val="nil"/>
                <w:between w:val="nil"/>
              </w:pBdr>
              <w:rPr>
                <w:b/>
              </w:rPr>
            </w:pPr>
            <w:r>
              <w:rPr>
                <w:b/>
              </w:rPr>
              <w:t>Survival Percentage</w:t>
            </w:r>
          </w:p>
        </w:tc>
      </w:tr>
      <w:tr w:rsidR="005C7CEE">
        <w:trPr>
          <w:trHeight w:val="500"/>
        </w:trPr>
        <w:tc>
          <w:tcPr>
            <w:tcW w:w="4212" w:type="dxa"/>
            <w:tcBorders>
              <w:top w:val="nil"/>
              <w:left w:val="nil"/>
              <w:bottom w:val="nil"/>
              <w:right w:val="nil"/>
            </w:tcBorders>
            <w:tcMar>
              <w:top w:w="100" w:type="dxa"/>
              <w:left w:w="100" w:type="dxa"/>
              <w:bottom w:w="100" w:type="dxa"/>
              <w:right w:w="100" w:type="dxa"/>
            </w:tcMar>
          </w:tcPr>
          <w:p w:rsidR="005C7CEE" w:rsidRDefault="00E55C36">
            <w:pPr>
              <w:widowControl w:val="0"/>
              <w:pBdr>
                <w:top w:val="nil"/>
                <w:left w:val="nil"/>
                <w:bottom w:val="nil"/>
                <w:right w:val="nil"/>
                <w:between w:val="nil"/>
              </w:pBdr>
              <w:rPr>
                <w:b/>
              </w:rPr>
            </w:pPr>
            <w:r>
              <w:rPr>
                <w:b/>
              </w:rPr>
              <w:t xml:space="preserve">Downy Birch </w:t>
            </w:r>
          </w:p>
        </w:tc>
        <w:tc>
          <w:tcPr>
            <w:tcW w:w="2038" w:type="dxa"/>
            <w:tcMar>
              <w:top w:w="100" w:type="dxa"/>
              <w:left w:w="100" w:type="dxa"/>
              <w:bottom w:w="100" w:type="dxa"/>
              <w:right w:w="100" w:type="dxa"/>
            </w:tcMar>
          </w:tcPr>
          <w:p w:rsidR="005C7CEE" w:rsidRDefault="00E55C36">
            <w:pPr>
              <w:widowControl w:val="0"/>
              <w:pBdr>
                <w:top w:val="nil"/>
                <w:left w:val="nil"/>
                <w:bottom w:val="nil"/>
                <w:right w:val="nil"/>
                <w:between w:val="nil"/>
              </w:pBdr>
            </w:pPr>
            <w:r>
              <w:t>10</w:t>
            </w:r>
          </w:p>
        </w:tc>
        <w:tc>
          <w:tcPr>
            <w:tcW w:w="1335" w:type="dxa"/>
            <w:tcMar>
              <w:top w:w="100" w:type="dxa"/>
              <w:left w:w="100" w:type="dxa"/>
              <w:bottom w:w="100" w:type="dxa"/>
              <w:right w:w="100" w:type="dxa"/>
            </w:tcMar>
          </w:tcPr>
          <w:p w:rsidR="005C7CEE" w:rsidRDefault="00E55C36">
            <w:pPr>
              <w:widowControl w:val="0"/>
              <w:pBdr>
                <w:top w:val="nil"/>
                <w:left w:val="nil"/>
                <w:bottom w:val="nil"/>
                <w:right w:val="nil"/>
                <w:between w:val="nil"/>
              </w:pBdr>
            </w:pPr>
            <w:r>
              <w:t>7</w:t>
            </w:r>
          </w:p>
        </w:tc>
        <w:tc>
          <w:tcPr>
            <w:tcW w:w="1455" w:type="dxa"/>
            <w:tcMar>
              <w:top w:w="100" w:type="dxa"/>
              <w:left w:w="100" w:type="dxa"/>
              <w:bottom w:w="100" w:type="dxa"/>
              <w:right w:w="100" w:type="dxa"/>
            </w:tcMar>
          </w:tcPr>
          <w:p w:rsidR="005C7CEE" w:rsidRDefault="00E55C36">
            <w:pPr>
              <w:widowControl w:val="0"/>
              <w:pBdr>
                <w:top w:val="nil"/>
                <w:left w:val="nil"/>
                <w:bottom w:val="nil"/>
                <w:right w:val="nil"/>
                <w:between w:val="nil"/>
              </w:pBdr>
            </w:pPr>
            <w:r>
              <w:t>70%</w:t>
            </w:r>
          </w:p>
        </w:tc>
      </w:tr>
      <w:tr w:rsidR="005C7CEE">
        <w:trPr>
          <w:trHeight w:val="500"/>
        </w:trPr>
        <w:tc>
          <w:tcPr>
            <w:tcW w:w="4212" w:type="dxa"/>
            <w:tcBorders>
              <w:top w:val="nil"/>
              <w:left w:val="nil"/>
              <w:bottom w:val="nil"/>
              <w:right w:val="nil"/>
            </w:tcBorders>
            <w:tcMar>
              <w:top w:w="100" w:type="dxa"/>
              <w:left w:w="100" w:type="dxa"/>
              <w:bottom w:w="100" w:type="dxa"/>
              <w:right w:w="100" w:type="dxa"/>
            </w:tcMar>
          </w:tcPr>
          <w:p w:rsidR="005C7CEE" w:rsidRDefault="00E55C36">
            <w:pPr>
              <w:widowControl w:val="0"/>
              <w:pBdr>
                <w:top w:val="nil"/>
                <w:left w:val="nil"/>
                <w:bottom w:val="nil"/>
                <w:right w:val="nil"/>
                <w:between w:val="nil"/>
              </w:pBdr>
              <w:rPr>
                <w:b/>
              </w:rPr>
            </w:pPr>
            <w:r>
              <w:rPr>
                <w:b/>
              </w:rPr>
              <w:t xml:space="preserve">Adler </w:t>
            </w:r>
          </w:p>
        </w:tc>
        <w:tc>
          <w:tcPr>
            <w:tcW w:w="2038" w:type="dxa"/>
            <w:tcMar>
              <w:top w:w="100" w:type="dxa"/>
              <w:left w:w="100" w:type="dxa"/>
              <w:bottom w:w="100" w:type="dxa"/>
              <w:right w:w="100" w:type="dxa"/>
            </w:tcMar>
          </w:tcPr>
          <w:p w:rsidR="005C7CEE" w:rsidRDefault="00E55C36">
            <w:pPr>
              <w:widowControl w:val="0"/>
              <w:pBdr>
                <w:top w:val="nil"/>
                <w:left w:val="nil"/>
                <w:bottom w:val="nil"/>
                <w:right w:val="nil"/>
                <w:between w:val="nil"/>
              </w:pBdr>
            </w:pPr>
            <w:r>
              <w:t>28</w:t>
            </w:r>
          </w:p>
        </w:tc>
        <w:tc>
          <w:tcPr>
            <w:tcW w:w="1335" w:type="dxa"/>
            <w:tcMar>
              <w:top w:w="100" w:type="dxa"/>
              <w:left w:w="100" w:type="dxa"/>
              <w:bottom w:w="100" w:type="dxa"/>
              <w:right w:w="100" w:type="dxa"/>
            </w:tcMar>
          </w:tcPr>
          <w:p w:rsidR="005C7CEE" w:rsidRDefault="00E55C36">
            <w:pPr>
              <w:widowControl w:val="0"/>
              <w:pBdr>
                <w:top w:val="nil"/>
                <w:left w:val="nil"/>
                <w:bottom w:val="nil"/>
                <w:right w:val="nil"/>
                <w:between w:val="nil"/>
              </w:pBdr>
            </w:pPr>
            <w:r>
              <w:t>5</w:t>
            </w:r>
          </w:p>
        </w:tc>
        <w:tc>
          <w:tcPr>
            <w:tcW w:w="1455" w:type="dxa"/>
            <w:tcMar>
              <w:top w:w="100" w:type="dxa"/>
              <w:left w:w="100" w:type="dxa"/>
              <w:bottom w:w="100" w:type="dxa"/>
              <w:right w:w="100" w:type="dxa"/>
            </w:tcMar>
          </w:tcPr>
          <w:p w:rsidR="005C7CEE" w:rsidRDefault="00E55C36">
            <w:pPr>
              <w:widowControl w:val="0"/>
              <w:pBdr>
                <w:top w:val="nil"/>
                <w:left w:val="nil"/>
                <w:bottom w:val="nil"/>
                <w:right w:val="nil"/>
                <w:between w:val="nil"/>
              </w:pBdr>
            </w:pPr>
            <w:r>
              <w:t>14%</w:t>
            </w:r>
          </w:p>
        </w:tc>
      </w:tr>
      <w:tr w:rsidR="005C7CEE">
        <w:trPr>
          <w:trHeight w:val="500"/>
        </w:trPr>
        <w:tc>
          <w:tcPr>
            <w:tcW w:w="4212" w:type="dxa"/>
            <w:tcBorders>
              <w:top w:val="nil"/>
              <w:left w:val="nil"/>
              <w:bottom w:val="nil"/>
              <w:right w:val="nil"/>
            </w:tcBorders>
            <w:tcMar>
              <w:top w:w="100" w:type="dxa"/>
              <w:left w:w="100" w:type="dxa"/>
              <w:bottom w:w="100" w:type="dxa"/>
              <w:right w:w="100" w:type="dxa"/>
            </w:tcMar>
          </w:tcPr>
          <w:p w:rsidR="005C7CEE" w:rsidRDefault="00E55C36">
            <w:pPr>
              <w:widowControl w:val="0"/>
              <w:pBdr>
                <w:top w:val="nil"/>
                <w:left w:val="nil"/>
                <w:bottom w:val="nil"/>
                <w:right w:val="nil"/>
                <w:between w:val="nil"/>
              </w:pBdr>
              <w:rPr>
                <w:b/>
              </w:rPr>
            </w:pPr>
            <w:r>
              <w:rPr>
                <w:b/>
              </w:rPr>
              <w:t>Oak</w:t>
            </w:r>
          </w:p>
        </w:tc>
        <w:tc>
          <w:tcPr>
            <w:tcW w:w="2038" w:type="dxa"/>
            <w:tcMar>
              <w:top w:w="100" w:type="dxa"/>
              <w:left w:w="100" w:type="dxa"/>
              <w:bottom w:w="100" w:type="dxa"/>
              <w:right w:w="100" w:type="dxa"/>
            </w:tcMar>
          </w:tcPr>
          <w:p w:rsidR="005C7CEE" w:rsidRDefault="00E55C36">
            <w:pPr>
              <w:widowControl w:val="0"/>
              <w:pBdr>
                <w:top w:val="nil"/>
                <w:left w:val="nil"/>
                <w:bottom w:val="nil"/>
                <w:right w:val="nil"/>
                <w:between w:val="nil"/>
              </w:pBdr>
            </w:pPr>
            <w:r>
              <w:t>30</w:t>
            </w:r>
          </w:p>
        </w:tc>
        <w:tc>
          <w:tcPr>
            <w:tcW w:w="1335" w:type="dxa"/>
            <w:tcMar>
              <w:top w:w="100" w:type="dxa"/>
              <w:left w:w="100" w:type="dxa"/>
              <w:bottom w:w="100" w:type="dxa"/>
              <w:right w:w="100" w:type="dxa"/>
            </w:tcMar>
          </w:tcPr>
          <w:p w:rsidR="005C7CEE" w:rsidRDefault="00E55C36">
            <w:pPr>
              <w:widowControl w:val="0"/>
              <w:pBdr>
                <w:top w:val="nil"/>
                <w:left w:val="nil"/>
                <w:bottom w:val="nil"/>
                <w:right w:val="nil"/>
                <w:between w:val="nil"/>
              </w:pBdr>
            </w:pPr>
            <w:r>
              <w:t>11</w:t>
            </w:r>
          </w:p>
        </w:tc>
        <w:tc>
          <w:tcPr>
            <w:tcW w:w="1455" w:type="dxa"/>
            <w:tcMar>
              <w:top w:w="100" w:type="dxa"/>
              <w:left w:w="100" w:type="dxa"/>
              <w:bottom w:w="100" w:type="dxa"/>
              <w:right w:w="100" w:type="dxa"/>
            </w:tcMar>
          </w:tcPr>
          <w:p w:rsidR="005C7CEE" w:rsidRDefault="00E55C36">
            <w:pPr>
              <w:widowControl w:val="0"/>
              <w:pBdr>
                <w:top w:val="nil"/>
                <w:left w:val="nil"/>
                <w:bottom w:val="nil"/>
                <w:right w:val="nil"/>
                <w:between w:val="nil"/>
              </w:pBdr>
            </w:pPr>
            <w:r>
              <w:t>18%</w:t>
            </w:r>
          </w:p>
        </w:tc>
      </w:tr>
      <w:tr w:rsidR="005C7CEE">
        <w:trPr>
          <w:trHeight w:val="500"/>
        </w:trPr>
        <w:tc>
          <w:tcPr>
            <w:tcW w:w="4212" w:type="dxa"/>
            <w:tcBorders>
              <w:top w:val="nil"/>
              <w:left w:val="nil"/>
              <w:bottom w:val="nil"/>
              <w:right w:val="nil"/>
            </w:tcBorders>
            <w:tcMar>
              <w:top w:w="100" w:type="dxa"/>
              <w:left w:w="100" w:type="dxa"/>
              <w:bottom w:w="100" w:type="dxa"/>
              <w:right w:w="100" w:type="dxa"/>
            </w:tcMar>
          </w:tcPr>
          <w:p w:rsidR="005C7CEE" w:rsidRDefault="00E55C36">
            <w:pPr>
              <w:widowControl w:val="0"/>
              <w:pBdr>
                <w:top w:val="nil"/>
                <w:left w:val="nil"/>
                <w:bottom w:val="nil"/>
                <w:right w:val="nil"/>
                <w:between w:val="nil"/>
              </w:pBdr>
              <w:rPr>
                <w:b/>
              </w:rPr>
            </w:pPr>
            <w:r>
              <w:rPr>
                <w:b/>
              </w:rPr>
              <w:t xml:space="preserve">Silver Birch </w:t>
            </w:r>
          </w:p>
        </w:tc>
        <w:tc>
          <w:tcPr>
            <w:tcW w:w="2038" w:type="dxa"/>
            <w:tcMar>
              <w:top w:w="100" w:type="dxa"/>
              <w:left w:w="100" w:type="dxa"/>
              <w:bottom w:w="100" w:type="dxa"/>
              <w:right w:w="100" w:type="dxa"/>
            </w:tcMar>
          </w:tcPr>
          <w:p w:rsidR="005C7CEE" w:rsidRDefault="00E55C36">
            <w:pPr>
              <w:widowControl w:val="0"/>
              <w:pBdr>
                <w:top w:val="nil"/>
                <w:left w:val="nil"/>
                <w:bottom w:val="nil"/>
                <w:right w:val="nil"/>
                <w:between w:val="nil"/>
              </w:pBdr>
            </w:pPr>
            <w:r>
              <w:t>9</w:t>
            </w:r>
          </w:p>
        </w:tc>
        <w:tc>
          <w:tcPr>
            <w:tcW w:w="1335" w:type="dxa"/>
            <w:tcMar>
              <w:top w:w="100" w:type="dxa"/>
              <w:left w:w="100" w:type="dxa"/>
              <w:bottom w:w="100" w:type="dxa"/>
              <w:right w:w="100" w:type="dxa"/>
            </w:tcMar>
          </w:tcPr>
          <w:p w:rsidR="005C7CEE" w:rsidRDefault="00E55C36">
            <w:pPr>
              <w:widowControl w:val="0"/>
              <w:pBdr>
                <w:top w:val="nil"/>
                <w:left w:val="nil"/>
                <w:bottom w:val="nil"/>
                <w:right w:val="nil"/>
                <w:between w:val="nil"/>
              </w:pBdr>
            </w:pPr>
            <w:r>
              <w:t>5</w:t>
            </w:r>
          </w:p>
        </w:tc>
        <w:tc>
          <w:tcPr>
            <w:tcW w:w="1455" w:type="dxa"/>
            <w:tcMar>
              <w:top w:w="100" w:type="dxa"/>
              <w:left w:w="100" w:type="dxa"/>
              <w:bottom w:w="100" w:type="dxa"/>
              <w:right w:w="100" w:type="dxa"/>
            </w:tcMar>
          </w:tcPr>
          <w:p w:rsidR="005C7CEE" w:rsidRDefault="00E55C36">
            <w:pPr>
              <w:widowControl w:val="0"/>
              <w:pBdr>
                <w:top w:val="nil"/>
                <w:left w:val="nil"/>
                <w:bottom w:val="nil"/>
                <w:right w:val="nil"/>
                <w:between w:val="nil"/>
              </w:pBdr>
            </w:pPr>
            <w:r>
              <w:t>55%</w:t>
            </w:r>
          </w:p>
        </w:tc>
      </w:tr>
      <w:tr w:rsidR="005C7CEE">
        <w:trPr>
          <w:trHeight w:val="520"/>
        </w:trPr>
        <w:tc>
          <w:tcPr>
            <w:tcW w:w="4212" w:type="dxa"/>
            <w:tcBorders>
              <w:top w:val="nil"/>
              <w:left w:val="nil"/>
              <w:bottom w:val="nil"/>
              <w:right w:val="nil"/>
            </w:tcBorders>
            <w:tcMar>
              <w:top w:w="100" w:type="dxa"/>
              <w:left w:w="100" w:type="dxa"/>
              <w:bottom w:w="100" w:type="dxa"/>
              <w:right w:w="100" w:type="dxa"/>
            </w:tcMar>
          </w:tcPr>
          <w:p w:rsidR="005C7CEE" w:rsidRDefault="00E55C36">
            <w:pPr>
              <w:widowControl w:val="0"/>
              <w:pBdr>
                <w:top w:val="nil"/>
                <w:left w:val="nil"/>
                <w:bottom w:val="nil"/>
                <w:right w:val="nil"/>
                <w:between w:val="nil"/>
              </w:pBdr>
              <w:rPr>
                <w:b/>
              </w:rPr>
            </w:pPr>
            <w:r>
              <w:rPr>
                <w:b/>
              </w:rPr>
              <w:t xml:space="preserve">Goat Willow </w:t>
            </w:r>
          </w:p>
        </w:tc>
        <w:tc>
          <w:tcPr>
            <w:tcW w:w="2038" w:type="dxa"/>
            <w:tcMar>
              <w:top w:w="100" w:type="dxa"/>
              <w:left w:w="100" w:type="dxa"/>
              <w:bottom w:w="100" w:type="dxa"/>
              <w:right w:w="100" w:type="dxa"/>
            </w:tcMar>
          </w:tcPr>
          <w:p w:rsidR="005C7CEE" w:rsidRDefault="00E55C36">
            <w:pPr>
              <w:widowControl w:val="0"/>
              <w:pBdr>
                <w:top w:val="nil"/>
                <w:left w:val="nil"/>
                <w:bottom w:val="nil"/>
                <w:right w:val="nil"/>
                <w:between w:val="nil"/>
              </w:pBdr>
            </w:pPr>
            <w:r>
              <w:t>10</w:t>
            </w:r>
          </w:p>
        </w:tc>
        <w:tc>
          <w:tcPr>
            <w:tcW w:w="1335" w:type="dxa"/>
            <w:tcMar>
              <w:top w:w="100" w:type="dxa"/>
              <w:left w:w="100" w:type="dxa"/>
              <w:bottom w:w="100" w:type="dxa"/>
              <w:right w:w="100" w:type="dxa"/>
            </w:tcMar>
          </w:tcPr>
          <w:p w:rsidR="005C7CEE" w:rsidRDefault="00E55C36">
            <w:pPr>
              <w:widowControl w:val="0"/>
              <w:pBdr>
                <w:top w:val="nil"/>
                <w:left w:val="nil"/>
                <w:bottom w:val="nil"/>
                <w:right w:val="nil"/>
                <w:between w:val="nil"/>
              </w:pBdr>
            </w:pPr>
            <w:r>
              <w:t>9</w:t>
            </w:r>
          </w:p>
        </w:tc>
        <w:tc>
          <w:tcPr>
            <w:tcW w:w="1455" w:type="dxa"/>
            <w:tcMar>
              <w:top w:w="100" w:type="dxa"/>
              <w:left w:w="100" w:type="dxa"/>
              <w:bottom w:w="100" w:type="dxa"/>
              <w:right w:w="100" w:type="dxa"/>
            </w:tcMar>
          </w:tcPr>
          <w:p w:rsidR="005C7CEE" w:rsidRDefault="00E55C36">
            <w:pPr>
              <w:widowControl w:val="0"/>
              <w:pBdr>
                <w:top w:val="nil"/>
                <w:left w:val="nil"/>
                <w:bottom w:val="nil"/>
                <w:right w:val="nil"/>
                <w:between w:val="nil"/>
              </w:pBdr>
            </w:pPr>
            <w:r>
              <w:t>90%</w:t>
            </w:r>
          </w:p>
        </w:tc>
      </w:tr>
      <w:tr w:rsidR="005C7CEE">
        <w:trPr>
          <w:trHeight w:val="500"/>
        </w:trPr>
        <w:tc>
          <w:tcPr>
            <w:tcW w:w="4212" w:type="dxa"/>
            <w:tcBorders>
              <w:top w:val="nil"/>
              <w:left w:val="nil"/>
              <w:bottom w:val="nil"/>
              <w:right w:val="nil"/>
            </w:tcBorders>
            <w:tcMar>
              <w:top w:w="100" w:type="dxa"/>
              <w:left w:w="100" w:type="dxa"/>
              <w:bottom w:w="100" w:type="dxa"/>
              <w:right w:w="100" w:type="dxa"/>
            </w:tcMar>
          </w:tcPr>
          <w:p w:rsidR="005C7CEE" w:rsidRDefault="00E55C36">
            <w:pPr>
              <w:widowControl w:val="0"/>
              <w:pBdr>
                <w:top w:val="nil"/>
                <w:left w:val="nil"/>
                <w:bottom w:val="nil"/>
                <w:right w:val="nil"/>
                <w:between w:val="nil"/>
              </w:pBdr>
              <w:rPr>
                <w:b/>
              </w:rPr>
            </w:pPr>
            <w:r>
              <w:rPr>
                <w:b/>
              </w:rPr>
              <w:t>Mixed</w:t>
            </w:r>
          </w:p>
        </w:tc>
        <w:tc>
          <w:tcPr>
            <w:tcW w:w="2038" w:type="dxa"/>
            <w:tcMar>
              <w:top w:w="100" w:type="dxa"/>
              <w:left w:w="100" w:type="dxa"/>
              <w:bottom w:w="100" w:type="dxa"/>
              <w:right w:w="100" w:type="dxa"/>
            </w:tcMar>
          </w:tcPr>
          <w:p w:rsidR="005C7CEE" w:rsidRDefault="00E55C36">
            <w:pPr>
              <w:widowControl w:val="0"/>
              <w:pBdr>
                <w:top w:val="nil"/>
                <w:left w:val="nil"/>
                <w:bottom w:val="nil"/>
                <w:right w:val="nil"/>
                <w:between w:val="nil"/>
              </w:pBdr>
            </w:pPr>
            <w:r>
              <w:t>7</w:t>
            </w:r>
          </w:p>
        </w:tc>
        <w:tc>
          <w:tcPr>
            <w:tcW w:w="1335" w:type="dxa"/>
            <w:tcMar>
              <w:top w:w="100" w:type="dxa"/>
              <w:left w:w="100" w:type="dxa"/>
              <w:bottom w:w="100" w:type="dxa"/>
              <w:right w:w="100" w:type="dxa"/>
            </w:tcMar>
          </w:tcPr>
          <w:p w:rsidR="005C7CEE" w:rsidRDefault="00E55C36">
            <w:pPr>
              <w:widowControl w:val="0"/>
              <w:pBdr>
                <w:top w:val="nil"/>
                <w:left w:val="nil"/>
                <w:bottom w:val="nil"/>
                <w:right w:val="nil"/>
                <w:between w:val="nil"/>
              </w:pBdr>
            </w:pPr>
            <w:r>
              <w:t>4</w:t>
            </w:r>
          </w:p>
        </w:tc>
        <w:tc>
          <w:tcPr>
            <w:tcW w:w="1455" w:type="dxa"/>
            <w:tcMar>
              <w:top w:w="100" w:type="dxa"/>
              <w:left w:w="100" w:type="dxa"/>
              <w:bottom w:w="100" w:type="dxa"/>
              <w:right w:w="100" w:type="dxa"/>
            </w:tcMar>
          </w:tcPr>
          <w:p w:rsidR="005C7CEE" w:rsidRDefault="00E55C36">
            <w:pPr>
              <w:widowControl w:val="0"/>
              <w:pBdr>
                <w:top w:val="nil"/>
                <w:left w:val="nil"/>
                <w:bottom w:val="nil"/>
                <w:right w:val="nil"/>
                <w:between w:val="nil"/>
              </w:pBdr>
            </w:pPr>
            <w:r>
              <w:t>57%</w:t>
            </w:r>
          </w:p>
        </w:tc>
      </w:tr>
    </w:tbl>
    <w:p w:rsidR="005C7CEE" w:rsidRDefault="005C7CEE">
      <w:pPr>
        <w:rPr>
          <w:b/>
        </w:rPr>
      </w:pPr>
    </w:p>
    <w:p w:rsidR="005C7CEE" w:rsidRDefault="005C7CEE"/>
    <w:p w:rsidR="005C7CEE" w:rsidRDefault="005C7CEE">
      <w:pPr>
        <w:rPr>
          <w:b/>
        </w:rPr>
      </w:pPr>
    </w:p>
    <w:p w:rsidR="005C7CEE" w:rsidRDefault="00E55C36">
      <w:r>
        <w:rPr>
          <w:b/>
        </w:rPr>
        <w:lastRenderedPageBreak/>
        <w:t xml:space="preserve">Discussion </w:t>
      </w:r>
    </w:p>
    <w:p w:rsidR="005C7CEE" w:rsidRDefault="005C7CEE"/>
    <w:p w:rsidR="005C7CEE" w:rsidRDefault="00E55C36">
      <w:r>
        <w:t xml:space="preserve">As seen above there are wholesale mortality rates across the whole site. Of all the species of tree planted every one has suffered some levels of mortality. Adler has seen the highest mortality rates, with only 14% remaining. And Goat Willow has seen the lowest level with 90% of all trees planted still remaining. </w:t>
      </w:r>
    </w:p>
    <w:p w:rsidR="005C7CEE" w:rsidRDefault="005C7CEE"/>
    <w:p w:rsidR="005C7CEE" w:rsidRDefault="00E55C36">
      <w:r>
        <w:t xml:space="preserve">Another thing worth noting is the location where the highest level of mortality has taken place. Block 1 has a reasonably high level of species left intact. Whereas block 2 has no trees left whatsoever. Block 3 being quite stable and block 4 having the second worst levels of species growth. </w:t>
      </w:r>
    </w:p>
    <w:p w:rsidR="005C7CEE" w:rsidRDefault="005C7CEE"/>
    <w:p w:rsidR="005C7CEE" w:rsidRDefault="00E55C36">
      <w:r>
        <w:t>It's also worth noting that blocks 2 &amp; 4 have the highest percentage of Alders and Oaks in them. As these species have the highest mortality rates across all 4 blocks, this could be the cause. Although t’s difficult to confirm whether it is the soil the trees have been planted in, their location on the site, or the species of trees planted in the soil, that is the problem, without a wider range of testing. Goat Willows relatively low mortality rate is expected due to the high rainfall and waterlogged terrain suiting the species.</w:t>
      </w:r>
    </w:p>
    <w:p w:rsidR="005C7CEE" w:rsidRDefault="00E55C36">
      <w:r>
        <w:t xml:space="preserve"> </w:t>
      </w:r>
    </w:p>
    <w:p w:rsidR="005C7CEE" w:rsidRDefault="00E55C36">
      <w:pPr>
        <w:rPr>
          <w:highlight w:val="white"/>
        </w:rPr>
      </w:pPr>
      <w:r>
        <w:t>Phytoremediation is an attractive option for sites such as Varteg which have suffered “</w:t>
      </w:r>
      <w:r>
        <w:rPr>
          <w:highlight w:val="white"/>
        </w:rPr>
        <w:t>soil contamination with toxic metals...resulting from global industrialization”. It is important to reduce the risks associated with environmental health from heavy metal contaminated soils, but the conventional techniques can be “expensive and environmental[ly] non-friendly.”  Thus, making phytoremediation a cost effective and non-invasive option to more conventional techniques. (</w:t>
      </w:r>
      <w:r>
        <w:t xml:space="preserve">Sana A. et al, 2019). </w:t>
      </w:r>
    </w:p>
    <w:p w:rsidR="005C7CEE" w:rsidRDefault="005C7CEE">
      <w:pPr>
        <w:rPr>
          <w:highlight w:val="white"/>
        </w:rPr>
      </w:pPr>
    </w:p>
    <w:p w:rsidR="005C7CEE" w:rsidRDefault="00E55C36">
      <w:pPr>
        <w:rPr>
          <w:highlight w:val="white"/>
        </w:rPr>
      </w:pPr>
      <w:r>
        <w:rPr>
          <w:highlight w:val="white"/>
        </w:rPr>
        <w:t>Here Haigh discusses planting style and the results of different techniques, evaluating “three planting methods through a 10-year formal experimental trial using common alder and oak. Ten-year survival for alder was (39%) and oak (79%).” This shows a higher survival rate for oak than alder. “Ten-year growth of trench-planted alder and oak also exceeded that of pit-planted and notch-planted..”</w:t>
      </w:r>
      <w:r>
        <w:rPr>
          <w:i/>
          <w:highlight w:val="white"/>
        </w:rPr>
        <w:t xml:space="preserve"> </w:t>
      </w:r>
      <w:r>
        <w:rPr>
          <w:highlight w:val="white"/>
        </w:rPr>
        <w:t xml:space="preserve">This was taken into consideration when choosing a planting method (Haigh 2015). </w:t>
      </w:r>
    </w:p>
    <w:p w:rsidR="005C7CEE" w:rsidRDefault="005C7CEE">
      <w:pPr>
        <w:rPr>
          <w:highlight w:val="white"/>
        </w:rPr>
      </w:pPr>
    </w:p>
    <w:p w:rsidR="005C7CEE" w:rsidRDefault="00E55C36">
      <w:r>
        <w:rPr>
          <w:highlight w:val="white"/>
        </w:rPr>
        <w:t>When choosing species, as discussed by the ‘Forest Reclamation Society’ it’s important to take the geographical location into consideration when choosing species, as “l</w:t>
      </w:r>
      <w:r>
        <w:t>andscape position influences availability of soil moisture and sunlight.” Knowing south facing slopes receive the most sunlight leads us to “west-facing slopes receive sunlight during the hottest part of the day – mid and late afternoon.” Meaning, slopes that face south and west have drier soils and those that face north and east are generally the best for tree growth due to higher soil moisture (Davis V., et al, 2012).</w:t>
      </w:r>
    </w:p>
    <w:p w:rsidR="005C7CEE" w:rsidRDefault="005C7CEE"/>
    <w:p w:rsidR="005C7CEE" w:rsidRDefault="00E55C36">
      <w:pPr>
        <w:rPr>
          <w:highlight w:val="white"/>
        </w:rPr>
      </w:pPr>
      <w:r>
        <w:t xml:space="preserve">A Latin square was planted because they allow for two blocking factors. Allowing to control or eliminate two variables. It’s ideal in an experiment making it possible to measure every variable under every treatment which is necessary to incorporate in case of changing conditions, throughout the course of an experiment (Dean A.M. 2001). </w:t>
      </w:r>
    </w:p>
    <w:p w:rsidR="005C7CEE" w:rsidRDefault="005C7CEE">
      <w:pPr>
        <w:rPr>
          <w:highlight w:val="white"/>
        </w:rPr>
      </w:pPr>
    </w:p>
    <w:p w:rsidR="005C7CEE" w:rsidRDefault="00E55C36">
      <w:r>
        <w:lastRenderedPageBreak/>
        <w:t xml:space="preserve">There are several cases of regrowth throughout the plot. This is where a tree dies then regrows from a different point. Normally attributed to more favourable environmental conditions. </w:t>
      </w:r>
    </w:p>
    <w:p w:rsidR="005C7CEE" w:rsidRDefault="005C7CEE"/>
    <w:p w:rsidR="005C7CEE" w:rsidRDefault="00E55C36">
      <w:r>
        <w:t>Wind can have a negative impact on tree growth as well. Due to the exposed conditions on Varteg Hill and the lack of cover during the earliest stages of the reclamation project, it can be safe to assume large quantities of trees will have been lost due to wind. November, the month the planting took place, is among the windiest, wettest months of the year as well as having very little sunlight and a high chance of frost. Associated mortality rates are hard to quantify but a large percentage of trees lean due to windthrow (Met Office).</w:t>
      </w:r>
    </w:p>
    <w:p w:rsidR="005C7CEE" w:rsidRDefault="005C7CEE"/>
    <w:p w:rsidR="005C7CEE" w:rsidRDefault="00E55C36">
      <w:pPr>
        <w:rPr>
          <w:b/>
        </w:rPr>
      </w:pPr>
      <w:r>
        <w:rPr>
          <w:highlight w:val="white"/>
        </w:rPr>
        <w:t>During the tree vitality assessment mycorrhizal fungi was found in parts of the plot that still had some trees left alive. Mycorrhizae are typically absent from reclamation sites. However, if present can form symbiotic relationships with plants, forming links between them and their environment. Also allowing for a massive increase in the capacity to absorb nutrients amongst other things (</w:t>
      </w:r>
      <w:r>
        <w:t>Lunt P., Hedger J. 2003).</w:t>
      </w:r>
    </w:p>
    <w:p w:rsidR="005C7CEE" w:rsidRDefault="005C7CEE"/>
    <w:p w:rsidR="005C7CEE" w:rsidRDefault="005C7CEE"/>
    <w:p w:rsidR="005C7CEE" w:rsidRDefault="00E55C36">
      <w:pPr>
        <w:rPr>
          <w:highlight w:val="white"/>
        </w:rPr>
      </w:pPr>
      <w:r>
        <w:rPr>
          <w:b/>
          <w:highlight w:val="white"/>
        </w:rPr>
        <w:t xml:space="preserve">Conclusion </w:t>
      </w:r>
    </w:p>
    <w:p w:rsidR="005C7CEE" w:rsidRDefault="005C7CEE">
      <w:pPr>
        <w:rPr>
          <w:highlight w:val="white"/>
        </w:rPr>
      </w:pPr>
    </w:p>
    <w:p w:rsidR="005C7CEE" w:rsidRDefault="00E55C36">
      <w:pPr>
        <w:rPr>
          <w:highlight w:val="white"/>
        </w:rPr>
      </w:pPr>
      <w:r>
        <w:rPr>
          <w:highlight w:val="white"/>
        </w:rPr>
        <w:t xml:space="preserve">To conclude, there are many different factors at play here. From the moment of its conception, all the way through to present day the site has been faced with a catalogue of issues. Firstly, the farmer ploughing the land before the trees were planted has had untold consequences on this project. It will be difficult to ever know the full scope of how much that has changed the mortality rates, however it is safe to assume it’s fairly significant. Secondly, the students planting the trees and the effectiveness of planting techniques. As mentioned earlier the site was abandoned during planting, due to bad weather and as a result, some of the trees had to be replanted at a later date. Then there is the site itself; waterlogged, exposed to extreme wind, summer droughts and winter snowfall are just a few of the conditions facing the trees that were planted here. Bearing in mind the ground itself is a highly contaminated mine spoil, these trees needed every help they could get if there was going to be a low mortality rate across the board. There has been some improvement thanks to fertilizer used in 2006 but as current trends show, mortality rates continue to rise at an alarming rate. There have also been some positives in fungi seen in certain parts of the site. If the fungi were to continue to spread, then tree regrowth is a very real possibility. Moving forwards my recommendations would be to look at ways of mass fungi implanting across the whole site, and following this another attempt at large scale tree planting. Considering the high mortality rate of alder and oak, using these in the future is not recommended. Starting with goat willow and the two types of birch, to establish the site, helping to remediate the land, and hope a subterranean network of fungi develops. Then, another attempt at planting the oaks, that used to cover this landscape, could be possible again. </w:t>
      </w:r>
    </w:p>
    <w:p w:rsidR="005C7CEE" w:rsidRDefault="005C7CEE"/>
    <w:p w:rsidR="005C7CEE" w:rsidRDefault="005C7CEE"/>
    <w:p w:rsidR="005C7CEE" w:rsidRDefault="005C7CEE"/>
    <w:p w:rsidR="005C7CEE" w:rsidRDefault="005C7CEE"/>
    <w:p w:rsidR="00E55C36" w:rsidRDefault="00E55C36">
      <w:pPr>
        <w:rPr>
          <w:b/>
        </w:rPr>
      </w:pPr>
    </w:p>
    <w:p w:rsidR="00E55C36" w:rsidRDefault="00E55C36">
      <w:pPr>
        <w:rPr>
          <w:b/>
        </w:rPr>
      </w:pPr>
    </w:p>
    <w:p w:rsidR="00E55C36" w:rsidRDefault="00E55C36">
      <w:pPr>
        <w:rPr>
          <w:b/>
        </w:rPr>
      </w:pPr>
    </w:p>
    <w:p w:rsidR="005C7CEE" w:rsidRDefault="00E55C36">
      <w:r>
        <w:rPr>
          <w:b/>
        </w:rPr>
        <w:lastRenderedPageBreak/>
        <w:t xml:space="preserve">References </w:t>
      </w:r>
    </w:p>
    <w:p w:rsidR="005C7CEE" w:rsidRDefault="005C7CEE"/>
    <w:p w:rsidR="005C7CEE" w:rsidRDefault="00E55C36">
      <w:r>
        <w:t xml:space="preserve">Dean A.M. (2001), ‘International Encyclopaedia of the Social &amp; Behavioural Sciences’, </w:t>
      </w:r>
      <w:r>
        <w:rPr>
          <w:i/>
        </w:rPr>
        <w:t xml:space="preserve">Experimental Design, </w:t>
      </w:r>
      <w:r>
        <w:t>8.3 Latin Squares, Pages 5090 - 5095.</w:t>
      </w:r>
    </w:p>
    <w:p w:rsidR="005C7CEE" w:rsidRDefault="005C7CEE"/>
    <w:p w:rsidR="005C7CEE" w:rsidRDefault="00E55C36">
      <w:r>
        <w:t xml:space="preserve">Davis V., J.A. Burger, R. Rathfon, C.E. Zipper, C.R. Miller (2012), ‘Selecting Tree Species for Reforestation of Appalachian Mined Land’, </w:t>
      </w:r>
      <w:r>
        <w:rPr>
          <w:i/>
        </w:rPr>
        <w:t xml:space="preserve">Forest Reclaimed Society, </w:t>
      </w:r>
      <w:r>
        <w:t xml:space="preserve">Advisory 9. </w:t>
      </w:r>
    </w:p>
    <w:p w:rsidR="005C7CEE" w:rsidRDefault="005C7CEE"/>
    <w:p w:rsidR="005C7CEE" w:rsidRDefault="00E55C36">
      <w:r>
        <w:t xml:space="preserve">Fforest Fawr Geopark 2011, </w:t>
      </w:r>
      <w:r>
        <w:rPr>
          <w:i/>
        </w:rPr>
        <w:t>Rocks and Geology of the Geopark, Fforest Fawr Geopark, viewed 05 December 2019, &lt;</w:t>
      </w:r>
      <w:hyperlink r:id="rId7">
        <w:r>
          <w:rPr>
            <w:i/>
            <w:u w:val="single"/>
          </w:rPr>
          <w:t>https://www.fforestfawrgeopark.org.uk/understanding</w:t>
        </w:r>
      </w:hyperlink>
    </w:p>
    <w:p w:rsidR="005C7CEE" w:rsidRDefault="00A4347B">
      <w:hyperlink r:id="rId8">
        <w:r w:rsidR="00E55C36">
          <w:rPr>
            <w:i/>
            <w:u w:val="single"/>
          </w:rPr>
          <w:t>/rocks-and-geology-of-the-geopark/</w:t>
        </w:r>
      </w:hyperlink>
      <w:r w:rsidR="00E55C36">
        <w:t>&gt;</w:t>
      </w:r>
    </w:p>
    <w:p w:rsidR="005C7CEE" w:rsidRDefault="005C7CEE"/>
    <w:p w:rsidR="005C7CEE" w:rsidRDefault="00E55C36">
      <w:r>
        <w:t xml:space="preserve">Fforest Fawr Geopark 2011, </w:t>
      </w:r>
      <w:r>
        <w:rPr>
          <w:i/>
        </w:rPr>
        <w:t xml:space="preserve">Coal Measures, </w:t>
      </w:r>
      <w:r>
        <w:t xml:space="preserve">Fforest Fawr Geopark, </w:t>
      </w:r>
      <w:r>
        <w:rPr>
          <w:i/>
        </w:rPr>
        <w:t>viewed 05 December 2019, &lt;</w:t>
      </w:r>
      <w:hyperlink r:id="rId9">
        <w:r>
          <w:rPr>
            <w:i/>
            <w:u w:val="single"/>
          </w:rPr>
          <w:t>https://www.fforestfawrgeopark.org.uk/understanding/rocks-and-geology</w:t>
        </w:r>
      </w:hyperlink>
    </w:p>
    <w:p w:rsidR="005C7CEE" w:rsidRDefault="00A4347B">
      <w:hyperlink r:id="rId10">
        <w:r w:rsidR="00E55C36">
          <w:rPr>
            <w:i/>
            <w:u w:val="single"/>
          </w:rPr>
          <w:t>-of-the-geopark/carboniferous-period/coal-measures/</w:t>
        </w:r>
      </w:hyperlink>
      <w:r w:rsidR="00E55C36">
        <w:t>&gt;</w:t>
      </w:r>
    </w:p>
    <w:p w:rsidR="005C7CEE" w:rsidRDefault="005C7CEE"/>
    <w:p w:rsidR="005C7CEE" w:rsidRDefault="00E55C36">
      <w:r>
        <w:t xml:space="preserve">Glamorgan-Gwent Archaeological Trust (2019), </w:t>
      </w:r>
      <w:r>
        <w:rPr>
          <w:i/>
        </w:rPr>
        <w:t>Historic Landscape Characterisation Blaenavon</w:t>
      </w:r>
      <w:r>
        <w:t>, Glamorgan-Gwent Archaeological Trust, viewed 06 December 2019, &lt;</w:t>
      </w:r>
      <w:hyperlink r:id="rId11">
        <w:r>
          <w:rPr>
            <w:u w:val="single"/>
          </w:rPr>
          <w:t>http://www.ggat.org.uk/cadw/historic_landscape/blaenavon/english/Blaenavon_Main.htm</w:t>
        </w:r>
      </w:hyperlink>
      <w:r>
        <w:t>&gt;</w:t>
      </w:r>
    </w:p>
    <w:p w:rsidR="005C7CEE" w:rsidRDefault="005C7CEE"/>
    <w:p w:rsidR="005C7CEE" w:rsidRDefault="00E55C36">
      <w:r>
        <w:t xml:space="preserve">Haigh M. (2015), ‘Effect of Planting Method on the Growth of Alnus glutinosa and Quercus petraea in Compacted Opencast Coal-Mine spoils, South Wales’, </w:t>
      </w:r>
      <w:r>
        <w:rPr>
          <w:i/>
        </w:rPr>
        <w:t xml:space="preserve">Land Degradation &amp; Development, </w:t>
      </w:r>
      <w:r>
        <w:t>Volume 26 (Issue 3), pages 227 - 236, 10.1002/ldr.2201.</w:t>
      </w:r>
    </w:p>
    <w:p w:rsidR="005C7CEE" w:rsidRDefault="005C7CEE"/>
    <w:p w:rsidR="005C7CEE" w:rsidRDefault="00E55C36">
      <w:r>
        <w:t xml:space="preserve">Haigh M. J. (1992), ‘Degradation of Reclaimed Lands Previously Disturbed by Coal Mining in Wales: Causes and Remedies’, </w:t>
      </w:r>
      <w:r>
        <w:rPr>
          <w:i/>
        </w:rPr>
        <w:t xml:space="preserve">Land Degradation &amp; Development, </w:t>
      </w:r>
      <w:r>
        <w:t xml:space="preserve">Volume 3 (Issue 3), Pages 169 - 180, 10.1002/ldr.3400030306. </w:t>
      </w:r>
    </w:p>
    <w:p w:rsidR="005C7CEE" w:rsidRDefault="005C7CEE"/>
    <w:p w:rsidR="005C7CEE" w:rsidRDefault="00E55C36">
      <w:r>
        <w:t xml:space="preserve">Lunt P., Hedger J. 2003, </w:t>
      </w:r>
      <w:r>
        <w:rPr>
          <w:i/>
        </w:rPr>
        <w:t>‘</w:t>
      </w:r>
      <w:r>
        <w:t xml:space="preserve">Effects of Organic Enrichment of Mine Spoil on Growth and Nutrient Uptake in Oak Seedlings Inoculated with Selected Ectomycorrhizal Fungi’, </w:t>
      </w:r>
      <w:r>
        <w:rPr>
          <w:i/>
        </w:rPr>
        <w:t xml:space="preserve">Restoration Ecology, </w:t>
      </w:r>
      <w:r>
        <w:t xml:space="preserve">Volume 11, Issue 2, Pages 125 - 130. </w:t>
      </w:r>
    </w:p>
    <w:p w:rsidR="005C7CEE" w:rsidRDefault="005C7CEE"/>
    <w:p w:rsidR="005C7CEE" w:rsidRDefault="00E55C36">
      <w:r>
        <w:t xml:space="preserve">Met Office 2019, </w:t>
      </w:r>
      <w:r>
        <w:rPr>
          <w:i/>
        </w:rPr>
        <w:t>UK Temperature, Rainfall and Sunrise Time Series</w:t>
      </w:r>
      <w:r>
        <w:t>, Met Office, viewed 9 December 2019, &lt;</w:t>
      </w:r>
      <w:hyperlink r:id="rId12">
        <w:r>
          <w:rPr>
            <w:u w:val="single"/>
          </w:rPr>
          <w:t>https://www.metoffice.gov.uk/research/climate/maps-and-data</w:t>
        </w:r>
      </w:hyperlink>
    </w:p>
    <w:p w:rsidR="005C7CEE" w:rsidRDefault="00A4347B">
      <w:hyperlink r:id="rId13">
        <w:r w:rsidR="00E55C36">
          <w:rPr>
            <w:u w:val="single"/>
          </w:rPr>
          <w:t>/uk-temperature-rainfall-and-sunshine-time-series</w:t>
        </w:r>
      </w:hyperlink>
      <w:r w:rsidR="00E55C36">
        <w:t>&gt;</w:t>
      </w:r>
    </w:p>
    <w:p w:rsidR="005C7CEE" w:rsidRDefault="005C7CEE"/>
    <w:p w:rsidR="005C7CEE" w:rsidRDefault="00E55C36">
      <w:r>
        <w:rPr>
          <w:highlight w:val="white"/>
        </w:rPr>
        <w:t xml:space="preserve">Prasad M.N.V., Favas P. J. C., Maiti S. K. (2018), ‘Varteg Hill “Cradle for Nature” Test Site, </w:t>
      </w:r>
      <w:r>
        <w:rPr>
          <w:i/>
          <w:highlight w:val="white"/>
        </w:rPr>
        <w:t xml:space="preserve">Bio-Geotechnologies for Mine Site Rehabilitation, </w:t>
      </w:r>
      <w:r>
        <w:rPr>
          <w:highlight w:val="white"/>
        </w:rPr>
        <w:t xml:space="preserve">London, Elsevier. </w:t>
      </w:r>
    </w:p>
    <w:p w:rsidR="005C7CEE" w:rsidRDefault="005C7CEE"/>
    <w:p w:rsidR="005C7CEE" w:rsidRDefault="00E55C36">
      <w:r>
        <w:t xml:space="preserve">Sana A., Qasim A., Zahir A. Z., Ashraf S., Asghar H. N. (2019), ‘Phytoremediation: Environmentally Sustainable Way For Reclamation of Heavy Metal Polluted Soils’, </w:t>
      </w:r>
      <w:r>
        <w:rPr>
          <w:i/>
        </w:rPr>
        <w:t xml:space="preserve">Ecotoxicology and Environmental Safety, </w:t>
      </w:r>
      <w:r>
        <w:t>Volume 174 (15 June 2019), Pages 714 - 727.</w:t>
      </w:r>
    </w:p>
    <w:p w:rsidR="005C7CEE" w:rsidRDefault="005C7CEE"/>
    <w:p w:rsidR="005C7CEE" w:rsidRDefault="00E55C36">
      <w:r>
        <w:t xml:space="preserve">Waters C. N., R.A. Waters, W. J. Barcley, J. R. Davies, N.S. Jones &amp; C.J. Cleal (2011), ‘Chapter 5’, Gregory J, </w:t>
      </w:r>
      <w:r>
        <w:rPr>
          <w:i/>
        </w:rPr>
        <w:t>A Revised Correlation of Carboniferous Rocks in the British Isles</w:t>
      </w:r>
      <w:r>
        <w:t xml:space="preserve">, </w:t>
      </w:r>
    </w:p>
    <w:p w:rsidR="005C7CEE" w:rsidRDefault="00E55C36">
      <w:pPr>
        <w:rPr>
          <w:highlight w:val="white"/>
        </w:rPr>
      </w:pPr>
      <w:r>
        <w:t>Special Report Number 26, Bath, The Geological Society Publishing House, pages 1 - 6.</w:t>
      </w:r>
    </w:p>
    <w:sectPr w:rsidR="005C7CEE">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62F4F07"/>
    <w:multiLevelType w:val="multilevel"/>
    <w:tmpl w:val="E9B449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5935ED3"/>
    <w:multiLevelType w:val="multilevel"/>
    <w:tmpl w:val="0D2CA0D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C7CEE"/>
    <w:rsid w:val="005C7CEE"/>
    <w:rsid w:val="00A4347B"/>
    <w:rsid w:val="00E55C3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DC4E1C7A-FA82-4CBB-8DE3-147CC8BAFE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yperlink" Target="https://www.fforestfawrgeopark.org.uk/understanding/rocks-and-geology-of-the-geopark/" TargetMode="External"/><Relationship Id="rId13" Type="http://schemas.openxmlformats.org/officeDocument/2006/relationships/hyperlink" Target="https://www.metoffice.gov.uk/research/climate/maps-and-data/uk-temperature-rainfall-and-sunshine-time-series" TargetMode="External"/><Relationship Id="rId3" Type="http://schemas.openxmlformats.org/officeDocument/2006/relationships/settings" Target="settings.xml"/><Relationship Id="rId7" Type="http://schemas.openxmlformats.org/officeDocument/2006/relationships/hyperlink" Target="https://www.fforestfawrgeopark.org.uk/understanding/rocks-and-geology-of-the-geopark/" TargetMode="External"/><Relationship Id="rId12" Type="http://schemas.openxmlformats.org/officeDocument/2006/relationships/hyperlink" Target="https://www.metoffice.gov.uk/research/climate/maps-and-data/uk-temperature-rainfall-and-sunshine-time-seri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www.ggat.org.uk/cadw/historic_landscape/blaenavon/english/Blaenavon_Main.htm"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s://www.fforestfawrgeopark.org.uk/understanding/rocks-and-geology-of-the-geopark/carboniferous-period/coal-measures/" TargetMode="External"/><Relationship Id="rId4" Type="http://schemas.openxmlformats.org/officeDocument/2006/relationships/webSettings" Target="webSettings.xml"/><Relationship Id="rId9" Type="http://schemas.openxmlformats.org/officeDocument/2006/relationships/hyperlink" Target="https://www.fforestfawrgeopark.org.uk/understanding/rocks-and-geology-of-the-geopark/carboniferous-period/coal-measure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2417</Words>
  <Characters>13779</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Rhian Jenkins</dc:creator>
  <cp:lastModifiedBy>Rhian Jenkins</cp:lastModifiedBy>
  <cp:revision>2</cp:revision>
  <dcterms:created xsi:type="dcterms:W3CDTF">2020-06-30T08:31:00Z</dcterms:created>
  <dcterms:modified xsi:type="dcterms:W3CDTF">2020-06-30T08:31:00Z</dcterms:modified>
</cp:coreProperties>
</file>