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5A5D4" w14:textId="77777777" w:rsidR="00ED594F" w:rsidRDefault="00ED594F" w:rsidP="00ED594F"/>
    <w:p w14:paraId="02A6B43B" w14:textId="77777777" w:rsidR="00ED594F" w:rsidRDefault="00ED594F" w:rsidP="00ED594F">
      <w:pPr>
        <w:ind w:right="483"/>
        <w:rPr>
          <w:b/>
          <w:sz w:val="36"/>
          <w:szCs w:val="36"/>
        </w:rPr>
      </w:pPr>
    </w:p>
    <w:p w14:paraId="505CE937" w14:textId="77777777" w:rsidR="00ED594F" w:rsidRPr="00ED594F" w:rsidRDefault="00ED594F" w:rsidP="00ED594F">
      <w:pPr>
        <w:ind w:right="483"/>
        <w:rPr>
          <w:b/>
          <w:sz w:val="32"/>
          <w:szCs w:val="32"/>
        </w:rPr>
      </w:pPr>
      <w:r w:rsidRPr="00ED594F">
        <w:rPr>
          <w:b/>
          <w:sz w:val="32"/>
          <w:szCs w:val="32"/>
        </w:rPr>
        <w:t xml:space="preserve">                                                 Student Name</w:t>
      </w:r>
    </w:p>
    <w:p w14:paraId="176BBC26" w14:textId="77777777" w:rsidR="00ED594F" w:rsidRPr="00ED594F" w:rsidRDefault="00ED594F" w:rsidP="00ED594F">
      <w:pPr>
        <w:jc w:val="center"/>
        <w:rPr>
          <w:b/>
          <w:sz w:val="32"/>
          <w:szCs w:val="32"/>
        </w:rPr>
      </w:pPr>
      <w:r w:rsidRPr="00ED594F">
        <w:rPr>
          <w:b/>
          <w:sz w:val="32"/>
          <w:szCs w:val="32"/>
        </w:rPr>
        <w:t xml:space="preserve">Natalia Mirosnicova </w:t>
      </w:r>
    </w:p>
    <w:p w14:paraId="1B1DCE21" w14:textId="77777777" w:rsidR="00ED594F" w:rsidRPr="00ED594F" w:rsidRDefault="00ED594F" w:rsidP="00ED594F">
      <w:pPr>
        <w:jc w:val="center"/>
        <w:rPr>
          <w:b/>
          <w:sz w:val="32"/>
          <w:szCs w:val="32"/>
        </w:rPr>
      </w:pPr>
      <w:r w:rsidRPr="00ED594F">
        <w:rPr>
          <w:b/>
          <w:sz w:val="32"/>
          <w:szCs w:val="32"/>
        </w:rPr>
        <w:t>Student ID Number:2129102</w:t>
      </w:r>
    </w:p>
    <w:p w14:paraId="61799709" w14:textId="77777777" w:rsidR="00ED594F" w:rsidRPr="00ED594F" w:rsidRDefault="00ED594F" w:rsidP="00ED594F">
      <w:pPr>
        <w:jc w:val="center"/>
        <w:rPr>
          <w:b/>
          <w:bCs/>
          <w:sz w:val="32"/>
          <w:szCs w:val="32"/>
        </w:rPr>
      </w:pPr>
      <w:r w:rsidRPr="00ED594F">
        <w:rPr>
          <w:b/>
          <w:bCs/>
          <w:sz w:val="32"/>
          <w:szCs w:val="32"/>
        </w:rPr>
        <w:t>Financial Management for the Hotel Industry</w:t>
      </w:r>
    </w:p>
    <w:p w14:paraId="10A42650" w14:textId="77777777" w:rsidR="00ED594F" w:rsidRPr="00ED594F" w:rsidRDefault="00ED594F" w:rsidP="00ED594F">
      <w:pPr>
        <w:jc w:val="center"/>
        <w:rPr>
          <w:b/>
          <w:bCs/>
          <w:sz w:val="32"/>
          <w:szCs w:val="32"/>
        </w:rPr>
      </w:pPr>
      <w:r w:rsidRPr="00ED594F">
        <w:rPr>
          <w:b/>
          <w:bCs/>
          <w:sz w:val="32"/>
          <w:szCs w:val="32"/>
        </w:rPr>
        <w:t>BMIH5007</w:t>
      </w:r>
    </w:p>
    <w:p w14:paraId="045E9013" w14:textId="77777777" w:rsidR="00ED594F" w:rsidRPr="00ED594F" w:rsidRDefault="00ED594F" w:rsidP="00ED594F">
      <w:pPr>
        <w:jc w:val="center"/>
        <w:rPr>
          <w:b/>
          <w:sz w:val="32"/>
          <w:szCs w:val="32"/>
        </w:rPr>
      </w:pPr>
      <w:r w:rsidRPr="00ED594F">
        <w:rPr>
          <w:b/>
          <w:sz w:val="32"/>
          <w:szCs w:val="32"/>
        </w:rPr>
        <w:t>Lecturer’s Name</w:t>
      </w:r>
    </w:p>
    <w:p w14:paraId="3AC9E78B" w14:textId="77777777" w:rsidR="00ED594F" w:rsidRPr="00ED594F" w:rsidRDefault="00ED594F" w:rsidP="00ED594F">
      <w:pPr>
        <w:jc w:val="center"/>
        <w:rPr>
          <w:b/>
          <w:bCs/>
          <w:color w:val="000000" w:themeColor="text1"/>
          <w:sz w:val="32"/>
          <w:szCs w:val="32"/>
        </w:rPr>
      </w:pPr>
      <w:r w:rsidRPr="00ED594F">
        <w:rPr>
          <w:b/>
          <w:bCs/>
          <w:color w:val="000000" w:themeColor="text1"/>
          <w:sz w:val="32"/>
          <w:szCs w:val="32"/>
        </w:rPr>
        <w:t>Tristan Hawkins</w:t>
      </w:r>
    </w:p>
    <w:p w14:paraId="6EC493A3" w14:textId="77777777" w:rsidR="00ED594F" w:rsidRPr="00D264E6" w:rsidRDefault="00ED594F" w:rsidP="00ED594F">
      <w:pPr>
        <w:jc w:val="center"/>
        <w:rPr>
          <w:b/>
          <w:bCs/>
          <w:sz w:val="32"/>
          <w:szCs w:val="32"/>
        </w:rPr>
      </w:pPr>
    </w:p>
    <w:p w14:paraId="17C78E5C" w14:textId="77777777" w:rsidR="00ED594F" w:rsidRDefault="00ED594F" w:rsidP="00ED594F"/>
    <w:p w14:paraId="5DAD18D1" w14:textId="77777777" w:rsidR="00ED594F" w:rsidRDefault="00ED594F" w:rsidP="00ED594F"/>
    <w:p w14:paraId="465A018B" w14:textId="7B4919AD" w:rsidR="00ED594F" w:rsidRDefault="00ED594F" w:rsidP="00ED594F">
      <w:r>
        <w:br w:type="page"/>
      </w:r>
    </w:p>
    <w:sdt>
      <w:sdtPr>
        <w:rPr>
          <w:rFonts w:asciiTheme="minorHAnsi" w:eastAsiaTheme="minorHAnsi" w:hAnsiTheme="minorHAnsi" w:cstheme="minorBidi"/>
          <w:color w:val="auto"/>
          <w:sz w:val="22"/>
          <w:szCs w:val="22"/>
        </w:rPr>
        <w:id w:val="1724095867"/>
        <w:docPartObj>
          <w:docPartGallery w:val="Table of Contents"/>
          <w:docPartUnique/>
        </w:docPartObj>
      </w:sdtPr>
      <w:sdtEndPr>
        <w:rPr>
          <w:kern w:val="0"/>
          <w14:ligatures w14:val="none"/>
        </w:rPr>
      </w:sdtEndPr>
      <w:sdtContent>
        <w:p w14:paraId="05FA0CEA" w14:textId="77777777" w:rsidR="00ED594F" w:rsidRPr="00ED594F" w:rsidRDefault="00ED594F" w:rsidP="00ED594F">
          <w:pPr>
            <w:pStyle w:val="TOCHeading"/>
            <w:rPr>
              <w:color w:val="auto"/>
            </w:rPr>
          </w:pPr>
          <w:r w:rsidRPr="00ED594F">
            <w:rPr>
              <w:color w:val="auto"/>
            </w:rPr>
            <w:t>Contents</w:t>
          </w:r>
        </w:p>
        <w:p w14:paraId="64CE1132" w14:textId="77777777" w:rsidR="00ED594F" w:rsidRDefault="00ED594F" w:rsidP="00ED594F">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r:id="rId5" w:anchor="_Toc156410598" w:history="1">
            <w:r>
              <w:rPr>
                <w:rStyle w:val="Hyperlink"/>
                <w:noProof/>
              </w:rPr>
              <w:t>Executive Summary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_Toc156410598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5076A11A" w14:textId="77777777" w:rsidR="00ED594F" w:rsidRDefault="00000000" w:rsidP="00ED594F">
          <w:pPr>
            <w:pStyle w:val="TOC1"/>
            <w:tabs>
              <w:tab w:val="right" w:leader="dot" w:pos="9350"/>
            </w:tabs>
            <w:rPr>
              <w:rFonts w:eastAsiaTheme="minorEastAsia"/>
              <w:noProof/>
              <w:lang w:val="en-GB" w:eastAsia="en-GB"/>
            </w:rPr>
          </w:pPr>
          <w:hyperlink r:id="rId6" w:anchor="_Toc156410599" w:history="1">
            <w:r w:rsidR="00ED594F">
              <w:rPr>
                <w:rStyle w:val="Hyperlink"/>
                <w:rFonts w:cs="Times New Roman"/>
                <w:noProof/>
              </w:rPr>
              <w:t>Purpose</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_Toc156410599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4</w:t>
            </w:r>
            <w:r w:rsidR="00ED594F">
              <w:rPr>
                <w:rStyle w:val="Hyperlink"/>
                <w:noProof/>
                <w:webHidden/>
                <w:color w:val="auto"/>
              </w:rPr>
              <w:fldChar w:fldCharType="end"/>
            </w:r>
          </w:hyperlink>
        </w:p>
        <w:p w14:paraId="720F3889" w14:textId="77777777" w:rsidR="00ED594F" w:rsidRDefault="00000000" w:rsidP="00ED594F">
          <w:pPr>
            <w:pStyle w:val="TOC1"/>
            <w:tabs>
              <w:tab w:val="right" w:leader="dot" w:pos="9350"/>
            </w:tabs>
            <w:rPr>
              <w:rFonts w:eastAsiaTheme="minorEastAsia"/>
              <w:noProof/>
              <w:lang w:val="en-GB" w:eastAsia="en-GB"/>
            </w:rPr>
          </w:pPr>
          <w:hyperlink r:id="rId7" w:anchor="_Toc156410600" w:history="1">
            <w:r w:rsidR="00ED594F">
              <w:rPr>
                <w:rStyle w:val="Hyperlink"/>
                <w:rFonts w:cs="Times New Roman"/>
                <w:noProof/>
              </w:rPr>
              <w:t>Introduction</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_Toc156410600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5</w:t>
            </w:r>
            <w:r w:rsidR="00ED594F">
              <w:rPr>
                <w:rStyle w:val="Hyperlink"/>
                <w:noProof/>
                <w:webHidden/>
                <w:color w:val="auto"/>
              </w:rPr>
              <w:fldChar w:fldCharType="end"/>
            </w:r>
          </w:hyperlink>
        </w:p>
        <w:p w14:paraId="4CF8D4A8" w14:textId="77777777" w:rsidR="00ED594F" w:rsidRDefault="00000000" w:rsidP="00ED594F">
          <w:pPr>
            <w:pStyle w:val="TOC1"/>
            <w:tabs>
              <w:tab w:val="right" w:leader="dot" w:pos="9350"/>
            </w:tabs>
            <w:rPr>
              <w:rFonts w:eastAsiaTheme="minorEastAsia"/>
              <w:noProof/>
              <w:lang w:val="en-GB" w:eastAsia="en-GB"/>
            </w:rPr>
          </w:pPr>
          <w:hyperlink r:id="rId8" w:anchor="_Toc156410601" w:history="1">
            <w:r w:rsidR="00ED594F">
              <w:rPr>
                <w:rStyle w:val="Hyperlink"/>
                <w:rFonts w:cs="Times New Roman"/>
                <w:noProof/>
              </w:rPr>
              <w:t>Financial Analysis</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_Toc156410601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6</w:t>
            </w:r>
            <w:r w:rsidR="00ED594F">
              <w:rPr>
                <w:rStyle w:val="Hyperlink"/>
                <w:noProof/>
                <w:webHidden/>
                <w:color w:val="auto"/>
              </w:rPr>
              <w:fldChar w:fldCharType="end"/>
            </w:r>
          </w:hyperlink>
        </w:p>
        <w:p w14:paraId="010318A9" w14:textId="77777777" w:rsidR="00ED594F" w:rsidRDefault="00000000" w:rsidP="00ED594F">
          <w:pPr>
            <w:pStyle w:val="TOC1"/>
            <w:tabs>
              <w:tab w:val="right" w:leader="dot" w:pos="9350"/>
            </w:tabs>
            <w:rPr>
              <w:rFonts w:eastAsiaTheme="minorEastAsia"/>
              <w:noProof/>
              <w:lang w:val="en-GB" w:eastAsia="en-GB"/>
            </w:rPr>
          </w:pPr>
          <w:hyperlink r:id="rId9" w:anchor="_Toc156410602" w:history="1">
            <w:r w:rsidR="00ED594F">
              <w:rPr>
                <w:rStyle w:val="Hyperlink"/>
                <w:noProof/>
              </w:rPr>
              <w:t>SWOT Analysis</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_Toc156410602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8</w:t>
            </w:r>
            <w:r w:rsidR="00ED594F">
              <w:rPr>
                <w:rStyle w:val="Hyperlink"/>
                <w:noProof/>
                <w:webHidden/>
                <w:color w:val="auto"/>
              </w:rPr>
              <w:fldChar w:fldCharType="end"/>
            </w:r>
          </w:hyperlink>
        </w:p>
        <w:p w14:paraId="6ED5C6E3" w14:textId="77777777" w:rsidR="00ED594F" w:rsidRDefault="00000000" w:rsidP="00ED594F">
          <w:pPr>
            <w:pStyle w:val="TOC1"/>
            <w:tabs>
              <w:tab w:val="right" w:leader="dot" w:pos="9350"/>
            </w:tabs>
            <w:rPr>
              <w:rFonts w:eastAsiaTheme="minorEastAsia"/>
              <w:noProof/>
              <w:lang w:val="en-GB" w:eastAsia="en-GB"/>
            </w:rPr>
          </w:pPr>
          <w:hyperlink r:id="rId10" w:anchor="_Toc156410603" w:history="1">
            <w:r w:rsidR="00ED594F">
              <w:rPr>
                <w:rStyle w:val="Hyperlink"/>
                <w:noProof/>
              </w:rPr>
              <w:t>Market Analysis</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_Toc156410603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9</w:t>
            </w:r>
            <w:r w:rsidR="00ED594F">
              <w:rPr>
                <w:rStyle w:val="Hyperlink"/>
                <w:noProof/>
                <w:webHidden/>
                <w:color w:val="auto"/>
              </w:rPr>
              <w:fldChar w:fldCharType="end"/>
            </w:r>
          </w:hyperlink>
        </w:p>
        <w:p w14:paraId="1A3BD4D9" w14:textId="77777777" w:rsidR="00ED594F" w:rsidRDefault="00000000" w:rsidP="00ED594F">
          <w:pPr>
            <w:pStyle w:val="TOC1"/>
            <w:tabs>
              <w:tab w:val="right" w:leader="dot" w:pos="9350"/>
            </w:tabs>
            <w:rPr>
              <w:rFonts w:eastAsiaTheme="minorEastAsia"/>
              <w:noProof/>
              <w:lang w:val="en-GB" w:eastAsia="en-GB"/>
            </w:rPr>
          </w:pPr>
          <w:hyperlink r:id="rId11" w:anchor="_Toc156410604" w:history="1">
            <w:r w:rsidR="00ED594F">
              <w:rPr>
                <w:rStyle w:val="Hyperlink"/>
                <w:noProof/>
              </w:rPr>
              <w:t>Turnaround Strategy (2023-2026)</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_Toc156410604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11</w:t>
            </w:r>
            <w:r w:rsidR="00ED594F">
              <w:rPr>
                <w:rStyle w:val="Hyperlink"/>
                <w:noProof/>
                <w:webHidden/>
                <w:color w:val="auto"/>
              </w:rPr>
              <w:fldChar w:fldCharType="end"/>
            </w:r>
          </w:hyperlink>
        </w:p>
        <w:p w14:paraId="04615AE2" w14:textId="77777777" w:rsidR="00ED594F" w:rsidRDefault="00000000" w:rsidP="00ED594F">
          <w:pPr>
            <w:pStyle w:val="TOC1"/>
            <w:tabs>
              <w:tab w:val="right" w:leader="dot" w:pos="9350"/>
            </w:tabs>
            <w:rPr>
              <w:rFonts w:eastAsiaTheme="minorEastAsia"/>
              <w:noProof/>
              <w:lang w:val="en-GB" w:eastAsia="en-GB"/>
            </w:rPr>
          </w:pPr>
          <w:hyperlink r:id="rId12" w:anchor="_Toc156410605" w:history="1">
            <w:r w:rsidR="00ED594F">
              <w:rPr>
                <w:rStyle w:val="Hyperlink"/>
                <w:noProof/>
              </w:rPr>
              <w:t>Financial Projections</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_Toc156410605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12</w:t>
            </w:r>
            <w:r w:rsidR="00ED594F">
              <w:rPr>
                <w:rStyle w:val="Hyperlink"/>
                <w:noProof/>
                <w:webHidden/>
                <w:color w:val="auto"/>
              </w:rPr>
              <w:fldChar w:fldCharType="end"/>
            </w:r>
          </w:hyperlink>
        </w:p>
        <w:p w14:paraId="25E83F9C" w14:textId="77777777" w:rsidR="00ED594F" w:rsidRDefault="00000000" w:rsidP="00ED594F">
          <w:pPr>
            <w:pStyle w:val="TOC1"/>
            <w:tabs>
              <w:tab w:val="right" w:leader="dot" w:pos="9350"/>
            </w:tabs>
            <w:rPr>
              <w:rFonts w:eastAsiaTheme="minorEastAsia"/>
              <w:noProof/>
              <w:lang w:val="en-GB" w:eastAsia="en-GB"/>
            </w:rPr>
          </w:pPr>
          <w:hyperlink r:id="rId13" w:anchor="_Toc156410606" w:history="1">
            <w:r w:rsidR="00ED594F">
              <w:rPr>
                <w:rStyle w:val="Hyperlink"/>
                <w:noProof/>
              </w:rPr>
              <w:t>Risk Assessment</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_Toc156410606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14</w:t>
            </w:r>
            <w:r w:rsidR="00ED594F">
              <w:rPr>
                <w:rStyle w:val="Hyperlink"/>
                <w:noProof/>
                <w:webHidden/>
                <w:color w:val="auto"/>
              </w:rPr>
              <w:fldChar w:fldCharType="end"/>
            </w:r>
          </w:hyperlink>
        </w:p>
        <w:p w14:paraId="59DCFD4A" w14:textId="77777777" w:rsidR="00ED594F" w:rsidRDefault="00000000" w:rsidP="00ED594F">
          <w:pPr>
            <w:pStyle w:val="TOC1"/>
            <w:tabs>
              <w:tab w:val="right" w:leader="dot" w:pos="9350"/>
            </w:tabs>
            <w:rPr>
              <w:rFonts w:eastAsiaTheme="minorEastAsia"/>
              <w:noProof/>
              <w:lang w:val="en-GB" w:eastAsia="en-GB"/>
            </w:rPr>
          </w:pPr>
          <w:hyperlink r:id="rId14" w:anchor="_Toc156410607" w:history="1">
            <w:r w:rsidR="00ED594F">
              <w:rPr>
                <w:rStyle w:val="Hyperlink"/>
                <w:noProof/>
              </w:rPr>
              <w:t>Conclusion</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_Toc156410607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15</w:t>
            </w:r>
            <w:r w:rsidR="00ED594F">
              <w:rPr>
                <w:rStyle w:val="Hyperlink"/>
                <w:noProof/>
                <w:webHidden/>
                <w:color w:val="auto"/>
              </w:rPr>
              <w:fldChar w:fldCharType="end"/>
            </w:r>
          </w:hyperlink>
        </w:p>
        <w:p w14:paraId="0DEDF3E0" w14:textId="77777777" w:rsidR="00ED594F" w:rsidRDefault="00000000" w:rsidP="00ED594F">
          <w:pPr>
            <w:pStyle w:val="TOC1"/>
            <w:tabs>
              <w:tab w:val="right" w:leader="dot" w:pos="9350"/>
            </w:tabs>
            <w:rPr>
              <w:rFonts w:eastAsiaTheme="minorEastAsia"/>
              <w:noProof/>
              <w:lang w:val="en-GB" w:eastAsia="en-GB"/>
            </w:rPr>
          </w:pPr>
          <w:hyperlink r:id="rId15" w:anchor="_Toc156410608" w:history="1">
            <w:r w:rsidR="00ED594F">
              <w:rPr>
                <w:rStyle w:val="Hyperlink"/>
                <w:noProof/>
              </w:rPr>
              <w:t>Recommendation</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_Toc156410608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16</w:t>
            </w:r>
            <w:r w:rsidR="00ED594F">
              <w:rPr>
                <w:rStyle w:val="Hyperlink"/>
                <w:noProof/>
                <w:webHidden/>
                <w:color w:val="auto"/>
              </w:rPr>
              <w:fldChar w:fldCharType="end"/>
            </w:r>
          </w:hyperlink>
        </w:p>
        <w:p w14:paraId="7CB192BE" w14:textId="77777777" w:rsidR="00ED594F" w:rsidRDefault="00000000" w:rsidP="00ED594F">
          <w:pPr>
            <w:pStyle w:val="TOC1"/>
            <w:tabs>
              <w:tab w:val="right" w:leader="dot" w:pos="9350"/>
            </w:tabs>
            <w:rPr>
              <w:rFonts w:eastAsiaTheme="minorEastAsia"/>
              <w:noProof/>
              <w:lang w:val="en-GB" w:eastAsia="en-GB"/>
            </w:rPr>
          </w:pPr>
          <w:hyperlink r:id="rId16" w:anchor="_Toc156410609" w:history="1">
            <w:r w:rsidR="00ED594F">
              <w:rPr>
                <w:rStyle w:val="Hyperlink"/>
                <w:noProof/>
              </w:rPr>
              <w:t>Appendix</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_Toc156410609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17</w:t>
            </w:r>
            <w:r w:rsidR="00ED594F">
              <w:rPr>
                <w:rStyle w:val="Hyperlink"/>
                <w:noProof/>
                <w:webHidden/>
                <w:color w:val="auto"/>
              </w:rPr>
              <w:fldChar w:fldCharType="end"/>
            </w:r>
          </w:hyperlink>
        </w:p>
        <w:p w14:paraId="43576FF8" w14:textId="77777777" w:rsidR="00ED594F" w:rsidRDefault="00000000" w:rsidP="00ED594F">
          <w:pPr>
            <w:pStyle w:val="TOC2"/>
            <w:tabs>
              <w:tab w:val="right" w:leader="dot" w:pos="9350"/>
            </w:tabs>
            <w:rPr>
              <w:rFonts w:eastAsiaTheme="minorEastAsia"/>
              <w:noProof/>
              <w:lang w:val="en-GB" w:eastAsia="en-GB"/>
            </w:rPr>
          </w:pPr>
          <w:hyperlink r:id="rId17" w:anchor="_Toc156410610" w:history="1">
            <w:r w:rsidR="00ED594F">
              <w:rPr>
                <w:rStyle w:val="Hyperlink"/>
                <w:noProof/>
              </w:rPr>
              <w:t>Appendix 1</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_Toc156410610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17</w:t>
            </w:r>
            <w:r w:rsidR="00ED594F">
              <w:rPr>
                <w:rStyle w:val="Hyperlink"/>
                <w:noProof/>
                <w:webHidden/>
                <w:color w:val="auto"/>
              </w:rPr>
              <w:fldChar w:fldCharType="end"/>
            </w:r>
          </w:hyperlink>
        </w:p>
        <w:p w14:paraId="0C6F5B22" w14:textId="77777777" w:rsidR="00ED594F" w:rsidRDefault="00000000" w:rsidP="00ED594F">
          <w:pPr>
            <w:pStyle w:val="TOC2"/>
            <w:tabs>
              <w:tab w:val="right" w:leader="dot" w:pos="9350"/>
            </w:tabs>
            <w:rPr>
              <w:rFonts w:eastAsiaTheme="minorEastAsia"/>
              <w:noProof/>
              <w:lang w:val="en-GB" w:eastAsia="en-GB"/>
            </w:rPr>
          </w:pPr>
          <w:hyperlink r:id="rId18" w:anchor="_Toc156410611" w:history="1">
            <w:r w:rsidR="00ED594F">
              <w:rPr>
                <w:rStyle w:val="Hyperlink"/>
                <w:noProof/>
              </w:rPr>
              <w:t>Appendix 2</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_Toc156410611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18</w:t>
            </w:r>
            <w:r w:rsidR="00ED594F">
              <w:rPr>
                <w:rStyle w:val="Hyperlink"/>
                <w:noProof/>
                <w:webHidden/>
                <w:color w:val="auto"/>
              </w:rPr>
              <w:fldChar w:fldCharType="end"/>
            </w:r>
          </w:hyperlink>
        </w:p>
        <w:p w14:paraId="2707D941" w14:textId="77777777" w:rsidR="00ED594F" w:rsidRDefault="00000000" w:rsidP="00ED594F">
          <w:pPr>
            <w:pStyle w:val="TOC2"/>
            <w:tabs>
              <w:tab w:val="right" w:leader="dot" w:pos="9350"/>
            </w:tabs>
            <w:rPr>
              <w:rFonts w:eastAsiaTheme="minorEastAsia"/>
              <w:noProof/>
              <w:lang w:val="en-GB" w:eastAsia="en-GB"/>
            </w:rPr>
          </w:pPr>
          <w:hyperlink r:id="rId19" w:anchor="_Toc156410612" w:history="1">
            <w:r w:rsidR="00ED594F">
              <w:rPr>
                <w:rStyle w:val="Hyperlink"/>
                <w:noProof/>
              </w:rPr>
              <w:t>Appendix 3</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_Toc156410612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19</w:t>
            </w:r>
            <w:r w:rsidR="00ED594F">
              <w:rPr>
                <w:rStyle w:val="Hyperlink"/>
                <w:noProof/>
                <w:webHidden/>
                <w:color w:val="auto"/>
              </w:rPr>
              <w:fldChar w:fldCharType="end"/>
            </w:r>
          </w:hyperlink>
        </w:p>
        <w:p w14:paraId="73266B67" w14:textId="77777777" w:rsidR="00ED594F" w:rsidRDefault="00000000" w:rsidP="00ED594F">
          <w:pPr>
            <w:pStyle w:val="TOC2"/>
            <w:tabs>
              <w:tab w:val="right" w:leader="dot" w:pos="9350"/>
            </w:tabs>
            <w:rPr>
              <w:rFonts w:eastAsiaTheme="minorEastAsia"/>
              <w:noProof/>
              <w:lang w:val="en-GB" w:eastAsia="en-GB"/>
            </w:rPr>
          </w:pPr>
          <w:hyperlink r:id="rId20" w:anchor="_Toc156410613" w:history="1">
            <w:r w:rsidR="00ED594F">
              <w:rPr>
                <w:rStyle w:val="Hyperlink"/>
                <w:noProof/>
              </w:rPr>
              <w:t>Appendix 4</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_Toc156410613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20</w:t>
            </w:r>
            <w:r w:rsidR="00ED594F">
              <w:rPr>
                <w:rStyle w:val="Hyperlink"/>
                <w:noProof/>
                <w:webHidden/>
                <w:color w:val="auto"/>
              </w:rPr>
              <w:fldChar w:fldCharType="end"/>
            </w:r>
          </w:hyperlink>
        </w:p>
        <w:p w14:paraId="23F331A0" w14:textId="77777777" w:rsidR="00ED594F" w:rsidRDefault="00000000" w:rsidP="00ED594F">
          <w:pPr>
            <w:pStyle w:val="TOC2"/>
            <w:tabs>
              <w:tab w:val="right" w:leader="dot" w:pos="9350"/>
            </w:tabs>
            <w:rPr>
              <w:rFonts w:eastAsiaTheme="minorEastAsia"/>
              <w:noProof/>
              <w:lang w:val="en-GB" w:eastAsia="en-GB"/>
            </w:rPr>
          </w:pPr>
          <w:hyperlink r:id="rId21" w:anchor="_Toc156410614" w:history="1">
            <w:r w:rsidR="00ED594F">
              <w:rPr>
                <w:rStyle w:val="Hyperlink"/>
                <w:noProof/>
              </w:rPr>
              <w:t>Appendix 5</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_Toc156410614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21</w:t>
            </w:r>
            <w:r w:rsidR="00ED594F">
              <w:rPr>
                <w:rStyle w:val="Hyperlink"/>
                <w:noProof/>
                <w:webHidden/>
                <w:color w:val="auto"/>
              </w:rPr>
              <w:fldChar w:fldCharType="end"/>
            </w:r>
          </w:hyperlink>
        </w:p>
        <w:p w14:paraId="43C38D7C" w14:textId="77777777" w:rsidR="00ED594F" w:rsidRDefault="00000000" w:rsidP="00ED594F">
          <w:pPr>
            <w:pStyle w:val="TOC2"/>
            <w:tabs>
              <w:tab w:val="right" w:leader="dot" w:pos="9350"/>
            </w:tabs>
            <w:rPr>
              <w:rFonts w:eastAsiaTheme="minorEastAsia"/>
              <w:noProof/>
              <w:lang w:val="en-GB" w:eastAsia="en-GB"/>
            </w:rPr>
          </w:pPr>
          <w:hyperlink r:id="rId22" w:anchor="_Toc156410615" w:history="1">
            <w:r w:rsidR="00ED594F">
              <w:rPr>
                <w:rStyle w:val="Hyperlink"/>
                <w:noProof/>
              </w:rPr>
              <w:t>Appendix 6</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_Toc156410615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21</w:t>
            </w:r>
            <w:r w:rsidR="00ED594F">
              <w:rPr>
                <w:rStyle w:val="Hyperlink"/>
                <w:noProof/>
                <w:webHidden/>
                <w:color w:val="auto"/>
              </w:rPr>
              <w:fldChar w:fldCharType="end"/>
            </w:r>
          </w:hyperlink>
        </w:p>
        <w:p w14:paraId="40179707" w14:textId="77777777" w:rsidR="00ED594F" w:rsidRDefault="00000000" w:rsidP="00ED594F">
          <w:pPr>
            <w:pStyle w:val="TOC2"/>
            <w:tabs>
              <w:tab w:val="right" w:leader="dot" w:pos="9350"/>
            </w:tabs>
            <w:rPr>
              <w:rFonts w:eastAsiaTheme="minorEastAsia"/>
              <w:noProof/>
              <w:lang w:val="en-GB" w:eastAsia="en-GB"/>
            </w:rPr>
          </w:pPr>
          <w:hyperlink r:id="rId23" w:anchor="_Toc156410616" w:history="1">
            <w:r w:rsidR="00ED594F">
              <w:rPr>
                <w:rStyle w:val="Hyperlink"/>
                <w:noProof/>
              </w:rPr>
              <w:t>Appendix 7</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_Toc156410616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22</w:t>
            </w:r>
            <w:r w:rsidR="00ED594F">
              <w:rPr>
                <w:rStyle w:val="Hyperlink"/>
                <w:noProof/>
                <w:webHidden/>
                <w:color w:val="auto"/>
              </w:rPr>
              <w:fldChar w:fldCharType="end"/>
            </w:r>
          </w:hyperlink>
        </w:p>
        <w:p w14:paraId="6409BE3C" w14:textId="77777777" w:rsidR="00ED594F" w:rsidRDefault="00000000" w:rsidP="00ED594F">
          <w:pPr>
            <w:pStyle w:val="TOC2"/>
            <w:tabs>
              <w:tab w:val="right" w:leader="dot" w:pos="9350"/>
            </w:tabs>
            <w:rPr>
              <w:rFonts w:eastAsiaTheme="minorEastAsia"/>
              <w:noProof/>
              <w:lang w:val="en-GB" w:eastAsia="en-GB"/>
            </w:rPr>
          </w:pPr>
          <w:hyperlink r:id="rId24" w:anchor="_Toc156410617" w:history="1">
            <w:r w:rsidR="00ED594F">
              <w:rPr>
                <w:rStyle w:val="Hyperlink"/>
                <w:noProof/>
              </w:rPr>
              <w:t>Appendix 8</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_Toc156410617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22</w:t>
            </w:r>
            <w:r w:rsidR="00ED594F">
              <w:rPr>
                <w:rStyle w:val="Hyperlink"/>
                <w:noProof/>
                <w:webHidden/>
                <w:color w:val="auto"/>
              </w:rPr>
              <w:fldChar w:fldCharType="end"/>
            </w:r>
          </w:hyperlink>
        </w:p>
        <w:p w14:paraId="64D3E3B4" w14:textId="77777777" w:rsidR="00ED594F" w:rsidRDefault="00000000" w:rsidP="00ED594F">
          <w:pPr>
            <w:pStyle w:val="TOC1"/>
            <w:tabs>
              <w:tab w:val="right" w:leader="dot" w:pos="9350"/>
            </w:tabs>
            <w:rPr>
              <w:rFonts w:eastAsiaTheme="minorEastAsia"/>
              <w:noProof/>
              <w:lang w:val="en-GB" w:eastAsia="en-GB"/>
            </w:rPr>
          </w:pPr>
          <w:hyperlink r:id="rId25" w:anchor="_Toc156410618" w:history="1">
            <w:r w:rsidR="00ED594F">
              <w:rPr>
                <w:rStyle w:val="Hyperlink"/>
                <w:noProof/>
              </w:rPr>
              <w:t>References</w:t>
            </w:r>
            <w:r w:rsidR="00ED594F">
              <w:rPr>
                <w:rStyle w:val="Hyperlink"/>
                <w:noProof/>
                <w:webHidden/>
                <w:color w:val="auto"/>
              </w:rPr>
              <w:tab/>
            </w:r>
            <w:r w:rsidR="00ED594F">
              <w:rPr>
                <w:rStyle w:val="Hyperlink"/>
                <w:noProof/>
                <w:webHidden/>
                <w:color w:val="auto"/>
              </w:rPr>
              <w:fldChar w:fldCharType="begin"/>
            </w:r>
            <w:r w:rsidR="00ED594F">
              <w:rPr>
                <w:rStyle w:val="Hyperlink"/>
                <w:noProof/>
                <w:webHidden/>
                <w:color w:val="auto"/>
              </w:rPr>
              <w:instrText xml:space="preserve"> PAGEREF _Toc156410618 \h </w:instrText>
            </w:r>
            <w:r w:rsidR="00ED594F">
              <w:rPr>
                <w:rStyle w:val="Hyperlink"/>
                <w:noProof/>
                <w:webHidden/>
                <w:color w:val="auto"/>
              </w:rPr>
            </w:r>
            <w:r w:rsidR="00ED594F">
              <w:rPr>
                <w:rStyle w:val="Hyperlink"/>
                <w:noProof/>
                <w:webHidden/>
                <w:color w:val="auto"/>
              </w:rPr>
              <w:fldChar w:fldCharType="separate"/>
            </w:r>
            <w:r w:rsidR="00ED594F">
              <w:rPr>
                <w:rStyle w:val="Hyperlink"/>
                <w:noProof/>
                <w:webHidden/>
                <w:color w:val="auto"/>
              </w:rPr>
              <w:t>23</w:t>
            </w:r>
            <w:r w:rsidR="00ED594F">
              <w:rPr>
                <w:rStyle w:val="Hyperlink"/>
                <w:noProof/>
                <w:webHidden/>
                <w:color w:val="auto"/>
              </w:rPr>
              <w:fldChar w:fldCharType="end"/>
            </w:r>
          </w:hyperlink>
        </w:p>
        <w:p w14:paraId="2FD35D6A" w14:textId="77777777" w:rsidR="00ED594F" w:rsidRDefault="00ED594F" w:rsidP="00ED594F">
          <w:r>
            <w:rPr>
              <w:b/>
              <w:bCs/>
              <w:noProof/>
            </w:rPr>
            <w:fldChar w:fldCharType="end"/>
          </w:r>
        </w:p>
      </w:sdtContent>
    </w:sdt>
    <w:p w14:paraId="5AB369FF" w14:textId="77777777" w:rsidR="00ED594F" w:rsidRDefault="00ED594F" w:rsidP="00ED594F">
      <w:pPr>
        <w:rPr>
          <w:rFonts w:cs="Times New Roman"/>
        </w:rPr>
      </w:pPr>
    </w:p>
    <w:p w14:paraId="2FF64836" w14:textId="77777777" w:rsidR="00ED594F" w:rsidRDefault="00ED594F" w:rsidP="00ED594F">
      <w:pPr>
        <w:rPr>
          <w:rFonts w:ascii="Times New Roman" w:eastAsiaTheme="majorEastAsia" w:hAnsi="Times New Roman" w:cs="Times New Roman"/>
          <w:b/>
          <w:color w:val="000000" w:themeColor="text1"/>
          <w:sz w:val="28"/>
          <w:szCs w:val="32"/>
        </w:rPr>
      </w:pPr>
      <w:r>
        <w:rPr>
          <w:rFonts w:cs="Times New Roman"/>
          <w:kern w:val="0"/>
          <w14:ligatures w14:val="none"/>
        </w:rPr>
        <w:br w:type="page"/>
      </w:r>
    </w:p>
    <w:p w14:paraId="163CFAAA" w14:textId="77777777" w:rsidR="00ED594F" w:rsidRPr="00ED594F" w:rsidRDefault="00ED594F" w:rsidP="00ED594F">
      <w:pPr>
        <w:pStyle w:val="Heading1"/>
        <w:rPr>
          <w:rFonts w:ascii="Times New Roman" w:hAnsi="Times New Roman"/>
          <w:b/>
          <w:color w:val="auto"/>
          <w:sz w:val="28"/>
          <w:szCs w:val="32"/>
        </w:rPr>
      </w:pPr>
      <w:bookmarkStart w:id="0" w:name="_Toc156410598"/>
      <w:r w:rsidRPr="00ED594F">
        <w:rPr>
          <w:color w:val="auto"/>
        </w:rPr>
        <w:lastRenderedPageBreak/>
        <w:t>Executive Summary</w:t>
      </w:r>
      <w:bookmarkEnd w:id="0"/>
    </w:p>
    <w:p w14:paraId="3C690454" w14:textId="77777777" w:rsidR="00ED594F" w:rsidRDefault="00ED594F" w:rsidP="00ED594F">
      <w:pPr>
        <w:rPr>
          <w:rFonts w:ascii="Times New Roman" w:hAnsi="Times New Roman" w:cs="Times New Roman"/>
          <w:sz w:val="24"/>
          <w:szCs w:val="24"/>
        </w:rPr>
      </w:pPr>
      <w:r>
        <w:rPr>
          <w:rFonts w:ascii="Times New Roman" w:hAnsi="Times New Roman" w:cs="Times New Roman"/>
          <w:sz w:val="24"/>
          <w:szCs w:val="24"/>
        </w:rPr>
        <w:t>This report had an explanation of The Seaview Resort, its turnaround strategy, and its financial vitality. The resort had a decline in occupancy rate, revenue, and customer satisfaction. The turnaround strategy consisted of three outcomes: an increase in revenue by 30%, an increase in gross profit margin by 4% every year, and an increase in net cash flow by 20% every year from 2023 to 2026</w:t>
      </w:r>
      <w:r w:rsidRPr="00ED594F">
        <w:rPr>
          <w:rFonts w:ascii="Times New Roman" w:hAnsi="Times New Roman" w:cs="Times New Roman"/>
          <w:sz w:val="24"/>
          <w:szCs w:val="24"/>
        </w:rPr>
        <w:t>. There was computation of financial ratio such as current ratio, quick ratio, return on asset. Return on equity, and many more. There were also some strategies for the resort. The firm was evaluated based on its income statement and balance sheet to analyze its financial performance for the stakeholders.</w:t>
      </w:r>
      <w:r>
        <w:rPr>
          <w:rFonts w:ascii="Times New Roman" w:hAnsi="Times New Roman" w:cs="Times New Roman"/>
          <w:sz w:val="24"/>
          <w:szCs w:val="24"/>
        </w:rPr>
        <w:t xml:space="preserve"> The firm is suggested to increase its occupancy rate and average room rate so that it can achieve the set target. It has been analyzed that the resort has a strong location which can lead to attracting customers. </w:t>
      </w:r>
      <w:r>
        <w:rPr>
          <w:rFonts w:cs="Times New Roman"/>
        </w:rPr>
        <w:br w:type="page"/>
      </w:r>
    </w:p>
    <w:p w14:paraId="23D7E9AD" w14:textId="77777777" w:rsidR="00ED594F" w:rsidRPr="00ED594F" w:rsidRDefault="00ED594F" w:rsidP="00ED594F">
      <w:pPr>
        <w:pStyle w:val="Heading1"/>
        <w:rPr>
          <w:rFonts w:ascii="Times New Roman" w:hAnsi="Times New Roman" w:cs="Times New Roman"/>
          <w:color w:val="auto"/>
          <w:sz w:val="28"/>
          <w:szCs w:val="32"/>
        </w:rPr>
      </w:pPr>
      <w:bookmarkStart w:id="1" w:name="_Toc156410599"/>
      <w:r w:rsidRPr="00ED594F">
        <w:rPr>
          <w:rFonts w:cs="Times New Roman"/>
          <w:color w:val="auto"/>
        </w:rPr>
        <w:lastRenderedPageBreak/>
        <w:t>Purpose</w:t>
      </w:r>
      <w:bookmarkEnd w:id="1"/>
    </w:p>
    <w:p w14:paraId="2D2C5F8D" w14:textId="77777777" w:rsidR="00ED594F" w:rsidRDefault="00ED594F" w:rsidP="00ED594F">
      <w:pPr>
        <w:rPr>
          <w:rFonts w:ascii="Times New Roman" w:hAnsi="Times New Roman" w:cs="Times New Roman"/>
          <w:sz w:val="24"/>
          <w:szCs w:val="24"/>
        </w:rPr>
      </w:pPr>
      <w:r>
        <w:rPr>
          <w:rFonts w:ascii="Times New Roman" w:hAnsi="Times New Roman" w:cs="Times New Roman"/>
          <w:sz w:val="24"/>
          <w:szCs w:val="24"/>
        </w:rPr>
        <w:t xml:space="preserve">This report will clarify the financial viability as well as the turnaround strategy for a firm named The Seaview Resort. It will explain the financial performance of The Seaview Resort for the past three years, the main reasons for the decrease in profitability, and the comprehensive turnaround strategy that will enhance the financial health of the resort to regain the dignity of the resort as a high-quality vacation resort or high financial results. </w:t>
      </w:r>
      <w:r w:rsidRPr="00ED594F">
        <w:rPr>
          <w:rFonts w:ascii="Times New Roman" w:hAnsi="Times New Roman" w:cs="Times New Roman"/>
          <w:sz w:val="24"/>
          <w:szCs w:val="24"/>
        </w:rPr>
        <w:t>The purpose of this report is to provide the information of the balance sheet, income statement, cash flow statement, and financial ratios to analyze the performance of firm. There is a purpose of SWOT analysis, market analysis, and risk assessment to provide suitable information to the stakeholders.</w:t>
      </w:r>
    </w:p>
    <w:p w14:paraId="1A5A6590" w14:textId="77777777" w:rsidR="00ED594F" w:rsidRDefault="00ED594F" w:rsidP="00ED594F">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18F707C7" w14:textId="77777777" w:rsidR="00ED594F" w:rsidRPr="00ED594F" w:rsidRDefault="00ED594F" w:rsidP="00ED594F">
      <w:pPr>
        <w:pStyle w:val="Heading1"/>
        <w:rPr>
          <w:rFonts w:ascii="Times New Roman" w:hAnsi="Times New Roman" w:cs="Times New Roman"/>
          <w:color w:val="auto"/>
          <w:sz w:val="28"/>
          <w:szCs w:val="32"/>
        </w:rPr>
      </w:pPr>
      <w:bookmarkStart w:id="2" w:name="_Toc156410600"/>
      <w:r w:rsidRPr="00ED594F">
        <w:rPr>
          <w:rFonts w:cs="Times New Roman"/>
          <w:color w:val="auto"/>
        </w:rPr>
        <w:lastRenderedPageBreak/>
        <w:t>Introduction</w:t>
      </w:r>
      <w:bookmarkEnd w:id="2"/>
    </w:p>
    <w:p w14:paraId="57F21530" w14:textId="77777777" w:rsidR="00ED594F" w:rsidRPr="00ED594F" w:rsidRDefault="00ED594F" w:rsidP="00ED594F">
      <w:pPr>
        <w:rPr>
          <w:rFonts w:ascii="Times New Roman" w:hAnsi="Times New Roman" w:cs="Times New Roman"/>
          <w:sz w:val="24"/>
          <w:szCs w:val="24"/>
        </w:rPr>
      </w:pPr>
      <w:r>
        <w:rPr>
          <w:rFonts w:ascii="Times New Roman" w:hAnsi="Times New Roman" w:cs="Times New Roman"/>
          <w:sz w:val="24"/>
          <w:szCs w:val="24"/>
        </w:rPr>
        <w:t xml:space="preserve">This report will analyze The Seaview Resort which resides on a picturesque coastline and used to be an attractive fun place for vacationers offering luxury as well as leisure. In some present years, there has been a decrease in sales, occupancy rates, and customer satisfaction. The owner of the resort is Mr. James Henderson who will be assessing the future viability of the resort as the resort is in a highly competitive location where the new resorts are performing better than The Seaview Resort. </w:t>
      </w:r>
      <w:r w:rsidRPr="00ED594F">
        <w:rPr>
          <w:rFonts w:ascii="Times New Roman" w:hAnsi="Times New Roman" w:cs="Times New Roman"/>
          <w:sz w:val="24"/>
          <w:szCs w:val="24"/>
        </w:rPr>
        <w:t>There is a purpose of the report to increase the profitability to attract the customers by eco-friendly and experiential tourism. The report has a purpose to assist the stakeholders in decision-making to improve the financial performance of resort.</w:t>
      </w:r>
    </w:p>
    <w:p w14:paraId="7D23BF9B" w14:textId="77777777" w:rsidR="00ED594F" w:rsidRP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This report will carry the scope and objective of –</w:t>
      </w:r>
    </w:p>
    <w:p w14:paraId="5F7A9019" w14:textId="77777777" w:rsidR="00ED594F" w:rsidRPr="00ED594F" w:rsidRDefault="00ED594F" w:rsidP="00ED594F">
      <w:pPr>
        <w:pStyle w:val="ListParagraph"/>
        <w:numPr>
          <w:ilvl w:val="0"/>
          <w:numId w:val="1"/>
        </w:numPr>
        <w:rPr>
          <w:rFonts w:ascii="Times New Roman" w:hAnsi="Times New Roman" w:cs="Times New Roman"/>
          <w:sz w:val="24"/>
          <w:szCs w:val="24"/>
        </w:rPr>
      </w:pPr>
      <w:r w:rsidRPr="00ED594F">
        <w:rPr>
          <w:rFonts w:ascii="Times New Roman" w:hAnsi="Times New Roman" w:cs="Times New Roman"/>
          <w:sz w:val="24"/>
          <w:szCs w:val="24"/>
        </w:rPr>
        <w:t>Analyzing the financial performance of The Seaview Resort for the previous three years.</w:t>
      </w:r>
    </w:p>
    <w:p w14:paraId="7BF6F368" w14:textId="77777777" w:rsidR="00ED594F" w:rsidRPr="00ED594F" w:rsidRDefault="00ED594F" w:rsidP="00ED594F">
      <w:pPr>
        <w:pStyle w:val="ListParagraph"/>
        <w:numPr>
          <w:ilvl w:val="0"/>
          <w:numId w:val="1"/>
        </w:numPr>
        <w:rPr>
          <w:rFonts w:ascii="Times New Roman" w:hAnsi="Times New Roman" w:cs="Times New Roman"/>
          <w:sz w:val="24"/>
          <w:szCs w:val="24"/>
        </w:rPr>
      </w:pPr>
      <w:r w:rsidRPr="00ED594F">
        <w:rPr>
          <w:rFonts w:ascii="Times New Roman" w:hAnsi="Times New Roman" w:cs="Times New Roman"/>
          <w:sz w:val="24"/>
          <w:szCs w:val="24"/>
        </w:rPr>
        <w:t>What are the main reasons behind the decrease in profitability, and to make a comprehensive turnaround strategy to enhance the financial performance of the resort and regain its dignity as a high-quality vacation fun place?</w:t>
      </w:r>
    </w:p>
    <w:p w14:paraId="4BE4E54D" w14:textId="77777777" w:rsidR="00ED594F" w:rsidRPr="00ED594F" w:rsidRDefault="00ED594F" w:rsidP="00ED594F">
      <w:pPr>
        <w:pStyle w:val="ListParagraph"/>
        <w:numPr>
          <w:ilvl w:val="0"/>
          <w:numId w:val="1"/>
        </w:numPr>
        <w:rPr>
          <w:rFonts w:ascii="Times New Roman" w:hAnsi="Times New Roman" w:cs="Times New Roman"/>
          <w:sz w:val="24"/>
          <w:szCs w:val="24"/>
        </w:rPr>
      </w:pPr>
      <w:r w:rsidRPr="00ED594F">
        <w:rPr>
          <w:rFonts w:ascii="Times New Roman" w:hAnsi="Times New Roman" w:cs="Times New Roman"/>
          <w:sz w:val="24"/>
          <w:szCs w:val="24"/>
        </w:rPr>
        <w:t>This report will recommend how to concentrate on the weaknesses and improve by implementing strategies in the financial performance of the resort.</w:t>
      </w:r>
    </w:p>
    <w:p w14:paraId="273D9304" w14:textId="77777777" w:rsid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The other objectives of this report will be market analysis, risk assessment, and SWOT analysis.</w:t>
      </w:r>
      <w:r>
        <w:rPr>
          <w:rFonts w:ascii="Times New Roman" w:hAnsi="Times New Roman" w:cs="Times New Roman"/>
          <w:sz w:val="24"/>
          <w:szCs w:val="24"/>
        </w:rPr>
        <w:br w:type="page"/>
      </w:r>
    </w:p>
    <w:p w14:paraId="003DC458" w14:textId="77777777" w:rsidR="00ED594F" w:rsidRPr="00ED594F" w:rsidRDefault="00ED594F" w:rsidP="00ED594F">
      <w:pPr>
        <w:pStyle w:val="Heading1"/>
        <w:rPr>
          <w:rFonts w:ascii="Times New Roman" w:hAnsi="Times New Roman" w:cs="Times New Roman"/>
          <w:color w:val="auto"/>
          <w:sz w:val="28"/>
          <w:szCs w:val="32"/>
        </w:rPr>
      </w:pPr>
      <w:bookmarkStart w:id="3" w:name="_Toc156410601"/>
      <w:r w:rsidRPr="00ED594F">
        <w:rPr>
          <w:rFonts w:cs="Times New Roman"/>
          <w:color w:val="auto"/>
        </w:rPr>
        <w:lastRenderedPageBreak/>
        <w:t>Financial Analysis</w:t>
      </w:r>
      <w:bookmarkEnd w:id="3"/>
    </w:p>
    <w:p w14:paraId="5CA206CF" w14:textId="77777777" w:rsidR="00ED594F" w:rsidRPr="00ED594F" w:rsidRDefault="00ED594F" w:rsidP="00ED594F">
      <w:pPr>
        <w:pStyle w:val="ListParagraph"/>
        <w:numPr>
          <w:ilvl w:val="0"/>
          <w:numId w:val="2"/>
        </w:numPr>
        <w:rPr>
          <w:rFonts w:ascii="Times New Roman" w:hAnsi="Times New Roman" w:cs="Times New Roman"/>
          <w:sz w:val="24"/>
          <w:szCs w:val="24"/>
        </w:rPr>
      </w:pPr>
      <w:r>
        <w:rPr>
          <w:rFonts w:ascii="Times New Roman" w:hAnsi="Times New Roman" w:cs="Times New Roman"/>
          <w:b/>
          <w:bCs/>
          <w:sz w:val="24"/>
          <w:szCs w:val="24"/>
        </w:rPr>
        <w:t>Income Statement Analysis</w:t>
      </w:r>
      <w:r>
        <w:rPr>
          <w:rFonts w:ascii="Times New Roman" w:hAnsi="Times New Roman" w:cs="Times New Roman"/>
          <w:sz w:val="24"/>
          <w:szCs w:val="24"/>
        </w:rPr>
        <w:t xml:space="preserve"> – As per </w:t>
      </w:r>
      <w:proofErr w:type="spellStart"/>
      <w:r>
        <w:rPr>
          <w:rFonts w:ascii="Times New Roman" w:hAnsi="Times New Roman" w:cs="Times New Roman"/>
          <w:color w:val="222222"/>
          <w:sz w:val="24"/>
          <w:szCs w:val="24"/>
          <w:shd w:val="clear" w:color="auto" w:fill="FFFFFF"/>
        </w:rPr>
        <w:t>Fatihudin</w:t>
      </w:r>
      <w:proofErr w:type="spellEnd"/>
      <w:r>
        <w:rPr>
          <w:rFonts w:ascii="Times New Roman" w:hAnsi="Times New Roman" w:cs="Times New Roman"/>
          <w:color w:val="222222"/>
          <w:sz w:val="24"/>
          <w:szCs w:val="24"/>
          <w:shd w:val="clear" w:color="auto" w:fill="FFFFFF"/>
        </w:rPr>
        <w:t>, (2018),</w:t>
      </w:r>
      <w:r>
        <w:rPr>
          <w:rFonts w:ascii="Times New Roman" w:hAnsi="Times New Roman" w:cs="Times New Roman"/>
          <w:sz w:val="24"/>
          <w:szCs w:val="24"/>
        </w:rPr>
        <w:t xml:space="preserve"> it represents the firm's financial performance for a period. The revenue of the resort has been declining for the past three years which was £5,20,000 in 2020, £480,000 in 2021, and £430,000 in 2022. </w:t>
      </w:r>
      <w:r w:rsidRPr="00ED594F">
        <w:rPr>
          <w:rFonts w:ascii="Times New Roman" w:hAnsi="Times New Roman" w:cs="Times New Roman"/>
          <w:sz w:val="24"/>
          <w:szCs w:val="24"/>
        </w:rPr>
        <w:t>There is a decline in the revenue due to COVID-19 which has declined all the profitability in the past years. Due to the pandemic occupancy of hotels were reduced, costs were increased and the sales were reduced. The resort has also increased its operating expenses which were £390,000 in 2020, £400,000 in 2021, and £450,000 in 2022. The firm's net profit margin has decreased from 15% to 8% to 4% over the past three years.</w:t>
      </w:r>
    </w:p>
    <w:p w14:paraId="4EEC1ECC" w14:textId="77777777" w:rsidR="00ED594F" w:rsidRPr="00ED594F" w:rsidRDefault="00ED594F" w:rsidP="00ED594F">
      <w:pPr>
        <w:pStyle w:val="ListParagraph"/>
        <w:numPr>
          <w:ilvl w:val="0"/>
          <w:numId w:val="2"/>
        </w:numPr>
        <w:rPr>
          <w:rFonts w:ascii="Times New Roman" w:hAnsi="Times New Roman" w:cs="Times New Roman"/>
          <w:sz w:val="24"/>
          <w:szCs w:val="24"/>
        </w:rPr>
      </w:pPr>
      <w:r w:rsidRPr="00ED594F">
        <w:rPr>
          <w:rFonts w:ascii="Times New Roman" w:hAnsi="Times New Roman" w:cs="Times New Roman"/>
          <w:b/>
          <w:bCs/>
          <w:sz w:val="24"/>
          <w:szCs w:val="24"/>
        </w:rPr>
        <w:t>Balance Sheet</w:t>
      </w:r>
      <w:r w:rsidRPr="00ED594F">
        <w:rPr>
          <w:rFonts w:ascii="Times New Roman" w:hAnsi="Times New Roman" w:cs="Times New Roman"/>
          <w:sz w:val="24"/>
          <w:szCs w:val="24"/>
        </w:rPr>
        <w:t xml:space="preserve"> </w:t>
      </w:r>
      <w:r w:rsidRPr="00ED594F">
        <w:rPr>
          <w:rFonts w:ascii="Times New Roman" w:hAnsi="Times New Roman" w:cs="Times New Roman"/>
          <w:b/>
          <w:bCs/>
          <w:sz w:val="24"/>
          <w:szCs w:val="24"/>
        </w:rPr>
        <w:t>Analysis</w:t>
      </w:r>
      <w:r w:rsidRPr="00ED594F">
        <w:rPr>
          <w:rFonts w:ascii="Times New Roman" w:hAnsi="Times New Roman" w:cs="Times New Roman"/>
          <w:sz w:val="24"/>
          <w:szCs w:val="24"/>
        </w:rPr>
        <w:t xml:space="preserve"> – According to </w:t>
      </w:r>
      <w:r w:rsidRPr="00ED594F">
        <w:rPr>
          <w:rFonts w:ascii="Times New Roman" w:hAnsi="Times New Roman" w:cs="Times New Roman"/>
          <w:color w:val="222222"/>
          <w:sz w:val="24"/>
          <w:szCs w:val="24"/>
          <w:shd w:val="clear" w:color="auto" w:fill="FFFFFF"/>
        </w:rPr>
        <w:t>Robinson, (2020, p.357), i</w:t>
      </w:r>
      <w:r w:rsidRPr="00ED594F">
        <w:rPr>
          <w:rFonts w:ascii="Times New Roman" w:hAnsi="Times New Roman" w:cs="Times New Roman"/>
          <w:sz w:val="24"/>
          <w:szCs w:val="24"/>
        </w:rPr>
        <w:t>t states the financial position of the organization for a point in time. The total assets of the resort in 2022 were recorded at £1,200,000. The total liabilities of the resort were more than the equity which was £750,000 and £450,000 respectively. This analyzes that the resort has funded more from the liabilities than the equity. It has been interpreted that the financial position of firm was good due to high debt funds.</w:t>
      </w:r>
    </w:p>
    <w:p w14:paraId="53665A0A" w14:textId="77777777" w:rsidR="00ED594F" w:rsidRPr="00ED594F" w:rsidRDefault="00ED594F" w:rsidP="00ED594F">
      <w:pPr>
        <w:pStyle w:val="ListParagraph"/>
        <w:numPr>
          <w:ilvl w:val="0"/>
          <w:numId w:val="2"/>
        </w:numPr>
        <w:rPr>
          <w:rFonts w:ascii="Times New Roman" w:hAnsi="Times New Roman" w:cs="Times New Roman"/>
          <w:sz w:val="24"/>
          <w:szCs w:val="24"/>
        </w:rPr>
      </w:pPr>
      <w:r w:rsidRPr="00ED594F">
        <w:rPr>
          <w:rFonts w:ascii="Times New Roman" w:hAnsi="Times New Roman" w:cs="Times New Roman"/>
          <w:b/>
          <w:bCs/>
          <w:sz w:val="24"/>
          <w:szCs w:val="24"/>
        </w:rPr>
        <w:t xml:space="preserve">Net Cash Flow Analysis </w:t>
      </w:r>
      <w:r w:rsidRPr="00ED594F">
        <w:rPr>
          <w:rFonts w:ascii="Times New Roman" w:hAnsi="Times New Roman" w:cs="Times New Roman"/>
          <w:sz w:val="24"/>
          <w:szCs w:val="24"/>
        </w:rPr>
        <w:t>– t displays the cash inflows and cash outflows of the firm. The net cash flow recorded in 2021 was -£80,000 which does not include the capital expenditure of £30,000. The change in the net cash balance of the resort since the previous year was recorded to be at -£110,000 in 2021.</w:t>
      </w:r>
    </w:p>
    <w:p w14:paraId="18991AFC" w14:textId="77777777" w:rsidR="00ED594F" w:rsidRPr="00ED594F" w:rsidRDefault="00ED594F" w:rsidP="00ED594F">
      <w:pPr>
        <w:pStyle w:val="ListParagraph"/>
        <w:numPr>
          <w:ilvl w:val="0"/>
          <w:numId w:val="2"/>
        </w:numPr>
        <w:rPr>
          <w:rFonts w:ascii="Times New Roman" w:hAnsi="Times New Roman" w:cs="Times New Roman"/>
          <w:sz w:val="24"/>
          <w:szCs w:val="24"/>
        </w:rPr>
      </w:pPr>
      <w:r w:rsidRPr="00ED594F">
        <w:rPr>
          <w:rFonts w:ascii="Times New Roman" w:hAnsi="Times New Roman" w:cs="Times New Roman"/>
          <w:b/>
          <w:bCs/>
          <w:sz w:val="24"/>
          <w:szCs w:val="24"/>
        </w:rPr>
        <w:t>Key Financial Ratios</w:t>
      </w:r>
    </w:p>
    <w:p w14:paraId="44ACF7DC" w14:textId="77777777" w:rsidR="00ED594F" w:rsidRP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 xml:space="preserve">According to </w:t>
      </w:r>
      <w:r w:rsidRPr="00ED594F">
        <w:rPr>
          <w:rFonts w:ascii="Times New Roman" w:hAnsi="Times New Roman" w:cs="Times New Roman"/>
          <w:color w:val="222222"/>
          <w:sz w:val="24"/>
          <w:szCs w:val="24"/>
          <w:shd w:val="clear" w:color="auto" w:fill="FFFFFF"/>
        </w:rPr>
        <w:t>Husna and Satria (2019), t</w:t>
      </w:r>
      <w:r w:rsidRPr="00ED594F">
        <w:rPr>
          <w:rFonts w:ascii="Times New Roman" w:hAnsi="Times New Roman" w:cs="Times New Roman"/>
          <w:sz w:val="24"/>
          <w:szCs w:val="24"/>
        </w:rPr>
        <w:t>he current ratio is a part of the liquidity ratio which explains how many current assets are available in the firm to fund its current liabilities. The current ratio of the resort has been weak since the previous years and the current liabilities will be paid in difficulty as the ratio can decline in the future (Appendix 1).</w:t>
      </w:r>
    </w:p>
    <w:p w14:paraId="3AAD833F" w14:textId="77777777" w:rsidR="00ED594F" w:rsidRP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 xml:space="preserve">According to </w:t>
      </w:r>
      <w:r w:rsidRPr="00ED594F">
        <w:rPr>
          <w:rFonts w:ascii="Times New Roman" w:hAnsi="Times New Roman" w:cs="Times New Roman"/>
          <w:color w:val="222222"/>
          <w:sz w:val="24"/>
          <w:szCs w:val="24"/>
          <w:shd w:val="clear" w:color="auto" w:fill="FFFFFF"/>
        </w:rPr>
        <w:t xml:space="preserve">Daryanto and </w:t>
      </w:r>
      <w:proofErr w:type="spellStart"/>
      <w:r w:rsidRPr="00ED594F">
        <w:rPr>
          <w:rFonts w:ascii="Times New Roman" w:hAnsi="Times New Roman" w:cs="Times New Roman"/>
          <w:color w:val="222222"/>
          <w:sz w:val="24"/>
          <w:szCs w:val="24"/>
          <w:shd w:val="clear" w:color="auto" w:fill="FFFFFF"/>
        </w:rPr>
        <w:t>Rizki</w:t>
      </w:r>
      <w:proofErr w:type="spellEnd"/>
      <w:r w:rsidRPr="00ED594F">
        <w:rPr>
          <w:rFonts w:ascii="Times New Roman" w:hAnsi="Times New Roman" w:cs="Times New Roman"/>
          <w:color w:val="222222"/>
          <w:sz w:val="24"/>
          <w:szCs w:val="24"/>
          <w:shd w:val="clear" w:color="auto" w:fill="FFFFFF"/>
        </w:rPr>
        <w:t xml:space="preserve"> (2021),</w:t>
      </w:r>
      <w:r w:rsidRPr="00ED594F">
        <w:rPr>
          <w:rFonts w:ascii="Times New Roman" w:hAnsi="Times New Roman" w:cs="Times New Roman"/>
          <w:sz w:val="24"/>
          <w:szCs w:val="24"/>
        </w:rPr>
        <w:t xml:space="preserve"> the quick ratio is also a part of the liquidity ratio which concentrates on the fundable current assets to current liabilities. The quick ratio of the resort is low as the inventory has decreased the current assets which has resulted in more current liabilities in a comparative manner (Appendix 2).</w:t>
      </w:r>
    </w:p>
    <w:p w14:paraId="2D90D6F0" w14:textId="77777777" w:rsidR="00ED594F" w:rsidRP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 xml:space="preserve">As per </w:t>
      </w:r>
      <w:r w:rsidRPr="00ED594F">
        <w:rPr>
          <w:rFonts w:ascii="Times New Roman" w:hAnsi="Times New Roman" w:cs="Times New Roman"/>
          <w:color w:val="222222"/>
          <w:sz w:val="24"/>
          <w:szCs w:val="24"/>
          <w:shd w:val="clear" w:color="auto" w:fill="FFFFFF"/>
        </w:rPr>
        <w:t>Irman and Purwati (2020), t</w:t>
      </w:r>
      <w:r w:rsidRPr="00ED594F">
        <w:rPr>
          <w:rFonts w:ascii="Times New Roman" w:hAnsi="Times New Roman" w:cs="Times New Roman"/>
          <w:sz w:val="24"/>
          <w:szCs w:val="24"/>
        </w:rPr>
        <w:t xml:space="preserve">he debt-to-equity ratio states the level of debt funded by the firm in comparison to the assets related to the equity. The debt-to-equity ratio has depicted that </w:t>
      </w:r>
      <w:r w:rsidRPr="00ED594F">
        <w:rPr>
          <w:rFonts w:ascii="Times New Roman" w:hAnsi="Times New Roman" w:cs="Times New Roman"/>
          <w:sz w:val="24"/>
          <w:szCs w:val="24"/>
        </w:rPr>
        <w:lastRenderedPageBreak/>
        <w:t>the resort has more debt to be paid in comparison to the part of assets relative to the equity (Appendix 3).</w:t>
      </w:r>
    </w:p>
    <w:p w14:paraId="289280DE" w14:textId="77777777" w:rsidR="00ED594F" w:rsidRP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 xml:space="preserve">As per the study of </w:t>
      </w:r>
      <w:r w:rsidRPr="00ED594F">
        <w:rPr>
          <w:rFonts w:ascii="Times New Roman" w:hAnsi="Times New Roman" w:cs="Times New Roman"/>
          <w:color w:val="222222"/>
          <w:sz w:val="24"/>
          <w:szCs w:val="24"/>
          <w:shd w:val="clear" w:color="auto" w:fill="FFFFFF"/>
        </w:rPr>
        <w:t>Husna and Satria (2019), t</w:t>
      </w:r>
      <w:r w:rsidRPr="00ED594F">
        <w:rPr>
          <w:rFonts w:ascii="Times New Roman" w:hAnsi="Times New Roman" w:cs="Times New Roman"/>
          <w:sz w:val="24"/>
          <w:szCs w:val="24"/>
        </w:rPr>
        <w:t>he return on assets ratio is a part of the profitability ratio which means the level of profitable assets is to generate sales. The resort has been in loss in 2022 which depicts that they are inefficient in using their assets (Appendix 4).</w:t>
      </w:r>
    </w:p>
    <w:p w14:paraId="176689A9" w14:textId="77777777" w:rsidR="00ED594F" w:rsidRP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 xml:space="preserve">As per </w:t>
      </w:r>
      <w:r w:rsidRPr="00ED594F">
        <w:rPr>
          <w:rFonts w:ascii="Times New Roman" w:hAnsi="Times New Roman" w:cs="Times New Roman"/>
          <w:color w:val="222222"/>
          <w:sz w:val="24"/>
          <w:szCs w:val="24"/>
          <w:shd w:val="clear" w:color="auto" w:fill="FFFFFF"/>
        </w:rPr>
        <w:t>Fadjar et al., (2021), t</w:t>
      </w:r>
      <w:r w:rsidRPr="00ED594F">
        <w:rPr>
          <w:rFonts w:ascii="Times New Roman" w:hAnsi="Times New Roman" w:cs="Times New Roman"/>
          <w:sz w:val="24"/>
          <w:szCs w:val="24"/>
        </w:rPr>
        <w:t>he return on equity ratio is used to know the income after deducting tax with the capital invested. The resort has been in a loss in 2022 which has led to inefficient application of the equity (Appendix 5).</w:t>
      </w:r>
    </w:p>
    <w:p w14:paraId="53BBD709" w14:textId="77777777" w:rsid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It has been interpreted by the negative figure of Return on Equity that the funds are not used properly. The firm has not been contributing the net profit to the its stockholders due to inefficient allocation of funds.</w:t>
      </w:r>
    </w:p>
    <w:p w14:paraId="68354869" w14:textId="77777777" w:rsidR="00ED594F" w:rsidRDefault="00ED594F" w:rsidP="00ED594F">
      <w:pPr>
        <w:rPr>
          <w:rFonts w:ascii="Times New Roman" w:eastAsiaTheme="majorEastAsia" w:hAnsi="Times New Roman" w:cstheme="majorBidi"/>
          <w:b/>
          <w:color w:val="000000" w:themeColor="text1"/>
          <w:sz w:val="28"/>
          <w:szCs w:val="32"/>
        </w:rPr>
      </w:pPr>
      <w:r>
        <w:rPr>
          <w:kern w:val="0"/>
          <w14:ligatures w14:val="none"/>
        </w:rPr>
        <w:br w:type="page"/>
      </w:r>
    </w:p>
    <w:p w14:paraId="5F27E3AC" w14:textId="77777777" w:rsidR="00ED594F" w:rsidRPr="00ED594F" w:rsidRDefault="00ED594F" w:rsidP="00ED594F">
      <w:pPr>
        <w:pStyle w:val="Heading1"/>
        <w:rPr>
          <w:rFonts w:ascii="Times New Roman" w:hAnsi="Times New Roman"/>
          <w:b/>
          <w:color w:val="auto"/>
          <w:sz w:val="28"/>
          <w:szCs w:val="32"/>
        </w:rPr>
      </w:pPr>
      <w:bookmarkStart w:id="4" w:name="_Toc156410602"/>
      <w:r w:rsidRPr="00ED594F">
        <w:rPr>
          <w:color w:val="auto"/>
        </w:rPr>
        <w:lastRenderedPageBreak/>
        <w:t>SWOT Analysis</w:t>
      </w:r>
      <w:bookmarkEnd w:id="4"/>
    </w:p>
    <w:tbl>
      <w:tblPr>
        <w:tblStyle w:val="TableGrid"/>
        <w:tblW w:w="5000" w:type="pct"/>
        <w:tblInd w:w="0" w:type="dxa"/>
        <w:tblLook w:val="04A0" w:firstRow="1" w:lastRow="0" w:firstColumn="1" w:lastColumn="0" w:noHBand="0" w:noVBand="1"/>
      </w:tblPr>
      <w:tblGrid>
        <w:gridCol w:w="4508"/>
        <w:gridCol w:w="4508"/>
      </w:tblGrid>
      <w:tr w:rsidR="00ED594F" w14:paraId="20066784" w14:textId="77777777" w:rsidTr="00ED594F">
        <w:tc>
          <w:tcPr>
            <w:tcW w:w="2500" w:type="pct"/>
            <w:tcBorders>
              <w:top w:val="single" w:sz="4" w:space="0" w:color="auto"/>
              <w:left w:val="single" w:sz="4" w:space="0" w:color="auto"/>
              <w:bottom w:val="single" w:sz="4" w:space="0" w:color="auto"/>
              <w:right w:val="single" w:sz="4" w:space="0" w:color="auto"/>
            </w:tcBorders>
            <w:hideMark/>
          </w:tcPr>
          <w:p w14:paraId="18561D2C" w14:textId="77777777" w:rsidR="00ED594F" w:rsidRDefault="00ED594F">
            <w:pPr>
              <w:tabs>
                <w:tab w:val="left" w:pos="1490"/>
              </w:tabs>
              <w:rPr>
                <w:rFonts w:ascii="Times New Roman" w:hAnsi="Times New Roman" w:cs="Times New Roman"/>
                <w:b/>
                <w:sz w:val="24"/>
                <w:szCs w:val="24"/>
              </w:rPr>
            </w:pPr>
            <w:r>
              <w:rPr>
                <w:rFonts w:ascii="Times New Roman" w:hAnsi="Times New Roman" w:cs="Times New Roman"/>
                <w:b/>
                <w:sz w:val="24"/>
                <w:szCs w:val="24"/>
              </w:rPr>
              <w:t>Strengths</w:t>
            </w:r>
          </w:p>
        </w:tc>
        <w:tc>
          <w:tcPr>
            <w:tcW w:w="2500" w:type="pct"/>
            <w:tcBorders>
              <w:top w:val="single" w:sz="4" w:space="0" w:color="auto"/>
              <w:left w:val="single" w:sz="4" w:space="0" w:color="auto"/>
              <w:bottom w:val="single" w:sz="4" w:space="0" w:color="auto"/>
              <w:right w:val="single" w:sz="4" w:space="0" w:color="auto"/>
            </w:tcBorders>
            <w:hideMark/>
          </w:tcPr>
          <w:p w14:paraId="3AA9D2BD" w14:textId="77777777" w:rsidR="00ED594F" w:rsidRDefault="00ED594F">
            <w:pPr>
              <w:rPr>
                <w:rFonts w:ascii="Times New Roman" w:hAnsi="Times New Roman" w:cs="Times New Roman"/>
                <w:b/>
                <w:sz w:val="24"/>
                <w:szCs w:val="24"/>
              </w:rPr>
            </w:pPr>
            <w:r>
              <w:rPr>
                <w:rFonts w:ascii="Times New Roman" w:hAnsi="Times New Roman" w:cs="Times New Roman"/>
                <w:b/>
                <w:sz w:val="24"/>
                <w:szCs w:val="24"/>
              </w:rPr>
              <w:t>Weaknesses</w:t>
            </w:r>
          </w:p>
        </w:tc>
      </w:tr>
      <w:tr w:rsidR="00ED594F" w14:paraId="3D797B38" w14:textId="77777777" w:rsidTr="00ED594F">
        <w:tc>
          <w:tcPr>
            <w:tcW w:w="2500" w:type="pct"/>
            <w:tcBorders>
              <w:top w:val="single" w:sz="4" w:space="0" w:color="auto"/>
              <w:left w:val="single" w:sz="4" w:space="0" w:color="auto"/>
              <w:bottom w:val="single" w:sz="4" w:space="0" w:color="auto"/>
              <w:right w:val="single" w:sz="4" w:space="0" w:color="auto"/>
            </w:tcBorders>
            <w:hideMark/>
          </w:tcPr>
          <w:p w14:paraId="30BDF80A" w14:textId="77777777" w:rsidR="00ED594F" w:rsidRPr="00ED594F" w:rsidRDefault="00ED594F" w:rsidP="00EB00BC">
            <w:pPr>
              <w:pStyle w:val="ListParagraph"/>
              <w:numPr>
                <w:ilvl w:val="0"/>
                <w:numId w:val="3"/>
              </w:numPr>
              <w:rPr>
                <w:rFonts w:ascii="Times New Roman" w:hAnsi="Times New Roman" w:cs="Times New Roman"/>
                <w:sz w:val="24"/>
                <w:szCs w:val="24"/>
              </w:rPr>
            </w:pPr>
            <w:r w:rsidRPr="00ED594F">
              <w:rPr>
                <w:rFonts w:ascii="Times New Roman" w:hAnsi="Times New Roman" w:cs="Times New Roman"/>
                <w:b/>
                <w:bCs/>
                <w:sz w:val="24"/>
                <w:szCs w:val="24"/>
              </w:rPr>
              <w:t>Location</w:t>
            </w:r>
            <w:r w:rsidRPr="00ED594F">
              <w:rPr>
                <w:rFonts w:ascii="Times New Roman" w:hAnsi="Times New Roman" w:cs="Times New Roman"/>
                <w:sz w:val="24"/>
                <w:szCs w:val="24"/>
              </w:rPr>
              <w:t xml:space="preserve"> – As per </w:t>
            </w:r>
            <w:r w:rsidRPr="00ED594F">
              <w:rPr>
                <w:rFonts w:ascii="Times New Roman" w:hAnsi="Times New Roman" w:cs="Times New Roman"/>
                <w:color w:val="222222"/>
                <w:sz w:val="24"/>
                <w:szCs w:val="24"/>
                <w:shd w:val="clear" w:color="auto" w:fill="FFFFFF"/>
              </w:rPr>
              <w:t>t</w:t>
            </w:r>
            <w:r w:rsidRPr="00ED594F">
              <w:rPr>
                <w:rFonts w:ascii="Times New Roman" w:hAnsi="Times New Roman" w:cs="Times New Roman"/>
                <w:sz w:val="24"/>
                <w:szCs w:val="24"/>
              </w:rPr>
              <w:t>he resort is in a premium location in which the vacationers seek luxury and leisure.</w:t>
            </w:r>
          </w:p>
          <w:p w14:paraId="02E15D3F" w14:textId="77777777" w:rsidR="00ED594F" w:rsidRPr="00ED594F" w:rsidRDefault="00ED594F" w:rsidP="00EB00BC">
            <w:pPr>
              <w:pStyle w:val="ListParagraph"/>
              <w:numPr>
                <w:ilvl w:val="0"/>
                <w:numId w:val="3"/>
              </w:numPr>
              <w:rPr>
                <w:rFonts w:ascii="Times New Roman" w:hAnsi="Times New Roman" w:cs="Times New Roman"/>
                <w:sz w:val="24"/>
                <w:szCs w:val="24"/>
              </w:rPr>
            </w:pPr>
            <w:r w:rsidRPr="00ED594F">
              <w:rPr>
                <w:rFonts w:ascii="Times New Roman" w:hAnsi="Times New Roman" w:cs="Times New Roman"/>
                <w:b/>
                <w:bCs/>
                <w:sz w:val="24"/>
                <w:szCs w:val="24"/>
              </w:rPr>
              <w:t>Affordable prices</w:t>
            </w:r>
            <w:r w:rsidRPr="00ED594F">
              <w:rPr>
                <w:rFonts w:ascii="Times New Roman" w:hAnsi="Times New Roman" w:cs="Times New Roman"/>
                <w:sz w:val="24"/>
                <w:szCs w:val="24"/>
              </w:rPr>
              <w:t xml:space="preserve"> – As per </w:t>
            </w:r>
            <w:r w:rsidRPr="00ED594F">
              <w:rPr>
                <w:rFonts w:ascii="Times New Roman" w:hAnsi="Times New Roman" w:cs="Times New Roman"/>
                <w:color w:val="222222"/>
                <w:sz w:val="24"/>
                <w:szCs w:val="24"/>
                <w:shd w:val="clear" w:color="auto" w:fill="FFFFFF"/>
              </w:rPr>
              <w:t>Athar, (2020), t</w:t>
            </w:r>
            <w:r w:rsidRPr="00ED594F">
              <w:rPr>
                <w:rFonts w:ascii="Times New Roman" w:hAnsi="Times New Roman" w:cs="Times New Roman"/>
                <w:sz w:val="24"/>
                <w:szCs w:val="24"/>
              </w:rPr>
              <w:t>he resort has lowered its average room rate which makes it affordable for the customers. The reason behind the decline is that resort wants to attract the customers by lower rates of room after the phase of COVID19.</w:t>
            </w:r>
          </w:p>
        </w:tc>
        <w:tc>
          <w:tcPr>
            <w:tcW w:w="2500" w:type="pct"/>
            <w:tcBorders>
              <w:top w:val="single" w:sz="4" w:space="0" w:color="auto"/>
              <w:left w:val="single" w:sz="4" w:space="0" w:color="auto"/>
              <w:bottom w:val="single" w:sz="4" w:space="0" w:color="auto"/>
              <w:right w:val="single" w:sz="4" w:space="0" w:color="auto"/>
            </w:tcBorders>
            <w:hideMark/>
          </w:tcPr>
          <w:p w14:paraId="1AC2E38D" w14:textId="77777777" w:rsidR="00ED594F" w:rsidRDefault="00ED594F" w:rsidP="00EB00BC">
            <w:pPr>
              <w:pStyle w:val="ListParagraph"/>
              <w:numPr>
                <w:ilvl w:val="0"/>
                <w:numId w:val="3"/>
              </w:numPr>
              <w:rPr>
                <w:rFonts w:ascii="Times New Roman" w:hAnsi="Times New Roman" w:cs="Times New Roman"/>
                <w:sz w:val="24"/>
                <w:szCs w:val="24"/>
              </w:rPr>
            </w:pPr>
            <w:r>
              <w:rPr>
                <w:rFonts w:ascii="Times New Roman" w:hAnsi="Times New Roman" w:cs="Times New Roman"/>
                <w:b/>
                <w:bCs/>
                <w:sz w:val="24"/>
                <w:szCs w:val="24"/>
              </w:rPr>
              <w:t>Outdated Amenities</w:t>
            </w:r>
            <w:r>
              <w:rPr>
                <w:rFonts w:ascii="Times New Roman" w:hAnsi="Times New Roman" w:cs="Times New Roman"/>
                <w:sz w:val="24"/>
                <w:szCs w:val="24"/>
              </w:rPr>
              <w:t xml:space="preserve"> – The resort has been serving outdated facilities which resulted in unsatisfied customers.</w:t>
            </w:r>
          </w:p>
          <w:p w14:paraId="41A04B67" w14:textId="77777777" w:rsidR="00ED594F" w:rsidRDefault="00ED594F" w:rsidP="00EB00BC">
            <w:pPr>
              <w:pStyle w:val="ListParagraph"/>
              <w:numPr>
                <w:ilvl w:val="0"/>
                <w:numId w:val="3"/>
              </w:numPr>
              <w:rPr>
                <w:rFonts w:ascii="Times New Roman" w:hAnsi="Times New Roman" w:cs="Times New Roman"/>
                <w:sz w:val="24"/>
                <w:szCs w:val="24"/>
              </w:rPr>
            </w:pPr>
            <w:r>
              <w:rPr>
                <w:rFonts w:ascii="Times New Roman" w:hAnsi="Times New Roman" w:cs="Times New Roman"/>
                <w:b/>
                <w:bCs/>
                <w:sz w:val="24"/>
                <w:szCs w:val="24"/>
              </w:rPr>
              <w:t>Service quality</w:t>
            </w:r>
            <w:r>
              <w:rPr>
                <w:rFonts w:ascii="Times New Roman" w:hAnsi="Times New Roman" w:cs="Times New Roman"/>
                <w:sz w:val="24"/>
                <w:szCs w:val="24"/>
              </w:rPr>
              <w:t xml:space="preserve"> – The quality has been downgraded over the past three years.</w:t>
            </w:r>
          </w:p>
        </w:tc>
      </w:tr>
      <w:tr w:rsidR="00ED594F" w14:paraId="2487F1AF" w14:textId="77777777" w:rsidTr="00ED594F">
        <w:tc>
          <w:tcPr>
            <w:tcW w:w="2500" w:type="pct"/>
            <w:tcBorders>
              <w:top w:val="single" w:sz="4" w:space="0" w:color="auto"/>
              <w:left w:val="single" w:sz="4" w:space="0" w:color="auto"/>
              <w:bottom w:val="single" w:sz="4" w:space="0" w:color="auto"/>
              <w:right w:val="single" w:sz="4" w:space="0" w:color="auto"/>
            </w:tcBorders>
            <w:hideMark/>
          </w:tcPr>
          <w:p w14:paraId="7878F426" w14:textId="77777777" w:rsidR="00ED594F" w:rsidRPr="00ED594F" w:rsidRDefault="00ED594F">
            <w:pPr>
              <w:rPr>
                <w:rFonts w:ascii="Times New Roman" w:hAnsi="Times New Roman" w:cs="Times New Roman"/>
                <w:b/>
                <w:sz w:val="24"/>
                <w:szCs w:val="24"/>
              </w:rPr>
            </w:pPr>
            <w:r w:rsidRPr="00ED594F">
              <w:rPr>
                <w:rFonts w:ascii="Times New Roman" w:hAnsi="Times New Roman" w:cs="Times New Roman"/>
                <w:b/>
                <w:sz w:val="24"/>
                <w:szCs w:val="24"/>
              </w:rPr>
              <w:t>Opportunities</w:t>
            </w:r>
          </w:p>
        </w:tc>
        <w:tc>
          <w:tcPr>
            <w:tcW w:w="2500" w:type="pct"/>
            <w:tcBorders>
              <w:top w:val="single" w:sz="4" w:space="0" w:color="auto"/>
              <w:left w:val="single" w:sz="4" w:space="0" w:color="auto"/>
              <w:bottom w:val="single" w:sz="4" w:space="0" w:color="auto"/>
              <w:right w:val="single" w:sz="4" w:space="0" w:color="auto"/>
            </w:tcBorders>
            <w:hideMark/>
          </w:tcPr>
          <w:p w14:paraId="533B49B8" w14:textId="77777777" w:rsidR="00ED594F" w:rsidRDefault="00ED594F">
            <w:pPr>
              <w:rPr>
                <w:rFonts w:ascii="Times New Roman" w:hAnsi="Times New Roman" w:cs="Times New Roman"/>
                <w:b/>
                <w:sz w:val="24"/>
                <w:szCs w:val="24"/>
              </w:rPr>
            </w:pPr>
            <w:r>
              <w:rPr>
                <w:rFonts w:ascii="Times New Roman" w:hAnsi="Times New Roman" w:cs="Times New Roman"/>
                <w:b/>
                <w:sz w:val="24"/>
                <w:szCs w:val="24"/>
              </w:rPr>
              <w:t>Threats</w:t>
            </w:r>
          </w:p>
        </w:tc>
      </w:tr>
      <w:tr w:rsidR="00ED594F" w14:paraId="38A53804" w14:textId="77777777" w:rsidTr="00ED594F">
        <w:tc>
          <w:tcPr>
            <w:tcW w:w="2500" w:type="pct"/>
            <w:tcBorders>
              <w:top w:val="single" w:sz="4" w:space="0" w:color="auto"/>
              <w:left w:val="single" w:sz="4" w:space="0" w:color="auto"/>
              <w:bottom w:val="single" w:sz="4" w:space="0" w:color="auto"/>
              <w:right w:val="single" w:sz="4" w:space="0" w:color="auto"/>
            </w:tcBorders>
            <w:hideMark/>
          </w:tcPr>
          <w:p w14:paraId="0E4F9840" w14:textId="77777777" w:rsidR="00ED594F" w:rsidRDefault="00ED594F" w:rsidP="00EB00BC">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Low-season tactics</w:t>
            </w:r>
            <w:r>
              <w:rPr>
                <w:rFonts w:ascii="Times New Roman" w:hAnsi="Times New Roman" w:cs="Times New Roman"/>
                <w:sz w:val="24"/>
                <w:szCs w:val="24"/>
              </w:rPr>
              <w:t xml:space="preserve"> – The resort can apply different strategies in low-season time and their operational cost can also be declined.</w:t>
            </w:r>
          </w:p>
          <w:p w14:paraId="1E908247" w14:textId="77777777" w:rsidR="00ED594F" w:rsidRDefault="00ED594F" w:rsidP="00EB00BC">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Short-term investment</w:t>
            </w:r>
            <w:r>
              <w:rPr>
                <w:rFonts w:ascii="Times New Roman" w:hAnsi="Times New Roman" w:cs="Times New Roman"/>
                <w:sz w:val="24"/>
                <w:szCs w:val="24"/>
              </w:rPr>
              <w:t xml:space="preserve"> – The number of total assets is more in the business which will help in future short-term investment.</w:t>
            </w:r>
          </w:p>
        </w:tc>
        <w:tc>
          <w:tcPr>
            <w:tcW w:w="2500" w:type="pct"/>
            <w:tcBorders>
              <w:top w:val="single" w:sz="4" w:space="0" w:color="auto"/>
              <w:left w:val="single" w:sz="4" w:space="0" w:color="auto"/>
              <w:bottom w:val="single" w:sz="4" w:space="0" w:color="auto"/>
              <w:right w:val="single" w:sz="4" w:space="0" w:color="auto"/>
            </w:tcBorders>
            <w:hideMark/>
          </w:tcPr>
          <w:p w14:paraId="28E2AC05" w14:textId="77777777" w:rsidR="00ED594F" w:rsidRDefault="00ED594F" w:rsidP="00EB00BC">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High competition</w:t>
            </w:r>
            <w:r>
              <w:rPr>
                <w:rFonts w:ascii="Times New Roman" w:hAnsi="Times New Roman" w:cs="Times New Roman"/>
                <w:sz w:val="24"/>
                <w:szCs w:val="24"/>
              </w:rPr>
              <w:t xml:space="preserve"> – According to </w:t>
            </w:r>
            <w:proofErr w:type="spellStart"/>
            <w:r>
              <w:rPr>
                <w:rFonts w:ascii="Times New Roman" w:hAnsi="Times New Roman" w:cs="Times New Roman"/>
                <w:color w:val="222222"/>
                <w:sz w:val="24"/>
                <w:szCs w:val="24"/>
                <w:shd w:val="clear" w:color="auto" w:fill="FFFFFF"/>
              </w:rPr>
              <w:t>Dimitrić</w:t>
            </w:r>
            <w:proofErr w:type="spellEnd"/>
            <w:r>
              <w:rPr>
                <w:rFonts w:ascii="Times New Roman" w:hAnsi="Times New Roman" w:cs="Times New Roman"/>
                <w:color w:val="222222"/>
                <w:sz w:val="24"/>
                <w:szCs w:val="24"/>
                <w:shd w:val="clear" w:color="auto" w:fill="FFFFFF"/>
              </w:rPr>
              <w:t xml:space="preserve"> et al., (2019), t</w:t>
            </w:r>
            <w:r>
              <w:rPr>
                <w:rFonts w:ascii="Times New Roman" w:hAnsi="Times New Roman" w:cs="Times New Roman"/>
                <w:sz w:val="24"/>
                <w:szCs w:val="24"/>
              </w:rPr>
              <w:t xml:space="preserve">he coastal resort market is highly competitive with some new efficient resorts which makes it less profitable </w:t>
            </w:r>
          </w:p>
          <w:p w14:paraId="1AEE0792" w14:textId="77777777" w:rsidR="00ED594F" w:rsidRDefault="00ED594F" w:rsidP="00EB00BC">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Customer Preferences</w:t>
            </w:r>
            <w:r>
              <w:rPr>
                <w:rFonts w:ascii="Times New Roman" w:hAnsi="Times New Roman" w:cs="Times New Roman"/>
                <w:sz w:val="24"/>
                <w:szCs w:val="24"/>
              </w:rPr>
              <w:t xml:space="preserve"> – As per </w:t>
            </w:r>
            <w:r>
              <w:rPr>
                <w:rFonts w:ascii="Times New Roman" w:hAnsi="Times New Roman" w:cs="Times New Roman"/>
                <w:color w:val="222222"/>
                <w:sz w:val="24"/>
                <w:szCs w:val="24"/>
                <w:shd w:val="clear" w:color="auto" w:fill="FFFFFF"/>
              </w:rPr>
              <w:t>Navratil et al., (2019), t</w:t>
            </w:r>
            <w:r>
              <w:rPr>
                <w:rFonts w:ascii="Times New Roman" w:hAnsi="Times New Roman" w:cs="Times New Roman"/>
                <w:sz w:val="24"/>
                <w:szCs w:val="24"/>
              </w:rPr>
              <w:t>he customers are more attracted to experiential tourism and eco-friendly resorts.</w:t>
            </w:r>
          </w:p>
        </w:tc>
      </w:tr>
    </w:tbl>
    <w:p w14:paraId="3562D256" w14:textId="77777777" w:rsidR="00ED594F" w:rsidRDefault="00ED594F" w:rsidP="00ED594F">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2B2C01C3" w14:textId="77777777" w:rsidR="00ED594F" w:rsidRPr="00ED594F" w:rsidRDefault="00ED594F" w:rsidP="00ED594F">
      <w:pPr>
        <w:pStyle w:val="Heading1"/>
        <w:rPr>
          <w:rFonts w:ascii="Times New Roman" w:hAnsi="Times New Roman"/>
          <w:color w:val="auto"/>
          <w:sz w:val="28"/>
          <w:szCs w:val="32"/>
        </w:rPr>
      </w:pPr>
      <w:bookmarkStart w:id="5" w:name="_Toc156410603"/>
      <w:r w:rsidRPr="00ED594F">
        <w:rPr>
          <w:color w:val="auto"/>
        </w:rPr>
        <w:lastRenderedPageBreak/>
        <w:t>Market Analysis</w:t>
      </w:r>
      <w:bookmarkEnd w:id="5"/>
    </w:p>
    <w:p w14:paraId="524C6B7B" w14:textId="77777777" w:rsidR="00ED594F" w:rsidRDefault="00ED594F" w:rsidP="00ED594F">
      <w:pPr>
        <w:rPr>
          <w:rFonts w:ascii="Times New Roman" w:hAnsi="Times New Roman" w:cs="Times New Roman"/>
          <w:sz w:val="24"/>
          <w:szCs w:val="24"/>
        </w:rPr>
      </w:pPr>
      <w:r>
        <w:rPr>
          <w:rFonts w:ascii="Times New Roman" w:hAnsi="Times New Roman" w:cs="Times New Roman"/>
          <w:b/>
          <w:bCs/>
          <w:sz w:val="24"/>
          <w:szCs w:val="24"/>
        </w:rPr>
        <w:t>Target Customer Segments</w:t>
      </w:r>
      <w:r>
        <w:rPr>
          <w:rFonts w:ascii="Times New Roman" w:hAnsi="Times New Roman" w:cs="Times New Roman"/>
          <w:sz w:val="24"/>
          <w:szCs w:val="24"/>
        </w:rPr>
        <w:t xml:space="preserve"> – As per </w:t>
      </w:r>
      <w:r>
        <w:rPr>
          <w:rFonts w:ascii="Times New Roman" w:hAnsi="Times New Roman" w:cs="Times New Roman"/>
          <w:color w:val="222222"/>
          <w:sz w:val="24"/>
          <w:szCs w:val="24"/>
          <w:shd w:val="clear" w:color="auto" w:fill="FFFFFF"/>
        </w:rPr>
        <w:t>Nica et al., (2019), t</w:t>
      </w:r>
      <w:r>
        <w:rPr>
          <w:rFonts w:ascii="Times New Roman" w:hAnsi="Times New Roman" w:cs="Times New Roman"/>
          <w:sz w:val="24"/>
          <w:szCs w:val="24"/>
        </w:rPr>
        <w:t>he target customers are now moving towards eco-friendly as well as experiential tourism. The resort has customer reviews that were downgrading service quality and outdated facilities.</w:t>
      </w:r>
    </w:p>
    <w:p w14:paraId="58C43F20" w14:textId="3E7B1A5D" w:rsidR="00ED594F" w:rsidRPr="00ED594F" w:rsidRDefault="00ED594F" w:rsidP="00ED594F">
      <w:pPr>
        <w:rPr>
          <w:rFonts w:ascii="Times New Roman" w:hAnsi="Times New Roman" w:cs="Times New Roman"/>
          <w:sz w:val="24"/>
          <w:szCs w:val="24"/>
        </w:rPr>
      </w:pPr>
      <w:r>
        <w:rPr>
          <w:rFonts w:ascii="Times New Roman" w:hAnsi="Times New Roman" w:cs="Times New Roman"/>
          <w:b/>
          <w:bCs/>
          <w:sz w:val="24"/>
          <w:szCs w:val="24"/>
        </w:rPr>
        <w:t>Potential Growth Opportunities</w:t>
      </w:r>
      <w:r>
        <w:rPr>
          <w:rFonts w:ascii="Times New Roman" w:hAnsi="Times New Roman" w:cs="Times New Roman"/>
          <w:sz w:val="24"/>
          <w:szCs w:val="24"/>
        </w:rPr>
        <w:t xml:space="preserve"> – The resort has a potential growth opportunity of investing in short-term investments as it has a good availability of assets. The total assets recorded in 2022 were £1,200,000. </w:t>
      </w:r>
      <w:r w:rsidRPr="00ED594F">
        <w:rPr>
          <w:rFonts w:ascii="Times New Roman" w:hAnsi="Times New Roman" w:cs="Times New Roman"/>
          <w:sz w:val="24"/>
          <w:szCs w:val="24"/>
        </w:rPr>
        <w:t xml:space="preserve">The demand of the Seaview Resort has been decreasing due to the decreases in revenue. The revenue of the Seaview Resort was recorded at £520,000 in 2020 </w:t>
      </w:r>
      <w:r w:rsidR="008F2739" w:rsidRPr="00ED594F">
        <w:rPr>
          <w:rFonts w:ascii="Times New Roman" w:hAnsi="Times New Roman" w:cs="Times New Roman"/>
          <w:sz w:val="24"/>
          <w:szCs w:val="24"/>
        </w:rPr>
        <w:t>than</w:t>
      </w:r>
      <w:r w:rsidRPr="00ED594F">
        <w:rPr>
          <w:rFonts w:ascii="Times New Roman" w:hAnsi="Times New Roman" w:cs="Times New Roman"/>
          <w:sz w:val="24"/>
          <w:szCs w:val="24"/>
        </w:rPr>
        <w:t xml:space="preserve"> it decreased to £480,000 in 2021, and at £430,000 in 2022 (See case study). The demand has a direct relationship with the revenue.</w:t>
      </w:r>
    </w:p>
    <w:p w14:paraId="7BB6889C" w14:textId="77777777" w:rsidR="00ED594F" w:rsidRP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 xml:space="preserve">There is a </w:t>
      </w:r>
      <w:r w:rsidRPr="00ED594F">
        <w:rPr>
          <w:rFonts w:ascii="Times New Roman" w:hAnsi="Times New Roman" w:cs="Times New Roman"/>
          <w:b/>
          <w:bCs/>
          <w:sz w:val="24"/>
          <w:szCs w:val="24"/>
        </w:rPr>
        <w:t xml:space="preserve">competitive landscape </w:t>
      </w:r>
      <w:r w:rsidRPr="00ED594F">
        <w:rPr>
          <w:rFonts w:ascii="Times New Roman" w:hAnsi="Times New Roman" w:cs="Times New Roman"/>
          <w:sz w:val="24"/>
          <w:szCs w:val="24"/>
        </w:rPr>
        <w:t xml:space="preserve">as The Seaview Resort resides on a picturesque coastline. According to </w:t>
      </w:r>
      <w:proofErr w:type="spellStart"/>
      <w:r w:rsidRPr="00ED594F">
        <w:rPr>
          <w:rFonts w:ascii="Times New Roman" w:hAnsi="Times New Roman" w:cs="Times New Roman"/>
          <w:color w:val="222222"/>
          <w:sz w:val="24"/>
          <w:szCs w:val="24"/>
          <w:shd w:val="clear" w:color="auto" w:fill="FFFFFF"/>
        </w:rPr>
        <w:t>Arzaghi</w:t>
      </w:r>
      <w:proofErr w:type="spellEnd"/>
      <w:r w:rsidRPr="00ED594F">
        <w:rPr>
          <w:rFonts w:ascii="Times New Roman" w:hAnsi="Times New Roman" w:cs="Times New Roman"/>
          <w:color w:val="222222"/>
          <w:sz w:val="24"/>
          <w:szCs w:val="24"/>
          <w:shd w:val="clear" w:color="auto" w:fill="FFFFFF"/>
        </w:rPr>
        <w:t xml:space="preserve"> et al., (2023), t</w:t>
      </w:r>
      <w:r w:rsidRPr="00ED594F">
        <w:rPr>
          <w:rFonts w:ascii="Times New Roman" w:hAnsi="Times New Roman" w:cs="Times New Roman"/>
          <w:sz w:val="24"/>
          <w:szCs w:val="24"/>
        </w:rPr>
        <w:t xml:space="preserve">he premium location served by the resort will make it a popular stop over. The location identifies the vital pricing. The </w:t>
      </w:r>
      <w:r w:rsidRPr="00ED594F">
        <w:rPr>
          <w:rFonts w:ascii="Times New Roman" w:hAnsi="Times New Roman" w:cs="Times New Roman"/>
          <w:b/>
          <w:bCs/>
          <w:sz w:val="24"/>
          <w:szCs w:val="24"/>
        </w:rPr>
        <w:t>market trends</w:t>
      </w:r>
      <w:r w:rsidRPr="00ED594F">
        <w:rPr>
          <w:rFonts w:ascii="Times New Roman" w:hAnsi="Times New Roman" w:cs="Times New Roman"/>
          <w:sz w:val="24"/>
          <w:szCs w:val="24"/>
        </w:rPr>
        <w:t xml:space="preserve"> were analyzed as the customer preferences were moving towards eco-friendly and experiential tourism. The new resorts are providing good services and updated amenities. In the accordance of </w:t>
      </w:r>
      <w:proofErr w:type="spellStart"/>
      <w:r w:rsidRPr="00ED594F">
        <w:rPr>
          <w:rFonts w:ascii="Times New Roman" w:hAnsi="Times New Roman" w:cs="Times New Roman"/>
          <w:sz w:val="24"/>
          <w:szCs w:val="24"/>
        </w:rPr>
        <w:t>Sridhan</w:t>
      </w:r>
      <w:proofErr w:type="spellEnd"/>
      <w:r w:rsidRPr="00ED594F">
        <w:rPr>
          <w:rFonts w:ascii="Times New Roman" w:hAnsi="Times New Roman" w:cs="Times New Roman"/>
          <w:sz w:val="24"/>
          <w:szCs w:val="24"/>
        </w:rPr>
        <w:t>, (2024), Bowman’s Strategic Clock gives a competitive benefit to the company by selecting the strategic position. This strategy gives a range of options to the firm for position the brand in perceived value and price. Bowman’s Strategy Clock addresses the terms in which the firm offers the position in the market to its goods or service offerings. This is based on two forms of dimensions.</w:t>
      </w:r>
    </w:p>
    <w:p w14:paraId="24A3CEA5" w14:textId="77777777" w:rsidR="00ED594F" w:rsidRPr="00ED594F" w:rsidRDefault="00ED594F" w:rsidP="00ED594F">
      <w:pPr>
        <w:rPr>
          <w:rFonts w:ascii="Times New Roman" w:hAnsi="Times New Roman" w:cs="Times New Roman"/>
          <w:sz w:val="24"/>
          <w:szCs w:val="24"/>
        </w:rPr>
      </w:pPr>
      <w:r w:rsidRPr="00ED594F">
        <w:rPr>
          <w:rFonts w:ascii="Times New Roman" w:hAnsi="Times New Roman" w:cs="Times New Roman"/>
          <w:sz w:val="24"/>
          <w:szCs w:val="24"/>
        </w:rPr>
        <w:t>Joshi, (2023), determined that Ansoff Matrix is used to develop for the guidance and analysis of the organizational decisions in making new growth strategy. There are four components in Ansoff matrix which are stated further in the context of The Seaview Resort company.</w:t>
      </w:r>
    </w:p>
    <w:p w14:paraId="3B3B6117" w14:textId="77777777" w:rsidR="00ED594F" w:rsidRPr="00ED594F" w:rsidRDefault="00ED594F" w:rsidP="00ED594F">
      <w:pPr>
        <w:pStyle w:val="ListParagraph"/>
        <w:numPr>
          <w:ilvl w:val="0"/>
          <w:numId w:val="5"/>
        </w:numPr>
        <w:rPr>
          <w:rFonts w:ascii="Times New Roman" w:hAnsi="Times New Roman" w:cs="Times New Roman"/>
          <w:sz w:val="24"/>
          <w:szCs w:val="24"/>
        </w:rPr>
      </w:pPr>
      <w:r w:rsidRPr="00ED594F">
        <w:rPr>
          <w:rFonts w:ascii="Times New Roman" w:hAnsi="Times New Roman" w:cs="Times New Roman"/>
          <w:b/>
          <w:bCs/>
          <w:sz w:val="24"/>
          <w:szCs w:val="24"/>
        </w:rPr>
        <w:t>Market Penetration</w:t>
      </w:r>
      <w:r w:rsidRPr="00ED594F">
        <w:rPr>
          <w:rFonts w:ascii="Times New Roman" w:hAnsi="Times New Roman" w:cs="Times New Roman"/>
          <w:sz w:val="24"/>
          <w:szCs w:val="24"/>
        </w:rPr>
        <w:t xml:space="preserve"> – Joshi, (2023), stated that market penetration strategy is when The Seaview Resort firm has a goal to sell higher in the existing markets and rise the market share.</w:t>
      </w:r>
    </w:p>
    <w:p w14:paraId="70087E54" w14:textId="77777777" w:rsidR="00ED594F" w:rsidRPr="00ED594F" w:rsidRDefault="00ED594F" w:rsidP="00ED594F">
      <w:pPr>
        <w:pStyle w:val="ListParagraph"/>
        <w:numPr>
          <w:ilvl w:val="0"/>
          <w:numId w:val="5"/>
        </w:numPr>
        <w:rPr>
          <w:rFonts w:ascii="Times New Roman" w:hAnsi="Times New Roman" w:cs="Times New Roman"/>
          <w:sz w:val="24"/>
          <w:szCs w:val="24"/>
        </w:rPr>
      </w:pPr>
      <w:r w:rsidRPr="00ED594F">
        <w:rPr>
          <w:rFonts w:ascii="Times New Roman" w:hAnsi="Times New Roman" w:cs="Times New Roman"/>
          <w:b/>
          <w:bCs/>
          <w:sz w:val="24"/>
          <w:szCs w:val="24"/>
        </w:rPr>
        <w:t>Product Development</w:t>
      </w:r>
      <w:r w:rsidRPr="00ED594F">
        <w:rPr>
          <w:rFonts w:ascii="Times New Roman" w:hAnsi="Times New Roman" w:cs="Times New Roman"/>
          <w:sz w:val="24"/>
          <w:szCs w:val="24"/>
        </w:rPr>
        <w:t xml:space="preserve"> – The product development strategy c used firm to improve and produce new goods in the existing markets.</w:t>
      </w:r>
    </w:p>
    <w:p w14:paraId="10E34797" w14:textId="77777777" w:rsidR="00ED594F" w:rsidRPr="00ED594F" w:rsidRDefault="00ED594F" w:rsidP="00ED594F">
      <w:pPr>
        <w:pStyle w:val="ListParagraph"/>
        <w:numPr>
          <w:ilvl w:val="0"/>
          <w:numId w:val="5"/>
        </w:numPr>
        <w:rPr>
          <w:rFonts w:ascii="Times New Roman" w:hAnsi="Times New Roman" w:cs="Times New Roman"/>
          <w:sz w:val="24"/>
          <w:szCs w:val="24"/>
        </w:rPr>
      </w:pPr>
      <w:r w:rsidRPr="00ED594F">
        <w:rPr>
          <w:rFonts w:ascii="Times New Roman" w:hAnsi="Times New Roman" w:cs="Times New Roman"/>
          <w:b/>
          <w:bCs/>
          <w:sz w:val="24"/>
          <w:szCs w:val="24"/>
        </w:rPr>
        <w:t>Market Development</w:t>
      </w:r>
      <w:r w:rsidRPr="00ED594F">
        <w:rPr>
          <w:rFonts w:ascii="Times New Roman" w:hAnsi="Times New Roman" w:cs="Times New Roman"/>
          <w:sz w:val="24"/>
          <w:szCs w:val="24"/>
        </w:rPr>
        <w:t xml:space="preserve"> – According to Joshi, (2023), it is used to enter in new markets with the existing goods and services.</w:t>
      </w:r>
    </w:p>
    <w:p w14:paraId="7A3E350F" w14:textId="77777777" w:rsidR="00ED594F" w:rsidRPr="00ED594F" w:rsidRDefault="00ED594F" w:rsidP="00ED594F">
      <w:pPr>
        <w:pStyle w:val="ListParagraph"/>
        <w:numPr>
          <w:ilvl w:val="0"/>
          <w:numId w:val="5"/>
        </w:numPr>
        <w:rPr>
          <w:rFonts w:ascii="Times New Roman" w:hAnsi="Times New Roman" w:cs="Times New Roman"/>
          <w:sz w:val="24"/>
          <w:szCs w:val="24"/>
        </w:rPr>
      </w:pPr>
      <w:r w:rsidRPr="00ED594F">
        <w:rPr>
          <w:rFonts w:ascii="Times New Roman" w:hAnsi="Times New Roman" w:cs="Times New Roman"/>
          <w:b/>
          <w:bCs/>
          <w:sz w:val="24"/>
          <w:szCs w:val="24"/>
        </w:rPr>
        <w:t>Diversification</w:t>
      </w:r>
      <w:r w:rsidRPr="00ED594F">
        <w:rPr>
          <w:rFonts w:ascii="Times New Roman" w:hAnsi="Times New Roman" w:cs="Times New Roman"/>
          <w:sz w:val="24"/>
          <w:szCs w:val="24"/>
        </w:rPr>
        <w:t xml:space="preserve"> – It is used to diversify the products and services of The Seaview Resort firm in the same market by giving some similarities in the product.</w:t>
      </w:r>
      <w:r w:rsidRPr="00ED594F">
        <w:rPr>
          <w:rFonts w:ascii="Times New Roman" w:hAnsi="Times New Roman" w:cs="Times New Roman"/>
          <w:sz w:val="24"/>
          <w:szCs w:val="24"/>
        </w:rPr>
        <w:br w:type="page"/>
      </w:r>
    </w:p>
    <w:p w14:paraId="3F866C0C" w14:textId="77777777" w:rsidR="00ED594F" w:rsidRPr="00ED594F" w:rsidRDefault="00ED594F" w:rsidP="00ED594F">
      <w:pPr>
        <w:pStyle w:val="Heading1"/>
        <w:rPr>
          <w:rFonts w:ascii="Times New Roman" w:hAnsi="Times New Roman"/>
          <w:color w:val="auto"/>
          <w:sz w:val="28"/>
          <w:szCs w:val="32"/>
        </w:rPr>
      </w:pPr>
      <w:bookmarkStart w:id="6" w:name="_Toc156410604"/>
      <w:r w:rsidRPr="00ED594F">
        <w:rPr>
          <w:color w:val="auto"/>
        </w:rPr>
        <w:lastRenderedPageBreak/>
        <w:t>Turnaround Strategy (2023-2026)</w:t>
      </w:r>
      <w:bookmarkEnd w:id="6"/>
    </w:p>
    <w:p w14:paraId="22EBDBE8" w14:textId="77777777" w:rsidR="00ED594F" w:rsidRDefault="00ED594F" w:rsidP="00ED594F">
      <w:pPr>
        <w:pStyle w:val="ListParagraph"/>
        <w:numPr>
          <w:ilvl w:val="0"/>
          <w:numId w:val="6"/>
        </w:numPr>
        <w:rPr>
          <w:rFonts w:ascii="Times New Roman" w:hAnsi="Times New Roman" w:cs="Times New Roman"/>
          <w:sz w:val="24"/>
          <w:szCs w:val="24"/>
        </w:rPr>
      </w:pPr>
      <w:r w:rsidRPr="00ED594F">
        <w:rPr>
          <w:rFonts w:ascii="Times New Roman" w:hAnsi="Times New Roman" w:cs="Times New Roman"/>
          <w:b/>
          <w:bCs/>
          <w:sz w:val="24"/>
          <w:szCs w:val="24"/>
        </w:rPr>
        <w:t>Revenue Growth</w:t>
      </w:r>
      <w:r w:rsidRPr="00ED594F">
        <w:rPr>
          <w:rFonts w:ascii="Times New Roman" w:hAnsi="Times New Roman" w:cs="Times New Roman"/>
          <w:sz w:val="24"/>
          <w:szCs w:val="24"/>
        </w:rPr>
        <w:t xml:space="preserve"> – As per </w:t>
      </w:r>
      <w:proofErr w:type="spellStart"/>
      <w:r w:rsidRPr="00ED594F">
        <w:rPr>
          <w:rFonts w:ascii="Times New Roman" w:hAnsi="Times New Roman" w:cs="Times New Roman"/>
          <w:color w:val="222222"/>
          <w:sz w:val="24"/>
          <w:szCs w:val="24"/>
          <w:shd w:val="clear" w:color="auto" w:fill="FFFFFF"/>
        </w:rPr>
        <w:t>Mucharreira</w:t>
      </w:r>
      <w:proofErr w:type="spellEnd"/>
      <w:r w:rsidRPr="00ED594F">
        <w:rPr>
          <w:rFonts w:ascii="Times New Roman" w:hAnsi="Times New Roman" w:cs="Times New Roman"/>
          <w:sz w:val="24"/>
          <w:szCs w:val="24"/>
        </w:rPr>
        <w:t xml:space="preserve"> et al., (2019), it has been forecasted that the net revenue will grow by 30% every year from 2023 to 2026. The revenue can be increased by implementing a strategy of incurring the marketing as well as advertising costs which will help in earning higher revenue. There has been an increase in operating expenses every year which need to be strategized to decline for increasing the revenue in future. As per case study, the net revenue earned by the resort in 2022 was £430,000 which needs to be improved by increasing</w:t>
      </w:r>
      <w:r>
        <w:rPr>
          <w:rFonts w:ascii="Times New Roman" w:hAnsi="Times New Roman" w:cs="Times New Roman"/>
          <w:sz w:val="24"/>
          <w:szCs w:val="24"/>
        </w:rPr>
        <w:t xml:space="preserve"> the sales price of rooms.</w:t>
      </w:r>
    </w:p>
    <w:p w14:paraId="4D601B10" w14:textId="77777777" w:rsidR="00ED594F" w:rsidRDefault="00ED594F" w:rsidP="00ED594F">
      <w:pPr>
        <w:pStyle w:val="ListParagraph"/>
        <w:numPr>
          <w:ilvl w:val="0"/>
          <w:numId w:val="6"/>
        </w:numPr>
        <w:rPr>
          <w:rFonts w:ascii="Times New Roman" w:hAnsi="Times New Roman" w:cs="Times New Roman"/>
          <w:sz w:val="24"/>
          <w:szCs w:val="24"/>
        </w:rPr>
      </w:pPr>
      <w:r>
        <w:rPr>
          <w:rFonts w:ascii="Times New Roman" w:hAnsi="Times New Roman" w:cs="Times New Roman"/>
          <w:b/>
          <w:bCs/>
          <w:sz w:val="24"/>
          <w:szCs w:val="24"/>
        </w:rPr>
        <w:t>Net Profit Margin Target</w:t>
      </w:r>
      <w:r>
        <w:rPr>
          <w:rFonts w:ascii="Times New Roman" w:hAnsi="Times New Roman" w:cs="Times New Roman"/>
          <w:sz w:val="24"/>
          <w:szCs w:val="24"/>
        </w:rPr>
        <w:t xml:space="preserve"> – The Net Profit Margin found in 2022 was 4% which is near the terms of loss. It is projected that the net profit margin will increase by 4% every year from 2023 to 2026 due to the increase in occupancy rates and premium pricing. </w:t>
      </w:r>
    </w:p>
    <w:p w14:paraId="7AFB0F19" w14:textId="77777777" w:rsidR="00ED594F" w:rsidRPr="00ED594F" w:rsidRDefault="00ED594F" w:rsidP="00ED594F">
      <w:pPr>
        <w:pStyle w:val="ListParagraph"/>
        <w:numPr>
          <w:ilvl w:val="0"/>
          <w:numId w:val="6"/>
        </w:numPr>
        <w:rPr>
          <w:rFonts w:ascii="Times New Roman" w:hAnsi="Times New Roman" w:cs="Times New Roman"/>
          <w:sz w:val="24"/>
          <w:szCs w:val="24"/>
        </w:rPr>
      </w:pPr>
      <w:r>
        <w:rPr>
          <w:rFonts w:ascii="Times New Roman" w:hAnsi="Times New Roman" w:cs="Times New Roman"/>
          <w:b/>
          <w:bCs/>
          <w:sz w:val="24"/>
          <w:szCs w:val="24"/>
        </w:rPr>
        <w:t>Cash Flow Break-even</w:t>
      </w:r>
      <w:r>
        <w:rPr>
          <w:rFonts w:ascii="Times New Roman" w:hAnsi="Times New Roman" w:cs="Times New Roman"/>
          <w:sz w:val="24"/>
          <w:szCs w:val="24"/>
        </w:rPr>
        <w:t xml:space="preserve"> – The net cash flow of the resort was recorded to be at £-110,000. There had been a loss in the year 2022 which should be converted into gains while recovering the past losses by earning the cash flow not only from operational activity but also from investing and financing activities. The net cash flow earned by the resort should increase by 20% in the next years. </w:t>
      </w:r>
      <w:r w:rsidRPr="00ED594F">
        <w:rPr>
          <w:rFonts w:ascii="Times New Roman" w:hAnsi="Times New Roman" w:cs="Times New Roman"/>
          <w:sz w:val="24"/>
          <w:szCs w:val="24"/>
        </w:rPr>
        <w:t xml:space="preserve">The strategies used in increasing the revenue are Ansoff Matrix and Bowman’s strategy clock. The problem which The Seaview Resort </w:t>
      </w:r>
      <w:proofErr w:type="spellStart"/>
      <w:r w:rsidRPr="00ED594F">
        <w:rPr>
          <w:rFonts w:ascii="Times New Roman" w:hAnsi="Times New Roman" w:cs="Times New Roman"/>
          <w:sz w:val="24"/>
          <w:szCs w:val="24"/>
        </w:rPr>
        <w:t>resort</w:t>
      </w:r>
      <w:proofErr w:type="spellEnd"/>
      <w:r w:rsidRPr="00ED594F">
        <w:rPr>
          <w:rFonts w:ascii="Times New Roman" w:hAnsi="Times New Roman" w:cs="Times New Roman"/>
          <w:sz w:val="24"/>
          <w:szCs w:val="24"/>
        </w:rPr>
        <w:t xml:space="preserve"> is trying to resolve is the past loss in the financial statement. This issue can be resolved possibly by improving the strategy of market positioning.</w:t>
      </w:r>
    </w:p>
    <w:p w14:paraId="0C7F2D91" w14:textId="77777777" w:rsidR="00ED594F" w:rsidRDefault="00ED594F" w:rsidP="00ED594F">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0603D458" w14:textId="77777777" w:rsidR="00ED594F" w:rsidRPr="00ED594F" w:rsidRDefault="00ED594F" w:rsidP="00ED594F">
      <w:pPr>
        <w:pStyle w:val="Heading1"/>
        <w:rPr>
          <w:rFonts w:ascii="Times New Roman" w:hAnsi="Times New Roman"/>
          <w:color w:val="auto"/>
          <w:sz w:val="28"/>
          <w:szCs w:val="32"/>
        </w:rPr>
      </w:pPr>
      <w:bookmarkStart w:id="7" w:name="_Toc156410605"/>
      <w:r w:rsidRPr="00ED594F">
        <w:rPr>
          <w:color w:val="auto"/>
        </w:rPr>
        <w:lastRenderedPageBreak/>
        <w:t>Financial Projections</w:t>
      </w:r>
      <w:bookmarkEnd w:id="7"/>
    </w:p>
    <w:p w14:paraId="5BF5DE14" w14:textId="6ABDAD66" w:rsidR="00ED594F" w:rsidRDefault="00ED594F" w:rsidP="00ED594F">
      <w:pPr>
        <w:pStyle w:val="Caption"/>
      </w:pPr>
      <w:r>
        <w:rPr>
          <w:noProof/>
        </w:rPr>
        <w:drawing>
          <wp:inline distT="0" distB="0" distL="0" distR="0" wp14:anchorId="70C0117A" wp14:editId="01385FBE">
            <wp:extent cx="5731510" cy="2116455"/>
            <wp:effectExtent l="0" t="0" r="2540" b="0"/>
            <wp:docPr id="9399713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116455"/>
                    </a:xfrm>
                    <a:prstGeom prst="rect">
                      <a:avLst/>
                    </a:prstGeom>
                    <a:noFill/>
                    <a:ln>
                      <a:noFill/>
                    </a:ln>
                  </pic:spPr>
                </pic:pic>
              </a:graphicData>
            </a:graphic>
          </wp:inline>
        </w:drawing>
      </w:r>
    </w:p>
    <w:p w14:paraId="02558241" w14:textId="77777777" w:rsidR="00ED594F" w:rsidRPr="00ED594F" w:rsidRDefault="00ED594F" w:rsidP="00ED594F">
      <w:pPr>
        <w:pStyle w:val="Caption"/>
        <w:rPr>
          <w:rFonts w:ascii="Times New Roman" w:hAnsi="Times New Roman" w:cs="Times New Roman"/>
          <w:b w:val="0"/>
          <w:bCs w:val="0"/>
          <w:color w:val="auto"/>
          <w:sz w:val="24"/>
          <w:szCs w:val="24"/>
        </w:rPr>
      </w:pPr>
      <w:r w:rsidRPr="00ED594F">
        <w:rPr>
          <w:color w:val="auto"/>
        </w:rPr>
        <w:t xml:space="preserve">Table </w:t>
      </w:r>
      <w:r w:rsidRPr="00ED594F">
        <w:rPr>
          <w:color w:val="auto"/>
        </w:rPr>
        <w:fldChar w:fldCharType="begin"/>
      </w:r>
      <w:r w:rsidRPr="00ED594F">
        <w:rPr>
          <w:color w:val="auto"/>
        </w:rPr>
        <w:instrText xml:space="preserve"> SEQ Table \* ARABIC </w:instrText>
      </w:r>
      <w:r w:rsidRPr="00ED594F">
        <w:rPr>
          <w:color w:val="auto"/>
        </w:rPr>
        <w:fldChar w:fldCharType="separate"/>
      </w:r>
      <w:r w:rsidRPr="00ED594F">
        <w:rPr>
          <w:noProof/>
          <w:color w:val="auto"/>
        </w:rPr>
        <w:t>6</w:t>
      </w:r>
      <w:r w:rsidRPr="00ED594F">
        <w:rPr>
          <w:noProof/>
          <w:color w:val="auto"/>
        </w:rPr>
        <w:fldChar w:fldCharType="end"/>
      </w:r>
      <w:r w:rsidRPr="00ED594F">
        <w:rPr>
          <w:color w:val="auto"/>
        </w:rPr>
        <w:t xml:space="preserve"> Income Statement Financial Projection</w:t>
      </w:r>
    </w:p>
    <w:p w14:paraId="2572BB0D" w14:textId="77777777" w:rsidR="00ED594F" w:rsidRDefault="00ED594F" w:rsidP="00ED594F">
      <w:pPr>
        <w:rPr>
          <w:rFonts w:ascii="Times New Roman" w:hAnsi="Times New Roman" w:cs="Times New Roman"/>
          <w:b/>
          <w:bCs/>
          <w:sz w:val="24"/>
          <w:szCs w:val="24"/>
        </w:rPr>
      </w:pPr>
      <w:r>
        <w:rPr>
          <w:rFonts w:ascii="Times New Roman" w:hAnsi="Times New Roman" w:cs="Times New Roman"/>
          <w:b/>
          <w:bCs/>
          <w:sz w:val="24"/>
          <w:szCs w:val="24"/>
        </w:rPr>
        <w:t>Income Statement</w:t>
      </w:r>
      <w:r>
        <w:rPr>
          <w:rFonts w:ascii="Times New Roman" w:hAnsi="Times New Roman" w:cs="Times New Roman"/>
          <w:sz w:val="24"/>
          <w:szCs w:val="24"/>
        </w:rPr>
        <w:t xml:space="preserve"> </w:t>
      </w:r>
      <w:r w:rsidRPr="00ED594F">
        <w:rPr>
          <w:rFonts w:ascii="Times New Roman" w:hAnsi="Times New Roman" w:cs="Times New Roman"/>
          <w:sz w:val="24"/>
          <w:szCs w:val="24"/>
        </w:rPr>
        <w:t xml:space="preserve">– As per </w:t>
      </w:r>
      <w:r w:rsidRPr="00ED594F">
        <w:rPr>
          <w:rFonts w:ascii="Times New Roman" w:hAnsi="Times New Roman" w:cs="Times New Roman"/>
          <w:color w:val="222222"/>
          <w:sz w:val="24"/>
          <w:szCs w:val="24"/>
          <w:shd w:val="clear" w:color="auto" w:fill="FFFFFF"/>
        </w:rPr>
        <w:t xml:space="preserve">the cash study figures </w:t>
      </w:r>
      <w:r w:rsidRPr="00ED594F">
        <w:rPr>
          <w:rFonts w:ascii="Times New Roman" w:hAnsi="Times New Roman" w:cs="Times New Roman"/>
          <w:sz w:val="24"/>
          <w:szCs w:val="24"/>
        </w:rPr>
        <w:t>the</w:t>
      </w:r>
      <w:r>
        <w:rPr>
          <w:rFonts w:ascii="Times New Roman" w:hAnsi="Times New Roman" w:cs="Times New Roman"/>
          <w:sz w:val="24"/>
          <w:szCs w:val="24"/>
        </w:rPr>
        <w:t xml:space="preserve"> income statement assumed for 2023 to 2026 will increase the revenue by 30% every year. The net profit margin is assumed to increase by 4% every year from 2023 to 2026 (Appendix 6).</w:t>
      </w:r>
    </w:p>
    <w:p w14:paraId="3D7EA77C" w14:textId="23F7EDFF" w:rsidR="00ED594F" w:rsidRDefault="00ED594F" w:rsidP="00ED594F">
      <w:pPr>
        <w:pStyle w:val="Caption"/>
        <w:rPr>
          <w:sz w:val="18"/>
          <w:szCs w:val="18"/>
        </w:rPr>
      </w:pPr>
      <w:r>
        <w:rPr>
          <w:noProof/>
        </w:rPr>
        <w:drawing>
          <wp:inline distT="0" distB="0" distL="0" distR="0" wp14:anchorId="136B56F4" wp14:editId="51AAE3F4">
            <wp:extent cx="5731510" cy="2873375"/>
            <wp:effectExtent l="0" t="0" r="2540" b="0"/>
            <wp:docPr id="16053083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873375"/>
                    </a:xfrm>
                    <a:prstGeom prst="rect">
                      <a:avLst/>
                    </a:prstGeom>
                    <a:noFill/>
                    <a:ln>
                      <a:noFill/>
                    </a:ln>
                  </pic:spPr>
                </pic:pic>
              </a:graphicData>
            </a:graphic>
          </wp:inline>
        </w:drawing>
      </w:r>
    </w:p>
    <w:p w14:paraId="3EEC0EA6" w14:textId="77777777" w:rsidR="00ED594F" w:rsidRPr="00ED594F" w:rsidRDefault="00ED594F" w:rsidP="00ED594F">
      <w:pPr>
        <w:pStyle w:val="Caption"/>
        <w:rPr>
          <w:rFonts w:ascii="Times New Roman" w:hAnsi="Times New Roman" w:cs="Times New Roman"/>
          <w:b w:val="0"/>
          <w:bCs w:val="0"/>
          <w:color w:val="auto"/>
          <w:sz w:val="24"/>
          <w:szCs w:val="24"/>
        </w:rPr>
      </w:pPr>
      <w:r w:rsidRPr="00ED594F">
        <w:rPr>
          <w:color w:val="auto"/>
        </w:rPr>
        <w:t xml:space="preserve">Table </w:t>
      </w:r>
      <w:r w:rsidRPr="00ED594F">
        <w:rPr>
          <w:color w:val="auto"/>
        </w:rPr>
        <w:fldChar w:fldCharType="begin"/>
      </w:r>
      <w:r w:rsidRPr="00ED594F">
        <w:rPr>
          <w:color w:val="auto"/>
        </w:rPr>
        <w:instrText xml:space="preserve"> SEQ Table \* ARABIC </w:instrText>
      </w:r>
      <w:r w:rsidRPr="00ED594F">
        <w:rPr>
          <w:color w:val="auto"/>
        </w:rPr>
        <w:fldChar w:fldCharType="separate"/>
      </w:r>
      <w:r w:rsidRPr="00ED594F">
        <w:rPr>
          <w:noProof/>
          <w:color w:val="auto"/>
        </w:rPr>
        <w:t>7</w:t>
      </w:r>
      <w:r w:rsidRPr="00ED594F">
        <w:rPr>
          <w:noProof/>
          <w:color w:val="auto"/>
        </w:rPr>
        <w:fldChar w:fldCharType="end"/>
      </w:r>
      <w:r w:rsidRPr="00ED594F">
        <w:rPr>
          <w:color w:val="auto"/>
        </w:rPr>
        <w:t xml:space="preserve"> Balance Sheet Financial Projection</w:t>
      </w:r>
    </w:p>
    <w:p w14:paraId="00FABE8A" w14:textId="77777777" w:rsidR="00ED594F" w:rsidRDefault="00ED594F" w:rsidP="00ED594F">
      <w:pPr>
        <w:rPr>
          <w:rFonts w:ascii="Times New Roman" w:hAnsi="Times New Roman" w:cs="Times New Roman"/>
          <w:b/>
          <w:bCs/>
          <w:sz w:val="24"/>
          <w:szCs w:val="24"/>
        </w:rPr>
      </w:pPr>
      <w:r>
        <w:rPr>
          <w:rFonts w:ascii="Times New Roman" w:hAnsi="Times New Roman" w:cs="Times New Roman"/>
          <w:b/>
          <w:bCs/>
          <w:sz w:val="24"/>
          <w:szCs w:val="24"/>
        </w:rPr>
        <w:t xml:space="preserve">Balance Sheet - </w:t>
      </w:r>
      <w:r>
        <w:rPr>
          <w:rFonts w:ascii="Times New Roman" w:hAnsi="Times New Roman" w:cs="Times New Roman"/>
          <w:sz w:val="24"/>
          <w:szCs w:val="24"/>
        </w:rPr>
        <w:t>The balance sheet from 2023 to 2026 is assumed to increase the assets and liabilities by 10</w:t>
      </w:r>
      <w:r w:rsidRPr="00ED594F">
        <w:rPr>
          <w:rFonts w:ascii="Times New Roman" w:hAnsi="Times New Roman" w:cs="Times New Roman"/>
          <w:sz w:val="24"/>
          <w:szCs w:val="24"/>
        </w:rPr>
        <w:t>% every year. The financials in balance sheet have interpreted that the resort is focused on the long-term goals and strategies as the current liabilities are increasing every year</w:t>
      </w:r>
      <w:r>
        <w:rPr>
          <w:rFonts w:ascii="Times New Roman" w:hAnsi="Times New Roman" w:cs="Times New Roman"/>
          <w:sz w:val="24"/>
          <w:szCs w:val="24"/>
        </w:rPr>
        <w:t xml:space="preserve"> (Appendix 7).</w:t>
      </w:r>
    </w:p>
    <w:p w14:paraId="2E6C6B82" w14:textId="08416A43" w:rsidR="00ED594F" w:rsidRDefault="00ED594F" w:rsidP="00ED594F">
      <w:pPr>
        <w:pStyle w:val="Caption"/>
        <w:rPr>
          <w:sz w:val="18"/>
          <w:szCs w:val="18"/>
        </w:rPr>
      </w:pPr>
      <w:r>
        <w:rPr>
          <w:noProof/>
        </w:rPr>
        <w:lastRenderedPageBreak/>
        <w:drawing>
          <wp:inline distT="0" distB="0" distL="0" distR="0" wp14:anchorId="17F39C32" wp14:editId="5CB0DDFF">
            <wp:extent cx="5731510" cy="1616710"/>
            <wp:effectExtent l="0" t="0" r="2540" b="0"/>
            <wp:docPr id="8698239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1616710"/>
                    </a:xfrm>
                    <a:prstGeom prst="rect">
                      <a:avLst/>
                    </a:prstGeom>
                    <a:noFill/>
                    <a:ln>
                      <a:noFill/>
                    </a:ln>
                  </pic:spPr>
                </pic:pic>
              </a:graphicData>
            </a:graphic>
          </wp:inline>
        </w:drawing>
      </w:r>
    </w:p>
    <w:p w14:paraId="106516A0" w14:textId="77777777" w:rsidR="00ED594F" w:rsidRPr="00ED594F" w:rsidRDefault="00ED594F" w:rsidP="00ED594F">
      <w:pPr>
        <w:pStyle w:val="Caption"/>
        <w:rPr>
          <w:rFonts w:ascii="Times New Roman" w:hAnsi="Times New Roman" w:cs="Times New Roman"/>
          <w:b w:val="0"/>
          <w:bCs w:val="0"/>
          <w:color w:val="auto"/>
          <w:sz w:val="24"/>
          <w:szCs w:val="24"/>
        </w:rPr>
      </w:pPr>
      <w:r w:rsidRPr="00ED594F">
        <w:rPr>
          <w:color w:val="auto"/>
        </w:rPr>
        <w:t xml:space="preserve">Table </w:t>
      </w:r>
      <w:r w:rsidRPr="00ED594F">
        <w:rPr>
          <w:color w:val="auto"/>
        </w:rPr>
        <w:fldChar w:fldCharType="begin"/>
      </w:r>
      <w:r w:rsidRPr="00ED594F">
        <w:rPr>
          <w:color w:val="auto"/>
        </w:rPr>
        <w:instrText xml:space="preserve"> SEQ Table \* ARABIC </w:instrText>
      </w:r>
      <w:r w:rsidRPr="00ED594F">
        <w:rPr>
          <w:color w:val="auto"/>
        </w:rPr>
        <w:fldChar w:fldCharType="separate"/>
      </w:r>
      <w:r w:rsidRPr="00ED594F">
        <w:rPr>
          <w:noProof/>
          <w:color w:val="auto"/>
        </w:rPr>
        <w:t>8</w:t>
      </w:r>
      <w:r w:rsidRPr="00ED594F">
        <w:rPr>
          <w:noProof/>
          <w:color w:val="auto"/>
        </w:rPr>
        <w:fldChar w:fldCharType="end"/>
      </w:r>
      <w:r w:rsidRPr="00ED594F">
        <w:rPr>
          <w:color w:val="auto"/>
        </w:rPr>
        <w:t xml:space="preserve"> Cash Flow Financial Projection</w:t>
      </w:r>
    </w:p>
    <w:p w14:paraId="1121A02D" w14:textId="77777777" w:rsidR="00ED594F" w:rsidRDefault="00ED594F" w:rsidP="00ED594F">
      <w:pPr>
        <w:rPr>
          <w:rFonts w:ascii="Times New Roman" w:hAnsi="Times New Roman" w:cs="Times New Roman"/>
          <w:sz w:val="24"/>
          <w:szCs w:val="24"/>
        </w:rPr>
      </w:pPr>
      <w:r>
        <w:rPr>
          <w:rFonts w:ascii="Times New Roman" w:hAnsi="Times New Roman" w:cs="Times New Roman"/>
          <w:b/>
          <w:bCs/>
          <w:sz w:val="24"/>
          <w:szCs w:val="24"/>
        </w:rPr>
        <w:t>Cash Flow Statement</w:t>
      </w:r>
      <w:r>
        <w:rPr>
          <w:rFonts w:ascii="Times New Roman" w:hAnsi="Times New Roman" w:cs="Times New Roman"/>
          <w:sz w:val="24"/>
          <w:szCs w:val="24"/>
        </w:rPr>
        <w:t xml:space="preserve"> – According to </w:t>
      </w:r>
      <w:proofErr w:type="spellStart"/>
      <w:r>
        <w:rPr>
          <w:rFonts w:ascii="Times New Roman" w:hAnsi="Times New Roman" w:cs="Times New Roman"/>
          <w:color w:val="222222"/>
          <w:sz w:val="24"/>
          <w:szCs w:val="24"/>
          <w:shd w:val="clear" w:color="auto" w:fill="FFFFFF"/>
        </w:rPr>
        <w:t>Nugraha</w:t>
      </w:r>
      <w:proofErr w:type="spellEnd"/>
      <w:r>
        <w:rPr>
          <w:rFonts w:ascii="Times New Roman" w:hAnsi="Times New Roman" w:cs="Times New Roman"/>
          <w:color w:val="222222"/>
          <w:sz w:val="24"/>
          <w:szCs w:val="24"/>
          <w:shd w:val="clear" w:color="auto" w:fill="FFFFFF"/>
        </w:rPr>
        <w:t xml:space="preserve"> et al., (2020), </w:t>
      </w:r>
      <w:r>
        <w:rPr>
          <w:rFonts w:ascii="Times New Roman" w:hAnsi="Times New Roman" w:cs="Times New Roman"/>
          <w:sz w:val="24"/>
          <w:szCs w:val="24"/>
        </w:rPr>
        <w:t>it has been assumed that the net cash flow from operations from 2023 to 2026 will increase by 20% which has also increased the change in net cash flow by the previous years</w:t>
      </w:r>
      <w:r w:rsidRPr="00ED594F">
        <w:rPr>
          <w:rFonts w:ascii="Times New Roman" w:hAnsi="Times New Roman" w:cs="Times New Roman"/>
          <w:sz w:val="24"/>
          <w:szCs w:val="24"/>
        </w:rPr>
        <w:t>. It has been interpreted from the cash flow statement of The Seaview Resort that it is expected to generate cash in the upcoming years</w:t>
      </w:r>
      <w:r>
        <w:rPr>
          <w:rFonts w:ascii="Times New Roman" w:hAnsi="Times New Roman" w:cs="Times New Roman"/>
          <w:sz w:val="24"/>
          <w:szCs w:val="24"/>
        </w:rPr>
        <w:t xml:space="preserve"> (Appendix 8).</w:t>
      </w:r>
    </w:p>
    <w:p w14:paraId="520AA857" w14:textId="77777777" w:rsidR="00ED594F" w:rsidRDefault="00ED594F" w:rsidP="00ED594F">
      <w:pPr>
        <w:rPr>
          <w:rFonts w:ascii="Times New Roman" w:eastAsiaTheme="majorEastAsia" w:hAnsi="Times New Roman" w:cstheme="majorBidi"/>
          <w:b/>
          <w:color w:val="000000" w:themeColor="text1"/>
          <w:sz w:val="28"/>
          <w:szCs w:val="32"/>
        </w:rPr>
      </w:pPr>
      <w:r>
        <w:rPr>
          <w:kern w:val="0"/>
          <w14:ligatures w14:val="none"/>
        </w:rPr>
        <w:br w:type="page"/>
      </w:r>
    </w:p>
    <w:p w14:paraId="7DE8E675" w14:textId="77777777" w:rsidR="00ED594F" w:rsidRPr="00ED594F" w:rsidRDefault="00ED594F" w:rsidP="00ED594F">
      <w:pPr>
        <w:pStyle w:val="Heading1"/>
        <w:rPr>
          <w:rFonts w:ascii="Times New Roman" w:hAnsi="Times New Roman"/>
          <w:b/>
          <w:color w:val="auto"/>
          <w:sz w:val="28"/>
          <w:szCs w:val="32"/>
        </w:rPr>
      </w:pPr>
      <w:bookmarkStart w:id="8" w:name="_Toc156410606"/>
      <w:r w:rsidRPr="00ED594F">
        <w:rPr>
          <w:color w:val="auto"/>
        </w:rPr>
        <w:lastRenderedPageBreak/>
        <w:t>Risk Assessment</w:t>
      </w:r>
      <w:bookmarkEnd w:id="8"/>
    </w:p>
    <w:p w14:paraId="6ADE1EB9" w14:textId="77777777" w:rsidR="00ED594F" w:rsidRDefault="00ED594F" w:rsidP="00ED594F">
      <w:pPr>
        <w:rPr>
          <w:rFonts w:ascii="Times New Roman" w:hAnsi="Times New Roman" w:cs="Times New Roman"/>
          <w:sz w:val="24"/>
          <w:szCs w:val="24"/>
        </w:rPr>
      </w:pPr>
      <w:r>
        <w:rPr>
          <w:rFonts w:ascii="Times New Roman" w:hAnsi="Times New Roman" w:cs="Times New Roman"/>
          <w:b/>
          <w:bCs/>
          <w:sz w:val="24"/>
          <w:szCs w:val="24"/>
        </w:rPr>
        <w:t>Managing costs</w:t>
      </w:r>
      <w:r>
        <w:rPr>
          <w:rFonts w:ascii="Times New Roman" w:hAnsi="Times New Roman" w:cs="Times New Roman"/>
          <w:sz w:val="24"/>
          <w:szCs w:val="24"/>
        </w:rPr>
        <w:t xml:space="preserve"> – The </w:t>
      </w:r>
      <w:r>
        <w:rPr>
          <w:rFonts w:ascii="Times New Roman" w:hAnsi="Times New Roman" w:cs="Times New Roman"/>
          <w:b/>
          <w:bCs/>
          <w:sz w:val="24"/>
          <w:szCs w:val="24"/>
        </w:rPr>
        <w:t>revenue</w:t>
      </w:r>
      <w:r>
        <w:rPr>
          <w:rFonts w:ascii="Times New Roman" w:hAnsi="Times New Roman" w:cs="Times New Roman"/>
          <w:sz w:val="24"/>
          <w:szCs w:val="24"/>
        </w:rPr>
        <w:t xml:space="preserve"> in the past years was decreasing which will cause the resort to pay the costs to recover the expenses. The resort has assumed to increase the revenue by 30%. As per Gantner, (2023), the increasing revenue will cause increasing costs for the resort which will lead to restructuring the strategies accordingly. The increasing managing costs can lead to layoffs and move the costs upside-down.</w:t>
      </w:r>
    </w:p>
    <w:p w14:paraId="664D81BC" w14:textId="77777777" w:rsidR="00ED594F" w:rsidRDefault="00ED594F" w:rsidP="00ED594F">
      <w:pPr>
        <w:rPr>
          <w:rFonts w:ascii="Times New Roman" w:hAnsi="Times New Roman" w:cs="Times New Roman"/>
          <w:sz w:val="24"/>
          <w:szCs w:val="24"/>
        </w:rPr>
      </w:pPr>
      <w:r>
        <w:rPr>
          <w:rFonts w:ascii="Times New Roman" w:hAnsi="Times New Roman" w:cs="Times New Roman"/>
          <w:b/>
          <w:bCs/>
          <w:sz w:val="24"/>
          <w:szCs w:val="24"/>
        </w:rPr>
        <w:t>Mitigating Plan</w:t>
      </w:r>
      <w:r>
        <w:rPr>
          <w:rFonts w:ascii="Times New Roman" w:hAnsi="Times New Roman" w:cs="Times New Roman"/>
          <w:sz w:val="24"/>
          <w:szCs w:val="24"/>
        </w:rPr>
        <w:t xml:space="preserve"> – The firm should make a top-down or bottom-up approach in their budget to decline the risk. As per Gantner, (2023), this will help the organization to enhance the financial view in the areas in which risk was affecting. The resort must increase the sale price of the rooms.</w:t>
      </w:r>
    </w:p>
    <w:p w14:paraId="4677041B" w14:textId="77777777" w:rsidR="00ED594F" w:rsidRDefault="00ED594F" w:rsidP="00ED594F">
      <w:pPr>
        <w:rPr>
          <w:rFonts w:ascii="Times New Roman" w:hAnsi="Times New Roman" w:cs="Times New Roman"/>
          <w:sz w:val="24"/>
          <w:szCs w:val="24"/>
        </w:rPr>
      </w:pPr>
      <w:r>
        <w:rPr>
          <w:rFonts w:ascii="Times New Roman" w:hAnsi="Times New Roman" w:cs="Times New Roman"/>
          <w:b/>
          <w:bCs/>
          <w:sz w:val="24"/>
          <w:szCs w:val="24"/>
        </w:rPr>
        <w:t>Marketing costs</w:t>
      </w:r>
      <w:r>
        <w:rPr>
          <w:rFonts w:ascii="Times New Roman" w:hAnsi="Times New Roman" w:cs="Times New Roman"/>
          <w:sz w:val="24"/>
          <w:szCs w:val="24"/>
        </w:rPr>
        <w:t xml:space="preserve"> – The resort had losses over the past three years and it is assumed to increase the net profit margin in the turnaround strategy by 4% every year from 2023 to 2026. As per </w:t>
      </w:r>
      <w:r>
        <w:rPr>
          <w:rFonts w:ascii="Times New Roman" w:hAnsi="Times New Roman" w:cs="Times New Roman"/>
          <w:color w:val="222222"/>
          <w:sz w:val="24"/>
          <w:szCs w:val="24"/>
          <w:shd w:val="clear" w:color="auto" w:fill="FFFFFF"/>
        </w:rPr>
        <w:t>KHAN</w:t>
      </w:r>
      <w:r>
        <w:rPr>
          <w:rFonts w:ascii="Times New Roman" w:hAnsi="Times New Roman" w:cs="Times New Roman"/>
          <w:sz w:val="24"/>
          <w:szCs w:val="24"/>
        </w:rPr>
        <w:t xml:space="preserve"> et al., (2018), the net profit margin has a risk of increasing marketing costs as the firm will spend on advertising expenses.</w:t>
      </w:r>
    </w:p>
    <w:p w14:paraId="5EE54E7B" w14:textId="77777777" w:rsidR="00ED594F" w:rsidRDefault="00ED594F" w:rsidP="00ED594F">
      <w:pPr>
        <w:rPr>
          <w:rFonts w:ascii="Times New Roman" w:hAnsi="Times New Roman" w:cs="Times New Roman"/>
          <w:sz w:val="24"/>
          <w:szCs w:val="24"/>
        </w:rPr>
      </w:pPr>
      <w:r>
        <w:rPr>
          <w:rFonts w:ascii="Times New Roman" w:hAnsi="Times New Roman" w:cs="Times New Roman"/>
          <w:b/>
          <w:bCs/>
          <w:sz w:val="24"/>
          <w:szCs w:val="24"/>
        </w:rPr>
        <w:t>Mitigating Plan</w:t>
      </w:r>
      <w:r>
        <w:rPr>
          <w:rFonts w:ascii="Times New Roman" w:hAnsi="Times New Roman" w:cs="Times New Roman"/>
          <w:sz w:val="24"/>
          <w:szCs w:val="24"/>
        </w:rPr>
        <w:t xml:space="preserve"> – As per Markgraf, (2023), the resort should increase its revenue and profit as well. This will make them cost-effective in the future. The resort should increase its occupancy rate and premium pricing.</w:t>
      </w:r>
    </w:p>
    <w:p w14:paraId="1E00BA40" w14:textId="77777777" w:rsidR="00ED594F" w:rsidRDefault="00ED594F" w:rsidP="00ED594F">
      <w:pPr>
        <w:rPr>
          <w:rFonts w:ascii="Times New Roman" w:hAnsi="Times New Roman" w:cs="Times New Roman"/>
          <w:sz w:val="24"/>
          <w:szCs w:val="24"/>
        </w:rPr>
      </w:pPr>
      <w:r>
        <w:rPr>
          <w:rFonts w:ascii="Times New Roman" w:hAnsi="Times New Roman" w:cs="Times New Roman"/>
          <w:b/>
          <w:bCs/>
          <w:sz w:val="24"/>
          <w:szCs w:val="24"/>
        </w:rPr>
        <w:t>Increase in Tax</w:t>
      </w:r>
      <w:r>
        <w:rPr>
          <w:rFonts w:ascii="Times New Roman" w:hAnsi="Times New Roman" w:cs="Times New Roman"/>
          <w:sz w:val="24"/>
          <w:szCs w:val="24"/>
        </w:rPr>
        <w:t xml:space="preserve"> – As per </w:t>
      </w:r>
      <w:r>
        <w:rPr>
          <w:rFonts w:ascii="Times New Roman" w:hAnsi="Times New Roman" w:cs="Times New Roman"/>
          <w:color w:val="222222"/>
          <w:sz w:val="24"/>
          <w:szCs w:val="24"/>
          <w:shd w:val="clear" w:color="auto" w:fill="FFFFFF"/>
        </w:rPr>
        <w:t>Hang</w:t>
      </w:r>
      <w:r>
        <w:rPr>
          <w:rFonts w:ascii="Times New Roman" w:hAnsi="Times New Roman" w:cs="Times New Roman"/>
          <w:sz w:val="24"/>
          <w:szCs w:val="24"/>
        </w:rPr>
        <w:t xml:space="preserve">, (2023), the net cash was analyzed to be decreasing over the past three years. It has been assumed that the net cash flow will be increasing by 20% for every year from 2023 to 2026. </w:t>
      </w:r>
    </w:p>
    <w:p w14:paraId="1CF5DC81" w14:textId="77777777" w:rsidR="00ED594F" w:rsidRDefault="00ED594F" w:rsidP="00ED594F">
      <w:pPr>
        <w:rPr>
          <w:rFonts w:ascii="Times New Roman" w:hAnsi="Times New Roman" w:cs="Times New Roman"/>
          <w:sz w:val="24"/>
          <w:szCs w:val="24"/>
        </w:rPr>
      </w:pPr>
      <w:r>
        <w:rPr>
          <w:rFonts w:ascii="Times New Roman" w:hAnsi="Times New Roman" w:cs="Times New Roman"/>
          <w:b/>
          <w:bCs/>
          <w:sz w:val="24"/>
          <w:szCs w:val="24"/>
        </w:rPr>
        <w:t>Mitigation Plan</w:t>
      </w:r>
      <w:r>
        <w:rPr>
          <w:rFonts w:ascii="Times New Roman" w:hAnsi="Times New Roman" w:cs="Times New Roman"/>
          <w:sz w:val="24"/>
          <w:szCs w:val="24"/>
        </w:rPr>
        <w:t xml:space="preserve"> – </w:t>
      </w:r>
      <w:r w:rsidRPr="00ED594F">
        <w:rPr>
          <w:rFonts w:ascii="Times New Roman" w:hAnsi="Times New Roman" w:cs="Times New Roman"/>
          <w:sz w:val="24"/>
          <w:szCs w:val="24"/>
        </w:rPr>
        <w:t>The resort must attempt to take benefit of various and tax beneficial schemes of the government through investing in different plans that provide tax exemptions. The risk of an increase in cash flow can be mitigated by earning cash from</w:t>
      </w:r>
      <w:r>
        <w:rPr>
          <w:rFonts w:ascii="Times New Roman" w:hAnsi="Times New Roman" w:cs="Times New Roman"/>
          <w:sz w:val="24"/>
          <w:szCs w:val="24"/>
        </w:rPr>
        <w:t xml:space="preserve"> investing and financing activities.</w:t>
      </w:r>
    </w:p>
    <w:p w14:paraId="1F18FDA2" w14:textId="77777777" w:rsidR="00ED594F" w:rsidRDefault="00ED594F" w:rsidP="00ED594F">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1CC6EF3E" w14:textId="77777777" w:rsidR="00ED594F" w:rsidRPr="00ED594F" w:rsidRDefault="00ED594F" w:rsidP="00ED594F">
      <w:pPr>
        <w:pStyle w:val="Heading1"/>
        <w:rPr>
          <w:rFonts w:ascii="Times New Roman" w:hAnsi="Times New Roman"/>
          <w:color w:val="auto"/>
          <w:sz w:val="28"/>
          <w:szCs w:val="32"/>
        </w:rPr>
      </w:pPr>
      <w:bookmarkStart w:id="9" w:name="_Toc156410607"/>
      <w:r w:rsidRPr="00ED594F">
        <w:rPr>
          <w:color w:val="auto"/>
        </w:rPr>
        <w:lastRenderedPageBreak/>
        <w:t>Conclusion</w:t>
      </w:r>
      <w:bookmarkEnd w:id="9"/>
    </w:p>
    <w:p w14:paraId="16D4EAA1" w14:textId="77777777" w:rsidR="00ED594F" w:rsidRDefault="00ED594F" w:rsidP="00ED594F">
      <w:pPr>
        <w:rPr>
          <w:rFonts w:ascii="Times New Roman" w:hAnsi="Times New Roman" w:cs="Times New Roman"/>
          <w:sz w:val="24"/>
          <w:szCs w:val="24"/>
        </w:rPr>
      </w:pPr>
      <w:r>
        <w:rPr>
          <w:rFonts w:ascii="Times New Roman" w:hAnsi="Times New Roman" w:cs="Times New Roman"/>
          <w:sz w:val="24"/>
          <w:szCs w:val="24"/>
        </w:rPr>
        <w:t xml:space="preserve">This report has concluded based on The Seaview Resort which has developed a turnaround strategy. The resort had a declined profit and revenue in the past three years which has been assumed to be increased by 30% in the revenue and 4% in the net profit margin from 2023 to 2026. The net cash flow was assumed to be increased by 20% from 2023 to 2026. The risks found in the strategy were such as increased tax, increased management, and marketing costs as they are important so that the resort can improve its outdated facilities and change them in the updated amenities. The firm will receive higher revenue from the strategies and higher margin from selling large number of rooms to the consumers. </w:t>
      </w:r>
      <w:r w:rsidRPr="00ED594F">
        <w:rPr>
          <w:rFonts w:ascii="Times New Roman" w:hAnsi="Times New Roman" w:cs="Times New Roman"/>
          <w:sz w:val="24"/>
          <w:szCs w:val="24"/>
        </w:rPr>
        <w:t>The resort was analyzed for the financial ratios such as current ratio, quick ratio, return on assets, return on equity, and many more. There was an interpretation of strategies for improving the financial statements and attract shareholders. The firm was also evaluated for financial statements such as balance sheet and income statement which shows that it is important to review performance on consistent basis.</w:t>
      </w:r>
    </w:p>
    <w:p w14:paraId="0139D272" w14:textId="77777777" w:rsidR="00ED594F" w:rsidRDefault="00ED594F" w:rsidP="00ED594F">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224B1C7C" w14:textId="77777777" w:rsidR="00ED594F" w:rsidRPr="00ED594F" w:rsidRDefault="00ED594F" w:rsidP="00ED594F">
      <w:pPr>
        <w:pStyle w:val="Heading1"/>
        <w:rPr>
          <w:rFonts w:ascii="Times New Roman" w:hAnsi="Times New Roman"/>
          <w:color w:val="auto"/>
          <w:sz w:val="28"/>
          <w:szCs w:val="32"/>
        </w:rPr>
      </w:pPr>
      <w:bookmarkStart w:id="10" w:name="_Toc156410608"/>
      <w:r w:rsidRPr="00ED594F">
        <w:rPr>
          <w:color w:val="auto"/>
        </w:rPr>
        <w:lastRenderedPageBreak/>
        <w:t>Recommendation</w:t>
      </w:r>
      <w:bookmarkEnd w:id="10"/>
    </w:p>
    <w:p w14:paraId="369075F3" w14:textId="77777777" w:rsidR="00ED594F" w:rsidRDefault="00ED594F" w:rsidP="00ED594F">
      <w:pPr>
        <w:rPr>
          <w:rFonts w:ascii="Times New Roman" w:hAnsi="Times New Roman" w:cs="Times New Roman"/>
          <w:sz w:val="24"/>
          <w:szCs w:val="24"/>
        </w:rPr>
      </w:pPr>
      <w:r>
        <w:rPr>
          <w:rFonts w:ascii="Times New Roman" w:hAnsi="Times New Roman" w:cs="Times New Roman"/>
          <w:sz w:val="24"/>
          <w:szCs w:val="24"/>
        </w:rPr>
        <w:t xml:space="preserve">It is recommended for the Seaview Resort that they should increase its sales by increasing its occupancy rate and average room rate. They should follow a comprehensive strategy for increasing their profitability. The firm had a low revenue in its operational activities which led them to a loss, so they should start investing and financing activities which will lead to another source of income to recover the loss of the past operational activities. </w:t>
      </w:r>
      <w:r w:rsidRPr="00ED594F">
        <w:rPr>
          <w:rFonts w:ascii="Times New Roman" w:hAnsi="Times New Roman" w:cs="Times New Roman"/>
          <w:sz w:val="24"/>
          <w:szCs w:val="24"/>
        </w:rPr>
        <w:t>It was analyzed that then firm had a good performance in current and quick ratio. The Seaview Resort is suggested to improve its profitability for a good return on equity through effective use of capital appraisal techniques.</w:t>
      </w:r>
      <w:r>
        <w:rPr>
          <w:rFonts w:ascii="Times New Roman" w:hAnsi="Times New Roman" w:cs="Times New Roman"/>
          <w:sz w:val="24"/>
          <w:szCs w:val="24"/>
        </w:rPr>
        <w:br w:type="page"/>
      </w:r>
    </w:p>
    <w:p w14:paraId="5F09B365" w14:textId="77777777" w:rsidR="00ED594F" w:rsidRPr="00ED594F" w:rsidRDefault="00ED594F" w:rsidP="00ED594F">
      <w:pPr>
        <w:pStyle w:val="Heading1"/>
        <w:rPr>
          <w:rFonts w:ascii="Times New Roman" w:hAnsi="Times New Roman"/>
          <w:color w:val="auto"/>
          <w:sz w:val="28"/>
          <w:szCs w:val="32"/>
        </w:rPr>
      </w:pPr>
      <w:bookmarkStart w:id="11" w:name="_Toc156410609"/>
      <w:r w:rsidRPr="00ED594F">
        <w:rPr>
          <w:color w:val="auto"/>
        </w:rPr>
        <w:lastRenderedPageBreak/>
        <w:t>Appendix</w:t>
      </w:r>
      <w:bookmarkEnd w:id="11"/>
    </w:p>
    <w:p w14:paraId="12341032" w14:textId="77777777" w:rsidR="00ED594F" w:rsidRPr="00ED594F" w:rsidRDefault="00ED594F" w:rsidP="00ED594F">
      <w:pPr>
        <w:pStyle w:val="Heading2"/>
        <w:rPr>
          <w:color w:val="auto"/>
        </w:rPr>
      </w:pPr>
      <w:bookmarkStart w:id="12" w:name="_Toc156410610"/>
      <w:r w:rsidRPr="00ED594F">
        <w:rPr>
          <w:color w:val="auto"/>
        </w:rPr>
        <w:t>Appendix 1</w:t>
      </w:r>
      <w:bookmarkEnd w:id="12"/>
    </w:p>
    <w:p w14:paraId="725E1438" w14:textId="51409C96" w:rsidR="00ED594F" w:rsidRDefault="00ED594F" w:rsidP="00ED594F">
      <w:pPr>
        <w:rPr>
          <w:rFonts w:ascii="Times New Roman" w:hAnsi="Times New Roman" w:cs="Times New Roman"/>
          <w:sz w:val="24"/>
          <w:szCs w:val="24"/>
        </w:rPr>
      </w:pPr>
      <w:r>
        <w:rPr>
          <w:noProof/>
        </w:rPr>
        <w:drawing>
          <wp:inline distT="0" distB="0" distL="0" distR="0" wp14:anchorId="77BBDD90" wp14:editId="605FAB6F">
            <wp:extent cx="4587240" cy="2758440"/>
            <wp:effectExtent l="0" t="0" r="3810" b="3810"/>
            <wp:docPr id="109764058" name="Chart 5">
              <a:extLst xmlns:a="http://schemas.openxmlformats.org/drawingml/2006/main">
                <a:ext uri="{FF2B5EF4-FFF2-40B4-BE49-F238E27FC236}">
                  <a16:creationId xmlns:a16="http://schemas.microsoft.com/office/drawing/2014/main" id="{B1B81C49-B543-E625-6945-EA4659C1D3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tbl>
      <w:tblPr>
        <w:tblW w:w="5000" w:type="pct"/>
        <w:tblLook w:val="04A0" w:firstRow="1" w:lastRow="0" w:firstColumn="1" w:lastColumn="0" w:noHBand="0" w:noVBand="1"/>
      </w:tblPr>
      <w:tblGrid>
        <w:gridCol w:w="7555"/>
        <w:gridCol w:w="1461"/>
      </w:tblGrid>
      <w:tr w:rsidR="00ED594F" w14:paraId="3F6AD5D5" w14:textId="77777777" w:rsidTr="00ED594F">
        <w:trPr>
          <w:trHeight w:val="310"/>
        </w:trPr>
        <w:tc>
          <w:tcPr>
            <w:tcW w:w="4190" w:type="pct"/>
            <w:tcBorders>
              <w:top w:val="single" w:sz="4" w:space="0" w:color="auto"/>
              <w:left w:val="single" w:sz="4" w:space="0" w:color="auto"/>
              <w:bottom w:val="single" w:sz="4" w:space="0" w:color="auto"/>
              <w:right w:val="single" w:sz="4" w:space="0" w:color="auto"/>
            </w:tcBorders>
            <w:noWrap/>
            <w:vAlign w:val="bottom"/>
            <w:hideMark/>
          </w:tcPr>
          <w:p w14:paraId="1E3AA22E"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Particulars</w:t>
            </w:r>
          </w:p>
        </w:tc>
        <w:tc>
          <w:tcPr>
            <w:tcW w:w="810" w:type="pct"/>
            <w:tcBorders>
              <w:top w:val="single" w:sz="4" w:space="0" w:color="auto"/>
              <w:left w:val="nil"/>
              <w:bottom w:val="single" w:sz="4" w:space="0" w:color="auto"/>
              <w:right w:val="single" w:sz="4" w:space="0" w:color="auto"/>
            </w:tcBorders>
            <w:noWrap/>
            <w:vAlign w:val="bottom"/>
            <w:hideMark/>
          </w:tcPr>
          <w:p w14:paraId="4A6C7FAC"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ED594F" w14:paraId="0BE6464F"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009A18E3"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Ratio = Current Assets/ Current Liabilities</w:t>
            </w:r>
          </w:p>
        </w:tc>
        <w:tc>
          <w:tcPr>
            <w:tcW w:w="810" w:type="pct"/>
            <w:tcBorders>
              <w:top w:val="nil"/>
              <w:left w:val="nil"/>
              <w:bottom w:val="single" w:sz="4" w:space="0" w:color="auto"/>
              <w:right w:val="single" w:sz="4" w:space="0" w:color="auto"/>
            </w:tcBorders>
            <w:noWrap/>
            <w:vAlign w:val="bottom"/>
            <w:hideMark/>
          </w:tcPr>
          <w:p w14:paraId="32B95B09"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ED594F" w14:paraId="1A506FB9"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1C24021B"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Assets</w:t>
            </w:r>
          </w:p>
        </w:tc>
        <w:tc>
          <w:tcPr>
            <w:tcW w:w="810" w:type="pct"/>
            <w:tcBorders>
              <w:top w:val="nil"/>
              <w:left w:val="nil"/>
              <w:bottom w:val="single" w:sz="4" w:space="0" w:color="auto"/>
              <w:right w:val="single" w:sz="4" w:space="0" w:color="auto"/>
            </w:tcBorders>
            <w:noWrap/>
            <w:vAlign w:val="bottom"/>
            <w:hideMark/>
          </w:tcPr>
          <w:p w14:paraId="2C7186E3"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250,000</w:t>
            </w:r>
          </w:p>
        </w:tc>
      </w:tr>
      <w:tr w:rsidR="00ED594F" w14:paraId="696D63C4"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1ADABF59"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Liabilities</w:t>
            </w:r>
          </w:p>
        </w:tc>
        <w:tc>
          <w:tcPr>
            <w:tcW w:w="810" w:type="pct"/>
            <w:tcBorders>
              <w:top w:val="nil"/>
              <w:left w:val="nil"/>
              <w:bottom w:val="single" w:sz="4" w:space="0" w:color="auto"/>
              <w:right w:val="single" w:sz="4" w:space="0" w:color="auto"/>
            </w:tcBorders>
            <w:noWrap/>
            <w:vAlign w:val="bottom"/>
            <w:hideMark/>
          </w:tcPr>
          <w:p w14:paraId="54EB7ED4"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180,000</w:t>
            </w:r>
          </w:p>
        </w:tc>
      </w:tr>
      <w:tr w:rsidR="00ED594F" w14:paraId="07ECF5E3"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24994925"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Ratio</w:t>
            </w:r>
          </w:p>
        </w:tc>
        <w:tc>
          <w:tcPr>
            <w:tcW w:w="810" w:type="pct"/>
            <w:tcBorders>
              <w:top w:val="nil"/>
              <w:left w:val="nil"/>
              <w:bottom w:val="single" w:sz="4" w:space="0" w:color="auto"/>
              <w:right w:val="single" w:sz="4" w:space="0" w:color="auto"/>
            </w:tcBorders>
            <w:noWrap/>
            <w:vAlign w:val="bottom"/>
            <w:hideMark/>
          </w:tcPr>
          <w:p w14:paraId="2797DC58" w14:textId="77777777" w:rsidR="00ED594F" w:rsidRDefault="00ED594F">
            <w:pPr>
              <w:keepNext/>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1.39</w:t>
            </w:r>
          </w:p>
        </w:tc>
      </w:tr>
    </w:tbl>
    <w:p w14:paraId="28A1B7BE" w14:textId="77777777" w:rsidR="00ED594F" w:rsidRDefault="00ED594F" w:rsidP="00ED594F">
      <w:pPr>
        <w:pStyle w:val="Caption"/>
        <w:rPr>
          <w:sz w:val="18"/>
          <w:szCs w:val="18"/>
        </w:rPr>
      </w:pPr>
    </w:p>
    <w:p w14:paraId="5F12C94A" w14:textId="26265DA1" w:rsidR="00ED594F" w:rsidRPr="00ED594F" w:rsidRDefault="00ED594F" w:rsidP="00ED594F">
      <w:pPr>
        <w:pStyle w:val="Caption"/>
        <w:rPr>
          <w:rFonts w:ascii="Times New Roman" w:hAnsi="Times New Roman" w:cs="Times New Roman"/>
          <w:color w:val="auto"/>
          <w:sz w:val="24"/>
          <w:szCs w:val="24"/>
        </w:rPr>
      </w:pPr>
      <w:bookmarkStart w:id="13" w:name="_Hlk159963550"/>
      <w:r w:rsidRPr="00ED594F">
        <w:rPr>
          <w:color w:val="auto"/>
        </w:rPr>
        <w:t xml:space="preserve">Table </w:t>
      </w:r>
      <w:r w:rsidRPr="00ED594F">
        <w:rPr>
          <w:color w:val="auto"/>
        </w:rPr>
        <w:fldChar w:fldCharType="begin"/>
      </w:r>
      <w:r w:rsidRPr="00ED594F">
        <w:rPr>
          <w:color w:val="auto"/>
        </w:rPr>
        <w:instrText xml:space="preserve"> SEQ Table \* ARABIC </w:instrText>
      </w:r>
      <w:r w:rsidRPr="00ED594F">
        <w:rPr>
          <w:color w:val="auto"/>
        </w:rPr>
        <w:fldChar w:fldCharType="separate"/>
      </w:r>
      <w:r w:rsidRPr="00ED594F">
        <w:rPr>
          <w:noProof/>
          <w:color w:val="auto"/>
        </w:rPr>
        <w:t>1</w:t>
      </w:r>
      <w:r w:rsidRPr="00ED594F">
        <w:rPr>
          <w:noProof/>
          <w:color w:val="auto"/>
        </w:rPr>
        <w:fldChar w:fldCharType="end"/>
      </w:r>
      <w:r w:rsidRPr="00ED594F">
        <w:rPr>
          <w:color w:val="auto"/>
        </w:rPr>
        <w:t xml:space="preserve"> Current Ratio</w:t>
      </w:r>
    </w:p>
    <w:p w14:paraId="6EC110D8" w14:textId="720ADF53" w:rsidR="00ED594F" w:rsidRPr="00ED594F" w:rsidRDefault="00ED594F" w:rsidP="00ED594F">
      <w:pPr>
        <w:pStyle w:val="Heading2"/>
        <w:rPr>
          <w:rFonts w:ascii="Times New Roman" w:hAnsi="Times New Roman"/>
          <w:color w:val="auto"/>
          <w:sz w:val="26"/>
          <w:szCs w:val="26"/>
        </w:rPr>
      </w:pPr>
      <w:bookmarkStart w:id="14" w:name="_Toc156410611"/>
      <w:bookmarkEnd w:id="13"/>
      <w:r w:rsidRPr="00ED594F">
        <w:rPr>
          <w:color w:val="auto"/>
        </w:rPr>
        <w:t>Appendix 2</w:t>
      </w:r>
      <w:bookmarkEnd w:id="14"/>
    </w:p>
    <w:p w14:paraId="7FB01D0F" w14:textId="7FF59D65" w:rsidR="00ED594F" w:rsidRDefault="00ED594F" w:rsidP="00ED594F">
      <w:pPr>
        <w:rPr>
          <w:rFonts w:ascii="Times New Roman" w:hAnsi="Times New Roman" w:cs="Times New Roman"/>
          <w:sz w:val="24"/>
          <w:szCs w:val="24"/>
        </w:rPr>
      </w:pPr>
      <w:r>
        <w:rPr>
          <w:noProof/>
        </w:rPr>
        <w:drawing>
          <wp:inline distT="0" distB="0" distL="0" distR="0" wp14:anchorId="7D2FCE60" wp14:editId="13FA2F4F">
            <wp:extent cx="4724400" cy="2926080"/>
            <wp:effectExtent l="0" t="0" r="0" b="7620"/>
            <wp:docPr id="1324126399" name="Chart 4">
              <a:extLst xmlns:a="http://schemas.openxmlformats.org/drawingml/2006/main">
                <a:ext uri="{FF2B5EF4-FFF2-40B4-BE49-F238E27FC236}">
                  <a16:creationId xmlns:a16="http://schemas.microsoft.com/office/drawing/2014/main" id="{2125B70D-7637-2AD1-9856-E2C57166C7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tbl>
      <w:tblPr>
        <w:tblW w:w="5000" w:type="pct"/>
        <w:tblLook w:val="04A0" w:firstRow="1" w:lastRow="0" w:firstColumn="1" w:lastColumn="0" w:noHBand="0" w:noVBand="1"/>
      </w:tblPr>
      <w:tblGrid>
        <w:gridCol w:w="7642"/>
        <w:gridCol w:w="1374"/>
      </w:tblGrid>
      <w:tr w:rsidR="00ED594F" w14:paraId="79CDC52D" w14:textId="77777777" w:rsidTr="00ED594F">
        <w:trPr>
          <w:trHeight w:val="310"/>
        </w:trPr>
        <w:tc>
          <w:tcPr>
            <w:tcW w:w="4238" w:type="pct"/>
            <w:tcBorders>
              <w:top w:val="single" w:sz="4" w:space="0" w:color="auto"/>
              <w:left w:val="single" w:sz="4" w:space="0" w:color="auto"/>
              <w:bottom w:val="single" w:sz="4" w:space="0" w:color="auto"/>
              <w:right w:val="single" w:sz="4" w:space="0" w:color="auto"/>
            </w:tcBorders>
            <w:noWrap/>
            <w:vAlign w:val="bottom"/>
            <w:hideMark/>
          </w:tcPr>
          <w:p w14:paraId="2257CC8D"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lastRenderedPageBreak/>
              <w:t>Particulars</w:t>
            </w:r>
          </w:p>
        </w:tc>
        <w:tc>
          <w:tcPr>
            <w:tcW w:w="762" w:type="pct"/>
            <w:tcBorders>
              <w:top w:val="single" w:sz="4" w:space="0" w:color="auto"/>
              <w:left w:val="nil"/>
              <w:bottom w:val="single" w:sz="4" w:space="0" w:color="auto"/>
              <w:right w:val="single" w:sz="4" w:space="0" w:color="auto"/>
            </w:tcBorders>
            <w:noWrap/>
            <w:vAlign w:val="bottom"/>
            <w:hideMark/>
          </w:tcPr>
          <w:p w14:paraId="1D4EF9B1"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ED594F" w14:paraId="23E6A9FD" w14:textId="77777777" w:rsidTr="00ED594F">
        <w:trPr>
          <w:trHeight w:val="310"/>
        </w:trPr>
        <w:tc>
          <w:tcPr>
            <w:tcW w:w="4238" w:type="pct"/>
            <w:tcBorders>
              <w:top w:val="nil"/>
              <w:left w:val="single" w:sz="4" w:space="0" w:color="auto"/>
              <w:bottom w:val="single" w:sz="4" w:space="0" w:color="auto"/>
              <w:right w:val="single" w:sz="4" w:space="0" w:color="auto"/>
            </w:tcBorders>
            <w:noWrap/>
            <w:vAlign w:val="bottom"/>
            <w:hideMark/>
          </w:tcPr>
          <w:p w14:paraId="6612534B"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Quick Ratio= Current Assets - Inventory / Current Liabilities</w:t>
            </w:r>
          </w:p>
        </w:tc>
        <w:tc>
          <w:tcPr>
            <w:tcW w:w="762" w:type="pct"/>
            <w:tcBorders>
              <w:top w:val="nil"/>
              <w:left w:val="nil"/>
              <w:bottom w:val="single" w:sz="4" w:space="0" w:color="auto"/>
              <w:right w:val="single" w:sz="4" w:space="0" w:color="auto"/>
            </w:tcBorders>
            <w:noWrap/>
            <w:vAlign w:val="bottom"/>
            <w:hideMark/>
          </w:tcPr>
          <w:p w14:paraId="68125F80"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ED594F" w14:paraId="582B0F3B" w14:textId="77777777" w:rsidTr="00ED594F">
        <w:trPr>
          <w:trHeight w:val="310"/>
        </w:trPr>
        <w:tc>
          <w:tcPr>
            <w:tcW w:w="4238" w:type="pct"/>
            <w:tcBorders>
              <w:top w:val="nil"/>
              <w:left w:val="single" w:sz="4" w:space="0" w:color="auto"/>
              <w:bottom w:val="single" w:sz="4" w:space="0" w:color="auto"/>
              <w:right w:val="single" w:sz="4" w:space="0" w:color="auto"/>
            </w:tcBorders>
            <w:noWrap/>
            <w:vAlign w:val="bottom"/>
            <w:hideMark/>
          </w:tcPr>
          <w:p w14:paraId="63140562"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Assets</w:t>
            </w:r>
          </w:p>
        </w:tc>
        <w:tc>
          <w:tcPr>
            <w:tcW w:w="762" w:type="pct"/>
            <w:tcBorders>
              <w:top w:val="nil"/>
              <w:left w:val="nil"/>
              <w:bottom w:val="single" w:sz="4" w:space="0" w:color="auto"/>
              <w:right w:val="single" w:sz="4" w:space="0" w:color="auto"/>
            </w:tcBorders>
            <w:noWrap/>
            <w:vAlign w:val="bottom"/>
            <w:hideMark/>
          </w:tcPr>
          <w:p w14:paraId="121F5C77"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250,000</w:t>
            </w:r>
          </w:p>
        </w:tc>
      </w:tr>
      <w:tr w:rsidR="00ED594F" w14:paraId="5AE752EA" w14:textId="77777777" w:rsidTr="00ED594F">
        <w:trPr>
          <w:trHeight w:val="310"/>
        </w:trPr>
        <w:tc>
          <w:tcPr>
            <w:tcW w:w="4238" w:type="pct"/>
            <w:tcBorders>
              <w:top w:val="nil"/>
              <w:left w:val="single" w:sz="4" w:space="0" w:color="auto"/>
              <w:bottom w:val="single" w:sz="4" w:space="0" w:color="auto"/>
              <w:right w:val="single" w:sz="4" w:space="0" w:color="auto"/>
            </w:tcBorders>
            <w:noWrap/>
            <w:vAlign w:val="bottom"/>
            <w:hideMark/>
          </w:tcPr>
          <w:p w14:paraId="06F427A6"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Inventory</w:t>
            </w:r>
          </w:p>
        </w:tc>
        <w:tc>
          <w:tcPr>
            <w:tcW w:w="762" w:type="pct"/>
            <w:tcBorders>
              <w:top w:val="nil"/>
              <w:left w:val="nil"/>
              <w:bottom w:val="single" w:sz="4" w:space="0" w:color="auto"/>
              <w:right w:val="single" w:sz="4" w:space="0" w:color="auto"/>
            </w:tcBorders>
            <w:noWrap/>
            <w:vAlign w:val="bottom"/>
            <w:hideMark/>
          </w:tcPr>
          <w:p w14:paraId="5FA1BD48"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100,000</w:t>
            </w:r>
          </w:p>
        </w:tc>
      </w:tr>
      <w:tr w:rsidR="00ED594F" w14:paraId="3F92B499" w14:textId="77777777" w:rsidTr="00ED594F">
        <w:trPr>
          <w:trHeight w:val="310"/>
        </w:trPr>
        <w:tc>
          <w:tcPr>
            <w:tcW w:w="4238" w:type="pct"/>
            <w:tcBorders>
              <w:top w:val="nil"/>
              <w:left w:val="single" w:sz="4" w:space="0" w:color="auto"/>
              <w:bottom w:val="single" w:sz="4" w:space="0" w:color="auto"/>
              <w:right w:val="single" w:sz="4" w:space="0" w:color="auto"/>
            </w:tcBorders>
            <w:noWrap/>
            <w:vAlign w:val="bottom"/>
            <w:hideMark/>
          </w:tcPr>
          <w:p w14:paraId="7764BA17"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Liabilities</w:t>
            </w:r>
          </w:p>
        </w:tc>
        <w:tc>
          <w:tcPr>
            <w:tcW w:w="762" w:type="pct"/>
            <w:tcBorders>
              <w:top w:val="nil"/>
              <w:left w:val="nil"/>
              <w:bottom w:val="single" w:sz="4" w:space="0" w:color="auto"/>
              <w:right w:val="single" w:sz="4" w:space="0" w:color="auto"/>
            </w:tcBorders>
            <w:noWrap/>
            <w:vAlign w:val="bottom"/>
            <w:hideMark/>
          </w:tcPr>
          <w:p w14:paraId="6E43F173"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180,000</w:t>
            </w:r>
          </w:p>
        </w:tc>
      </w:tr>
      <w:tr w:rsidR="00ED594F" w14:paraId="19217365" w14:textId="77777777" w:rsidTr="00ED594F">
        <w:trPr>
          <w:trHeight w:val="310"/>
        </w:trPr>
        <w:tc>
          <w:tcPr>
            <w:tcW w:w="4238" w:type="pct"/>
            <w:tcBorders>
              <w:top w:val="nil"/>
              <w:left w:val="single" w:sz="4" w:space="0" w:color="auto"/>
              <w:bottom w:val="single" w:sz="4" w:space="0" w:color="auto"/>
              <w:right w:val="single" w:sz="4" w:space="0" w:color="auto"/>
            </w:tcBorders>
            <w:noWrap/>
            <w:vAlign w:val="bottom"/>
            <w:hideMark/>
          </w:tcPr>
          <w:p w14:paraId="7A273A1B"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Quick Ratio</w:t>
            </w:r>
          </w:p>
        </w:tc>
        <w:tc>
          <w:tcPr>
            <w:tcW w:w="762" w:type="pct"/>
            <w:tcBorders>
              <w:top w:val="nil"/>
              <w:left w:val="nil"/>
              <w:bottom w:val="single" w:sz="4" w:space="0" w:color="auto"/>
              <w:right w:val="single" w:sz="4" w:space="0" w:color="auto"/>
            </w:tcBorders>
            <w:noWrap/>
            <w:vAlign w:val="bottom"/>
            <w:hideMark/>
          </w:tcPr>
          <w:p w14:paraId="4DED068F" w14:textId="77777777" w:rsidR="00ED594F" w:rsidRDefault="00ED594F">
            <w:pPr>
              <w:keepNext/>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0.83</w:t>
            </w:r>
          </w:p>
        </w:tc>
      </w:tr>
    </w:tbl>
    <w:p w14:paraId="33549C32" w14:textId="77777777" w:rsidR="00ED594F" w:rsidRDefault="00ED594F" w:rsidP="00ED594F">
      <w:pPr>
        <w:pStyle w:val="Caption"/>
        <w:rPr>
          <w:sz w:val="18"/>
          <w:szCs w:val="18"/>
        </w:rPr>
      </w:pPr>
    </w:p>
    <w:p w14:paraId="4FF8EDF9" w14:textId="77777777" w:rsidR="00ED594F" w:rsidRPr="00ED594F" w:rsidRDefault="00ED594F" w:rsidP="00ED594F">
      <w:pPr>
        <w:pStyle w:val="Caption"/>
        <w:rPr>
          <w:rFonts w:ascii="Times New Roman" w:hAnsi="Times New Roman" w:cs="Times New Roman"/>
          <w:color w:val="auto"/>
          <w:sz w:val="24"/>
          <w:szCs w:val="24"/>
        </w:rPr>
      </w:pPr>
      <w:bookmarkStart w:id="15" w:name="_Hlk159963581"/>
      <w:r w:rsidRPr="00ED594F">
        <w:rPr>
          <w:color w:val="auto"/>
        </w:rPr>
        <w:t xml:space="preserve">Table </w:t>
      </w:r>
      <w:r w:rsidRPr="00ED594F">
        <w:rPr>
          <w:color w:val="auto"/>
        </w:rPr>
        <w:fldChar w:fldCharType="begin"/>
      </w:r>
      <w:r w:rsidRPr="00ED594F">
        <w:rPr>
          <w:color w:val="auto"/>
        </w:rPr>
        <w:instrText xml:space="preserve"> SEQ Table \* ARABIC </w:instrText>
      </w:r>
      <w:r w:rsidRPr="00ED594F">
        <w:rPr>
          <w:color w:val="auto"/>
        </w:rPr>
        <w:fldChar w:fldCharType="separate"/>
      </w:r>
      <w:r w:rsidRPr="00ED594F">
        <w:rPr>
          <w:noProof/>
          <w:color w:val="auto"/>
        </w:rPr>
        <w:t>2</w:t>
      </w:r>
      <w:r w:rsidRPr="00ED594F">
        <w:rPr>
          <w:noProof/>
          <w:color w:val="auto"/>
        </w:rPr>
        <w:fldChar w:fldCharType="end"/>
      </w:r>
      <w:r w:rsidRPr="00ED594F">
        <w:rPr>
          <w:color w:val="auto"/>
        </w:rPr>
        <w:t xml:space="preserve"> Quick Ratio</w:t>
      </w:r>
    </w:p>
    <w:p w14:paraId="1BCE520F" w14:textId="77777777" w:rsidR="00ED594F" w:rsidRPr="00ED594F" w:rsidRDefault="00ED594F" w:rsidP="00ED594F">
      <w:pPr>
        <w:pStyle w:val="Heading2"/>
        <w:rPr>
          <w:rFonts w:ascii="Times New Roman" w:hAnsi="Times New Roman"/>
          <w:color w:val="auto"/>
          <w:sz w:val="26"/>
          <w:szCs w:val="26"/>
        </w:rPr>
      </w:pPr>
      <w:bookmarkStart w:id="16" w:name="_Toc156410612"/>
      <w:bookmarkEnd w:id="15"/>
      <w:r w:rsidRPr="00ED594F">
        <w:rPr>
          <w:color w:val="auto"/>
        </w:rPr>
        <w:t>Appendix 3</w:t>
      </w:r>
      <w:bookmarkEnd w:id="16"/>
    </w:p>
    <w:p w14:paraId="552ED2CE" w14:textId="0C131F99" w:rsidR="00ED594F" w:rsidRDefault="00ED594F" w:rsidP="00ED594F">
      <w:pPr>
        <w:rPr>
          <w:rFonts w:ascii="Times New Roman" w:hAnsi="Times New Roman" w:cs="Times New Roman"/>
          <w:sz w:val="24"/>
          <w:szCs w:val="24"/>
        </w:rPr>
      </w:pPr>
      <w:r>
        <w:rPr>
          <w:noProof/>
        </w:rPr>
        <w:drawing>
          <wp:inline distT="0" distB="0" distL="0" distR="0" wp14:anchorId="2E0D3CD3" wp14:editId="725398A0">
            <wp:extent cx="4808220" cy="2842260"/>
            <wp:effectExtent l="0" t="0" r="11430" b="15240"/>
            <wp:docPr id="502521973" name="Chart 3">
              <a:extLst xmlns:a="http://schemas.openxmlformats.org/drawingml/2006/main">
                <a:ext uri="{FF2B5EF4-FFF2-40B4-BE49-F238E27FC236}">
                  <a16:creationId xmlns:a16="http://schemas.microsoft.com/office/drawing/2014/main" id="{34C54858-FA38-B94F-89B0-3E68BBFFDC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bl>
      <w:tblPr>
        <w:tblW w:w="5000" w:type="pct"/>
        <w:tblLook w:val="04A0" w:firstRow="1" w:lastRow="0" w:firstColumn="1" w:lastColumn="0" w:noHBand="0" w:noVBand="1"/>
      </w:tblPr>
      <w:tblGrid>
        <w:gridCol w:w="7555"/>
        <w:gridCol w:w="1461"/>
      </w:tblGrid>
      <w:tr w:rsidR="00ED594F" w14:paraId="1A128F71" w14:textId="77777777" w:rsidTr="00ED594F">
        <w:trPr>
          <w:trHeight w:val="310"/>
        </w:trPr>
        <w:tc>
          <w:tcPr>
            <w:tcW w:w="4190" w:type="pct"/>
            <w:tcBorders>
              <w:top w:val="single" w:sz="4" w:space="0" w:color="auto"/>
              <w:left w:val="single" w:sz="4" w:space="0" w:color="auto"/>
              <w:bottom w:val="single" w:sz="4" w:space="0" w:color="auto"/>
              <w:right w:val="single" w:sz="4" w:space="0" w:color="auto"/>
            </w:tcBorders>
            <w:noWrap/>
            <w:vAlign w:val="bottom"/>
            <w:hideMark/>
          </w:tcPr>
          <w:p w14:paraId="0059FC03"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Particulars</w:t>
            </w:r>
          </w:p>
        </w:tc>
        <w:tc>
          <w:tcPr>
            <w:tcW w:w="810" w:type="pct"/>
            <w:tcBorders>
              <w:top w:val="single" w:sz="4" w:space="0" w:color="auto"/>
              <w:left w:val="nil"/>
              <w:bottom w:val="single" w:sz="4" w:space="0" w:color="auto"/>
              <w:right w:val="single" w:sz="4" w:space="0" w:color="auto"/>
            </w:tcBorders>
            <w:noWrap/>
            <w:vAlign w:val="bottom"/>
            <w:hideMark/>
          </w:tcPr>
          <w:p w14:paraId="1725A408"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ED594F" w14:paraId="76EE090B"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55159D4D"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Debt-to-Equity Ratio = Debt / Equity</w:t>
            </w:r>
          </w:p>
        </w:tc>
        <w:tc>
          <w:tcPr>
            <w:tcW w:w="810" w:type="pct"/>
            <w:tcBorders>
              <w:top w:val="nil"/>
              <w:left w:val="nil"/>
              <w:bottom w:val="single" w:sz="4" w:space="0" w:color="auto"/>
              <w:right w:val="single" w:sz="4" w:space="0" w:color="auto"/>
            </w:tcBorders>
            <w:noWrap/>
            <w:vAlign w:val="bottom"/>
            <w:hideMark/>
          </w:tcPr>
          <w:p w14:paraId="3940684C"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ED594F" w14:paraId="1D32F853"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24DDD83E"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Debt</w:t>
            </w:r>
          </w:p>
        </w:tc>
        <w:tc>
          <w:tcPr>
            <w:tcW w:w="810" w:type="pct"/>
            <w:tcBorders>
              <w:top w:val="nil"/>
              <w:left w:val="nil"/>
              <w:bottom w:val="single" w:sz="4" w:space="0" w:color="auto"/>
              <w:right w:val="single" w:sz="4" w:space="0" w:color="auto"/>
            </w:tcBorders>
            <w:noWrap/>
            <w:vAlign w:val="bottom"/>
            <w:hideMark/>
          </w:tcPr>
          <w:p w14:paraId="6DBD9611"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750,000</w:t>
            </w:r>
          </w:p>
        </w:tc>
      </w:tr>
      <w:tr w:rsidR="00ED594F" w14:paraId="23F08A69"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476D3C3A"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Equity</w:t>
            </w:r>
          </w:p>
        </w:tc>
        <w:tc>
          <w:tcPr>
            <w:tcW w:w="810" w:type="pct"/>
            <w:tcBorders>
              <w:top w:val="nil"/>
              <w:left w:val="nil"/>
              <w:bottom w:val="single" w:sz="4" w:space="0" w:color="auto"/>
              <w:right w:val="single" w:sz="4" w:space="0" w:color="auto"/>
            </w:tcBorders>
            <w:noWrap/>
            <w:vAlign w:val="bottom"/>
            <w:hideMark/>
          </w:tcPr>
          <w:p w14:paraId="44AC6020"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450,000</w:t>
            </w:r>
          </w:p>
        </w:tc>
      </w:tr>
      <w:tr w:rsidR="00ED594F" w14:paraId="60E67C4E"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5DFAAF5E"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Debt-to-Equity Ratio</w:t>
            </w:r>
          </w:p>
        </w:tc>
        <w:tc>
          <w:tcPr>
            <w:tcW w:w="810" w:type="pct"/>
            <w:tcBorders>
              <w:top w:val="nil"/>
              <w:left w:val="nil"/>
              <w:bottom w:val="single" w:sz="4" w:space="0" w:color="auto"/>
              <w:right w:val="single" w:sz="4" w:space="0" w:color="auto"/>
            </w:tcBorders>
            <w:noWrap/>
            <w:vAlign w:val="bottom"/>
            <w:hideMark/>
          </w:tcPr>
          <w:p w14:paraId="75267F17" w14:textId="77777777" w:rsidR="00ED594F" w:rsidRDefault="00ED594F">
            <w:pPr>
              <w:keepNext/>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1.67</w:t>
            </w:r>
          </w:p>
        </w:tc>
      </w:tr>
    </w:tbl>
    <w:p w14:paraId="053BAC5C" w14:textId="77777777" w:rsidR="00ED594F" w:rsidRDefault="00ED594F" w:rsidP="00ED594F">
      <w:pPr>
        <w:pStyle w:val="Caption"/>
        <w:rPr>
          <w:sz w:val="18"/>
          <w:szCs w:val="18"/>
        </w:rPr>
      </w:pPr>
    </w:p>
    <w:p w14:paraId="5D4FE7BD" w14:textId="77777777" w:rsidR="00ED594F" w:rsidRPr="00ED594F" w:rsidRDefault="00ED594F" w:rsidP="00ED594F">
      <w:pPr>
        <w:pStyle w:val="Caption"/>
        <w:rPr>
          <w:rFonts w:ascii="Times New Roman" w:hAnsi="Times New Roman" w:cs="Times New Roman"/>
          <w:color w:val="auto"/>
          <w:sz w:val="24"/>
          <w:szCs w:val="24"/>
        </w:rPr>
      </w:pPr>
      <w:r w:rsidRPr="00ED594F">
        <w:rPr>
          <w:color w:val="auto"/>
        </w:rPr>
        <w:t xml:space="preserve">Table </w:t>
      </w:r>
      <w:r w:rsidRPr="00ED594F">
        <w:rPr>
          <w:color w:val="auto"/>
        </w:rPr>
        <w:fldChar w:fldCharType="begin"/>
      </w:r>
      <w:r w:rsidRPr="00ED594F">
        <w:rPr>
          <w:color w:val="auto"/>
        </w:rPr>
        <w:instrText xml:space="preserve"> SEQ Table \* ARABIC </w:instrText>
      </w:r>
      <w:r w:rsidRPr="00ED594F">
        <w:rPr>
          <w:color w:val="auto"/>
        </w:rPr>
        <w:fldChar w:fldCharType="separate"/>
      </w:r>
      <w:r w:rsidRPr="00ED594F">
        <w:rPr>
          <w:noProof/>
          <w:color w:val="auto"/>
        </w:rPr>
        <w:t>3</w:t>
      </w:r>
      <w:r w:rsidRPr="00ED594F">
        <w:rPr>
          <w:noProof/>
          <w:color w:val="auto"/>
        </w:rPr>
        <w:fldChar w:fldCharType="end"/>
      </w:r>
      <w:r w:rsidRPr="00ED594F">
        <w:rPr>
          <w:color w:val="auto"/>
        </w:rPr>
        <w:t xml:space="preserve"> Debt-to-Equity Ratio</w:t>
      </w:r>
    </w:p>
    <w:p w14:paraId="5D7A1ED7" w14:textId="77777777" w:rsidR="00ED594F" w:rsidRPr="00ED594F" w:rsidRDefault="00ED594F" w:rsidP="00ED594F">
      <w:pPr>
        <w:pStyle w:val="Heading2"/>
        <w:rPr>
          <w:rFonts w:ascii="Times New Roman" w:hAnsi="Times New Roman"/>
          <w:color w:val="auto"/>
          <w:sz w:val="26"/>
          <w:szCs w:val="26"/>
        </w:rPr>
      </w:pPr>
      <w:bookmarkStart w:id="17" w:name="_Toc156410613"/>
      <w:r w:rsidRPr="00ED594F">
        <w:rPr>
          <w:color w:val="auto"/>
        </w:rPr>
        <w:lastRenderedPageBreak/>
        <w:t>Appendix 4</w:t>
      </w:r>
      <w:bookmarkEnd w:id="17"/>
    </w:p>
    <w:p w14:paraId="30FE0E80" w14:textId="76251AA0" w:rsidR="00ED594F" w:rsidRDefault="00ED594F" w:rsidP="00ED594F">
      <w:pPr>
        <w:rPr>
          <w:rFonts w:ascii="Times New Roman" w:hAnsi="Times New Roman" w:cs="Times New Roman"/>
          <w:sz w:val="24"/>
          <w:szCs w:val="24"/>
        </w:rPr>
      </w:pPr>
      <w:r>
        <w:rPr>
          <w:noProof/>
        </w:rPr>
        <w:drawing>
          <wp:inline distT="0" distB="0" distL="0" distR="0" wp14:anchorId="4CE33F8C" wp14:editId="15E7BC07">
            <wp:extent cx="4808220" cy="3063240"/>
            <wp:effectExtent l="0" t="0" r="11430" b="3810"/>
            <wp:docPr id="999344414" name="Chart 2">
              <a:extLst xmlns:a="http://schemas.openxmlformats.org/drawingml/2006/main">
                <a:ext uri="{FF2B5EF4-FFF2-40B4-BE49-F238E27FC236}">
                  <a16:creationId xmlns:a16="http://schemas.microsoft.com/office/drawing/2014/main" id="{78425DAA-FFAB-6014-2847-9BE749AFB5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bl>
      <w:tblPr>
        <w:tblW w:w="5000" w:type="pct"/>
        <w:tblLook w:val="04A0" w:firstRow="1" w:lastRow="0" w:firstColumn="1" w:lastColumn="0" w:noHBand="0" w:noVBand="1"/>
      </w:tblPr>
      <w:tblGrid>
        <w:gridCol w:w="7424"/>
        <w:gridCol w:w="1592"/>
      </w:tblGrid>
      <w:tr w:rsidR="00ED594F" w14:paraId="4A08705C" w14:textId="77777777" w:rsidTr="00ED594F">
        <w:trPr>
          <w:trHeight w:val="310"/>
        </w:trPr>
        <w:tc>
          <w:tcPr>
            <w:tcW w:w="4117" w:type="pct"/>
            <w:tcBorders>
              <w:top w:val="single" w:sz="4" w:space="0" w:color="auto"/>
              <w:left w:val="single" w:sz="4" w:space="0" w:color="auto"/>
              <w:bottom w:val="single" w:sz="4" w:space="0" w:color="auto"/>
              <w:right w:val="single" w:sz="4" w:space="0" w:color="auto"/>
            </w:tcBorders>
            <w:noWrap/>
            <w:vAlign w:val="bottom"/>
            <w:hideMark/>
          </w:tcPr>
          <w:p w14:paraId="1D7F09A9"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Particulars</w:t>
            </w:r>
          </w:p>
        </w:tc>
        <w:tc>
          <w:tcPr>
            <w:tcW w:w="883" w:type="pct"/>
            <w:tcBorders>
              <w:top w:val="single" w:sz="4" w:space="0" w:color="auto"/>
              <w:left w:val="nil"/>
              <w:bottom w:val="single" w:sz="4" w:space="0" w:color="auto"/>
              <w:right w:val="single" w:sz="4" w:space="0" w:color="auto"/>
            </w:tcBorders>
            <w:noWrap/>
            <w:vAlign w:val="bottom"/>
            <w:hideMark/>
          </w:tcPr>
          <w:p w14:paraId="2DA264F9" w14:textId="77777777" w:rsidR="00ED594F" w:rsidRDefault="00ED594F">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ED594F" w14:paraId="2E34CD5F" w14:textId="77777777" w:rsidTr="00ED594F">
        <w:trPr>
          <w:trHeight w:val="310"/>
        </w:trPr>
        <w:tc>
          <w:tcPr>
            <w:tcW w:w="4117" w:type="pct"/>
            <w:tcBorders>
              <w:top w:val="nil"/>
              <w:left w:val="single" w:sz="4" w:space="0" w:color="auto"/>
              <w:bottom w:val="single" w:sz="4" w:space="0" w:color="auto"/>
              <w:right w:val="single" w:sz="4" w:space="0" w:color="auto"/>
            </w:tcBorders>
            <w:noWrap/>
            <w:vAlign w:val="bottom"/>
            <w:hideMark/>
          </w:tcPr>
          <w:p w14:paraId="40CB5356"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Return on Assets = Net Profit (Loss) / Total Assets</w:t>
            </w:r>
          </w:p>
        </w:tc>
        <w:tc>
          <w:tcPr>
            <w:tcW w:w="883" w:type="pct"/>
            <w:tcBorders>
              <w:top w:val="nil"/>
              <w:left w:val="nil"/>
              <w:bottom w:val="single" w:sz="4" w:space="0" w:color="auto"/>
              <w:right w:val="single" w:sz="4" w:space="0" w:color="auto"/>
            </w:tcBorders>
            <w:noWrap/>
            <w:vAlign w:val="bottom"/>
            <w:hideMark/>
          </w:tcPr>
          <w:p w14:paraId="5348E2E2" w14:textId="77777777" w:rsidR="00ED594F" w:rsidRDefault="00ED594F">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ED594F" w14:paraId="0DAD80F1" w14:textId="77777777" w:rsidTr="00ED594F">
        <w:trPr>
          <w:trHeight w:val="310"/>
        </w:trPr>
        <w:tc>
          <w:tcPr>
            <w:tcW w:w="4117" w:type="pct"/>
            <w:tcBorders>
              <w:top w:val="nil"/>
              <w:left w:val="single" w:sz="4" w:space="0" w:color="auto"/>
              <w:bottom w:val="single" w:sz="4" w:space="0" w:color="auto"/>
              <w:right w:val="single" w:sz="4" w:space="0" w:color="auto"/>
            </w:tcBorders>
            <w:noWrap/>
            <w:vAlign w:val="bottom"/>
            <w:hideMark/>
          </w:tcPr>
          <w:p w14:paraId="3AB7841D"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Profit</w:t>
            </w:r>
          </w:p>
        </w:tc>
        <w:tc>
          <w:tcPr>
            <w:tcW w:w="883" w:type="pct"/>
            <w:tcBorders>
              <w:top w:val="nil"/>
              <w:left w:val="nil"/>
              <w:bottom w:val="single" w:sz="4" w:space="0" w:color="auto"/>
              <w:right w:val="single" w:sz="4" w:space="0" w:color="auto"/>
            </w:tcBorders>
            <w:noWrap/>
            <w:vAlign w:val="bottom"/>
            <w:hideMark/>
          </w:tcPr>
          <w:p w14:paraId="2D5414C4" w14:textId="77777777" w:rsidR="00ED594F" w:rsidRDefault="00ED594F">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-17,500</w:t>
            </w:r>
          </w:p>
        </w:tc>
      </w:tr>
      <w:tr w:rsidR="00ED594F" w14:paraId="63D28F5B" w14:textId="77777777" w:rsidTr="00ED594F">
        <w:trPr>
          <w:trHeight w:val="310"/>
        </w:trPr>
        <w:tc>
          <w:tcPr>
            <w:tcW w:w="4117" w:type="pct"/>
            <w:tcBorders>
              <w:top w:val="nil"/>
              <w:left w:val="single" w:sz="4" w:space="0" w:color="auto"/>
              <w:bottom w:val="single" w:sz="4" w:space="0" w:color="auto"/>
              <w:right w:val="single" w:sz="4" w:space="0" w:color="auto"/>
            </w:tcBorders>
            <w:noWrap/>
            <w:vAlign w:val="bottom"/>
            <w:hideMark/>
          </w:tcPr>
          <w:p w14:paraId="543859F1"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Assets</w:t>
            </w:r>
          </w:p>
        </w:tc>
        <w:tc>
          <w:tcPr>
            <w:tcW w:w="883" w:type="pct"/>
            <w:tcBorders>
              <w:top w:val="nil"/>
              <w:left w:val="nil"/>
              <w:bottom w:val="single" w:sz="4" w:space="0" w:color="auto"/>
              <w:right w:val="single" w:sz="4" w:space="0" w:color="auto"/>
            </w:tcBorders>
            <w:noWrap/>
            <w:vAlign w:val="bottom"/>
            <w:hideMark/>
          </w:tcPr>
          <w:p w14:paraId="10DF5BD4" w14:textId="77777777" w:rsidR="00ED594F" w:rsidRDefault="00ED594F">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1,200,000</w:t>
            </w:r>
          </w:p>
        </w:tc>
      </w:tr>
      <w:tr w:rsidR="00ED594F" w14:paraId="324B365A" w14:textId="77777777" w:rsidTr="00ED594F">
        <w:trPr>
          <w:trHeight w:val="310"/>
        </w:trPr>
        <w:tc>
          <w:tcPr>
            <w:tcW w:w="4117" w:type="pct"/>
            <w:tcBorders>
              <w:top w:val="nil"/>
              <w:left w:val="single" w:sz="4" w:space="0" w:color="auto"/>
              <w:bottom w:val="single" w:sz="4" w:space="0" w:color="auto"/>
              <w:right w:val="single" w:sz="4" w:space="0" w:color="auto"/>
            </w:tcBorders>
            <w:noWrap/>
            <w:vAlign w:val="bottom"/>
            <w:hideMark/>
          </w:tcPr>
          <w:p w14:paraId="1FD290DE"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Return on Assets</w:t>
            </w:r>
          </w:p>
        </w:tc>
        <w:tc>
          <w:tcPr>
            <w:tcW w:w="883" w:type="pct"/>
            <w:tcBorders>
              <w:top w:val="nil"/>
              <w:left w:val="nil"/>
              <w:bottom w:val="single" w:sz="4" w:space="0" w:color="auto"/>
              <w:right w:val="single" w:sz="4" w:space="0" w:color="auto"/>
            </w:tcBorders>
            <w:noWrap/>
            <w:vAlign w:val="bottom"/>
            <w:hideMark/>
          </w:tcPr>
          <w:p w14:paraId="6C0C6352" w14:textId="77777777" w:rsidR="00ED594F" w:rsidRDefault="00ED594F">
            <w:pPr>
              <w:keepNext/>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w:t>
            </w:r>
          </w:p>
        </w:tc>
      </w:tr>
    </w:tbl>
    <w:p w14:paraId="0A70F463" w14:textId="77777777" w:rsidR="00ED594F" w:rsidRDefault="00ED594F" w:rsidP="00ED594F">
      <w:pPr>
        <w:pStyle w:val="Caption"/>
        <w:rPr>
          <w:sz w:val="18"/>
          <w:szCs w:val="18"/>
        </w:rPr>
      </w:pPr>
    </w:p>
    <w:p w14:paraId="2A5C3DB4" w14:textId="77777777" w:rsidR="00ED594F" w:rsidRPr="00ED594F" w:rsidRDefault="00ED594F" w:rsidP="00ED594F">
      <w:pPr>
        <w:pStyle w:val="Caption"/>
        <w:rPr>
          <w:rFonts w:ascii="Times New Roman" w:hAnsi="Times New Roman" w:cs="Times New Roman"/>
          <w:color w:val="auto"/>
          <w:sz w:val="24"/>
          <w:szCs w:val="24"/>
        </w:rPr>
      </w:pPr>
      <w:r w:rsidRPr="00ED594F">
        <w:rPr>
          <w:color w:val="auto"/>
        </w:rPr>
        <w:t xml:space="preserve">Table </w:t>
      </w:r>
      <w:r w:rsidRPr="00ED594F">
        <w:rPr>
          <w:color w:val="auto"/>
        </w:rPr>
        <w:fldChar w:fldCharType="begin"/>
      </w:r>
      <w:r w:rsidRPr="00ED594F">
        <w:rPr>
          <w:color w:val="auto"/>
        </w:rPr>
        <w:instrText xml:space="preserve"> SEQ Table \* ARABIC </w:instrText>
      </w:r>
      <w:r w:rsidRPr="00ED594F">
        <w:rPr>
          <w:color w:val="auto"/>
        </w:rPr>
        <w:fldChar w:fldCharType="separate"/>
      </w:r>
      <w:r w:rsidRPr="00ED594F">
        <w:rPr>
          <w:noProof/>
          <w:color w:val="auto"/>
        </w:rPr>
        <w:t>4</w:t>
      </w:r>
      <w:r w:rsidRPr="00ED594F">
        <w:rPr>
          <w:noProof/>
          <w:color w:val="auto"/>
        </w:rPr>
        <w:fldChar w:fldCharType="end"/>
      </w:r>
      <w:r w:rsidRPr="00ED594F">
        <w:rPr>
          <w:color w:val="auto"/>
        </w:rPr>
        <w:t xml:space="preserve"> Return on Assets Ratio</w:t>
      </w:r>
    </w:p>
    <w:p w14:paraId="2FB7DDA9" w14:textId="77777777" w:rsidR="00ED594F" w:rsidRPr="00ED594F" w:rsidRDefault="00ED594F" w:rsidP="00ED594F">
      <w:pPr>
        <w:pStyle w:val="Heading2"/>
        <w:rPr>
          <w:rFonts w:ascii="Times New Roman" w:hAnsi="Times New Roman"/>
          <w:color w:val="auto"/>
          <w:sz w:val="26"/>
          <w:szCs w:val="26"/>
        </w:rPr>
      </w:pPr>
      <w:bookmarkStart w:id="18" w:name="_Toc156410614"/>
      <w:r w:rsidRPr="00ED594F">
        <w:rPr>
          <w:color w:val="auto"/>
        </w:rPr>
        <w:t>Appendix 5</w:t>
      </w:r>
      <w:bookmarkEnd w:id="18"/>
    </w:p>
    <w:p w14:paraId="3BBF69DF" w14:textId="5088A625" w:rsidR="00ED594F" w:rsidRDefault="00ED594F" w:rsidP="00ED594F">
      <w:pPr>
        <w:rPr>
          <w:rFonts w:ascii="Times New Roman" w:hAnsi="Times New Roman" w:cs="Times New Roman"/>
          <w:sz w:val="24"/>
          <w:szCs w:val="24"/>
        </w:rPr>
      </w:pPr>
      <w:r>
        <w:rPr>
          <w:noProof/>
        </w:rPr>
        <w:drawing>
          <wp:inline distT="0" distB="0" distL="0" distR="0" wp14:anchorId="4509AFFB" wp14:editId="3C34CC26">
            <wp:extent cx="5074920" cy="3268980"/>
            <wp:effectExtent l="0" t="0" r="11430" b="7620"/>
            <wp:docPr id="999510759" name="Chart 1">
              <a:extLst xmlns:a="http://schemas.openxmlformats.org/drawingml/2006/main">
                <a:ext uri="{FF2B5EF4-FFF2-40B4-BE49-F238E27FC236}">
                  <a16:creationId xmlns:a16="http://schemas.microsoft.com/office/drawing/2014/main" id="{2D5452AB-DC8C-BA39-5907-8117307406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tbl>
      <w:tblPr>
        <w:tblW w:w="5000" w:type="pct"/>
        <w:tblLook w:val="04A0" w:firstRow="1" w:lastRow="0" w:firstColumn="1" w:lastColumn="0" w:noHBand="0" w:noVBand="1"/>
      </w:tblPr>
      <w:tblGrid>
        <w:gridCol w:w="7555"/>
        <w:gridCol w:w="1461"/>
      </w:tblGrid>
      <w:tr w:rsidR="00ED594F" w14:paraId="388DB951" w14:textId="77777777" w:rsidTr="00ED594F">
        <w:trPr>
          <w:trHeight w:val="310"/>
        </w:trPr>
        <w:tc>
          <w:tcPr>
            <w:tcW w:w="4190" w:type="pct"/>
            <w:tcBorders>
              <w:top w:val="single" w:sz="4" w:space="0" w:color="auto"/>
              <w:left w:val="single" w:sz="4" w:space="0" w:color="auto"/>
              <w:bottom w:val="single" w:sz="4" w:space="0" w:color="auto"/>
              <w:right w:val="single" w:sz="4" w:space="0" w:color="auto"/>
            </w:tcBorders>
            <w:noWrap/>
            <w:vAlign w:val="bottom"/>
            <w:hideMark/>
          </w:tcPr>
          <w:p w14:paraId="394D62CF"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lastRenderedPageBreak/>
              <w:t>Particulars</w:t>
            </w:r>
          </w:p>
        </w:tc>
        <w:tc>
          <w:tcPr>
            <w:tcW w:w="810" w:type="pct"/>
            <w:tcBorders>
              <w:top w:val="single" w:sz="4" w:space="0" w:color="auto"/>
              <w:left w:val="nil"/>
              <w:bottom w:val="single" w:sz="4" w:space="0" w:color="auto"/>
              <w:right w:val="single" w:sz="4" w:space="0" w:color="auto"/>
            </w:tcBorders>
            <w:noWrap/>
            <w:vAlign w:val="bottom"/>
            <w:hideMark/>
          </w:tcPr>
          <w:p w14:paraId="68D46E06"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ED594F" w14:paraId="7A627A9E"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300B29CD"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Return on Equity = Net Profit (Loss) / Total Equity</w:t>
            </w:r>
          </w:p>
        </w:tc>
        <w:tc>
          <w:tcPr>
            <w:tcW w:w="810" w:type="pct"/>
            <w:tcBorders>
              <w:top w:val="nil"/>
              <w:left w:val="nil"/>
              <w:bottom w:val="single" w:sz="4" w:space="0" w:color="auto"/>
              <w:right w:val="single" w:sz="4" w:space="0" w:color="auto"/>
            </w:tcBorders>
            <w:noWrap/>
            <w:vAlign w:val="bottom"/>
            <w:hideMark/>
          </w:tcPr>
          <w:p w14:paraId="374F5AFD"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ED594F" w14:paraId="09BAC567"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2F06F004"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profit</w:t>
            </w:r>
          </w:p>
        </w:tc>
        <w:tc>
          <w:tcPr>
            <w:tcW w:w="810" w:type="pct"/>
            <w:tcBorders>
              <w:top w:val="nil"/>
              <w:left w:val="nil"/>
              <w:bottom w:val="single" w:sz="4" w:space="0" w:color="auto"/>
              <w:right w:val="single" w:sz="4" w:space="0" w:color="auto"/>
            </w:tcBorders>
            <w:noWrap/>
            <w:vAlign w:val="bottom"/>
            <w:hideMark/>
          </w:tcPr>
          <w:p w14:paraId="3832A398"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-17,500</w:t>
            </w:r>
          </w:p>
        </w:tc>
      </w:tr>
      <w:tr w:rsidR="00ED594F" w14:paraId="12C22968"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5D33C952"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Equity</w:t>
            </w:r>
          </w:p>
        </w:tc>
        <w:tc>
          <w:tcPr>
            <w:tcW w:w="810" w:type="pct"/>
            <w:tcBorders>
              <w:top w:val="nil"/>
              <w:left w:val="nil"/>
              <w:bottom w:val="single" w:sz="4" w:space="0" w:color="auto"/>
              <w:right w:val="single" w:sz="4" w:space="0" w:color="auto"/>
            </w:tcBorders>
            <w:noWrap/>
            <w:vAlign w:val="bottom"/>
            <w:hideMark/>
          </w:tcPr>
          <w:p w14:paraId="26BF44E1"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450,000</w:t>
            </w:r>
          </w:p>
        </w:tc>
      </w:tr>
      <w:tr w:rsidR="00ED594F" w14:paraId="6B3A6B40" w14:textId="77777777" w:rsidTr="00ED594F">
        <w:trPr>
          <w:trHeight w:val="310"/>
        </w:trPr>
        <w:tc>
          <w:tcPr>
            <w:tcW w:w="4190" w:type="pct"/>
            <w:tcBorders>
              <w:top w:val="nil"/>
              <w:left w:val="single" w:sz="4" w:space="0" w:color="auto"/>
              <w:bottom w:val="single" w:sz="4" w:space="0" w:color="auto"/>
              <w:right w:val="single" w:sz="4" w:space="0" w:color="auto"/>
            </w:tcBorders>
            <w:noWrap/>
            <w:vAlign w:val="bottom"/>
            <w:hideMark/>
          </w:tcPr>
          <w:p w14:paraId="3DBB4111" w14:textId="77777777" w:rsidR="00ED594F" w:rsidRDefault="00ED594F">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Return on Equity</w:t>
            </w:r>
          </w:p>
        </w:tc>
        <w:tc>
          <w:tcPr>
            <w:tcW w:w="810" w:type="pct"/>
            <w:tcBorders>
              <w:top w:val="nil"/>
              <w:left w:val="nil"/>
              <w:bottom w:val="single" w:sz="4" w:space="0" w:color="auto"/>
              <w:right w:val="single" w:sz="4" w:space="0" w:color="auto"/>
            </w:tcBorders>
            <w:noWrap/>
            <w:vAlign w:val="bottom"/>
            <w:hideMark/>
          </w:tcPr>
          <w:p w14:paraId="53BBEB30" w14:textId="77777777" w:rsidR="00ED594F" w:rsidRDefault="00ED594F">
            <w:pPr>
              <w:keepNext/>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w:t>
            </w:r>
          </w:p>
        </w:tc>
      </w:tr>
    </w:tbl>
    <w:p w14:paraId="3B3155C9" w14:textId="77777777" w:rsidR="00ED594F" w:rsidRDefault="00ED594F" w:rsidP="00ED594F">
      <w:pPr>
        <w:pStyle w:val="Caption"/>
        <w:rPr>
          <w:sz w:val="18"/>
          <w:szCs w:val="18"/>
        </w:rPr>
      </w:pPr>
    </w:p>
    <w:p w14:paraId="6EB4CA45" w14:textId="77777777" w:rsidR="00ED594F" w:rsidRPr="00ED594F" w:rsidRDefault="00ED594F" w:rsidP="00ED594F">
      <w:pPr>
        <w:pStyle w:val="Caption"/>
        <w:rPr>
          <w:color w:val="auto"/>
        </w:rPr>
      </w:pPr>
      <w:r w:rsidRPr="00ED594F">
        <w:rPr>
          <w:color w:val="auto"/>
        </w:rPr>
        <w:t xml:space="preserve">Table </w:t>
      </w:r>
      <w:r w:rsidRPr="00ED594F">
        <w:rPr>
          <w:color w:val="auto"/>
        </w:rPr>
        <w:fldChar w:fldCharType="begin"/>
      </w:r>
      <w:r w:rsidRPr="00ED594F">
        <w:rPr>
          <w:color w:val="auto"/>
        </w:rPr>
        <w:instrText xml:space="preserve"> SEQ Table \* ARABIC </w:instrText>
      </w:r>
      <w:r w:rsidRPr="00ED594F">
        <w:rPr>
          <w:color w:val="auto"/>
        </w:rPr>
        <w:fldChar w:fldCharType="separate"/>
      </w:r>
      <w:r w:rsidRPr="00ED594F">
        <w:rPr>
          <w:noProof/>
          <w:color w:val="auto"/>
        </w:rPr>
        <w:t>5</w:t>
      </w:r>
      <w:r w:rsidRPr="00ED594F">
        <w:rPr>
          <w:noProof/>
          <w:color w:val="auto"/>
        </w:rPr>
        <w:fldChar w:fldCharType="end"/>
      </w:r>
      <w:r w:rsidRPr="00ED594F">
        <w:rPr>
          <w:color w:val="auto"/>
        </w:rPr>
        <w:t xml:space="preserve"> Return on Equity</w:t>
      </w:r>
    </w:p>
    <w:p w14:paraId="28C0B97F" w14:textId="77777777" w:rsidR="00ED594F" w:rsidRPr="00ED594F" w:rsidRDefault="00ED594F" w:rsidP="00ED594F">
      <w:pPr>
        <w:pStyle w:val="Heading2"/>
        <w:rPr>
          <w:color w:val="auto"/>
        </w:rPr>
      </w:pPr>
      <w:bookmarkStart w:id="19" w:name="_Toc156410615"/>
      <w:r w:rsidRPr="00ED594F">
        <w:rPr>
          <w:color w:val="auto"/>
        </w:rPr>
        <w:t>Appendix 6</w:t>
      </w:r>
      <w:bookmarkEnd w:id="19"/>
    </w:p>
    <w:tbl>
      <w:tblPr>
        <w:tblW w:w="5000" w:type="pct"/>
        <w:tblLook w:val="04A0" w:firstRow="1" w:lastRow="0" w:firstColumn="1" w:lastColumn="0" w:noHBand="0" w:noVBand="1"/>
      </w:tblPr>
      <w:tblGrid>
        <w:gridCol w:w="3015"/>
        <w:gridCol w:w="1304"/>
        <w:gridCol w:w="1617"/>
        <w:gridCol w:w="1461"/>
        <w:gridCol w:w="1619"/>
      </w:tblGrid>
      <w:tr w:rsidR="00ED594F" w14:paraId="7C41F276" w14:textId="77777777" w:rsidTr="00ED594F">
        <w:trPr>
          <w:trHeight w:val="310"/>
        </w:trPr>
        <w:tc>
          <w:tcPr>
            <w:tcW w:w="5000" w:type="pct"/>
            <w:gridSpan w:val="5"/>
            <w:tcBorders>
              <w:top w:val="single" w:sz="4" w:space="0" w:color="auto"/>
              <w:left w:val="single" w:sz="4" w:space="0" w:color="auto"/>
              <w:bottom w:val="single" w:sz="4" w:space="0" w:color="auto"/>
              <w:right w:val="single" w:sz="4" w:space="0" w:color="000000"/>
            </w:tcBorders>
            <w:noWrap/>
            <w:vAlign w:val="bottom"/>
            <w:hideMark/>
          </w:tcPr>
          <w:p w14:paraId="0498FD81" w14:textId="77777777" w:rsidR="00ED594F" w:rsidRDefault="00ED594F">
            <w:pPr>
              <w:spacing w:after="0"/>
              <w:jc w:val="cente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Income Statement (2023-2026)</w:t>
            </w:r>
          </w:p>
        </w:tc>
      </w:tr>
      <w:tr w:rsidR="00ED594F" w14:paraId="5568434C" w14:textId="77777777" w:rsidTr="00ED594F">
        <w:trPr>
          <w:trHeight w:val="310"/>
        </w:trPr>
        <w:tc>
          <w:tcPr>
            <w:tcW w:w="1672" w:type="pct"/>
            <w:tcBorders>
              <w:top w:val="nil"/>
              <w:left w:val="single" w:sz="4" w:space="0" w:color="auto"/>
              <w:bottom w:val="single" w:sz="4" w:space="0" w:color="auto"/>
              <w:right w:val="single" w:sz="4" w:space="0" w:color="auto"/>
            </w:tcBorders>
            <w:noWrap/>
            <w:vAlign w:val="bottom"/>
            <w:hideMark/>
          </w:tcPr>
          <w:p w14:paraId="08FF8657"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Item</w:t>
            </w:r>
          </w:p>
        </w:tc>
        <w:tc>
          <w:tcPr>
            <w:tcW w:w="723" w:type="pct"/>
            <w:tcBorders>
              <w:top w:val="nil"/>
              <w:left w:val="nil"/>
              <w:bottom w:val="single" w:sz="4" w:space="0" w:color="auto"/>
              <w:right w:val="single" w:sz="4" w:space="0" w:color="auto"/>
            </w:tcBorders>
            <w:noWrap/>
            <w:vAlign w:val="bottom"/>
            <w:hideMark/>
          </w:tcPr>
          <w:p w14:paraId="4DD1799E"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2023</w:t>
            </w:r>
          </w:p>
        </w:tc>
        <w:tc>
          <w:tcPr>
            <w:tcW w:w="897" w:type="pct"/>
            <w:tcBorders>
              <w:top w:val="nil"/>
              <w:left w:val="nil"/>
              <w:bottom w:val="single" w:sz="4" w:space="0" w:color="auto"/>
              <w:right w:val="single" w:sz="4" w:space="0" w:color="auto"/>
            </w:tcBorders>
            <w:noWrap/>
            <w:vAlign w:val="bottom"/>
            <w:hideMark/>
          </w:tcPr>
          <w:p w14:paraId="78337D35"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2024</w:t>
            </w:r>
          </w:p>
        </w:tc>
        <w:tc>
          <w:tcPr>
            <w:tcW w:w="810" w:type="pct"/>
            <w:tcBorders>
              <w:top w:val="nil"/>
              <w:left w:val="nil"/>
              <w:bottom w:val="single" w:sz="4" w:space="0" w:color="auto"/>
              <w:right w:val="single" w:sz="4" w:space="0" w:color="auto"/>
            </w:tcBorders>
            <w:noWrap/>
            <w:vAlign w:val="bottom"/>
            <w:hideMark/>
          </w:tcPr>
          <w:p w14:paraId="6A576026"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2025</w:t>
            </w:r>
          </w:p>
        </w:tc>
        <w:tc>
          <w:tcPr>
            <w:tcW w:w="898" w:type="pct"/>
            <w:tcBorders>
              <w:top w:val="nil"/>
              <w:left w:val="nil"/>
              <w:bottom w:val="single" w:sz="4" w:space="0" w:color="auto"/>
              <w:right w:val="single" w:sz="4" w:space="0" w:color="auto"/>
            </w:tcBorders>
            <w:noWrap/>
            <w:vAlign w:val="bottom"/>
            <w:hideMark/>
          </w:tcPr>
          <w:p w14:paraId="3510826C"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2026</w:t>
            </w:r>
          </w:p>
        </w:tc>
      </w:tr>
      <w:tr w:rsidR="00ED594F" w14:paraId="279E4591" w14:textId="77777777" w:rsidTr="00ED594F">
        <w:trPr>
          <w:trHeight w:val="310"/>
        </w:trPr>
        <w:tc>
          <w:tcPr>
            <w:tcW w:w="1672" w:type="pct"/>
            <w:tcBorders>
              <w:top w:val="nil"/>
              <w:left w:val="single" w:sz="4" w:space="0" w:color="auto"/>
              <w:bottom w:val="single" w:sz="4" w:space="0" w:color="auto"/>
              <w:right w:val="single" w:sz="4" w:space="0" w:color="auto"/>
            </w:tcBorders>
            <w:noWrap/>
            <w:vAlign w:val="bottom"/>
            <w:hideMark/>
          </w:tcPr>
          <w:p w14:paraId="1BEAA130"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Revenue</w:t>
            </w:r>
          </w:p>
        </w:tc>
        <w:tc>
          <w:tcPr>
            <w:tcW w:w="723" w:type="pct"/>
            <w:tcBorders>
              <w:top w:val="nil"/>
              <w:left w:val="nil"/>
              <w:bottom w:val="single" w:sz="4" w:space="0" w:color="auto"/>
              <w:right w:val="single" w:sz="4" w:space="0" w:color="auto"/>
            </w:tcBorders>
            <w:noWrap/>
            <w:vAlign w:val="bottom"/>
            <w:hideMark/>
          </w:tcPr>
          <w:p w14:paraId="13367B78"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430,000</w:t>
            </w:r>
          </w:p>
        </w:tc>
        <w:tc>
          <w:tcPr>
            <w:tcW w:w="897" w:type="pct"/>
            <w:tcBorders>
              <w:top w:val="nil"/>
              <w:left w:val="nil"/>
              <w:bottom w:val="single" w:sz="4" w:space="0" w:color="auto"/>
              <w:right w:val="single" w:sz="4" w:space="0" w:color="auto"/>
            </w:tcBorders>
            <w:noWrap/>
            <w:vAlign w:val="bottom"/>
            <w:hideMark/>
          </w:tcPr>
          <w:p w14:paraId="2C2B5395"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559,000</w:t>
            </w:r>
          </w:p>
        </w:tc>
        <w:tc>
          <w:tcPr>
            <w:tcW w:w="810" w:type="pct"/>
            <w:tcBorders>
              <w:top w:val="nil"/>
              <w:left w:val="nil"/>
              <w:bottom w:val="single" w:sz="4" w:space="0" w:color="auto"/>
              <w:right w:val="single" w:sz="4" w:space="0" w:color="auto"/>
            </w:tcBorders>
            <w:noWrap/>
            <w:vAlign w:val="bottom"/>
            <w:hideMark/>
          </w:tcPr>
          <w:p w14:paraId="15323C52"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726,700</w:t>
            </w:r>
          </w:p>
        </w:tc>
        <w:tc>
          <w:tcPr>
            <w:tcW w:w="898" w:type="pct"/>
            <w:tcBorders>
              <w:top w:val="nil"/>
              <w:left w:val="nil"/>
              <w:bottom w:val="single" w:sz="4" w:space="0" w:color="auto"/>
              <w:right w:val="single" w:sz="4" w:space="0" w:color="auto"/>
            </w:tcBorders>
            <w:noWrap/>
            <w:vAlign w:val="bottom"/>
            <w:hideMark/>
          </w:tcPr>
          <w:p w14:paraId="4340CA50"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944,710</w:t>
            </w:r>
          </w:p>
        </w:tc>
      </w:tr>
      <w:tr w:rsidR="00ED594F" w14:paraId="03D0C151" w14:textId="77777777" w:rsidTr="00ED594F">
        <w:trPr>
          <w:trHeight w:val="310"/>
        </w:trPr>
        <w:tc>
          <w:tcPr>
            <w:tcW w:w="1672" w:type="pct"/>
            <w:tcBorders>
              <w:top w:val="nil"/>
              <w:left w:val="single" w:sz="4" w:space="0" w:color="auto"/>
              <w:bottom w:val="single" w:sz="4" w:space="0" w:color="auto"/>
              <w:right w:val="single" w:sz="4" w:space="0" w:color="auto"/>
            </w:tcBorders>
            <w:noWrap/>
            <w:vAlign w:val="bottom"/>
            <w:hideMark/>
          </w:tcPr>
          <w:p w14:paraId="7DDF91BB"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Operating Expenses</w:t>
            </w:r>
          </w:p>
        </w:tc>
        <w:tc>
          <w:tcPr>
            <w:tcW w:w="723" w:type="pct"/>
            <w:tcBorders>
              <w:top w:val="nil"/>
              <w:left w:val="nil"/>
              <w:bottom w:val="single" w:sz="4" w:space="0" w:color="auto"/>
              <w:right w:val="single" w:sz="4" w:space="0" w:color="auto"/>
            </w:tcBorders>
            <w:noWrap/>
            <w:vAlign w:val="bottom"/>
            <w:hideMark/>
          </w:tcPr>
          <w:p w14:paraId="04E6ACC5"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483,750</w:t>
            </w:r>
          </w:p>
        </w:tc>
        <w:tc>
          <w:tcPr>
            <w:tcW w:w="897" w:type="pct"/>
            <w:tcBorders>
              <w:top w:val="nil"/>
              <w:left w:val="nil"/>
              <w:bottom w:val="single" w:sz="4" w:space="0" w:color="auto"/>
              <w:right w:val="single" w:sz="4" w:space="0" w:color="auto"/>
            </w:tcBorders>
            <w:noWrap/>
            <w:vAlign w:val="bottom"/>
            <w:hideMark/>
          </w:tcPr>
          <w:p w14:paraId="207EC288"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520031.25</w:t>
            </w:r>
          </w:p>
        </w:tc>
        <w:tc>
          <w:tcPr>
            <w:tcW w:w="810" w:type="pct"/>
            <w:tcBorders>
              <w:top w:val="nil"/>
              <w:left w:val="nil"/>
              <w:bottom w:val="single" w:sz="4" w:space="0" w:color="auto"/>
              <w:right w:val="single" w:sz="4" w:space="0" w:color="auto"/>
            </w:tcBorders>
            <w:noWrap/>
            <w:vAlign w:val="bottom"/>
            <w:hideMark/>
          </w:tcPr>
          <w:p w14:paraId="39F9A164"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559033.6</w:t>
            </w:r>
          </w:p>
        </w:tc>
        <w:tc>
          <w:tcPr>
            <w:tcW w:w="898" w:type="pct"/>
            <w:tcBorders>
              <w:top w:val="nil"/>
              <w:left w:val="nil"/>
              <w:bottom w:val="single" w:sz="4" w:space="0" w:color="auto"/>
              <w:right w:val="single" w:sz="4" w:space="0" w:color="auto"/>
            </w:tcBorders>
            <w:noWrap/>
            <w:vAlign w:val="bottom"/>
            <w:hideMark/>
          </w:tcPr>
          <w:p w14:paraId="38B145D5"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600961.11</w:t>
            </w:r>
          </w:p>
        </w:tc>
      </w:tr>
      <w:tr w:rsidR="00ED594F" w14:paraId="0758A908" w14:textId="77777777" w:rsidTr="00ED594F">
        <w:trPr>
          <w:trHeight w:val="310"/>
        </w:trPr>
        <w:tc>
          <w:tcPr>
            <w:tcW w:w="1672" w:type="pct"/>
            <w:tcBorders>
              <w:top w:val="nil"/>
              <w:left w:val="single" w:sz="4" w:space="0" w:color="auto"/>
              <w:bottom w:val="single" w:sz="4" w:space="0" w:color="auto"/>
              <w:right w:val="single" w:sz="4" w:space="0" w:color="auto"/>
            </w:tcBorders>
            <w:noWrap/>
            <w:vAlign w:val="bottom"/>
            <w:hideMark/>
          </w:tcPr>
          <w:p w14:paraId="7A94F818"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Gross Profit</w:t>
            </w:r>
          </w:p>
        </w:tc>
        <w:tc>
          <w:tcPr>
            <w:tcW w:w="723" w:type="pct"/>
            <w:tcBorders>
              <w:top w:val="nil"/>
              <w:left w:val="nil"/>
              <w:bottom w:val="single" w:sz="4" w:space="0" w:color="auto"/>
              <w:right w:val="single" w:sz="4" w:space="0" w:color="auto"/>
            </w:tcBorders>
            <w:noWrap/>
            <w:vAlign w:val="bottom"/>
            <w:hideMark/>
          </w:tcPr>
          <w:p w14:paraId="3FFEAF59"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110,400</w:t>
            </w:r>
          </w:p>
        </w:tc>
        <w:tc>
          <w:tcPr>
            <w:tcW w:w="897" w:type="pct"/>
            <w:tcBorders>
              <w:top w:val="nil"/>
              <w:left w:val="nil"/>
              <w:bottom w:val="single" w:sz="4" w:space="0" w:color="auto"/>
              <w:right w:val="single" w:sz="4" w:space="0" w:color="auto"/>
            </w:tcBorders>
            <w:noWrap/>
            <w:vAlign w:val="bottom"/>
            <w:hideMark/>
          </w:tcPr>
          <w:p w14:paraId="2899C246"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152352</w:t>
            </w:r>
          </w:p>
        </w:tc>
        <w:tc>
          <w:tcPr>
            <w:tcW w:w="810" w:type="pct"/>
            <w:tcBorders>
              <w:top w:val="nil"/>
              <w:left w:val="nil"/>
              <w:bottom w:val="single" w:sz="4" w:space="0" w:color="auto"/>
              <w:right w:val="single" w:sz="4" w:space="0" w:color="auto"/>
            </w:tcBorders>
            <w:noWrap/>
            <w:vAlign w:val="bottom"/>
            <w:hideMark/>
          </w:tcPr>
          <w:p w14:paraId="2DBEC236"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210245.8</w:t>
            </w:r>
          </w:p>
        </w:tc>
        <w:tc>
          <w:tcPr>
            <w:tcW w:w="898" w:type="pct"/>
            <w:tcBorders>
              <w:top w:val="nil"/>
              <w:left w:val="nil"/>
              <w:bottom w:val="single" w:sz="4" w:space="0" w:color="auto"/>
              <w:right w:val="single" w:sz="4" w:space="0" w:color="auto"/>
            </w:tcBorders>
            <w:noWrap/>
            <w:vAlign w:val="bottom"/>
            <w:hideMark/>
          </w:tcPr>
          <w:p w14:paraId="0A2D4FBD"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290139.15</w:t>
            </w:r>
          </w:p>
        </w:tc>
      </w:tr>
      <w:tr w:rsidR="00ED594F" w14:paraId="3543CBDD" w14:textId="77777777" w:rsidTr="00ED594F">
        <w:trPr>
          <w:trHeight w:val="310"/>
        </w:trPr>
        <w:tc>
          <w:tcPr>
            <w:tcW w:w="1672" w:type="pct"/>
            <w:tcBorders>
              <w:top w:val="nil"/>
              <w:left w:val="single" w:sz="4" w:space="0" w:color="auto"/>
              <w:bottom w:val="single" w:sz="4" w:space="0" w:color="auto"/>
              <w:right w:val="single" w:sz="4" w:space="0" w:color="auto"/>
            </w:tcBorders>
            <w:noWrap/>
            <w:vAlign w:val="bottom"/>
            <w:hideMark/>
          </w:tcPr>
          <w:p w14:paraId="6F594130"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Profit</w:t>
            </w:r>
          </w:p>
        </w:tc>
        <w:tc>
          <w:tcPr>
            <w:tcW w:w="723" w:type="pct"/>
            <w:tcBorders>
              <w:top w:val="nil"/>
              <w:left w:val="nil"/>
              <w:bottom w:val="single" w:sz="4" w:space="0" w:color="auto"/>
              <w:right w:val="single" w:sz="4" w:space="0" w:color="auto"/>
            </w:tcBorders>
            <w:noWrap/>
            <w:vAlign w:val="bottom"/>
            <w:hideMark/>
          </w:tcPr>
          <w:p w14:paraId="4E26D1DC"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18,200</w:t>
            </w:r>
          </w:p>
        </w:tc>
        <w:tc>
          <w:tcPr>
            <w:tcW w:w="897" w:type="pct"/>
            <w:tcBorders>
              <w:top w:val="nil"/>
              <w:left w:val="nil"/>
              <w:bottom w:val="single" w:sz="4" w:space="0" w:color="auto"/>
              <w:right w:val="single" w:sz="4" w:space="0" w:color="auto"/>
            </w:tcBorders>
            <w:noWrap/>
            <w:vAlign w:val="bottom"/>
            <w:hideMark/>
          </w:tcPr>
          <w:p w14:paraId="424DD5D7"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18,928</w:t>
            </w:r>
          </w:p>
        </w:tc>
        <w:tc>
          <w:tcPr>
            <w:tcW w:w="810" w:type="pct"/>
            <w:tcBorders>
              <w:top w:val="nil"/>
              <w:left w:val="nil"/>
              <w:bottom w:val="single" w:sz="4" w:space="0" w:color="auto"/>
              <w:right w:val="single" w:sz="4" w:space="0" w:color="auto"/>
            </w:tcBorders>
            <w:noWrap/>
            <w:vAlign w:val="bottom"/>
            <w:hideMark/>
          </w:tcPr>
          <w:p w14:paraId="3F1168AE"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19,685</w:t>
            </w:r>
          </w:p>
        </w:tc>
        <w:tc>
          <w:tcPr>
            <w:tcW w:w="898" w:type="pct"/>
            <w:tcBorders>
              <w:top w:val="nil"/>
              <w:left w:val="nil"/>
              <w:bottom w:val="single" w:sz="4" w:space="0" w:color="auto"/>
              <w:right w:val="single" w:sz="4" w:space="0" w:color="auto"/>
            </w:tcBorders>
            <w:noWrap/>
            <w:vAlign w:val="bottom"/>
            <w:hideMark/>
          </w:tcPr>
          <w:p w14:paraId="19E9B14E"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20,473</w:t>
            </w:r>
          </w:p>
        </w:tc>
      </w:tr>
      <w:tr w:rsidR="00ED594F" w14:paraId="0B6B4452" w14:textId="77777777" w:rsidTr="00ED594F">
        <w:trPr>
          <w:trHeight w:val="310"/>
        </w:trPr>
        <w:tc>
          <w:tcPr>
            <w:tcW w:w="1672" w:type="pct"/>
            <w:tcBorders>
              <w:top w:val="nil"/>
              <w:left w:val="single" w:sz="4" w:space="0" w:color="auto"/>
              <w:bottom w:val="single" w:sz="4" w:space="0" w:color="auto"/>
              <w:right w:val="single" w:sz="4" w:space="0" w:color="auto"/>
            </w:tcBorders>
            <w:noWrap/>
            <w:vAlign w:val="bottom"/>
            <w:hideMark/>
          </w:tcPr>
          <w:p w14:paraId="04F09E8D"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Profit Margin</w:t>
            </w:r>
          </w:p>
        </w:tc>
        <w:tc>
          <w:tcPr>
            <w:tcW w:w="723" w:type="pct"/>
            <w:tcBorders>
              <w:top w:val="nil"/>
              <w:left w:val="nil"/>
              <w:bottom w:val="single" w:sz="4" w:space="0" w:color="auto"/>
              <w:right w:val="single" w:sz="4" w:space="0" w:color="auto"/>
            </w:tcBorders>
            <w:noWrap/>
            <w:vAlign w:val="bottom"/>
            <w:hideMark/>
          </w:tcPr>
          <w:p w14:paraId="1DFF42B8"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w:t>
            </w:r>
          </w:p>
        </w:tc>
        <w:tc>
          <w:tcPr>
            <w:tcW w:w="897" w:type="pct"/>
            <w:tcBorders>
              <w:top w:val="nil"/>
              <w:left w:val="nil"/>
              <w:bottom w:val="single" w:sz="4" w:space="0" w:color="auto"/>
              <w:right w:val="single" w:sz="4" w:space="0" w:color="auto"/>
            </w:tcBorders>
            <w:noWrap/>
            <w:vAlign w:val="bottom"/>
            <w:hideMark/>
          </w:tcPr>
          <w:p w14:paraId="64AF48DC"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8%</w:t>
            </w:r>
          </w:p>
        </w:tc>
        <w:tc>
          <w:tcPr>
            <w:tcW w:w="810" w:type="pct"/>
            <w:tcBorders>
              <w:top w:val="nil"/>
              <w:left w:val="nil"/>
              <w:bottom w:val="single" w:sz="4" w:space="0" w:color="auto"/>
              <w:right w:val="single" w:sz="4" w:space="0" w:color="auto"/>
            </w:tcBorders>
            <w:noWrap/>
            <w:vAlign w:val="bottom"/>
            <w:hideMark/>
          </w:tcPr>
          <w:p w14:paraId="338B0CB8"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12%</w:t>
            </w:r>
          </w:p>
        </w:tc>
        <w:tc>
          <w:tcPr>
            <w:tcW w:w="898" w:type="pct"/>
            <w:tcBorders>
              <w:top w:val="nil"/>
              <w:left w:val="nil"/>
              <w:bottom w:val="single" w:sz="4" w:space="0" w:color="auto"/>
              <w:right w:val="single" w:sz="4" w:space="0" w:color="auto"/>
            </w:tcBorders>
            <w:noWrap/>
            <w:vAlign w:val="bottom"/>
            <w:hideMark/>
          </w:tcPr>
          <w:p w14:paraId="7873BECA" w14:textId="77777777" w:rsidR="00ED594F" w:rsidRDefault="00ED594F">
            <w:pPr>
              <w:keepNext/>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16%</w:t>
            </w:r>
          </w:p>
        </w:tc>
      </w:tr>
    </w:tbl>
    <w:p w14:paraId="2D28B7DC" w14:textId="77777777" w:rsidR="00ED594F" w:rsidRDefault="00ED594F" w:rsidP="00ED594F">
      <w:pPr>
        <w:rPr>
          <w:rFonts w:ascii="Times New Roman" w:hAnsi="Times New Roman" w:cs="Times New Roman"/>
          <w:sz w:val="24"/>
          <w:szCs w:val="24"/>
        </w:rPr>
      </w:pPr>
    </w:p>
    <w:p w14:paraId="0E2243FF" w14:textId="77777777" w:rsidR="00ED594F" w:rsidRDefault="00ED594F" w:rsidP="00ED594F">
      <w:pPr>
        <w:rPr>
          <w:rFonts w:ascii="Times New Roman" w:eastAsiaTheme="majorEastAsia" w:hAnsi="Times New Roman" w:cstheme="majorBidi"/>
          <w:b/>
          <w:sz w:val="26"/>
          <w:szCs w:val="26"/>
          <w:u w:val="single"/>
        </w:rPr>
      </w:pPr>
      <w:r>
        <w:rPr>
          <w:kern w:val="0"/>
          <w14:ligatures w14:val="none"/>
        </w:rPr>
        <w:br w:type="page"/>
      </w:r>
    </w:p>
    <w:p w14:paraId="539755A4" w14:textId="77777777" w:rsidR="00ED594F" w:rsidRPr="00ED594F" w:rsidRDefault="00ED594F" w:rsidP="00ED594F">
      <w:pPr>
        <w:pStyle w:val="Heading2"/>
        <w:rPr>
          <w:rFonts w:ascii="Times New Roman" w:hAnsi="Times New Roman"/>
          <w:b/>
          <w:color w:val="auto"/>
          <w:sz w:val="26"/>
          <w:szCs w:val="26"/>
          <w:u w:val="single"/>
        </w:rPr>
      </w:pPr>
      <w:bookmarkStart w:id="20" w:name="_Toc156410616"/>
      <w:r w:rsidRPr="00ED594F">
        <w:rPr>
          <w:color w:val="auto"/>
        </w:rPr>
        <w:lastRenderedPageBreak/>
        <w:t>Appendix 7</w:t>
      </w:r>
      <w:bookmarkEnd w:id="20"/>
    </w:p>
    <w:tbl>
      <w:tblPr>
        <w:tblW w:w="5000" w:type="pct"/>
        <w:tblLook w:val="04A0" w:firstRow="1" w:lastRow="0" w:firstColumn="1" w:lastColumn="0" w:noHBand="0" w:noVBand="1"/>
      </w:tblPr>
      <w:tblGrid>
        <w:gridCol w:w="2808"/>
        <w:gridCol w:w="1553"/>
        <w:gridCol w:w="1553"/>
        <w:gridCol w:w="1553"/>
        <w:gridCol w:w="1549"/>
      </w:tblGrid>
      <w:tr w:rsidR="00ED594F" w14:paraId="4FA96BAF" w14:textId="77777777" w:rsidTr="00ED594F">
        <w:trPr>
          <w:trHeight w:val="310"/>
        </w:trPr>
        <w:tc>
          <w:tcPr>
            <w:tcW w:w="5000" w:type="pct"/>
            <w:gridSpan w:val="5"/>
            <w:tcBorders>
              <w:top w:val="single" w:sz="4" w:space="0" w:color="auto"/>
              <w:left w:val="single" w:sz="4" w:space="0" w:color="auto"/>
              <w:bottom w:val="single" w:sz="4" w:space="0" w:color="auto"/>
              <w:right w:val="single" w:sz="4" w:space="0" w:color="000000"/>
            </w:tcBorders>
            <w:noWrap/>
            <w:vAlign w:val="bottom"/>
            <w:hideMark/>
          </w:tcPr>
          <w:p w14:paraId="6FBD63C5" w14:textId="77777777" w:rsidR="00ED594F" w:rsidRDefault="00ED594F">
            <w:pPr>
              <w:spacing w:after="0"/>
              <w:jc w:val="cente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Balance Sheet (2023-2026)</w:t>
            </w:r>
          </w:p>
        </w:tc>
      </w:tr>
      <w:tr w:rsidR="00ED594F" w14:paraId="2104672D" w14:textId="77777777" w:rsidTr="00ED594F">
        <w:trPr>
          <w:trHeight w:val="310"/>
        </w:trPr>
        <w:tc>
          <w:tcPr>
            <w:tcW w:w="1558" w:type="pct"/>
            <w:tcBorders>
              <w:top w:val="nil"/>
              <w:left w:val="single" w:sz="4" w:space="0" w:color="auto"/>
              <w:bottom w:val="single" w:sz="4" w:space="0" w:color="auto"/>
              <w:right w:val="single" w:sz="4" w:space="0" w:color="auto"/>
            </w:tcBorders>
            <w:noWrap/>
            <w:vAlign w:val="bottom"/>
            <w:hideMark/>
          </w:tcPr>
          <w:p w14:paraId="319500CD"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Item</w:t>
            </w:r>
          </w:p>
        </w:tc>
        <w:tc>
          <w:tcPr>
            <w:tcW w:w="861" w:type="pct"/>
            <w:tcBorders>
              <w:top w:val="nil"/>
              <w:left w:val="nil"/>
              <w:bottom w:val="single" w:sz="4" w:space="0" w:color="auto"/>
              <w:right w:val="single" w:sz="4" w:space="0" w:color="auto"/>
            </w:tcBorders>
            <w:noWrap/>
            <w:vAlign w:val="bottom"/>
            <w:hideMark/>
          </w:tcPr>
          <w:p w14:paraId="3C4C855A"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2023</w:t>
            </w:r>
          </w:p>
        </w:tc>
        <w:tc>
          <w:tcPr>
            <w:tcW w:w="861" w:type="pct"/>
            <w:tcBorders>
              <w:top w:val="nil"/>
              <w:left w:val="nil"/>
              <w:bottom w:val="single" w:sz="4" w:space="0" w:color="auto"/>
              <w:right w:val="nil"/>
            </w:tcBorders>
            <w:noWrap/>
            <w:vAlign w:val="bottom"/>
            <w:hideMark/>
          </w:tcPr>
          <w:p w14:paraId="5EA48F1B"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2024</w:t>
            </w:r>
          </w:p>
        </w:tc>
        <w:tc>
          <w:tcPr>
            <w:tcW w:w="861" w:type="pct"/>
            <w:tcBorders>
              <w:top w:val="nil"/>
              <w:left w:val="single" w:sz="4" w:space="0" w:color="auto"/>
              <w:bottom w:val="single" w:sz="4" w:space="0" w:color="auto"/>
              <w:right w:val="single" w:sz="4" w:space="0" w:color="auto"/>
            </w:tcBorders>
            <w:noWrap/>
            <w:vAlign w:val="bottom"/>
            <w:hideMark/>
          </w:tcPr>
          <w:p w14:paraId="6A12EE99"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2025</w:t>
            </w:r>
          </w:p>
        </w:tc>
        <w:tc>
          <w:tcPr>
            <w:tcW w:w="861" w:type="pct"/>
            <w:tcBorders>
              <w:top w:val="nil"/>
              <w:left w:val="nil"/>
              <w:bottom w:val="nil"/>
              <w:right w:val="single" w:sz="4" w:space="0" w:color="auto"/>
            </w:tcBorders>
            <w:noWrap/>
            <w:vAlign w:val="bottom"/>
            <w:hideMark/>
          </w:tcPr>
          <w:p w14:paraId="73586415"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2026</w:t>
            </w:r>
          </w:p>
        </w:tc>
      </w:tr>
      <w:tr w:rsidR="00ED594F" w14:paraId="69869D66" w14:textId="77777777" w:rsidTr="00ED594F">
        <w:trPr>
          <w:trHeight w:val="310"/>
        </w:trPr>
        <w:tc>
          <w:tcPr>
            <w:tcW w:w="1558" w:type="pct"/>
            <w:tcBorders>
              <w:top w:val="nil"/>
              <w:left w:val="single" w:sz="4" w:space="0" w:color="auto"/>
              <w:bottom w:val="single" w:sz="4" w:space="0" w:color="auto"/>
              <w:right w:val="single" w:sz="4" w:space="0" w:color="auto"/>
            </w:tcBorders>
            <w:noWrap/>
            <w:vAlign w:val="bottom"/>
            <w:hideMark/>
          </w:tcPr>
          <w:p w14:paraId="40F6F267"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Assets</w:t>
            </w:r>
          </w:p>
        </w:tc>
        <w:tc>
          <w:tcPr>
            <w:tcW w:w="861" w:type="pct"/>
            <w:tcBorders>
              <w:top w:val="nil"/>
              <w:left w:val="nil"/>
              <w:bottom w:val="single" w:sz="4" w:space="0" w:color="auto"/>
              <w:right w:val="single" w:sz="4" w:space="0" w:color="auto"/>
            </w:tcBorders>
            <w:noWrap/>
            <w:vAlign w:val="bottom"/>
            <w:hideMark/>
          </w:tcPr>
          <w:p w14:paraId="5CBE3714"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1,320,000</w:t>
            </w:r>
          </w:p>
        </w:tc>
        <w:tc>
          <w:tcPr>
            <w:tcW w:w="861" w:type="pct"/>
            <w:tcBorders>
              <w:top w:val="nil"/>
              <w:left w:val="nil"/>
              <w:bottom w:val="single" w:sz="4" w:space="0" w:color="auto"/>
              <w:right w:val="nil"/>
            </w:tcBorders>
            <w:noWrap/>
            <w:vAlign w:val="bottom"/>
            <w:hideMark/>
          </w:tcPr>
          <w:p w14:paraId="0853D60E"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1,452,000</w:t>
            </w:r>
          </w:p>
        </w:tc>
        <w:tc>
          <w:tcPr>
            <w:tcW w:w="861" w:type="pct"/>
            <w:tcBorders>
              <w:top w:val="nil"/>
              <w:left w:val="single" w:sz="4" w:space="0" w:color="auto"/>
              <w:bottom w:val="single" w:sz="4" w:space="0" w:color="auto"/>
              <w:right w:val="nil"/>
            </w:tcBorders>
            <w:noWrap/>
            <w:vAlign w:val="bottom"/>
            <w:hideMark/>
          </w:tcPr>
          <w:p w14:paraId="13479E1F"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1,597,200</w:t>
            </w:r>
          </w:p>
        </w:tc>
        <w:tc>
          <w:tcPr>
            <w:tcW w:w="861" w:type="pct"/>
            <w:tcBorders>
              <w:top w:val="single" w:sz="4" w:space="0" w:color="auto"/>
              <w:left w:val="single" w:sz="4" w:space="0" w:color="auto"/>
              <w:bottom w:val="single" w:sz="4" w:space="0" w:color="auto"/>
              <w:right w:val="nil"/>
            </w:tcBorders>
            <w:noWrap/>
            <w:vAlign w:val="bottom"/>
            <w:hideMark/>
          </w:tcPr>
          <w:p w14:paraId="3D89C63B"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1,756,920</w:t>
            </w:r>
          </w:p>
        </w:tc>
      </w:tr>
      <w:tr w:rsidR="00ED594F" w14:paraId="612B2A84" w14:textId="77777777" w:rsidTr="00ED594F">
        <w:trPr>
          <w:trHeight w:val="310"/>
        </w:trPr>
        <w:tc>
          <w:tcPr>
            <w:tcW w:w="1558" w:type="pct"/>
            <w:tcBorders>
              <w:top w:val="nil"/>
              <w:left w:val="single" w:sz="4" w:space="0" w:color="auto"/>
              <w:bottom w:val="single" w:sz="4" w:space="0" w:color="auto"/>
              <w:right w:val="single" w:sz="4" w:space="0" w:color="auto"/>
            </w:tcBorders>
            <w:noWrap/>
            <w:vAlign w:val="bottom"/>
            <w:hideMark/>
          </w:tcPr>
          <w:p w14:paraId="6C513555"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Assets</w:t>
            </w:r>
          </w:p>
        </w:tc>
        <w:tc>
          <w:tcPr>
            <w:tcW w:w="861" w:type="pct"/>
            <w:tcBorders>
              <w:top w:val="nil"/>
              <w:left w:val="nil"/>
              <w:bottom w:val="single" w:sz="4" w:space="0" w:color="auto"/>
              <w:right w:val="single" w:sz="4" w:space="0" w:color="auto"/>
            </w:tcBorders>
            <w:noWrap/>
            <w:vAlign w:val="bottom"/>
            <w:hideMark/>
          </w:tcPr>
          <w:p w14:paraId="0277F193"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275,000</w:t>
            </w:r>
          </w:p>
        </w:tc>
        <w:tc>
          <w:tcPr>
            <w:tcW w:w="861" w:type="pct"/>
            <w:tcBorders>
              <w:top w:val="nil"/>
              <w:left w:val="nil"/>
              <w:bottom w:val="single" w:sz="4" w:space="0" w:color="auto"/>
              <w:right w:val="nil"/>
            </w:tcBorders>
            <w:noWrap/>
            <w:vAlign w:val="bottom"/>
            <w:hideMark/>
          </w:tcPr>
          <w:p w14:paraId="4E7B32E6"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302,500</w:t>
            </w:r>
          </w:p>
        </w:tc>
        <w:tc>
          <w:tcPr>
            <w:tcW w:w="861" w:type="pct"/>
            <w:tcBorders>
              <w:top w:val="nil"/>
              <w:left w:val="single" w:sz="4" w:space="0" w:color="auto"/>
              <w:bottom w:val="single" w:sz="4" w:space="0" w:color="auto"/>
              <w:right w:val="nil"/>
            </w:tcBorders>
            <w:noWrap/>
            <w:vAlign w:val="bottom"/>
            <w:hideMark/>
          </w:tcPr>
          <w:p w14:paraId="675C789F"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332,750</w:t>
            </w:r>
          </w:p>
        </w:tc>
        <w:tc>
          <w:tcPr>
            <w:tcW w:w="861" w:type="pct"/>
            <w:tcBorders>
              <w:top w:val="nil"/>
              <w:left w:val="single" w:sz="4" w:space="0" w:color="auto"/>
              <w:bottom w:val="single" w:sz="4" w:space="0" w:color="auto"/>
              <w:right w:val="nil"/>
            </w:tcBorders>
            <w:noWrap/>
            <w:vAlign w:val="bottom"/>
            <w:hideMark/>
          </w:tcPr>
          <w:p w14:paraId="618C5F26"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366,025</w:t>
            </w:r>
          </w:p>
        </w:tc>
      </w:tr>
      <w:tr w:rsidR="00ED594F" w14:paraId="16D09FB1" w14:textId="77777777" w:rsidTr="00ED594F">
        <w:trPr>
          <w:trHeight w:val="310"/>
        </w:trPr>
        <w:tc>
          <w:tcPr>
            <w:tcW w:w="1558" w:type="pct"/>
            <w:tcBorders>
              <w:top w:val="nil"/>
              <w:left w:val="single" w:sz="4" w:space="0" w:color="auto"/>
              <w:bottom w:val="single" w:sz="4" w:space="0" w:color="auto"/>
              <w:right w:val="single" w:sz="4" w:space="0" w:color="auto"/>
            </w:tcBorders>
            <w:noWrap/>
            <w:vAlign w:val="bottom"/>
            <w:hideMark/>
          </w:tcPr>
          <w:p w14:paraId="500AF181"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Property &amp; Equip.</w:t>
            </w:r>
          </w:p>
        </w:tc>
        <w:tc>
          <w:tcPr>
            <w:tcW w:w="861" w:type="pct"/>
            <w:tcBorders>
              <w:top w:val="nil"/>
              <w:left w:val="nil"/>
              <w:bottom w:val="single" w:sz="4" w:space="0" w:color="auto"/>
              <w:right w:val="single" w:sz="4" w:space="0" w:color="auto"/>
            </w:tcBorders>
            <w:noWrap/>
            <w:vAlign w:val="bottom"/>
            <w:hideMark/>
          </w:tcPr>
          <w:p w14:paraId="4EDFBCC0"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880,000</w:t>
            </w:r>
          </w:p>
        </w:tc>
        <w:tc>
          <w:tcPr>
            <w:tcW w:w="861" w:type="pct"/>
            <w:tcBorders>
              <w:top w:val="nil"/>
              <w:left w:val="nil"/>
              <w:bottom w:val="single" w:sz="4" w:space="0" w:color="auto"/>
              <w:right w:val="nil"/>
            </w:tcBorders>
            <w:noWrap/>
            <w:vAlign w:val="bottom"/>
            <w:hideMark/>
          </w:tcPr>
          <w:p w14:paraId="7858F840"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968,000</w:t>
            </w:r>
          </w:p>
        </w:tc>
        <w:tc>
          <w:tcPr>
            <w:tcW w:w="861" w:type="pct"/>
            <w:tcBorders>
              <w:top w:val="nil"/>
              <w:left w:val="single" w:sz="4" w:space="0" w:color="auto"/>
              <w:bottom w:val="single" w:sz="4" w:space="0" w:color="auto"/>
              <w:right w:val="nil"/>
            </w:tcBorders>
            <w:noWrap/>
            <w:vAlign w:val="bottom"/>
            <w:hideMark/>
          </w:tcPr>
          <w:p w14:paraId="08389BAD"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1,064,800</w:t>
            </w:r>
          </w:p>
        </w:tc>
        <w:tc>
          <w:tcPr>
            <w:tcW w:w="861" w:type="pct"/>
            <w:tcBorders>
              <w:top w:val="nil"/>
              <w:left w:val="single" w:sz="4" w:space="0" w:color="auto"/>
              <w:bottom w:val="single" w:sz="4" w:space="0" w:color="auto"/>
              <w:right w:val="nil"/>
            </w:tcBorders>
            <w:noWrap/>
            <w:vAlign w:val="bottom"/>
            <w:hideMark/>
          </w:tcPr>
          <w:p w14:paraId="7EB8E907"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1,171,280</w:t>
            </w:r>
          </w:p>
        </w:tc>
      </w:tr>
      <w:tr w:rsidR="00ED594F" w14:paraId="351E347D" w14:textId="77777777" w:rsidTr="00ED594F">
        <w:trPr>
          <w:trHeight w:val="310"/>
        </w:trPr>
        <w:tc>
          <w:tcPr>
            <w:tcW w:w="1558" w:type="pct"/>
            <w:tcBorders>
              <w:top w:val="nil"/>
              <w:left w:val="single" w:sz="4" w:space="0" w:color="auto"/>
              <w:bottom w:val="single" w:sz="4" w:space="0" w:color="auto"/>
              <w:right w:val="single" w:sz="4" w:space="0" w:color="auto"/>
            </w:tcBorders>
            <w:noWrap/>
            <w:vAlign w:val="bottom"/>
            <w:hideMark/>
          </w:tcPr>
          <w:p w14:paraId="5C8AFD60"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Other Assets</w:t>
            </w:r>
          </w:p>
        </w:tc>
        <w:tc>
          <w:tcPr>
            <w:tcW w:w="861" w:type="pct"/>
            <w:tcBorders>
              <w:top w:val="nil"/>
              <w:left w:val="nil"/>
              <w:bottom w:val="single" w:sz="4" w:space="0" w:color="auto"/>
              <w:right w:val="single" w:sz="4" w:space="0" w:color="auto"/>
            </w:tcBorders>
            <w:noWrap/>
            <w:vAlign w:val="bottom"/>
            <w:hideMark/>
          </w:tcPr>
          <w:p w14:paraId="5B272EEE"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165,000</w:t>
            </w:r>
          </w:p>
        </w:tc>
        <w:tc>
          <w:tcPr>
            <w:tcW w:w="861" w:type="pct"/>
            <w:tcBorders>
              <w:top w:val="nil"/>
              <w:left w:val="nil"/>
              <w:bottom w:val="single" w:sz="4" w:space="0" w:color="auto"/>
              <w:right w:val="nil"/>
            </w:tcBorders>
            <w:noWrap/>
            <w:vAlign w:val="bottom"/>
            <w:hideMark/>
          </w:tcPr>
          <w:p w14:paraId="09403F40"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181,500</w:t>
            </w:r>
          </w:p>
        </w:tc>
        <w:tc>
          <w:tcPr>
            <w:tcW w:w="861" w:type="pct"/>
            <w:tcBorders>
              <w:top w:val="nil"/>
              <w:left w:val="single" w:sz="4" w:space="0" w:color="auto"/>
              <w:bottom w:val="single" w:sz="4" w:space="0" w:color="auto"/>
              <w:right w:val="nil"/>
            </w:tcBorders>
            <w:noWrap/>
            <w:vAlign w:val="bottom"/>
            <w:hideMark/>
          </w:tcPr>
          <w:p w14:paraId="00C7251D"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199,650</w:t>
            </w:r>
          </w:p>
        </w:tc>
        <w:tc>
          <w:tcPr>
            <w:tcW w:w="861" w:type="pct"/>
            <w:tcBorders>
              <w:top w:val="nil"/>
              <w:left w:val="single" w:sz="4" w:space="0" w:color="auto"/>
              <w:bottom w:val="single" w:sz="4" w:space="0" w:color="auto"/>
              <w:right w:val="nil"/>
            </w:tcBorders>
            <w:noWrap/>
            <w:vAlign w:val="bottom"/>
            <w:hideMark/>
          </w:tcPr>
          <w:p w14:paraId="72E7791D"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219,615</w:t>
            </w:r>
          </w:p>
        </w:tc>
      </w:tr>
      <w:tr w:rsidR="00ED594F" w14:paraId="6F9FC500" w14:textId="77777777" w:rsidTr="00ED594F">
        <w:trPr>
          <w:trHeight w:val="310"/>
        </w:trPr>
        <w:tc>
          <w:tcPr>
            <w:tcW w:w="1558" w:type="pct"/>
            <w:tcBorders>
              <w:top w:val="nil"/>
              <w:left w:val="single" w:sz="4" w:space="0" w:color="auto"/>
              <w:bottom w:val="single" w:sz="4" w:space="0" w:color="auto"/>
              <w:right w:val="single" w:sz="4" w:space="0" w:color="auto"/>
            </w:tcBorders>
            <w:noWrap/>
            <w:vAlign w:val="bottom"/>
            <w:hideMark/>
          </w:tcPr>
          <w:p w14:paraId="62D07474"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Liabilities</w:t>
            </w:r>
          </w:p>
        </w:tc>
        <w:tc>
          <w:tcPr>
            <w:tcW w:w="861" w:type="pct"/>
            <w:tcBorders>
              <w:top w:val="nil"/>
              <w:left w:val="nil"/>
              <w:bottom w:val="single" w:sz="4" w:space="0" w:color="auto"/>
              <w:right w:val="single" w:sz="4" w:space="0" w:color="auto"/>
            </w:tcBorders>
            <w:noWrap/>
            <w:vAlign w:val="bottom"/>
            <w:hideMark/>
          </w:tcPr>
          <w:p w14:paraId="72106632"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825,000</w:t>
            </w:r>
          </w:p>
        </w:tc>
        <w:tc>
          <w:tcPr>
            <w:tcW w:w="861" w:type="pct"/>
            <w:tcBorders>
              <w:top w:val="nil"/>
              <w:left w:val="nil"/>
              <w:bottom w:val="single" w:sz="4" w:space="0" w:color="auto"/>
              <w:right w:val="nil"/>
            </w:tcBorders>
            <w:noWrap/>
            <w:vAlign w:val="bottom"/>
            <w:hideMark/>
          </w:tcPr>
          <w:p w14:paraId="7A2D871E"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907,500</w:t>
            </w:r>
          </w:p>
        </w:tc>
        <w:tc>
          <w:tcPr>
            <w:tcW w:w="861" w:type="pct"/>
            <w:tcBorders>
              <w:top w:val="nil"/>
              <w:left w:val="single" w:sz="4" w:space="0" w:color="auto"/>
              <w:bottom w:val="single" w:sz="4" w:space="0" w:color="auto"/>
              <w:right w:val="nil"/>
            </w:tcBorders>
            <w:noWrap/>
            <w:vAlign w:val="bottom"/>
            <w:hideMark/>
          </w:tcPr>
          <w:p w14:paraId="3FA58CF3"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998,250</w:t>
            </w:r>
          </w:p>
        </w:tc>
        <w:tc>
          <w:tcPr>
            <w:tcW w:w="861" w:type="pct"/>
            <w:tcBorders>
              <w:top w:val="nil"/>
              <w:left w:val="single" w:sz="4" w:space="0" w:color="auto"/>
              <w:bottom w:val="single" w:sz="4" w:space="0" w:color="auto"/>
              <w:right w:val="nil"/>
            </w:tcBorders>
            <w:noWrap/>
            <w:vAlign w:val="bottom"/>
            <w:hideMark/>
          </w:tcPr>
          <w:p w14:paraId="4D1D1447"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1,098,075</w:t>
            </w:r>
          </w:p>
        </w:tc>
      </w:tr>
      <w:tr w:rsidR="00ED594F" w14:paraId="16BE032B" w14:textId="77777777" w:rsidTr="00ED594F">
        <w:trPr>
          <w:trHeight w:val="310"/>
        </w:trPr>
        <w:tc>
          <w:tcPr>
            <w:tcW w:w="1558" w:type="pct"/>
            <w:tcBorders>
              <w:top w:val="nil"/>
              <w:left w:val="single" w:sz="4" w:space="0" w:color="auto"/>
              <w:bottom w:val="single" w:sz="4" w:space="0" w:color="auto"/>
              <w:right w:val="single" w:sz="4" w:space="0" w:color="auto"/>
            </w:tcBorders>
            <w:noWrap/>
            <w:vAlign w:val="bottom"/>
            <w:hideMark/>
          </w:tcPr>
          <w:p w14:paraId="5F558FB4"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Liabilities</w:t>
            </w:r>
          </w:p>
        </w:tc>
        <w:tc>
          <w:tcPr>
            <w:tcW w:w="861" w:type="pct"/>
            <w:tcBorders>
              <w:top w:val="nil"/>
              <w:left w:val="nil"/>
              <w:bottom w:val="single" w:sz="4" w:space="0" w:color="auto"/>
              <w:right w:val="single" w:sz="4" w:space="0" w:color="auto"/>
            </w:tcBorders>
            <w:noWrap/>
            <w:vAlign w:val="bottom"/>
            <w:hideMark/>
          </w:tcPr>
          <w:p w14:paraId="7076CC39"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198,000</w:t>
            </w:r>
          </w:p>
        </w:tc>
        <w:tc>
          <w:tcPr>
            <w:tcW w:w="861" w:type="pct"/>
            <w:tcBorders>
              <w:top w:val="nil"/>
              <w:left w:val="nil"/>
              <w:bottom w:val="single" w:sz="4" w:space="0" w:color="auto"/>
              <w:right w:val="nil"/>
            </w:tcBorders>
            <w:noWrap/>
            <w:vAlign w:val="bottom"/>
            <w:hideMark/>
          </w:tcPr>
          <w:p w14:paraId="18858CC3"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217,800</w:t>
            </w:r>
          </w:p>
        </w:tc>
        <w:tc>
          <w:tcPr>
            <w:tcW w:w="861" w:type="pct"/>
            <w:tcBorders>
              <w:top w:val="nil"/>
              <w:left w:val="single" w:sz="4" w:space="0" w:color="auto"/>
              <w:bottom w:val="single" w:sz="4" w:space="0" w:color="auto"/>
              <w:right w:val="nil"/>
            </w:tcBorders>
            <w:noWrap/>
            <w:vAlign w:val="bottom"/>
            <w:hideMark/>
          </w:tcPr>
          <w:p w14:paraId="5675D79A"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239,580</w:t>
            </w:r>
          </w:p>
        </w:tc>
        <w:tc>
          <w:tcPr>
            <w:tcW w:w="861" w:type="pct"/>
            <w:tcBorders>
              <w:top w:val="nil"/>
              <w:left w:val="single" w:sz="4" w:space="0" w:color="auto"/>
              <w:bottom w:val="single" w:sz="4" w:space="0" w:color="auto"/>
              <w:right w:val="nil"/>
            </w:tcBorders>
            <w:noWrap/>
            <w:vAlign w:val="bottom"/>
            <w:hideMark/>
          </w:tcPr>
          <w:p w14:paraId="01DD02B8"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263,538</w:t>
            </w:r>
          </w:p>
        </w:tc>
      </w:tr>
      <w:tr w:rsidR="00ED594F" w14:paraId="7F347C67" w14:textId="77777777" w:rsidTr="00ED594F">
        <w:trPr>
          <w:trHeight w:val="310"/>
        </w:trPr>
        <w:tc>
          <w:tcPr>
            <w:tcW w:w="1558" w:type="pct"/>
            <w:tcBorders>
              <w:top w:val="nil"/>
              <w:left w:val="single" w:sz="4" w:space="0" w:color="auto"/>
              <w:bottom w:val="single" w:sz="4" w:space="0" w:color="auto"/>
              <w:right w:val="single" w:sz="4" w:space="0" w:color="auto"/>
            </w:tcBorders>
            <w:noWrap/>
            <w:vAlign w:val="bottom"/>
            <w:hideMark/>
          </w:tcPr>
          <w:p w14:paraId="128C568D"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Long-term Debt</w:t>
            </w:r>
          </w:p>
        </w:tc>
        <w:tc>
          <w:tcPr>
            <w:tcW w:w="861" w:type="pct"/>
            <w:tcBorders>
              <w:top w:val="nil"/>
              <w:left w:val="nil"/>
              <w:bottom w:val="single" w:sz="4" w:space="0" w:color="auto"/>
              <w:right w:val="single" w:sz="4" w:space="0" w:color="auto"/>
            </w:tcBorders>
            <w:noWrap/>
            <w:vAlign w:val="bottom"/>
            <w:hideMark/>
          </w:tcPr>
          <w:p w14:paraId="2CE1261B"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550,000</w:t>
            </w:r>
          </w:p>
        </w:tc>
        <w:tc>
          <w:tcPr>
            <w:tcW w:w="861" w:type="pct"/>
            <w:tcBorders>
              <w:top w:val="nil"/>
              <w:left w:val="nil"/>
              <w:bottom w:val="single" w:sz="4" w:space="0" w:color="auto"/>
              <w:right w:val="nil"/>
            </w:tcBorders>
            <w:noWrap/>
            <w:vAlign w:val="bottom"/>
            <w:hideMark/>
          </w:tcPr>
          <w:p w14:paraId="547FAD34"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605,000</w:t>
            </w:r>
          </w:p>
        </w:tc>
        <w:tc>
          <w:tcPr>
            <w:tcW w:w="861" w:type="pct"/>
            <w:tcBorders>
              <w:top w:val="nil"/>
              <w:left w:val="single" w:sz="4" w:space="0" w:color="auto"/>
              <w:bottom w:val="single" w:sz="4" w:space="0" w:color="auto"/>
              <w:right w:val="nil"/>
            </w:tcBorders>
            <w:noWrap/>
            <w:vAlign w:val="bottom"/>
            <w:hideMark/>
          </w:tcPr>
          <w:p w14:paraId="41248419"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665,500</w:t>
            </w:r>
          </w:p>
        </w:tc>
        <w:tc>
          <w:tcPr>
            <w:tcW w:w="861" w:type="pct"/>
            <w:tcBorders>
              <w:top w:val="nil"/>
              <w:left w:val="single" w:sz="4" w:space="0" w:color="auto"/>
              <w:bottom w:val="single" w:sz="4" w:space="0" w:color="auto"/>
              <w:right w:val="nil"/>
            </w:tcBorders>
            <w:noWrap/>
            <w:vAlign w:val="bottom"/>
            <w:hideMark/>
          </w:tcPr>
          <w:p w14:paraId="30EC959D"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732,050</w:t>
            </w:r>
          </w:p>
        </w:tc>
      </w:tr>
      <w:tr w:rsidR="00ED594F" w14:paraId="2892A316" w14:textId="77777777" w:rsidTr="00ED594F">
        <w:trPr>
          <w:trHeight w:val="310"/>
        </w:trPr>
        <w:tc>
          <w:tcPr>
            <w:tcW w:w="1558" w:type="pct"/>
            <w:tcBorders>
              <w:top w:val="nil"/>
              <w:left w:val="single" w:sz="4" w:space="0" w:color="auto"/>
              <w:bottom w:val="single" w:sz="4" w:space="0" w:color="auto"/>
              <w:right w:val="single" w:sz="4" w:space="0" w:color="auto"/>
            </w:tcBorders>
            <w:noWrap/>
            <w:vAlign w:val="bottom"/>
            <w:hideMark/>
          </w:tcPr>
          <w:p w14:paraId="1B95697D"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Equity</w:t>
            </w:r>
          </w:p>
        </w:tc>
        <w:tc>
          <w:tcPr>
            <w:tcW w:w="861" w:type="pct"/>
            <w:tcBorders>
              <w:top w:val="nil"/>
              <w:left w:val="nil"/>
              <w:bottom w:val="single" w:sz="4" w:space="0" w:color="auto"/>
              <w:right w:val="single" w:sz="4" w:space="0" w:color="auto"/>
            </w:tcBorders>
            <w:noWrap/>
            <w:vAlign w:val="bottom"/>
            <w:hideMark/>
          </w:tcPr>
          <w:p w14:paraId="4DFCB3CE"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495,000</w:t>
            </w:r>
          </w:p>
        </w:tc>
        <w:tc>
          <w:tcPr>
            <w:tcW w:w="861" w:type="pct"/>
            <w:tcBorders>
              <w:top w:val="nil"/>
              <w:left w:val="nil"/>
              <w:bottom w:val="single" w:sz="4" w:space="0" w:color="auto"/>
              <w:right w:val="nil"/>
            </w:tcBorders>
            <w:noWrap/>
            <w:vAlign w:val="bottom"/>
            <w:hideMark/>
          </w:tcPr>
          <w:p w14:paraId="728AC60B"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544,500</w:t>
            </w:r>
          </w:p>
        </w:tc>
        <w:tc>
          <w:tcPr>
            <w:tcW w:w="861" w:type="pct"/>
            <w:tcBorders>
              <w:top w:val="nil"/>
              <w:left w:val="single" w:sz="4" w:space="0" w:color="auto"/>
              <w:bottom w:val="single" w:sz="4" w:space="0" w:color="auto"/>
              <w:right w:val="nil"/>
            </w:tcBorders>
            <w:noWrap/>
            <w:vAlign w:val="bottom"/>
            <w:hideMark/>
          </w:tcPr>
          <w:p w14:paraId="50DC7687"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598,950</w:t>
            </w:r>
          </w:p>
        </w:tc>
        <w:tc>
          <w:tcPr>
            <w:tcW w:w="861" w:type="pct"/>
            <w:tcBorders>
              <w:top w:val="nil"/>
              <w:left w:val="single" w:sz="4" w:space="0" w:color="auto"/>
              <w:bottom w:val="single" w:sz="4" w:space="0" w:color="auto"/>
              <w:right w:val="nil"/>
            </w:tcBorders>
            <w:noWrap/>
            <w:vAlign w:val="bottom"/>
            <w:hideMark/>
          </w:tcPr>
          <w:p w14:paraId="34BBED7D" w14:textId="77777777" w:rsidR="00ED594F" w:rsidRDefault="00ED594F">
            <w:pPr>
              <w:keepNext/>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658,845</w:t>
            </w:r>
          </w:p>
        </w:tc>
      </w:tr>
    </w:tbl>
    <w:p w14:paraId="1C875232" w14:textId="77777777" w:rsidR="00ED594F" w:rsidRDefault="00ED594F" w:rsidP="00ED594F">
      <w:pPr>
        <w:rPr>
          <w:rFonts w:ascii="Times New Roman" w:hAnsi="Times New Roman" w:cs="Times New Roman"/>
          <w:sz w:val="24"/>
          <w:szCs w:val="24"/>
        </w:rPr>
      </w:pPr>
    </w:p>
    <w:p w14:paraId="0E68FB6B" w14:textId="77777777" w:rsidR="00ED594F" w:rsidRPr="00ED594F" w:rsidRDefault="00ED594F" w:rsidP="00ED594F">
      <w:pPr>
        <w:pStyle w:val="Heading2"/>
        <w:rPr>
          <w:rFonts w:ascii="Times New Roman" w:hAnsi="Times New Roman"/>
          <w:color w:val="auto"/>
          <w:sz w:val="26"/>
          <w:szCs w:val="26"/>
        </w:rPr>
      </w:pPr>
      <w:bookmarkStart w:id="21" w:name="_Toc156410617"/>
      <w:r w:rsidRPr="00ED594F">
        <w:rPr>
          <w:color w:val="auto"/>
        </w:rPr>
        <w:t>Appendix 8</w:t>
      </w:r>
      <w:bookmarkEnd w:id="21"/>
    </w:p>
    <w:tbl>
      <w:tblPr>
        <w:tblW w:w="5000" w:type="pct"/>
        <w:tblLook w:val="04A0" w:firstRow="1" w:lastRow="0" w:firstColumn="1" w:lastColumn="0" w:noHBand="0" w:noVBand="1"/>
      </w:tblPr>
      <w:tblGrid>
        <w:gridCol w:w="4645"/>
        <w:gridCol w:w="1006"/>
        <w:gridCol w:w="1075"/>
        <w:gridCol w:w="1145"/>
        <w:gridCol w:w="1145"/>
      </w:tblGrid>
      <w:tr w:rsidR="00ED594F" w14:paraId="5092F6F7" w14:textId="77777777" w:rsidTr="00ED594F">
        <w:trPr>
          <w:trHeight w:val="310"/>
        </w:trPr>
        <w:tc>
          <w:tcPr>
            <w:tcW w:w="5000" w:type="pct"/>
            <w:gridSpan w:val="5"/>
            <w:tcBorders>
              <w:top w:val="single" w:sz="4" w:space="0" w:color="auto"/>
              <w:left w:val="single" w:sz="4" w:space="0" w:color="auto"/>
              <w:bottom w:val="single" w:sz="4" w:space="0" w:color="auto"/>
              <w:right w:val="single" w:sz="4" w:space="0" w:color="auto"/>
            </w:tcBorders>
            <w:noWrap/>
            <w:vAlign w:val="bottom"/>
            <w:hideMark/>
          </w:tcPr>
          <w:p w14:paraId="6C81F4A3" w14:textId="77777777" w:rsidR="00ED594F" w:rsidRDefault="00ED594F">
            <w:pPr>
              <w:spacing w:after="0"/>
              <w:jc w:val="cente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Cash Flow (2023-2026)</w:t>
            </w:r>
          </w:p>
        </w:tc>
      </w:tr>
      <w:tr w:rsidR="00ED594F" w14:paraId="321D3AFC" w14:textId="77777777" w:rsidTr="00ED594F">
        <w:trPr>
          <w:trHeight w:val="310"/>
        </w:trPr>
        <w:tc>
          <w:tcPr>
            <w:tcW w:w="2576" w:type="pct"/>
            <w:tcBorders>
              <w:top w:val="nil"/>
              <w:left w:val="single" w:sz="4" w:space="0" w:color="auto"/>
              <w:bottom w:val="single" w:sz="4" w:space="0" w:color="auto"/>
              <w:right w:val="single" w:sz="4" w:space="0" w:color="auto"/>
            </w:tcBorders>
            <w:noWrap/>
            <w:vAlign w:val="bottom"/>
            <w:hideMark/>
          </w:tcPr>
          <w:p w14:paraId="31195559"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Item</w:t>
            </w:r>
          </w:p>
        </w:tc>
        <w:tc>
          <w:tcPr>
            <w:tcW w:w="558" w:type="pct"/>
            <w:tcBorders>
              <w:top w:val="nil"/>
              <w:left w:val="nil"/>
              <w:bottom w:val="single" w:sz="4" w:space="0" w:color="auto"/>
              <w:right w:val="single" w:sz="4" w:space="0" w:color="auto"/>
            </w:tcBorders>
            <w:noWrap/>
            <w:vAlign w:val="bottom"/>
            <w:hideMark/>
          </w:tcPr>
          <w:p w14:paraId="33EBF539"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2023</w:t>
            </w:r>
          </w:p>
        </w:tc>
        <w:tc>
          <w:tcPr>
            <w:tcW w:w="596" w:type="pct"/>
            <w:tcBorders>
              <w:top w:val="nil"/>
              <w:left w:val="nil"/>
              <w:bottom w:val="single" w:sz="4" w:space="0" w:color="auto"/>
              <w:right w:val="single" w:sz="4" w:space="0" w:color="auto"/>
            </w:tcBorders>
            <w:noWrap/>
            <w:vAlign w:val="bottom"/>
            <w:hideMark/>
          </w:tcPr>
          <w:p w14:paraId="7E2B66E4"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2024</w:t>
            </w:r>
          </w:p>
        </w:tc>
        <w:tc>
          <w:tcPr>
            <w:tcW w:w="635" w:type="pct"/>
            <w:tcBorders>
              <w:top w:val="nil"/>
              <w:left w:val="nil"/>
              <w:bottom w:val="single" w:sz="4" w:space="0" w:color="auto"/>
              <w:right w:val="single" w:sz="4" w:space="0" w:color="auto"/>
            </w:tcBorders>
            <w:noWrap/>
            <w:vAlign w:val="bottom"/>
            <w:hideMark/>
          </w:tcPr>
          <w:p w14:paraId="62173B34"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2025</w:t>
            </w:r>
          </w:p>
        </w:tc>
        <w:tc>
          <w:tcPr>
            <w:tcW w:w="635" w:type="pct"/>
            <w:tcBorders>
              <w:top w:val="nil"/>
              <w:left w:val="nil"/>
              <w:bottom w:val="single" w:sz="4" w:space="0" w:color="auto"/>
              <w:right w:val="single" w:sz="4" w:space="0" w:color="auto"/>
            </w:tcBorders>
            <w:noWrap/>
            <w:vAlign w:val="bottom"/>
            <w:hideMark/>
          </w:tcPr>
          <w:p w14:paraId="304715D4"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2026</w:t>
            </w:r>
          </w:p>
        </w:tc>
      </w:tr>
      <w:tr w:rsidR="00ED594F" w14:paraId="45126A98" w14:textId="77777777" w:rsidTr="00ED594F">
        <w:trPr>
          <w:trHeight w:val="310"/>
        </w:trPr>
        <w:tc>
          <w:tcPr>
            <w:tcW w:w="2576" w:type="pct"/>
            <w:tcBorders>
              <w:top w:val="nil"/>
              <w:left w:val="single" w:sz="4" w:space="0" w:color="auto"/>
              <w:bottom w:val="single" w:sz="4" w:space="0" w:color="auto"/>
              <w:right w:val="single" w:sz="4" w:space="0" w:color="auto"/>
            </w:tcBorders>
            <w:noWrap/>
            <w:vAlign w:val="bottom"/>
            <w:hideMark/>
          </w:tcPr>
          <w:p w14:paraId="266CAEA3"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Cash Flow from Operations</w:t>
            </w:r>
          </w:p>
        </w:tc>
        <w:tc>
          <w:tcPr>
            <w:tcW w:w="558" w:type="pct"/>
            <w:tcBorders>
              <w:top w:val="nil"/>
              <w:left w:val="nil"/>
              <w:bottom w:val="single" w:sz="4" w:space="0" w:color="auto"/>
              <w:right w:val="single" w:sz="4" w:space="0" w:color="auto"/>
            </w:tcBorders>
            <w:noWrap/>
            <w:vAlign w:val="bottom"/>
            <w:hideMark/>
          </w:tcPr>
          <w:p w14:paraId="32747BEE"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96,000</w:t>
            </w:r>
          </w:p>
        </w:tc>
        <w:tc>
          <w:tcPr>
            <w:tcW w:w="596" w:type="pct"/>
            <w:tcBorders>
              <w:top w:val="nil"/>
              <w:left w:val="nil"/>
              <w:bottom w:val="single" w:sz="4" w:space="0" w:color="auto"/>
              <w:right w:val="single" w:sz="4" w:space="0" w:color="auto"/>
            </w:tcBorders>
            <w:noWrap/>
            <w:vAlign w:val="bottom"/>
            <w:hideMark/>
          </w:tcPr>
          <w:p w14:paraId="39C335B3"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115200</w:t>
            </w:r>
          </w:p>
        </w:tc>
        <w:tc>
          <w:tcPr>
            <w:tcW w:w="635" w:type="pct"/>
            <w:tcBorders>
              <w:top w:val="nil"/>
              <w:left w:val="nil"/>
              <w:bottom w:val="single" w:sz="4" w:space="0" w:color="auto"/>
              <w:right w:val="single" w:sz="4" w:space="0" w:color="auto"/>
            </w:tcBorders>
            <w:noWrap/>
            <w:vAlign w:val="bottom"/>
            <w:hideMark/>
          </w:tcPr>
          <w:p w14:paraId="10EFDE82"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138240</w:t>
            </w:r>
          </w:p>
        </w:tc>
        <w:tc>
          <w:tcPr>
            <w:tcW w:w="635" w:type="pct"/>
            <w:tcBorders>
              <w:top w:val="nil"/>
              <w:left w:val="nil"/>
              <w:bottom w:val="single" w:sz="4" w:space="0" w:color="auto"/>
              <w:right w:val="single" w:sz="4" w:space="0" w:color="auto"/>
            </w:tcBorders>
            <w:noWrap/>
            <w:vAlign w:val="bottom"/>
            <w:hideMark/>
          </w:tcPr>
          <w:p w14:paraId="5D37E9D5"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165888</w:t>
            </w:r>
          </w:p>
        </w:tc>
      </w:tr>
      <w:tr w:rsidR="00ED594F" w14:paraId="1E0548E5" w14:textId="77777777" w:rsidTr="00ED594F">
        <w:trPr>
          <w:trHeight w:val="310"/>
        </w:trPr>
        <w:tc>
          <w:tcPr>
            <w:tcW w:w="2576" w:type="pct"/>
            <w:tcBorders>
              <w:top w:val="nil"/>
              <w:left w:val="single" w:sz="4" w:space="0" w:color="auto"/>
              <w:bottom w:val="single" w:sz="4" w:space="0" w:color="auto"/>
              <w:right w:val="single" w:sz="4" w:space="0" w:color="auto"/>
            </w:tcBorders>
            <w:noWrap/>
            <w:vAlign w:val="bottom"/>
            <w:hideMark/>
          </w:tcPr>
          <w:p w14:paraId="6E90175E"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Capital Expenditures</w:t>
            </w:r>
          </w:p>
        </w:tc>
        <w:tc>
          <w:tcPr>
            <w:tcW w:w="558" w:type="pct"/>
            <w:tcBorders>
              <w:top w:val="nil"/>
              <w:left w:val="nil"/>
              <w:bottom w:val="single" w:sz="4" w:space="0" w:color="auto"/>
              <w:right w:val="single" w:sz="4" w:space="0" w:color="auto"/>
            </w:tcBorders>
            <w:noWrap/>
            <w:vAlign w:val="bottom"/>
            <w:hideMark/>
          </w:tcPr>
          <w:p w14:paraId="28DD5C4C"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30,000</w:t>
            </w:r>
          </w:p>
        </w:tc>
        <w:tc>
          <w:tcPr>
            <w:tcW w:w="596" w:type="pct"/>
            <w:tcBorders>
              <w:top w:val="nil"/>
              <w:left w:val="nil"/>
              <w:bottom w:val="single" w:sz="4" w:space="0" w:color="auto"/>
              <w:right w:val="single" w:sz="4" w:space="0" w:color="auto"/>
            </w:tcBorders>
            <w:noWrap/>
            <w:vAlign w:val="bottom"/>
            <w:hideMark/>
          </w:tcPr>
          <w:p w14:paraId="4F2A9FDB"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30,000</w:t>
            </w:r>
          </w:p>
        </w:tc>
        <w:tc>
          <w:tcPr>
            <w:tcW w:w="635" w:type="pct"/>
            <w:tcBorders>
              <w:top w:val="nil"/>
              <w:left w:val="nil"/>
              <w:bottom w:val="single" w:sz="4" w:space="0" w:color="auto"/>
              <w:right w:val="single" w:sz="4" w:space="0" w:color="auto"/>
            </w:tcBorders>
            <w:noWrap/>
            <w:vAlign w:val="bottom"/>
            <w:hideMark/>
          </w:tcPr>
          <w:p w14:paraId="31438301"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30,000</w:t>
            </w:r>
          </w:p>
        </w:tc>
        <w:tc>
          <w:tcPr>
            <w:tcW w:w="635" w:type="pct"/>
            <w:tcBorders>
              <w:top w:val="nil"/>
              <w:left w:val="nil"/>
              <w:bottom w:val="single" w:sz="4" w:space="0" w:color="auto"/>
              <w:right w:val="single" w:sz="4" w:space="0" w:color="auto"/>
            </w:tcBorders>
            <w:noWrap/>
            <w:vAlign w:val="bottom"/>
            <w:hideMark/>
          </w:tcPr>
          <w:p w14:paraId="06058D2A"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30,000</w:t>
            </w:r>
          </w:p>
        </w:tc>
      </w:tr>
      <w:tr w:rsidR="00ED594F" w14:paraId="35DA1CFA" w14:textId="77777777" w:rsidTr="00ED594F">
        <w:trPr>
          <w:trHeight w:val="310"/>
        </w:trPr>
        <w:tc>
          <w:tcPr>
            <w:tcW w:w="2576" w:type="pct"/>
            <w:tcBorders>
              <w:top w:val="nil"/>
              <w:left w:val="single" w:sz="4" w:space="0" w:color="auto"/>
              <w:bottom w:val="single" w:sz="4" w:space="0" w:color="auto"/>
              <w:right w:val="single" w:sz="4" w:space="0" w:color="auto"/>
            </w:tcBorders>
            <w:noWrap/>
            <w:vAlign w:val="bottom"/>
            <w:hideMark/>
          </w:tcPr>
          <w:p w14:paraId="4BCA3B5A" w14:textId="77777777" w:rsidR="00ED594F" w:rsidRDefault="00ED594F">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Cash Flow (Change in Cash Balance)</w:t>
            </w:r>
          </w:p>
        </w:tc>
        <w:tc>
          <w:tcPr>
            <w:tcW w:w="558" w:type="pct"/>
            <w:tcBorders>
              <w:top w:val="nil"/>
              <w:left w:val="nil"/>
              <w:bottom w:val="single" w:sz="4" w:space="0" w:color="auto"/>
              <w:right w:val="single" w:sz="4" w:space="0" w:color="auto"/>
            </w:tcBorders>
            <w:noWrap/>
            <w:vAlign w:val="bottom"/>
            <w:hideMark/>
          </w:tcPr>
          <w:p w14:paraId="2853D472"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66,000</w:t>
            </w:r>
          </w:p>
        </w:tc>
        <w:tc>
          <w:tcPr>
            <w:tcW w:w="596" w:type="pct"/>
            <w:tcBorders>
              <w:top w:val="nil"/>
              <w:left w:val="nil"/>
              <w:bottom w:val="single" w:sz="4" w:space="0" w:color="auto"/>
              <w:right w:val="single" w:sz="4" w:space="0" w:color="auto"/>
            </w:tcBorders>
            <w:noWrap/>
            <w:vAlign w:val="bottom"/>
            <w:hideMark/>
          </w:tcPr>
          <w:p w14:paraId="3309F0B5"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85,200</w:t>
            </w:r>
          </w:p>
        </w:tc>
        <w:tc>
          <w:tcPr>
            <w:tcW w:w="635" w:type="pct"/>
            <w:tcBorders>
              <w:top w:val="nil"/>
              <w:left w:val="nil"/>
              <w:bottom w:val="single" w:sz="4" w:space="0" w:color="auto"/>
              <w:right w:val="single" w:sz="4" w:space="0" w:color="auto"/>
            </w:tcBorders>
            <w:noWrap/>
            <w:vAlign w:val="bottom"/>
            <w:hideMark/>
          </w:tcPr>
          <w:p w14:paraId="1F641AAF" w14:textId="77777777" w:rsidR="00ED594F" w:rsidRDefault="00ED594F">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108,240</w:t>
            </w:r>
          </w:p>
        </w:tc>
        <w:tc>
          <w:tcPr>
            <w:tcW w:w="635" w:type="pct"/>
            <w:tcBorders>
              <w:top w:val="nil"/>
              <w:left w:val="nil"/>
              <w:bottom w:val="single" w:sz="4" w:space="0" w:color="auto"/>
              <w:right w:val="single" w:sz="4" w:space="0" w:color="auto"/>
            </w:tcBorders>
            <w:noWrap/>
            <w:vAlign w:val="bottom"/>
            <w:hideMark/>
          </w:tcPr>
          <w:p w14:paraId="5E6077A0" w14:textId="77777777" w:rsidR="00ED594F" w:rsidRDefault="00ED594F">
            <w:pPr>
              <w:keepNext/>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135,888</w:t>
            </w:r>
          </w:p>
        </w:tc>
      </w:tr>
    </w:tbl>
    <w:p w14:paraId="0B967339" w14:textId="77777777" w:rsidR="00ED594F" w:rsidRDefault="00ED594F" w:rsidP="00ED594F">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25CF015D" w14:textId="77777777" w:rsidR="00ED594F" w:rsidRPr="00ED594F" w:rsidRDefault="00ED594F" w:rsidP="00ED594F">
      <w:pPr>
        <w:pStyle w:val="Heading1"/>
        <w:rPr>
          <w:rFonts w:ascii="Times New Roman" w:hAnsi="Times New Roman"/>
          <w:color w:val="auto"/>
          <w:sz w:val="28"/>
          <w:szCs w:val="32"/>
        </w:rPr>
      </w:pPr>
      <w:bookmarkStart w:id="22" w:name="_Toc156410618"/>
      <w:r w:rsidRPr="00ED594F">
        <w:rPr>
          <w:color w:val="auto"/>
        </w:rPr>
        <w:lastRenderedPageBreak/>
        <w:t>References</w:t>
      </w:r>
      <w:bookmarkEnd w:id="22"/>
    </w:p>
    <w:p w14:paraId="11741458" w14:textId="3A0F490B" w:rsidR="00ED594F" w:rsidRDefault="00ED594F" w:rsidP="00ED594F">
      <w:pPr>
        <w:rPr>
          <w:rFonts w:ascii="Times New Roman" w:hAnsi="Times New Roman" w:cs="Times New Roman"/>
          <w:sz w:val="24"/>
          <w:szCs w:val="24"/>
        </w:rPr>
      </w:pPr>
      <w:proofErr w:type="spellStart"/>
      <w:r>
        <w:rPr>
          <w:rFonts w:ascii="Times New Roman" w:hAnsi="Times New Roman" w:cs="Times New Roman"/>
          <w:color w:val="222222"/>
          <w:sz w:val="24"/>
          <w:szCs w:val="24"/>
          <w:shd w:val="clear" w:color="auto" w:fill="FFFFFF"/>
        </w:rPr>
        <w:t>Arzaghi</w:t>
      </w:r>
      <w:proofErr w:type="spellEnd"/>
      <w:r>
        <w:rPr>
          <w:rFonts w:ascii="Times New Roman" w:hAnsi="Times New Roman" w:cs="Times New Roman"/>
          <w:color w:val="222222"/>
          <w:sz w:val="24"/>
          <w:szCs w:val="24"/>
          <w:shd w:val="clear" w:color="auto" w:fill="FFFFFF"/>
        </w:rPr>
        <w:t>, M., Genc, I.H. and Naik, S., (2023) ‘Clustering and hotel room prices in Dubai’, </w:t>
      </w:r>
      <w:r>
        <w:rPr>
          <w:rFonts w:ascii="Times New Roman" w:hAnsi="Times New Roman" w:cs="Times New Roman"/>
          <w:i/>
          <w:iCs/>
          <w:color w:val="222222"/>
          <w:sz w:val="24"/>
          <w:szCs w:val="24"/>
          <w:shd w:val="clear" w:color="auto" w:fill="FFFFFF"/>
        </w:rPr>
        <w:t>Tourism Economics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(1), pp.116-136. Available at: https://journals.sagepub.com/doi/pdf/10.1177/13548166211040931. (Accessed: 27 February 2024).</w:t>
      </w:r>
    </w:p>
    <w:p w14:paraId="2D3D395B" w14:textId="1D44927D" w:rsidR="00ED594F" w:rsidRDefault="00ED594F" w:rsidP="00ED594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Athar, H.S. (2020) ‘The Effect of Brand Image, Price and Promotion on The Decision to Stay at </w:t>
      </w:r>
      <w:proofErr w:type="spellStart"/>
      <w:r>
        <w:rPr>
          <w:rFonts w:ascii="Times New Roman" w:hAnsi="Times New Roman" w:cs="Times New Roman"/>
          <w:color w:val="222222"/>
          <w:sz w:val="24"/>
          <w:szCs w:val="24"/>
          <w:shd w:val="clear" w:color="auto" w:fill="FFFFFF"/>
        </w:rPr>
        <w:t>Cadaka</w:t>
      </w:r>
      <w:proofErr w:type="spellEnd"/>
      <w:r>
        <w:rPr>
          <w:rFonts w:ascii="Times New Roman" w:hAnsi="Times New Roman" w:cs="Times New Roman"/>
          <w:color w:val="222222"/>
          <w:sz w:val="24"/>
          <w:szCs w:val="24"/>
          <w:shd w:val="clear" w:color="auto" w:fill="FFFFFF"/>
        </w:rPr>
        <w:t xml:space="preserve"> Hotel-Central Java’, </w:t>
      </w:r>
      <w:proofErr w:type="spellStart"/>
      <w:r>
        <w:rPr>
          <w:rFonts w:ascii="Times New Roman" w:hAnsi="Times New Roman" w:cs="Times New Roman"/>
          <w:i/>
          <w:iCs/>
          <w:color w:val="222222"/>
          <w:sz w:val="24"/>
          <w:szCs w:val="24"/>
          <w:shd w:val="clear" w:color="auto" w:fill="FFFFFF"/>
        </w:rPr>
        <w:t>Jurnal</w:t>
      </w:r>
      <w:proofErr w:type="spellEnd"/>
      <w:r>
        <w:rPr>
          <w:rFonts w:ascii="Times New Roman" w:hAnsi="Times New Roman" w:cs="Times New Roman"/>
          <w:i/>
          <w:iCs/>
          <w:color w:val="222222"/>
          <w:sz w:val="24"/>
          <w:szCs w:val="24"/>
          <w:shd w:val="clear" w:color="auto" w:fill="FFFFFF"/>
        </w:rPr>
        <w:t xml:space="preserve"> Media Bina </w:t>
      </w:r>
      <w:proofErr w:type="spellStart"/>
      <w:r>
        <w:rPr>
          <w:rFonts w:ascii="Times New Roman" w:hAnsi="Times New Roman" w:cs="Times New Roman"/>
          <w:i/>
          <w:iCs/>
          <w:color w:val="222222"/>
          <w:sz w:val="24"/>
          <w:szCs w:val="24"/>
          <w:shd w:val="clear" w:color="auto" w:fill="FFFFFF"/>
        </w:rPr>
        <w:t>Ilmiah</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(12). Available at: http://eprints.unram.ac.id/23219/1/B23-601-1685-2-PB.pdf. (Accessed: 25 February 2024).</w:t>
      </w:r>
    </w:p>
    <w:p w14:paraId="20CE132E" w14:textId="09FCFF20" w:rsidR="00ED594F" w:rsidRDefault="00ED594F" w:rsidP="00ED594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Daryanto, W.M. and </w:t>
      </w:r>
      <w:proofErr w:type="spellStart"/>
      <w:r>
        <w:rPr>
          <w:rFonts w:ascii="Times New Roman" w:hAnsi="Times New Roman" w:cs="Times New Roman"/>
          <w:color w:val="222222"/>
          <w:sz w:val="24"/>
          <w:szCs w:val="24"/>
          <w:shd w:val="clear" w:color="auto" w:fill="FFFFFF"/>
        </w:rPr>
        <w:t>Rizki</w:t>
      </w:r>
      <w:proofErr w:type="spellEnd"/>
      <w:r>
        <w:rPr>
          <w:rFonts w:ascii="Times New Roman" w:hAnsi="Times New Roman" w:cs="Times New Roman"/>
          <w:color w:val="222222"/>
          <w:sz w:val="24"/>
          <w:szCs w:val="24"/>
          <w:shd w:val="clear" w:color="auto" w:fill="FFFFFF"/>
        </w:rPr>
        <w:t xml:space="preserve">, M.I. (2021) ‘Financial performance analysis of construction company before and during COVID-19 pandemic in Indonesia’, </w:t>
      </w:r>
      <w:r>
        <w:rPr>
          <w:rFonts w:ascii="Times New Roman" w:hAnsi="Times New Roman" w:cs="Times New Roman"/>
          <w:i/>
          <w:iCs/>
          <w:color w:val="222222"/>
          <w:sz w:val="24"/>
          <w:szCs w:val="24"/>
          <w:shd w:val="clear" w:color="auto" w:fill="FFFFFF"/>
        </w:rPr>
        <w:t>International Journal of Business, Economics and Law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 xml:space="preserve">(4), pp.99-108.Available at: </w:t>
      </w:r>
      <w:r>
        <w:rPr>
          <w:rFonts w:ascii="Times New Roman" w:hAnsi="Times New Roman" w:cs="Times New Roman"/>
          <w:sz w:val="24"/>
          <w:szCs w:val="24"/>
        </w:rPr>
        <w:t>https://ijbel.com/wp-content/uploads/2021/06/IJBEL24-727.pdf.</w:t>
      </w:r>
      <w:r>
        <w:rPr>
          <w:rFonts w:ascii="Times New Roman" w:hAnsi="Times New Roman" w:cs="Times New Roman"/>
          <w:color w:val="222222"/>
          <w:sz w:val="24"/>
          <w:szCs w:val="24"/>
          <w:shd w:val="clear" w:color="auto" w:fill="FFFFFF"/>
        </w:rPr>
        <w:t xml:space="preserve"> (Accessed: 27 February 2024).</w:t>
      </w:r>
    </w:p>
    <w:p w14:paraId="1CC28B41" w14:textId="2C71D4E5" w:rsidR="00ED594F" w:rsidRDefault="00ED594F" w:rsidP="00ED594F">
      <w:pPr>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Dimitrić</w:t>
      </w:r>
      <w:proofErr w:type="spellEnd"/>
      <w:r>
        <w:rPr>
          <w:rFonts w:ascii="Times New Roman" w:hAnsi="Times New Roman" w:cs="Times New Roman"/>
          <w:color w:val="222222"/>
          <w:sz w:val="24"/>
          <w:szCs w:val="24"/>
          <w:shd w:val="clear" w:color="auto" w:fill="FFFFFF"/>
        </w:rPr>
        <w:t xml:space="preserve">, M., Tomas </w:t>
      </w:r>
      <w:proofErr w:type="spellStart"/>
      <w:r>
        <w:rPr>
          <w:rFonts w:ascii="Times New Roman" w:hAnsi="Times New Roman" w:cs="Times New Roman"/>
          <w:color w:val="222222"/>
          <w:sz w:val="24"/>
          <w:szCs w:val="24"/>
          <w:shd w:val="clear" w:color="auto" w:fill="FFFFFF"/>
        </w:rPr>
        <w:t>Žiković</w:t>
      </w:r>
      <w:proofErr w:type="spellEnd"/>
      <w:r>
        <w:rPr>
          <w:rFonts w:ascii="Times New Roman" w:hAnsi="Times New Roman" w:cs="Times New Roman"/>
          <w:color w:val="222222"/>
          <w:sz w:val="24"/>
          <w:szCs w:val="24"/>
          <w:shd w:val="clear" w:color="auto" w:fill="FFFFFF"/>
        </w:rPr>
        <w:t xml:space="preserve">, I. and </w:t>
      </w:r>
      <w:proofErr w:type="spellStart"/>
      <w:r>
        <w:rPr>
          <w:rFonts w:ascii="Times New Roman" w:hAnsi="Times New Roman" w:cs="Times New Roman"/>
          <w:color w:val="222222"/>
          <w:sz w:val="24"/>
          <w:szCs w:val="24"/>
          <w:shd w:val="clear" w:color="auto" w:fill="FFFFFF"/>
        </w:rPr>
        <w:t>Arbula</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Blecich</w:t>
      </w:r>
      <w:proofErr w:type="spellEnd"/>
      <w:r>
        <w:rPr>
          <w:rFonts w:ascii="Times New Roman" w:hAnsi="Times New Roman" w:cs="Times New Roman"/>
          <w:color w:val="222222"/>
          <w:sz w:val="24"/>
          <w:szCs w:val="24"/>
          <w:shd w:val="clear" w:color="auto" w:fill="FFFFFF"/>
        </w:rPr>
        <w:t>, A. (2019) ‘Profitability determinants of hotel companies in selected Mediterranean countries’, </w:t>
      </w:r>
      <w:r>
        <w:rPr>
          <w:rFonts w:ascii="Times New Roman" w:hAnsi="Times New Roman" w:cs="Times New Roman"/>
          <w:i/>
          <w:iCs/>
          <w:color w:val="222222"/>
          <w:sz w:val="24"/>
          <w:szCs w:val="24"/>
          <w:shd w:val="clear" w:color="auto" w:fill="FFFFFF"/>
        </w:rPr>
        <w:t>Economic research-</w:t>
      </w:r>
      <w:proofErr w:type="spellStart"/>
      <w:r>
        <w:rPr>
          <w:rFonts w:ascii="Times New Roman" w:hAnsi="Times New Roman" w:cs="Times New Roman"/>
          <w:i/>
          <w:iCs/>
          <w:color w:val="222222"/>
          <w:sz w:val="24"/>
          <w:szCs w:val="24"/>
          <w:shd w:val="clear" w:color="auto" w:fill="FFFFFF"/>
        </w:rPr>
        <w:t>Ekonomska</w:t>
      </w:r>
      <w:proofErr w:type="spellEnd"/>
      <w:r>
        <w:rPr>
          <w:rFonts w:ascii="Times New Roman" w:hAnsi="Times New Roman" w:cs="Times New Roman"/>
          <w:i/>
          <w:iCs/>
          <w:color w:val="222222"/>
          <w:sz w:val="24"/>
          <w:szCs w:val="24"/>
          <w:shd w:val="clear" w:color="auto" w:fill="FFFFFF"/>
        </w:rPr>
        <w:t xml:space="preserve"> </w:t>
      </w:r>
      <w:proofErr w:type="spellStart"/>
      <w:r>
        <w:rPr>
          <w:rFonts w:ascii="Times New Roman" w:hAnsi="Times New Roman" w:cs="Times New Roman"/>
          <w:i/>
          <w:iCs/>
          <w:color w:val="222222"/>
          <w:sz w:val="24"/>
          <w:szCs w:val="24"/>
          <w:shd w:val="clear" w:color="auto" w:fill="FFFFFF"/>
        </w:rPr>
        <w:t>istraživanja</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32</w:t>
      </w:r>
      <w:r>
        <w:rPr>
          <w:rFonts w:ascii="Times New Roman" w:hAnsi="Times New Roman" w:cs="Times New Roman"/>
          <w:color w:val="222222"/>
          <w:sz w:val="24"/>
          <w:szCs w:val="24"/>
          <w:shd w:val="clear" w:color="auto" w:fill="FFFFFF"/>
        </w:rPr>
        <w:t>(1), pp.1977-1993. Available at: https://doi.org/10.1080/1331677X.2019.1642785. (Accessed: 26 February 2024).</w:t>
      </w:r>
    </w:p>
    <w:p w14:paraId="6E64F149" w14:textId="437C155F" w:rsidR="00ED594F" w:rsidRDefault="00ED594F" w:rsidP="00ED594F">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Fadjar, A., Jumana, Y.L. and Gunawan, B. (2021) ‘The Effect of Current Ratio, Net Profit Margin, Debt </w:t>
      </w:r>
      <w:proofErr w:type="gramStart"/>
      <w:r>
        <w:rPr>
          <w:rFonts w:ascii="Times New Roman" w:hAnsi="Times New Roman" w:cs="Times New Roman"/>
          <w:color w:val="222222"/>
          <w:sz w:val="24"/>
          <w:szCs w:val="24"/>
          <w:shd w:val="clear" w:color="auto" w:fill="FFFFFF"/>
        </w:rPr>
        <w:t>To</w:t>
      </w:r>
      <w:proofErr w:type="gramEnd"/>
      <w:r>
        <w:rPr>
          <w:rFonts w:ascii="Times New Roman" w:hAnsi="Times New Roman" w:cs="Times New Roman"/>
          <w:color w:val="222222"/>
          <w:sz w:val="24"/>
          <w:szCs w:val="24"/>
          <w:shd w:val="clear" w:color="auto" w:fill="FFFFFF"/>
        </w:rPr>
        <w:t xml:space="preserve"> Equity Ratio Firm Size And Return On Equity On Price Earnings Ratio Empirical Studies On Consumer Goods Industry Companies Listed On </w:t>
      </w:r>
      <w:proofErr w:type="spellStart"/>
      <w:r>
        <w:rPr>
          <w:rFonts w:ascii="Times New Roman" w:hAnsi="Times New Roman" w:cs="Times New Roman"/>
          <w:color w:val="222222"/>
          <w:sz w:val="24"/>
          <w:szCs w:val="24"/>
          <w:shd w:val="clear" w:color="auto" w:fill="FFFFFF"/>
        </w:rPr>
        <w:t>Idx</w:t>
      </w:r>
      <w:proofErr w:type="spellEnd"/>
      <w:r>
        <w:rPr>
          <w:rFonts w:ascii="Times New Roman" w:hAnsi="Times New Roman" w:cs="Times New Roman"/>
          <w:color w:val="222222"/>
          <w:sz w:val="24"/>
          <w:szCs w:val="24"/>
          <w:shd w:val="clear" w:color="auto" w:fill="FFFFFF"/>
        </w:rPr>
        <w:t xml:space="preserve"> (Years 2018-2020)’, </w:t>
      </w:r>
      <w:r>
        <w:rPr>
          <w:rFonts w:ascii="Times New Roman" w:hAnsi="Times New Roman" w:cs="Times New Roman"/>
          <w:i/>
          <w:iCs/>
          <w:color w:val="222222"/>
          <w:sz w:val="24"/>
          <w:szCs w:val="24"/>
          <w:shd w:val="clear" w:color="auto" w:fill="FFFFFF"/>
        </w:rPr>
        <w:t>Review of International Geographical Education Online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11</w:t>
      </w:r>
      <w:r>
        <w:rPr>
          <w:rFonts w:ascii="Times New Roman" w:hAnsi="Times New Roman" w:cs="Times New Roman"/>
          <w:color w:val="222222"/>
          <w:sz w:val="24"/>
          <w:szCs w:val="24"/>
          <w:shd w:val="clear" w:color="auto" w:fill="FFFFFF"/>
        </w:rPr>
        <w:t>(6).</w:t>
      </w:r>
      <w:r>
        <w:rPr>
          <w:rFonts w:ascii="Times New Roman" w:hAnsi="Times New Roman" w:cs="Times New Roman"/>
          <w:sz w:val="24"/>
          <w:szCs w:val="24"/>
        </w:rPr>
        <w:t xml:space="preserve"> Available at: 10.48047/rigeo.11.06.88.</w:t>
      </w:r>
      <w:r>
        <w:rPr>
          <w:rFonts w:ascii="Times New Roman" w:hAnsi="Times New Roman" w:cs="Times New Roman"/>
          <w:color w:val="222222"/>
          <w:sz w:val="24"/>
          <w:szCs w:val="24"/>
          <w:shd w:val="clear" w:color="auto" w:fill="FFFFFF"/>
        </w:rPr>
        <w:t xml:space="preserve"> (Accessed: 21 February 2024).</w:t>
      </w:r>
    </w:p>
    <w:p w14:paraId="318971F6" w14:textId="2804395F" w:rsidR="00ED594F" w:rsidRDefault="00ED594F" w:rsidP="00ED594F">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Fang, L., Li, H. and Li, M. (2019) ‘Does hotel location tell a true story? Evidence from geographically weighted regression analysis of hotels in Hong Kong’, </w:t>
      </w:r>
      <w:r>
        <w:rPr>
          <w:rFonts w:ascii="Times New Roman" w:hAnsi="Times New Roman" w:cs="Times New Roman"/>
          <w:i/>
          <w:iCs/>
          <w:color w:val="222222"/>
          <w:sz w:val="24"/>
          <w:szCs w:val="24"/>
          <w:shd w:val="clear" w:color="auto" w:fill="FFFFFF"/>
        </w:rPr>
        <w:t>Tourism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72</w:t>
      </w:r>
      <w:r>
        <w:rPr>
          <w:rFonts w:ascii="Times New Roman" w:hAnsi="Times New Roman" w:cs="Times New Roman"/>
          <w:color w:val="222222"/>
          <w:sz w:val="24"/>
          <w:szCs w:val="24"/>
          <w:shd w:val="clear" w:color="auto" w:fill="FFFFFF"/>
        </w:rPr>
        <w:t xml:space="preserve">, pp.78-91. </w:t>
      </w:r>
      <w:r>
        <w:rPr>
          <w:rFonts w:ascii="Times New Roman" w:hAnsi="Times New Roman" w:cs="Times New Roman"/>
          <w:sz w:val="24"/>
          <w:szCs w:val="24"/>
        </w:rPr>
        <w:t>Available at: https://doi.org/10.1016/j.tourman.2018.11.010.</w:t>
      </w:r>
      <w:r>
        <w:rPr>
          <w:rFonts w:ascii="Times New Roman" w:hAnsi="Times New Roman" w:cs="Times New Roman"/>
          <w:color w:val="222222"/>
          <w:sz w:val="24"/>
          <w:szCs w:val="24"/>
          <w:shd w:val="clear" w:color="auto" w:fill="FFFFFF"/>
        </w:rPr>
        <w:t xml:space="preserve"> (Accessed: 18 February 2024).</w:t>
      </w:r>
    </w:p>
    <w:p w14:paraId="00E5A856" w14:textId="567DE77B" w:rsidR="00ED594F" w:rsidRDefault="00ED594F" w:rsidP="00ED594F">
      <w:pPr>
        <w:rPr>
          <w:rFonts w:ascii="Times New Roman" w:hAnsi="Times New Roman" w:cs="Times New Roman"/>
          <w:sz w:val="24"/>
          <w:szCs w:val="24"/>
        </w:rPr>
      </w:pPr>
      <w:proofErr w:type="spellStart"/>
      <w:r>
        <w:rPr>
          <w:rFonts w:ascii="Times New Roman" w:hAnsi="Times New Roman" w:cs="Times New Roman"/>
          <w:color w:val="222222"/>
          <w:sz w:val="24"/>
          <w:szCs w:val="24"/>
          <w:shd w:val="clear" w:color="auto" w:fill="FFFFFF"/>
        </w:rPr>
        <w:t>Fatihudin</w:t>
      </w:r>
      <w:proofErr w:type="spellEnd"/>
      <w:r>
        <w:rPr>
          <w:rFonts w:ascii="Times New Roman" w:hAnsi="Times New Roman" w:cs="Times New Roman"/>
          <w:color w:val="222222"/>
          <w:sz w:val="24"/>
          <w:szCs w:val="24"/>
          <w:shd w:val="clear" w:color="auto" w:fill="FFFFFF"/>
        </w:rPr>
        <w:t>, D. (2018) ‘How measuring financial performance’, </w:t>
      </w:r>
      <w:r>
        <w:rPr>
          <w:rFonts w:ascii="Times New Roman" w:hAnsi="Times New Roman" w:cs="Times New Roman"/>
          <w:i/>
          <w:iCs/>
          <w:color w:val="222222"/>
          <w:sz w:val="24"/>
          <w:szCs w:val="24"/>
          <w:shd w:val="clear" w:color="auto" w:fill="FFFFFF"/>
        </w:rPr>
        <w:t>International Journal of Civil Engineering and Technology (IJCIET)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(6), pp.553-557. Available at: https://repository.um-surabaya.ac.id/3260/10/%281%29Jur.Internasional_sqopus_Q2_IJCIET.pdf. (Accessed: 27 February 2024).</w:t>
      </w:r>
    </w:p>
    <w:p w14:paraId="0577A70A" w14:textId="07546A5C" w:rsidR="00ED594F" w:rsidRDefault="00ED594F" w:rsidP="00ED594F">
      <w:pPr>
        <w:rPr>
          <w:rFonts w:ascii="Times New Roman" w:hAnsi="Times New Roman" w:cs="Times New Roman"/>
          <w:sz w:val="24"/>
          <w:szCs w:val="24"/>
        </w:rPr>
      </w:pPr>
      <w:r>
        <w:rPr>
          <w:rFonts w:ascii="Times New Roman" w:hAnsi="Times New Roman" w:cs="Times New Roman"/>
          <w:sz w:val="24"/>
          <w:szCs w:val="24"/>
        </w:rPr>
        <w:lastRenderedPageBreak/>
        <w:t xml:space="preserve">Gantner, M. (2023) </w:t>
      </w:r>
      <w:r>
        <w:rPr>
          <w:rFonts w:ascii="Times New Roman" w:hAnsi="Times New Roman" w:cs="Times New Roman"/>
          <w:i/>
          <w:sz w:val="24"/>
          <w:szCs w:val="24"/>
        </w:rPr>
        <w:t>The 2023 Playbook: Revenue, Risk Mitigation And ROI.</w:t>
      </w:r>
      <w:r>
        <w:rPr>
          <w:rFonts w:ascii="Times New Roman" w:hAnsi="Times New Roman" w:cs="Times New Roman"/>
          <w:sz w:val="24"/>
          <w:szCs w:val="24"/>
        </w:rPr>
        <w:t xml:space="preserve"> Available at: https://www.forbes.com/sites/forbesbusinesscouncil/2023/03/22/the-2023-playbook-revenue-risk-mitigation-and-roi/?sh=3f23a8f930b7. (Accessed: </w:t>
      </w:r>
      <w:r w:rsidR="00073BE4">
        <w:rPr>
          <w:rFonts w:ascii="Times New Roman" w:hAnsi="Times New Roman" w:cs="Times New Roman"/>
          <w:sz w:val="24"/>
          <w:szCs w:val="24"/>
        </w:rPr>
        <w:t>25</w:t>
      </w:r>
      <w:r>
        <w:rPr>
          <w:rFonts w:ascii="Times New Roman" w:hAnsi="Times New Roman" w:cs="Times New Roman"/>
          <w:sz w:val="24"/>
          <w:szCs w:val="24"/>
        </w:rPr>
        <w:t xml:space="preserve"> </w:t>
      </w:r>
      <w:r w:rsidR="00073BE4">
        <w:rPr>
          <w:rFonts w:ascii="Times New Roman" w:hAnsi="Times New Roman" w:cs="Times New Roman"/>
          <w:sz w:val="24"/>
          <w:szCs w:val="24"/>
        </w:rPr>
        <w:t>February</w:t>
      </w:r>
      <w:r>
        <w:rPr>
          <w:rFonts w:ascii="Times New Roman" w:hAnsi="Times New Roman" w:cs="Times New Roman"/>
          <w:sz w:val="24"/>
          <w:szCs w:val="24"/>
        </w:rPr>
        <w:t xml:space="preserve"> 202</w:t>
      </w:r>
      <w:r w:rsidR="00073BE4">
        <w:rPr>
          <w:rFonts w:ascii="Times New Roman" w:hAnsi="Times New Roman" w:cs="Times New Roman"/>
          <w:sz w:val="24"/>
          <w:szCs w:val="24"/>
        </w:rPr>
        <w:t>4</w:t>
      </w:r>
      <w:r>
        <w:rPr>
          <w:rFonts w:ascii="Times New Roman" w:hAnsi="Times New Roman" w:cs="Times New Roman"/>
          <w:sz w:val="24"/>
          <w:szCs w:val="24"/>
        </w:rPr>
        <w:t>)</w:t>
      </w:r>
    </w:p>
    <w:p w14:paraId="5A4FDC29" w14:textId="4925F3CC" w:rsidR="00ED594F" w:rsidRDefault="00ED594F" w:rsidP="00ED594F">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Hang, T.T.B., Nhung, D.T.H., Huy, D.T.N., Hung, N.M. and Pham, M.D. (2020) ‘Where Beta is going–case of Viet Nam hotel, airlines and tourism company groups after the low inflation period’, </w:t>
      </w:r>
      <w:r>
        <w:rPr>
          <w:rFonts w:ascii="Times New Roman" w:hAnsi="Times New Roman" w:cs="Times New Roman"/>
          <w:i/>
          <w:iCs/>
          <w:color w:val="222222"/>
          <w:sz w:val="24"/>
          <w:szCs w:val="24"/>
          <w:shd w:val="clear" w:color="auto" w:fill="FFFFFF"/>
        </w:rPr>
        <w:t>Entrepreneurship and Sustainability Issues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w:t>
      </w:r>
      <w:r>
        <w:rPr>
          <w:rFonts w:ascii="Times New Roman" w:hAnsi="Times New Roman" w:cs="Times New Roman"/>
          <w:color w:val="222222"/>
          <w:sz w:val="24"/>
          <w:szCs w:val="24"/>
          <w:shd w:val="clear" w:color="auto" w:fill="FFFFFF"/>
        </w:rPr>
        <w:t xml:space="preserve">(3), p.2282. </w:t>
      </w:r>
      <w:r>
        <w:rPr>
          <w:rFonts w:ascii="Times New Roman" w:hAnsi="Times New Roman" w:cs="Times New Roman"/>
          <w:sz w:val="24"/>
          <w:szCs w:val="24"/>
        </w:rPr>
        <w:t>Available at: http://doi.org/10.9770/jesi.2020.7.3(55).</w:t>
      </w:r>
      <w:r>
        <w:rPr>
          <w:rFonts w:ascii="Times New Roman" w:hAnsi="Times New Roman" w:cs="Times New Roman"/>
          <w:color w:val="222222"/>
          <w:sz w:val="24"/>
          <w:szCs w:val="24"/>
          <w:shd w:val="clear" w:color="auto" w:fill="FFFFFF"/>
        </w:rPr>
        <w:t xml:space="preserve"> (Accessed: </w:t>
      </w:r>
      <w:r w:rsidR="00073BE4">
        <w:rPr>
          <w:rFonts w:ascii="Times New Roman" w:hAnsi="Times New Roman" w:cs="Times New Roman"/>
          <w:color w:val="222222"/>
          <w:sz w:val="24"/>
          <w:szCs w:val="24"/>
          <w:shd w:val="clear" w:color="auto" w:fill="FFFFFF"/>
        </w:rPr>
        <w:t>24</w:t>
      </w:r>
      <w:r>
        <w:rPr>
          <w:rFonts w:ascii="Times New Roman" w:hAnsi="Times New Roman" w:cs="Times New Roman"/>
          <w:color w:val="222222"/>
          <w:sz w:val="24"/>
          <w:szCs w:val="24"/>
          <w:shd w:val="clear" w:color="auto" w:fill="FFFFFF"/>
        </w:rPr>
        <w:t xml:space="preserve"> </w:t>
      </w:r>
      <w:r w:rsidR="00F5286B">
        <w:rPr>
          <w:rFonts w:ascii="Times New Roman" w:hAnsi="Times New Roman" w:cs="Times New Roman"/>
          <w:color w:val="222222"/>
          <w:sz w:val="24"/>
          <w:szCs w:val="24"/>
          <w:shd w:val="clear" w:color="auto" w:fill="FFFFFF"/>
        </w:rPr>
        <w:t>February 2024</w:t>
      </w:r>
      <w:r>
        <w:rPr>
          <w:rFonts w:ascii="Times New Roman" w:hAnsi="Times New Roman" w:cs="Times New Roman"/>
          <w:color w:val="222222"/>
          <w:sz w:val="24"/>
          <w:szCs w:val="24"/>
          <w:shd w:val="clear" w:color="auto" w:fill="FFFFFF"/>
        </w:rPr>
        <w:t>).</w:t>
      </w:r>
    </w:p>
    <w:p w14:paraId="44BDF8B4" w14:textId="2D36D018" w:rsidR="00ED594F" w:rsidRDefault="00ED594F" w:rsidP="00ED594F">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Husna, A. and Satria, I. (2019) ‘Effects of return on asset, debt to asset ratio, current ratio, firm size, and dividend payout ratio on firm value’, </w:t>
      </w:r>
      <w:r>
        <w:rPr>
          <w:rFonts w:ascii="Times New Roman" w:hAnsi="Times New Roman" w:cs="Times New Roman"/>
          <w:i/>
          <w:iCs/>
          <w:color w:val="222222"/>
          <w:sz w:val="24"/>
          <w:szCs w:val="24"/>
          <w:shd w:val="clear" w:color="auto" w:fill="FFFFFF"/>
        </w:rPr>
        <w:t>International Journal of Economics and Financial Issues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 xml:space="preserve">(5), pp.50-54. Available at: </w:t>
      </w:r>
      <w:r>
        <w:rPr>
          <w:rFonts w:ascii="Times New Roman" w:hAnsi="Times New Roman" w:cs="Times New Roman"/>
          <w:sz w:val="24"/>
          <w:szCs w:val="24"/>
        </w:rPr>
        <w:t xml:space="preserve">https://doi.org/10.32479/ijefi.8595 </w:t>
      </w:r>
      <w:r>
        <w:rPr>
          <w:rFonts w:ascii="Times New Roman" w:hAnsi="Times New Roman" w:cs="Times New Roman"/>
          <w:color w:val="222222"/>
          <w:sz w:val="24"/>
          <w:szCs w:val="24"/>
          <w:shd w:val="clear" w:color="auto" w:fill="FFFFFF"/>
        </w:rPr>
        <w:t xml:space="preserve">(Accessed: </w:t>
      </w:r>
      <w:r w:rsidR="00073BE4">
        <w:rPr>
          <w:rFonts w:ascii="Times New Roman" w:hAnsi="Times New Roman" w:cs="Times New Roman"/>
          <w:color w:val="222222"/>
          <w:sz w:val="24"/>
          <w:szCs w:val="24"/>
          <w:shd w:val="clear" w:color="auto" w:fill="FFFFFF"/>
        </w:rPr>
        <w:t>21</w:t>
      </w:r>
      <w:r>
        <w:rPr>
          <w:rFonts w:ascii="Times New Roman" w:hAnsi="Times New Roman" w:cs="Times New Roman"/>
          <w:color w:val="222222"/>
          <w:sz w:val="24"/>
          <w:szCs w:val="24"/>
          <w:shd w:val="clear" w:color="auto" w:fill="FFFFFF"/>
        </w:rPr>
        <w:t xml:space="preserve"> </w:t>
      </w:r>
      <w:r w:rsidR="00073BE4">
        <w:rPr>
          <w:rFonts w:ascii="Times New Roman" w:hAnsi="Times New Roman" w:cs="Times New Roman"/>
          <w:color w:val="222222"/>
          <w:sz w:val="24"/>
          <w:szCs w:val="24"/>
          <w:shd w:val="clear" w:color="auto" w:fill="FFFFFF"/>
        </w:rPr>
        <w:t>February</w:t>
      </w:r>
      <w:r>
        <w:rPr>
          <w:rFonts w:ascii="Times New Roman" w:hAnsi="Times New Roman" w:cs="Times New Roman"/>
          <w:color w:val="222222"/>
          <w:sz w:val="24"/>
          <w:szCs w:val="24"/>
          <w:shd w:val="clear" w:color="auto" w:fill="FFFFFF"/>
        </w:rPr>
        <w:t xml:space="preserve"> 202</w:t>
      </w:r>
      <w:r w:rsidR="00073BE4">
        <w:rPr>
          <w:rFonts w:ascii="Times New Roman" w:hAnsi="Times New Roman" w:cs="Times New Roman"/>
          <w:color w:val="222222"/>
          <w:sz w:val="24"/>
          <w:szCs w:val="24"/>
          <w:shd w:val="clear" w:color="auto" w:fill="FFFFFF"/>
        </w:rPr>
        <w:t>4</w:t>
      </w:r>
      <w:r>
        <w:rPr>
          <w:rFonts w:ascii="Times New Roman" w:hAnsi="Times New Roman" w:cs="Times New Roman"/>
          <w:color w:val="222222"/>
          <w:sz w:val="24"/>
          <w:szCs w:val="24"/>
          <w:shd w:val="clear" w:color="auto" w:fill="FFFFFF"/>
        </w:rPr>
        <w:t>).</w:t>
      </w:r>
    </w:p>
    <w:p w14:paraId="46FAE9E1" w14:textId="74F7B769" w:rsidR="00ED594F" w:rsidRDefault="00ED594F" w:rsidP="00ED594F">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Irman, M. and Purwati, A.A. (2020) ‘Analysis on the influence of current ratio, debt to equity ratio and total asset turnover toward return on assets on the </w:t>
      </w:r>
      <w:proofErr w:type="spellStart"/>
      <w:r>
        <w:rPr>
          <w:rFonts w:ascii="Times New Roman" w:hAnsi="Times New Roman" w:cs="Times New Roman"/>
          <w:color w:val="222222"/>
          <w:sz w:val="24"/>
          <w:szCs w:val="24"/>
          <w:shd w:val="clear" w:color="auto" w:fill="FFFFFF"/>
        </w:rPr>
        <w:t>otomotive</w:t>
      </w:r>
      <w:proofErr w:type="spellEnd"/>
      <w:r>
        <w:rPr>
          <w:rFonts w:ascii="Times New Roman" w:hAnsi="Times New Roman" w:cs="Times New Roman"/>
          <w:color w:val="222222"/>
          <w:sz w:val="24"/>
          <w:szCs w:val="24"/>
          <w:shd w:val="clear" w:color="auto" w:fill="FFFFFF"/>
        </w:rPr>
        <w:t xml:space="preserve"> and component company that has been registered in Indonesia Stock Exchange Within 2011-2017’, </w:t>
      </w:r>
      <w:r>
        <w:rPr>
          <w:rFonts w:ascii="Times New Roman" w:hAnsi="Times New Roman" w:cs="Times New Roman"/>
          <w:i/>
          <w:iCs/>
          <w:color w:val="222222"/>
          <w:sz w:val="24"/>
          <w:szCs w:val="24"/>
          <w:shd w:val="clear" w:color="auto" w:fill="FFFFFF"/>
        </w:rPr>
        <w:t>International Journal of Economics Development Research (IJEDR)</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 xml:space="preserve">(1), pp.36-44. Available at: </w:t>
      </w:r>
      <w:r>
        <w:rPr>
          <w:rFonts w:ascii="Times New Roman" w:hAnsi="Times New Roman" w:cs="Times New Roman"/>
          <w:sz w:val="24"/>
          <w:szCs w:val="24"/>
        </w:rPr>
        <w:t>https://www.yrpipku.com/journal/index.php/ijedr/article/download/26/11</w:t>
      </w:r>
      <w:r>
        <w:rPr>
          <w:rFonts w:ascii="Times New Roman" w:hAnsi="Times New Roman" w:cs="Times New Roman"/>
          <w:color w:val="222222"/>
          <w:sz w:val="24"/>
          <w:szCs w:val="24"/>
          <w:shd w:val="clear" w:color="auto" w:fill="FFFFFF"/>
        </w:rPr>
        <w:t xml:space="preserve"> (Accessed: </w:t>
      </w:r>
      <w:r w:rsidR="00B06F6E">
        <w:rPr>
          <w:rFonts w:ascii="Times New Roman" w:hAnsi="Times New Roman" w:cs="Times New Roman"/>
          <w:color w:val="222222"/>
          <w:sz w:val="24"/>
          <w:szCs w:val="24"/>
          <w:shd w:val="clear" w:color="auto" w:fill="FFFFFF"/>
        </w:rPr>
        <w:t xml:space="preserve">17 </w:t>
      </w:r>
      <w:r w:rsidR="00F5286B">
        <w:rPr>
          <w:rFonts w:ascii="Times New Roman" w:hAnsi="Times New Roman" w:cs="Times New Roman"/>
          <w:color w:val="222222"/>
          <w:sz w:val="24"/>
          <w:szCs w:val="24"/>
          <w:shd w:val="clear" w:color="auto" w:fill="FFFFFF"/>
        </w:rPr>
        <w:t>February 2024</w:t>
      </w:r>
      <w:r>
        <w:rPr>
          <w:rFonts w:ascii="Times New Roman" w:hAnsi="Times New Roman" w:cs="Times New Roman"/>
          <w:color w:val="222222"/>
          <w:sz w:val="24"/>
          <w:szCs w:val="24"/>
          <w:shd w:val="clear" w:color="auto" w:fill="FFFFFF"/>
        </w:rPr>
        <w:t>).</w:t>
      </w:r>
    </w:p>
    <w:p w14:paraId="22EB4A6F" w14:textId="075F7CC0" w:rsidR="00ED594F" w:rsidRDefault="00ED594F" w:rsidP="00ED594F">
      <w:pPr>
        <w:rPr>
          <w:rFonts w:ascii="Times New Roman" w:hAnsi="Times New Roman" w:cs="Times New Roman"/>
          <w:sz w:val="24"/>
          <w:szCs w:val="24"/>
        </w:rPr>
      </w:pPr>
      <w:r w:rsidRPr="00073BE4">
        <w:rPr>
          <w:rFonts w:ascii="Times New Roman" w:hAnsi="Times New Roman" w:cs="Times New Roman"/>
          <w:color w:val="222222"/>
          <w:sz w:val="24"/>
          <w:szCs w:val="24"/>
          <w:shd w:val="clear" w:color="auto" w:fill="FFFFFF"/>
        </w:rPr>
        <w:t xml:space="preserve">Joshi, S. (2023) </w:t>
      </w:r>
      <w:r w:rsidRPr="00073BE4">
        <w:rPr>
          <w:rFonts w:ascii="Times New Roman" w:hAnsi="Times New Roman" w:cs="Times New Roman"/>
          <w:i/>
          <w:iCs/>
          <w:sz w:val="24"/>
          <w:szCs w:val="24"/>
        </w:rPr>
        <w:t>Ansoff Matrix: Growth Strategies, Challenges &amp; Benefits</w:t>
      </w:r>
      <w:r w:rsidRPr="00073BE4">
        <w:rPr>
          <w:rFonts w:ascii="Times New Roman" w:hAnsi="Times New Roman" w:cs="Times New Roman"/>
          <w:sz w:val="24"/>
          <w:szCs w:val="24"/>
        </w:rPr>
        <w:t xml:space="preserve">. Available at: https://www.g2.com/articles/ansoff-matrix (Accessed: 17 </w:t>
      </w:r>
      <w:r w:rsidR="00B06F6E">
        <w:rPr>
          <w:rFonts w:ascii="Times New Roman" w:hAnsi="Times New Roman" w:cs="Times New Roman"/>
          <w:sz w:val="24"/>
          <w:szCs w:val="24"/>
        </w:rPr>
        <w:t>February</w:t>
      </w:r>
      <w:r w:rsidRPr="00073BE4">
        <w:rPr>
          <w:rFonts w:ascii="Times New Roman" w:hAnsi="Times New Roman" w:cs="Times New Roman"/>
          <w:sz w:val="24"/>
          <w:szCs w:val="24"/>
        </w:rPr>
        <w:t xml:space="preserve"> 2024)</w:t>
      </w:r>
    </w:p>
    <w:p w14:paraId="37935B2B" w14:textId="4E6C3FD1" w:rsidR="00ED594F" w:rsidRDefault="00ED594F" w:rsidP="00ED594F">
      <w:pPr>
        <w:rPr>
          <w:rFonts w:ascii="Times New Roman" w:hAnsi="Times New Roman" w:cs="Times New Roman"/>
          <w:b/>
          <w:bCs/>
          <w:sz w:val="24"/>
          <w:szCs w:val="24"/>
        </w:rPr>
      </w:pPr>
      <w:r>
        <w:rPr>
          <w:rFonts w:ascii="Times New Roman" w:hAnsi="Times New Roman" w:cs="Times New Roman"/>
          <w:color w:val="222222"/>
          <w:sz w:val="24"/>
          <w:szCs w:val="24"/>
          <w:shd w:val="clear" w:color="auto" w:fill="FFFFFF"/>
        </w:rPr>
        <w:t>Khan, Y.H., Hakeem, S.M.A. And Naumov, N. (2018) ‘The use of branding and market segmentation in hotel marketing: A Conceptual Review’, </w:t>
      </w:r>
      <w:r>
        <w:rPr>
          <w:rFonts w:ascii="Times New Roman" w:hAnsi="Times New Roman" w:cs="Times New Roman"/>
          <w:i/>
          <w:iCs/>
          <w:color w:val="222222"/>
          <w:sz w:val="24"/>
          <w:szCs w:val="24"/>
          <w:shd w:val="clear" w:color="auto" w:fill="FFFFFF"/>
        </w:rPr>
        <w:t>Journal of tourism intelligence and smartness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 xml:space="preserve">(2), pp.12-23. </w:t>
      </w:r>
      <w:r>
        <w:rPr>
          <w:rFonts w:ascii="Times New Roman" w:hAnsi="Times New Roman" w:cs="Times New Roman"/>
          <w:sz w:val="24"/>
          <w:szCs w:val="24"/>
        </w:rPr>
        <w:t>Available at: https://dergipark.org.tr/en/download/article-file/609826</w:t>
      </w:r>
      <w:r>
        <w:rPr>
          <w:rFonts w:ascii="Times New Roman" w:hAnsi="Times New Roman" w:cs="Times New Roman"/>
          <w:color w:val="222222"/>
          <w:sz w:val="24"/>
          <w:szCs w:val="24"/>
          <w:shd w:val="clear" w:color="auto" w:fill="FFFFFF"/>
        </w:rPr>
        <w:t xml:space="preserve"> (Accessed: </w:t>
      </w:r>
      <w:r w:rsidR="00073BE4">
        <w:rPr>
          <w:rFonts w:ascii="Times New Roman" w:hAnsi="Times New Roman" w:cs="Times New Roman"/>
          <w:color w:val="222222"/>
          <w:sz w:val="24"/>
          <w:szCs w:val="24"/>
          <w:shd w:val="clear" w:color="auto" w:fill="FFFFFF"/>
        </w:rPr>
        <w:t>17</w:t>
      </w:r>
      <w:r>
        <w:rPr>
          <w:rFonts w:ascii="Times New Roman" w:hAnsi="Times New Roman" w:cs="Times New Roman"/>
          <w:color w:val="222222"/>
          <w:sz w:val="24"/>
          <w:szCs w:val="24"/>
          <w:shd w:val="clear" w:color="auto" w:fill="FFFFFF"/>
        </w:rPr>
        <w:t xml:space="preserve"> </w:t>
      </w:r>
      <w:r w:rsidR="00073BE4">
        <w:rPr>
          <w:rFonts w:ascii="Times New Roman" w:hAnsi="Times New Roman" w:cs="Times New Roman"/>
          <w:color w:val="222222"/>
          <w:sz w:val="24"/>
          <w:szCs w:val="24"/>
          <w:shd w:val="clear" w:color="auto" w:fill="FFFFFF"/>
        </w:rPr>
        <w:t>February</w:t>
      </w:r>
      <w:r>
        <w:rPr>
          <w:rFonts w:ascii="Times New Roman" w:hAnsi="Times New Roman" w:cs="Times New Roman"/>
          <w:color w:val="222222"/>
          <w:sz w:val="24"/>
          <w:szCs w:val="24"/>
          <w:shd w:val="clear" w:color="auto" w:fill="FFFFFF"/>
        </w:rPr>
        <w:t xml:space="preserve"> 202</w:t>
      </w:r>
      <w:r w:rsidR="00073BE4">
        <w:rPr>
          <w:rFonts w:ascii="Times New Roman" w:hAnsi="Times New Roman" w:cs="Times New Roman"/>
          <w:color w:val="222222"/>
          <w:sz w:val="24"/>
          <w:szCs w:val="24"/>
          <w:shd w:val="clear" w:color="auto" w:fill="FFFFFF"/>
        </w:rPr>
        <w:t>4</w:t>
      </w:r>
      <w:r>
        <w:rPr>
          <w:rFonts w:ascii="Times New Roman" w:hAnsi="Times New Roman" w:cs="Times New Roman"/>
          <w:color w:val="222222"/>
          <w:sz w:val="24"/>
          <w:szCs w:val="24"/>
          <w:shd w:val="clear" w:color="auto" w:fill="FFFFFF"/>
        </w:rPr>
        <w:t>).</w:t>
      </w:r>
    </w:p>
    <w:p w14:paraId="2B1D481B" w14:textId="5890CB96" w:rsidR="00ED594F" w:rsidRDefault="00ED594F" w:rsidP="00ED594F">
      <w:pPr>
        <w:rPr>
          <w:rFonts w:ascii="Times New Roman" w:hAnsi="Times New Roman" w:cs="Times New Roman"/>
          <w:sz w:val="24"/>
          <w:szCs w:val="24"/>
        </w:rPr>
      </w:pPr>
      <w:r>
        <w:rPr>
          <w:rFonts w:ascii="Times New Roman" w:hAnsi="Times New Roman" w:cs="Times New Roman"/>
          <w:sz w:val="24"/>
          <w:szCs w:val="24"/>
        </w:rPr>
        <w:t xml:space="preserve">Markgraf B. (2023) </w:t>
      </w:r>
      <w:r>
        <w:rPr>
          <w:rFonts w:ascii="Times New Roman" w:hAnsi="Times New Roman" w:cs="Times New Roman"/>
          <w:i/>
          <w:sz w:val="24"/>
          <w:szCs w:val="24"/>
        </w:rPr>
        <w:t>Marketing Strategies to Decrease a Budget.</w:t>
      </w:r>
      <w:r>
        <w:rPr>
          <w:rFonts w:ascii="Times New Roman" w:hAnsi="Times New Roman" w:cs="Times New Roman"/>
          <w:sz w:val="24"/>
          <w:szCs w:val="24"/>
        </w:rPr>
        <w:t xml:space="preserve"> Available at: https://smallbusiness.chron.com/marketing-strategies-decrease-budget-15400.html (Accessed: 2</w:t>
      </w:r>
      <w:r w:rsidR="00073BE4">
        <w:rPr>
          <w:rFonts w:ascii="Times New Roman" w:hAnsi="Times New Roman" w:cs="Times New Roman"/>
          <w:sz w:val="24"/>
          <w:szCs w:val="24"/>
        </w:rPr>
        <w:t>6</w:t>
      </w:r>
      <w:r>
        <w:rPr>
          <w:rFonts w:ascii="Times New Roman" w:hAnsi="Times New Roman" w:cs="Times New Roman"/>
          <w:sz w:val="24"/>
          <w:szCs w:val="24"/>
        </w:rPr>
        <w:t xml:space="preserve"> </w:t>
      </w:r>
      <w:r w:rsidR="00073BE4">
        <w:rPr>
          <w:rFonts w:ascii="Times New Roman" w:hAnsi="Times New Roman" w:cs="Times New Roman"/>
          <w:sz w:val="24"/>
          <w:szCs w:val="24"/>
        </w:rPr>
        <w:t>February</w:t>
      </w:r>
      <w:r>
        <w:rPr>
          <w:rFonts w:ascii="Times New Roman" w:hAnsi="Times New Roman" w:cs="Times New Roman"/>
          <w:sz w:val="24"/>
          <w:szCs w:val="24"/>
        </w:rPr>
        <w:t xml:space="preserve"> 202</w:t>
      </w:r>
      <w:r w:rsidR="00073BE4">
        <w:rPr>
          <w:rFonts w:ascii="Times New Roman" w:hAnsi="Times New Roman" w:cs="Times New Roman"/>
          <w:sz w:val="24"/>
          <w:szCs w:val="24"/>
        </w:rPr>
        <w:t>4</w:t>
      </w:r>
      <w:r>
        <w:rPr>
          <w:rFonts w:ascii="Times New Roman" w:hAnsi="Times New Roman" w:cs="Times New Roman"/>
          <w:sz w:val="24"/>
          <w:szCs w:val="24"/>
        </w:rPr>
        <w:t>)</w:t>
      </w:r>
    </w:p>
    <w:p w14:paraId="1D63F23A" w14:textId="38D4A0AA" w:rsidR="00ED594F" w:rsidRDefault="00ED594F" w:rsidP="00ED594F">
      <w:pPr>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Mucharreira</w:t>
      </w:r>
      <w:proofErr w:type="spellEnd"/>
      <w:r>
        <w:rPr>
          <w:rFonts w:ascii="Times New Roman" w:hAnsi="Times New Roman" w:cs="Times New Roman"/>
          <w:color w:val="222222"/>
          <w:sz w:val="24"/>
          <w:szCs w:val="24"/>
          <w:shd w:val="clear" w:color="auto" w:fill="FFFFFF"/>
        </w:rPr>
        <w:t xml:space="preserve">, P.R., Antunes, M.G., </w:t>
      </w:r>
      <w:proofErr w:type="spellStart"/>
      <w:r>
        <w:rPr>
          <w:rFonts w:ascii="Times New Roman" w:hAnsi="Times New Roman" w:cs="Times New Roman"/>
          <w:color w:val="222222"/>
          <w:sz w:val="24"/>
          <w:szCs w:val="24"/>
          <w:shd w:val="clear" w:color="auto" w:fill="FFFFFF"/>
        </w:rPr>
        <w:t>Abranja</w:t>
      </w:r>
      <w:proofErr w:type="spellEnd"/>
      <w:r>
        <w:rPr>
          <w:rFonts w:ascii="Times New Roman" w:hAnsi="Times New Roman" w:cs="Times New Roman"/>
          <w:color w:val="222222"/>
          <w:sz w:val="24"/>
          <w:szCs w:val="24"/>
          <w:shd w:val="clear" w:color="auto" w:fill="FFFFFF"/>
        </w:rPr>
        <w:t>, N., Justino, M.R.T. and Quirós, J.T.  (2019) ‘The relevance of tourism in financial sustainability of hotels’, </w:t>
      </w:r>
      <w:r>
        <w:rPr>
          <w:rFonts w:ascii="Times New Roman" w:hAnsi="Times New Roman" w:cs="Times New Roman"/>
          <w:i/>
          <w:iCs/>
          <w:color w:val="222222"/>
          <w:sz w:val="24"/>
          <w:szCs w:val="24"/>
          <w:shd w:val="clear" w:color="auto" w:fill="FFFFFF"/>
        </w:rPr>
        <w:t>European Research on Management and Business Economics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 xml:space="preserve">(3), pp.165-174. Available at: https://doi.org/10.1016/j.iedeen.2019.07.002. (Accessed: </w:t>
      </w:r>
      <w:r w:rsidR="00073BE4">
        <w:rPr>
          <w:rFonts w:ascii="Times New Roman" w:hAnsi="Times New Roman" w:cs="Times New Roman"/>
          <w:color w:val="222222"/>
          <w:sz w:val="24"/>
          <w:szCs w:val="24"/>
          <w:shd w:val="clear" w:color="auto" w:fill="FFFFFF"/>
        </w:rPr>
        <w:t>20</w:t>
      </w:r>
      <w:r>
        <w:rPr>
          <w:rFonts w:ascii="Times New Roman" w:hAnsi="Times New Roman" w:cs="Times New Roman"/>
          <w:color w:val="222222"/>
          <w:sz w:val="24"/>
          <w:szCs w:val="24"/>
          <w:shd w:val="clear" w:color="auto" w:fill="FFFFFF"/>
        </w:rPr>
        <w:t xml:space="preserve"> </w:t>
      </w:r>
      <w:r w:rsidR="00073BE4">
        <w:rPr>
          <w:rFonts w:ascii="Times New Roman" w:hAnsi="Times New Roman" w:cs="Times New Roman"/>
          <w:color w:val="222222"/>
          <w:sz w:val="24"/>
          <w:szCs w:val="24"/>
          <w:shd w:val="clear" w:color="auto" w:fill="FFFFFF"/>
        </w:rPr>
        <w:t>February</w:t>
      </w:r>
      <w:r>
        <w:rPr>
          <w:rFonts w:ascii="Times New Roman" w:hAnsi="Times New Roman" w:cs="Times New Roman"/>
          <w:color w:val="222222"/>
          <w:sz w:val="24"/>
          <w:szCs w:val="24"/>
          <w:shd w:val="clear" w:color="auto" w:fill="FFFFFF"/>
        </w:rPr>
        <w:t xml:space="preserve"> 202</w:t>
      </w:r>
      <w:r w:rsidR="00073BE4">
        <w:rPr>
          <w:rFonts w:ascii="Times New Roman" w:hAnsi="Times New Roman" w:cs="Times New Roman"/>
          <w:color w:val="222222"/>
          <w:sz w:val="24"/>
          <w:szCs w:val="24"/>
          <w:shd w:val="clear" w:color="auto" w:fill="FFFFFF"/>
        </w:rPr>
        <w:t>4</w:t>
      </w:r>
      <w:r>
        <w:rPr>
          <w:rFonts w:ascii="Times New Roman" w:hAnsi="Times New Roman" w:cs="Times New Roman"/>
          <w:color w:val="222222"/>
          <w:sz w:val="24"/>
          <w:szCs w:val="24"/>
          <w:shd w:val="clear" w:color="auto" w:fill="FFFFFF"/>
        </w:rPr>
        <w:t>).</w:t>
      </w:r>
    </w:p>
    <w:p w14:paraId="1E505A50" w14:textId="2650EB18" w:rsidR="00ED594F" w:rsidRDefault="00ED594F" w:rsidP="00ED594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Navratil, J., Picha, K., </w:t>
      </w:r>
      <w:proofErr w:type="spellStart"/>
      <w:r>
        <w:rPr>
          <w:rFonts w:ascii="Times New Roman" w:hAnsi="Times New Roman" w:cs="Times New Roman"/>
          <w:color w:val="222222"/>
          <w:sz w:val="24"/>
          <w:szCs w:val="24"/>
          <w:shd w:val="clear" w:color="auto" w:fill="FFFFFF"/>
        </w:rPr>
        <w:t>Buchecker</w:t>
      </w:r>
      <w:proofErr w:type="spellEnd"/>
      <w:r>
        <w:rPr>
          <w:rFonts w:ascii="Times New Roman" w:hAnsi="Times New Roman" w:cs="Times New Roman"/>
          <w:color w:val="222222"/>
          <w:sz w:val="24"/>
          <w:szCs w:val="24"/>
          <w:shd w:val="clear" w:color="auto" w:fill="FFFFFF"/>
        </w:rPr>
        <w:t xml:space="preserve">, M., Martinat, S., Svec, R., </w:t>
      </w:r>
      <w:proofErr w:type="spellStart"/>
      <w:r>
        <w:rPr>
          <w:rFonts w:ascii="Times New Roman" w:hAnsi="Times New Roman" w:cs="Times New Roman"/>
          <w:color w:val="222222"/>
          <w:sz w:val="24"/>
          <w:szCs w:val="24"/>
          <w:shd w:val="clear" w:color="auto" w:fill="FFFFFF"/>
        </w:rPr>
        <w:t>Brezinova</w:t>
      </w:r>
      <w:proofErr w:type="spellEnd"/>
      <w:r>
        <w:rPr>
          <w:rFonts w:ascii="Times New Roman" w:hAnsi="Times New Roman" w:cs="Times New Roman"/>
          <w:color w:val="222222"/>
          <w:sz w:val="24"/>
          <w:szCs w:val="24"/>
          <w:shd w:val="clear" w:color="auto" w:fill="FFFFFF"/>
        </w:rPr>
        <w:t>, M. and Knotek, J. (2019) ‘Visitors’ preferences of renewable energy options in “green” hotels’, </w:t>
      </w:r>
      <w:r>
        <w:rPr>
          <w:rFonts w:ascii="Times New Roman" w:hAnsi="Times New Roman" w:cs="Times New Roman"/>
          <w:i/>
          <w:iCs/>
          <w:color w:val="222222"/>
          <w:sz w:val="24"/>
          <w:szCs w:val="24"/>
          <w:shd w:val="clear" w:color="auto" w:fill="FFFFFF"/>
        </w:rPr>
        <w:t>Renewable energy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138</w:t>
      </w:r>
      <w:r>
        <w:rPr>
          <w:rFonts w:ascii="Times New Roman" w:hAnsi="Times New Roman" w:cs="Times New Roman"/>
          <w:color w:val="222222"/>
          <w:sz w:val="24"/>
          <w:szCs w:val="24"/>
          <w:shd w:val="clear" w:color="auto" w:fill="FFFFFF"/>
        </w:rPr>
        <w:t xml:space="preserve">, pp.1065-1077. Available at: https://doi.org/10.1016/j.renene.2019.02.043. (Accessed: 27 </w:t>
      </w:r>
      <w:r w:rsidR="00073BE4">
        <w:rPr>
          <w:rFonts w:ascii="Times New Roman" w:hAnsi="Times New Roman" w:cs="Times New Roman"/>
          <w:color w:val="222222"/>
          <w:sz w:val="24"/>
          <w:szCs w:val="24"/>
          <w:shd w:val="clear" w:color="auto" w:fill="FFFFFF"/>
        </w:rPr>
        <w:t xml:space="preserve">February </w:t>
      </w:r>
      <w:r>
        <w:rPr>
          <w:rFonts w:ascii="Times New Roman" w:hAnsi="Times New Roman" w:cs="Times New Roman"/>
          <w:color w:val="222222"/>
          <w:sz w:val="24"/>
          <w:szCs w:val="24"/>
          <w:shd w:val="clear" w:color="auto" w:fill="FFFFFF"/>
        </w:rPr>
        <w:t>202</w:t>
      </w:r>
      <w:r w:rsidR="00073BE4">
        <w:rPr>
          <w:rFonts w:ascii="Times New Roman" w:hAnsi="Times New Roman" w:cs="Times New Roman"/>
          <w:color w:val="222222"/>
          <w:sz w:val="24"/>
          <w:szCs w:val="24"/>
          <w:shd w:val="clear" w:color="auto" w:fill="FFFFFF"/>
        </w:rPr>
        <w:t>4</w:t>
      </w:r>
      <w:r>
        <w:rPr>
          <w:rFonts w:ascii="Times New Roman" w:hAnsi="Times New Roman" w:cs="Times New Roman"/>
          <w:color w:val="222222"/>
          <w:sz w:val="24"/>
          <w:szCs w:val="24"/>
          <w:shd w:val="clear" w:color="auto" w:fill="FFFFFF"/>
        </w:rPr>
        <w:t>).</w:t>
      </w:r>
    </w:p>
    <w:p w14:paraId="0BA56E3B" w14:textId="575C99BB" w:rsidR="00ED594F" w:rsidRDefault="00ED594F" w:rsidP="00ED594F">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Nica, E., </w:t>
      </w:r>
      <w:proofErr w:type="spellStart"/>
      <w:r>
        <w:rPr>
          <w:rFonts w:ascii="Times New Roman" w:hAnsi="Times New Roman" w:cs="Times New Roman"/>
          <w:color w:val="222222"/>
          <w:sz w:val="24"/>
          <w:szCs w:val="24"/>
          <w:shd w:val="clear" w:color="auto" w:fill="FFFFFF"/>
        </w:rPr>
        <w:t>Gajanova</w:t>
      </w:r>
      <w:proofErr w:type="spellEnd"/>
      <w:r>
        <w:rPr>
          <w:rFonts w:ascii="Times New Roman" w:hAnsi="Times New Roman" w:cs="Times New Roman"/>
          <w:color w:val="222222"/>
          <w:sz w:val="24"/>
          <w:szCs w:val="24"/>
          <w:shd w:val="clear" w:color="auto" w:fill="FFFFFF"/>
        </w:rPr>
        <w:t xml:space="preserve">, L. and </w:t>
      </w:r>
      <w:proofErr w:type="spellStart"/>
      <w:r>
        <w:rPr>
          <w:rFonts w:ascii="Times New Roman" w:hAnsi="Times New Roman" w:cs="Times New Roman"/>
          <w:color w:val="222222"/>
          <w:sz w:val="24"/>
          <w:szCs w:val="24"/>
          <w:shd w:val="clear" w:color="auto" w:fill="FFFFFF"/>
        </w:rPr>
        <w:t>Kicova</w:t>
      </w:r>
      <w:proofErr w:type="spellEnd"/>
      <w:r>
        <w:rPr>
          <w:rFonts w:ascii="Times New Roman" w:hAnsi="Times New Roman" w:cs="Times New Roman"/>
          <w:color w:val="222222"/>
          <w:sz w:val="24"/>
          <w:szCs w:val="24"/>
          <w:shd w:val="clear" w:color="auto" w:fill="FFFFFF"/>
        </w:rPr>
        <w:t>, E. (2019) ‘Customer segmentation based on psychographic and demographic aspects as a determinant of customer targeting in the online environment’, </w:t>
      </w:r>
      <w:proofErr w:type="spellStart"/>
      <w:r>
        <w:rPr>
          <w:rFonts w:ascii="Times New Roman" w:hAnsi="Times New Roman" w:cs="Times New Roman"/>
          <w:i/>
          <w:iCs/>
          <w:color w:val="222222"/>
          <w:sz w:val="24"/>
          <w:szCs w:val="24"/>
          <w:shd w:val="clear" w:color="auto" w:fill="FFFFFF"/>
        </w:rPr>
        <w:t>Littera</w:t>
      </w:r>
      <w:proofErr w:type="spellEnd"/>
      <w:r>
        <w:rPr>
          <w:rFonts w:ascii="Times New Roman" w:hAnsi="Times New Roman" w:cs="Times New Roman"/>
          <w:i/>
          <w:iCs/>
          <w:color w:val="222222"/>
          <w:sz w:val="24"/>
          <w:szCs w:val="24"/>
          <w:shd w:val="clear" w:color="auto" w:fill="FFFFFF"/>
        </w:rPr>
        <w:t xml:space="preserve"> Scripta</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(2), pp.108-126. Available at: https://doi.org/10.36708/Littera_Scripta2019/2/0. (Accessed: 2</w:t>
      </w:r>
      <w:r w:rsidR="00073BE4">
        <w:rPr>
          <w:rFonts w:ascii="Times New Roman" w:hAnsi="Times New Roman" w:cs="Times New Roman"/>
          <w:color w:val="222222"/>
          <w:sz w:val="24"/>
          <w:szCs w:val="24"/>
          <w:shd w:val="clear" w:color="auto" w:fill="FFFFFF"/>
        </w:rPr>
        <w:t>5</w:t>
      </w:r>
      <w:r>
        <w:rPr>
          <w:rFonts w:ascii="Times New Roman" w:hAnsi="Times New Roman" w:cs="Times New Roman"/>
          <w:color w:val="222222"/>
          <w:sz w:val="24"/>
          <w:szCs w:val="24"/>
          <w:shd w:val="clear" w:color="auto" w:fill="FFFFFF"/>
        </w:rPr>
        <w:t xml:space="preserve"> </w:t>
      </w:r>
      <w:r w:rsidR="00073BE4">
        <w:rPr>
          <w:rFonts w:ascii="Times New Roman" w:hAnsi="Times New Roman" w:cs="Times New Roman"/>
          <w:color w:val="222222"/>
          <w:sz w:val="24"/>
          <w:szCs w:val="24"/>
          <w:shd w:val="clear" w:color="auto" w:fill="FFFFFF"/>
        </w:rPr>
        <w:t>February</w:t>
      </w:r>
      <w:r>
        <w:rPr>
          <w:rFonts w:ascii="Times New Roman" w:hAnsi="Times New Roman" w:cs="Times New Roman"/>
          <w:color w:val="222222"/>
          <w:sz w:val="24"/>
          <w:szCs w:val="24"/>
          <w:shd w:val="clear" w:color="auto" w:fill="FFFFFF"/>
        </w:rPr>
        <w:t xml:space="preserve"> 202</w:t>
      </w:r>
      <w:r w:rsidR="00073BE4">
        <w:rPr>
          <w:rFonts w:ascii="Times New Roman" w:hAnsi="Times New Roman" w:cs="Times New Roman"/>
          <w:color w:val="222222"/>
          <w:sz w:val="24"/>
          <w:szCs w:val="24"/>
          <w:shd w:val="clear" w:color="auto" w:fill="FFFFFF"/>
        </w:rPr>
        <w:t>4</w:t>
      </w:r>
      <w:r>
        <w:rPr>
          <w:rFonts w:ascii="Times New Roman" w:hAnsi="Times New Roman" w:cs="Times New Roman"/>
          <w:color w:val="222222"/>
          <w:sz w:val="24"/>
          <w:szCs w:val="24"/>
          <w:shd w:val="clear" w:color="auto" w:fill="FFFFFF"/>
        </w:rPr>
        <w:t>).</w:t>
      </w:r>
    </w:p>
    <w:p w14:paraId="648285A1" w14:textId="5B15037E" w:rsidR="00ED594F" w:rsidRDefault="00ED594F" w:rsidP="00ED594F">
      <w:pPr>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Nugraha</w:t>
      </w:r>
      <w:proofErr w:type="spellEnd"/>
      <w:r>
        <w:rPr>
          <w:rFonts w:ascii="Times New Roman" w:hAnsi="Times New Roman" w:cs="Times New Roman"/>
          <w:color w:val="222222"/>
          <w:sz w:val="24"/>
          <w:szCs w:val="24"/>
          <w:shd w:val="clear" w:color="auto" w:fill="FFFFFF"/>
        </w:rPr>
        <w:t xml:space="preserve">, N.M., </w:t>
      </w:r>
      <w:proofErr w:type="spellStart"/>
      <w:r>
        <w:rPr>
          <w:rFonts w:ascii="Times New Roman" w:hAnsi="Times New Roman" w:cs="Times New Roman"/>
          <w:color w:val="222222"/>
          <w:sz w:val="24"/>
          <w:szCs w:val="24"/>
          <w:shd w:val="clear" w:color="auto" w:fill="FFFFFF"/>
        </w:rPr>
        <w:t>Puspitasari</w:t>
      </w:r>
      <w:proofErr w:type="spellEnd"/>
      <w:r>
        <w:rPr>
          <w:rFonts w:ascii="Times New Roman" w:hAnsi="Times New Roman" w:cs="Times New Roman"/>
          <w:color w:val="222222"/>
          <w:sz w:val="24"/>
          <w:szCs w:val="24"/>
          <w:shd w:val="clear" w:color="auto" w:fill="FFFFFF"/>
        </w:rPr>
        <w:t>, D.M. and Amalia, S. (2020) ‘The effect of financial ratio factors on the percentage of income increasing of automotive companies in Indonesia’, </w:t>
      </w:r>
      <w:r>
        <w:rPr>
          <w:rFonts w:ascii="Times New Roman" w:hAnsi="Times New Roman" w:cs="Times New Roman"/>
          <w:i/>
          <w:iCs/>
          <w:color w:val="222222"/>
          <w:sz w:val="24"/>
          <w:szCs w:val="24"/>
          <w:shd w:val="clear" w:color="auto" w:fill="FFFFFF"/>
        </w:rPr>
        <w:t>International Journal of Psychosocial Rehabilitation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(1), pp.2539-2545. Available at: https://www.researchgate.net/profile/Nugi-Nugraha/publication/348522483_THE_EFFECT_OF_FINANCIAL_RATIO_FACTORS_ON_THE_PERCENTAGE_OF_INCOME_INCREASING_OF_AUTOMOTIVE_COMPANIES_IN_INDONESIA/links/60020e3192851c13fe146b85/THE-EFFECT-OF-FINANCIAL-RATIO-FACTORS-ON-THE-PERCENTAGE-OF-INCOME-INCREASING-OF-AUTOMOTIVE-COMPANIES-IN-INDONESIA.pdf. (Accessed: 2</w:t>
      </w:r>
      <w:r w:rsidR="004336CB">
        <w:rPr>
          <w:rFonts w:ascii="Times New Roman" w:hAnsi="Times New Roman" w:cs="Times New Roman"/>
          <w:color w:val="222222"/>
          <w:sz w:val="24"/>
          <w:szCs w:val="24"/>
          <w:shd w:val="clear" w:color="auto" w:fill="FFFFFF"/>
        </w:rPr>
        <w:t>5</w:t>
      </w:r>
      <w:r>
        <w:rPr>
          <w:rFonts w:ascii="Times New Roman" w:hAnsi="Times New Roman" w:cs="Times New Roman"/>
          <w:color w:val="222222"/>
          <w:sz w:val="24"/>
          <w:szCs w:val="24"/>
          <w:shd w:val="clear" w:color="auto" w:fill="FFFFFF"/>
        </w:rPr>
        <w:t xml:space="preserve"> </w:t>
      </w:r>
      <w:r w:rsidR="004336CB">
        <w:rPr>
          <w:rFonts w:ascii="Times New Roman" w:hAnsi="Times New Roman" w:cs="Times New Roman"/>
          <w:color w:val="222222"/>
          <w:sz w:val="24"/>
          <w:szCs w:val="24"/>
          <w:shd w:val="clear" w:color="auto" w:fill="FFFFFF"/>
        </w:rPr>
        <w:t xml:space="preserve">February </w:t>
      </w:r>
      <w:r>
        <w:rPr>
          <w:rFonts w:ascii="Times New Roman" w:hAnsi="Times New Roman" w:cs="Times New Roman"/>
          <w:color w:val="222222"/>
          <w:sz w:val="24"/>
          <w:szCs w:val="24"/>
          <w:shd w:val="clear" w:color="auto" w:fill="FFFFFF"/>
        </w:rPr>
        <w:t>202</w:t>
      </w:r>
      <w:r w:rsidR="004336CB">
        <w:rPr>
          <w:rFonts w:ascii="Times New Roman" w:hAnsi="Times New Roman" w:cs="Times New Roman"/>
          <w:color w:val="222222"/>
          <w:sz w:val="24"/>
          <w:szCs w:val="24"/>
          <w:shd w:val="clear" w:color="auto" w:fill="FFFFFF"/>
        </w:rPr>
        <w:t>4</w:t>
      </w:r>
      <w:r>
        <w:rPr>
          <w:rFonts w:ascii="Times New Roman" w:hAnsi="Times New Roman" w:cs="Times New Roman"/>
          <w:color w:val="222222"/>
          <w:sz w:val="24"/>
          <w:szCs w:val="24"/>
          <w:shd w:val="clear" w:color="auto" w:fill="FFFFFF"/>
        </w:rPr>
        <w:t>).</w:t>
      </w:r>
    </w:p>
    <w:p w14:paraId="7E4D542A" w14:textId="77777777" w:rsidR="00ED594F" w:rsidRDefault="00ED594F" w:rsidP="00ED594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Robinson, T.R. (2020) </w:t>
      </w:r>
      <w:r>
        <w:rPr>
          <w:rFonts w:ascii="Times New Roman" w:hAnsi="Times New Roman" w:cs="Times New Roman"/>
          <w:i/>
          <w:iCs/>
          <w:color w:val="222222"/>
          <w:sz w:val="24"/>
          <w:szCs w:val="24"/>
          <w:shd w:val="clear" w:color="auto" w:fill="FFFFFF"/>
        </w:rPr>
        <w:t>International financial statement analysis</w:t>
      </w:r>
      <w:r>
        <w:rPr>
          <w:rFonts w:ascii="Times New Roman" w:hAnsi="Times New Roman" w:cs="Times New Roman"/>
          <w:color w:val="222222"/>
          <w:sz w:val="24"/>
          <w:szCs w:val="24"/>
          <w:shd w:val="clear" w:color="auto" w:fill="FFFFFF"/>
        </w:rPr>
        <w:t>. John Wiley &amp; Sons.</w:t>
      </w:r>
    </w:p>
    <w:p w14:paraId="77A2D7ED" w14:textId="1F6E7935" w:rsidR="00ED594F" w:rsidRDefault="00ED594F" w:rsidP="00ED594F">
      <w:pPr>
        <w:rPr>
          <w:rFonts w:ascii="Times New Roman" w:hAnsi="Times New Roman" w:cs="Times New Roman"/>
          <w:sz w:val="24"/>
          <w:szCs w:val="24"/>
        </w:rPr>
      </w:pPr>
      <w:r w:rsidRPr="004336CB">
        <w:rPr>
          <w:rFonts w:ascii="Times New Roman" w:hAnsi="Times New Roman" w:cs="Times New Roman"/>
          <w:color w:val="222222"/>
          <w:sz w:val="24"/>
          <w:szCs w:val="24"/>
          <w:shd w:val="clear" w:color="auto" w:fill="FFFFFF"/>
        </w:rPr>
        <w:t xml:space="preserve">Sridharan, M. (2024) </w:t>
      </w:r>
      <w:r w:rsidRPr="004336CB">
        <w:rPr>
          <w:rFonts w:ascii="Times New Roman" w:hAnsi="Times New Roman" w:cs="Times New Roman"/>
          <w:i/>
          <w:iCs/>
          <w:sz w:val="24"/>
          <w:szCs w:val="24"/>
        </w:rPr>
        <w:t xml:space="preserve">Bowman’s Strategic Clock – How </w:t>
      </w:r>
      <w:proofErr w:type="gramStart"/>
      <w:r w:rsidRPr="004336CB">
        <w:rPr>
          <w:rFonts w:ascii="Times New Roman" w:hAnsi="Times New Roman" w:cs="Times New Roman"/>
          <w:i/>
          <w:iCs/>
          <w:sz w:val="24"/>
          <w:szCs w:val="24"/>
        </w:rPr>
        <w:t>To</w:t>
      </w:r>
      <w:proofErr w:type="gramEnd"/>
      <w:r w:rsidRPr="004336CB">
        <w:rPr>
          <w:rFonts w:ascii="Times New Roman" w:hAnsi="Times New Roman" w:cs="Times New Roman"/>
          <w:i/>
          <w:iCs/>
          <w:sz w:val="24"/>
          <w:szCs w:val="24"/>
        </w:rPr>
        <w:t xml:space="preserve"> Position Your Product?</w:t>
      </w:r>
      <w:r w:rsidRPr="004336CB">
        <w:rPr>
          <w:rFonts w:ascii="Times New Roman" w:hAnsi="Times New Roman" w:cs="Times New Roman"/>
          <w:sz w:val="24"/>
          <w:szCs w:val="24"/>
        </w:rPr>
        <w:t xml:space="preserve"> Available at: https://thinkinsights.net/strategy/bowmans-strategic-clock/ (Accessed: </w:t>
      </w:r>
      <w:r w:rsidR="004336CB">
        <w:rPr>
          <w:rFonts w:ascii="Times New Roman" w:hAnsi="Times New Roman" w:cs="Times New Roman"/>
          <w:sz w:val="24"/>
          <w:szCs w:val="24"/>
        </w:rPr>
        <w:t>27</w:t>
      </w:r>
      <w:r w:rsidRPr="004336CB">
        <w:rPr>
          <w:rFonts w:ascii="Times New Roman" w:hAnsi="Times New Roman" w:cs="Times New Roman"/>
          <w:sz w:val="24"/>
          <w:szCs w:val="24"/>
        </w:rPr>
        <w:t xml:space="preserve"> </w:t>
      </w:r>
      <w:r w:rsidR="004336CB">
        <w:rPr>
          <w:rFonts w:ascii="Times New Roman" w:hAnsi="Times New Roman" w:cs="Times New Roman"/>
          <w:sz w:val="24"/>
          <w:szCs w:val="24"/>
        </w:rPr>
        <w:t>February</w:t>
      </w:r>
      <w:r w:rsidRPr="004336CB">
        <w:rPr>
          <w:rFonts w:ascii="Times New Roman" w:hAnsi="Times New Roman" w:cs="Times New Roman"/>
          <w:sz w:val="24"/>
          <w:szCs w:val="24"/>
        </w:rPr>
        <w:t xml:space="preserve"> 2024)</w:t>
      </w:r>
    </w:p>
    <w:p w14:paraId="7FBA614B" w14:textId="77777777" w:rsidR="006454D9" w:rsidRDefault="006454D9"/>
    <w:sectPr w:rsidR="006454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12940"/>
    <w:multiLevelType w:val="hybridMultilevel"/>
    <w:tmpl w:val="85905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79E4844"/>
    <w:multiLevelType w:val="hybridMultilevel"/>
    <w:tmpl w:val="45287F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5D3653C"/>
    <w:multiLevelType w:val="hybridMultilevel"/>
    <w:tmpl w:val="5AF86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2F866EA"/>
    <w:multiLevelType w:val="hybridMultilevel"/>
    <w:tmpl w:val="BE3A4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3BB2F2F"/>
    <w:multiLevelType w:val="hybridMultilevel"/>
    <w:tmpl w:val="B2D8B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3DB7A72"/>
    <w:multiLevelType w:val="hybridMultilevel"/>
    <w:tmpl w:val="88688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61751690">
    <w:abstractNumId w:val="0"/>
  </w:num>
  <w:num w:numId="2" w16cid:durableId="292946771">
    <w:abstractNumId w:val="1"/>
  </w:num>
  <w:num w:numId="3" w16cid:durableId="443382088">
    <w:abstractNumId w:val="4"/>
  </w:num>
  <w:num w:numId="4" w16cid:durableId="1551187018">
    <w:abstractNumId w:val="2"/>
  </w:num>
  <w:num w:numId="5" w16cid:durableId="293875204">
    <w:abstractNumId w:val="5"/>
  </w:num>
  <w:num w:numId="6" w16cid:durableId="9736061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E06"/>
    <w:rsid w:val="00026CB0"/>
    <w:rsid w:val="00073BE4"/>
    <w:rsid w:val="00334E06"/>
    <w:rsid w:val="004336CB"/>
    <w:rsid w:val="00587F7B"/>
    <w:rsid w:val="006454D9"/>
    <w:rsid w:val="008F2739"/>
    <w:rsid w:val="00B06F6E"/>
    <w:rsid w:val="00B34824"/>
    <w:rsid w:val="00CB3876"/>
    <w:rsid w:val="00E25F5B"/>
    <w:rsid w:val="00E7264D"/>
    <w:rsid w:val="00ED594F"/>
    <w:rsid w:val="00F52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70F77"/>
  <w15:chartTrackingRefBased/>
  <w15:docId w15:val="{C32BD238-F889-498D-AC28-3A9AEF71C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94F"/>
    <w:pPr>
      <w:spacing w:line="360" w:lineRule="auto"/>
      <w:jc w:val="both"/>
    </w:pPr>
    <w:rPr>
      <w:lang w:val="en-US"/>
    </w:rPr>
  </w:style>
  <w:style w:type="paragraph" w:styleId="Heading1">
    <w:name w:val="heading 1"/>
    <w:basedOn w:val="Normal"/>
    <w:next w:val="Normal"/>
    <w:link w:val="Heading1Char"/>
    <w:uiPriority w:val="9"/>
    <w:qFormat/>
    <w:rsid w:val="00B34824"/>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B34824"/>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B34824"/>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B34824"/>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B34824"/>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B34824"/>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B34824"/>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B34824"/>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B34824"/>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ind w:left="720"/>
      <w:contextualSpacing/>
    </w:pPr>
  </w:style>
  <w:style w:type="paragraph" w:styleId="Quote">
    <w:name w:val="Quote"/>
    <w:basedOn w:val="Normal"/>
    <w:next w:val="Normal"/>
    <w:link w:val="QuoteChar"/>
    <w:uiPriority w:val="29"/>
    <w:qFormat/>
    <w:rsid w:val="00B34824"/>
    <w:pPr>
      <w:spacing w:before="120"/>
      <w:ind w:left="720" w:right="720"/>
      <w:jc w:val="center"/>
    </w:pPr>
    <w:rPr>
      <w:i/>
      <w:iCs/>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semiHidden/>
    <w:unhideWhenUsed/>
    <w:qFormat/>
    <w:rsid w:val="00B34824"/>
    <w:pPr>
      <w:outlineLvl w:val="9"/>
    </w:pPr>
  </w:style>
  <w:style w:type="character" w:styleId="Hyperlink">
    <w:name w:val="Hyperlink"/>
    <w:basedOn w:val="DefaultParagraphFont"/>
    <w:uiPriority w:val="99"/>
    <w:semiHidden/>
    <w:unhideWhenUsed/>
    <w:rsid w:val="00ED594F"/>
    <w:rPr>
      <w:color w:val="0563C1" w:themeColor="hyperlink"/>
      <w:u w:val="single"/>
    </w:rPr>
  </w:style>
  <w:style w:type="paragraph" w:styleId="TOC1">
    <w:name w:val="toc 1"/>
    <w:basedOn w:val="Normal"/>
    <w:next w:val="Normal"/>
    <w:autoRedefine/>
    <w:uiPriority w:val="39"/>
    <w:semiHidden/>
    <w:unhideWhenUsed/>
    <w:rsid w:val="00ED594F"/>
    <w:pPr>
      <w:spacing w:after="100"/>
    </w:pPr>
  </w:style>
  <w:style w:type="paragraph" w:styleId="TOC2">
    <w:name w:val="toc 2"/>
    <w:basedOn w:val="Normal"/>
    <w:next w:val="Normal"/>
    <w:autoRedefine/>
    <w:uiPriority w:val="39"/>
    <w:semiHidden/>
    <w:unhideWhenUsed/>
    <w:rsid w:val="00ED594F"/>
    <w:pPr>
      <w:spacing w:after="100"/>
      <w:ind w:left="220"/>
    </w:pPr>
  </w:style>
  <w:style w:type="table" w:styleId="TableGrid">
    <w:name w:val="Table Grid"/>
    <w:basedOn w:val="TableNormal"/>
    <w:uiPriority w:val="39"/>
    <w:rsid w:val="00ED594F"/>
    <w:pPr>
      <w:spacing w:after="0" w:line="240" w:lineRule="auto"/>
      <w:jc w:val="both"/>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88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2024\BMIH5007%20FINANCIAL%20MANAGEMENT%20FOR%20THE%20HOTEL%20INDUSTRY%20A2_2RB3BWHMVR%20(2)%20Rework.docx" TargetMode="External"/><Relationship Id="rId13" Type="http://schemas.openxmlformats.org/officeDocument/2006/relationships/hyperlink" Target="file:///C:\Users\User\Desktop\2024\BMIH5007%20FINANCIAL%20MANAGEMENT%20FOR%20THE%20HOTEL%20INDUSTRY%20A2_2RB3BWHMVR%20(2)%20Rework.docx" TargetMode="External"/><Relationship Id="rId18" Type="http://schemas.openxmlformats.org/officeDocument/2006/relationships/hyperlink" Target="file:///C:\Users\User\Desktop\2024\BMIH5007%20FINANCIAL%20MANAGEMENT%20FOR%20THE%20HOTEL%20INDUSTRY%20A2_2RB3BWHMVR%20(2)%20Rework.docx" TargetMode="External"/><Relationship Id="rId26" Type="http://schemas.openxmlformats.org/officeDocument/2006/relationships/image" Target="media/image1.emf"/><Relationship Id="rId3" Type="http://schemas.openxmlformats.org/officeDocument/2006/relationships/settings" Target="settings.xml"/><Relationship Id="rId21" Type="http://schemas.openxmlformats.org/officeDocument/2006/relationships/hyperlink" Target="file:///C:\Users\User\Desktop\2024\BMIH5007%20FINANCIAL%20MANAGEMENT%20FOR%20THE%20HOTEL%20INDUSTRY%20A2_2RB3BWHMVR%20(2)%20Rework.docx" TargetMode="External"/><Relationship Id="rId34" Type="http://schemas.openxmlformats.org/officeDocument/2006/relationships/fontTable" Target="fontTable.xml"/><Relationship Id="rId7" Type="http://schemas.openxmlformats.org/officeDocument/2006/relationships/hyperlink" Target="file:///C:\Users\User\Desktop\2024\BMIH5007%20FINANCIAL%20MANAGEMENT%20FOR%20THE%20HOTEL%20INDUSTRY%20A2_2RB3BWHMVR%20(2)%20Rework.docx" TargetMode="External"/><Relationship Id="rId12" Type="http://schemas.openxmlformats.org/officeDocument/2006/relationships/hyperlink" Target="file:///C:\Users\User\Desktop\2024\BMIH5007%20FINANCIAL%20MANAGEMENT%20FOR%20THE%20HOTEL%20INDUSTRY%20A2_2RB3BWHMVR%20(2)%20Rework.docx" TargetMode="External"/><Relationship Id="rId17" Type="http://schemas.openxmlformats.org/officeDocument/2006/relationships/hyperlink" Target="file:///C:\Users\User\Desktop\2024\BMIH5007%20FINANCIAL%20MANAGEMENT%20FOR%20THE%20HOTEL%20INDUSTRY%20A2_2RB3BWHMVR%20(2)%20Rework.docx" TargetMode="External"/><Relationship Id="rId25" Type="http://schemas.openxmlformats.org/officeDocument/2006/relationships/hyperlink" Target="file:///C:\Users\User\Desktop\2024\BMIH5007%20FINANCIAL%20MANAGEMENT%20FOR%20THE%20HOTEL%20INDUSTRY%20A2_2RB3BWHMVR%20(2)%20Rework.docx" TargetMode="External"/><Relationship Id="rId33"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hyperlink" Target="file:///C:\Users\User\Desktop\2024\BMIH5007%20FINANCIAL%20MANAGEMENT%20FOR%20THE%20HOTEL%20INDUSTRY%20A2_2RB3BWHMVR%20(2)%20Rework.docx" TargetMode="External"/><Relationship Id="rId20" Type="http://schemas.openxmlformats.org/officeDocument/2006/relationships/hyperlink" Target="file:///C:\Users\User\Desktop\2024\BMIH5007%20FINANCIAL%20MANAGEMENT%20FOR%20THE%20HOTEL%20INDUSTRY%20A2_2RB3BWHMVR%20(2)%20Rework.docx" TargetMode="External"/><Relationship Id="rId29" Type="http://schemas.openxmlformats.org/officeDocument/2006/relationships/chart" Target="charts/chart1.xml"/><Relationship Id="rId1" Type="http://schemas.openxmlformats.org/officeDocument/2006/relationships/numbering" Target="numbering.xml"/><Relationship Id="rId6" Type="http://schemas.openxmlformats.org/officeDocument/2006/relationships/hyperlink" Target="file:///C:\Users\User\Desktop\2024\BMIH5007%20FINANCIAL%20MANAGEMENT%20FOR%20THE%20HOTEL%20INDUSTRY%20A2_2RB3BWHMVR%20(2)%20Rework.docx" TargetMode="External"/><Relationship Id="rId11" Type="http://schemas.openxmlformats.org/officeDocument/2006/relationships/hyperlink" Target="file:///C:\Users\User\Desktop\2024\BMIH5007%20FINANCIAL%20MANAGEMENT%20FOR%20THE%20HOTEL%20INDUSTRY%20A2_2RB3BWHMVR%20(2)%20Rework.docx" TargetMode="External"/><Relationship Id="rId24" Type="http://schemas.openxmlformats.org/officeDocument/2006/relationships/hyperlink" Target="file:///C:\Users\User\Desktop\2024\BMIH5007%20FINANCIAL%20MANAGEMENT%20FOR%20THE%20HOTEL%20INDUSTRY%20A2_2RB3BWHMVR%20(2)%20Rework.docx" TargetMode="External"/><Relationship Id="rId32" Type="http://schemas.openxmlformats.org/officeDocument/2006/relationships/chart" Target="charts/chart4.xml"/><Relationship Id="rId5" Type="http://schemas.openxmlformats.org/officeDocument/2006/relationships/hyperlink" Target="file:///C:\Users\User\Desktop\2024\BMIH5007%20FINANCIAL%20MANAGEMENT%20FOR%20THE%20HOTEL%20INDUSTRY%20A2_2RB3BWHMVR%20(2)%20Rework.docx" TargetMode="External"/><Relationship Id="rId15" Type="http://schemas.openxmlformats.org/officeDocument/2006/relationships/hyperlink" Target="file:///C:\Users\User\Desktop\2024\BMIH5007%20FINANCIAL%20MANAGEMENT%20FOR%20THE%20HOTEL%20INDUSTRY%20A2_2RB3BWHMVR%20(2)%20Rework.docx" TargetMode="External"/><Relationship Id="rId23" Type="http://schemas.openxmlformats.org/officeDocument/2006/relationships/hyperlink" Target="file:///C:\Users\User\Desktop\2024\BMIH5007%20FINANCIAL%20MANAGEMENT%20FOR%20THE%20HOTEL%20INDUSTRY%20A2_2RB3BWHMVR%20(2)%20Rework.docx" TargetMode="External"/><Relationship Id="rId28" Type="http://schemas.openxmlformats.org/officeDocument/2006/relationships/image" Target="media/image3.emf"/><Relationship Id="rId10" Type="http://schemas.openxmlformats.org/officeDocument/2006/relationships/hyperlink" Target="file:///C:\Users\User\Desktop\2024\BMIH5007%20FINANCIAL%20MANAGEMENT%20FOR%20THE%20HOTEL%20INDUSTRY%20A2_2RB3BWHMVR%20(2)%20Rework.docx" TargetMode="External"/><Relationship Id="rId19" Type="http://schemas.openxmlformats.org/officeDocument/2006/relationships/hyperlink" Target="file:///C:\Users\User\Desktop\2024\BMIH5007%20FINANCIAL%20MANAGEMENT%20FOR%20THE%20HOTEL%20INDUSTRY%20A2_2RB3BWHMVR%20(2)%20Rework.docx" TargetMode="External"/><Relationship Id="rId31"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hyperlink" Target="file:///C:\Users\User\Desktop\2024\BMIH5007%20FINANCIAL%20MANAGEMENT%20FOR%20THE%20HOTEL%20INDUSTRY%20A2_2RB3BWHMVR%20(2)%20Rework.docx" TargetMode="External"/><Relationship Id="rId14" Type="http://schemas.openxmlformats.org/officeDocument/2006/relationships/hyperlink" Target="file:///C:\Users\User\Desktop\2024\BMIH5007%20FINANCIAL%20MANAGEMENT%20FOR%20THE%20HOTEL%20INDUSTRY%20A2_2RB3BWHMVR%20(2)%20Rework.docx" TargetMode="External"/><Relationship Id="rId22" Type="http://schemas.openxmlformats.org/officeDocument/2006/relationships/hyperlink" Target="file:///C:\Users\User\Desktop\2024\BMIH5007%20FINANCIAL%20MANAGEMENT%20FOR%20THE%20HOTEL%20INDUSTRY%20A2_2RB3BWHMVR%20(2)%20Rework.docx" TargetMode="External"/><Relationship Id="rId27" Type="http://schemas.openxmlformats.org/officeDocument/2006/relationships/image" Target="media/image2.emf"/><Relationship Id="rId30" Type="http://schemas.openxmlformats.org/officeDocument/2006/relationships/chart" Target="charts/chart2.xm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Sheet1!$A$5</c:f>
              <c:strCache>
                <c:ptCount val="1"/>
                <c:pt idx="0">
                  <c:v>Current Ratio</c:v>
                </c:pt>
              </c:strCache>
            </c:strRef>
          </c:tx>
          <c:spPr>
            <a:solidFill>
              <a:schemeClr val="accent1"/>
            </a:solidFill>
            <a:ln>
              <a:noFill/>
            </a:ln>
            <a:effectLst/>
          </c:spPr>
          <c:invertIfNegative val="0"/>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0-7718-4D53-AF9B-AB496FBD58F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c:f>
              <c:strCache>
                <c:ptCount val="1"/>
                <c:pt idx="0">
                  <c:v>2022 (£)</c:v>
                </c:pt>
              </c:strCache>
            </c:strRef>
          </c:cat>
          <c:val>
            <c:numRef>
              <c:f>Sheet1!$B$5</c:f>
              <c:numCache>
                <c:formatCode>0.00</c:formatCode>
                <c:ptCount val="1"/>
                <c:pt idx="0">
                  <c:v>1.3888888888888888</c:v>
                </c:pt>
              </c:numCache>
            </c:numRef>
          </c:val>
          <c:extLst>
            <c:ext xmlns:c16="http://schemas.microsoft.com/office/drawing/2014/chart" uri="{C3380CC4-5D6E-409C-BE32-E72D297353CC}">
              <c16:uniqueId val="{00000001-7718-4D53-AF9B-AB496FBD58F3}"/>
            </c:ext>
          </c:extLst>
        </c:ser>
        <c:dLbls>
          <c:showLegendKey val="0"/>
          <c:showVal val="0"/>
          <c:showCatName val="0"/>
          <c:showSerName val="0"/>
          <c:showPercent val="0"/>
          <c:showBubbleSize val="0"/>
        </c:dLbls>
        <c:gapWidth val="150"/>
        <c:axId val="307484544"/>
        <c:axId val="307486080"/>
      </c:barChart>
      <c:catAx>
        <c:axId val="307484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486080"/>
        <c:crosses val="autoZero"/>
        <c:auto val="1"/>
        <c:lblAlgn val="ctr"/>
        <c:lblOffset val="100"/>
        <c:noMultiLvlLbl val="0"/>
      </c:catAx>
      <c:valAx>
        <c:axId val="3074860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4845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Sheet1!$A$12</c:f>
              <c:strCache>
                <c:ptCount val="1"/>
                <c:pt idx="0">
                  <c:v>Quick Ratio</c:v>
                </c:pt>
              </c:strCache>
            </c:strRef>
          </c:tx>
          <c:spPr>
            <a:solidFill>
              <a:schemeClr val="accent2">
                <a:lumMod val="75000"/>
              </a:schemeClr>
            </a:solidFill>
            <a:ln>
              <a:noFill/>
            </a:ln>
            <a:effectLst/>
          </c:spPr>
          <c:invertIfNegative val="0"/>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0-E191-45D9-ADBE-1F4AE391711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Sheet1!$B$14</c:f>
              <c:strCache>
                <c:ptCount val="1"/>
                <c:pt idx="0">
                  <c:v>2022 (£)</c:v>
                </c:pt>
              </c:strCache>
            </c:strRef>
          </c:cat>
          <c:val>
            <c:numRef>
              <c:f>Sheet1!$B$12</c:f>
              <c:numCache>
                <c:formatCode>0.00</c:formatCode>
                <c:ptCount val="1"/>
                <c:pt idx="0">
                  <c:v>0.83333333333333337</c:v>
                </c:pt>
              </c:numCache>
            </c:numRef>
          </c:val>
          <c:extLst>
            <c:ext xmlns:c16="http://schemas.microsoft.com/office/drawing/2014/chart" uri="{C3380CC4-5D6E-409C-BE32-E72D297353CC}">
              <c16:uniqueId val="{00000001-E191-45D9-ADBE-1F4AE3917111}"/>
            </c:ext>
          </c:extLst>
        </c:ser>
        <c:dLbls>
          <c:showLegendKey val="0"/>
          <c:showVal val="0"/>
          <c:showCatName val="0"/>
          <c:showSerName val="0"/>
          <c:showPercent val="0"/>
          <c:showBubbleSize val="0"/>
        </c:dLbls>
        <c:gapWidth val="150"/>
        <c:axId val="307524736"/>
        <c:axId val="307526272"/>
      </c:barChart>
      <c:catAx>
        <c:axId val="307524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526272"/>
        <c:crosses val="autoZero"/>
        <c:auto val="1"/>
        <c:lblAlgn val="ctr"/>
        <c:lblOffset val="100"/>
        <c:noMultiLvlLbl val="0"/>
      </c:catAx>
      <c:valAx>
        <c:axId val="3075262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524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Sheet1!$A$18</c:f>
              <c:strCache>
                <c:ptCount val="1"/>
                <c:pt idx="0">
                  <c:v>Debt-to-Equity Ratio</c:v>
                </c:pt>
              </c:strCache>
            </c:strRef>
          </c:tx>
          <c:spPr>
            <a:solidFill>
              <a:schemeClr val="accent1"/>
            </a:solidFill>
            <a:ln>
              <a:noFill/>
            </a:ln>
            <a:effectLst/>
          </c:spPr>
          <c:invertIfNegative val="0"/>
          <c:dPt>
            <c:idx val="0"/>
            <c:invertIfNegative val="0"/>
            <c:bubble3D val="0"/>
            <c:spPr>
              <a:solidFill>
                <a:schemeClr val="accent4">
                  <a:lumMod val="75000"/>
                </a:schemeClr>
              </a:solidFill>
              <a:ln>
                <a:noFill/>
              </a:ln>
              <a:effectLst/>
            </c:spPr>
            <c:extLst>
              <c:ext xmlns:c16="http://schemas.microsoft.com/office/drawing/2014/chart" uri="{C3380CC4-5D6E-409C-BE32-E72D297353CC}">
                <c16:uniqueId val="{00000001-2782-4CD5-807E-D9A6C8B7ACFC}"/>
              </c:ext>
            </c:extLst>
          </c:dPt>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1-2782-4CD5-807E-D9A6C8B7ACF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Sheet1!$B$20</c:f>
              <c:strCache>
                <c:ptCount val="1"/>
                <c:pt idx="0">
                  <c:v>2022 (£)</c:v>
                </c:pt>
              </c:strCache>
            </c:strRef>
          </c:cat>
          <c:val>
            <c:numRef>
              <c:f>Sheet1!$B$18</c:f>
              <c:numCache>
                <c:formatCode>0.00</c:formatCode>
                <c:ptCount val="1"/>
                <c:pt idx="0">
                  <c:v>1.6666666666666667</c:v>
                </c:pt>
              </c:numCache>
            </c:numRef>
          </c:val>
          <c:extLst>
            <c:ext xmlns:c16="http://schemas.microsoft.com/office/drawing/2014/chart" uri="{C3380CC4-5D6E-409C-BE32-E72D297353CC}">
              <c16:uniqueId val="{00000002-2782-4CD5-807E-D9A6C8B7ACFC}"/>
            </c:ext>
          </c:extLst>
        </c:ser>
        <c:dLbls>
          <c:showLegendKey val="0"/>
          <c:showVal val="0"/>
          <c:showCatName val="0"/>
          <c:showSerName val="0"/>
          <c:showPercent val="0"/>
          <c:showBubbleSize val="0"/>
        </c:dLbls>
        <c:gapWidth val="150"/>
        <c:axId val="307696768"/>
        <c:axId val="307698304"/>
      </c:barChart>
      <c:catAx>
        <c:axId val="307696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698304"/>
        <c:crosses val="autoZero"/>
        <c:auto val="1"/>
        <c:lblAlgn val="ctr"/>
        <c:lblOffset val="100"/>
        <c:noMultiLvlLbl val="0"/>
      </c:catAx>
      <c:valAx>
        <c:axId val="3076983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6967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Sheet1!$A$24</c:f>
              <c:strCache>
                <c:ptCount val="1"/>
                <c:pt idx="0">
                  <c:v>Return on Assets</c:v>
                </c:pt>
              </c:strCache>
            </c:strRef>
          </c:tx>
          <c:spPr>
            <a:solidFill>
              <a:schemeClr val="accent6">
                <a:lumMod val="75000"/>
              </a:schemeClr>
            </a:solidFill>
            <a:ln>
              <a:noFill/>
            </a:ln>
            <a:effectLst/>
          </c:spPr>
          <c:invertIfNegative val="0"/>
          <c:cat>
            <c:strRef>
              <c:f>Sheet1!$B$26</c:f>
              <c:strCache>
                <c:ptCount val="1"/>
                <c:pt idx="0">
                  <c:v>2022 (£)</c:v>
                </c:pt>
              </c:strCache>
            </c:strRef>
          </c:cat>
          <c:val>
            <c:numRef>
              <c:f>Sheet1!$B$24</c:f>
              <c:numCache>
                <c:formatCode>0%</c:formatCode>
                <c:ptCount val="1"/>
                <c:pt idx="0">
                  <c:v>-1.4583333333333334E-2</c:v>
                </c:pt>
              </c:numCache>
            </c:numRef>
          </c:val>
          <c:extLst>
            <c:ext xmlns:c16="http://schemas.microsoft.com/office/drawing/2014/chart" uri="{C3380CC4-5D6E-409C-BE32-E72D297353CC}">
              <c16:uniqueId val="{00000000-5027-4DD7-BDBB-1851739AACE8}"/>
            </c:ext>
          </c:extLst>
        </c:ser>
        <c:dLbls>
          <c:showLegendKey val="0"/>
          <c:showVal val="0"/>
          <c:showCatName val="0"/>
          <c:showSerName val="0"/>
          <c:showPercent val="0"/>
          <c:showBubbleSize val="0"/>
        </c:dLbls>
        <c:gapWidth val="150"/>
        <c:axId val="307706880"/>
        <c:axId val="307729152"/>
      </c:barChart>
      <c:catAx>
        <c:axId val="307706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729152"/>
        <c:crosses val="autoZero"/>
        <c:auto val="1"/>
        <c:lblAlgn val="ctr"/>
        <c:lblOffset val="100"/>
        <c:noMultiLvlLbl val="0"/>
      </c:catAx>
      <c:valAx>
        <c:axId val="307729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7068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Sheet1!$A$30</c:f>
              <c:strCache>
                <c:ptCount val="1"/>
                <c:pt idx="0">
                  <c:v>Return on Equity</c:v>
                </c:pt>
              </c:strCache>
            </c:strRef>
          </c:tx>
          <c:spPr>
            <a:solidFill>
              <a:srgbClr val="7030A0"/>
            </a:solidFill>
            <a:ln>
              <a:noFill/>
            </a:ln>
            <a:effectLst/>
          </c:spPr>
          <c:invertIfNegative val="0"/>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0-FE7E-45FB-AA6B-8DEB59444B0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Sheet1!$B$30</c:f>
              <c:numCache>
                <c:formatCode>0%</c:formatCode>
                <c:ptCount val="1"/>
                <c:pt idx="0">
                  <c:v>-3.888888888888889E-2</c:v>
                </c:pt>
              </c:numCache>
            </c:numRef>
          </c:val>
          <c:extLst>
            <c:ext xmlns:c16="http://schemas.microsoft.com/office/drawing/2014/chart" uri="{C3380CC4-5D6E-409C-BE32-E72D297353CC}">
              <c16:uniqueId val="{00000001-FE7E-45FB-AA6B-8DEB59444B09}"/>
            </c:ext>
          </c:extLst>
        </c:ser>
        <c:dLbls>
          <c:showLegendKey val="0"/>
          <c:showVal val="0"/>
          <c:showCatName val="0"/>
          <c:showSerName val="0"/>
          <c:showPercent val="0"/>
          <c:showBubbleSize val="0"/>
        </c:dLbls>
        <c:gapWidth val="150"/>
        <c:axId val="307896320"/>
        <c:axId val="307897856"/>
      </c:barChart>
      <c:catAx>
        <c:axId val="30789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897856"/>
        <c:crosses val="autoZero"/>
        <c:auto val="1"/>
        <c:lblAlgn val="ctr"/>
        <c:lblOffset val="100"/>
        <c:noMultiLvlLbl val="0"/>
      </c:catAx>
      <c:valAx>
        <c:axId val="3078978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8963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4345</Words>
  <Characters>24770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6</cp:revision>
  <dcterms:created xsi:type="dcterms:W3CDTF">2024-02-27T21:38:00Z</dcterms:created>
  <dcterms:modified xsi:type="dcterms:W3CDTF">2024-02-27T22:05:00Z</dcterms:modified>
</cp:coreProperties>
</file>