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45"/>
        <w:gridCol w:w="6825"/>
      </w:tblGrid>
      <w:tr w:rsidR="00EF40B2" w:rsidRPr="005E6FF7" w14:paraId="3DC40E73" w14:textId="77777777" w:rsidTr="001C2582">
        <w:trPr>
          <w:trHeight w:val="255"/>
        </w:trPr>
        <w:tc>
          <w:tcPr>
            <w:tcW w:w="1845" w:type="dxa"/>
            <w:hideMark/>
          </w:tcPr>
          <w:p w14:paraId="1579B698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Module Code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795E9D43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lang w:val="en-GB" w:eastAsia="zh-CN"/>
              </w:rPr>
              <w:t>LCHS7003</w:t>
            </w:r>
          </w:p>
        </w:tc>
      </w:tr>
      <w:tr w:rsidR="00EF40B2" w:rsidRPr="005E6FF7" w14:paraId="67D8516A" w14:textId="77777777" w:rsidTr="001C2582">
        <w:trPr>
          <w:trHeight w:val="255"/>
        </w:trPr>
        <w:tc>
          <w:tcPr>
            <w:tcW w:w="1845" w:type="dxa"/>
            <w:hideMark/>
          </w:tcPr>
          <w:p w14:paraId="256B160A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Title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18394352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3EA30DD4">
              <w:rPr>
                <w:rFonts w:ascii="Arial" w:eastAsia="Arial" w:hAnsi="Arial" w:cs="Arial"/>
                <w:b/>
                <w:bCs/>
              </w:rPr>
              <w:t>Community Care and Management of Longer-term Conditions</w:t>
            </w:r>
          </w:p>
        </w:tc>
      </w:tr>
      <w:tr w:rsidR="00EF40B2" w:rsidRPr="005E6FF7" w14:paraId="05F4194D" w14:textId="77777777" w:rsidTr="001C2582">
        <w:trPr>
          <w:trHeight w:val="255"/>
        </w:trPr>
        <w:tc>
          <w:tcPr>
            <w:tcW w:w="1845" w:type="dxa"/>
            <w:hideMark/>
          </w:tcPr>
          <w:p w14:paraId="70B84B49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Date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692D326B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b/>
                <w:bCs/>
                <w:color w:val="000000"/>
                <w:lang w:val="en-GB" w:eastAsia="zh-CN"/>
              </w:rPr>
            </w:pPr>
            <w:r w:rsidRPr="00340215">
              <w:rPr>
                <w:rFonts w:ascii="Arial" w:eastAsia="Arial" w:hAnsi="Arial" w:cs="Arial"/>
                <w:b/>
                <w:bCs/>
              </w:rPr>
              <w:t>12/07/2022</w:t>
            </w:r>
          </w:p>
        </w:tc>
      </w:tr>
      <w:tr w:rsidR="00EF40B2" w:rsidRPr="005E6FF7" w14:paraId="49F64D38" w14:textId="77777777" w:rsidTr="001C2582">
        <w:trPr>
          <w:trHeight w:val="255"/>
        </w:trPr>
        <w:tc>
          <w:tcPr>
            <w:tcW w:w="1845" w:type="dxa"/>
            <w:hideMark/>
          </w:tcPr>
          <w:p w14:paraId="007B5E11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Level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17D46368" w14:textId="77777777" w:rsidR="00EF40B2" w:rsidRPr="00F72008" w:rsidRDefault="00EF40B2" w:rsidP="001C2582">
            <w:pPr>
              <w:spacing w:after="0" w:line="240" w:lineRule="auto"/>
              <w:textAlignment w:val="baseline"/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</w:pPr>
            <w:r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  <w:t>7</w:t>
            </w:r>
          </w:p>
        </w:tc>
      </w:tr>
      <w:tr w:rsidR="00EF40B2" w:rsidRPr="005E6FF7" w14:paraId="12622E1F" w14:textId="77777777" w:rsidTr="001C2582">
        <w:trPr>
          <w:trHeight w:val="255"/>
        </w:trPr>
        <w:tc>
          <w:tcPr>
            <w:tcW w:w="1845" w:type="dxa"/>
            <w:hideMark/>
          </w:tcPr>
          <w:p w14:paraId="08FD4AC8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Credits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782A85F6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20 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</w:tr>
      <w:tr w:rsidR="00EF40B2" w:rsidRPr="005E6FF7" w14:paraId="7B4CBD1F" w14:textId="77777777" w:rsidTr="001C2582">
        <w:trPr>
          <w:trHeight w:val="255"/>
        </w:trPr>
        <w:tc>
          <w:tcPr>
            <w:tcW w:w="1845" w:type="dxa"/>
            <w:hideMark/>
          </w:tcPr>
          <w:p w14:paraId="5B90298F" w14:textId="77777777" w:rsidR="00EF40B2" w:rsidRPr="005E6FF7" w:rsidRDefault="00EF40B2" w:rsidP="001C2582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Pre-Requisites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44974C09" w14:textId="77777777" w:rsidR="00EF40B2" w:rsidRPr="00F72008" w:rsidRDefault="00EF40B2" w:rsidP="001C2582">
            <w:pPr>
              <w:spacing w:after="0" w:line="240" w:lineRule="auto"/>
              <w:textAlignment w:val="baseline"/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</w:pPr>
            <w:r w:rsidRPr="00F72008"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  <w:t>None</w:t>
            </w:r>
          </w:p>
        </w:tc>
      </w:tr>
    </w:tbl>
    <w:p w14:paraId="4A0055E2" w14:textId="77777777" w:rsidR="00EF40B2" w:rsidRPr="008D66B2" w:rsidRDefault="00EF40B2" w:rsidP="00EF40B2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p w14:paraId="09EB9041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AIM(S)</w:t>
      </w:r>
      <w:r w:rsidRPr="3EA30DD4">
        <w:rPr>
          <w:rFonts w:ascii="Arial" w:eastAsia="Arial" w:hAnsi="Arial" w:cs="Arial"/>
          <w:lang w:val="en-GB"/>
        </w:rPr>
        <w:t xml:space="preserve"> </w:t>
      </w:r>
    </w:p>
    <w:p w14:paraId="2D09B63A" w14:textId="77777777" w:rsidR="00EF40B2" w:rsidRPr="008D66B2" w:rsidRDefault="00EF40B2" w:rsidP="00EF40B2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To develop understanding of the theories, values and policies in managing patients with longer term conditions in different healthcare settings.</w:t>
      </w:r>
    </w:p>
    <w:p w14:paraId="68A093C7" w14:textId="77777777" w:rsidR="00EF40B2" w:rsidRPr="008D66B2" w:rsidRDefault="00EF40B2" w:rsidP="00EF40B2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 xml:space="preserve">To gain an understanding of healthcare work across traditional primary/secondary/social care boundaries and collaborate with patients/carers and other professionals within the NHS, social and private/voluntary sector to continuously improve the information, support, care, and person-centred approaches to treatment of people living with long term conditions.   </w:t>
      </w:r>
    </w:p>
    <w:p w14:paraId="735228C9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LEARNING OUTCOMES</w:t>
      </w:r>
      <w:r w:rsidRPr="3EA30DD4">
        <w:rPr>
          <w:rFonts w:ascii="Arial" w:eastAsia="Arial" w:hAnsi="Arial" w:cs="Arial"/>
          <w:lang w:val="en-GB"/>
        </w:rPr>
        <w:t xml:space="preserve"> </w:t>
      </w:r>
    </w:p>
    <w:p w14:paraId="31F38BA6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 xml:space="preserve">Upon the successful completion of this module, the student should be able to: </w:t>
      </w:r>
    </w:p>
    <w:p w14:paraId="6741370B" w14:textId="77777777" w:rsidR="00EF40B2" w:rsidRPr="008D66B2" w:rsidRDefault="00EF40B2" w:rsidP="00EF40B2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Critically evaluate the physical, psychological, and social impact on individuals and families living with a long-term condition(s) and its treatment.</w:t>
      </w:r>
    </w:p>
    <w:p w14:paraId="4BE995BC" w14:textId="77777777" w:rsidR="00EF40B2" w:rsidRPr="008D66B2" w:rsidRDefault="00EF40B2" w:rsidP="00EF40B2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Critically assess the key areas of local and national political, health and social care agendas and initiatives relating to long term conditions.</w:t>
      </w:r>
    </w:p>
    <w:p w14:paraId="5B2226FC" w14:textId="77777777" w:rsidR="00EF40B2" w:rsidRPr="008D66B2" w:rsidRDefault="00EF40B2" w:rsidP="00EF40B2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Critically evaluate the skills, values and behaviours required to provide co-productive and traditional models of care as appropriate.</w:t>
      </w:r>
    </w:p>
    <w:p w14:paraId="483E7BA5" w14:textId="77777777" w:rsidR="00EF40B2" w:rsidRPr="008D66B2" w:rsidRDefault="00EF40B2" w:rsidP="00EF40B2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Critically analyse the contribution of empirical evidence and local, national, and international guidelines to informing the delivery of ‘whole person’ care and self-management support for individuals with long term conditions.</w:t>
      </w:r>
    </w:p>
    <w:p w14:paraId="201A4A93" w14:textId="77777777" w:rsidR="00EF40B2" w:rsidRPr="008D66B2" w:rsidRDefault="00EF40B2" w:rsidP="00EF40B2">
      <w:pPr>
        <w:tabs>
          <w:tab w:val="left" w:pos="720"/>
        </w:tabs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 INDICATIVE CONTENT </w:t>
      </w:r>
    </w:p>
    <w:p w14:paraId="2BABB6E1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Aetiologies of long-term conditions and the treatments available</w:t>
      </w:r>
    </w:p>
    <w:p w14:paraId="7593A888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Long-term condition management in primary, secondary and tertiary care settings- Prevention methods and management processes of complications</w:t>
      </w:r>
    </w:p>
    <w:p w14:paraId="3CB55E98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Long term condition policy initiatives</w:t>
      </w:r>
    </w:p>
    <w:p w14:paraId="14FACA5C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Assessment issues or needs assessments for long-term conditions</w:t>
      </w:r>
    </w:p>
    <w:p w14:paraId="7431D66E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Case Management- Effective management in specific groups such as heart disease/diabetes/COPD</w:t>
      </w:r>
    </w:p>
    <w:p w14:paraId="36FC1DD7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Techniques and Models of Care- Psychosocial models, Patient engagement frameworks, and self-care techniques for improved outcomes for patients affected by long-term conditions</w:t>
      </w:r>
    </w:p>
    <w:p w14:paraId="01119FE5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Stress and Illness- Coping and Adjustment, Mental Health Issues, unique treatment approaches, contemporary medications and lifestyle modifications for long-term condition management including Diabetes, High blood pressure, Arthritis, Asthma, Epilepsy, Parkinson’s, and some mental health conditions</w:t>
      </w:r>
    </w:p>
    <w:p w14:paraId="1C2FBF0E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Person-centred dialogues and self-management</w:t>
      </w:r>
    </w:p>
    <w:p w14:paraId="6EC12BAA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Personalised Integrated Care- Collaboration in management/interagency and partnerships</w:t>
      </w:r>
    </w:p>
    <w:p w14:paraId="03B50B37" w14:textId="77777777" w:rsidR="00EF40B2" w:rsidRPr="008D66B2" w:rsidRDefault="00EF40B2" w:rsidP="00EF40B2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End of Life Care- Applying relevant theory of holistic consultation and clinical assessment skills to provide evidence-based care for patients and clients attending with a diagnosed or undiagnosed LTC.</w:t>
      </w:r>
    </w:p>
    <w:p w14:paraId="537BEECF" w14:textId="77777777" w:rsidR="00EF40B2" w:rsidRPr="008D66B2" w:rsidRDefault="00EF40B2" w:rsidP="00EF40B2">
      <w:pPr>
        <w:spacing w:line="240" w:lineRule="auto"/>
        <w:ind w:left="3600" w:hanging="3600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lastRenderedPageBreak/>
        <w:t xml:space="preserve">Study Time Allocation </w:t>
      </w:r>
    </w:p>
    <w:p w14:paraId="54854D05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 xml:space="preserve">The study time for the module is divided as follows: </w:t>
      </w:r>
    </w:p>
    <w:p w14:paraId="18E8A025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 xml:space="preserve"> </w:t>
      </w:r>
    </w:p>
    <w:tbl>
      <w:tblPr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EF40B2" w14:paraId="1B4D1047" w14:textId="77777777" w:rsidTr="001C2582"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F54716D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Activity type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5902F19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Hours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76BBD62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Percentage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F40B2" w14:paraId="49C9338F" w14:textId="77777777" w:rsidTr="001C2582"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67625B1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Scheduled learning 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D90F675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 48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D4BA36C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24 </w:t>
            </w:r>
          </w:p>
        </w:tc>
      </w:tr>
      <w:tr w:rsidR="00EF40B2" w14:paraId="575CC496" w14:textId="77777777" w:rsidTr="001C2582"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6CBE02C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Independent learning 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663CF0E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152 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E0B021D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76</w:t>
            </w:r>
          </w:p>
        </w:tc>
      </w:tr>
      <w:tr w:rsidR="00EF40B2" w14:paraId="52AD3023" w14:textId="77777777" w:rsidTr="001C2582"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CEE9539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Placement learning 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7DF604F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 0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F7E7DCF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0 </w:t>
            </w:r>
          </w:p>
        </w:tc>
      </w:tr>
      <w:tr w:rsidR="00EF40B2" w14:paraId="0B9BC628" w14:textId="77777777" w:rsidTr="001C2582"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91C828F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TOTAL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5C98B9B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200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FFD831E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100%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720D9F1B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 </w:t>
      </w:r>
    </w:p>
    <w:p w14:paraId="0F9DBFF4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ASSESSMENT </w:t>
      </w:r>
    </w:p>
    <w:p w14:paraId="31D9B1E8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 Component 1</w:t>
      </w:r>
      <w:r w:rsidRPr="3EA30DD4">
        <w:rPr>
          <w:rFonts w:ascii="Arial" w:eastAsia="Arial" w:hAnsi="Arial" w:cs="Arial"/>
          <w:lang w:val="en-GB"/>
        </w:rPr>
        <w:t xml:space="preserve"> </w:t>
      </w:r>
    </w:p>
    <w:p w14:paraId="078AE8F3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i/>
          <w:iCs/>
          <w:lang w:val="en-GB"/>
        </w:rPr>
        <w:t>(Tick one)</w:t>
      </w:r>
      <w:r w:rsidRPr="3EA30DD4">
        <w:rPr>
          <w:rFonts w:ascii="Arial" w:eastAsia="Arial" w:hAnsi="Arial" w:cs="Arial"/>
          <w:lang w:val="en-GB"/>
        </w:rPr>
        <w:t xml:space="preserve"> 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540"/>
        <w:gridCol w:w="2310"/>
        <w:gridCol w:w="525"/>
        <w:gridCol w:w="2385"/>
        <w:gridCol w:w="525"/>
        <w:gridCol w:w="2355"/>
      </w:tblGrid>
      <w:tr w:rsidR="00EF40B2" w14:paraId="5C9D712D" w14:textId="77777777" w:rsidTr="001C2582">
        <w:tc>
          <w:tcPr>
            <w:tcW w:w="540" w:type="dxa"/>
          </w:tcPr>
          <w:p w14:paraId="771779AE" w14:textId="77777777" w:rsidR="00EF40B2" w:rsidRDefault="00EF40B2" w:rsidP="001C2582">
            <w:r w:rsidRPr="3EA30DD4">
              <w:rPr>
                <w:rFonts w:ascii="Segoe UI Symbol" w:eastAsia="Segoe UI Symbol" w:hAnsi="Segoe UI Symbol" w:cs="Segoe UI Symbol"/>
                <w:color w:val="000000" w:themeColor="text1"/>
              </w:rPr>
              <w:t>☐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2310" w:type="dxa"/>
          </w:tcPr>
          <w:p w14:paraId="5AA40C62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Written exam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525" w:type="dxa"/>
          </w:tcPr>
          <w:p w14:paraId="627BF553" w14:textId="77777777" w:rsidR="00EF40B2" w:rsidRDefault="00EF40B2" w:rsidP="001C2582">
            <w:r w:rsidRPr="3EA30DD4">
              <w:rPr>
                <w:rFonts w:ascii="Arial" w:eastAsia="Arial" w:hAnsi="Arial" w:cs="Arial"/>
                <w:color w:val="000000" w:themeColor="text1"/>
              </w:rPr>
              <w:t>×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2385" w:type="dxa"/>
          </w:tcPr>
          <w:p w14:paraId="487F564E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Coursework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525" w:type="dxa"/>
          </w:tcPr>
          <w:p w14:paraId="581ED06A" w14:textId="77777777" w:rsidR="00EF40B2" w:rsidRDefault="00EF40B2" w:rsidP="001C2582">
            <w:r w:rsidRPr="3EA30DD4">
              <w:rPr>
                <w:rFonts w:ascii="Segoe UI Symbol" w:eastAsia="Segoe UI Symbol" w:hAnsi="Segoe UI Symbol" w:cs="Segoe UI Symbol"/>
                <w:color w:val="000000" w:themeColor="text1"/>
              </w:rPr>
              <w:t>☐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2355" w:type="dxa"/>
          </w:tcPr>
          <w:p w14:paraId="312E69CB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Practical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1F0BC2C9" w14:textId="77777777" w:rsidR="00EF40B2" w:rsidRPr="008D66B2" w:rsidRDefault="00EF40B2" w:rsidP="00EF40B2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EF40B2" w14:paraId="2078C9A4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13C6107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Mode of assessment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4631260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Volume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5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7C4B5A2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Weighting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F40B2" w14:paraId="1CC4B9C2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4DC5E7C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Written Assignment- Information Booklet of Long-term Condition Management</w:t>
            </w:r>
          </w:p>
        </w:tc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521A6F2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3,000 words</w:t>
            </w:r>
          </w:p>
        </w:tc>
        <w:tc>
          <w:tcPr>
            <w:tcW w:w="15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70E5AF9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50%</w:t>
            </w:r>
          </w:p>
        </w:tc>
      </w:tr>
    </w:tbl>
    <w:p w14:paraId="4216FCE7" w14:textId="77777777" w:rsidR="00EF40B2" w:rsidRPr="008D66B2" w:rsidRDefault="00EF40B2" w:rsidP="00EF40B2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p w14:paraId="06F0F0F4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 Component 2</w:t>
      </w:r>
      <w:r w:rsidRPr="3EA30DD4">
        <w:rPr>
          <w:rFonts w:ascii="Arial" w:eastAsia="Arial" w:hAnsi="Arial" w:cs="Arial"/>
          <w:lang w:val="en-GB"/>
        </w:rPr>
        <w:t xml:space="preserve"> </w:t>
      </w:r>
    </w:p>
    <w:p w14:paraId="64587B9B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i/>
          <w:iCs/>
          <w:lang w:val="en-GB"/>
        </w:rPr>
        <w:t>(Tick one)</w:t>
      </w:r>
      <w:r w:rsidRPr="3EA30DD4">
        <w:rPr>
          <w:rFonts w:ascii="Arial" w:eastAsia="Arial" w:hAnsi="Arial" w:cs="Arial"/>
          <w:lang w:val="en-GB"/>
        </w:rPr>
        <w:t xml:space="preserve"> 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540"/>
        <w:gridCol w:w="2310"/>
        <w:gridCol w:w="525"/>
        <w:gridCol w:w="2385"/>
        <w:gridCol w:w="525"/>
        <w:gridCol w:w="2355"/>
      </w:tblGrid>
      <w:tr w:rsidR="00EF40B2" w14:paraId="1026822E" w14:textId="77777777" w:rsidTr="001C2582">
        <w:tc>
          <w:tcPr>
            <w:tcW w:w="540" w:type="dxa"/>
          </w:tcPr>
          <w:p w14:paraId="318AE7A4" w14:textId="77777777" w:rsidR="00EF40B2" w:rsidRDefault="00EF40B2" w:rsidP="001C2582">
            <w:r w:rsidRPr="3EA30DD4">
              <w:rPr>
                <w:rFonts w:ascii="Segoe UI Symbol" w:eastAsia="Segoe UI Symbol" w:hAnsi="Segoe UI Symbol" w:cs="Segoe UI Symbol"/>
                <w:color w:val="000000" w:themeColor="text1"/>
              </w:rPr>
              <w:t>☐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2310" w:type="dxa"/>
          </w:tcPr>
          <w:p w14:paraId="38E53B7F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Written exam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525" w:type="dxa"/>
          </w:tcPr>
          <w:p w14:paraId="4D284476" w14:textId="77777777" w:rsidR="00EF40B2" w:rsidRDefault="00EF40B2" w:rsidP="001C2582">
            <w:r w:rsidRPr="3EA30DD4">
              <w:rPr>
                <w:rFonts w:ascii="Arial" w:eastAsia="Arial" w:hAnsi="Arial" w:cs="Arial"/>
              </w:rPr>
              <w:t xml:space="preserve"> </w:t>
            </w:r>
            <w:r w:rsidRPr="3EA30DD4">
              <w:rPr>
                <w:rFonts w:ascii="Segoe UI Symbol" w:eastAsia="Segoe UI Symbol" w:hAnsi="Segoe UI Symbol" w:cs="Segoe UI Symbol"/>
                <w:color w:val="000000" w:themeColor="text1"/>
              </w:rPr>
              <w:t>☐</w:t>
            </w:r>
          </w:p>
        </w:tc>
        <w:tc>
          <w:tcPr>
            <w:tcW w:w="2385" w:type="dxa"/>
          </w:tcPr>
          <w:p w14:paraId="1CD74E18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Coursework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525" w:type="dxa"/>
          </w:tcPr>
          <w:p w14:paraId="0ADB9F6D" w14:textId="77777777" w:rsidR="00EF40B2" w:rsidRDefault="00EF40B2" w:rsidP="001C2582">
            <w:r w:rsidRPr="3EA30DD4">
              <w:rPr>
                <w:rFonts w:ascii="Arial" w:eastAsia="Arial" w:hAnsi="Arial" w:cs="Arial"/>
                <w:color w:val="000000" w:themeColor="text1"/>
              </w:rPr>
              <w:t>×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2355" w:type="dxa"/>
          </w:tcPr>
          <w:p w14:paraId="267FCE9F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Practical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305CDF13" w14:textId="77777777" w:rsidR="00EF40B2" w:rsidRPr="008D66B2" w:rsidRDefault="00EF40B2" w:rsidP="00EF40B2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EF40B2" w14:paraId="46C0CB39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5E6B6DD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Mode of assessment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F0229C2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Volume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5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108B97E" w14:textId="77777777" w:rsidR="00EF40B2" w:rsidRDefault="00EF40B2" w:rsidP="001C2582">
            <w:r w:rsidRPr="3EA30DD4">
              <w:rPr>
                <w:rFonts w:ascii="Arial" w:eastAsia="Arial" w:hAnsi="Arial" w:cs="Arial"/>
                <w:b/>
                <w:bCs/>
              </w:rPr>
              <w:t>Weighting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F40B2" w14:paraId="1B5C45F7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D41293D" w14:textId="77777777" w:rsidR="00EF40B2" w:rsidRDefault="00EF40B2" w:rsidP="001C2582">
            <w:r w:rsidRPr="3EA30DD4">
              <w:rPr>
                <w:rFonts w:ascii="Arial" w:eastAsia="Arial" w:hAnsi="Arial" w:cs="Arial"/>
              </w:rPr>
              <w:t xml:space="preserve"> Individual Presentation</w:t>
            </w:r>
          </w:p>
        </w:tc>
        <w:tc>
          <w:tcPr>
            <w:tcW w:w="39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7D8052A" w14:textId="77777777" w:rsidR="00EF40B2" w:rsidRDefault="00EF40B2" w:rsidP="001C2582">
            <w:r w:rsidRPr="3EA30DD4">
              <w:rPr>
                <w:rFonts w:ascii="Arial" w:eastAsia="Arial" w:hAnsi="Arial" w:cs="Arial"/>
              </w:rPr>
              <w:t>15-20 minutes</w:t>
            </w:r>
          </w:p>
        </w:tc>
        <w:tc>
          <w:tcPr>
            <w:tcW w:w="15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54B0DC6" w14:textId="77777777" w:rsidR="00EF40B2" w:rsidRDefault="00EF40B2" w:rsidP="001C2582">
            <w:r w:rsidRPr="3EA30DD4">
              <w:rPr>
                <w:rFonts w:ascii="Arial" w:eastAsia="Arial" w:hAnsi="Arial" w:cs="Arial"/>
              </w:rPr>
              <w:t>50%</w:t>
            </w:r>
          </w:p>
        </w:tc>
      </w:tr>
    </w:tbl>
    <w:p w14:paraId="3DF4D0D3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 xml:space="preserve"> </w:t>
      </w:r>
    </w:p>
    <w:p w14:paraId="73FBFC0D" w14:textId="77777777" w:rsidR="00EF40B2" w:rsidRPr="008D66B2" w:rsidRDefault="00EF40B2" w:rsidP="00EF40B2">
      <w:pPr>
        <w:spacing w:line="240" w:lineRule="auto"/>
        <w:jc w:val="both"/>
      </w:pPr>
    </w:p>
    <w:p w14:paraId="250170EA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Assessment Summary 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30"/>
      </w:tblGrid>
      <w:tr w:rsidR="00EF40B2" w14:paraId="0AF64851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35593F4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Activity type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519D467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Percentage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F40B2" w14:paraId="6511A081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540F730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Written exam 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857A2E9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0 </w:t>
            </w:r>
          </w:p>
        </w:tc>
      </w:tr>
      <w:tr w:rsidR="00EF40B2" w14:paraId="5C96A97F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0476939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Coursework 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E9CB347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50</w:t>
            </w:r>
          </w:p>
        </w:tc>
      </w:tr>
      <w:tr w:rsidR="00EF40B2" w14:paraId="6B32F06A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AF14CF9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Practical 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622AC26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50</w:t>
            </w:r>
          </w:p>
        </w:tc>
      </w:tr>
      <w:tr w:rsidR="00EF40B2" w14:paraId="56BB2AF7" w14:textId="77777777" w:rsidTr="001C2582"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C3DFEB5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TOTAL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3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1612452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100%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656C2304" w14:textId="77777777" w:rsidR="00EF40B2" w:rsidRDefault="00EF40B2" w:rsidP="00EF40B2">
      <w:p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 xml:space="preserve"> </w:t>
      </w:r>
    </w:p>
    <w:p w14:paraId="00882FC4" w14:textId="77777777" w:rsidR="00EF40B2" w:rsidRDefault="00EF40B2" w:rsidP="00EF40B2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p w14:paraId="039D277B" w14:textId="77777777" w:rsidR="00EF40B2" w:rsidRPr="008D66B2" w:rsidRDefault="00EF40B2" w:rsidP="00EF40B2">
      <w:pPr>
        <w:spacing w:line="240" w:lineRule="auto"/>
        <w:jc w:val="both"/>
      </w:pPr>
    </w:p>
    <w:p w14:paraId="3F0052C8" w14:textId="77777777" w:rsidR="00EF40B2" w:rsidRPr="008D66B2" w:rsidRDefault="00EF40B2" w:rsidP="00EF40B2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INDICATIVE READING LIST</w:t>
      </w:r>
      <w:r w:rsidRPr="3EA30DD4">
        <w:rPr>
          <w:rFonts w:ascii="Arial" w:eastAsia="Arial" w:hAnsi="Arial" w:cs="Arial"/>
          <w:lang w:val="en-GB"/>
        </w:rPr>
        <w:t xml:space="preserve"> </w:t>
      </w:r>
    </w:p>
    <w:tbl>
      <w:tblPr>
        <w:tblW w:w="9015" w:type="dxa"/>
        <w:tblLayout w:type="fixed"/>
        <w:tblLook w:val="04A0" w:firstRow="1" w:lastRow="0" w:firstColumn="1" w:lastColumn="0" w:noHBand="0" w:noVBand="1"/>
      </w:tblPr>
      <w:tblGrid>
        <w:gridCol w:w="1680"/>
        <w:gridCol w:w="5625"/>
        <w:gridCol w:w="1710"/>
      </w:tblGrid>
      <w:tr w:rsidR="00EF40B2" w14:paraId="61F2422A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FBFBF" w:themeFill="background1" w:themeFillShade="BF"/>
          </w:tcPr>
          <w:p w14:paraId="0A74915E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 xml:space="preserve">Module Code </w:t>
            </w:r>
          </w:p>
        </w:tc>
        <w:tc>
          <w:tcPr>
            <w:tcW w:w="7335" w:type="dxa"/>
            <w:gridSpan w:val="2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4F97B0C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LCHS7003</w:t>
            </w:r>
          </w:p>
        </w:tc>
      </w:tr>
      <w:tr w:rsidR="00EF40B2" w14:paraId="69CA2A17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FBFBF" w:themeFill="background1" w:themeFillShade="BF"/>
          </w:tcPr>
          <w:p w14:paraId="25E1380D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 xml:space="preserve">Module Title </w:t>
            </w:r>
          </w:p>
        </w:tc>
        <w:tc>
          <w:tcPr>
            <w:tcW w:w="7335" w:type="dxa"/>
            <w:gridSpan w:val="2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C3008B0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</w:rPr>
              <w:t>Community Care and Management of Longer-term Conditions</w:t>
            </w:r>
          </w:p>
        </w:tc>
      </w:tr>
      <w:tr w:rsidR="00EF40B2" w14:paraId="760E551E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FBFBF" w:themeFill="background1" w:themeFillShade="BF"/>
          </w:tcPr>
          <w:p w14:paraId="0BBDB29D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 xml:space="preserve">Classification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FBFBF" w:themeFill="background1" w:themeFillShade="BF"/>
          </w:tcPr>
          <w:p w14:paraId="0779E6FD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 xml:space="preserve">Reading List entry </w:t>
            </w:r>
          </w:p>
        </w:tc>
        <w:tc>
          <w:tcPr>
            <w:tcW w:w="1710" w:type="dxa"/>
            <w:tcBorders>
              <w:top w:val="nil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FBFBF" w:themeFill="background1" w:themeFillShade="BF"/>
          </w:tcPr>
          <w:p w14:paraId="6A9F22FE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 xml:space="preserve">Electronic* </w:t>
            </w:r>
          </w:p>
        </w:tc>
      </w:tr>
      <w:tr w:rsidR="00EF40B2" w14:paraId="5866F806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EE460DA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Essential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A6455E6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 Lloyd, &amp; Heller, T. (2012). </w:t>
            </w:r>
            <w:r w:rsidRPr="3EA30DD4">
              <w:rPr>
                <w:rFonts w:ascii="Arial" w:eastAsia="Arial" w:hAnsi="Arial" w:cs="Arial"/>
                <w:i/>
                <w:iCs/>
              </w:rPr>
              <w:t>Long-term conditions challenges in health and social care</w:t>
            </w:r>
            <w:r w:rsidRPr="3EA30DD4">
              <w:rPr>
                <w:rFonts w:ascii="Arial" w:eastAsia="Arial" w:hAnsi="Arial" w:cs="Arial"/>
              </w:rPr>
              <w:t>. SAGE.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6403611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7D05A276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145F3D2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Essential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3A77981" w14:textId="77777777" w:rsidR="00EF40B2" w:rsidRDefault="00EF40B2" w:rsidP="001C2582">
            <w:pPr>
              <w:spacing w:after="0" w:line="240" w:lineRule="auto"/>
            </w:pPr>
            <w:proofErr w:type="spellStart"/>
            <w:r w:rsidRPr="000B5A9A">
              <w:rPr>
                <w:rFonts w:ascii="Arial" w:eastAsia="Arial" w:hAnsi="Arial" w:cs="Arial"/>
                <w:lang w:val="it-IT"/>
              </w:rPr>
              <w:t>Chiauzzi</w:t>
            </w:r>
            <w:proofErr w:type="spellEnd"/>
            <w:r w:rsidRPr="000B5A9A">
              <w:rPr>
                <w:rFonts w:ascii="Arial" w:eastAsia="Arial" w:hAnsi="Arial" w:cs="Arial"/>
                <w:lang w:val="it-IT"/>
              </w:rPr>
              <w:t xml:space="preserve">, </w:t>
            </w:r>
            <w:proofErr w:type="spellStart"/>
            <w:r w:rsidRPr="000B5A9A">
              <w:rPr>
                <w:rFonts w:ascii="Arial" w:eastAsia="Arial" w:hAnsi="Arial" w:cs="Arial"/>
                <w:lang w:val="it-IT"/>
              </w:rPr>
              <w:t>Rodarte</w:t>
            </w:r>
            <w:proofErr w:type="spellEnd"/>
            <w:r w:rsidRPr="000B5A9A">
              <w:rPr>
                <w:rFonts w:ascii="Arial" w:eastAsia="Arial" w:hAnsi="Arial" w:cs="Arial"/>
                <w:lang w:val="it-IT"/>
              </w:rPr>
              <w:t xml:space="preserve">, C., &amp; </w:t>
            </w:r>
            <w:proofErr w:type="spellStart"/>
            <w:r w:rsidRPr="000B5A9A">
              <w:rPr>
                <w:rFonts w:ascii="Arial" w:eastAsia="Arial" w:hAnsi="Arial" w:cs="Arial"/>
                <w:lang w:val="it-IT"/>
              </w:rPr>
              <w:t>DasMahapatra</w:t>
            </w:r>
            <w:proofErr w:type="spellEnd"/>
            <w:r w:rsidRPr="000B5A9A">
              <w:rPr>
                <w:rFonts w:ascii="Arial" w:eastAsia="Arial" w:hAnsi="Arial" w:cs="Arial"/>
                <w:lang w:val="it-IT"/>
              </w:rPr>
              <w:t xml:space="preserve">, P. (2015). </w:t>
            </w:r>
            <w:r w:rsidRPr="3EA30DD4">
              <w:rPr>
                <w:rFonts w:ascii="Arial" w:eastAsia="Arial" w:hAnsi="Arial" w:cs="Arial"/>
              </w:rPr>
              <w:t xml:space="preserve">‘Patient-centered activity monitoring in the self-management of chronic health conditions’. </w:t>
            </w:r>
            <w:r w:rsidRPr="3EA30DD4">
              <w:rPr>
                <w:rFonts w:ascii="Arial" w:eastAsia="Arial" w:hAnsi="Arial" w:cs="Arial"/>
                <w:i/>
                <w:iCs/>
              </w:rPr>
              <w:t>BMC Medicine</w:t>
            </w:r>
            <w:r w:rsidRPr="3EA30DD4">
              <w:rPr>
                <w:rFonts w:ascii="Arial" w:eastAsia="Arial" w:hAnsi="Arial" w:cs="Arial"/>
              </w:rPr>
              <w:t xml:space="preserve">, 13(1), 77–77. Available at: </w:t>
            </w:r>
            <w:hyperlink r:id="rId5">
              <w:r w:rsidRPr="3EA30DD4">
                <w:rPr>
                  <w:rStyle w:val="Hyperlink"/>
                  <w:rFonts w:ascii="Arial" w:eastAsia="Arial" w:hAnsi="Arial" w:cs="Arial"/>
                </w:rPr>
                <w:t>https://doi.org/10.1186/s12916-015-0319-2</w:t>
              </w:r>
            </w:hyperlink>
            <w:r w:rsidRPr="3EA30DD4">
              <w:rPr>
                <w:rFonts w:ascii="Arial" w:eastAsia="Arial" w:hAnsi="Arial" w:cs="Arial"/>
                <w:color w:val="3A3A3A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AED4F3C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07E05436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C3677D6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Essential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0A02708" w14:textId="77777777" w:rsidR="00EF40B2" w:rsidRDefault="00EF40B2" w:rsidP="001C2582">
            <w:pPr>
              <w:spacing w:after="0" w:line="240" w:lineRule="auto"/>
            </w:pPr>
            <w:proofErr w:type="spellStart"/>
            <w:r w:rsidRPr="3EA30DD4">
              <w:rPr>
                <w:rFonts w:ascii="Arial" w:eastAsia="Arial" w:hAnsi="Arial" w:cs="Arial"/>
              </w:rPr>
              <w:t>Friis</w:t>
            </w:r>
            <w:proofErr w:type="spellEnd"/>
            <w:r w:rsidRPr="3EA30DD4">
              <w:rPr>
                <w:rFonts w:ascii="Arial" w:eastAsia="Arial" w:hAnsi="Arial" w:cs="Arial"/>
              </w:rPr>
              <w:t>. (2016). ‘Gaps in understanding health and engagement with healthcare providers across common long-term conditions: a population survey of health literacy in 29,473 Danish citizens’</w:t>
            </w:r>
            <w:r w:rsidRPr="3EA30DD4">
              <w:rPr>
                <w:rFonts w:ascii="Arial" w:eastAsia="Arial" w:hAnsi="Arial" w:cs="Arial"/>
                <w:i/>
                <w:iCs/>
              </w:rPr>
              <w:t>. BMJ Open</w:t>
            </w:r>
            <w:r w:rsidRPr="3EA30DD4">
              <w:rPr>
                <w:rFonts w:ascii="Arial" w:eastAsia="Arial" w:hAnsi="Arial" w:cs="Arial"/>
              </w:rPr>
              <w:t xml:space="preserve">., 6(1). Available at; </w:t>
            </w:r>
            <w:hyperlink r:id="rId6">
              <w:r w:rsidRPr="3EA30DD4">
                <w:rPr>
                  <w:rStyle w:val="Hyperlink"/>
                  <w:rFonts w:ascii="Arial" w:eastAsia="Arial" w:hAnsi="Arial" w:cs="Arial"/>
                </w:rPr>
                <w:t>https://doi.org/10.1136/bmjopen-2015-009627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B063307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34B55DB9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40B45BA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F7ECD8E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Eaton. (2015). ‘Delivering person </w:t>
            </w:r>
            <w:proofErr w:type="spellStart"/>
            <w:r w:rsidRPr="3EA30DD4">
              <w:rPr>
                <w:rFonts w:ascii="Arial" w:eastAsia="Arial" w:hAnsi="Arial" w:cs="Arial"/>
              </w:rPr>
              <w:t>centred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 care in long term conditions’. </w:t>
            </w:r>
            <w:r w:rsidRPr="3EA30DD4">
              <w:rPr>
                <w:rFonts w:ascii="Arial" w:eastAsia="Arial" w:hAnsi="Arial" w:cs="Arial"/>
                <w:i/>
                <w:iCs/>
              </w:rPr>
              <w:t>BMJ : British Medical Journal</w:t>
            </w:r>
            <w:r w:rsidRPr="3EA30DD4">
              <w:rPr>
                <w:rFonts w:ascii="Arial" w:eastAsia="Arial" w:hAnsi="Arial" w:cs="Arial"/>
              </w:rPr>
              <w:t xml:space="preserve">., 350. Available at: </w:t>
            </w:r>
            <w:hyperlink r:id="rId7">
              <w:r w:rsidRPr="3EA30DD4">
                <w:rPr>
                  <w:rStyle w:val="Hyperlink"/>
                  <w:rFonts w:ascii="Arial" w:eastAsia="Arial" w:hAnsi="Arial" w:cs="Arial"/>
                </w:rPr>
                <w:t>https://doi.org/10.1136/bmj.h181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EA0AA63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299EA2FD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CD9602B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A4B22EC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Hellqvist. (2021). ‘Promoting Self-Care in Nursing Encounters with Persons Affected by Long-Term Conditions-A Proposed Model to Guide Clinical Care’. </w:t>
            </w:r>
            <w:r w:rsidRPr="3EA30DD4">
              <w:rPr>
                <w:rFonts w:ascii="Arial" w:eastAsia="Arial" w:hAnsi="Arial" w:cs="Arial"/>
                <w:i/>
                <w:iCs/>
              </w:rPr>
              <w:t>International Journal of Environmental Research and Public Health</w:t>
            </w:r>
            <w:r w:rsidRPr="3EA30DD4">
              <w:rPr>
                <w:rFonts w:ascii="Arial" w:eastAsia="Arial" w:hAnsi="Arial" w:cs="Arial"/>
              </w:rPr>
              <w:t xml:space="preserve">, 18(5), 2223. Available at: </w:t>
            </w:r>
            <w:hyperlink r:id="rId8">
              <w:r w:rsidRPr="3EA30DD4">
                <w:rPr>
                  <w:rStyle w:val="Hyperlink"/>
                  <w:rFonts w:ascii="Arial" w:eastAsia="Arial" w:hAnsi="Arial" w:cs="Arial"/>
                </w:rPr>
                <w:t>https://doi.org/10.3390/ijerph18052223</w:t>
              </w:r>
            </w:hyperlink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F876E49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2D8A952A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5DF8DCA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C4F5BF8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  <w:i/>
                <w:iCs/>
              </w:rPr>
              <w:t>Long term perspectives / Units 15-16, Allocation of resources; eye to the future</w:t>
            </w:r>
            <w:r w:rsidRPr="3EA30DD4">
              <w:rPr>
                <w:rFonts w:ascii="Arial" w:eastAsia="Arial" w:hAnsi="Arial" w:cs="Arial"/>
              </w:rPr>
              <w:t>. (1979). Open University Press</w:t>
            </w:r>
            <w:r w:rsidRPr="3EA30DD4">
              <w:rPr>
                <w:rFonts w:ascii="Arial" w:eastAsia="Arial" w:hAnsi="Arial" w:cs="Arial"/>
                <w:color w:val="3A3A3A"/>
              </w:rPr>
              <w:t>.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B880DE9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4637CDBD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88926ED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0A7348F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Gately. (2007). </w:t>
            </w:r>
            <w:r w:rsidRPr="3EA30DD4">
              <w:rPr>
                <w:rFonts w:ascii="Arial" w:eastAsia="Arial" w:hAnsi="Arial" w:cs="Arial"/>
                <w:i/>
                <w:iCs/>
              </w:rPr>
              <w:t xml:space="preserve">Re-thinking the relationship between long-term condition self-management education and the </w:t>
            </w:r>
            <w:proofErr w:type="spellStart"/>
            <w:r w:rsidRPr="3EA30DD4">
              <w:rPr>
                <w:rFonts w:ascii="Arial" w:eastAsia="Arial" w:hAnsi="Arial" w:cs="Arial"/>
                <w:i/>
                <w:iCs/>
              </w:rPr>
              <w:t>utilisation</w:t>
            </w:r>
            <w:proofErr w:type="spellEnd"/>
            <w:r w:rsidRPr="3EA30DD4">
              <w:rPr>
                <w:rFonts w:ascii="Arial" w:eastAsia="Arial" w:hAnsi="Arial" w:cs="Arial"/>
                <w:i/>
                <w:iCs/>
              </w:rPr>
              <w:t xml:space="preserve"> of health services.</w:t>
            </w:r>
            <w:r w:rsidRPr="3EA30DD4">
              <w:rPr>
                <w:rFonts w:ascii="Arial" w:eastAsia="Arial" w:hAnsi="Arial" w:cs="Arial"/>
              </w:rPr>
              <w:t xml:space="preserve"> Social Science &amp; Medicine., 65(5), 934–945. Available at; </w:t>
            </w:r>
            <w:hyperlink r:id="rId9">
              <w:r w:rsidRPr="3EA30DD4">
                <w:rPr>
                  <w:rStyle w:val="Hyperlink"/>
                  <w:rFonts w:ascii="Arial" w:eastAsia="Arial" w:hAnsi="Arial" w:cs="Arial"/>
                </w:rPr>
                <w:t>https://doi.org/10.1016/j.socscimed.2007.04.018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997F8FD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5F40F084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5DCAA1B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D76B941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Brown, J. (2015) </w:t>
            </w:r>
            <w:r w:rsidRPr="3EA30DD4">
              <w:rPr>
                <w:rFonts w:ascii="Arial" w:eastAsia="Arial" w:hAnsi="Arial" w:cs="Arial"/>
                <w:i/>
                <w:iCs/>
              </w:rPr>
              <w:t xml:space="preserve">Understanding &amp; Managing Irritable Bowel Syndrome. </w:t>
            </w:r>
            <w:r w:rsidRPr="3EA30DD4">
              <w:rPr>
                <w:rFonts w:ascii="Arial" w:eastAsia="Arial" w:hAnsi="Arial" w:cs="Arial"/>
              </w:rPr>
              <w:t>Mayo Clinic.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EADDE96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11EAABC2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957D17E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90CAAF0" w14:textId="77777777" w:rsidR="00EF40B2" w:rsidRDefault="00EF40B2" w:rsidP="001C2582">
            <w:pPr>
              <w:spacing w:after="0" w:line="240" w:lineRule="auto"/>
            </w:pPr>
            <w:proofErr w:type="spellStart"/>
            <w:r w:rsidRPr="3EA30DD4">
              <w:rPr>
                <w:rFonts w:ascii="Arial" w:eastAsia="Arial" w:hAnsi="Arial" w:cs="Arial"/>
              </w:rPr>
              <w:t>Baroff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. (2003). </w:t>
            </w:r>
            <w:r w:rsidRPr="3EA30DD4">
              <w:rPr>
                <w:rFonts w:ascii="Arial" w:eastAsia="Arial" w:hAnsi="Arial" w:cs="Arial"/>
                <w:i/>
                <w:iCs/>
              </w:rPr>
              <w:t>Beloved Strangers: Caring for a Loved One With Alzheimer’s Disease.</w:t>
            </w:r>
            <w:r w:rsidRPr="3EA30DD4">
              <w:rPr>
                <w:rFonts w:ascii="Arial" w:eastAsia="Arial" w:hAnsi="Arial" w:cs="Arial"/>
              </w:rPr>
              <w:t xml:space="preserve"> Aquarius Health Care Media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6067CB3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0429141C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2CBE4F3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31B3651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Smith. (2015). ‘Parents’ experiences of living with a child with a long-term condition: a rapid structured review of the literature’. </w:t>
            </w:r>
            <w:r w:rsidRPr="3EA30DD4">
              <w:rPr>
                <w:rFonts w:ascii="Arial" w:eastAsia="Arial" w:hAnsi="Arial" w:cs="Arial"/>
                <w:i/>
                <w:iCs/>
              </w:rPr>
              <w:t>Health Expectations</w:t>
            </w:r>
            <w:r w:rsidRPr="3EA30DD4">
              <w:rPr>
                <w:rFonts w:ascii="Arial" w:eastAsia="Arial" w:hAnsi="Arial" w:cs="Arial"/>
              </w:rPr>
              <w:t xml:space="preserve">., 18(4), 452–474. Available at: </w:t>
            </w:r>
            <w:hyperlink r:id="rId10">
              <w:r w:rsidRPr="3EA30DD4">
                <w:rPr>
                  <w:rStyle w:val="Hyperlink"/>
                  <w:rFonts w:ascii="Arial" w:eastAsia="Arial" w:hAnsi="Arial" w:cs="Arial"/>
                </w:rPr>
                <w:t>https://doi.org/10.1111/hex.12040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5FF749B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4F1DC74F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6F539AF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8B2BB4C" w14:textId="77777777" w:rsidR="00EF40B2" w:rsidRDefault="00EF40B2" w:rsidP="001C2582">
            <w:pPr>
              <w:spacing w:after="0" w:line="240" w:lineRule="auto"/>
            </w:pPr>
            <w:proofErr w:type="spellStart"/>
            <w:r w:rsidRPr="3EA30DD4">
              <w:rPr>
                <w:rFonts w:ascii="Arial" w:eastAsia="Arial" w:hAnsi="Arial" w:cs="Arial"/>
              </w:rPr>
              <w:t>Musliner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, K., (2016). ‘Heterogeneity in long-term trajectories of depressive symptoms: Patterns, predictors and outcomes’. </w:t>
            </w:r>
            <w:r w:rsidRPr="3EA30DD4">
              <w:rPr>
                <w:rFonts w:ascii="Arial" w:eastAsia="Arial" w:hAnsi="Arial" w:cs="Arial"/>
                <w:i/>
                <w:iCs/>
              </w:rPr>
              <w:t>Journal of Affective Disorders</w:t>
            </w:r>
            <w:r w:rsidRPr="3EA30DD4">
              <w:rPr>
                <w:rFonts w:ascii="Arial" w:eastAsia="Arial" w:hAnsi="Arial" w:cs="Arial"/>
              </w:rPr>
              <w:t xml:space="preserve">., 192, 199–211. Available at: </w:t>
            </w:r>
            <w:hyperlink r:id="rId11">
              <w:r w:rsidRPr="3EA30DD4">
                <w:rPr>
                  <w:rStyle w:val="Hyperlink"/>
                  <w:rFonts w:ascii="Arial" w:eastAsia="Arial" w:hAnsi="Arial" w:cs="Arial"/>
                </w:rPr>
                <w:t>https://doi.org/10.1016/j.jad.2015.12.030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BC852CF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35EE8724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4740222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182A36D" w14:textId="77777777" w:rsidR="00EF40B2" w:rsidRDefault="00EF40B2" w:rsidP="001C2582">
            <w:pPr>
              <w:spacing w:after="0" w:line="240" w:lineRule="auto"/>
            </w:pPr>
            <w:proofErr w:type="spellStart"/>
            <w:r w:rsidRPr="3EA30DD4">
              <w:rPr>
                <w:rFonts w:ascii="Arial" w:eastAsia="Arial" w:hAnsi="Arial" w:cs="Arial"/>
              </w:rPr>
              <w:t>Bagust</w:t>
            </w:r>
            <w:proofErr w:type="spellEnd"/>
            <w:r w:rsidRPr="3EA30DD4">
              <w:rPr>
                <w:rFonts w:ascii="Arial" w:eastAsia="Arial" w:hAnsi="Arial" w:cs="Arial"/>
              </w:rPr>
              <w:t>. M., et al., (2001). ‘An economic model of the long-term health care burden of Type II diabetes’</w:t>
            </w:r>
            <w:r w:rsidRPr="3EA30DD4">
              <w:rPr>
                <w:rFonts w:ascii="Arial" w:eastAsia="Arial" w:hAnsi="Arial" w:cs="Arial"/>
                <w:i/>
                <w:iCs/>
              </w:rPr>
              <w:t xml:space="preserve">. </w:t>
            </w:r>
            <w:proofErr w:type="spellStart"/>
            <w:r w:rsidRPr="3EA30DD4">
              <w:rPr>
                <w:rFonts w:ascii="Arial" w:eastAsia="Arial" w:hAnsi="Arial" w:cs="Arial"/>
                <w:i/>
                <w:iCs/>
              </w:rPr>
              <w:lastRenderedPageBreak/>
              <w:t>Diabetologia</w:t>
            </w:r>
            <w:proofErr w:type="spellEnd"/>
            <w:r w:rsidRPr="3EA30DD4">
              <w:rPr>
                <w:rFonts w:ascii="Arial" w:eastAsia="Arial" w:hAnsi="Arial" w:cs="Arial"/>
                <w:i/>
                <w:iCs/>
              </w:rPr>
              <w:t>.,</w:t>
            </w:r>
            <w:r w:rsidRPr="3EA30DD4">
              <w:rPr>
                <w:rFonts w:ascii="Arial" w:eastAsia="Arial" w:hAnsi="Arial" w:cs="Arial"/>
              </w:rPr>
              <w:t xml:space="preserve"> 44(12), 2140–2155. Available at; </w:t>
            </w:r>
            <w:hyperlink r:id="rId12">
              <w:r w:rsidRPr="3EA30DD4">
                <w:rPr>
                  <w:rStyle w:val="Hyperlink"/>
                  <w:rFonts w:ascii="Arial" w:eastAsia="Arial" w:hAnsi="Arial" w:cs="Arial"/>
                </w:rPr>
                <w:t>https://doi.org/10.1007/s001250100023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BC4549A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lastRenderedPageBreak/>
              <w:t>☒</w:t>
            </w:r>
          </w:p>
        </w:tc>
      </w:tr>
      <w:tr w:rsidR="00EF40B2" w14:paraId="6E76D6F5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AC338D6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E682B87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Lehnert. T., et al., (2012). ‘The long-term cost-effectiveness of obesity prevention interventions: systematic literature review’. </w:t>
            </w:r>
            <w:r w:rsidRPr="3EA30DD4">
              <w:rPr>
                <w:rFonts w:ascii="Arial" w:eastAsia="Arial" w:hAnsi="Arial" w:cs="Arial"/>
                <w:i/>
                <w:iCs/>
              </w:rPr>
              <w:t>Obesity Reviews</w:t>
            </w:r>
            <w:r w:rsidRPr="3EA30DD4">
              <w:rPr>
                <w:rFonts w:ascii="Arial" w:eastAsia="Arial" w:hAnsi="Arial" w:cs="Arial"/>
              </w:rPr>
              <w:t xml:space="preserve">., 13(6), 537–553. Available at: </w:t>
            </w:r>
            <w:hyperlink r:id="rId13">
              <w:r w:rsidRPr="3EA30DD4">
                <w:rPr>
                  <w:rStyle w:val="Hyperlink"/>
                  <w:rFonts w:ascii="Arial" w:eastAsia="Arial" w:hAnsi="Arial" w:cs="Arial"/>
                </w:rPr>
                <w:t>https://doi.org/10.1111/j.1467-789X.2011.00980.x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D5AC651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7C952A41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021646C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Further 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C1660F7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Coulter. A., et al., (2015). </w:t>
            </w:r>
            <w:proofErr w:type="spellStart"/>
            <w:r w:rsidRPr="3EA30DD4">
              <w:rPr>
                <w:rFonts w:ascii="Arial" w:eastAsia="Arial" w:hAnsi="Arial" w:cs="Arial"/>
                <w:i/>
                <w:iCs/>
              </w:rPr>
              <w:t>Personalised</w:t>
            </w:r>
            <w:proofErr w:type="spellEnd"/>
            <w:r w:rsidRPr="3EA30DD4">
              <w:rPr>
                <w:rFonts w:ascii="Arial" w:eastAsia="Arial" w:hAnsi="Arial" w:cs="Arial"/>
                <w:i/>
                <w:iCs/>
              </w:rPr>
              <w:t xml:space="preserve"> care planning for adults with chronic or long-term health conditions</w:t>
            </w:r>
            <w:r w:rsidRPr="3EA30DD4">
              <w:rPr>
                <w:rFonts w:ascii="Arial" w:eastAsia="Arial" w:hAnsi="Arial" w:cs="Arial"/>
              </w:rPr>
              <w:t xml:space="preserve">. The Cochrane Library. Available at; </w:t>
            </w:r>
            <w:hyperlink r:id="rId14">
              <w:r w:rsidRPr="3EA30DD4">
                <w:rPr>
                  <w:rStyle w:val="Hyperlink"/>
                  <w:rFonts w:ascii="Arial" w:eastAsia="Arial" w:hAnsi="Arial" w:cs="Arial"/>
                </w:rPr>
                <w:t>https://doi.org/10.1002/14651858.CD010523.pub2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192ECDA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58550489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182EF43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7218EB8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Bower. P., et al., (2012). ‘A cluster </w:t>
            </w:r>
            <w:proofErr w:type="spellStart"/>
            <w:r w:rsidRPr="3EA30DD4">
              <w:rPr>
                <w:rFonts w:ascii="Arial" w:eastAsia="Arial" w:hAnsi="Arial" w:cs="Arial"/>
              </w:rPr>
              <w:t>randomised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 controlled trial of the clinical and cost-effectiveness of a “whole systems” model of self-management support for the management of long- term conditions in primary care: trial protocol’. </w:t>
            </w:r>
            <w:r w:rsidRPr="3EA30DD4">
              <w:rPr>
                <w:rFonts w:ascii="Arial" w:eastAsia="Arial" w:hAnsi="Arial" w:cs="Arial"/>
                <w:i/>
                <w:iCs/>
              </w:rPr>
              <w:t>Implementation Science </w:t>
            </w:r>
            <w:r w:rsidRPr="3EA30DD4">
              <w:rPr>
                <w:rFonts w:ascii="Arial" w:eastAsia="Arial" w:hAnsi="Arial" w:cs="Arial"/>
              </w:rPr>
              <w:t xml:space="preserve">: IS., 7(1). Available at; </w:t>
            </w:r>
            <w:hyperlink r:id="rId15">
              <w:r w:rsidRPr="3EA30DD4">
                <w:rPr>
                  <w:rStyle w:val="Hyperlink"/>
                  <w:rFonts w:ascii="Arial" w:eastAsia="Arial" w:hAnsi="Arial" w:cs="Arial"/>
                </w:rPr>
                <w:t>https://doi.org/10.1186/1748-5908-7-7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D6CF737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447793C7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09BCE44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444E006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Rabe, et al. (2004). ‘’Worldwide severity and control of asthma in children and adults: the global asthma insights and reality surveys. </w:t>
            </w:r>
            <w:r w:rsidRPr="3EA30DD4">
              <w:rPr>
                <w:rFonts w:ascii="Arial" w:eastAsia="Arial" w:hAnsi="Arial" w:cs="Arial"/>
                <w:i/>
                <w:iCs/>
              </w:rPr>
              <w:t>The Journal of Allergy and Clinical Immunology</w:t>
            </w:r>
            <w:r w:rsidRPr="3EA30DD4">
              <w:rPr>
                <w:rFonts w:ascii="Arial" w:eastAsia="Arial" w:hAnsi="Arial" w:cs="Arial"/>
              </w:rPr>
              <w:t xml:space="preserve">, 114(1), 40–47. Available at: </w:t>
            </w:r>
            <w:hyperlink r:id="rId16">
              <w:r w:rsidRPr="3EA30DD4">
                <w:rPr>
                  <w:rStyle w:val="Hyperlink"/>
                  <w:rFonts w:ascii="Arial" w:eastAsia="Arial" w:hAnsi="Arial" w:cs="Arial"/>
                </w:rPr>
                <w:t>https://doi.org/10.1016/j.jaci.2004.04.042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152E712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1BA3A4BE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A6D04E5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361A999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Nutt, et al., (2005). ‘Diagnosis and Initial Management of Parkinson’s Disease’. </w:t>
            </w:r>
            <w:r w:rsidRPr="3EA30DD4">
              <w:rPr>
                <w:rFonts w:ascii="Arial" w:eastAsia="Arial" w:hAnsi="Arial" w:cs="Arial"/>
                <w:i/>
                <w:iCs/>
              </w:rPr>
              <w:t>The New England Journal of Medicine</w:t>
            </w:r>
            <w:r w:rsidRPr="3EA30DD4">
              <w:rPr>
                <w:rFonts w:ascii="Arial" w:eastAsia="Arial" w:hAnsi="Arial" w:cs="Arial"/>
              </w:rPr>
              <w:t xml:space="preserve">., 353(10), 1021–1027. Available at: </w:t>
            </w:r>
            <w:hyperlink r:id="rId17">
              <w:r w:rsidRPr="3EA30DD4">
                <w:rPr>
                  <w:rStyle w:val="Hyperlink"/>
                  <w:rFonts w:ascii="Arial" w:eastAsia="Arial" w:hAnsi="Arial" w:cs="Arial"/>
                </w:rPr>
                <w:t>https://doi.org/10.1056/NEJMcp043908</w:t>
              </w:r>
            </w:hyperlink>
            <w:r w:rsidRPr="3EA30DD4">
              <w:rPr>
                <w:rFonts w:ascii="Arial" w:eastAsia="Arial" w:hAnsi="Arial" w:cs="Arial"/>
              </w:rPr>
              <w:t xml:space="preserve"> 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4B41558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  <w:tr w:rsidR="00EF40B2" w14:paraId="1B27E5E2" w14:textId="77777777" w:rsidTr="001C2582">
        <w:tc>
          <w:tcPr>
            <w:tcW w:w="168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FF3C358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2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599FB41" w14:textId="77777777" w:rsidR="00EF40B2" w:rsidRDefault="00EF40B2" w:rsidP="001C2582">
            <w:pPr>
              <w:spacing w:after="0" w:line="240" w:lineRule="auto"/>
            </w:pPr>
            <w:r w:rsidRPr="3EA30DD4">
              <w:rPr>
                <w:rFonts w:ascii="Arial" w:eastAsia="Arial" w:hAnsi="Arial" w:cs="Arial"/>
              </w:rPr>
              <w:t xml:space="preserve">Wong. (2001). ‘Long-term morbidity, mortality, and economics of rheumatoid arthritis’. </w:t>
            </w:r>
            <w:r w:rsidRPr="3EA30DD4">
              <w:rPr>
                <w:rFonts w:ascii="Arial" w:eastAsia="Arial" w:hAnsi="Arial" w:cs="Arial"/>
                <w:i/>
                <w:iCs/>
              </w:rPr>
              <w:t>Arthritis &amp; Rheumatism</w:t>
            </w:r>
            <w:r w:rsidRPr="3EA30DD4">
              <w:rPr>
                <w:rFonts w:ascii="Arial" w:eastAsia="Arial" w:hAnsi="Arial" w:cs="Arial"/>
              </w:rPr>
              <w:t xml:space="preserve">., 44(12), 2746–2749. Available at: </w:t>
            </w:r>
            <w:hyperlink r:id="rId18">
              <w:r w:rsidRPr="3EA30DD4">
                <w:rPr>
                  <w:rStyle w:val="Hyperlink"/>
                  <w:rFonts w:ascii="Arial" w:eastAsia="Arial" w:hAnsi="Arial" w:cs="Arial"/>
                </w:rPr>
                <w:t>https://doi.org/10.1002/15290131(200112)44:123.0.CO;2-Z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71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F48E938" w14:textId="77777777" w:rsidR="00EF40B2" w:rsidRDefault="00EF40B2" w:rsidP="001C2582">
            <w:pPr>
              <w:spacing w:after="0"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</w:tr>
    </w:tbl>
    <w:p w14:paraId="64AACF17" w14:textId="77777777" w:rsidR="00EF40B2" w:rsidRDefault="00EF40B2" w:rsidP="00EF40B2">
      <w:pPr>
        <w:spacing w:after="0" w:line="240" w:lineRule="auto"/>
      </w:pPr>
    </w:p>
    <w:p w14:paraId="1D0077A6" w14:textId="77777777" w:rsidR="00E109AE" w:rsidRDefault="00E109AE"/>
    <w:sectPr w:rsidR="00E109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7015AC"/>
    <w:multiLevelType w:val="hybridMultilevel"/>
    <w:tmpl w:val="D8408EEC"/>
    <w:lvl w:ilvl="0" w:tplc="7390B84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9BC61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3C93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BAAA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3C12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25EB9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B04B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FE5D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13E19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B87423"/>
    <w:multiLevelType w:val="hybridMultilevel"/>
    <w:tmpl w:val="0F8CBFF4"/>
    <w:lvl w:ilvl="0" w:tplc="ADFAC12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4F8B5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26AD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7AB2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5C19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72E7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9A5B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0E1C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6835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02A03C"/>
    <w:multiLevelType w:val="hybridMultilevel"/>
    <w:tmpl w:val="572A6804"/>
    <w:lvl w:ilvl="0" w:tplc="D8943AB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60635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221E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8C04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4A84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6C6F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CA4C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867D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35EC0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559912">
    <w:abstractNumId w:val="1"/>
  </w:num>
  <w:num w:numId="2" w16cid:durableId="743068530">
    <w:abstractNumId w:val="0"/>
  </w:num>
  <w:num w:numId="3" w16cid:durableId="948629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40B2"/>
    <w:rsid w:val="00391483"/>
    <w:rsid w:val="00E109AE"/>
    <w:rsid w:val="00E4674F"/>
    <w:rsid w:val="00EF4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E39BB"/>
  <w15:chartTrackingRefBased/>
  <w15:docId w15:val="{6AEC07DE-9B71-48D1-9195-2DD49902D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40B2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EF40B2"/>
    <w:pPr>
      <w:ind w:left="720"/>
      <w:contextualSpacing/>
    </w:pPr>
  </w:style>
  <w:style w:type="table" w:styleId="TableGrid">
    <w:name w:val="Table Grid"/>
    <w:basedOn w:val="TableNormal"/>
    <w:rsid w:val="00EF40B2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EF40B2"/>
    <w:rPr>
      <w:color w:val="0000FF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EF40B2"/>
    <w:rPr>
      <w:rFonts w:ascii="Calibri" w:eastAsia="Calibri" w:hAnsi="Calibri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ijerph18052223" TargetMode="External"/><Relationship Id="rId13" Type="http://schemas.openxmlformats.org/officeDocument/2006/relationships/hyperlink" Target="https://doi.org/10.1111/j.1467-789X.2011.00980.x" TargetMode="External"/><Relationship Id="rId18" Type="http://schemas.openxmlformats.org/officeDocument/2006/relationships/hyperlink" Target="https://doi.org/10.1002/15290131(200112)44:123.0.CO;2-Z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36/bmj.h181" TargetMode="External"/><Relationship Id="rId12" Type="http://schemas.openxmlformats.org/officeDocument/2006/relationships/hyperlink" Target="https://doi.org/10.1007/s001250100023" TargetMode="External"/><Relationship Id="rId17" Type="http://schemas.openxmlformats.org/officeDocument/2006/relationships/hyperlink" Target="https://doi.org/10.1056/NEJMcp043908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jaci.2004.04.042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doi.org/10.1136/bmjopen-2015-009627" TargetMode="External"/><Relationship Id="rId11" Type="http://schemas.openxmlformats.org/officeDocument/2006/relationships/hyperlink" Target="https://doi.org/10.1016/j.jad.2015.12.030" TargetMode="External"/><Relationship Id="rId5" Type="http://schemas.openxmlformats.org/officeDocument/2006/relationships/hyperlink" Target="https://doi.org/10.1186/s12916-015-0319-2" TargetMode="External"/><Relationship Id="rId15" Type="http://schemas.openxmlformats.org/officeDocument/2006/relationships/hyperlink" Target="https://doi.org/10.1186/1748-5908-7-7" TargetMode="External"/><Relationship Id="rId10" Type="http://schemas.openxmlformats.org/officeDocument/2006/relationships/hyperlink" Target="https://doi.org/10.1111/hex.12040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socscimed.2007.04.018" TargetMode="External"/><Relationship Id="rId14" Type="http://schemas.openxmlformats.org/officeDocument/2006/relationships/hyperlink" Target="https://doi.org/10.1002/14651858.CD010523.pub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1234</Words>
  <Characters>7034</Characters>
  <Application>Microsoft Office Word</Application>
  <DocSecurity>0</DocSecurity>
  <Lines>58</Lines>
  <Paragraphs>16</Paragraphs>
  <ScaleCrop>false</ScaleCrop>
  <Company>University of Wales Trinity Saint David</Company>
  <LinksUpToDate>false</LinksUpToDate>
  <CharactersWithSpaces>8252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1</cp:revision>
  <dcterms:created xsi:type="dcterms:W3CDTF">2022-09-02T12:14:00Z</dcterms:created>
  <dcterms:modified xsi:type="dcterms:W3CDTF">2022-09-02T12:15:00Z</dcterms:modified>
</cp:coreProperties>
</file>