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240B4A17" w:rsidR="00ED1049" w:rsidRPr="00FF351A" w:rsidRDefault="00ED1049" w:rsidP="00ED1049">
      <w:pPr>
        <w:tabs>
          <w:tab w:val="left" w:pos="6540"/>
        </w:tabs>
        <w:spacing w:line="360" w:lineRule="auto"/>
        <w:ind w:left="426"/>
        <w:rPr>
          <w:rFonts w:ascii="Arial" w:hAnsi="Arial" w:cs="Arial"/>
          <w:sz w:val="28"/>
          <w:szCs w:val="28"/>
          <w:lang w:val="en-GB"/>
        </w:rPr>
      </w:pPr>
      <w:r w:rsidRPr="00FF351A">
        <w:rPr>
          <w:rFonts w:ascii="Arial" w:hAnsi="Arial" w:cs="Arial"/>
          <w:b/>
          <w:bCs/>
          <w:sz w:val="28"/>
          <w:szCs w:val="28"/>
          <w:lang w:val="en-GB"/>
        </w:rPr>
        <w:t>Student name</w:t>
      </w:r>
      <w:r w:rsidRPr="00FF351A">
        <w:rPr>
          <w:rFonts w:ascii="Arial" w:hAnsi="Arial" w:cs="Arial"/>
          <w:sz w:val="28"/>
          <w:szCs w:val="28"/>
          <w:lang w:val="en-GB"/>
        </w:rPr>
        <w:t>:</w:t>
      </w:r>
      <w:r w:rsidR="00151ACC" w:rsidRPr="00151ACC">
        <w:rPr>
          <w:rStyle w:val="TableGrid"/>
          <w:rFonts w:ascii="Arial" w:hAnsi="Arial"/>
          <w:color w:val="000000"/>
          <w:szCs w:val="28"/>
          <w:shd w:val="clear" w:color="auto" w:fill="FFFFFF"/>
        </w:rPr>
        <w:t xml:space="preserve"> </w:t>
      </w:r>
      <w:r w:rsidR="00151ACC">
        <w:rPr>
          <w:rStyle w:val="normaltextrun"/>
          <w:rFonts w:ascii="Arial" w:hAnsi="Arial"/>
          <w:color w:val="000000"/>
          <w:szCs w:val="28"/>
          <w:shd w:val="clear" w:color="auto" w:fill="FFFFFF"/>
        </w:rPr>
        <w:t>Tasha Young</w:t>
      </w:r>
    </w:p>
    <w:p w14:paraId="00429E76" w14:textId="7873A655" w:rsidR="00ED1049" w:rsidRPr="00FF351A" w:rsidRDefault="00ED1049" w:rsidP="00ED1049">
      <w:pPr>
        <w:tabs>
          <w:tab w:val="left" w:pos="6540"/>
        </w:tabs>
        <w:spacing w:line="360" w:lineRule="auto"/>
        <w:ind w:left="426"/>
        <w:rPr>
          <w:rFonts w:ascii="Arial" w:hAnsi="Arial" w:cs="Arial"/>
          <w:sz w:val="28"/>
          <w:szCs w:val="28"/>
          <w:lang w:val="en-GB"/>
        </w:rPr>
      </w:pPr>
      <w:r w:rsidRPr="00FF351A">
        <w:rPr>
          <w:rFonts w:ascii="Arial" w:hAnsi="Arial" w:cs="Arial"/>
          <w:b/>
          <w:bCs/>
          <w:sz w:val="28"/>
          <w:szCs w:val="28"/>
          <w:lang w:val="en-GB"/>
        </w:rPr>
        <w:t>Student ID</w:t>
      </w:r>
      <w:r w:rsidRPr="00FF351A">
        <w:rPr>
          <w:rFonts w:ascii="Arial" w:hAnsi="Arial" w:cs="Arial"/>
          <w:sz w:val="28"/>
          <w:szCs w:val="28"/>
          <w:lang w:val="en-GB"/>
        </w:rPr>
        <w:t>:</w:t>
      </w:r>
      <w:r w:rsidR="00270474" w:rsidRPr="00270474">
        <w:rPr>
          <w:rStyle w:val="TableGrid"/>
          <w:rFonts w:ascii="Arial" w:hAnsi="Arial" w:cs="Arial"/>
          <w:color w:val="000000"/>
          <w:sz w:val="28"/>
          <w:szCs w:val="28"/>
          <w:shd w:val="clear" w:color="auto" w:fill="FFFFFF"/>
          <w:lang w:val="en-GB"/>
        </w:rPr>
        <w:t xml:space="preserve"> </w:t>
      </w:r>
      <w:r w:rsidR="00270474" w:rsidRPr="00270474">
        <w:rPr>
          <w:rStyle w:val="normaltextrun"/>
          <w:rFonts w:ascii="Arial" w:hAnsi="Arial" w:cs="Arial"/>
          <w:color w:val="000000"/>
          <w:sz w:val="28"/>
          <w:szCs w:val="28"/>
          <w:shd w:val="clear" w:color="auto" w:fill="FFFFFF"/>
          <w:lang w:val="en-GB"/>
        </w:rPr>
        <w:t>2316846</w:t>
      </w:r>
      <w:r w:rsidR="00270474">
        <w:rPr>
          <w:rStyle w:val="eop"/>
          <w:rFonts w:ascii="Arial" w:hAnsi="Arial" w:cs="Arial"/>
          <w:color w:val="000000"/>
          <w:sz w:val="28"/>
          <w:szCs w:val="28"/>
          <w:shd w:val="clear" w:color="auto" w:fill="FFFFFF"/>
        </w:rPr>
        <w:t> </w:t>
      </w:r>
    </w:p>
    <w:p w14:paraId="16C5D4A2" w14:textId="77777777" w:rsidR="00ED1049" w:rsidRPr="00FF351A" w:rsidRDefault="00ED1049" w:rsidP="00ED1049">
      <w:pPr>
        <w:tabs>
          <w:tab w:val="left" w:pos="6540"/>
        </w:tabs>
        <w:spacing w:line="360" w:lineRule="auto"/>
        <w:ind w:left="426"/>
        <w:rPr>
          <w:rFonts w:ascii="Arial" w:hAnsi="Arial" w:cs="Arial"/>
          <w:sz w:val="28"/>
          <w:szCs w:val="28"/>
          <w:lang w:val="en-GB"/>
        </w:rPr>
      </w:pPr>
    </w:p>
    <w:p w14:paraId="3E7B146F" w14:textId="46C57F6E" w:rsidR="00ED1049" w:rsidRPr="00FF351A" w:rsidRDefault="00ED1049" w:rsidP="00ED1049">
      <w:pPr>
        <w:tabs>
          <w:tab w:val="left" w:pos="6540"/>
        </w:tabs>
        <w:spacing w:line="360" w:lineRule="auto"/>
        <w:ind w:left="426"/>
        <w:rPr>
          <w:rFonts w:ascii="Arial" w:hAnsi="Arial" w:cs="Arial"/>
          <w:sz w:val="28"/>
          <w:szCs w:val="28"/>
          <w:lang w:val="en-GB"/>
        </w:rPr>
      </w:pPr>
      <w:r w:rsidRPr="00FF351A">
        <w:rPr>
          <w:rFonts w:ascii="Arial" w:hAnsi="Arial" w:cs="Arial"/>
          <w:b/>
          <w:bCs/>
          <w:sz w:val="28"/>
          <w:szCs w:val="28"/>
          <w:lang w:val="en-GB"/>
        </w:rPr>
        <w:t>Module name</w:t>
      </w:r>
      <w:r w:rsidRPr="00FF351A">
        <w:rPr>
          <w:rFonts w:ascii="Arial" w:hAnsi="Arial" w:cs="Arial"/>
          <w:sz w:val="28"/>
          <w:szCs w:val="28"/>
          <w:lang w:val="en-GB"/>
        </w:rPr>
        <w:t xml:space="preserve">: </w:t>
      </w:r>
      <w:r w:rsidR="00BC245B" w:rsidRPr="00FF351A">
        <w:rPr>
          <w:rFonts w:ascii="Arial" w:hAnsi="Arial" w:cs="Arial"/>
          <w:sz w:val="28"/>
          <w:szCs w:val="28"/>
          <w:lang w:val="en-GB"/>
        </w:rPr>
        <w:t xml:space="preserve">Psychopathological Classifications and Provisions </w:t>
      </w:r>
      <w:r w:rsidR="00270474">
        <w:rPr>
          <w:rStyle w:val="normaltextrun"/>
          <w:rFonts w:ascii="Arial" w:hAnsi="Arial" w:cs="Arial"/>
          <w:color w:val="000000"/>
          <w:sz w:val="28"/>
          <w:szCs w:val="28"/>
          <w:shd w:val="clear" w:color="auto" w:fill="FFFFFF"/>
        </w:rPr>
        <w:t> (</w:t>
      </w:r>
      <w:r w:rsidR="00270474">
        <w:rPr>
          <w:rStyle w:val="normaltextrun"/>
          <w:rFonts w:ascii="Segoe UI" w:hAnsi="Segoe UI" w:cs="Segoe UI"/>
          <w:b/>
          <w:bCs/>
          <w:color w:val="1D2125"/>
          <w:sz w:val="28"/>
          <w:szCs w:val="28"/>
          <w:shd w:val="clear" w:color="auto" w:fill="FFFFFF"/>
        </w:rPr>
        <w:t>Lou Wells)</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p w14:paraId="5EBF2B44" w14:textId="7C6DF153" w:rsidR="004D2A07" w:rsidRDefault="004D2A07" w:rsidP="00ED1049">
      <w:pPr>
        <w:tabs>
          <w:tab w:val="left" w:pos="6540"/>
        </w:tabs>
        <w:spacing w:line="360" w:lineRule="auto"/>
        <w:ind w:left="426"/>
        <w:rPr>
          <w:rFonts w:ascii="Arial" w:hAnsi="Arial" w:cs="Arial"/>
          <w:sz w:val="28"/>
          <w:szCs w:val="28"/>
        </w:rPr>
      </w:pPr>
      <w:r>
        <w:rPr>
          <w:rFonts w:ascii="Arial" w:hAnsi="Arial" w:cs="Arial"/>
          <w:b/>
          <w:bCs/>
          <w:sz w:val="28"/>
          <w:szCs w:val="28"/>
        </w:rPr>
        <w:t>Acknowledgement of the use/non-use of AI</w:t>
      </w:r>
      <w:r w:rsidRPr="004D2A07">
        <w:rPr>
          <w:rFonts w:ascii="Arial" w:hAnsi="Arial" w:cs="Arial"/>
          <w:sz w:val="28"/>
          <w:szCs w:val="28"/>
        </w:rPr>
        <w:t>:</w:t>
      </w:r>
    </w:p>
    <w:p w14:paraId="543861DF" w14:textId="056EDD1A" w:rsidR="00ED1049" w:rsidRPr="00C523E2" w:rsidRDefault="00ED1049">
      <w:pPr>
        <w:rPr>
          <w:rFonts w:ascii="Arial" w:hAnsi="Arial" w:cs="Arial"/>
          <w:color w:val="EE0000"/>
        </w:rPr>
      </w:pPr>
    </w:p>
    <w:p w14:paraId="130C7AFC" w14:textId="1CA8895D" w:rsidR="00F226F9" w:rsidRPr="00F226F9" w:rsidRDefault="00CC0A8F" w:rsidP="00C46111">
      <w:r w:rsidRPr="00CC0A8F">
        <w:br w:type="page"/>
      </w:r>
    </w:p>
    <w:p w14:paraId="5A4FE73D" w14:textId="77777777" w:rsidR="0018622E" w:rsidRDefault="0018622E" w:rsidP="0018622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lang w:val="en-US"/>
        </w:rPr>
        <w:lastRenderedPageBreak/>
        <w:t>Anorexia Nervosa</w:t>
      </w:r>
      <w:r>
        <w:rPr>
          <w:rStyle w:val="eop"/>
          <w:rFonts w:ascii="Arial" w:hAnsi="Arial" w:cs="Arial"/>
        </w:rPr>
        <w:t> </w:t>
      </w:r>
    </w:p>
    <w:p w14:paraId="4666EA59" w14:textId="77777777" w:rsidR="0018622E" w:rsidRDefault="0018622E" w:rsidP="0018622E">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b/>
          <w:bCs/>
          <w:lang w:val="en-US"/>
        </w:rPr>
        <w:t>Author name Tasha young</w:t>
      </w:r>
      <w:r>
        <w:rPr>
          <w:rStyle w:val="eop"/>
          <w:rFonts w:ascii="Arial" w:hAnsi="Arial" w:cs="Arial"/>
        </w:rPr>
        <w:t> </w:t>
      </w:r>
    </w:p>
    <w:p w14:paraId="7338B136" w14:textId="571838EE" w:rsidR="004D2A07" w:rsidRPr="0018622E" w:rsidRDefault="004D2A07" w:rsidP="004D2A07">
      <w:pPr>
        <w:spacing w:after="0"/>
        <w:jc w:val="center"/>
        <w:rPr>
          <w:rFonts w:ascii="Arial" w:hAnsi="Arial" w:cs="Arial"/>
          <w:b/>
          <w:bCs/>
          <w:sz w:val="24"/>
          <w:szCs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535C9F" w:rsidRPr="00EB6F36" w14:paraId="600B3A42" w14:textId="77777777" w:rsidTr="008D09BF">
        <w:trPr>
          <w:trHeight w:val="6975"/>
          <w:jc w:val="center"/>
        </w:trPr>
        <w:tc>
          <w:tcPr>
            <w:tcW w:w="4530" w:type="dxa"/>
            <w:vMerge w:val="restart"/>
            <w:tcBorders>
              <w:bottom w:val="single" w:sz="4" w:space="0" w:color="auto"/>
            </w:tcBorders>
          </w:tcPr>
          <w:p w14:paraId="351B5E76" w14:textId="77777777" w:rsidR="00FF351A" w:rsidRDefault="00535C9F" w:rsidP="000C4AA3">
            <w:pPr>
              <w:pStyle w:val="Heading1"/>
              <w:spacing w:line="360" w:lineRule="auto"/>
              <w:jc w:val="both"/>
              <w:rPr>
                <w:rFonts w:ascii="Arial" w:hAnsi="Arial" w:cs="Arial"/>
                <w:color w:val="000000" w:themeColor="text1"/>
                <w:sz w:val="24"/>
                <w:szCs w:val="24"/>
              </w:rPr>
            </w:pPr>
            <w:r>
              <w:rPr>
                <w:rFonts w:ascii="Arial" w:hAnsi="Arial" w:cs="Arial"/>
                <w:color w:val="000000" w:themeColor="text1"/>
                <w:sz w:val="24"/>
                <w:szCs w:val="24"/>
              </w:rPr>
              <w:t>Introduction</w:t>
            </w:r>
          </w:p>
          <w:p w14:paraId="03AEA78D" w14:textId="5BBB222F" w:rsidR="00FF351A" w:rsidRPr="00FF351A" w:rsidRDefault="00FF351A" w:rsidP="000C4AA3">
            <w:pPr>
              <w:pStyle w:val="Heading1"/>
              <w:spacing w:line="360" w:lineRule="auto"/>
              <w:jc w:val="both"/>
              <w:rPr>
                <w:rFonts w:ascii="Arial" w:hAnsi="Arial" w:cs="Arial"/>
                <w:color w:val="000000" w:themeColor="text1"/>
                <w:sz w:val="24"/>
                <w:szCs w:val="24"/>
                <w:lang w:val="en-GB"/>
              </w:rPr>
            </w:pPr>
            <w:r w:rsidRPr="00FF351A">
              <w:rPr>
                <w:rFonts w:ascii="Arial" w:hAnsi="Arial" w:cs="Arial"/>
                <w:color w:val="000000" w:themeColor="text1"/>
                <w:sz w:val="24"/>
                <w:szCs w:val="24"/>
                <w:lang w:val="en-GB"/>
              </w:rPr>
              <w:drawing>
                <wp:inline distT="0" distB="0" distL="0" distR="0" wp14:anchorId="69B5EF6A" wp14:editId="30A8BBCB">
                  <wp:extent cx="2689860" cy="1242060"/>
                  <wp:effectExtent l="0" t="0" r="0" b="0"/>
                  <wp:docPr id="1748437605" name="Picture 2" descr="Anorexia Nervosa - Symptoms, Causes, Statistics &amp;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orexia Nervosa - Symptoms, Causes, Statistics &amp; Treat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9860" cy="1242060"/>
                          </a:xfrm>
                          <a:prstGeom prst="rect">
                            <a:avLst/>
                          </a:prstGeom>
                          <a:noFill/>
                          <a:ln>
                            <a:noFill/>
                          </a:ln>
                        </pic:spPr>
                      </pic:pic>
                    </a:graphicData>
                  </a:graphic>
                </wp:inline>
              </w:drawing>
            </w:r>
            <w:r w:rsidRPr="00FF351A">
              <w:rPr>
                <w:rFonts w:ascii="Arial" w:hAnsi="Arial" w:cs="Arial"/>
                <w:color w:val="000000" w:themeColor="text1"/>
                <w:sz w:val="24"/>
                <w:szCs w:val="24"/>
                <w:lang w:val="en-GB"/>
              </w:rPr>
              <w:t> </w:t>
            </w:r>
          </w:p>
          <w:p w14:paraId="5E5E913B" w14:textId="77777777" w:rsidR="00FF351A" w:rsidRPr="00FF351A" w:rsidRDefault="00FF351A" w:rsidP="000C4AA3">
            <w:pPr>
              <w:pStyle w:val="Heading1"/>
              <w:spacing w:line="360" w:lineRule="auto"/>
              <w:jc w:val="both"/>
              <w:rPr>
                <w:rFonts w:ascii="Arial" w:hAnsi="Arial" w:cs="Arial"/>
                <w:bCs/>
                <w:color w:val="000000" w:themeColor="text1"/>
                <w:sz w:val="24"/>
                <w:szCs w:val="24"/>
                <w:lang w:val="en-GB"/>
              </w:rPr>
            </w:pPr>
            <w:r w:rsidRPr="00FF351A">
              <w:rPr>
                <w:rFonts w:ascii="Arial" w:hAnsi="Arial" w:cs="Arial"/>
                <w:bCs/>
                <w:color w:val="000000" w:themeColor="text1"/>
                <w:sz w:val="24"/>
                <w:szCs w:val="24"/>
              </w:rPr>
              <w:t>Classification:</w:t>
            </w:r>
            <w:r w:rsidRPr="00FF351A">
              <w:rPr>
                <w:rFonts w:ascii="Arial" w:hAnsi="Arial" w:cs="Arial"/>
                <w:bCs/>
                <w:color w:val="000000" w:themeColor="text1"/>
                <w:sz w:val="24"/>
                <w:szCs w:val="24"/>
                <w:lang w:val="en-GB"/>
              </w:rPr>
              <w:t> </w:t>
            </w:r>
          </w:p>
          <w:p w14:paraId="06665B44" w14:textId="7A220210" w:rsidR="006C74F6" w:rsidRDefault="00FF351A" w:rsidP="000C4AA3">
            <w:pPr>
              <w:pStyle w:val="paragraph"/>
              <w:spacing w:before="0" w:beforeAutospacing="0" w:after="0" w:afterAutospacing="0" w:line="360" w:lineRule="auto"/>
              <w:jc w:val="both"/>
              <w:textAlignment w:val="baseline"/>
              <w:rPr>
                <w:rFonts w:ascii="Segoe UI" w:hAnsi="Segoe UI" w:cs="Segoe UI"/>
                <w:b/>
                <w:bCs/>
                <w:color w:val="44546A"/>
                <w:sz w:val="18"/>
                <w:szCs w:val="18"/>
              </w:rPr>
            </w:pPr>
            <w:r w:rsidRPr="00FF351A">
              <w:rPr>
                <w:rFonts w:ascii="Arial" w:hAnsi="Arial" w:cs="Arial"/>
                <w:bCs/>
                <w:color w:val="000000" w:themeColor="text1"/>
                <w:spacing w:val="10"/>
              </w:rPr>
              <w:t xml:space="preserve">Anorexia nervosa is recognized as a feeding and eating disorder in both the ICD-11 and DSM-5 diagnostic frameworks. As per the ICD-11 (World Health Organization, 2023), it is characterized by significantly low body weight, an intense fear of </w:t>
            </w:r>
            <w:r w:rsidRPr="00FF351A">
              <w:rPr>
                <w:rFonts w:ascii="Arial" w:hAnsi="Arial" w:cs="Arial"/>
                <w:bCs/>
                <w:color w:val="000000" w:themeColor="text1"/>
                <w:spacing w:val="10"/>
              </w:rPr>
              <w:lastRenderedPageBreak/>
              <w:t>gaining weight, and a distorted perception of body image, with diagnostic criteria including a BMI of less than 18.5 for adults. The DSM-5 (American Psychiatric Association, 2013) also specifies criteria such as limited energy intake, fear of weight gain, and disturbances in body image</w:t>
            </w:r>
            <w:r w:rsidRPr="00FF351A">
              <w:rPr>
                <w:rFonts w:ascii="Arial" w:hAnsi="Arial" w:cs="Arial"/>
                <w:b/>
                <w:color w:val="000000" w:themeColor="text1"/>
                <w:spacing w:val="10"/>
              </w:rPr>
              <w:t xml:space="preserve">, </w:t>
            </w:r>
            <w:r w:rsidRPr="00FF351A">
              <w:rPr>
                <w:rFonts w:ascii="Arial" w:hAnsi="Arial" w:cs="Arial"/>
                <w:bCs/>
                <w:color w:val="000000" w:themeColor="text1"/>
                <w:spacing w:val="10"/>
              </w:rPr>
              <w:t>while further</w:t>
            </w:r>
            <w:r w:rsidRPr="00FF351A">
              <w:rPr>
                <w:rFonts w:ascii="Arial" w:hAnsi="Arial" w:cs="Arial"/>
                <w:b/>
                <w:color w:val="000000" w:themeColor="text1"/>
                <w:spacing w:val="10"/>
              </w:rPr>
              <w:t xml:space="preserve"> </w:t>
            </w:r>
            <w:r w:rsidRPr="00FF351A">
              <w:rPr>
                <w:rFonts w:ascii="Arial" w:hAnsi="Arial" w:cs="Arial"/>
                <w:bCs/>
                <w:color w:val="000000" w:themeColor="text1"/>
                <w:spacing w:val="10"/>
              </w:rPr>
              <w:t>differentiating between the restricting and binge-eating/purging subtypes. Both diagnostic systems highlight the psychological and behavioral aspects of the disorder, in addition to its physical symptoms.</w:t>
            </w:r>
            <w:r w:rsidRPr="00FF351A">
              <w:rPr>
                <w:rFonts w:ascii="Arial" w:hAnsi="Arial" w:cs="Arial"/>
                <w:b/>
                <w:color w:val="000000" w:themeColor="text1"/>
                <w:spacing w:val="10"/>
              </w:rPr>
              <w:t> </w:t>
            </w:r>
            <w:r w:rsidR="006C74F6">
              <w:rPr>
                <w:rStyle w:val="normaltextrun"/>
                <w:rFonts w:ascii="Arial" w:eastAsiaTheme="majorEastAsia" w:hAnsi="Arial" w:cs="Arial"/>
                <w:color w:val="000000"/>
                <w:lang w:val="en-US"/>
              </w:rPr>
              <w:t> </w:t>
            </w:r>
            <w:r w:rsidR="006C74F6" w:rsidRPr="00C85BC1">
              <w:rPr>
                <w:rStyle w:val="normaltextrun"/>
                <w:rFonts w:ascii="Arial" w:eastAsiaTheme="majorEastAsia" w:hAnsi="Arial" w:cs="Arial"/>
                <w:lang w:val="en-US"/>
              </w:rPr>
              <w:t xml:space="preserve">Anorexia nervosa remains a major public health </w:t>
            </w:r>
            <w:r w:rsidR="006C74F6" w:rsidRPr="00C85BC1">
              <w:rPr>
                <w:rStyle w:val="normaltextrun"/>
                <w:rFonts w:ascii="Arial" w:eastAsiaTheme="majorEastAsia" w:hAnsi="Arial" w:cs="Arial"/>
                <w:lang w:val="en-US"/>
              </w:rPr>
              <w:lastRenderedPageBreak/>
              <w:t>concern in the UK, with a prevalence of 102</w:t>
            </w:r>
            <w:r w:rsidR="006C74F6">
              <w:rPr>
                <w:rStyle w:val="normaltextrun"/>
                <w:rFonts w:ascii="Arial" w:eastAsiaTheme="majorEastAsia" w:hAnsi="Arial" w:cs="Arial"/>
                <w:sz w:val="22"/>
                <w:szCs w:val="22"/>
                <w:lang w:val="en-US"/>
              </w:rPr>
              <w:t xml:space="preserve"> per 100,000 people (Therapy Clinics, 2025). It disproportionately affects young females, with 12.5% of 17–19-year-olds in England diagnosed with an eating disorder in 2023 a fourfold increase since 2017 (Priory Group, 2025). Although binge eating disorder is more common, </w:t>
            </w:r>
            <w:r w:rsidR="001D7C08">
              <w:rPr>
                <w:rStyle w:val="normaltextrun"/>
                <w:rFonts w:ascii="Arial" w:eastAsiaTheme="majorEastAsia" w:hAnsi="Arial" w:cs="Arial"/>
                <w:sz w:val="22"/>
                <w:szCs w:val="22"/>
                <w:lang w:val="en-US"/>
              </w:rPr>
              <w:t>A</w:t>
            </w:r>
            <w:r w:rsidR="006C74F6">
              <w:rPr>
                <w:rStyle w:val="normaltextrun"/>
                <w:rFonts w:ascii="Arial" w:eastAsiaTheme="majorEastAsia" w:hAnsi="Arial" w:cs="Arial"/>
                <w:sz w:val="22"/>
                <w:szCs w:val="22"/>
                <w:lang w:val="en-US"/>
              </w:rPr>
              <w:t>norexia has one of the highest psychiatric mortality rates due to medical complications and suicide risk (World Population Review, 2025). Hospital admissions have doubled over the past decade, underscoring the need for early, person-centered intervention (Statista, 2025).</w:t>
            </w:r>
            <w:r w:rsidR="006C74F6">
              <w:rPr>
                <w:rStyle w:val="eop"/>
                <w:rFonts w:ascii="Arial" w:hAnsi="Arial" w:cs="Arial"/>
                <w:b/>
                <w:bCs/>
                <w:sz w:val="22"/>
                <w:szCs w:val="22"/>
              </w:rPr>
              <w:t> </w:t>
            </w:r>
          </w:p>
          <w:p w14:paraId="3D9780F1" w14:textId="77777777" w:rsidR="006C74F6" w:rsidRDefault="006C74F6" w:rsidP="000C4AA3">
            <w:pPr>
              <w:pStyle w:val="paragraph"/>
              <w:spacing w:before="0" w:beforeAutospacing="0" w:after="0" w:afterAutospacing="0" w:line="360" w:lineRule="auto"/>
              <w:jc w:val="both"/>
              <w:textAlignment w:val="baseline"/>
              <w:rPr>
                <w:rStyle w:val="normaltextrun"/>
                <w:rFonts w:ascii="Arial" w:eastAsiaTheme="majorEastAsia" w:hAnsi="Arial" w:cs="Arial"/>
                <w:b/>
                <w:bCs/>
                <w:color w:val="000000"/>
              </w:rPr>
            </w:pPr>
          </w:p>
          <w:p w14:paraId="1FC7F1C2" w14:textId="51978A0A" w:rsidR="006C74F6" w:rsidRDefault="006C74F6" w:rsidP="000C4AA3">
            <w:pPr>
              <w:pStyle w:val="paragraph"/>
              <w:spacing w:before="0" w:beforeAutospacing="0" w:after="0" w:afterAutospacing="0" w:line="360" w:lineRule="auto"/>
              <w:jc w:val="both"/>
              <w:textAlignment w:val="baseline"/>
              <w:rPr>
                <w:rFonts w:ascii="Segoe UI" w:hAnsi="Segoe UI" w:cs="Segoe UI"/>
                <w:b/>
                <w:bCs/>
                <w:color w:val="44546A"/>
                <w:sz w:val="18"/>
                <w:szCs w:val="18"/>
              </w:rPr>
            </w:pPr>
            <w:r>
              <w:rPr>
                <w:rStyle w:val="normaltextrun"/>
                <w:rFonts w:ascii="Arial" w:eastAsiaTheme="majorEastAsia" w:hAnsi="Arial" w:cs="Arial"/>
                <w:b/>
                <w:bCs/>
                <w:color w:val="000000"/>
              </w:rPr>
              <w:t>Historical perspectives and treatments</w:t>
            </w:r>
            <w:r>
              <w:rPr>
                <w:rStyle w:val="eop"/>
                <w:rFonts w:ascii="Arial" w:hAnsi="Arial" w:cs="Arial"/>
                <w:b/>
                <w:bCs/>
                <w:color w:val="000000"/>
              </w:rPr>
              <w:t> </w:t>
            </w:r>
          </w:p>
          <w:p w14:paraId="54925FD7" w14:textId="77777777" w:rsidR="006C74F6" w:rsidRDefault="006C74F6" w:rsidP="000C4AA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 xml:space="preserve">Historically, anorexia nervosa was misunderstood and often moralized. In medieval times, extreme fasting especially by women was seen as spiritual devotion, exemplified by cases like Catherine of Siena (Simonovic et al., 2015). The first medical description came from Richard Morton in 1689, who linked it to melancholy (Academic Library, 2025). By the late 19th century, it was recognized as a mental illness, though </w:t>
            </w:r>
            <w:r>
              <w:rPr>
                <w:rStyle w:val="normaltextrun"/>
                <w:rFonts w:ascii="Arial" w:eastAsiaTheme="majorEastAsia" w:hAnsi="Arial" w:cs="Arial"/>
                <w:sz w:val="22"/>
                <w:szCs w:val="22"/>
              </w:rPr>
              <w:lastRenderedPageBreak/>
              <w:t>early 20th-century views focused on biological causes. Freud’s psychoanalytic</w:t>
            </w:r>
          </w:p>
          <w:p w14:paraId="787952EF" w14:textId="7F7F3046" w:rsidR="00D249BC" w:rsidRDefault="00D249BC"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t xml:space="preserve">theories later emphasized psychological origins (Academic Library, 2025). Today, </w:t>
            </w:r>
            <w:r w:rsidR="00CA77BF">
              <w:rPr>
                <w:rStyle w:val="normaltextrun"/>
                <w:rFonts w:ascii="Arial" w:eastAsiaTheme="majorEastAsia" w:hAnsi="Arial" w:cs="Arial"/>
                <w:sz w:val="22"/>
                <w:szCs w:val="22"/>
              </w:rPr>
              <w:t>A</w:t>
            </w:r>
            <w:r>
              <w:rPr>
                <w:rStyle w:val="normaltextrun"/>
                <w:rFonts w:ascii="Arial" w:eastAsiaTheme="majorEastAsia" w:hAnsi="Arial" w:cs="Arial"/>
                <w:sz w:val="22"/>
                <w:szCs w:val="22"/>
              </w:rPr>
              <w:t>norexia is classified as a psychiatric disorder in DSM-5 and ICD-11, understood as multifactorial and treated through therapies, nutritional support, and family-based care (SpringerLink, 2024; IJIRME, 2024).</w:t>
            </w:r>
            <w:r>
              <w:rPr>
                <w:rStyle w:val="eop"/>
                <w:rFonts w:ascii="Arial" w:hAnsi="Arial" w:cs="Arial"/>
                <w:sz w:val="22"/>
                <w:szCs w:val="22"/>
              </w:rPr>
              <w:t> </w:t>
            </w:r>
          </w:p>
          <w:p w14:paraId="616F85BF" w14:textId="77777777" w:rsidR="00D249BC" w:rsidRDefault="00D249BC"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lastRenderedPageBreak/>
              <w:drawing>
                <wp:inline distT="0" distB="0" distL="0" distR="0" wp14:anchorId="3307D74B" wp14:editId="4EDB2B0B">
                  <wp:extent cx="3073400" cy="4572000"/>
                  <wp:effectExtent l="0" t="0" r="0" b="0"/>
                  <wp:docPr id="7" name="Picture 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erting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3400" cy="4572000"/>
                          </a:xfrm>
                          <a:prstGeom prst="rect">
                            <a:avLst/>
                          </a:prstGeom>
                          <a:noFill/>
                          <a:ln>
                            <a:noFill/>
                          </a:ln>
                        </pic:spPr>
                      </pic:pic>
                    </a:graphicData>
                  </a:graphic>
                </wp:inline>
              </w:drawing>
            </w:r>
            <w:r>
              <w:rPr>
                <w:rStyle w:val="eop"/>
                <w:rFonts w:ascii="Century Schoolbook" w:hAnsi="Century Schoolbook" w:cs="Segoe UI"/>
                <w:sz w:val="22"/>
                <w:szCs w:val="22"/>
              </w:rPr>
              <w:t> </w:t>
            </w:r>
          </w:p>
          <w:p w14:paraId="0E6AD206" w14:textId="77777777" w:rsidR="00D249BC" w:rsidRDefault="00D249BC"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Roboto" w:eastAsiaTheme="majorEastAsia" w:hAnsi="Roboto" w:cs="Segoe UI"/>
                <w:color w:val="2C3E50"/>
                <w:sz w:val="22"/>
                <w:szCs w:val="22"/>
              </w:rPr>
              <w:t>(</w:t>
            </w:r>
            <w:proofErr w:type="spellStart"/>
            <w:r>
              <w:rPr>
                <w:rStyle w:val="normaltextrun"/>
                <w:rFonts w:ascii="Roboto" w:eastAsiaTheme="majorEastAsia" w:hAnsi="Roboto" w:cs="Segoe UI"/>
                <w:color w:val="2C3E50"/>
                <w:sz w:val="22"/>
                <w:szCs w:val="22"/>
              </w:rPr>
              <w:t>Alamy</w:t>
            </w:r>
            <w:proofErr w:type="spellEnd"/>
            <w:r>
              <w:rPr>
                <w:rStyle w:val="normaltextrun"/>
                <w:rFonts w:ascii="Roboto" w:eastAsiaTheme="majorEastAsia" w:hAnsi="Roboto" w:cs="Segoe UI"/>
                <w:color w:val="2C3E50"/>
                <w:sz w:val="22"/>
                <w:szCs w:val="22"/>
              </w:rPr>
              <w:t> Limited, 2025)</w:t>
            </w:r>
            <w:r>
              <w:rPr>
                <w:rStyle w:val="eop"/>
                <w:rFonts w:ascii="Roboto" w:hAnsi="Roboto" w:cs="Segoe UI"/>
                <w:color w:val="2C3E50"/>
                <w:sz w:val="22"/>
                <w:szCs w:val="22"/>
              </w:rPr>
              <w:t> </w:t>
            </w:r>
          </w:p>
          <w:p w14:paraId="142B2B42" w14:textId="77777777" w:rsidR="00D249BC" w:rsidRDefault="00D249BC" w:rsidP="000C4AA3">
            <w:pPr>
              <w:pStyle w:val="paragraph"/>
              <w:spacing w:before="0" w:beforeAutospacing="0" w:after="0" w:afterAutospacing="0" w:line="360" w:lineRule="auto"/>
              <w:jc w:val="both"/>
              <w:textAlignment w:val="baseline"/>
              <w:rPr>
                <w:rFonts w:ascii="Segoe UI" w:hAnsi="Segoe UI" w:cs="Segoe UI"/>
                <w:sz w:val="18"/>
                <w:szCs w:val="18"/>
              </w:rPr>
            </w:pPr>
          </w:p>
          <w:p w14:paraId="6CF6696F" w14:textId="0E739612" w:rsidR="00FF351A" w:rsidRPr="00FF351A" w:rsidRDefault="00FF351A" w:rsidP="000C4AA3">
            <w:pPr>
              <w:pStyle w:val="Heading1"/>
              <w:spacing w:line="360" w:lineRule="auto"/>
              <w:jc w:val="both"/>
              <w:rPr>
                <w:rFonts w:ascii="Arial" w:hAnsi="Arial" w:cs="Arial"/>
                <w:color w:val="000000" w:themeColor="text1"/>
                <w:sz w:val="24"/>
                <w:szCs w:val="24"/>
                <w:lang w:val="en-GB"/>
              </w:rPr>
            </w:pPr>
          </w:p>
          <w:p w14:paraId="40C7D0B9" w14:textId="4437C1D5" w:rsidR="00535C9F" w:rsidRDefault="00535C9F" w:rsidP="000C4AA3">
            <w:pPr>
              <w:pStyle w:val="Heading1"/>
              <w:spacing w:line="360" w:lineRule="auto"/>
              <w:jc w:val="both"/>
              <w:rPr>
                <w:rFonts w:ascii="Arial" w:hAnsi="Arial" w:cs="Arial"/>
                <w:color w:val="000000" w:themeColor="text1"/>
                <w:sz w:val="24"/>
                <w:szCs w:val="24"/>
              </w:rPr>
            </w:pPr>
          </w:p>
          <w:p w14:paraId="64AE9F53" w14:textId="77777777" w:rsidR="00FF351A" w:rsidRPr="00FF351A" w:rsidRDefault="00FF351A" w:rsidP="000C4AA3">
            <w:pPr>
              <w:spacing w:line="360" w:lineRule="auto"/>
              <w:jc w:val="both"/>
            </w:pPr>
          </w:p>
          <w:p w14:paraId="6BB1D1D3" w14:textId="77777777" w:rsidR="00535C9F" w:rsidRDefault="00535C9F" w:rsidP="000C4AA3">
            <w:pPr>
              <w:pStyle w:val="Heading1"/>
              <w:spacing w:line="360" w:lineRule="auto"/>
              <w:jc w:val="both"/>
              <w:rPr>
                <w:rFonts w:ascii="Arial" w:hAnsi="Arial" w:cs="Arial"/>
                <w:bCs/>
                <w:color w:val="000000" w:themeColor="text1"/>
                <w:sz w:val="24"/>
                <w:szCs w:val="24"/>
                <w:lang w:val="en-GB"/>
              </w:rPr>
            </w:pPr>
          </w:p>
          <w:p w14:paraId="3ECC692B" w14:textId="77777777" w:rsidR="00535C9F" w:rsidRDefault="00535C9F" w:rsidP="000C4AA3">
            <w:pPr>
              <w:spacing w:line="360" w:lineRule="auto"/>
              <w:jc w:val="both"/>
              <w:rPr>
                <w:lang w:val="en-GB"/>
              </w:rPr>
            </w:pPr>
          </w:p>
          <w:p w14:paraId="083AF0E8" w14:textId="77777777" w:rsidR="008904B6" w:rsidRDefault="008904B6" w:rsidP="000C4AA3">
            <w:pPr>
              <w:spacing w:line="360" w:lineRule="auto"/>
              <w:jc w:val="both"/>
              <w:rPr>
                <w:lang w:val="en-GB"/>
              </w:rPr>
            </w:pPr>
          </w:p>
          <w:p w14:paraId="1149267D" w14:textId="77777777" w:rsidR="008904B6" w:rsidRPr="00C523E2" w:rsidRDefault="008904B6" w:rsidP="000C4AA3">
            <w:pPr>
              <w:spacing w:line="360" w:lineRule="auto"/>
              <w:jc w:val="both"/>
              <w:rPr>
                <w:lang w:val="en-GB"/>
              </w:rPr>
            </w:pPr>
          </w:p>
          <w:p w14:paraId="274EB9DB" w14:textId="77777777" w:rsidR="00616547" w:rsidRDefault="00616547"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wacimagecontainer"/>
                <w:rFonts w:ascii="Segoe UI" w:hAnsi="Segoe UI" w:cs="Segoe UI"/>
                <w:sz w:val="18"/>
                <w:szCs w:val="18"/>
              </w:rPr>
              <w:drawing>
                <wp:inline distT="0" distB="0" distL="0" distR="0" wp14:anchorId="5877DB5C" wp14:editId="09274AEA">
                  <wp:extent cx="2952750" cy="2374900"/>
                  <wp:effectExtent l="0" t="0" r="0" b="635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0" cy="2374900"/>
                          </a:xfrm>
                          <a:prstGeom prst="rect">
                            <a:avLst/>
                          </a:prstGeom>
                          <a:noFill/>
                          <a:ln>
                            <a:noFill/>
                          </a:ln>
                        </pic:spPr>
                      </pic:pic>
                    </a:graphicData>
                  </a:graphic>
                </wp:inline>
              </w:drawing>
            </w:r>
            <w:r>
              <w:rPr>
                <w:rStyle w:val="eop"/>
                <w:rFonts w:ascii="Century Schoolbook" w:hAnsi="Century Schoolbook" w:cs="Segoe UI"/>
                <w:sz w:val="22"/>
                <w:szCs w:val="22"/>
              </w:rPr>
              <w:t> </w:t>
            </w:r>
          </w:p>
          <w:p w14:paraId="123CDF94" w14:textId="77777777" w:rsidR="00616547" w:rsidRDefault="00616547"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2C3E50"/>
                <w:sz w:val="22"/>
                <w:szCs w:val="22"/>
              </w:rPr>
              <w:t>(Garcia-Burgos et al., 2023)</w:t>
            </w:r>
            <w:r>
              <w:rPr>
                <w:rStyle w:val="eop"/>
                <w:rFonts w:ascii="Arial" w:hAnsi="Arial" w:cs="Arial"/>
                <w:color w:val="2C3E50"/>
                <w:sz w:val="22"/>
                <w:szCs w:val="22"/>
              </w:rPr>
              <w:t> </w:t>
            </w:r>
          </w:p>
          <w:p w14:paraId="4459DC26" w14:textId="60A68A76" w:rsidR="00616547" w:rsidRDefault="00616547"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entury Schoolbook" w:hAnsi="Century Schoolbook" w:cs="Segoe UI"/>
                <w:sz w:val="22"/>
                <w:szCs w:val="22"/>
              </w:rPr>
              <w:t> </w:t>
            </w:r>
          </w:p>
          <w:p w14:paraId="42EB740F" w14:textId="77777777" w:rsidR="00535C9F" w:rsidRDefault="00535C9F" w:rsidP="000C4AA3">
            <w:pPr>
              <w:pStyle w:val="Heading1"/>
              <w:spacing w:line="360" w:lineRule="auto"/>
              <w:jc w:val="both"/>
              <w:rPr>
                <w:rStyle w:val="Heading1Char"/>
                <w:rFonts w:ascii="Arial" w:hAnsi="Arial" w:cs="Arial"/>
                <w:b/>
              </w:rPr>
            </w:pPr>
          </w:p>
          <w:p w14:paraId="000D6D4F" w14:textId="77777777" w:rsidR="00D5753A" w:rsidRDefault="00D5753A" w:rsidP="000C4AA3">
            <w:pPr>
              <w:spacing w:line="360" w:lineRule="auto"/>
              <w:jc w:val="both"/>
            </w:pPr>
          </w:p>
          <w:p w14:paraId="5C8094E8" w14:textId="60D460A9" w:rsidR="00D5753A" w:rsidRPr="00D5753A" w:rsidRDefault="00D5753A" w:rsidP="000C4AA3">
            <w:pPr>
              <w:spacing w:line="360" w:lineRule="auto"/>
              <w:jc w:val="both"/>
            </w:pPr>
            <w:r>
              <w:rPr>
                <w:rStyle w:val="wacimagecontainer"/>
                <w:rFonts w:ascii="Segoe UI" w:hAnsi="Segoe UI" w:cs="Segoe UI"/>
                <w:noProof/>
                <w:color w:val="000000"/>
                <w:sz w:val="18"/>
                <w:szCs w:val="18"/>
                <w:shd w:val="clear" w:color="auto" w:fill="FFFFFF"/>
              </w:rPr>
              <w:lastRenderedPageBreak/>
              <w:drawing>
                <wp:inline distT="0" distB="0" distL="0" distR="0" wp14:anchorId="641B03EF" wp14:editId="7B72CDBA">
                  <wp:extent cx="2857500" cy="4387850"/>
                  <wp:effectExtent l="0" t="0" r="0"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4387850"/>
                          </a:xfrm>
                          <a:prstGeom prst="rect">
                            <a:avLst/>
                          </a:prstGeom>
                          <a:noFill/>
                          <a:ln>
                            <a:noFill/>
                          </a:ln>
                        </pic:spPr>
                      </pic:pic>
                    </a:graphicData>
                  </a:graphic>
                </wp:inline>
              </w:drawing>
            </w:r>
            <w:r>
              <w:rPr>
                <w:rStyle w:val="eop"/>
                <w:rFonts w:ascii="Century Schoolbook" w:hAnsi="Century Schoolbook"/>
                <w:color w:val="000000"/>
                <w:shd w:val="clear" w:color="auto" w:fill="FFFFFF"/>
              </w:rPr>
              <w:t> </w:t>
            </w:r>
            <w:r w:rsidR="004850C8">
              <w:rPr>
                <w:rStyle w:val="normaltextrun"/>
                <w:rFonts w:ascii="Arial" w:hAnsi="Arial" w:cs="Arial"/>
                <w:color w:val="2C3E50"/>
                <w:shd w:val="clear" w:color="auto" w:fill="FFFFFF"/>
              </w:rPr>
              <w:t>(Manifoldapp.org, 2017)</w:t>
            </w:r>
            <w:r w:rsidR="004850C8">
              <w:rPr>
                <w:rStyle w:val="eop"/>
                <w:rFonts w:ascii="Arial" w:hAnsi="Arial" w:cs="Arial"/>
                <w:color w:val="2C3E50"/>
                <w:shd w:val="clear" w:color="auto" w:fill="FFFFFF"/>
              </w:rPr>
              <w:t> </w:t>
            </w:r>
          </w:p>
          <w:p w14:paraId="5DD02A54" w14:textId="77777777" w:rsidR="00535C9F" w:rsidRDefault="00535C9F" w:rsidP="000C4AA3">
            <w:pPr>
              <w:spacing w:line="360" w:lineRule="auto"/>
              <w:jc w:val="both"/>
              <w:rPr>
                <w:rFonts w:ascii="Arial" w:hAnsi="Arial" w:cs="Arial"/>
              </w:rPr>
            </w:pPr>
          </w:p>
          <w:p w14:paraId="5954F986" w14:textId="77777777" w:rsidR="00BD5BAD" w:rsidRDefault="00BD5BAD"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color w:val="2C3E50"/>
                <w:sz w:val="22"/>
                <w:szCs w:val="22"/>
              </w:rPr>
              <w:t> </w:t>
            </w:r>
          </w:p>
          <w:p w14:paraId="2BF580D1" w14:textId="312D2249" w:rsidR="00BD5BAD" w:rsidRDefault="000F2710"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wacimagecontainer"/>
                <w:rFonts w:ascii="Segoe UI" w:hAnsi="Segoe UI" w:cs="Segoe UI"/>
                <w:noProof/>
                <w:sz w:val="18"/>
                <w:szCs w:val="18"/>
              </w:rPr>
              <w:lastRenderedPageBreak/>
              <w:t>L</w:t>
            </w:r>
            <w:r w:rsidR="00BD5BAD">
              <w:rPr>
                <w:rStyle w:val="wacimagecontainer"/>
                <w:rFonts w:ascii="Segoe UI" w:hAnsi="Segoe UI" w:cs="Segoe UI"/>
                <w:noProof/>
                <w:sz w:val="18"/>
                <w:szCs w:val="18"/>
              </w:rPr>
              <w:drawing>
                <wp:inline distT="0" distB="0" distL="0" distR="0" wp14:anchorId="09768E06" wp14:editId="2847FFD7">
                  <wp:extent cx="2719697" cy="2336800"/>
                  <wp:effectExtent l="0" t="0" r="5080" b="635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6394" cy="2342554"/>
                          </a:xfrm>
                          <a:prstGeom prst="rect">
                            <a:avLst/>
                          </a:prstGeom>
                          <a:noFill/>
                          <a:ln>
                            <a:noFill/>
                          </a:ln>
                        </pic:spPr>
                      </pic:pic>
                    </a:graphicData>
                  </a:graphic>
                </wp:inline>
              </w:drawing>
            </w:r>
            <w:r w:rsidR="00BD5BAD">
              <w:rPr>
                <w:rStyle w:val="eop"/>
                <w:rFonts w:ascii="Century Schoolbook" w:hAnsi="Century Schoolbook" w:cs="Segoe UI"/>
                <w:sz w:val="22"/>
                <w:szCs w:val="22"/>
              </w:rPr>
              <w:t> </w:t>
            </w:r>
          </w:p>
          <w:p w14:paraId="045BA46D" w14:textId="77777777" w:rsidR="00BD5BAD" w:rsidRDefault="00BD5BAD"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Roboto" w:hAnsi="Roboto" w:cs="Segoe UI"/>
                <w:color w:val="2C3E50"/>
                <w:sz w:val="22"/>
                <w:szCs w:val="22"/>
              </w:rPr>
              <w:t> </w:t>
            </w:r>
          </w:p>
          <w:p w14:paraId="4ABF9C8C" w14:textId="77777777" w:rsidR="00BD5BAD" w:rsidRDefault="00BD5BAD" w:rsidP="00034B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lang w:val="en-US"/>
              </w:rPr>
              <w:t>(Roxby, 2022)</w:t>
            </w:r>
            <w:r>
              <w:rPr>
                <w:rStyle w:val="eop"/>
                <w:rFonts w:ascii="Arial" w:hAnsi="Arial" w:cs="Arial"/>
                <w:sz w:val="22"/>
                <w:szCs w:val="22"/>
              </w:rPr>
              <w:t> </w:t>
            </w:r>
          </w:p>
          <w:p w14:paraId="63387F3F" w14:textId="4925E54F" w:rsidR="00BD5BAD" w:rsidRDefault="00BD5BAD"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lang w:val="en-US"/>
              </w:rPr>
              <w:t>The graph presented above illustrates a significant increase in hospital admissions for eating disorders among girls aged 18 and younger in England from 2015–16 to 2020–21.</w:t>
            </w:r>
            <w:r>
              <w:rPr>
                <w:rStyle w:val="eop"/>
                <w:rFonts w:ascii="Arial" w:hAnsi="Arial" w:cs="Arial"/>
                <w:sz w:val="22"/>
                <w:szCs w:val="22"/>
              </w:rPr>
              <w:t> </w:t>
            </w:r>
            <w:r>
              <w:rPr>
                <w:rStyle w:val="normaltextrun"/>
                <w:rFonts w:ascii="Arial" w:hAnsi="Arial" w:cs="Arial"/>
                <w:sz w:val="22"/>
                <w:szCs w:val="22"/>
                <w:lang w:val="en-US"/>
              </w:rPr>
              <w:t>In contrast, the admission rates for boys remained comparatively low and stable. The surge in admissions for girls, particularly in 2020–21, indicates a widening gender gap and</w:t>
            </w:r>
            <w:r>
              <w:rPr>
                <w:rStyle w:val="normaltextrun"/>
                <w:rFonts w:ascii="Roboto" w:hAnsi="Roboto" w:cs="Segoe UI"/>
                <w:sz w:val="22"/>
                <w:szCs w:val="22"/>
                <w:lang w:val="en-US"/>
              </w:rPr>
              <w:t> raises alarms about the mental health of young females.</w:t>
            </w:r>
            <w:r>
              <w:rPr>
                <w:rStyle w:val="eop"/>
                <w:rFonts w:ascii="Roboto" w:hAnsi="Roboto" w:cs="Segoe UI"/>
                <w:sz w:val="22"/>
                <w:szCs w:val="22"/>
              </w:rPr>
              <w:t> </w:t>
            </w:r>
            <w:r>
              <w:rPr>
                <w:rStyle w:val="normaltextrun"/>
                <w:rFonts w:ascii="Arial" w:hAnsi="Arial" w:cs="Arial"/>
                <w:sz w:val="22"/>
                <w:szCs w:val="22"/>
                <w:lang w:val="en-US"/>
              </w:rPr>
              <w:t>It is important to note that the data pertains to hospital admissions rather than individual cases, implying that some patients may have been admitted on multiple occasions.</w:t>
            </w:r>
            <w:r>
              <w:rPr>
                <w:rStyle w:val="eop"/>
                <w:rFonts w:ascii="Arial" w:hAnsi="Arial" w:cs="Arial"/>
                <w:sz w:val="22"/>
                <w:szCs w:val="22"/>
              </w:rPr>
              <w:t> </w:t>
            </w:r>
          </w:p>
          <w:p w14:paraId="74C0643C" w14:textId="77777777" w:rsidR="00BD5BAD" w:rsidRPr="00BD5BAD" w:rsidRDefault="00BD5BAD" w:rsidP="000C4AA3">
            <w:pPr>
              <w:spacing w:line="360" w:lineRule="auto"/>
              <w:jc w:val="both"/>
              <w:rPr>
                <w:rFonts w:ascii="Arial" w:hAnsi="Arial" w:cs="Arial"/>
                <w:lang w:val="en-GB"/>
              </w:rPr>
            </w:pPr>
          </w:p>
          <w:p w14:paraId="7C84B224" w14:textId="2A0F0E96" w:rsidR="00535C9F" w:rsidRPr="00C523E2" w:rsidRDefault="00535C9F" w:rsidP="000C4AA3">
            <w:pPr>
              <w:spacing w:line="360" w:lineRule="auto"/>
              <w:jc w:val="both"/>
              <w:rPr>
                <w:rFonts w:ascii="Arial" w:hAnsi="Arial" w:cs="Arial"/>
                <w:noProof/>
                <w:lang w:val="en-GB"/>
              </w:rPr>
            </w:pPr>
          </w:p>
        </w:tc>
        <w:tc>
          <w:tcPr>
            <w:tcW w:w="416" w:type="dxa"/>
            <w:vMerge w:val="restart"/>
            <w:tcBorders>
              <w:bottom w:val="single" w:sz="4" w:space="0" w:color="auto"/>
            </w:tcBorders>
          </w:tcPr>
          <w:p w14:paraId="09B2FC2D" w14:textId="77777777" w:rsidR="00535C9F" w:rsidRPr="00EB6F36" w:rsidRDefault="00535C9F" w:rsidP="00B67824">
            <w:pPr>
              <w:rPr>
                <w:rFonts w:ascii="Arial" w:hAnsi="Arial" w:cs="Arial"/>
                <w:noProof/>
              </w:rPr>
            </w:pPr>
          </w:p>
        </w:tc>
        <w:tc>
          <w:tcPr>
            <w:tcW w:w="4497" w:type="dxa"/>
            <w:tcBorders>
              <w:bottom w:val="single" w:sz="4" w:space="0" w:color="auto"/>
            </w:tcBorders>
          </w:tcPr>
          <w:p w14:paraId="2CCFA20B" w14:textId="77777777" w:rsidR="00101CB3" w:rsidRDefault="00101CB3" w:rsidP="000C4AA3">
            <w:pPr>
              <w:pStyle w:val="paragraph"/>
              <w:spacing w:before="0" w:beforeAutospacing="0" w:after="0" w:afterAutospacing="0" w:line="360" w:lineRule="auto"/>
              <w:jc w:val="both"/>
              <w:textAlignment w:val="baseline"/>
              <w:rPr>
                <w:rFonts w:ascii="Segoe UI" w:hAnsi="Segoe UI" w:cs="Segoe UI"/>
                <w:b/>
                <w:bCs/>
                <w:color w:val="44546A"/>
                <w:sz w:val="18"/>
                <w:szCs w:val="18"/>
              </w:rPr>
            </w:pPr>
            <w:r>
              <w:rPr>
                <w:rStyle w:val="normaltextrun"/>
                <w:rFonts w:ascii="Arial" w:eastAsiaTheme="majorEastAsia" w:hAnsi="Arial" w:cs="Arial"/>
                <w:b/>
                <w:bCs/>
              </w:rPr>
              <w:t>Anorexia Nervosa</w:t>
            </w:r>
            <w:r>
              <w:rPr>
                <w:rStyle w:val="eop"/>
                <w:rFonts w:ascii="Arial" w:hAnsi="Arial" w:cs="Arial"/>
                <w:b/>
                <w:bCs/>
              </w:rPr>
              <w:t> </w:t>
            </w:r>
          </w:p>
          <w:p w14:paraId="284449A5" w14:textId="77777777" w:rsidR="00101CB3" w:rsidRDefault="00101CB3" w:rsidP="000C4AA3">
            <w:pPr>
              <w:pStyle w:val="paragraph"/>
              <w:spacing w:before="0" w:beforeAutospacing="0" w:after="0" w:afterAutospacing="0" w:line="360" w:lineRule="auto"/>
              <w:jc w:val="both"/>
              <w:textAlignment w:val="baseline"/>
              <w:rPr>
                <w:rStyle w:val="normaltextrun"/>
                <w:rFonts w:ascii="Arial" w:eastAsiaTheme="majorEastAsia" w:hAnsi="Arial" w:cs="Arial"/>
                <w:b/>
                <w:bCs/>
                <w:sz w:val="22"/>
                <w:szCs w:val="22"/>
                <w:lang w:val="en-US"/>
              </w:rPr>
            </w:pPr>
            <w:r>
              <w:rPr>
                <w:rStyle w:val="normaltextrun"/>
                <w:rFonts w:ascii="Arial" w:eastAsiaTheme="majorEastAsia" w:hAnsi="Arial" w:cs="Arial"/>
                <w:b/>
                <w:bCs/>
                <w:sz w:val="22"/>
                <w:szCs w:val="22"/>
                <w:lang w:val="en-US"/>
              </w:rPr>
              <w:t> </w:t>
            </w:r>
          </w:p>
          <w:p w14:paraId="34883AE4" w14:textId="0A34D7B7" w:rsidR="00101CB3" w:rsidRDefault="00101CB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b/>
                <w:bCs/>
                <w:lang w:val="en-US"/>
              </w:rPr>
              <w:t>Definition </w:t>
            </w:r>
            <w:r>
              <w:rPr>
                <w:rStyle w:val="eop"/>
                <w:rFonts w:ascii="Arial" w:hAnsi="Arial" w:cs="Arial"/>
              </w:rPr>
              <w:t> </w:t>
            </w:r>
          </w:p>
          <w:p w14:paraId="69480DD3" w14:textId="77777777" w:rsidR="00101CB3" w:rsidRDefault="00101CB3" w:rsidP="000C4AA3">
            <w:pPr>
              <w:pStyle w:val="paragraph"/>
              <w:spacing w:before="0" w:beforeAutospacing="0" w:after="0" w:afterAutospacing="0" w:line="360" w:lineRule="auto"/>
              <w:jc w:val="both"/>
              <w:textAlignment w:val="baseline"/>
              <w:rPr>
                <w:rFonts w:ascii="Segoe UI" w:hAnsi="Segoe UI" w:cs="Segoe UI"/>
                <w:b/>
                <w:bCs/>
                <w:color w:val="44546A"/>
                <w:sz w:val="18"/>
                <w:szCs w:val="18"/>
              </w:rPr>
            </w:pPr>
            <w:r>
              <w:rPr>
                <w:rStyle w:val="normaltextrun"/>
                <w:rFonts w:ascii="Arial" w:eastAsiaTheme="majorEastAsia" w:hAnsi="Arial" w:cs="Arial"/>
                <w:sz w:val="22"/>
                <w:szCs w:val="22"/>
                <w:lang w:val="en-US"/>
              </w:rPr>
              <w:t>Anorexia nervosa is a severe eating disorder categorized as a mental and behavioral condition, marked by restrictive eating habits, an intense fear of gaining weight, and a distorted perception of body image. It is acknowledged worldwide as a psychiatric issue that necessitates both medical and psychological treatment (</w:t>
            </w:r>
            <w:r>
              <w:rPr>
                <w:rStyle w:val="normaltextrun"/>
                <w:rFonts w:ascii="Roboto" w:eastAsiaTheme="majorEastAsia" w:hAnsi="Roboto" w:cs="Segoe UI"/>
                <w:sz w:val="22"/>
                <w:szCs w:val="22"/>
                <w:lang w:val="en-US"/>
              </w:rPr>
              <w:t>NICE, 2017).</w:t>
            </w:r>
            <w:r>
              <w:rPr>
                <w:rStyle w:val="eop"/>
                <w:rFonts w:ascii="Roboto" w:hAnsi="Roboto" w:cs="Segoe UI"/>
                <w:b/>
                <w:bCs/>
                <w:sz w:val="22"/>
                <w:szCs w:val="22"/>
              </w:rPr>
              <w:t> </w:t>
            </w:r>
          </w:p>
          <w:p w14:paraId="0C473F0F" w14:textId="06A1CAD0" w:rsidR="00101CB3" w:rsidRDefault="00101CB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Individuals might resort to extreme dieting, excessive workouts, or purging behaviors to manage their</w:t>
            </w:r>
            <w:r>
              <w:rPr>
                <w:rStyle w:val="normaltextrun"/>
                <w:rFonts w:ascii="Century Schoolbook" w:eastAsiaTheme="majorEastAsia" w:hAnsi="Century Schoolbook" w:cs="Segoe UI"/>
                <w:sz w:val="22"/>
                <w:szCs w:val="22"/>
                <w:lang w:val="en-US"/>
              </w:rPr>
              <w:t> </w:t>
            </w:r>
            <w:r>
              <w:rPr>
                <w:rStyle w:val="normaltextrun"/>
                <w:rFonts w:ascii="Arial" w:eastAsiaTheme="majorEastAsia" w:hAnsi="Arial" w:cs="Arial"/>
                <w:sz w:val="22"/>
                <w:szCs w:val="22"/>
                <w:lang w:val="en-US"/>
              </w:rPr>
              <w:t>weight. Even when they are underweight,</w:t>
            </w:r>
            <w:r>
              <w:rPr>
                <w:rStyle w:val="normaltextrun"/>
                <w:rFonts w:ascii="Arial" w:eastAsiaTheme="majorEastAsia" w:hAnsi="Arial" w:cs="Arial"/>
                <w:sz w:val="22"/>
                <w:szCs w:val="22"/>
                <w:lang w:val="en-US"/>
              </w:rPr>
              <w:t xml:space="preserve"> </w:t>
            </w:r>
            <w:r>
              <w:rPr>
                <w:rStyle w:val="normaltextrun"/>
                <w:rFonts w:ascii="Arial" w:eastAsiaTheme="majorEastAsia" w:hAnsi="Arial" w:cs="Arial"/>
                <w:sz w:val="22"/>
                <w:szCs w:val="22"/>
                <w:lang w:val="en-US"/>
              </w:rPr>
              <w:t>they frequently view themselves as overweight.</w:t>
            </w:r>
            <w:r>
              <w:rPr>
                <w:rStyle w:val="eop"/>
                <w:rFonts w:ascii="Arial" w:hAnsi="Arial" w:cs="Arial"/>
                <w:sz w:val="22"/>
                <w:szCs w:val="22"/>
              </w:rPr>
              <w:t> </w:t>
            </w:r>
          </w:p>
          <w:p w14:paraId="3A95EA1E" w14:textId="77777777" w:rsidR="00535C9F" w:rsidRDefault="00535C9F" w:rsidP="000C4AA3">
            <w:pPr>
              <w:spacing w:line="360" w:lineRule="auto"/>
              <w:jc w:val="both"/>
              <w:rPr>
                <w:rFonts w:ascii="Arial" w:hAnsi="Arial" w:cs="Arial"/>
                <w:b/>
                <w:bCs/>
                <w:sz w:val="24"/>
                <w:szCs w:val="24"/>
                <w:lang w:val="en-GB"/>
              </w:rPr>
            </w:pPr>
          </w:p>
          <w:p w14:paraId="646D5584" w14:textId="2DFE6E92" w:rsidR="008F1D26" w:rsidRPr="00101CB3" w:rsidRDefault="008F1D26" w:rsidP="000C4AA3">
            <w:pPr>
              <w:spacing w:line="360" w:lineRule="auto"/>
              <w:jc w:val="both"/>
              <w:rPr>
                <w:rFonts w:ascii="Arial" w:hAnsi="Arial" w:cs="Arial"/>
                <w:b/>
                <w:bCs/>
                <w:sz w:val="24"/>
                <w:szCs w:val="24"/>
                <w:lang w:val="en-GB"/>
              </w:rPr>
            </w:pPr>
            <w:r>
              <w:rPr>
                <w:rStyle w:val="wacimagecontainer"/>
                <w:rFonts w:ascii="Segoe UI" w:hAnsi="Segoe UI" w:cs="Segoe UI"/>
                <w:noProof/>
                <w:color w:val="000000"/>
                <w:sz w:val="18"/>
                <w:szCs w:val="18"/>
                <w:shd w:val="clear" w:color="auto" w:fill="FFFFFF"/>
              </w:rPr>
              <w:lastRenderedPageBreak/>
              <w:drawing>
                <wp:inline distT="0" distB="0" distL="0" distR="0" wp14:anchorId="14E49CBA" wp14:editId="215D3C33">
                  <wp:extent cx="2705100" cy="18097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5100" cy="1809750"/>
                          </a:xfrm>
                          <a:prstGeom prst="rect">
                            <a:avLst/>
                          </a:prstGeom>
                          <a:noFill/>
                          <a:ln>
                            <a:noFill/>
                          </a:ln>
                        </pic:spPr>
                      </pic:pic>
                    </a:graphicData>
                  </a:graphic>
                </wp:inline>
              </w:drawing>
            </w:r>
            <w:r>
              <w:rPr>
                <w:rStyle w:val="normaltextrun"/>
                <w:rFonts w:ascii="Roboto" w:hAnsi="Roboto"/>
                <w:color w:val="2C3E50"/>
                <w:shd w:val="clear" w:color="auto" w:fill="FFFFFF"/>
              </w:rPr>
              <w:t>(</w:t>
            </w:r>
            <w:proofErr w:type="spellStart"/>
            <w:r>
              <w:rPr>
                <w:rStyle w:val="normaltextrun"/>
                <w:rFonts w:ascii="Arial" w:hAnsi="Arial" w:cs="Arial"/>
                <w:color w:val="2C3E50"/>
                <w:shd w:val="clear" w:color="auto" w:fill="FFFFFF"/>
              </w:rPr>
              <w:t>Alamy</w:t>
            </w:r>
            <w:proofErr w:type="spellEnd"/>
            <w:r>
              <w:rPr>
                <w:rStyle w:val="normaltextrun"/>
                <w:rFonts w:ascii="Arial" w:hAnsi="Arial" w:cs="Arial"/>
                <w:color w:val="2C3E50"/>
                <w:shd w:val="clear" w:color="auto" w:fill="FFFFFF"/>
              </w:rPr>
              <w:t> Limited, 2018)</w:t>
            </w:r>
            <w:r>
              <w:rPr>
                <w:rStyle w:val="eop"/>
                <w:rFonts w:ascii="Arial" w:hAnsi="Arial" w:cs="Arial"/>
                <w:color w:val="2C3E50"/>
                <w:shd w:val="clear" w:color="auto" w:fill="FFFFFF"/>
              </w:rPr>
              <w:t> </w:t>
            </w:r>
          </w:p>
        </w:tc>
        <w:tc>
          <w:tcPr>
            <w:tcW w:w="360" w:type="dxa"/>
            <w:vMerge w:val="restart"/>
            <w:tcBorders>
              <w:bottom w:val="single" w:sz="4" w:space="0" w:color="auto"/>
            </w:tcBorders>
          </w:tcPr>
          <w:p w14:paraId="51769EE4" w14:textId="77777777" w:rsidR="00535C9F" w:rsidRPr="00EB6F36" w:rsidRDefault="00535C9F" w:rsidP="00B67824">
            <w:pPr>
              <w:rPr>
                <w:rFonts w:ascii="Arial" w:hAnsi="Arial" w:cs="Arial"/>
                <w:noProof/>
              </w:rPr>
            </w:pPr>
          </w:p>
        </w:tc>
        <w:tc>
          <w:tcPr>
            <w:tcW w:w="4587" w:type="dxa"/>
            <w:vMerge w:val="restart"/>
            <w:tcBorders>
              <w:bottom w:val="single" w:sz="4" w:space="0" w:color="auto"/>
            </w:tcBorders>
            <w:vAlign w:val="center"/>
          </w:tcPr>
          <w:p w14:paraId="116CE2F0" w14:textId="77777777" w:rsidR="00535C9F" w:rsidRPr="00CA41F0" w:rsidRDefault="00535C9F" w:rsidP="000C4AA3">
            <w:pPr>
              <w:pStyle w:val="Heading1"/>
              <w:spacing w:line="360" w:lineRule="auto"/>
              <w:rPr>
                <w:rFonts w:ascii="Arial" w:hAnsi="Arial" w:cs="Arial"/>
                <w:color w:val="000000" w:themeColor="text1"/>
                <w:sz w:val="24"/>
                <w:szCs w:val="20"/>
                <w:lang w:val="en-GB"/>
              </w:rPr>
            </w:pPr>
            <w:r w:rsidRPr="00CA41F0">
              <w:rPr>
                <w:rFonts w:ascii="Arial" w:hAnsi="Arial" w:cs="Arial"/>
                <w:bCs/>
                <w:color w:val="000000" w:themeColor="text1"/>
                <w:sz w:val="24"/>
                <w:szCs w:val="20"/>
                <w:lang w:val="en-GB"/>
              </w:rPr>
              <w:t xml:space="preserve">Current services and treatments </w:t>
            </w:r>
          </w:p>
          <w:p w14:paraId="6F3C666E" w14:textId="77777777" w:rsidR="008C0C0D" w:rsidRDefault="008C0C0D"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t>In the UK, the treatment for anorexia nervosa involves a blend of psychological therapies, nutritional assistance, and medical supervision, all provided by specialized eating disorder services following NHS guidelines.</w:t>
            </w:r>
            <w:r>
              <w:rPr>
                <w:rStyle w:val="eop"/>
                <w:rFonts w:ascii="Arial" w:hAnsi="Arial" w:cs="Arial"/>
                <w:sz w:val="22"/>
                <w:szCs w:val="22"/>
              </w:rPr>
              <w:t> </w:t>
            </w:r>
          </w:p>
          <w:p w14:paraId="7B328E35" w14:textId="77777777" w:rsidR="008C0C0D" w:rsidRDefault="008C0C0D" w:rsidP="000C4AA3">
            <w:pPr>
              <w:pStyle w:val="paragraph"/>
              <w:spacing w:before="0" w:beforeAutospacing="0" w:after="0" w:afterAutospacing="0" w:line="360" w:lineRule="auto"/>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0AB73FE5" wp14:editId="331AF322">
                  <wp:extent cx="2762250" cy="15430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2250" cy="1543050"/>
                          </a:xfrm>
                          <a:prstGeom prst="rect">
                            <a:avLst/>
                          </a:prstGeom>
                          <a:noFill/>
                          <a:ln>
                            <a:noFill/>
                          </a:ln>
                        </pic:spPr>
                      </pic:pic>
                    </a:graphicData>
                  </a:graphic>
                </wp:inline>
              </w:drawing>
            </w:r>
            <w:r>
              <w:rPr>
                <w:rStyle w:val="eop"/>
                <w:rFonts w:ascii="Century Schoolbook" w:hAnsi="Century Schoolbook" w:cs="Segoe UI"/>
                <w:sz w:val="22"/>
                <w:szCs w:val="22"/>
              </w:rPr>
              <w:t> </w:t>
            </w:r>
          </w:p>
          <w:p w14:paraId="5D867805" w14:textId="77777777" w:rsidR="008C0C0D" w:rsidRDefault="008C0C0D" w:rsidP="000C4AA3">
            <w:pPr>
              <w:pStyle w:val="paragraph"/>
              <w:spacing w:before="0" w:beforeAutospacing="0" w:after="0" w:afterAutospacing="0" w:line="360" w:lineRule="auto"/>
              <w:textAlignment w:val="baseline"/>
              <w:rPr>
                <w:rStyle w:val="eop"/>
                <w:rFonts w:ascii="Roboto" w:hAnsi="Roboto" w:cs="Segoe UI"/>
                <w:color w:val="2C3E50"/>
                <w:sz w:val="22"/>
                <w:szCs w:val="22"/>
              </w:rPr>
            </w:pPr>
            <w:r>
              <w:rPr>
                <w:rStyle w:val="normaltextrun"/>
                <w:rFonts w:ascii="Roboto" w:eastAsiaTheme="majorEastAsia" w:hAnsi="Roboto" w:cs="Segoe UI"/>
                <w:color w:val="2C3E50"/>
                <w:sz w:val="22"/>
                <w:szCs w:val="22"/>
              </w:rPr>
              <w:t>(</w:t>
            </w:r>
            <w:proofErr w:type="spellStart"/>
            <w:r>
              <w:rPr>
                <w:rStyle w:val="normaltextrun"/>
                <w:rFonts w:ascii="Roboto" w:eastAsiaTheme="majorEastAsia" w:hAnsi="Roboto" w:cs="Segoe UI"/>
                <w:color w:val="2C3E50"/>
                <w:sz w:val="22"/>
                <w:szCs w:val="22"/>
              </w:rPr>
              <w:t>kidshealth</w:t>
            </w:r>
            <w:proofErr w:type="spellEnd"/>
            <w:r>
              <w:rPr>
                <w:rStyle w:val="normaltextrun"/>
                <w:rFonts w:ascii="Roboto" w:eastAsiaTheme="majorEastAsia" w:hAnsi="Roboto" w:cs="Segoe UI"/>
                <w:color w:val="2C3E50"/>
                <w:sz w:val="22"/>
                <w:szCs w:val="22"/>
              </w:rPr>
              <w:t>, 2025)</w:t>
            </w:r>
            <w:r>
              <w:rPr>
                <w:rStyle w:val="eop"/>
                <w:rFonts w:ascii="Roboto" w:hAnsi="Roboto" w:cs="Segoe UI"/>
                <w:color w:val="2C3E50"/>
                <w:sz w:val="22"/>
                <w:szCs w:val="22"/>
              </w:rPr>
              <w:t> </w:t>
            </w:r>
          </w:p>
          <w:p w14:paraId="5ACBC2A0" w14:textId="77777777" w:rsidR="00611BE3" w:rsidRDefault="00611BE3" w:rsidP="000C4AA3">
            <w:pPr>
              <w:pStyle w:val="paragraph"/>
              <w:spacing w:before="0" w:beforeAutospacing="0" w:after="0" w:afterAutospacing="0" w:line="360" w:lineRule="auto"/>
              <w:textAlignment w:val="baseline"/>
              <w:rPr>
                <w:rFonts w:ascii="Segoe UI" w:hAnsi="Segoe UI" w:cs="Segoe UI"/>
                <w:sz w:val="18"/>
                <w:szCs w:val="18"/>
              </w:rPr>
            </w:pPr>
          </w:p>
          <w:p w14:paraId="139AC083" w14:textId="77777777"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lastRenderedPageBreak/>
              <w:t>Treatment for anorexia nervosa generally requires a coordinated multidisciplinary approach led by specialized eating disorder teams. As stated by the NHS (2025), the essential elements include:</w:t>
            </w:r>
            <w:r>
              <w:rPr>
                <w:rStyle w:val="eop"/>
                <w:rFonts w:ascii="Arial" w:hAnsi="Arial" w:cs="Arial"/>
                <w:sz w:val="22"/>
                <w:szCs w:val="22"/>
              </w:rPr>
              <w:t> </w:t>
            </w:r>
          </w:p>
          <w:p w14:paraId="32D811EB" w14:textId="77777777"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b/>
                <w:bCs/>
                <w:sz w:val="22"/>
                <w:szCs w:val="22"/>
              </w:rPr>
              <w:t>•  Psychological therapies</w:t>
            </w:r>
            <w:r>
              <w:rPr>
                <w:rStyle w:val="normaltextrun"/>
                <w:rFonts w:ascii="Arial" w:eastAsiaTheme="majorEastAsia" w:hAnsi="Arial" w:cs="Arial"/>
                <w:sz w:val="22"/>
                <w:szCs w:val="22"/>
              </w:rPr>
              <w:t>: The cornerstone of treatment, particularly for adults, consists of Cognitive Behavioural Therapy for Eating Disorders (CBT-ED), Maudsley Anorexia Nervosa Treatment for Adults (MANTRA), and Specialist Supportive Clinical Management (SSCM). For children and</w:t>
            </w:r>
            <w:r>
              <w:rPr>
                <w:rStyle w:val="normaltextrun"/>
                <w:rFonts w:ascii="Roboto" w:eastAsiaTheme="majorEastAsia" w:hAnsi="Roboto" w:cs="Segoe UI"/>
                <w:sz w:val="22"/>
                <w:szCs w:val="22"/>
              </w:rPr>
              <w:t> </w:t>
            </w:r>
            <w:r>
              <w:rPr>
                <w:rStyle w:val="normaltextrun"/>
                <w:rFonts w:ascii="Arial" w:eastAsiaTheme="majorEastAsia" w:hAnsi="Arial" w:cs="Arial"/>
                <w:sz w:val="22"/>
                <w:szCs w:val="22"/>
              </w:rPr>
              <w:t>adolescents, Family-Based Therapy (FBT) is frequently the primary intervention.</w:t>
            </w:r>
            <w:r>
              <w:rPr>
                <w:rStyle w:val="eop"/>
                <w:rFonts w:ascii="Arial" w:hAnsi="Arial" w:cs="Arial"/>
                <w:sz w:val="22"/>
                <w:szCs w:val="22"/>
              </w:rPr>
              <w:t> </w:t>
            </w:r>
          </w:p>
          <w:p w14:paraId="26344448" w14:textId="77777777"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b/>
                <w:bCs/>
                <w:sz w:val="22"/>
                <w:szCs w:val="22"/>
              </w:rPr>
              <w:t> Nutritional rehabilitation</w:t>
            </w:r>
            <w:r>
              <w:rPr>
                <w:rStyle w:val="normaltextrun"/>
                <w:rFonts w:ascii="Arial" w:eastAsiaTheme="majorEastAsia" w:hAnsi="Arial" w:cs="Arial"/>
                <w:sz w:val="22"/>
                <w:szCs w:val="22"/>
              </w:rPr>
              <w:t xml:space="preserve">: Dietitians collaborate with individuals to re-establish healthy eating habits and facilitate weight restoration. This process encompasses meal </w:t>
            </w:r>
            <w:r>
              <w:rPr>
                <w:rStyle w:val="normaltextrun"/>
                <w:rFonts w:ascii="Arial" w:eastAsiaTheme="majorEastAsia" w:hAnsi="Arial" w:cs="Arial"/>
                <w:sz w:val="22"/>
                <w:szCs w:val="22"/>
              </w:rPr>
              <w:lastRenderedPageBreak/>
              <w:t>planning, psychoeducation, and tackling food-related anxieties (NHS, 2021)</w:t>
            </w:r>
            <w:r>
              <w:rPr>
                <w:rStyle w:val="eop"/>
                <w:rFonts w:ascii="Arial" w:hAnsi="Arial" w:cs="Arial"/>
                <w:sz w:val="22"/>
                <w:szCs w:val="22"/>
              </w:rPr>
              <w:t> </w:t>
            </w:r>
          </w:p>
          <w:p w14:paraId="3E2C44D0" w14:textId="77777777"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t>•</w:t>
            </w:r>
            <w:r>
              <w:rPr>
                <w:rStyle w:val="normaltextrun"/>
                <w:rFonts w:ascii="Arial" w:eastAsiaTheme="majorEastAsia" w:hAnsi="Arial" w:cs="Arial"/>
                <w:b/>
                <w:bCs/>
                <w:sz w:val="22"/>
                <w:szCs w:val="22"/>
              </w:rPr>
              <w:t>  Medical monitoring</w:t>
            </w:r>
            <w:r>
              <w:rPr>
                <w:rStyle w:val="normaltextrun"/>
                <w:rFonts w:ascii="Arial" w:eastAsiaTheme="majorEastAsia" w:hAnsi="Arial" w:cs="Arial"/>
                <w:sz w:val="22"/>
                <w:szCs w:val="22"/>
              </w:rPr>
              <w:t>: Consistent physical health assessments are crucial to track complications such as electrolyte imbalances, heart function, and bone density. In critical situations, inpatient care may be necessary</w:t>
            </w:r>
            <w:r>
              <w:rPr>
                <w:rStyle w:val="normaltextrun"/>
                <w:rFonts w:ascii="Roboto" w:eastAsiaTheme="majorEastAsia" w:hAnsi="Roboto" w:cs="Segoe UI"/>
                <w:color w:val="2C3E50"/>
                <w:sz w:val="22"/>
                <w:szCs w:val="22"/>
              </w:rPr>
              <w:t> (</w:t>
            </w:r>
            <w:r>
              <w:rPr>
                <w:rStyle w:val="normaltextrun"/>
                <w:rFonts w:ascii="Arial" w:eastAsiaTheme="majorEastAsia" w:hAnsi="Arial" w:cs="Arial"/>
                <w:sz w:val="22"/>
                <w:szCs w:val="22"/>
              </w:rPr>
              <w:t>NHS, 2021).</w:t>
            </w:r>
            <w:r>
              <w:rPr>
                <w:rStyle w:val="eop"/>
                <w:rFonts w:ascii="Arial" w:hAnsi="Arial" w:cs="Arial"/>
                <w:sz w:val="22"/>
                <w:szCs w:val="22"/>
              </w:rPr>
              <w:t> </w:t>
            </w:r>
          </w:p>
          <w:p w14:paraId="4358C46B" w14:textId="77777777" w:rsidR="00611BE3" w:rsidRDefault="00611BE3" w:rsidP="000C4AA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2"/>
                <w:szCs w:val="22"/>
              </w:rPr>
              <w:t>•  Inpatient and day services</w:t>
            </w:r>
            <w:r>
              <w:rPr>
                <w:rStyle w:val="normaltextrun"/>
                <w:rFonts w:ascii="Arial" w:eastAsiaTheme="majorEastAsia" w:hAnsi="Arial" w:cs="Arial"/>
                <w:sz w:val="22"/>
                <w:szCs w:val="22"/>
              </w:rPr>
              <w:t>: For those experiencing severe or treatment-resistant anorexia, NHS England funds Specialised Adult Eating Disorder Inpatient Services, which are currently being revised to align with best practices and address service deficiencies (England, 2024)</w:t>
            </w:r>
            <w:r>
              <w:rPr>
                <w:rStyle w:val="eop"/>
                <w:rFonts w:ascii="Arial" w:hAnsi="Arial" w:cs="Arial"/>
                <w:sz w:val="22"/>
                <w:szCs w:val="22"/>
              </w:rPr>
              <w:t> </w:t>
            </w:r>
          </w:p>
          <w:p w14:paraId="3F740314" w14:textId="414C6C7E"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Roboto" w:eastAsiaTheme="majorEastAsia" w:hAnsi="Roboto" w:cs="Segoe UI"/>
                <w:b/>
                <w:bCs/>
                <w:sz w:val="22"/>
                <w:szCs w:val="22"/>
              </w:rPr>
              <w:t>•  </w:t>
            </w:r>
            <w:r>
              <w:rPr>
                <w:rStyle w:val="normaltextrun"/>
                <w:rFonts w:ascii="Arial" w:eastAsiaTheme="majorEastAsia" w:hAnsi="Arial" w:cs="Arial"/>
                <w:b/>
                <w:bCs/>
                <w:sz w:val="22"/>
                <w:szCs w:val="22"/>
              </w:rPr>
              <w:t>Children and Young People’s Mental Health Services (CYPMHS):</w:t>
            </w:r>
            <w:r>
              <w:rPr>
                <w:rStyle w:val="normaltextrun"/>
                <w:rFonts w:ascii="Arial" w:eastAsiaTheme="majorEastAsia" w:hAnsi="Arial" w:cs="Arial"/>
                <w:sz w:val="22"/>
                <w:szCs w:val="22"/>
              </w:rPr>
              <w:t xml:space="preserve"> Young patients are referred to CYPMHS or </w:t>
            </w:r>
            <w:r>
              <w:rPr>
                <w:rStyle w:val="normaltextrun"/>
                <w:rFonts w:ascii="Arial" w:eastAsiaTheme="majorEastAsia" w:hAnsi="Arial" w:cs="Arial"/>
                <w:sz w:val="22"/>
                <w:szCs w:val="22"/>
              </w:rPr>
              <w:t>paediatric</w:t>
            </w:r>
            <w:r>
              <w:rPr>
                <w:rStyle w:val="normaltextrun"/>
                <w:rFonts w:ascii="Arial" w:eastAsiaTheme="majorEastAsia" w:hAnsi="Arial" w:cs="Arial"/>
                <w:sz w:val="22"/>
                <w:szCs w:val="22"/>
              </w:rPr>
              <w:t xml:space="preserve"> teams for care that is suitable for their age, often incorporating family and school-based support (NHS, 2021)</w:t>
            </w:r>
            <w:r>
              <w:rPr>
                <w:rStyle w:val="eop"/>
                <w:rFonts w:ascii="Arial" w:hAnsi="Arial" w:cs="Arial"/>
                <w:sz w:val="22"/>
                <w:szCs w:val="22"/>
              </w:rPr>
              <w:t> </w:t>
            </w:r>
          </w:p>
          <w:p w14:paraId="60A6F7AC" w14:textId="77777777"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t>•  </w:t>
            </w:r>
            <w:r>
              <w:rPr>
                <w:rStyle w:val="normaltextrun"/>
                <w:rFonts w:ascii="Arial" w:eastAsiaTheme="majorEastAsia" w:hAnsi="Arial" w:cs="Arial"/>
                <w:b/>
                <w:bCs/>
                <w:sz w:val="22"/>
                <w:szCs w:val="22"/>
              </w:rPr>
              <w:t>Community and voluntary sector support</w:t>
            </w:r>
            <w:r>
              <w:rPr>
                <w:rStyle w:val="normaltextrun"/>
                <w:rFonts w:ascii="Arial" w:eastAsiaTheme="majorEastAsia" w:hAnsi="Arial" w:cs="Arial"/>
                <w:sz w:val="22"/>
                <w:szCs w:val="22"/>
              </w:rPr>
              <w:t>: Organizations like Beat Eating Disorders provide helplines, peer support, and online resources to enhance NHS care.</w:t>
            </w:r>
            <w:r>
              <w:rPr>
                <w:rStyle w:val="eop"/>
                <w:rFonts w:ascii="Arial" w:hAnsi="Arial" w:cs="Arial"/>
                <w:sz w:val="22"/>
                <w:szCs w:val="22"/>
              </w:rPr>
              <w:t> </w:t>
            </w:r>
          </w:p>
          <w:p w14:paraId="0078606C" w14:textId="77777777" w:rsidR="00611BE3" w:rsidRDefault="00611BE3"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rPr>
              <w:t xml:space="preserve">The National Institute for Health and Care Excellence (NICE) offers comprehensive guidance (NG69) on the identification, </w:t>
            </w:r>
            <w:r>
              <w:rPr>
                <w:rStyle w:val="normaltextrun"/>
                <w:rFonts w:ascii="Arial" w:eastAsiaTheme="majorEastAsia" w:hAnsi="Arial" w:cs="Arial"/>
                <w:sz w:val="22"/>
                <w:szCs w:val="22"/>
              </w:rPr>
              <w:lastRenderedPageBreak/>
              <w:t>evaluation, and treatment of eating disorders, with the goal of ensuring uniform, evidence-based care throughout the UK (NICE, 2017).</w:t>
            </w:r>
            <w:r>
              <w:rPr>
                <w:rStyle w:val="eop"/>
                <w:rFonts w:ascii="Arial" w:hAnsi="Arial" w:cs="Arial"/>
                <w:sz w:val="22"/>
                <w:szCs w:val="22"/>
              </w:rPr>
              <w:t> </w:t>
            </w:r>
          </w:p>
          <w:p w14:paraId="2A9C82C2" w14:textId="77777777" w:rsidR="00535C9F" w:rsidRPr="00611BE3" w:rsidRDefault="00535C9F" w:rsidP="000C4AA3">
            <w:pPr>
              <w:spacing w:line="360" w:lineRule="auto"/>
              <w:rPr>
                <w:rFonts w:ascii="Arial" w:hAnsi="Arial" w:cs="Arial"/>
                <w:noProof/>
                <w:sz w:val="24"/>
                <w:szCs w:val="20"/>
                <w:lang w:val="en-GB"/>
              </w:rPr>
            </w:pPr>
          </w:p>
          <w:p w14:paraId="656FC1DD" w14:textId="77777777" w:rsidR="00535C9F" w:rsidRPr="00034B12" w:rsidRDefault="00535C9F" w:rsidP="000C4AA3">
            <w:pPr>
              <w:pStyle w:val="Heading1"/>
              <w:spacing w:line="360" w:lineRule="auto"/>
              <w:rPr>
                <w:rStyle w:val="Heading1Char"/>
                <w:rFonts w:ascii="Arial" w:hAnsi="Arial" w:cs="Arial"/>
                <w:bCs/>
                <w:color w:val="000000" w:themeColor="text1"/>
                <w:sz w:val="24"/>
                <w:szCs w:val="24"/>
              </w:rPr>
            </w:pPr>
            <w:r w:rsidRPr="00034B12">
              <w:rPr>
                <w:rFonts w:ascii="Arial" w:hAnsi="Arial" w:cs="Arial"/>
                <w:bCs/>
                <w:color w:val="000000" w:themeColor="text1"/>
                <w:sz w:val="24"/>
                <w:szCs w:val="24"/>
              </w:rPr>
              <w:t>Recommendations</w:t>
            </w:r>
          </w:p>
          <w:p w14:paraId="28D813BE" w14:textId="77777777" w:rsidR="00D4704C" w:rsidRDefault="00D4704C" w:rsidP="000C4AA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Roboto" w:eastAsiaTheme="majorEastAsia" w:hAnsi="Roboto" w:cs="Segoe UI"/>
                <w:color w:val="2C3E50"/>
                <w:sz w:val="22"/>
                <w:szCs w:val="22"/>
                <w:lang w:val="en-US"/>
              </w:rPr>
              <w:t>(Bence, 2022)</w:t>
            </w:r>
            <w:r>
              <w:rPr>
                <w:rStyle w:val="eop"/>
                <w:rFonts w:ascii="Roboto" w:hAnsi="Roboto" w:cs="Segoe UI"/>
                <w:color w:val="2C3E50"/>
                <w:sz w:val="22"/>
                <w:szCs w:val="22"/>
              </w:rPr>
              <w:t> </w:t>
            </w:r>
          </w:p>
          <w:p w14:paraId="047A2809" w14:textId="77777777" w:rsidR="00D4704C" w:rsidRDefault="00D4704C" w:rsidP="000C4AA3">
            <w:pPr>
              <w:pStyle w:val="paragraph"/>
              <w:spacing w:before="0" w:beforeAutospacing="0" w:after="0" w:afterAutospacing="0" w:line="360" w:lineRule="auto"/>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65F974A8" wp14:editId="2DFD3D4E">
                  <wp:extent cx="2762250" cy="1841500"/>
                  <wp:effectExtent l="0" t="0" r="0" b="635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0" cy="1841500"/>
                          </a:xfrm>
                          <a:prstGeom prst="rect">
                            <a:avLst/>
                          </a:prstGeom>
                          <a:noFill/>
                          <a:ln>
                            <a:noFill/>
                          </a:ln>
                        </pic:spPr>
                      </pic:pic>
                    </a:graphicData>
                  </a:graphic>
                </wp:inline>
              </w:drawing>
            </w:r>
            <w:r>
              <w:rPr>
                <w:rStyle w:val="eop"/>
                <w:rFonts w:ascii="Century Schoolbook" w:hAnsi="Century Schoolbook" w:cs="Segoe UI"/>
                <w:sz w:val="22"/>
                <w:szCs w:val="22"/>
              </w:rPr>
              <w:t> </w:t>
            </w:r>
          </w:p>
          <w:p w14:paraId="5D5E83BC" w14:textId="77777777" w:rsidR="00D4704C" w:rsidRDefault="00D4704C"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current approach to treating anorexia nervosa in the UK employs a multidisciplinary strategy through specialized NHS services.</w:t>
            </w:r>
            <w:r>
              <w:rPr>
                <w:rStyle w:val="eop"/>
                <w:rFonts w:ascii="Arial" w:hAnsi="Arial" w:cs="Arial"/>
                <w:sz w:val="22"/>
                <w:szCs w:val="22"/>
              </w:rPr>
              <w:t> </w:t>
            </w:r>
          </w:p>
          <w:p w14:paraId="0DF0B26B" w14:textId="37823969" w:rsidR="00D4704C" w:rsidRDefault="00D4704C"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Psychological therapies such as Cognitive Behavioral Therapy for Eating Disorders (CBT-ED), Maudsley Anorexia Nervosa Treatment for Adults (MANTRA), and Family-Based Therapy (FBT)</w:t>
            </w:r>
            <w:r w:rsidR="00A42E0F">
              <w:rPr>
                <w:rStyle w:val="normaltextrun"/>
                <w:rFonts w:ascii="Arial" w:eastAsiaTheme="majorEastAsia" w:hAnsi="Arial" w:cs="Arial"/>
                <w:sz w:val="22"/>
                <w:szCs w:val="22"/>
                <w:lang w:val="en-US"/>
              </w:rPr>
              <w:t xml:space="preserve"> </w:t>
            </w:r>
            <w:r w:rsidR="00A42E0F">
              <w:rPr>
                <w:rStyle w:val="normaltextrun"/>
                <w:rFonts w:ascii="Arial" w:hAnsi="Arial" w:cs="Arial"/>
                <w:color w:val="000000"/>
                <w:sz w:val="22"/>
                <w:szCs w:val="22"/>
                <w:shd w:val="clear" w:color="auto" w:fill="FFFFFF"/>
                <w:lang w:val="en-US"/>
              </w:rPr>
              <w:t>are recommended according to the person's age and particular symptoms (NICE, 2020). </w:t>
            </w:r>
            <w:r w:rsidR="00A42E0F">
              <w:rPr>
                <w:rStyle w:val="eop"/>
                <w:rFonts w:ascii="Arial" w:eastAsiaTheme="majorEastAsia" w:hAnsi="Arial" w:cs="Arial"/>
                <w:color w:val="000000"/>
                <w:sz w:val="22"/>
                <w:szCs w:val="22"/>
                <w:shd w:val="clear" w:color="auto" w:fill="FFFFFF"/>
              </w:rPr>
              <w:t> </w:t>
            </w:r>
          </w:p>
          <w:p w14:paraId="3275F788" w14:textId="77777777" w:rsidR="0097798B" w:rsidRDefault="0097798B"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xml:space="preserve">Dietitians support nutritional rehabilitation to promote healthy eating habits and tackle </w:t>
            </w:r>
            <w:r>
              <w:rPr>
                <w:rStyle w:val="normaltextrun"/>
                <w:rFonts w:ascii="Arial" w:eastAsiaTheme="majorEastAsia" w:hAnsi="Arial" w:cs="Arial"/>
                <w:sz w:val="22"/>
                <w:szCs w:val="22"/>
                <w:lang w:val="en-US"/>
              </w:rPr>
              <w:lastRenderedPageBreak/>
              <w:t>food-related anxieties, while medical monitoring involves regular assessments for complications like heart irregularities and malnutrition (NHS, 2025).</w:t>
            </w:r>
            <w:r>
              <w:rPr>
                <w:rStyle w:val="eop"/>
                <w:rFonts w:ascii="Arial" w:hAnsi="Arial" w:cs="Arial"/>
                <w:sz w:val="22"/>
                <w:szCs w:val="22"/>
              </w:rPr>
              <w:t> </w:t>
            </w:r>
          </w:p>
          <w:p w14:paraId="72A5F1F9" w14:textId="77777777" w:rsidR="0097798B" w:rsidRDefault="0097798B"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In cases of severe anorexia, inpatient and day services are accessible, with NHS England in the process of enhancing adult inpatient services to ensure better access and consistency (NHS England, 2024).</w:t>
            </w:r>
            <w:r>
              <w:rPr>
                <w:rStyle w:val="eop"/>
                <w:rFonts w:ascii="Arial" w:hAnsi="Arial" w:cs="Arial"/>
                <w:sz w:val="22"/>
                <w:szCs w:val="22"/>
              </w:rPr>
              <w:t> </w:t>
            </w:r>
          </w:p>
          <w:p w14:paraId="6340C7EE" w14:textId="77777777" w:rsidR="0097798B" w:rsidRDefault="0097798B"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Community organizations such as Beat Eating Disorders provide additional peer support and helplines to supplement clinical care. Prompt access to evidence-based, person-centered treatment is crucial for recovery and long-term health.</w:t>
            </w:r>
            <w:r>
              <w:rPr>
                <w:rStyle w:val="eop"/>
                <w:rFonts w:ascii="Arial" w:hAnsi="Arial" w:cs="Arial"/>
                <w:sz w:val="22"/>
                <w:szCs w:val="22"/>
              </w:rPr>
              <w:t> </w:t>
            </w:r>
          </w:p>
          <w:p w14:paraId="5FF8835A" w14:textId="77777777" w:rsidR="00034B12" w:rsidRDefault="00034B12" w:rsidP="000C4AA3">
            <w:pPr>
              <w:pStyle w:val="Heading1"/>
              <w:spacing w:line="360" w:lineRule="auto"/>
              <w:rPr>
                <w:rFonts w:ascii="Arial" w:hAnsi="Arial" w:cs="Arial"/>
                <w:sz w:val="24"/>
                <w:szCs w:val="24"/>
              </w:rPr>
            </w:pPr>
          </w:p>
          <w:p w14:paraId="7BF1EAE0" w14:textId="69EDB9A9" w:rsidR="00535C9F" w:rsidRPr="00034B12" w:rsidRDefault="00535C9F" w:rsidP="000C4AA3">
            <w:pPr>
              <w:pStyle w:val="Heading1"/>
              <w:spacing w:line="360" w:lineRule="auto"/>
              <w:rPr>
                <w:rStyle w:val="Heading1Char"/>
                <w:rFonts w:ascii="Arial" w:hAnsi="Arial" w:cs="Arial"/>
                <w:b/>
                <w:color w:val="000000" w:themeColor="text1"/>
                <w:sz w:val="24"/>
                <w:szCs w:val="24"/>
              </w:rPr>
            </w:pPr>
            <w:r w:rsidRPr="00034B12">
              <w:rPr>
                <w:rFonts w:ascii="Arial" w:hAnsi="Arial" w:cs="Arial"/>
                <w:color w:val="000000" w:themeColor="text1"/>
                <w:sz w:val="24"/>
                <w:szCs w:val="24"/>
              </w:rPr>
              <w:t>Conclusions</w:t>
            </w:r>
          </w:p>
          <w:p w14:paraId="7ECF1608" w14:textId="77777777" w:rsidR="00B473FE" w:rsidRDefault="00444349"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000000"/>
                <w:sz w:val="22"/>
                <w:szCs w:val="22"/>
                <w:bdr w:val="none" w:sz="0" w:space="0" w:color="auto" w:frame="1"/>
                <w:lang w:val="en-US"/>
              </w:rPr>
              <w:t>Anorexia nervosa is a multifaceted and severe mental health disorder that</w:t>
            </w:r>
            <w:r w:rsidR="00B473FE">
              <w:rPr>
                <w:rStyle w:val="normaltextrun"/>
                <w:rFonts w:ascii="Arial" w:hAnsi="Arial" w:cs="Arial"/>
                <w:color w:val="000000"/>
                <w:bdr w:val="none" w:sz="0" w:space="0" w:color="auto" w:frame="1"/>
              </w:rPr>
              <w:t xml:space="preserve"> </w:t>
            </w:r>
            <w:r w:rsidR="00B473FE">
              <w:rPr>
                <w:rStyle w:val="normaltextrun"/>
                <w:rFonts w:ascii="Arial" w:eastAsiaTheme="majorEastAsia" w:hAnsi="Arial" w:cs="Arial"/>
                <w:sz w:val="22"/>
                <w:szCs w:val="22"/>
                <w:lang w:val="en-US"/>
              </w:rPr>
              <w:t>necessitates prompt, evidence-based, and individualized intervention.</w:t>
            </w:r>
            <w:r w:rsidR="00B473FE">
              <w:rPr>
                <w:rStyle w:val="eop"/>
                <w:rFonts w:ascii="Arial" w:hAnsi="Arial" w:cs="Arial"/>
                <w:sz w:val="22"/>
                <w:szCs w:val="22"/>
              </w:rPr>
              <w:t> </w:t>
            </w:r>
          </w:p>
          <w:p w14:paraId="4B8FE660" w14:textId="77777777" w:rsidR="008C638B" w:rsidRDefault="00B473FE"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xml:space="preserve">Anorexia nervosa does not stem from a single cause but arises from a mix of genetic predisposition, psychological characteristics, sociocultural influences, and environmental factors (Therapy Clinics, 2025; Priory Group, 2025). Once misinterpreted and moralized, it </w:t>
            </w:r>
            <w:r>
              <w:rPr>
                <w:rStyle w:val="normaltextrun"/>
                <w:rFonts w:ascii="Arial" w:eastAsiaTheme="majorEastAsia" w:hAnsi="Arial" w:cs="Arial"/>
                <w:sz w:val="22"/>
                <w:szCs w:val="22"/>
                <w:lang w:val="en-US"/>
              </w:rPr>
              <w:lastRenderedPageBreak/>
              <w:t>is now acknowledged as a psychiatric condition with one of the highest mortality rates among mental health disorders (Simonovic et al., 2015; WHO, 2023). Symptoms can include significant weight loss, distorted body perception, and compulsive behaviors related to food and exercise (NHS, 2025). Diagnosis is based on DSM-5 and ICD-11 standards,</w:t>
            </w:r>
            <w:r>
              <w:rPr>
                <w:rStyle w:val="normaltextrun"/>
                <w:rFonts w:ascii="Century Schoolbook" w:eastAsiaTheme="majorEastAsia" w:hAnsi="Century Schoolbook" w:cs="Segoe UI"/>
                <w:sz w:val="22"/>
                <w:szCs w:val="22"/>
                <w:lang w:val="en-US"/>
              </w:rPr>
              <w:t> </w:t>
            </w:r>
            <w:r>
              <w:rPr>
                <w:rStyle w:val="normaltextrun"/>
                <w:rFonts w:ascii="Arial" w:eastAsiaTheme="majorEastAsia" w:hAnsi="Arial" w:cs="Arial"/>
                <w:sz w:val="22"/>
                <w:szCs w:val="22"/>
                <w:lang w:val="en-US"/>
              </w:rPr>
              <w:t>bolstered by clinical</w:t>
            </w:r>
            <w:r w:rsidR="008C638B">
              <w:rPr>
                <w:rStyle w:val="normaltextrun"/>
                <w:rFonts w:ascii="Arial" w:eastAsiaTheme="majorEastAsia" w:hAnsi="Arial" w:cs="Arial"/>
                <w:sz w:val="22"/>
                <w:szCs w:val="22"/>
                <w:lang w:val="en-US"/>
              </w:rPr>
              <w:t xml:space="preserve"> </w:t>
            </w:r>
            <w:r w:rsidR="008C638B">
              <w:rPr>
                <w:rStyle w:val="normaltextrun"/>
                <w:rFonts w:ascii="Arial" w:eastAsiaTheme="majorEastAsia" w:hAnsi="Arial" w:cs="Arial"/>
                <w:sz w:val="22"/>
                <w:szCs w:val="22"/>
                <w:lang w:val="en-US"/>
              </w:rPr>
              <w:t>and psychological evaluations (APA, 2013; NICE, 2020).</w:t>
            </w:r>
            <w:r w:rsidR="008C638B">
              <w:rPr>
                <w:rStyle w:val="eop"/>
                <w:rFonts w:ascii="Arial" w:hAnsi="Arial" w:cs="Arial"/>
                <w:sz w:val="22"/>
                <w:szCs w:val="22"/>
              </w:rPr>
              <w:t> </w:t>
            </w:r>
          </w:p>
          <w:p w14:paraId="6A85D86C" w14:textId="74383506" w:rsidR="008C638B" w:rsidRDefault="008C638B" w:rsidP="000C4AA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Current services in the UK encompass psychological therapies (CBT-ED, MANTRA, FBT), nutritional rehabilitation, and medical oversight, provided by</w:t>
            </w:r>
            <w:r w:rsidR="00FB7084">
              <w:rPr>
                <w:rStyle w:val="normaltextrun"/>
                <w:rFonts w:ascii="Arial" w:eastAsiaTheme="majorEastAsia" w:hAnsi="Arial" w:cs="Arial"/>
                <w:sz w:val="22"/>
                <w:szCs w:val="22"/>
                <w:lang w:val="en-US"/>
              </w:rPr>
              <w:t xml:space="preserve"> </w:t>
            </w:r>
            <w:r w:rsidR="00FB7084">
              <w:rPr>
                <w:rStyle w:val="normaltextrun"/>
                <w:rFonts w:ascii="Arial" w:hAnsi="Arial" w:cs="Arial"/>
                <w:color w:val="000000"/>
                <w:sz w:val="22"/>
                <w:szCs w:val="22"/>
                <w:shd w:val="clear" w:color="auto" w:fill="FFFFFF"/>
                <w:lang w:val="en-US"/>
              </w:rPr>
              <w:t>Current services in the UK encompass psychological therapies (CBT-ED, MANTRA, FBT), nutritional rehabilitation, and medical oversight, provided by specialized NHS teams and supported by organizations like Beat (NHS England, 2024; NICE, 2020). Nevertheless, issues such as limited access, stigma, and continue Thus, essential recommendations include enhancing early detection, broadening specialist services, fostering inclusive care, and assisting families and caregivers.</w:t>
            </w:r>
            <w:r w:rsidR="00FB7084">
              <w:rPr>
                <w:rStyle w:val="eop"/>
                <w:rFonts w:ascii="Arial" w:eastAsiaTheme="majorEastAsia" w:hAnsi="Arial" w:cs="Arial"/>
                <w:color w:val="000000"/>
                <w:sz w:val="22"/>
                <w:szCs w:val="22"/>
                <w:shd w:val="clear" w:color="auto" w:fill="FFFFFF"/>
              </w:rPr>
              <w:t> </w:t>
            </w:r>
            <w:r w:rsidR="001A673E">
              <w:rPr>
                <w:rStyle w:val="normaltextrun"/>
                <w:rFonts w:ascii="Arial" w:hAnsi="Arial" w:cs="Arial"/>
                <w:color w:val="000000"/>
                <w:sz w:val="22"/>
                <w:szCs w:val="22"/>
                <w:shd w:val="clear" w:color="auto" w:fill="FFFFFF"/>
                <w:lang w:val="en-US"/>
              </w:rPr>
              <w:t xml:space="preserve">In conclusion, the effective management of anorexia </w:t>
            </w:r>
            <w:r w:rsidR="001A673E">
              <w:rPr>
                <w:rStyle w:val="normaltextrun"/>
                <w:rFonts w:ascii="Arial" w:hAnsi="Arial" w:cs="Arial"/>
                <w:color w:val="000000"/>
                <w:sz w:val="22"/>
                <w:szCs w:val="22"/>
                <w:shd w:val="clear" w:color="auto" w:fill="FFFFFF"/>
                <w:lang w:val="en-US"/>
              </w:rPr>
              <w:lastRenderedPageBreak/>
              <w:t>nervosa necessitates a compassionate, multidisciplinary strategy that emphasizes recovery, dignity, and long-term wellness.</w:t>
            </w:r>
            <w:r w:rsidR="001A673E">
              <w:rPr>
                <w:rStyle w:val="eop"/>
                <w:rFonts w:ascii="Arial" w:eastAsiaTheme="majorEastAsia" w:hAnsi="Arial" w:cs="Arial"/>
                <w:color w:val="000000"/>
                <w:sz w:val="22"/>
                <w:szCs w:val="22"/>
                <w:shd w:val="clear" w:color="auto" w:fill="FFFFFF"/>
              </w:rPr>
              <w:t> </w:t>
            </w:r>
          </w:p>
          <w:p w14:paraId="698D2CE9" w14:textId="2BCCA87D" w:rsidR="00B473FE" w:rsidRDefault="00B473FE" w:rsidP="000C4AA3">
            <w:pPr>
              <w:pStyle w:val="paragraph"/>
              <w:spacing w:before="0" w:beforeAutospacing="0" w:after="0" w:afterAutospacing="0" w:line="360" w:lineRule="auto"/>
              <w:jc w:val="both"/>
              <w:textAlignment w:val="baseline"/>
              <w:rPr>
                <w:rFonts w:ascii="Segoe UI" w:hAnsi="Segoe UI" w:cs="Segoe UI"/>
                <w:sz w:val="18"/>
                <w:szCs w:val="18"/>
              </w:rPr>
            </w:pPr>
          </w:p>
          <w:p w14:paraId="0ACC90E2" w14:textId="6800D829" w:rsidR="00535C9F" w:rsidRPr="00B473FE" w:rsidRDefault="00535C9F" w:rsidP="000C4AA3">
            <w:pPr>
              <w:spacing w:line="360" w:lineRule="auto"/>
              <w:rPr>
                <w:rFonts w:ascii="Arial" w:hAnsi="Arial" w:cs="Arial"/>
                <w:lang w:val="en-GB"/>
              </w:rPr>
            </w:pPr>
          </w:p>
          <w:p w14:paraId="4EBA66EC" w14:textId="2114187C" w:rsidR="00535C9F" w:rsidRPr="004117AC" w:rsidRDefault="0083675D" w:rsidP="000C4AA3">
            <w:pPr>
              <w:spacing w:line="360" w:lineRule="auto"/>
              <w:rPr>
                <w:rFonts w:ascii="Arial" w:hAnsi="Arial" w:cs="Arial"/>
                <w:noProof/>
                <w:sz w:val="24"/>
                <w:szCs w:val="20"/>
              </w:rPr>
            </w:pPr>
            <w:r>
              <w:rPr>
                <w:rStyle w:val="wacimagecontainer"/>
                <w:rFonts w:ascii="Segoe UI" w:hAnsi="Segoe UI" w:cs="Segoe UI"/>
                <w:noProof/>
                <w:color w:val="000000"/>
                <w:sz w:val="18"/>
                <w:szCs w:val="18"/>
                <w:shd w:val="clear" w:color="auto" w:fill="FFFFFF"/>
              </w:rPr>
              <w:drawing>
                <wp:inline distT="0" distB="0" distL="0" distR="0" wp14:anchorId="1AFC0090" wp14:editId="50AE5649">
                  <wp:extent cx="2952750" cy="412115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52750" cy="4121150"/>
                          </a:xfrm>
                          <a:prstGeom prst="rect">
                            <a:avLst/>
                          </a:prstGeom>
                          <a:noFill/>
                          <a:ln>
                            <a:noFill/>
                          </a:ln>
                        </pic:spPr>
                      </pic:pic>
                    </a:graphicData>
                  </a:graphic>
                </wp:inline>
              </w:drawing>
            </w:r>
            <w:r>
              <w:rPr>
                <w:rStyle w:val="normaltextrun"/>
                <w:rFonts w:ascii="Arial" w:hAnsi="Arial" w:cs="Arial"/>
                <w:color w:val="2C3E50"/>
                <w:shd w:val="clear" w:color="auto" w:fill="FFFFFF"/>
              </w:rPr>
              <w:t>(Church, 2020)</w:t>
            </w:r>
            <w:r>
              <w:rPr>
                <w:rStyle w:val="eop"/>
                <w:rFonts w:ascii="Arial" w:hAnsi="Arial" w:cs="Arial"/>
                <w:color w:val="2C3E50"/>
                <w:shd w:val="clear" w:color="auto" w:fill="FFFFFF"/>
              </w:rPr>
              <w:t> </w:t>
            </w:r>
          </w:p>
        </w:tc>
      </w:tr>
      <w:tr w:rsidR="00535C9F" w:rsidRPr="00EB6F36" w14:paraId="6FE6E81E" w14:textId="77777777" w:rsidTr="004117AC">
        <w:trPr>
          <w:trHeight w:val="6431"/>
          <w:jc w:val="center"/>
        </w:trPr>
        <w:tc>
          <w:tcPr>
            <w:tcW w:w="4530" w:type="dxa"/>
            <w:vMerge/>
          </w:tcPr>
          <w:p w14:paraId="795D7C90" w14:textId="77777777" w:rsidR="00535C9F" w:rsidRPr="00EB6F36" w:rsidRDefault="00535C9F" w:rsidP="00B67824">
            <w:pPr>
              <w:rPr>
                <w:rFonts w:ascii="Arial" w:hAnsi="Arial" w:cs="Arial"/>
                <w:noProof/>
              </w:rPr>
            </w:pPr>
          </w:p>
        </w:tc>
        <w:tc>
          <w:tcPr>
            <w:tcW w:w="416" w:type="dxa"/>
            <w:vMerge/>
          </w:tcPr>
          <w:p w14:paraId="1280A41D" w14:textId="77777777" w:rsidR="00535C9F" w:rsidRPr="00EB6F36" w:rsidRDefault="00535C9F" w:rsidP="00B67824">
            <w:pPr>
              <w:rPr>
                <w:rFonts w:ascii="Arial" w:hAnsi="Arial" w:cs="Arial"/>
                <w:noProof/>
              </w:rPr>
            </w:pPr>
          </w:p>
        </w:tc>
        <w:tc>
          <w:tcPr>
            <w:tcW w:w="4497" w:type="dxa"/>
          </w:tcPr>
          <w:p w14:paraId="1D79CD0E" w14:textId="77777777" w:rsidR="00535C9F" w:rsidRDefault="00535C9F" w:rsidP="00034B12">
            <w:pPr>
              <w:pStyle w:val="Heading1"/>
              <w:spacing w:line="360" w:lineRule="auto"/>
              <w:rPr>
                <w:rFonts w:ascii="Arial" w:hAnsi="Arial" w:cs="Arial"/>
                <w:color w:val="000000" w:themeColor="text1"/>
                <w:sz w:val="24"/>
                <w:szCs w:val="24"/>
              </w:rPr>
            </w:pPr>
            <w:r w:rsidRPr="004D2A07">
              <w:rPr>
                <w:rFonts w:ascii="Arial" w:hAnsi="Arial" w:cs="Arial"/>
                <w:color w:val="000000" w:themeColor="text1"/>
                <w:sz w:val="24"/>
                <w:szCs w:val="24"/>
              </w:rPr>
              <w:t xml:space="preserve">Causes </w:t>
            </w:r>
          </w:p>
          <w:p w14:paraId="5776C610" w14:textId="77777777" w:rsidR="00607A43" w:rsidRDefault="00607A43" w:rsidP="00034B1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color w:val="2C3E50"/>
                <w:sz w:val="22"/>
                <w:szCs w:val="22"/>
                <w:lang w:val="en-US"/>
              </w:rPr>
              <w:t>(UK Addiction Treatment Centers, 2017</w:t>
            </w:r>
            <w:r>
              <w:rPr>
                <w:rStyle w:val="normaltextrun"/>
                <w:rFonts w:ascii="Roboto" w:eastAsiaTheme="majorEastAsia" w:hAnsi="Roboto" w:cs="Segoe UI"/>
                <w:color w:val="2C3E50"/>
                <w:sz w:val="22"/>
                <w:szCs w:val="22"/>
                <w:lang w:val="en-US"/>
              </w:rPr>
              <w:t>)</w:t>
            </w:r>
            <w:r>
              <w:rPr>
                <w:rStyle w:val="wacimagecontainer"/>
                <w:rFonts w:ascii="Segoe UI" w:hAnsi="Segoe UI" w:cs="Segoe UI"/>
                <w:noProof/>
                <w:sz w:val="18"/>
                <w:szCs w:val="18"/>
              </w:rPr>
              <w:drawing>
                <wp:inline distT="0" distB="0" distL="0" distR="0" wp14:anchorId="4C8FADC6" wp14:editId="3F0A6FEE">
                  <wp:extent cx="2705100" cy="2032000"/>
                  <wp:effectExtent l="0" t="0" r="0" b="635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5100" cy="2032000"/>
                          </a:xfrm>
                          <a:prstGeom prst="rect">
                            <a:avLst/>
                          </a:prstGeom>
                          <a:noFill/>
                          <a:ln>
                            <a:noFill/>
                          </a:ln>
                        </pic:spPr>
                      </pic:pic>
                    </a:graphicData>
                  </a:graphic>
                </wp:inline>
              </w:drawing>
            </w:r>
            <w:r>
              <w:rPr>
                <w:rStyle w:val="eop"/>
                <w:rFonts w:ascii="Century Schoolbook" w:hAnsi="Century Schoolbook" w:cs="Segoe UI"/>
                <w:sz w:val="22"/>
                <w:szCs w:val="22"/>
              </w:rPr>
              <w:t> </w:t>
            </w:r>
          </w:p>
          <w:p w14:paraId="10A75628" w14:textId="77777777" w:rsidR="00515463" w:rsidRDefault="00607A43" w:rsidP="00034B12">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lang w:val="en-US"/>
              </w:rPr>
            </w:pPr>
            <w:r>
              <w:rPr>
                <w:rStyle w:val="normaltextrun"/>
                <w:rFonts w:ascii="Arial" w:eastAsiaTheme="majorEastAsia" w:hAnsi="Arial" w:cs="Arial"/>
                <w:sz w:val="22"/>
                <w:szCs w:val="22"/>
                <w:lang w:val="en-US"/>
              </w:rPr>
              <w:t>Anorexia nervosa does not stem from a single cause; instead, it is associated with a mix of genetic, psychological, sociocultural, and environmental factors.</w:t>
            </w:r>
          </w:p>
          <w:p w14:paraId="0D41519A" w14:textId="0539D921" w:rsidR="00061B1A" w:rsidRDefault="00607A43"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r w:rsidR="00061B1A">
              <w:rPr>
                <w:rStyle w:val="normaltextrun"/>
                <w:rFonts w:ascii="Arial" w:eastAsiaTheme="majorEastAsia" w:hAnsi="Arial" w:cs="Arial"/>
                <w:sz w:val="22"/>
                <w:szCs w:val="22"/>
                <w:lang w:val="en-US"/>
              </w:rPr>
              <w:t xml:space="preserve">Research indicates that </w:t>
            </w:r>
            <w:r w:rsidR="00C34955">
              <w:rPr>
                <w:rStyle w:val="normaltextrun"/>
                <w:rFonts w:ascii="Arial" w:eastAsiaTheme="majorEastAsia" w:hAnsi="Arial" w:cs="Arial"/>
                <w:sz w:val="22"/>
                <w:szCs w:val="22"/>
                <w:lang w:val="en-US"/>
              </w:rPr>
              <w:t>A</w:t>
            </w:r>
            <w:r w:rsidR="00061B1A">
              <w:rPr>
                <w:rStyle w:val="normaltextrun"/>
                <w:rFonts w:ascii="Arial" w:eastAsiaTheme="majorEastAsia" w:hAnsi="Arial" w:cs="Arial"/>
                <w:sz w:val="22"/>
                <w:szCs w:val="22"/>
                <w:lang w:val="en-US"/>
              </w:rPr>
              <w:t xml:space="preserve">norexia nervosa develops from a complex interaction of various influences rather than a singular cause. Genetic factors are significant, with studies showing heritability rates as high as 60% (Therapy Clinics, 2025). Those with a family history of eating disorders, anxiety, or depression face a greater risk. Psychological aspects such as perfectionism, low self-esteem, and obsessive-compulsive traits are frequently linked to anorexia (Priory </w:t>
            </w:r>
            <w:r w:rsidR="00061B1A">
              <w:rPr>
                <w:rStyle w:val="normaltextrun"/>
                <w:rFonts w:ascii="Arial" w:eastAsiaTheme="majorEastAsia" w:hAnsi="Arial" w:cs="Arial"/>
                <w:sz w:val="22"/>
                <w:szCs w:val="22"/>
                <w:lang w:val="en-US"/>
              </w:rPr>
              <w:lastRenderedPageBreak/>
              <w:t>Group, 2025). Sociocultural influences, including media representations of thinness and societal beauty ideals, can lead to body dissatisfaction and restrictive eating behaviors, particularly in adolescents. Environmental stressors like trauma, bullying, or life transitions (such as puberty and academic pressure) may also play a role in the onset of the disorder.</w:t>
            </w:r>
            <w:r w:rsidR="00061B1A">
              <w:rPr>
                <w:rStyle w:val="eop"/>
                <w:rFonts w:ascii="Arial" w:hAnsi="Arial" w:cs="Arial"/>
                <w:sz w:val="22"/>
                <w:szCs w:val="22"/>
              </w:rPr>
              <w:t> </w:t>
            </w:r>
          </w:p>
          <w:p w14:paraId="1DE443C9" w14:textId="77777777" w:rsidR="00061B1A" w:rsidRDefault="00061B1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 NHS points out that anorexia typically begins during adolescence and is more common among young women, although it can impact individuals of any gender or age. Crucially, anorexia is now recognized as a serious mental health issue that necessitates early intervention and comprehensive care, rather than being viewed as a lifestyle choice or a trivial concern (NHS, 2025).</w:t>
            </w:r>
            <w:r>
              <w:rPr>
                <w:rStyle w:val="eop"/>
                <w:rFonts w:ascii="Arial" w:hAnsi="Arial" w:cs="Arial"/>
                <w:sz w:val="22"/>
                <w:szCs w:val="22"/>
              </w:rPr>
              <w:t> </w:t>
            </w:r>
          </w:p>
          <w:p w14:paraId="02994243" w14:textId="59092A65" w:rsidR="00607A43" w:rsidRDefault="00607A43" w:rsidP="00034B12">
            <w:pPr>
              <w:pStyle w:val="paragraph"/>
              <w:spacing w:before="0" w:beforeAutospacing="0" w:after="0" w:afterAutospacing="0" w:line="360" w:lineRule="auto"/>
              <w:jc w:val="both"/>
              <w:textAlignment w:val="baseline"/>
              <w:rPr>
                <w:rStyle w:val="eop"/>
                <w:rFonts w:ascii="Arial" w:hAnsi="Arial" w:cs="Arial"/>
                <w:sz w:val="22"/>
                <w:szCs w:val="22"/>
              </w:rPr>
            </w:pPr>
          </w:p>
          <w:p w14:paraId="1357D809" w14:textId="77777777" w:rsidR="00061B1A" w:rsidRDefault="00061B1A" w:rsidP="00034B12">
            <w:pPr>
              <w:pStyle w:val="paragraph"/>
              <w:spacing w:before="0" w:beforeAutospacing="0" w:after="0" w:afterAutospacing="0" w:line="360" w:lineRule="auto"/>
              <w:jc w:val="both"/>
              <w:textAlignment w:val="baseline"/>
              <w:rPr>
                <w:rFonts w:ascii="Segoe UI" w:hAnsi="Segoe UI" w:cs="Segoe UI"/>
                <w:sz w:val="18"/>
                <w:szCs w:val="18"/>
              </w:rPr>
            </w:pPr>
          </w:p>
          <w:p w14:paraId="69DA85A4" w14:textId="77777777" w:rsidR="00535C9F" w:rsidRPr="004D2A07" w:rsidRDefault="00535C9F" w:rsidP="00034B12">
            <w:pPr>
              <w:pStyle w:val="Heading1"/>
              <w:spacing w:line="360" w:lineRule="auto"/>
              <w:rPr>
                <w:rFonts w:ascii="Arial" w:hAnsi="Arial" w:cs="Arial"/>
                <w:color w:val="000000" w:themeColor="text1"/>
                <w:sz w:val="24"/>
                <w:szCs w:val="24"/>
              </w:rPr>
            </w:pPr>
            <w:r w:rsidRPr="004D2A07">
              <w:rPr>
                <w:rFonts w:ascii="Arial" w:hAnsi="Arial" w:cs="Arial"/>
                <w:color w:val="000000" w:themeColor="text1"/>
                <w:sz w:val="24"/>
                <w:szCs w:val="24"/>
              </w:rPr>
              <w:t xml:space="preserve">Symptoms </w:t>
            </w:r>
          </w:p>
          <w:p w14:paraId="02990842" w14:textId="77777777" w:rsidR="007C4367" w:rsidRDefault="007C4367"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xml:space="preserve">Individuals suffering from anorexia nervosa often undergo significant weight loss, possess a profound fear of weight gain, have a skewed perception of their body, and engage in restrictive eating habits. These manifestations can be </w:t>
            </w:r>
            <w:r>
              <w:rPr>
                <w:rStyle w:val="normaltextrun"/>
                <w:rFonts w:ascii="Arial" w:eastAsiaTheme="majorEastAsia" w:hAnsi="Arial" w:cs="Arial"/>
                <w:sz w:val="22"/>
                <w:szCs w:val="22"/>
                <w:lang w:val="en-US"/>
              </w:rPr>
              <w:lastRenderedPageBreak/>
              <w:t>categorized as physical, psychological, and behavioral (NHS, 2021)</w:t>
            </w:r>
            <w:r>
              <w:rPr>
                <w:rStyle w:val="eop"/>
                <w:rFonts w:ascii="Arial" w:hAnsi="Arial" w:cs="Arial"/>
                <w:sz w:val="22"/>
                <w:szCs w:val="22"/>
              </w:rPr>
              <w:t> </w:t>
            </w:r>
          </w:p>
          <w:p w14:paraId="43DE7E1B" w14:textId="77777777" w:rsidR="007C4367" w:rsidRDefault="007C4367" w:rsidP="00034B12">
            <w:pPr>
              <w:pStyle w:val="paragraph"/>
              <w:spacing w:before="0" w:beforeAutospacing="0" w:after="0" w:afterAutospacing="0" w:line="360" w:lineRule="auto"/>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1C92D83" wp14:editId="5DE3E044">
                  <wp:extent cx="1651000" cy="2705100"/>
                  <wp:effectExtent l="0" t="0" r="635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51000" cy="2705100"/>
                          </a:xfrm>
                          <a:prstGeom prst="rect">
                            <a:avLst/>
                          </a:prstGeom>
                          <a:noFill/>
                          <a:ln>
                            <a:noFill/>
                          </a:ln>
                        </pic:spPr>
                      </pic:pic>
                    </a:graphicData>
                  </a:graphic>
                </wp:inline>
              </w:drawing>
            </w:r>
            <w:r>
              <w:rPr>
                <w:rStyle w:val="eop"/>
                <w:rFonts w:ascii="Roboto" w:hAnsi="Roboto" w:cs="Segoe UI"/>
                <w:color w:val="2C3E50"/>
                <w:sz w:val="22"/>
                <w:szCs w:val="22"/>
              </w:rPr>
              <w:t> </w:t>
            </w:r>
          </w:p>
          <w:p w14:paraId="49989924" w14:textId="77777777" w:rsidR="007C4367" w:rsidRDefault="007C4367" w:rsidP="00034B1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Roboto" w:eastAsiaTheme="majorEastAsia" w:hAnsi="Roboto" w:cs="Segoe UI"/>
                <w:color w:val="2C3E50"/>
                <w:sz w:val="22"/>
                <w:szCs w:val="22"/>
                <w:lang w:val="en-US"/>
              </w:rPr>
              <w:t>(Cleveland Clinic, 2024)</w:t>
            </w:r>
            <w:r>
              <w:rPr>
                <w:rStyle w:val="eop"/>
                <w:rFonts w:ascii="Roboto" w:hAnsi="Roboto" w:cs="Segoe UI"/>
                <w:color w:val="2C3E50"/>
                <w:sz w:val="22"/>
                <w:szCs w:val="22"/>
              </w:rPr>
              <w:t> </w:t>
            </w:r>
          </w:p>
          <w:p w14:paraId="1D37FE77" w14:textId="77777777" w:rsidR="001D083A" w:rsidRDefault="007C4367"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As stated by the NHS and Beat Eating Disorders UK, the most prevalent</w:t>
            </w:r>
            <w:r w:rsidR="001D083A">
              <w:rPr>
                <w:rStyle w:val="normaltextrun"/>
                <w:rFonts w:ascii="Arial" w:eastAsiaTheme="majorEastAsia" w:hAnsi="Arial" w:cs="Arial"/>
                <w:sz w:val="22"/>
                <w:szCs w:val="22"/>
                <w:lang w:val="en-US"/>
              </w:rPr>
              <w:t xml:space="preserve"> </w:t>
            </w:r>
            <w:r w:rsidR="001D083A">
              <w:rPr>
                <w:rStyle w:val="normaltextrun"/>
                <w:rFonts w:ascii="Arial" w:eastAsiaTheme="majorEastAsia" w:hAnsi="Arial" w:cs="Arial"/>
                <w:sz w:val="22"/>
                <w:szCs w:val="22"/>
                <w:lang w:val="en-US"/>
              </w:rPr>
              <w:t>symptoms are:</w:t>
            </w:r>
            <w:r w:rsidR="001D083A">
              <w:rPr>
                <w:rStyle w:val="eop"/>
                <w:rFonts w:ascii="Arial" w:hAnsi="Arial" w:cs="Arial"/>
                <w:sz w:val="22"/>
                <w:szCs w:val="22"/>
              </w:rPr>
              <w:t> </w:t>
            </w:r>
          </w:p>
          <w:p w14:paraId="0829DDD8" w14:textId="77777777" w:rsidR="001D083A" w:rsidRDefault="001D083A" w:rsidP="00034B1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2"/>
                <w:szCs w:val="22"/>
                <w:lang w:val="en-US"/>
              </w:rPr>
              <w:t> </w:t>
            </w:r>
            <w:r>
              <w:rPr>
                <w:rStyle w:val="normaltextrun"/>
                <w:rFonts w:ascii="Arial" w:eastAsiaTheme="majorEastAsia" w:hAnsi="Arial" w:cs="Arial"/>
                <w:b/>
                <w:bCs/>
                <w:sz w:val="22"/>
                <w:szCs w:val="22"/>
                <w:lang w:val="en-US"/>
              </w:rPr>
              <w:t> Physical symptoms:</w:t>
            </w:r>
            <w:r>
              <w:rPr>
                <w:rStyle w:val="eop"/>
                <w:rFonts w:ascii="Arial" w:hAnsi="Arial" w:cs="Arial"/>
                <w:sz w:val="22"/>
                <w:szCs w:val="22"/>
              </w:rPr>
              <w:t> </w:t>
            </w:r>
          </w:p>
          <w:p w14:paraId="49306D4D"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Markedly low body weight or BMI</w:t>
            </w:r>
            <w:r>
              <w:rPr>
                <w:rStyle w:val="eop"/>
                <w:rFonts w:ascii="Arial" w:hAnsi="Arial" w:cs="Arial"/>
                <w:sz w:val="22"/>
                <w:szCs w:val="22"/>
              </w:rPr>
              <w:t> </w:t>
            </w:r>
          </w:p>
          <w:p w14:paraId="61DE07E6"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Tiredness, lightheadedness, and feeling chilly</w:t>
            </w:r>
            <w:r>
              <w:rPr>
                <w:rStyle w:val="eop"/>
                <w:rFonts w:ascii="Arial" w:hAnsi="Arial" w:cs="Arial"/>
                <w:sz w:val="22"/>
                <w:szCs w:val="22"/>
              </w:rPr>
              <w:t> </w:t>
            </w:r>
          </w:p>
          <w:p w14:paraId="1DE1F619"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Thinning hair or hair loss, dry skin</w:t>
            </w:r>
            <w:r>
              <w:rPr>
                <w:rStyle w:val="eop"/>
                <w:rFonts w:ascii="Arial" w:hAnsi="Arial" w:cs="Arial"/>
                <w:sz w:val="22"/>
                <w:szCs w:val="22"/>
              </w:rPr>
              <w:t> </w:t>
            </w:r>
          </w:p>
          <w:p w14:paraId="00AAD402"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Irregular or missing menstrual cycles</w:t>
            </w:r>
            <w:r>
              <w:rPr>
                <w:rStyle w:val="eop"/>
                <w:rFonts w:ascii="Arial" w:hAnsi="Arial" w:cs="Arial"/>
                <w:sz w:val="22"/>
                <w:szCs w:val="22"/>
              </w:rPr>
              <w:t> </w:t>
            </w:r>
          </w:p>
          <w:p w14:paraId="349409AC"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Digestive problems (e.g. constipation, bloating)</w:t>
            </w:r>
            <w:r>
              <w:rPr>
                <w:rStyle w:val="eop"/>
                <w:rFonts w:ascii="Arial" w:hAnsi="Arial" w:cs="Arial"/>
                <w:sz w:val="22"/>
                <w:szCs w:val="22"/>
              </w:rPr>
              <w:t> </w:t>
            </w:r>
          </w:p>
          <w:p w14:paraId="2E43E720"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w:t>
            </w:r>
            <w:r>
              <w:rPr>
                <w:rStyle w:val="normaltextrun"/>
                <w:rFonts w:ascii="Arial" w:eastAsiaTheme="majorEastAsia" w:hAnsi="Arial" w:cs="Arial"/>
                <w:b/>
                <w:bCs/>
                <w:sz w:val="22"/>
                <w:szCs w:val="22"/>
                <w:lang w:val="en-US"/>
              </w:rPr>
              <w:t>Psychological symptoms:</w:t>
            </w:r>
            <w:r>
              <w:rPr>
                <w:rStyle w:val="eop"/>
                <w:rFonts w:ascii="Arial" w:hAnsi="Arial" w:cs="Arial"/>
                <w:sz w:val="22"/>
                <w:szCs w:val="22"/>
              </w:rPr>
              <w:t> </w:t>
            </w:r>
          </w:p>
          <w:p w14:paraId="7E067B38"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Overwhelming fear of gaining weight</w:t>
            </w:r>
            <w:r>
              <w:rPr>
                <w:rStyle w:val="eop"/>
                <w:rFonts w:ascii="Arial" w:hAnsi="Arial" w:cs="Arial"/>
                <w:sz w:val="22"/>
                <w:szCs w:val="22"/>
              </w:rPr>
              <w:t> </w:t>
            </w:r>
          </w:p>
          <w:p w14:paraId="59B20B91"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p>
          <w:p w14:paraId="1E72916B"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lastRenderedPageBreak/>
              <w:t>•  Distorted perception of body image (thinking one is overweight despite being underweight)</w:t>
            </w:r>
            <w:r>
              <w:rPr>
                <w:rStyle w:val="eop"/>
                <w:rFonts w:ascii="Arial" w:hAnsi="Arial" w:cs="Arial"/>
                <w:sz w:val="22"/>
                <w:szCs w:val="22"/>
              </w:rPr>
              <w:t> </w:t>
            </w:r>
          </w:p>
          <w:p w14:paraId="2C41843F"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Obsessive preoccupation with food, calorie intake, and body shape</w:t>
            </w:r>
            <w:r>
              <w:rPr>
                <w:rStyle w:val="eop"/>
                <w:rFonts w:ascii="Arial" w:hAnsi="Arial" w:cs="Arial"/>
                <w:sz w:val="22"/>
                <w:szCs w:val="22"/>
              </w:rPr>
              <w:t> </w:t>
            </w:r>
          </w:p>
          <w:p w14:paraId="687B3E93"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b/>
                <w:bCs/>
                <w:sz w:val="22"/>
                <w:szCs w:val="22"/>
                <w:lang w:val="en-US"/>
              </w:rPr>
              <w:t> Behavioral symptoms:</w:t>
            </w:r>
            <w:r>
              <w:rPr>
                <w:rStyle w:val="eop"/>
                <w:rFonts w:ascii="Arial" w:hAnsi="Arial" w:cs="Arial"/>
                <w:sz w:val="22"/>
                <w:szCs w:val="22"/>
              </w:rPr>
              <w:t> </w:t>
            </w:r>
          </w:p>
          <w:p w14:paraId="5B1C7780"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Skipping meals or consuming very little</w:t>
            </w:r>
            <w:r>
              <w:rPr>
                <w:rStyle w:val="eop"/>
                <w:rFonts w:ascii="Arial" w:hAnsi="Arial" w:cs="Arial"/>
                <w:sz w:val="22"/>
                <w:szCs w:val="22"/>
              </w:rPr>
              <w:t> </w:t>
            </w:r>
          </w:p>
          <w:p w14:paraId="6E214B21"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Steering clear of foods considered fattening</w:t>
            </w:r>
            <w:r>
              <w:rPr>
                <w:rStyle w:val="eop"/>
                <w:rFonts w:ascii="Arial" w:hAnsi="Arial" w:cs="Arial"/>
                <w:sz w:val="22"/>
                <w:szCs w:val="22"/>
              </w:rPr>
              <w:t> </w:t>
            </w:r>
          </w:p>
          <w:p w14:paraId="0E4C24D5"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Excessive exercising or purging (vomiting, laxatives, diuretics)</w:t>
            </w:r>
            <w:r>
              <w:rPr>
                <w:rStyle w:val="eop"/>
                <w:rFonts w:ascii="Arial" w:hAnsi="Arial" w:cs="Arial"/>
                <w:sz w:val="22"/>
                <w:szCs w:val="22"/>
              </w:rPr>
              <w:t> </w:t>
            </w:r>
          </w:p>
          <w:p w14:paraId="1A2DABF7"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Wearing loose-fitting clothing to conceal weight loss</w:t>
            </w:r>
            <w:r>
              <w:rPr>
                <w:rStyle w:val="eop"/>
                <w:rFonts w:ascii="Arial" w:hAnsi="Arial" w:cs="Arial"/>
                <w:sz w:val="22"/>
                <w:szCs w:val="22"/>
              </w:rPr>
              <w:t> </w:t>
            </w:r>
          </w:p>
          <w:p w14:paraId="652AD920" w14:textId="77777777"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  Deceiving others about food consumption or weight (NHS inform, 2024)</w:t>
            </w:r>
            <w:r>
              <w:rPr>
                <w:rStyle w:val="eop"/>
                <w:rFonts w:ascii="Arial" w:hAnsi="Arial" w:cs="Arial"/>
                <w:sz w:val="22"/>
                <w:szCs w:val="22"/>
              </w:rPr>
              <w:t> </w:t>
            </w:r>
          </w:p>
          <w:p w14:paraId="37D89BE2" w14:textId="14138C3B" w:rsidR="001D083A" w:rsidRDefault="001D083A" w:rsidP="00034B12">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eastAsiaTheme="majorEastAsia" w:hAnsi="Arial" w:cs="Arial"/>
                <w:sz w:val="22"/>
                <w:szCs w:val="22"/>
                <w:lang w:val="en-US"/>
              </w:rPr>
              <w:t>These symptoms can differ in intensity and manifestation. Some people may not seem underweight but still face significant psychological and behavioral issues; this condition is referred to as atypical anorexia (Beat eating disorders, 2023)</w:t>
            </w:r>
            <w:r w:rsidR="001A673E">
              <w:rPr>
                <w:rStyle w:val="normaltextrun"/>
                <w:rFonts w:ascii="Arial" w:eastAsiaTheme="majorEastAsia" w:hAnsi="Arial" w:cs="Arial"/>
                <w:sz w:val="22"/>
                <w:szCs w:val="22"/>
                <w:lang w:val="en-US"/>
              </w:rPr>
              <w:t>.</w:t>
            </w:r>
            <w:r>
              <w:rPr>
                <w:rStyle w:val="eop"/>
                <w:rFonts w:ascii="Arial" w:hAnsi="Arial" w:cs="Arial"/>
                <w:sz w:val="22"/>
                <w:szCs w:val="22"/>
              </w:rPr>
              <w:t> </w:t>
            </w:r>
          </w:p>
          <w:p w14:paraId="7E37E7EB" w14:textId="0BE0FF3A" w:rsidR="007C4367" w:rsidRDefault="007C4367" w:rsidP="00034B12">
            <w:pPr>
              <w:pStyle w:val="paragraph"/>
              <w:spacing w:before="0" w:beforeAutospacing="0" w:after="0" w:afterAutospacing="0" w:line="360" w:lineRule="auto"/>
              <w:jc w:val="both"/>
              <w:textAlignment w:val="baseline"/>
              <w:rPr>
                <w:rFonts w:ascii="Segoe UI" w:hAnsi="Segoe UI" w:cs="Segoe UI"/>
                <w:sz w:val="18"/>
                <w:szCs w:val="18"/>
              </w:rPr>
            </w:pPr>
          </w:p>
          <w:p w14:paraId="68D5146D" w14:textId="77777777" w:rsidR="00535C9F" w:rsidRPr="007C4367" w:rsidRDefault="00535C9F" w:rsidP="00034B12">
            <w:pPr>
              <w:pStyle w:val="Heading1"/>
              <w:spacing w:line="360" w:lineRule="auto"/>
              <w:rPr>
                <w:rFonts w:ascii="Arial" w:hAnsi="Arial" w:cs="Arial"/>
                <w:color w:val="000000" w:themeColor="text1"/>
                <w:sz w:val="24"/>
                <w:szCs w:val="24"/>
                <w:lang w:val="en-GB"/>
              </w:rPr>
            </w:pPr>
          </w:p>
          <w:p w14:paraId="6686579C" w14:textId="77777777" w:rsidR="001A673E" w:rsidRDefault="001A673E" w:rsidP="00034B12">
            <w:pPr>
              <w:pStyle w:val="Heading1"/>
              <w:spacing w:line="360" w:lineRule="auto"/>
              <w:rPr>
                <w:rFonts w:ascii="Arial" w:hAnsi="Arial" w:cs="Arial"/>
                <w:color w:val="000000" w:themeColor="text1"/>
                <w:sz w:val="24"/>
                <w:szCs w:val="24"/>
              </w:rPr>
            </w:pPr>
          </w:p>
          <w:p w14:paraId="73C238E6" w14:textId="77777777" w:rsidR="001A673E" w:rsidRDefault="001A673E" w:rsidP="00034B12">
            <w:pPr>
              <w:pStyle w:val="Heading1"/>
              <w:spacing w:line="360" w:lineRule="auto"/>
              <w:rPr>
                <w:rFonts w:ascii="Arial" w:hAnsi="Arial" w:cs="Arial"/>
                <w:color w:val="000000" w:themeColor="text1"/>
                <w:sz w:val="24"/>
                <w:szCs w:val="24"/>
              </w:rPr>
            </w:pPr>
          </w:p>
          <w:p w14:paraId="1F9B8F03" w14:textId="3350CCF2" w:rsidR="00535C9F" w:rsidRPr="004D2A07" w:rsidRDefault="00535C9F" w:rsidP="00034B12">
            <w:pPr>
              <w:pStyle w:val="Heading1"/>
              <w:spacing w:line="360" w:lineRule="auto"/>
              <w:rPr>
                <w:rFonts w:ascii="Arial" w:hAnsi="Arial" w:cs="Arial"/>
                <w:color w:val="000000" w:themeColor="text1"/>
                <w:sz w:val="24"/>
                <w:szCs w:val="24"/>
              </w:rPr>
            </w:pPr>
            <w:r w:rsidRPr="004D2A07">
              <w:rPr>
                <w:rFonts w:ascii="Arial" w:hAnsi="Arial" w:cs="Arial"/>
                <w:color w:val="000000" w:themeColor="text1"/>
                <w:sz w:val="24"/>
                <w:szCs w:val="24"/>
              </w:rPr>
              <w:lastRenderedPageBreak/>
              <w:t xml:space="preserve">Diagnosis </w:t>
            </w:r>
          </w:p>
          <w:p w14:paraId="7CE5EB7E" w14:textId="77777777" w:rsidR="008560B6" w:rsidRDefault="005A0A2A" w:rsidP="00034B12">
            <w:pPr>
              <w:pStyle w:val="paragraph"/>
              <w:spacing w:before="0" w:beforeAutospacing="0" w:after="0" w:afterAutospacing="0" w:line="360" w:lineRule="auto"/>
              <w:jc w:val="both"/>
              <w:textAlignment w:val="baseline"/>
              <w:rPr>
                <w:rFonts w:ascii="Segoe UI" w:hAnsi="Segoe UI" w:cs="Segoe UI"/>
                <w:sz w:val="18"/>
                <w:szCs w:val="18"/>
              </w:rPr>
            </w:pPr>
            <w:r w:rsidRPr="005A0A2A">
              <w:rPr>
                <w:rStyle w:val="normaltextrun"/>
                <w:rFonts w:ascii="Arial" w:hAnsi="Arial"/>
                <w:color w:val="000000"/>
                <w:shd w:val="clear" w:color="auto" w:fill="FFFFFF"/>
              </w:rPr>
              <w:t>Anorexia nervosa is identified through a mix of clinical evaluation, physical examination, and psychological assessment, following established diagnostic guidelines. As per the DSM-5 (American Psychiatric Association, 2013), a diagnosis necessitates proof of limited energy intake resulting in significantly low body weight, a profound fear of weight gain, and a distorted perception of body image. The ICD-11 (World Health Organization, 2022) also characterizes anorexia by low body weight, an excessive focus on body shape, and behaviors like food restriction or purging, with BMI cutoffs of &lt;18.5 kg/m² for adults or below the 5th percentile for children. In the UK, the NHS and NICE advocate for a multidisciplinary</w:t>
            </w:r>
            <w:r w:rsidR="008560B6">
              <w:rPr>
                <w:rStyle w:val="normaltextrun"/>
                <w:rFonts w:ascii="Arial" w:hAnsi="Arial"/>
                <w:color w:val="000000"/>
                <w:shd w:val="clear" w:color="auto" w:fill="FFFFFF"/>
              </w:rPr>
              <w:t xml:space="preserve"> </w:t>
            </w:r>
            <w:r w:rsidR="008560B6">
              <w:rPr>
                <w:rStyle w:val="normaltextrun"/>
                <w:rFonts w:ascii="Arial" w:eastAsiaTheme="majorEastAsia" w:hAnsi="Arial" w:cs="Arial"/>
                <w:sz w:val="22"/>
                <w:szCs w:val="22"/>
                <w:lang w:val="en-US"/>
              </w:rPr>
              <w:t xml:space="preserve">strategy that includes GPs, mental health experts, and dietitians. The diagnostic process encompasses medical history, BMI evaluation, blood tests, ECGs, and psychological assessments to </w:t>
            </w:r>
            <w:r w:rsidR="008560B6">
              <w:rPr>
                <w:rStyle w:val="normaltextrun"/>
                <w:rFonts w:ascii="Arial" w:eastAsiaTheme="majorEastAsia" w:hAnsi="Arial" w:cs="Arial"/>
                <w:sz w:val="22"/>
                <w:szCs w:val="22"/>
                <w:lang w:val="en-US"/>
              </w:rPr>
              <w:lastRenderedPageBreak/>
              <w:t>recognize both standard and atypical cases (NHS, 2024) (NICE, 2017) (Team, 2025).</w:t>
            </w:r>
            <w:r w:rsidR="008560B6">
              <w:rPr>
                <w:rStyle w:val="eop"/>
                <w:rFonts w:ascii="Arial" w:hAnsi="Arial" w:cs="Arial"/>
                <w:sz w:val="22"/>
                <w:szCs w:val="22"/>
              </w:rPr>
              <w:t> </w:t>
            </w:r>
          </w:p>
          <w:p w14:paraId="1B884194" w14:textId="77777777" w:rsidR="008560B6" w:rsidRDefault="008560B6" w:rsidP="00034B12">
            <w:pPr>
              <w:pStyle w:val="paragraph"/>
              <w:spacing w:before="0" w:beforeAutospacing="0" w:after="0" w:afterAutospacing="0" w:line="360" w:lineRule="auto"/>
              <w:jc w:val="both"/>
              <w:textAlignment w:val="baseline"/>
              <w:rPr>
                <w:rStyle w:val="eop"/>
                <w:rFonts w:ascii="Century Schoolbook" w:hAnsi="Century Schoolbook" w:cs="Segoe UI"/>
                <w:sz w:val="22"/>
                <w:szCs w:val="22"/>
              </w:rPr>
            </w:pPr>
            <w:r>
              <w:rPr>
                <w:rStyle w:val="eop"/>
                <w:rFonts w:ascii="Century Schoolbook" w:hAnsi="Century Schoolbook" w:cs="Segoe UI"/>
                <w:sz w:val="22"/>
                <w:szCs w:val="22"/>
              </w:rPr>
              <w:t> </w:t>
            </w:r>
          </w:p>
          <w:p w14:paraId="459321EA" w14:textId="77777777" w:rsidR="008904B6" w:rsidRDefault="008904B6" w:rsidP="00034B12">
            <w:pPr>
              <w:pStyle w:val="paragraph"/>
              <w:spacing w:before="0" w:beforeAutospacing="0" w:after="0" w:afterAutospacing="0" w:line="360" w:lineRule="auto"/>
              <w:jc w:val="both"/>
              <w:textAlignment w:val="baseline"/>
              <w:rPr>
                <w:rStyle w:val="eop"/>
                <w:rFonts w:ascii="Century Schoolbook" w:hAnsi="Century Schoolbook"/>
                <w:sz w:val="22"/>
                <w:szCs w:val="22"/>
              </w:rPr>
            </w:pPr>
          </w:p>
          <w:p w14:paraId="76A667D6" w14:textId="77777777" w:rsidR="008904B6" w:rsidRDefault="008904B6" w:rsidP="00034B12">
            <w:pPr>
              <w:pStyle w:val="paragraph"/>
              <w:spacing w:before="0" w:beforeAutospacing="0" w:after="0" w:afterAutospacing="0" w:line="360" w:lineRule="auto"/>
              <w:jc w:val="both"/>
              <w:textAlignment w:val="baseline"/>
              <w:rPr>
                <w:rFonts w:ascii="Segoe UI" w:hAnsi="Segoe UI" w:cs="Segoe UI"/>
                <w:sz w:val="18"/>
                <w:szCs w:val="18"/>
              </w:rPr>
            </w:pPr>
          </w:p>
          <w:p w14:paraId="29FA72E1" w14:textId="5B4CD3DF" w:rsidR="00535C9F" w:rsidRPr="008560B6" w:rsidRDefault="005F7B51" w:rsidP="00034B12">
            <w:pPr>
              <w:spacing w:line="360" w:lineRule="auto"/>
              <w:jc w:val="both"/>
              <w:rPr>
                <w:sz w:val="24"/>
                <w:szCs w:val="24"/>
                <w:lang w:val="en-GB"/>
              </w:rPr>
            </w:pPr>
            <w:r>
              <w:rPr>
                <w:rStyle w:val="wacimagecontainer"/>
                <w:rFonts w:ascii="Segoe UI" w:hAnsi="Segoe UI" w:cs="Segoe UI"/>
                <w:sz w:val="18"/>
                <w:szCs w:val="18"/>
              </w:rPr>
              <w:drawing>
                <wp:inline distT="0" distB="0" distL="0" distR="0" wp14:anchorId="2D68E6D5" wp14:editId="2C6C4489">
                  <wp:extent cx="3067050" cy="1841500"/>
                  <wp:effectExtent l="0" t="0" r="0" b="6350"/>
                  <wp:docPr id="9127387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67050" cy="1841500"/>
                          </a:xfrm>
                          <a:prstGeom prst="rect">
                            <a:avLst/>
                          </a:prstGeom>
                          <a:noFill/>
                          <a:ln>
                            <a:noFill/>
                          </a:ln>
                        </pic:spPr>
                      </pic:pic>
                    </a:graphicData>
                  </a:graphic>
                </wp:inline>
              </w:drawing>
            </w:r>
          </w:p>
          <w:p w14:paraId="225620ED" w14:textId="77777777" w:rsidR="00194B69" w:rsidRDefault="00194B69" w:rsidP="00194B69">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2C3E50"/>
                <w:sz w:val="22"/>
                <w:szCs w:val="22"/>
              </w:rPr>
              <w:t>(Long, 2022)</w:t>
            </w:r>
            <w:r>
              <w:rPr>
                <w:rStyle w:val="eop"/>
                <w:rFonts w:ascii="Arial" w:hAnsi="Arial" w:cs="Arial"/>
                <w:color w:val="2C3E50"/>
                <w:sz w:val="22"/>
                <w:szCs w:val="22"/>
              </w:rPr>
              <w:t> </w:t>
            </w:r>
          </w:p>
          <w:p w14:paraId="6C24B37D" w14:textId="77777777" w:rsidR="00535C9F" w:rsidRPr="00EB6F36" w:rsidRDefault="00535C9F" w:rsidP="00034B12">
            <w:pPr>
              <w:spacing w:line="360" w:lineRule="auto"/>
              <w:rPr>
                <w:rFonts w:ascii="Arial" w:hAnsi="Arial" w:cs="Arial"/>
                <w:noProof/>
              </w:rPr>
            </w:pPr>
          </w:p>
        </w:tc>
        <w:tc>
          <w:tcPr>
            <w:tcW w:w="360" w:type="dxa"/>
            <w:vMerge/>
          </w:tcPr>
          <w:p w14:paraId="5706C323" w14:textId="77777777" w:rsidR="00535C9F" w:rsidRPr="00EB6F36" w:rsidRDefault="00535C9F" w:rsidP="00B67824">
            <w:pPr>
              <w:rPr>
                <w:rFonts w:ascii="Arial" w:hAnsi="Arial" w:cs="Arial"/>
                <w:noProof/>
              </w:rPr>
            </w:pPr>
          </w:p>
        </w:tc>
        <w:tc>
          <w:tcPr>
            <w:tcW w:w="4587" w:type="dxa"/>
            <w:vMerge/>
          </w:tcPr>
          <w:p w14:paraId="3978F1F4" w14:textId="77777777" w:rsidR="00535C9F" w:rsidRPr="00EB6F36" w:rsidRDefault="00535C9F" w:rsidP="004642F0">
            <w:pPr>
              <w:rPr>
                <w:rFonts w:ascii="Arial" w:hAnsi="Arial" w:cs="Arial"/>
                <w:sz w:val="21"/>
              </w:rPr>
            </w:pPr>
          </w:p>
        </w:tc>
      </w:tr>
    </w:tbl>
    <w:p w14:paraId="68CBB0D8" w14:textId="77777777" w:rsidR="008904B6" w:rsidRDefault="008904B6" w:rsidP="00C46111"/>
    <w:p w14:paraId="2DA702DA" w14:textId="77777777" w:rsidR="008904B6" w:rsidRDefault="008904B6" w:rsidP="00C46111"/>
    <w:p w14:paraId="5A330484" w14:textId="77777777" w:rsidR="008904B6" w:rsidRDefault="008904B6" w:rsidP="00C46111"/>
    <w:p w14:paraId="47C54935" w14:textId="77777777" w:rsidR="008904B6" w:rsidRDefault="008904B6" w:rsidP="00C46111"/>
    <w:p w14:paraId="01B36190" w14:textId="77777777" w:rsidR="008904B6" w:rsidRDefault="008904B6" w:rsidP="00C46111"/>
    <w:p w14:paraId="32B972BF" w14:textId="77777777" w:rsidR="008904B6" w:rsidRDefault="008904B6" w:rsidP="00C46111"/>
    <w:p w14:paraId="686301F6" w14:textId="77777777" w:rsidR="008904B6" w:rsidRDefault="008904B6" w:rsidP="00C46111"/>
    <w:p w14:paraId="2C0E8CAD" w14:textId="77777777" w:rsidR="008904B6" w:rsidRDefault="008904B6" w:rsidP="00C46111"/>
    <w:p w14:paraId="7DB4A1CB" w14:textId="77777777" w:rsidR="008904B6" w:rsidRDefault="008904B6" w:rsidP="00C46111"/>
    <w:p w14:paraId="489BBCE1" w14:textId="4537834B" w:rsidR="00ED1049" w:rsidRDefault="00ED1049" w:rsidP="00C46111">
      <w:pPr>
        <w:rPr>
          <w:rFonts w:ascii="Arial" w:hAnsi="Arial" w:cs="Arial"/>
          <w:b/>
          <w:bCs/>
          <w:sz w:val="24"/>
          <w:szCs w:val="24"/>
        </w:rPr>
      </w:pPr>
      <w:r w:rsidRPr="004D2A07">
        <w:rPr>
          <w:rFonts w:ascii="Arial" w:hAnsi="Arial" w:cs="Arial"/>
          <w:b/>
          <w:bCs/>
          <w:sz w:val="24"/>
          <w:szCs w:val="24"/>
        </w:rPr>
        <w:lastRenderedPageBreak/>
        <w:t>References</w:t>
      </w:r>
    </w:p>
    <w:p w14:paraId="5D22FAAF"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Academic Library. (2025). History of the Treatment of Anorexia. Available at: </w:t>
      </w:r>
      <w:hyperlink r:id="rId25" w:tgtFrame="_blank" w:history="1">
        <w:r w:rsidRPr="001201DF">
          <w:rPr>
            <w:rStyle w:val="normaltextrun"/>
            <w:rFonts w:ascii="Arial" w:eastAsiaTheme="majorEastAsia" w:hAnsi="Arial" w:cs="Arial"/>
            <w:color w:val="0563C1"/>
            <w:sz w:val="22"/>
            <w:szCs w:val="22"/>
            <w:u w:val="single"/>
            <w:lang w:val="en-US"/>
          </w:rPr>
          <w:t>https://ebrary.net/238437/sociology/history_treatment_anorexia</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21F7EF62"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w:t>
      </w:r>
      <w:proofErr w:type="spellStart"/>
      <w:r w:rsidRPr="001201DF">
        <w:rPr>
          <w:rStyle w:val="normaltextrun"/>
          <w:rFonts w:ascii="Arial" w:eastAsiaTheme="majorEastAsia" w:hAnsi="Arial" w:cs="Arial"/>
          <w:sz w:val="22"/>
          <w:szCs w:val="22"/>
          <w:lang w:val="en-US"/>
        </w:rPr>
        <w:t>Alamy</w:t>
      </w:r>
      <w:proofErr w:type="spellEnd"/>
      <w:r w:rsidRPr="001201DF">
        <w:rPr>
          <w:rStyle w:val="normaltextrun"/>
          <w:rFonts w:ascii="Arial" w:eastAsiaTheme="majorEastAsia" w:hAnsi="Arial" w:cs="Arial"/>
          <w:sz w:val="22"/>
          <w:szCs w:val="22"/>
          <w:lang w:val="en-US"/>
        </w:rPr>
        <w:t> Limited (2018). Anorexia illustrated with Classification. Two types: Binge-Eating/Purge and Restrictive Eating Disorder. Available at: </w:t>
      </w:r>
      <w:hyperlink r:id="rId26" w:tgtFrame="_blank" w:history="1">
        <w:r w:rsidRPr="001201DF">
          <w:rPr>
            <w:rStyle w:val="normaltextrun"/>
            <w:rFonts w:ascii="Arial" w:eastAsiaTheme="majorEastAsia" w:hAnsi="Arial" w:cs="Arial"/>
            <w:color w:val="0563C1"/>
            <w:sz w:val="22"/>
            <w:szCs w:val="22"/>
            <w:u w:val="single"/>
            <w:lang w:val="en-US"/>
          </w:rPr>
          <w:t>https://www.alamy.com/anorexia-illustrated-with-classification-two-types-binge-eatingpurge-and-restrictive-eating-disorder-image224226879.html</w:t>
        </w:r>
      </w:hyperlink>
      <w:r w:rsidRPr="001201DF">
        <w:rPr>
          <w:rStyle w:val="normaltextrun"/>
          <w:rFonts w:ascii="Arial" w:eastAsiaTheme="majorEastAsia" w:hAnsi="Arial" w:cs="Arial"/>
          <w:sz w:val="22"/>
          <w:szCs w:val="22"/>
          <w:lang w:val="en-US"/>
        </w:rPr>
        <w:t> [Accessed 11 Nov. 2025] </w:t>
      </w:r>
      <w:r w:rsidRPr="001201DF">
        <w:rPr>
          <w:rStyle w:val="eop"/>
          <w:rFonts w:ascii="Arial" w:hAnsi="Arial" w:cs="Arial"/>
          <w:sz w:val="22"/>
          <w:szCs w:val="22"/>
        </w:rPr>
        <w:t> </w:t>
      </w:r>
    </w:p>
    <w:p w14:paraId="3FA733FB"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w:t>
      </w:r>
      <w:proofErr w:type="spellStart"/>
      <w:r w:rsidRPr="001201DF">
        <w:rPr>
          <w:rStyle w:val="normaltextrun"/>
          <w:rFonts w:ascii="Arial" w:eastAsiaTheme="majorEastAsia" w:hAnsi="Arial" w:cs="Arial"/>
          <w:sz w:val="22"/>
          <w:szCs w:val="22"/>
          <w:lang w:val="en-US"/>
        </w:rPr>
        <w:t>Alamy</w:t>
      </w:r>
      <w:proofErr w:type="spellEnd"/>
      <w:r w:rsidRPr="001201DF">
        <w:rPr>
          <w:rStyle w:val="normaltextrun"/>
          <w:rFonts w:ascii="Arial" w:eastAsiaTheme="majorEastAsia" w:hAnsi="Arial" w:cs="Arial"/>
          <w:sz w:val="22"/>
          <w:szCs w:val="22"/>
          <w:lang w:val="en-US"/>
        </w:rPr>
        <w:t> Limited (2025). 139 Anorexia case 1900. Available at: </w:t>
      </w:r>
      <w:hyperlink r:id="rId27" w:tgtFrame="_blank" w:history="1">
        <w:r w:rsidRPr="001201DF">
          <w:rPr>
            <w:rStyle w:val="normaltextrun"/>
            <w:rFonts w:ascii="Arial" w:eastAsiaTheme="majorEastAsia" w:hAnsi="Arial" w:cs="Arial"/>
            <w:color w:val="0563C1"/>
            <w:sz w:val="22"/>
            <w:szCs w:val="22"/>
            <w:u w:val="single"/>
            <w:lang w:val="en-US"/>
          </w:rPr>
          <w:t>https://www.alamy.com/139-anorexia-case-1900-image212732306.html</w:t>
        </w:r>
      </w:hyperlink>
      <w:r w:rsidRPr="001201DF">
        <w:rPr>
          <w:rStyle w:val="normaltextrun"/>
          <w:rFonts w:ascii="Arial" w:eastAsiaTheme="majorEastAsia" w:hAnsi="Arial" w:cs="Arial"/>
          <w:sz w:val="22"/>
          <w:szCs w:val="22"/>
          <w:lang w:val="en-US"/>
        </w:rPr>
        <w:t> [Accessed 11 Nov. 2025]</w:t>
      </w:r>
      <w:r w:rsidRPr="001201DF">
        <w:rPr>
          <w:rStyle w:val="eop"/>
          <w:rFonts w:ascii="Arial" w:hAnsi="Arial" w:cs="Arial"/>
          <w:sz w:val="22"/>
          <w:szCs w:val="22"/>
        </w:rPr>
        <w:t> </w:t>
      </w:r>
    </w:p>
    <w:p w14:paraId="0C81F290"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Beat Eating Disorders (2023). Anorexia Nervosa. Available at: </w:t>
      </w:r>
      <w:hyperlink r:id="rId28" w:tgtFrame="_blank" w:history="1">
        <w:r w:rsidRPr="001201DF">
          <w:rPr>
            <w:rStyle w:val="normaltextrun"/>
            <w:rFonts w:ascii="Arial" w:eastAsiaTheme="majorEastAsia" w:hAnsi="Arial" w:cs="Arial"/>
            <w:color w:val="0563C1"/>
            <w:sz w:val="22"/>
            <w:szCs w:val="22"/>
            <w:u w:val="single"/>
            <w:lang w:val="en-US"/>
          </w:rPr>
          <w:t>https://www.beateatingdisorders.org.uk/get-information-and-support/about-eating-disorders/types/anorexia/</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704331A3"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Bence, S. (2022). How Eating Disorders Are Treated. Very well Health. Available at: </w:t>
      </w:r>
      <w:hyperlink r:id="rId29" w:tgtFrame="_blank" w:history="1">
        <w:r w:rsidRPr="001201DF">
          <w:rPr>
            <w:rStyle w:val="normaltextrun"/>
            <w:rFonts w:ascii="Arial" w:eastAsiaTheme="majorEastAsia" w:hAnsi="Arial" w:cs="Arial"/>
            <w:color w:val="0563C1"/>
            <w:sz w:val="22"/>
            <w:szCs w:val="22"/>
            <w:u w:val="single"/>
            <w:lang w:val="en-US"/>
          </w:rPr>
          <w:t>https://www.verywellhealth.com/eating-disorders-treatment-5112475</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5CD42450"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Church, J. (2020). What NOT to say to someone with an eating disorder. Opal </w:t>
      </w:r>
      <w:proofErr w:type="spellStart"/>
      <w:r w:rsidRPr="001201DF">
        <w:rPr>
          <w:rStyle w:val="normaltextrun"/>
          <w:rFonts w:ascii="Arial" w:eastAsiaTheme="majorEastAsia" w:hAnsi="Arial" w:cs="Arial"/>
          <w:sz w:val="22"/>
          <w:szCs w:val="22"/>
          <w:lang w:val="en-US"/>
        </w:rPr>
        <w:t>Food+Body</w:t>
      </w:r>
      <w:proofErr w:type="spellEnd"/>
      <w:r w:rsidRPr="001201DF">
        <w:rPr>
          <w:rStyle w:val="normaltextrun"/>
          <w:rFonts w:ascii="Arial" w:eastAsiaTheme="majorEastAsia" w:hAnsi="Arial" w:cs="Arial"/>
          <w:sz w:val="22"/>
          <w:szCs w:val="22"/>
          <w:lang w:val="en-US"/>
        </w:rPr>
        <w:t>. Available at: </w:t>
      </w:r>
      <w:hyperlink r:id="rId30" w:tgtFrame="_blank" w:history="1">
        <w:r w:rsidRPr="001201DF">
          <w:rPr>
            <w:rStyle w:val="normaltextrun"/>
            <w:rFonts w:ascii="Arial" w:eastAsiaTheme="majorEastAsia" w:hAnsi="Arial" w:cs="Arial"/>
            <w:color w:val="0563C1"/>
            <w:sz w:val="22"/>
            <w:szCs w:val="22"/>
            <w:u w:val="single"/>
            <w:lang w:val="en-US"/>
          </w:rPr>
          <w:t>https://opalfoodandbody.com/what-not-to-say-to-someone-with-an-eating-disorder/</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5181F2B1"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Cleveland Clinic (2024). Eating disorders: Anorexia. Available at: </w:t>
      </w:r>
      <w:hyperlink r:id="rId31" w:tgtFrame="_blank" w:history="1">
        <w:r w:rsidRPr="001201DF">
          <w:rPr>
            <w:rStyle w:val="normaltextrun"/>
            <w:rFonts w:ascii="Arial" w:eastAsiaTheme="majorEastAsia" w:hAnsi="Arial" w:cs="Arial"/>
            <w:color w:val="0563C1"/>
            <w:sz w:val="22"/>
            <w:szCs w:val="22"/>
            <w:u w:val="single"/>
            <w:lang w:val="en-US"/>
          </w:rPr>
          <w:t>https://my.clevelandclinic.org/health/diseases/9794-anorexia-nervosa</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01486425"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England, N. (2024). NHS England» Specialized Adult Eating Disorder Inpatient Service: Consultation Guide. Available at: </w:t>
      </w:r>
      <w:hyperlink r:id="rId32" w:tgtFrame="_blank" w:history="1">
        <w:r w:rsidRPr="001201DF">
          <w:rPr>
            <w:rStyle w:val="normaltextrun"/>
            <w:rFonts w:ascii="Arial" w:eastAsiaTheme="majorEastAsia" w:hAnsi="Arial" w:cs="Arial"/>
            <w:color w:val="0563C1"/>
            <w:sz w:val="22"/>
            <w:szCs w:val="22"/>
            <w:u w:val="single"/>
            <w:lang w:val="en-US"/>
          </w:rPr>
          <w:t>https://www.england.nhs.uk/long-read/specialised-adult-eating-disorder-inpatient-service-consultation-guide/</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51368BE0"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Fixsen, A. (2024). Anorexia Nervosa: The Making of the First Eating Disorder. In The Construction of Eating Disorders. SpringerLink. Available at: </w:t>
      </w:r>
      <w:hyperlink r:id="rId33" w:tgtFrame="_blank" w:history="1">
        <w:r w:rsidRPr="001201DF">
          <w:rPr>
            <w:rStyle w:val="normaltextrun"/>
            <w:rFonts w:ascii="Arial" w:eastAsiaTheme="majorEastAsia" w:hAnsi="Arial" w:cs="Arial"/>
            <w:color w:val="0563C1"/>
            <w:sz w:val="22"/>
            <w:szCs w:val="22"/>
            <w:u w:val="single"/>
            <w:lang w:val="en-US"/>
          </w:rPr>
          <w:t>https://link.springer.com/chapter/10.1007/978-3-031-70318-8_3</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34A0DF34"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Garcia-Burgos, D., Wilhelm, P., </w:t>
      </w:r>
      <w:proofErr w:type="spellStart"/>
      <w:r w:rsidRPr="001201DF">
        <w:rPr>
          <w:rStyle w:val="normaltextrun"/>
          <w:rFonts w:ascii="Arial" w:eastAsiaTheme="majorEastAsia" w:hAnsi="Arial" w:cs="Arial"/>
          <w:sz w:val="22"/>
          <w:szCs w:val="22"/>
          <w:lang w:val="en-US"/>
        </w:rPr>
        <w:t>Vögele</w:t>
      </w:r>
      <w:proofErr w:type="spellEnd"/>
      <w:r w:rsidRPr="001201DF">
        <w:rPr>
          <w:rStyle w:val="normaltextrun"/>
          <w:rFonts w:ascii="Arial" w:eastAsiaTheme="majorEastAsia" w:hAnsi="Arial" w:cs="Arial"/>
          <w:sz w:val="22"/>
          <w:szCs w:val="22"/>
          <w:lang w:val="en-US"/>
        </w:rPr>
        <w:t>, C. and Munsch, S. (2023). Food Restriction in Anorexia Nervosa in the Light of Modern Learning Theory: A Narrative Review. Behavioral Sciences, 13(2), p.96. </w:t>
      </w:r>
      <w:proofErr w:type="spellStart"/>
      <w:r w:rsidRPr="001201DF">
        <w:rPr>
          <w:rStyle w:val="normaltextrun"/>
          <w:rFonts w:ascii="Arial" w:eastAsiaTheme="majorEastAsia" w:hAnsi="Arial" w:cs="Arial"/>
          <w:sz w:val="22"/>
          <w:szCs w:val="22"/>
          <w:lang w:val="en-US"/>
        </w:rPr>
        <w:t>doi</w:t>
      </w:r>
      <w:proofErr w:type="spellEnd"/>
      <w:r w:rsidRPr="001201DF">
        <w:rPr>
          <w:rStyle w:val="normaltextrun"/>
          <w:rFonts w:ascii="Arial" w:eastAsiaTheme="majorEastAsia" w:hAnsi="Arial" w:cs="Arial"/>
          <w:sz w:val="22"/>
          <w:szCs w:val="22"/>
          <w:lang w:val="en-US"/>
        </w:rPr>
        <w:t>: </w:t>
      </w:r>
      <w:hyperlink r:id="rId34" w:tgtFrame="_blank" w:history="1">
        <w:r w:rsidRPr="001201DF">
          <w:rPr>
            <w:rStyle w:val="normaltextrun"/>
            <w:rFonts w:ascii="Arial" w:eastAsiaTheme="majorEastAsia" w:hAnsi="Arial" w:cs="Arial"/>
            <w:color w:val="0563C1"/>
            <w:sz w:val="22"/>
            <w:szCs w:val="22"/>
            <w:u w:val="single"/>
            <w:lang w:val="en-US"/>
          </w:rPr>
          <w:t>https://doi.org/10.3390/bs13020096</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1A9F9021"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Jade, H. (2017). Anorexia Nervosa - Symptoms, Causes, Statistics &amp; Treatment. Health Jade. Available at: </w:t>
      </w:r>
      <w:hyperlink r:id="rId35" w:tgtFrame="_blank" w:history="1">
        <w:r w:rsidRPr="001201DF">
          <w:rPr>
            <w:rStyle w:val="normaltextrun"/>
            <w:rFonts w:ascii="Arial" w:eastAsiaTheme="majorEastAsia" w:hAnsi="Arial" w:cs="Arial"/>
            <w:color w:val="0563C1"/>
            <w:sz w:val="22"/>
            <w:szCs w:val="22"/>
            <w:u w:val="single"/>
            <w:lang w:val="en-US"/>
          </w:rPr>
          <w:t>https://healthjade.net/anorexia-nervosa/</w:t>
        </w:r>
      </w:hyperlink>
      <w:r w:rsidRPr="001201DF">
        <w:rPr>
          <w:rStyle w:val="normaltextrun"/>
          <w:rFonts w:ascii="Arial" w:eastAsiaTheme="majorEastAsia" w:hAnsi="Arial" w:cs="Arial"/>
          <w:sz w:val="22"/>
          <w:szCs w:val="22"/>
          <w:lang w:val="en-US"/>
        </w:rPr>
        <w:t> [Accessed 28 Oct. 2025] </w:t>
      </w:r>
      <w:r w:rsidRPr="001201DF">
        <w:rPr>
          <w:rStyle w:val="eop"/>
          <w:rFonts w:ascii="Arial" w:hAnsi="Arial" w:cs="Arial"/>
          <w:sz w:val="22"/>
          <w:szCs w:val="22"/>
        </w:rPr>
        <w:t> </w:t>
      </w:r>
    </w:p>
    <w:p w14:paraId="76690B57"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kidshealth.org. (2025). A to Z: Anorexia Nervosa (for Parents) - Children’s Health Network. Available at: </w:t>
      </w:r>
      <w:hyperlink r:id="rId36" w:tgtFrame="_blank" w:history="1">
        <w:r w:rsidRPr="001201DF">
          <w:rPr>
            <w:rStyle w:val="normaltextrun"/>
            <w:rFonts w:ascii="Arial" w:eastAsiaTheme="majorEastAsia" w:hAnsi="Arial" w:cs="Arial"/>
            <w:color w:val="0563C1"/>
            <w:sz w:val="22"/>
            <w:szCs w:val="22"/>
            <w:u w:val="single"/>
            <w:lang w:val="en-US"/>
          </w:rPr>
          <w:t>https://kidshealth.org/ChildrensHealthNetwork/en/parents/az-anorexia.html</w:t>
        </w:r>
      </w:hyperlink>
      <w:r w:rsidRPr="001201DF">
        <w:rPr>
          <w:rStyle w:val="normaltextrun"/>
          <w:rFonts w:ascii="Arial" w:eastAsiaTheme="majorEastAsia" w:hAnsi="Arial" w:cs="Arial"/>
          <w:sz w:val="22"/>
          <w:szCs w:val="22"/>
          <w:lang w:val="en-US"/>
        </w:rPr>
        <w:t> [Accessed 15th November 2025] • Long, P. (2022). Eating Disorders Awareness Week. Innovative Trials. Available at: </w:t>
      </w:r>
      <w:hyperlink r:id="rId37" w:tgtFrame="_blank" w:history="1">
        <w:r w:rsidRPr="001201DF">
          <w:rPr>
            <w:rStyle w:val="normaltextrun"/>
            <w:rFonts w:ascii="Arial" w:eastAsiaTheme="majorEastAsia" w:hAnsi="Arial" w:cs="Arial"/>
            <w:color w:val="0563C1"/>
            <w:sz w:val="22"/>
            <w:szCs w:val="22"/>
            <w:u w:val="single"/>
            <w:lang w:val="en-US"/>
          </w:rPr>
          <w:t>https://innovativetrials.com/eating-disorders-awareness-week/</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36E50224"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lastRenderedPageBreak/>
        <w:t>Manifoldapp.org. (2017). 14. Eating Disorders in Children and Adolescents. Temple University Press. Available at: </w:t>
      </w:r>
      <w:hyperlink r:id="rId38" w:tgtFrame="_blank" w:history="1">
        <w:r w:rsidRPr="001201DF">
          <w:rPr>
            <w:rStyle w:val="normaltextrun"/>
            <w:rFonts w:ascii="Arial" w:eastAsiaTheme="majorEastAsia" w:hAnsi="Arial" w:cs="Arial"/>
            <w:color w:val="0563C1"/>
            <w:sz w:val="22"/>
            <w:szCs w:val="22"/>
            <w:u w:val="single"/>
            <w:lang w:val="en-US"/>
          </w:rPr>
          <w:t>https://temple.manifoldapp.org/read/a-developmental-systems-guide-for-child-and-adolescent-behavioral-health-practitioners-da7c780a-7f9d-4c6a-ad85-b6736f8df14f/section/d12c123a-6e74-468e-a562-5aeb990e64e5</w:t>
        </w:r>
      </w:hyperlink>
      <w:r w:rsidRPr="001201DF">
        <w:rPr>
          <w:rStyle w:val="normaltextrun"/>
          <w:rFonts w:ascii="Arial" w:eastAsiaTheme="majorEastAsia" w:hAnsi="Arial" w:cs="Arial"/>
          <w:sz w:val="22"/>
          <w:szCs w:val="22"/>
          <w:lang w:val="en-US"/>
        </w:rPr>
        <w:t> [Accessed 15 Nov. 2025] </w:t>
      </w:r>
      <w:r w:rsidRPr="001201DF">
        <w:rPr>
          <w:rStyle w:val="eop"/>
          <w:rFonts w:ascii="Arial" w:hAnsi="Arial" w:cs="Arial"/>
          <w:sz w:val="22"/>
          <w:szCs w:val="22"/>
        </w:rPr>
        <w:t> </w:t>
      </w:r>
    </w:p>
    <w:p w14:paraId="0A8FEA89"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Nguyen, T.T., &amp; Vu, H.X. (2024). Eating Disorders: A Historical Perspective and Analysis of Current Treatment Approaches. International Journal of Innovative Research in Multidisciplinary Education, 3(4), 513–519. Available at: </w:t>
      </w:r>
      <w:hyperlink r:id="rId39" w:tgtFrame="_blank" w:history="1">
        <w:r w:rsidRPr="001201DF">
          <w:rPr>
            <w:rStyle w:val="normaltextrun"/>
            <w:rFonts w:ascii="Arial" w:eastAsiaTheme="majorEastAsia" w:hAnsi="Arial" w:cs="Arial"/>
            <w:color w:val="0563C1"/>
            <w:sz w:val="22"/>
            <w:szCs w:val="22"/>
            <w:u w:val="single"/>
            <w:lang w:val="en-US"/>
          </w:rPr>
          <w:t>https://www.ijirme.com/v3i4/Doc/7.pdf</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4E2539DF" w14:textId="36FCFDC5"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NHS (2021). Symptoms - Anorexia. Available at: </w:t>
      </w:r>
      <w:hyperlink r:id="rId40" w:tgtFrame="_blank" w:history="1">
        <w:r w:rsidRPr="001201DF">
          <w:rPr>
            <w:rStyle w:val="normaltextrun"/>
            <w:rFonts w:ascii="Arial" w:eastAsiaTheme="majorEastAsia" w:hAnsi="Arial" w:cs="Arial"/>
            <w:color w:val="0563C1"/>
            <w:sz w:val="22"/>
            <w:szCs w:val="22"/>
            <w:u w:val="single"/>
            <w:lang w:val="en-US"/>
          </w:rPr>
          <w:t>https://www.nhs.uk/mental-health/conditions/anorexia/symptoms/</w:t>
        </w:r>
      </w:hyperlink>
      <w:r w:rsidRPr="001201DF">
        <w:rPr>
          <w:rStyle w:val="normaltextrun"/>
          <w:rFonts w:ascii="Arial" w:eastAsiaTheme="majorEastAsia" w:hAnsi="Arial" w:cs="Arial"/>
          <w:sz w:val="22"/>
          <w:szCs w:val="22"/>
          <w:lang w:val="en-US"/>
        </w:rPr>
        <w:t> [Accessed 15th November 2025]  NHS (2021). Treatment - Anorexia. Available at: </w:t>
      </w:r>
      <w:hyperlink r:id="rId41" w:tgtFrame="_blank" w:history="1">
        <w:r w:rsidRPr="001201DF">
          <w:rPr>
            <w:rStyle w:val="normaltextrun"/>
            <w:rFonts w:ascii="Arial" w:eastAsiaTheme="majorEastAsia" w:hAnsi="Arial" w:cs="Arial"/>
            <w:color w:val="0563C1"/>
            <w:sz w:val="22"/>
            <w:szCs w:val="22"/>
            <w:u w:val="single"/>
            <w:lang w:val="en-US"/>
          </w:rPr>
          <w:t>https://www.nhs.uk/mental-health/conditions/anorexia/treatment/</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052A1162"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NHS (2024). Overview - Anorexia. Available at: </w:t>
      </w:r>
      <w:hyperlink r:id="rId42" w:tgtFrame="_blank" w:history="1">
        <w:r w:rsidRPr="001201DF">
          <w:rPr>
            <w:rStyle w:val="normaltextrun"/>
            <w:rFonts w:ascii="Arial" w:eastAsiaTheme="majorEastAsia" w:hAnsi="Arial" w:cs="Arial"/>
            <w:color w:val="0563C1"/>
            <w:sz w:val="22"/>
            <w:szCs w:val="22"/>
            <w:u w:val="single"/>
            <w:lang w:val="en-US"/>
          </w:rPr>
          <w:t>https://www.nhs.uk/mental-health/conditions/anorexia/overview/</w:t>
        </w:r>
      </w:hyperlink>
      <w:r w:rsidRPr="001201DF">
        <w:rPr>
          <w:rStyle w:val="normaltextrun"/>
          <w:rFonts w:ascii="Arial" w:eastAsiaTheme="majorEastAsia" w:hAnsi="Arial" w:cs="Arial"/>
          <w:sz w:val="22"/>
          <w:szCs w:val="22"/>
          <w:lang w:val="en-US"/>
        </w:rPr>
        <w:t> [Accessed 15th November 2025] • NHS (2025). Overview – Anorexia Nervosa. Available at: </w:t>
      </w:r>
      <w:hyperlink r:id="rId43" w:tgtFrame="_blank" w:history="1">
        <w:r w:rsidRPr="001201DF">
          <w:rPr>
            <w:rStyle w:val="normaltextrun"/>
            <w:rFonts w:ascii="Arial" w:eastAsiaTheme="majorEastAsia" w:hAnsi="Arial" w:cs="Arial"/>
            <w:color w:val="0563C1"/>
            <w:sz w:val="22"/>
            <w:szCs w:val="22"/>
            <w:u w:val="single"/>
            <w:lang w:val="en-US"/>
          </w:rPr>
          <w:t>https://www.nhs.uk/mental-health/conditions/anorexia/overview/</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39E98942"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NHS informs. (2024). Anorexia Nervosa. Available at: </w:t>
      </w:r>
      <w:hyperlink r:id="rId44" w:tgtFrame="_blank" w:history="1">
        <w:r w:rsidRPr="001201DF">
          <w:rPr>
            <w:rStyle w:val="normaltextrun"/>
            <w:rFonts w:ascii="Arial" w:eastAsiaTheme="majorEastAsia" w:hAnsi="Arial" w:cs="Arial"/>
            <w:color w:val="0563C1"/>
            <w:sz w:val="22"/>
            <w:szCs w:val="22"/>
            <w:u w:val="single"/>
            <w:lang w:val="en-US"/>
          </w:rPr>
          <w:t>https://www.nhsinform.scot/illnesses-and-conditions/mental-health/eating-disorders/anorexia-nervosa/</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4F438CB5"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NICE (2017). Overview Eating Disorders: Recognition and Treatment Guidance NICE. Available at: </w:t>
      </w:r>
      <w:hyperlink r:id="rId45" w:tgtFrame="_blank" w:history="1">
        <w:r w:rsidRPr="001201DF">
          <w:rPr>
            <w:rStyle w:val="normaltextrun"/>
            <w:rFonts w:ascii="Arial" w:eastAsiaTheme="majorEastAsia" w:hAnsi="Arial" w:cs="Arial"/>
            <w:color w:val="0563C1"/>
            <w:sz w:val="22"/>
            <w:szCs w:val="22"/>
            <w:u w:val="single"/>
            <w:lang w:val="en-US"/>
          </w:rPr>
          <w:t>https://www.nice.org.uk/guidance/ng69</w:t>
        </w:r>
      </w:hyperlink>
      <w:r w:rsidRPr="001201DF">
        <w:rPr>
          <w:rStyle w:val="normaltextrun"/>
          <w:rFonts w:ascii="Arial" w:eastAsiaTheme="majorEastAsia" w:hAnsi="Arial" w:cs="Arial"/>
          <w:sz w:val="22"/>
          <w:szCs w:val="22"/>
          <w:lang w:val="en-US"/>
        </w:rPr>
        <w:t> [Accessed 15th November 2025] </w:t>
      </w:r>
      <w:r w:rsidRPr="001201DF">
        <w:rPr>
          <w:rStyle w:val="eop"/>
          <w:rFonts w:ascii="Arial" w:hAnsi="Arial" w:cs="Arial"/>
          <w:sz w:val="22"/>
          <w:szCs w:val="22"/>
        </w:rPr>
        <w:t> </w:t>
      </w:r>
    </w:p>
    <w:p w14:paraId="6D79CC86"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NICE (2017). Overview Eating Disorders: Recognition and Treatment Guidance NICE. Available at: </w:t>
      </w:r>
      <w:hyperlink r:id="rId46" w:tgtFrame="_blank" w:history="1">
        <w:r w:rsidRPr="001201DF">
          <w:rPr>
            <w:rStyle w:val="normaltextrun"/>
            <w:rFonts w:ascii="Arial" w:eastAsiaTheme="majorEastAsia" w:hAnsi="Arial" w:cs="Arial"/>
            <w:color w:val="0563C1"/>
            <w:sz w:val="22"/>
            <w:szCs w:val="22"/>
            <w:u w:val="single"/>
            <w:lang w:val="en-US"/>
          </w:rPr>
          <w:t>https://www.nice.org.uk/guidance/ng69</w:t>
        </w:r>
      </w:hyperlink>
      <w:r w:rsidRPr="001201DF">
        <w:rPr>
          <w:rStyle w:val="normaltextrun"/>
          <w:rFonts w:ascii="Arial" w:eastAsiaTheme="majorEastAsia" w:hAnsi="Arial" w:cs="Arial"/>
          <w:sz w:val="22"/>
          <w:szCs w:val="22"/>
          <w:lang w:val="en-US"/>
        </w:rPr>
        <w:t> [Accessed 28th October 2025] • Priory Group. (2025). Eating Disorder Statistics UK 2025. Available at: </w:t>
      </w:r>
      <w:hyperlink r:id="rId47" w:tgtFrame="_blank" w:history="1">
        <w:r w:rsidRPr="001201DF">
          <w:rPr>
            <w:rStyle w:val="normaltextrun"/>
            <w:rFonts w:ascii="Arial" w:eastAsiaTheme="majorEastAsia" w:hAnsi="Arial" w:cs="Arial"/>
            <w:color w:val="0563C1"/>
            <w:sz w:val="22"/>
            <w:szCs w:val="22"/>
            <w:u w:val="single"/>
            <w:lang w:val="en-US"/>
          </w:rPr>
          <w:t>https://www.priorygroup.com/eating-disorders/eating-disorder-statistics</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74A82989"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Priory Group. (2025). Eating Disorder Statistics UK 2025. Available at: </w:t>
      </w:r>
      <w:hyperlink r:id="rId48" w:tgtFrame="_blank" w:history="1">
        <w:r w:rsidRPr="001201DF">
          <w:rPr>
            <w:rStyle w:val="normaltextrun"/>
            <w:rFonts w:ascii="Arial" w:eastAsiaTheme="majorEastAsia" w:hAnsi="Arial" w:cs="Arial"/>
            <w:color w:val="0563C1"/>
            <w:sz w:val="22"/>
            <w:szCs w:val="22"/>
            <w:u w:val="single"/>
            <w:lang w:val="en-US"/>
          </w:rPr>
          <w:t>https://www.priorygroup.com/eating-disorders/eating-disorder-statistics</w:t>
        </w:r>
      </w:hyperlink>
      <w:r w:rsidRPr="001201DF">
        <w:rPr>
          <w:rStyle w:val="normaltextrun"/>
          <w:rFonts w:ascii="Arial" w:eastAsiaTheme="majorEastAsia" w:hAnsi="Arial" w:cs="Arial"/>
          <w:sz w:val="22"/>
          <w:szCs w:val="22"/>
          <w:lang w:val="en-US"/>
        </w:rPr>
        <w:t> [Accessed 11th November 2025] • Roxby, P. (2022). Eating Disorder Hospital Cases Up 84% in Five Years in England. BBC News. Available at: </w:t>
      </w:r>
      <w:hyperlink r:id="rId49" w:tgtFrame="_blank" w:history="1">
        <w:r w:rsidRPr="001201DF">
          <w:rPr>
            <w:rStyle w:val="normaltextrun"/>
            <w:rFonts w:ascii="Arial" w:eastAsiaTheme="majorEastAsia" w:hAnsi="Arial" w:cs="Arial"/>
            <w:color w:val="0563C1"/>
            <w:sz w:val="22"/>
            <w:szCs w:val="22"/>
            <w:u w:val="single"/>
            <w:lang w:val="en-US"/>
          </w:rPr>
          <w:t>https://www.bbc.co.uk/news/health-61480898</w:t>
        </w:r>
      </w:hyperlink>
      <w:r w:rsidRPr="001201DF">
        <w:rPr>
          <w:rStyle w:val="normaltextrun"/>
          <w:rFonts w:ascii="Arial" w:eastAsiaTheme="majorEastAsia" w:hAnsi="Arial" w:cs="Arial"/>
          <w:sz w:val="22"/>
          <w:szCs w:val="22"/>
          <w:lang w:val="en-US"/>
        </w:rPr>
        <w:t> [Accessed 24th November 2025] </w:t>
      </w:r>
      <w:r w:rsidRPr="001201DF">
        <w:rPr>
          <w:rStyle w:val="eop"/>
          <w:rFonts w:ascii="Arial" w:hAnsi="Arial" w:cs="Arial"/>
          <w:sz w:val="22"/>
          <w:szCs w:val="22"/>
        </w:rPr>
        <w:t> </w:t>
      </w:r>
    </w:p>
    <w:p w14:paraId="724E6C85"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Statista. (2025). Eating Disorders in the United Kingdom - Statistics &amp; Facts. Available at: </w:t>
      </w:r>
      <w:hyperlink r:id="rId50" w:tgtFrame="_blank" w:history="1">
        <w:r w:rsidRPr="001201DF">
          <w:rPr>
            <w:rStyle w:val="normaltextrun"/>
            <w:rFonts w:ascii="Arial" w:eastAsiaTheme="majorEastAsia" w:hAnsi="Arial" w:cs="Arial"/>
            <w:color w:val="0563C1"/>
            <w:sz w:val="22"/>
            <w:szCs w:val="22"/>
            <w:u w:val="single"/>
            <w:lang w:val="en-US"/>
          </w:rPr>
          <w:t>https://www.statista.com/topics/12267/eating-disorders-in-the-united-kingdom/</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45A61EFB"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w:t>
      </w:r>
      <w:r w:rsidRPr="001201DF">
        <w:rPr>
          <w:rStyle w:val="normaltextrun"/>
          <w:rFonts w:ascii="Arial" w:eastAsiaTheme="majorEastAsia" w:hAnsi="Arial" w:cs="Arial"/>
          <w:sz w:val="22"/>
          <w:szCs w:val="22"/>
          <w:lang w:val="nl-NL"/>
        </w:rPr>
        <w:t xml:space="preserve">Team, A. (2025). Diagnostic Criteria. Gpnotebook. </w:t>
      </w:r>
      <w:r w:rsidRPr="001201DF">
        <w:rPr>
          <w:rStyle w:val="normaltextrun"/>
          <w:rFonts w:ascii="Arial" w:eastAsiaTheme="majorEastAsia" w:hAnsi="Arial" w:cs="Arial"/>
          <w:sz w:val="22"/>
          <w:szCs w:val="22"/>
          <w:lang w:val="en-US"/>
        </w:rPr>
        <w:t>Available at: </w:t>
      </w:r>
      <w:hyperlink r:id="rId51" w:tgtFrame="_blank" w:history="1">
        <w:r w:rsidRPr="001201DF">
          <w:rPr>
            <w:rStyle w:val="normaltextrun"/>
            <w:rFonts w:ascii="Arial" w:eastAsiaTheme="majorEastAsia" w:hAnsi="Arial" w:cs="Arial"/>
            <w:color w:val="0563C1"/>
            <w:sz w:val="22"/>
            <w:szCs w:val="22"/>
            <w:u w:val="single"/>
            <w:lang w:val="en-US"/>
          </w:rPr>
          <w:t>https://gpnotebook.com/en-GB/pages/psychiatry/anorexia-nervosa/diagnostic-criteria</w:t>
        </w:r>
      </w:hyperlink>
      <w:r w:rsidRPr="001201DF">
        <w:rPr>
          <w:rStyle w:val="normaltextrun"/>
          <w:rFonts w:ascii="Arial" w:eastAsiaTheme="majorEastAsia" w:hAnsi="Arial" w:cs="Arial"/>
          <w:sz w:val="22"/>
          <w:szCs w:val="22"/>
          <w:lang w:val="en-US"/>
        </w:rPr>
        <w:t> [Accessed 15 Nov. 2025] </w:t>
      </w:r>
      <w:r w:rsidRPr="001201DF">
        <w:rPr>
          <w:rStyle w:val="eop"/>
          <w:rFonts w:ascii="Arial" w:hAnsi="Arial" w:cs="Arial"/>
          <w:sz w:val="22"/>
          <w:szCs w:val="22"/>
        </w:rPr>
        <w:t> </w:t>
      </w:r>
    </w:p>
    <w:p w14:paraId="10FF55FC"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Therapy Clinics. (2025). Eating Disorders in the UK: Comprehensive Statistics, Trends, and the Future (2025/2026). Available at: </w:t>
      </w:r>
      <w:hyperlink r:id="rId52" w:tgtFrame="_blank" w:history="1">
        <w:r w:rsidRPr="001201DF">
          <w:rPr>
            <w:rStyle w:val="normaltextrun"/>
            <w:rFonts w:ascii="Arial" w:eastAsiaTheme="majorEastAsia" w:hAnsi="Arial" w:cs="Arial"/>
            <w:color w:val="0563C1"/>
            <w:sz w:val="22"/>
            <w:szCs w:val="22"/>
            <w:u w:val="single"/>
            <w:lang w:val="en-US"/>
          </w:rPr>
          <w:t>https://www.therapyclinics.co.uk/the-rise-of-eating-disorders-in-the-uk-statistics-2025/</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2E924D02"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Therapy Clinics. (2025). Eating Disorders in the UK: Comprehensive Statistics, Trends, and the Future (2025/2026). Available at: </w:t>
      </w:r>
      <w:hyperlink r:id="rId53" w:tgtFrame="_blank" w:history="1">
        <w:r w:rsidRPr="001201DF">
          <w:rPr>
            <w:rStyle w:val="normaltextrun"/>
            <w:rFonts w:ascii="Arial" w:eastAsiaTheme="majorEastAsia" w:hAnsi="Arial" w:cs="Arial"/>
            <w:color w:val="0563C1"/>
            <w:sz w:val="22"/>
            <w:szCs w:val="22"/>
            <w:u w:val="single"/>
            <w:lang w:val="en-US"/>
          </w:rPr>
          <w:t>https://www.therapyclinics.co.uk/the-rise-of-eating-disorders-in-the-uk-statistics-2025/</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3DA122DD"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lastRenderedPageBreak/>
        <w:t> UK Addiction Treatment Centers. (2017). Eating Disorders UK Addiction Treatment </w:t>
      </w:r>
      <w:proofErr w:type="spellStart"/>
      <w:r w:rsidRPr="001201DF">
        <w:rPr>
          <w:rStyle w:val="normaltextrun"/>
          <w:rFonts w:ascii="Arial" w:eastAsiaTheme="majorEastAsia" w:hAnsi="Arial" w:cs="Arial"/>
          <w:sz w:val="22"/>
          <w:szCs w:val="22"/>
          <w:lang w:val="en-US"/>
        </w:rPr>
        <w:t>Centres</w:t>
      </w:r>
      <w:proofErr w:type="spellEnd"/>
      <w:r w:rsidRPr="001201DF">
        <w:rPr>
          <w:rStyle w:val="normaltextrun"/>
          <w:rFonts w:ascii="Arial" w:eastAsiaTheme="majorEastAsia" w:hAnsi="Arial" w:cs="Arial"/>
          <w:sz w:val="22"/>
          <w:szCs w:val="22"/>
          <w:lang w:val="en-US"/>
        </w:rPr>
        <w:t>. Available at: </w:t>
      </w:r>
      <w:hyperlink r:id="rId54" w:tgtFrame="_blank" w:history="1">
        <w:r w:rsidRPr="001201DF">
          <w:rPr>
            <w:rStyle w:val="normaltextrun"/>
            <w:rFonts w:ascii="Arial" w:eastAsiaTheme="majorEastAsia" w:hAnsi="Arial" w:cs="Arial"/>
            <w:color w:val="0563C1"/>
            <w:sz w:val="22"/>
            <w:szCs w:val="22"/>
            <w:u w:val="single"/>
            <w:lang w:val="en-US"/>
          </w:rPr>
          <w:t>https://www.ukat.co.uk/eating-disorders/</w:t>
        </w:r>
      </w:hyperlink>
      <w:r w:rsidRPr="001201DF">
        <w:rPr>
          <w:rStyle w:val="normaltextrun"/>
          <w:rFonts w:ascii="Arial" w:eastAsiaTheme="majorEastAsia" w:hAnsi="Arial" w:cs="Arial"/>
          <w:sz w:val="22"/>
          <w:szCs w:val="22"/>
          <w:lang w:val="en-US"/>
        </w:rPr>
        <w:t> [Accessed 11th November 2025] </w:t>
      </w:r>
      <w:r w:rsidRPr="001201DF">
        <w:rPr>
          <w:rStyle w:val="eop"/>
          <w:rFonts w:ascii="Arial" w:hAnsi="Arial" w:cs="Arial"/>
          <w:sz w:val="22"/>
          <w:szCs w:val="22"/>
        </w:rPr>
        <w:t> </w:t>
      </w:r>
    </w:p>
    <w:p w14:paraId="69C349A8" w14:textId="77777777" w:rsidR="001201DF" w:rsidRPr="001201DF" w:rsidRDefault="001201DF" w:rsidP="001201DF">
      <w:pPr>
        <w:pStyle w:val="paragraph"/>
        <w:spacing w:before="0" w:beforeAutospacing="0" w:after="0" w:afterAutospacing="0" w:line="360" w:lineRule="auto"/>
        <w:jc w:val="both"/>
        <w:textAlignment w:val="baseline"/>
        <w:rPr>
          <w:rFonts w:ascii="Arial" w:hAnsi="Arial" w:cs="Arial"/>
          <w:sz w:val="22"/>
          <w:szCs w:val="22"/>
        </w:rPr>
      </w:pPr>
      <w:r w:rsidRPr="001201DF">
        <w:rPr>
          <w:rStyle w:val="normaltextrun"/>
          <w:rFonts w:ascii="Arial" w:eastAsiaTheme="majorEastAsia" w:hAnsi="Arial" w:cs="Arial"/>
          <w:sz w:val="22"/>
          <w:szCs w:val="22"/>
          <w:lang w:val="en-US"/>
        </w:rPr>
        <w:t> World Health Organization (2022). ICD-11. Available at: </w:t>
      </w:r>
      <w:hyperlink r:id="rId55" w:tgtFrame="_blank" w:history="1">
        <w:r w:rsidRPr="001201DF">
          <w:rPr>
            <w:rStyle w:val="normaltextrun"/>
            <w:rFonts w:ascii="Arial" w:eastAsiaTheme="majorEastAsia" w:hAnsi="Arial" w:cs="Arial"/>
            <w:color w:val="0563C1"/>
            <w:sz w:val="22"/>
            <w:szCs w:val="22"/>
            <w:u w:val="single"/>
            <w:lang w:val="en-US"/>
          </w:rPr>
          <w:t>https://icd.who.int/en</w:t>
        </w:r>
      </w:hyperlink>
      <w:r w:rsidRPr="001201DF">
        <w:rPr>
          <w:rStyle w:val="normaltextrun"/>
          <w:rFonts w:ascii="Arial" w:eastAsiaTheme="majorEastAsia" w:hAnsi="Arial" w:cs="Arial"/>
          <w:sz w:val="22"/>
          <w:szCs w:val="22"/>
          <w:lang w:val="en-US"/>
        </w:rPr>
        <w:t> [Accessed 15th November 2025] • World Population Review. (2025). Eating Disorders by Country 2025. Available at: </w:t>
      </w:r>
      <w:hyperlink r:id="rId56" w:tgtFrame="_blank" w:history="1">
        <w:r w:rsidRPr="001201DF">
          <w:rPr>
            <w:rStyle w:val="normaltextrun"/>
            <w:rFonts w:ascii="Arial" w:eastAsiaTheme="majorEastAsia" w:hAnsi="Arial" w:cs="Arial"/>
            <w:color w:val="0563C1"/>
            <w:sz w:val="22"/>
            <w:szCs w:val="22"/>
            <w:u w:val="single"/>
            <w:lang w:val="en-US"/>
          </w:rPr>
          <w:t>https://worldpopulationreview.com/country-rankings/eating-disorders-by-country</w:t>
        </w:r>
      </w:hyperlink>
      <w:r w:rsidRPr="001201DF">
        <w:rPr>
          <w:rStyle w:val="normaltextrun"/>
          <w:rFonts w:ascii="Arial" w:eastAsiaTheme="majorEastAsia" w:hAnsi="Arial" w:cs="Arial"/>
          <w:sz w:val="22"/>
          <w:szCs w:val="22"/>
          <w:lang w:val="en-US"/>
        </w:rPr>
        <w:t> [Accessed 11th November 2025]</w:t>
      </w:r>
      <w:r w:rsidRPr="001201DF">
        <w:rPr>
          <w:rStyle w:val="eop"/>
          <w:rFonts w:ascii="Arial" w:hAnsi="Arial" w:cs="Arial"/>
          <w:sz w:val="22"/>
          <w:szCs w:val="22"/>
        </w:rPr>
        <w:t> </w:t>
      </w:r>
    </w:p>
    <w:sectPr w:rsidR="001201DF" w:rsidRPr="001201DF" w:rsidSect="00C46111">
      <w:headerReference w:type="default" r:id="rId57"/>
      <w:headerReference w:type="first" r:id="rId58"/>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DFDBA" w14:textId="77777777" w:rsidR="00D21CBE" w:rsidRDefault="00D21CBE" w:rsidP="00D210FA">
      <w:pPr>
        <w:spacing w:after="0"/>
      </w:pPr>
      <w:r>
        <w:separator/>
      </w:r>
    </w:p>
  </w:endnote>
  <w:endnote w:type="continuationSeparator" w:id="0">
    <w:p w14:paraId="2C3F6CFE" w14:textId="77777777" w:rsidR="00D21CBE" w:rsidRDefault="00D21CBE"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69A5F" w14:textId="77777777" w:rsidR="00D21CBE" w:rsidRDefault="00D21CBE" w:rsidP="00D210FA">
      <w:pPr>
        <w:spacing w:after="0"/>
      </w:pPr>
      <w:r>
        <w:separator/>
      </w:r>
    </w:p>
  </w:footnote>
  <w:footnote w:type="continuationSeparator" w:id="0">
    <w:p w14:paraId="1B9BDB28" w14:textId="77777777" w:rsidR="00D21CBE" w:rsidRDefault="00D21CBE"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34B12"/>
    <w:rsid w:val="00034B9B"/>
    <w:rsid w:val="00061977"/>
    <w:rsid w:val="00061B1A"/>
    <w:rsid w:val="0008782A"/>
    <w:rsid w:val="000A065A"/>
    <w:rsid w:val="000C4AA3"/>
    <w:rsid w:val="000F2710"/>
    <w:rsid w:val="00101CB3"/>
    <w:rsid w:val="00106FC5"/>
    <w:rsid w:val="001201DF"/>
    <w:rsid w:val="00120DEC"/>
    <w:rsid w:val="00123C19"/>
    <w:rsid w:val="00151ACC"/>
    <w:rsid w:val="0018622E"/>
    <w:rsid w:val="00194B69"/>
    <w:rsid w:val="001A673E"/>
    <w:rsid w:val="001C55B6"/>
    <w:rsid w:val="001D083A"/>
    <w:rsid w:val="001D6CC4"/>
    <w:rsid w:val="001D7C08"/>
    <w:rsid w:val="00206405"/>
    <w:rsid w:val="00253267"/>
    <w:rsid w:val="00270474"/>
    <w:rsid w:val="002823CD"/>
    <w:rsid w:val="00287787"/>
    <w:rsid w:val="00291685"/>
    <w:rsid w:val="002B0A3D"/>
    <w:rsid w:val="003007A7"/>
    <w:rsid w:val="003257E1"/>
    <w:rsid w:val="00325DEC"/>
    <w:rsid w:val="00346FFA"/>
    <w:rsid w:val="003A3069"/>
    <w:rsid w:val="003C20B5"/>
    <w:rsid w:val="003E545F"/>
    <w:rsid w:val="003F03D2"/>
    <w:rsid w:val="003F1E1A"/>
    <w:rsid w:val="004045E5"/>
    <w:rsid w:val="004117AC"/>
    <w:rsid w:val="00421496"/>
    <w:rsid w:val="00422C27"/>
    <w:rsid w:val="0044367C"/>
    <w:rsid w:val="00444349"/>
    <w:rsid w:val="004642F0"/>
    <w:rsid w:val="004850C8"/>
    <w:rsid w:val="004D2A07"/>
    <w:rsid w:val="00500564"/>
    <w:rsid w:val="0051102B"/>
    <w:rsid w:val="005115B0"/>
    <w:rsid w:val="00515463"/>
    <w:rsid w:val="00535C9F"/>
    <w:rsid w:val="005838BC"/>
    <w:rsid w:val="005A0A2A"/>
    <w:rsid w:val="005B57E1"/>
    <w:rsid w:val="005E61E0"/>
    <w:rsid w:val="005F0F31"/>
    <w:rsid w:val="005F7B51"/>
    <w:rsid w:val="006024ED"/>
    <w:rsid w:val="00607A43"/>
    <w:rsid w:val="00611BE3"/>
    <w:rsid w:val="00616547"/>
    <w:rsid w:val="0061793F"/>
    <w:rsid w:val="0062123A"/>
    <w:rsid w:val="006605F8"/>
    <w:rsid w:val="006676A1"/>
    <w:rsid w:val="006833BD"/>
    <w:rsid w:val="006C74F6"/>
    <w:rsid w:val="006D2642"/>
    <w:rsid w:val="006E2D42"/>
    <w:rsid w:val="00720FEE"/>
    <w:rsid w:val="00764B6F"/>
    <w:rsid w:val="007C4367"/>
    <w:rsid w:val="007C7319"/>
    <w:rsid w:val="007D43B3"/>
    <w:rsid w:val="007D4811"/>
    <w:rsid w:val="007F20B4"/>
    <w:rsid w:val="007F525E"/>
    <w:rsid w:val="0082695D"/>
    <w:rsid w:val="0083044C"/>
    <w:rsid w:val="0083675D"/>
    <w:rsid w:val="0085182D"/>
    <w:rsid w:val="008560B6"/>
    <w:rsid w:val="00867E5F"/>
    <w:rsid w:val="008709F5"/>
    <w:rsid w:val="00877A91"/>
    <w:rsid w:val="00884E86"/>
    <w:rsid w:val="008904B6"/>
    <w:rsid w:val="008927FF"/>
    <w:rsid w:val="008B0F18"/>
    <w:rsid w:val="008C0C0D"/>
    <w:rsid w:val="008C638B"/>
    <w:rsid w:val="008E3921"/>
    <w:rsid w:val="008E5827"/>
    <w:rsid w:val="008F1D26"/>
    <w:rsid w:val="0090027B"/>
    <w:rsid w:val="00905238"/>
    <w:rsid w:val="00907901"/>
    <w:rsid w:val="0094702A"/>
    <w:rsid w:val="00967DAB"/>
    <w:rsid w:val="0097798B"/>
    <w:rsid w:val="00990E76"/>
    <w:rsid w:val="00991A53"/>
    <w:rsid w:val="00996F4E"/>
    <w:rsid w:val="009C5387"/>
    <w:rsid w:val="009F71FE"/>
    <w:rsid w:val="00A04DB8"/>
    <w:rsid w:val="00A31F33"/>
    <w:rsid w:val="00A42E0F"/>
    <w:rsid w:val="00A70A62"/>
    <w:rsid w:val="00A71DA8"/>
    <w:rsid w:val="00AB1210"/>
    <w:rsid w:val="00AB770D"/>
    <w:rsid w:val="00AF2088"/>
    <w:rsid w:val="00AF5FB0"/>
    <w:rsid w:val="00B0080A"/>
    <w:rsid w:val="00B0538C"/>
    <w:rsid w:val="00B37AB8"/>
    <w:rsid w:val="00B418DE"/>
    <w:rsid w:val="00B473FE"/>
    <w:rsid w:val="00B47EF1"/>
    <w:rsid w:val="00B47FE7"/>
    <w:rsid w:val="00B67824"/>
    <w:rsid w:val="00B923DA"/>
    <w:rsid w:val="00B957F0"/>
    <w:rsid w:val="00BB01A4"/>
    <w:rsid w:val="00BC245B"/>
    <w:rsid w:val="00BD5BAD"/>
    <w:rsid w:val="00BE15BA"/>
    <w:rsid w:val="00C20ED0"/>
    <w:rsid w:val="00C348A8"/>
    <w:rsid w:val="00C34955"/>
    <w:rsid w:val="00C46111"/>
    <w:rsid w:val="00C523E2"/>
    <w:rsid w:val="00C83332"/>
    <w:rsid w:val="00C85BC1"/>
    <w:rsid w:val="00C95E04"/>
    <w:rsid w:val="00CA41F0"/>
    <w:rsid w:val="00CA77BF"/>
    <w:rsid w:val="00CC0A8F"/>
    <w:rsid w:val="00CC24B6"/>
    <w:rsid w:val="00CC3D55"/>
    <w:rsid w:val="00CD3A64"/>
    <w:rsid w:val="00CE08CD"/>
    <w:rsid w:val="00D0664A"/>
    <w:rsid w:val="00D210FA"/>
    <w:rsid w:val="00D21CBE"/>
    <w:rsid w:val="00D249BC"/>
    <w:rsid w:val="00D30F1D"/>
    <w:rsid w:val="00D4704C"/>
    <w:rsid w:val="00D57231"/>
    <w:rsid w:val="00D5753A"/>
    <w:rsid w:val="00D76056"/>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226F9"/>
    <w:rsid w:val="00F37523"/>
    <w:rsid w:val="00F50168"/>
    <w:rsid w:val="00F50D34"/>
    <w:rsid w:val="00F61360"/>
    <w:rsid w:val="00FB7084"/>
    <w:rsid w:val="00FC538A"/>
    <w:rsid w:val="00FE2B9F"/>
    <w:rsid w:val="00FF351A"/>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paragraph" w:customStyle="1" w:styleId="paragraph">
    <w:name w:val="paragraph"/>
    <w:basedOn w:val="Normal"/>
    <w:rsid w:val="00101CB3"/>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01CB3"/>
  </w:style>
  <w:style w:type="character" w:customStyle="1" w:styleId="eop">
    <w:name w:val="eop"/>
    <w:basedOn w:val="DefaultParagraphFont"/>
    <w:rsid w:val="00101CB3"/>
  </w:style>
  <w:style w:type="character" w:customStyle="1" w:styleId="wacimagecontainer">
    <w:name w:val="wacimagecontainer"/>
    <w:basedOn w:val="DefaultParagraphFont"/>
    <w:rsid w:val="008C0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alamy.com/anorexia-illustrated-with-classification-two-types-binge-eatingpurge-and-restrictive-eating-disorder-image224226879.html" TargetMode="External"/><Relationship Id="rId39" Type="http://schemas.openxmlformats.org/officeDocument/2006/relationships/hyperlink" Target="https://www.ijirme.com/v3i4/Doc/7.pdf" TargetMode="External"/><Relationship Id="rId21" Type="http://schemas.openxmlformats.org/officeDocument/2006/relationships/image" Target="media/image10.png"/><Relationship Id="rId34" Type="http://schemas.openxmlformats.org/officeDocument/2006/relationships/hyperlink" Target="https://doi.org/10.3390/bs13020096" TargetMode="External"/><Relationship Id="rId42" Type="http://schemas.openxmlformats.org/officeDocument/2006/relationships/hyperlink" Target="https://www.nhs.uk/mental-health/conditions/anorexia/overview/" TargetMode="External"/><Relationship Id="rId47" Type="http://schemas.openxmlformats.org/officeDocument/2006/relationships/hyperlink" Target="https://www.priorygroup.com/eating-disorders/eating-disorder-statistics" TargetMode="External"/><Relationship Id="rId50" Type="http://schemas.openxmlformats.org/officeDocument/2006/relationships/hyperlink" Target="https://www.statista.com/topics/12267/eating-disorders-in-the-united-kingdom/" TargetMode="External"/><Relationship Id="rId55" Type="http://schemas.openxmlformats.org/officeDocument/2006/relationships/hyperlink" Target="https://icd.who.int/e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www.verywellhealth.com/eating-disorders-treatment-5112475" TargetMode="Externa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www.england.nhs.uk/long-read/specialised-adult-eating-disorder-inpatient-service-consultation-guide/" TargetMode="External"/><Relationship Id="rId37" Type="http://schemas.openxmlformats.org/officeDocument/2006/relationships/hyperlink" Target="https://innovativetrials.com/eating-disorders-awareness-week/" TargetMode="External"/><Relationship Id="rId40" Type="http://schemas.openxmlformats.org/officeDocument/2006/relationships/hyperlink" Target="https://www.nhs.uk/mental-health/conditions/anorexia/symptoms/" TargetMode="External"/><Relationship Id="rId45" Type="http://schemas.openxmlformats.org/officeDocument/2006/relationships/hyperlink" Target="https://www.nice.org.uk/guidance/ng69" TargetMode="External"/><Relationship Id="rId53" Type="http://schemas.openxmlformats.org/officeDocument/2006/relationships/hyperlink" Target="https://www.therapyclinics.co.uk/the-rise-of-eating-disorders-in-the-uk-statistics-2025/" TargetMode="External"/><Relationship Id="rId58"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alamy.com/139-anorexia-case-1900-image212732306.html" TargetMode="External"/><Relationship Id="rId30" Type="http://schemas.openxmlformats.org/officeDocument/2006/relationships/hyperlink" Target="https://opalfoodandbody.com/what-not-to-say-to-someone-with-an-eating-disorder/" TargetMode="External"/><Relationship Id="rId35" Type="http://schemas.openxmlformats.org/officeDocument/2006/relationships/hyperlink" Target="https://healthjade.net/anorexia-nervosa/" TargetMode="External"/><Relationship Id="rId43" Type="http://schemas.openxmlformats.org/officeDocument/2006/relationships/hyperlink" Target="https://www.nhs.uk/mental-health/conditions/anorexia/overview/" TargetMode="External"/><Relationship Id="rId48" Type="http://schemas.openxmlformats.org/officeDocument/2006/relationships/hyperlink" Target="https://www.priorygroup.com/eating-disorders/eating-disorder-statistics" TargetMode="External"/><Relationship Id="rId56" Type="http://schemas.openxmlformats.org/officeDocument/2006/relationships/hyperlink" Target="https://worldpopulationreview.com/country-rankings/eating-disorders-by-country" TargetMode="External"/><Relationship Id="rId8" Type="http://schemas.openxmlformats.org/officeDocument/2006/relationships/webSettings" Target="webSettings.xml"/><Relationship Id="rId51" Type="http://schemas.openxmlformats.org/officeDocument/2006/relationships/hyperlink" Target="https://gpnotebook.com/en-GB/pages/psychiatry/anorexia-nervosa/diagnostic-criteria" TargetMode="Externa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6.png"/><Relationship Id="rId25" Type="http://schemas.openxmlformats.org/officeDocument/2006/relationships/hyperlink" Target="https://ebrary.net/238437/sociology/history_treatment_anorexia" TargetMode="External"/><Relationship Id="rId33" Type="http://schemas.openxmlformats.org/officeDocument/2006/relationships/hyperlink" Target="https://link.springer.com/chapter/10.1007/978-3-031-70318-8_3" TargetMode="External"/><Relationship Id="rId38" Type="http://schemas.openxmlformats.org/officeDocument/2006/relationships/hyperlink" Target="https://temple.manifoldapp.org/read/a-developmental-systems-guide-for-child-and-adolescent-behavioral-health-practitioners-da7c780a-7f9d-4c6a-ad85-b6736f8df14f/section/d12c123a-6e74-468e-a562-5aeb990e64e5" TargetMode="External"/><Relationship Id="rId46" Type="http://schemas.openxmlformats.org/officeDocument/2006/relationships/hyperlink" Target="https://www.nice.org.uk/guidance/ng69" TargetMode="External"/><Relationship Id="rId59"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nhs.uk/mental-health/conditions/anorexia/treatment/" TargetMode="External"/><Relationship Id="rId54" Type="http://schemas.openxmlformats.org/officeDocument/2006/relationships/hyperlink" Target="https://www.ukat.co.uk/eating-disorder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beateatingdisorders.org.uk/get-information-and-support/about-eating-disorders/types/anorexia/" TargetMode="External"/><Relationship Id="rId36" Type="http://schemas.openxmlformats.org/officeDocument/2006/relationships/hyperlink" Target="https://kidshealth.org/ChildrensHealthNetwork/en/parents/az-anorexia.html" TargetMode="External"/><Relationship Id="rId49" Type="http://schemas.openxmlformats.org/officeDocument/2006/relationships/hyperlink" Target="https://www.bbc.co.uk/news/health-61480898"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my.clevelandclinic.org/health/diseases/9794-anorexia-nervosa" TargetMode="External"/><Relationship Id="rId44" Type="http://schemas.openxmlformats.org/officeDocument/2006/relationships/hyperlink" Target="https://www.nhsinform.scot/illnesses-and-conditions/mental-health/eating-disorders/anorexia-nervosa/" TargetMode="External"/><Relationship Id="rId52" Type="http://schemas.openxmlformats.org/officeDocument/2006/relationships/hyperlink" Target="https://www.therapyclinics.co.uk/the-rise-of-eating-disorders-in-the-uk-statistics-2025/" TargetMode="External"/><Relationship Id="rId6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345f53ba85e5a93791f57aa3440ea09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1ff9c479d4b9f8b7b08ba8d348cd29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8E837607-0CAF-4AB8-9F5A-107E7A58CA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13</Pages>
  <Words>2712</Words>
  <Characters>19583</Characters>
  <Application>Microsoft Office Word</Application>
  <DocSecurity>0</DocSecurity>
  <Lines>559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Tasha Tamara Young (2316846)</cp:lastModifiedBy>
  <cp:revision>45</cp:revision>
  <dcterms:created xsi:type="dcterms:W3CDTF">2025-11-25T12:15:00Z</dcterms:created>
  <dcterms:modified xsi:type="dcterms:W3CDTF">2025-11-25T16:37:00Z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