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30EBE85">
      <w:pPr>
        <w:pStyle w:val="style1"/>
        <w:jc w:val="center"/>
        <w:rPr>
          <w:lang w:val="en-GB"/>
        </w:rPr>
      </w:pPr>
      <w:bookmarkStart w:id="0" w:name="_y3tb80cpkjsh" w:colFirst="0" w:colLast="0"/>
      <w:bookmarkEnd w:id="0"/>
    </w:p>
    <w:bookmarkStart w:id="1" w:name="_vs7s9whu2d77" w:colFirst="0" w:colLast="0"/>
    <w:bookmarkEnd w:id="1"/>
    <w:p w14:paraId="47AFDC64">
      <w:pPr>
        <w:pStyle w:val="style1"/>
        <w:jc w:val="center"/>
        <w:rPr>
          <w:sz w:val="32"/>
          <w:szCs w:val="32"/>
          <w:lang w:val="en-GB"/>
        </w:rPr>
      </w:pPr>
    </w:p>
    <w:p w14:paraId="40A6CDA2">
      <w:pPr>
        <w:pStyle w:val="style157"/>
        <w:spacing w:lineRule="auto" w:line="360"/>
        <w:jc w:val="center"/>
        <w:rPr>
          <w:b/>
          <w:sz w:val="32"/>
          <w:szCs w:val="32"/>
          <w:lang w:val="en-GB"/>
        </w:rPr>
      </w:pPr>
      <w:r>
        <w:rPr>
          <w:b/>
          <w:noProof/>
          <w:lang w:val="en-GB"/>
        </w:rPr>
        <w:drawing>
          <wp:inline distL="0" distT="0" distB="0" distR="0">
            <wp:extent cx="2257425" cy="781050"/>
            <wp:effectExtent l="0" t="0" r="9525" b="0"/>
            <wp:docPr id="1026"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 cstate="print"/>
                    <a:srcRect l="0" t="0" r="0" b="0"/>
                    <a:stretch/>
                  </pic:blipFill>
                  <pic:spPr>
                    <a:xfrm rot="0">
                      <a:off x="0" y="0"/>
                      <a:ext cx="2257425" cy="781050"/>
                    </a:xfrm>
                    <a:prstGeom prst="rect"/>
                  </pic:spPr>
                </pic:pic>
              </a:graphicData>
            </a:graphic>
          </wp:inline>
        </w:drawing>
      </w:r>
    </w:p>
    <w:p w14:paraId="5A2B8981">
      <w:pPr>
        <w:pStyle w:val="style157"/>
        <w:spacing w:lineRule="auto" w:line="360"/>
        <w:jc w:val="center"/>
        <w:rPr>
          <w:b/>
          <w:sz w:val="32"/>
          <w:szCs w:val="32"/>
          <w:lang w:val="en-GB"/>
        </w:rPr>
      </w:pPr>
      <w:r>
        <w:rPr>
          <w:b/>
          <w:sz w:val="32"/>
          <w:szCs w:val="32"/>
          <w:lang w:val="en-GB"/>
        </w:rPr>
        <w:t>PROGRAMME: MSC PUBLIC HEALTH AND SOCIAL CARE IN PRACTICE</w:t>
      </w:r>
    </w:p>
    <w:bookmarkStart w:id="2" w:name="_aawvhqbi9ww4" w:colFirst="0" w:colLast="0"/>
    <w:bookmarkEnd w:id="2"/>
    <w:p w14:paraId="534708E8">
      <w:pPr>
        <w:pStyle w:val="style157"/>
        <w:spacing w:lineRule="auto" w:line="360"/>
        <w:jc w:val="center"/>
        <w:rPr>
          <w:b/>
          <w:sz w:val="32"/>
          <w:szCs w:val="32"/>
          <w:lang w:val="en-GB"/>
        </w:rPr>
      </w:pPr>
      <w:r>
        <w:rPr>
          <w:b/>
          <w:sz w:val="32"/>
          <w:szCs w:val="32"/>
          <w:lang w:val="en-GB"/>
        </w:rPr>
        <w:t>MODULE: SOCIAL EPIDEMIOLOGY AND PUBLIC HEALTH DEVELOPMENT</w:t>
      </w:r>
    </w:p>
    <w:bookmarkStart w:id="3" w:name="_u8tqhj8nij07" w:colFirst="0" w:colLast="0"/>
    <w:bookmarkEnd w:id="3"/>
    <w:p w14:paraId="672D8D76">
      <w:pPr>
        <w:pStyle w:val="style157"/>
        <w:spacing w:lineRule="auto" w:line="360"/>
        <w:jc w:val="center"/>
        <w:rPr>
          <w:b/>
          <w:sz w:val="32"/>
          <w:szCs w:val="32"/>
          <w:lang w:val="en-GB"/>
        </w:rPr>
      </w:pPr>
      <w:r>
        <w:rPr>
          <w:b/>
          <w:sz w:val="32"/>
          <w:szCs w:val="32"/>
          <w:lang w:val="en-GB"/>
        </w:rPr>
        <w:t>MODULE CODE: LCHS7000</w:t>
      </w:r>
    </w:p>
    <w:bookmarkStart w:id="4" w:name="_5pgbbni9kquv" w:colFirst="0" w:colLast="0"/>
    <w:bookmarkEnd w:id="4"/>
    <w:p w14:paraId="5998D842">
      <w:pPr>
        <w:pStyle w:val="style157"/>
        <w:spacing w:lineRule="auto" w:line="360"/>
        <w:jc w:val="center"/>
        <w:rPr>
          <w:b/>
          <w:sz w:val="32"/>
          <w:szCs w:val="32"/>
          <w:lang w:val="en-GB"/>
        </w:rPr>
      </w:pPr>
    </w:p>
    <w:bookmarkStart w:id="5" w:name="_z2prnyjcfzod" w:colFirst="0" w:colLast="0"/>
    <w:bookmarkEnd w:id="5"/>
    <w:p w14:paraId="57AD477F">
      <w:pPr>
        <w:pStyle w:val="style157"/>
        <w:spacing w:lineRule="auto" w:line="360"/>
        <w:jc w:val="center"/>
        <w:rPr>
          <w:b/>
          <w:sz w:val="32"/>
          <w:szCs w:val="32"/>
          <w:lang w:val="en-GB"/>
        </w:rPr>
      </w:pPr>
      <w:r>
        <w:rPr>
          <w:b/>
          <w:sz w:val="32"/>
          <w:szCs w:val="32"/>
          <w:lang w:val="en-GB"/>
        </w:rPr>
        <w:t>ASSIGNMENT TITLE: COMPONENT 2 ANALYTICAL REPORT</w:t>
      </w:r>
      <w:bookmarkStart w:id="6" w:name="_tvq1y0xlri5k" w:colFirst="0" w:colLast="0"/>
      <w:bookmarkEnd w:id="6"/>
    </w:p>
    <w:p w14:paraId="2B214EC7">
      <w:pPr>
        <w:pStyle w:val="style157"/>
        <w:spacing w:lineRule="auto" w:line="360"/>
        <w:jc w:val="center"/>
        <w:rPr>
          <w:b/>
          <w:sz w:val="36"/>
          <w:szCs w:val="36"/>
          <w:lang w:val="en-GB"/>
        </w:rPr>
      </w:pPr>
      <w:r>
        <w:rPr>
          <w:b/>
          <w:bCs/>
          <w:sz w:val="24"/>
          <w:szCs w:val="24"/>
          <w:lang w:val="en-GB"/>
        </w:rPr>
        <w:t>TOPIC- DISABILITY AND HEALTH INEQUALITIES</w:t>
      </w:r>
    </w:p>
    <w:p w14:paraId="2D9CC614">
      <w:pPr>
        <w:pStyle w:val="style0"/>
        <w:jc w:val="center"/>
        <w:rPr>
          <w:b/>
          <w:sz w:val="24"/>
          <w:lang w:val="en-GB"/>
        </w:rPr>
      </w:pPr>
    </w:p>
    <w:p w14:paraId="7267B92A">
      <w:pPr>
        <w:pStyle w:val="style0"/>
        <w:jc w:val="center"/>
        <w:rPr>
          <w:b/>
          <w:sz w:val="24"/>
          <w:lang w:val="en-GB"/>
        </w:rPr>
      </w:pPr>
      <w:r>
        <w:rPr>
          <w:b/>
          <w:sz w:val="24"/>
          <w:lang w:val="en-GB"/>
        </w:rPr>
        <w:t>STUDENT NAME: Akashpuri Ishvarpuri Gausvami</w:t>
      </w:r>
    </w:p>
    <w:p w14:paraId="1037808A">
      <w:pPr>
        <w:pStyle w:val="style0"/>
        <w:jc w:val="center"/>
        <w:rPr>
          <w:b/>
          <w:sz w:val="24"/>
          <w:lang w:val="en-GB"/>
        </w:rPr>
      </w:pPr>
      <w:r>
        <w:rPr>
          <w:b/>
          <w:sz w:val="24"/>
          <w:lang w:val="en-GB"/>
        </w:rPr>
        <w:t xml:space="preserve">STUDENT ID NUMBER: </w:t>
      </w:r>
      <w:r>
        <w:rPr>
          <w:b/>
          <w:sz w:val="24"/>
          <w:lang w:val="en-US"/>
        </w:rPr>
        <w:t>2535801</w:t>
      </w:r>
    </w:p>
    <w:p w14:paraId="3C4AE069">
      <w:pPr>
        <w:pStyle w:val="style0"/>
        <w:rPr>
          <w:lang w:val="en-GB"/>
        </w:rPr>
      </w:pPr>
    </w:p>
    <w:p w14:paraId="1F8FF16A">
      <w:pPr>
        <w:pStyle w:val="style0"/>
        <w:jc w:val="center"/>
        <w:rPr>
          <w:b/>
          <w:bCs/>
          <w:lang w:val="en-GB"/>
        </w:rPr>
      </w:pPr>
      <w:r>
        <w:rPr>
          <w:lang w:val="en-GB"/>
        </w:rPr>
        <w:br w:type="page"/>
      </w:r>
    </w:p>
    <w:p w14:paraId="702D3E1B">
      <w:pPr>
        <w:pStyle w:val="style0"/>
        <w:jc w:val="center"/>
        <w:rPr>
          <w:b/>
          <w:bCs/>
          <w:lang w:val="en-GB"/>
        </w:rPr>
      </w:pPr>
      <w:r>
        <w:rPr>
          <w:b/>
          <w:bCs/>
          <w:lang w:val="en-GB"/>
        </w:rPr>
        <w:t xml:space="preserve">Executive summary </w:t>
      </w:r>
    </w:p>
    <w:p w14:paraId="12B48068">
      <w:pPr>
        <w:pStyle w:val="style0"/>
        <w:rPr>
          <w:lang w:val="en-GB"/>
        </w:rPr>
      </w:pPr>
      <w:r>
        <w:rPr>
          <w:lang w:val="en-GB"/>
        </w:rPr>
        <w:t>The report has discussed the impact of disability on health outcome, accessibility of required healthcare services among disabled population in UK. Task 1 of the report has outlined the social and long term health issues faced by disabled communities and population in the UK that consists of unemployment, poverty, social dissemination and exclusion. The organi</w:t>
      </w:r>
      <w:r>
        <w:rPr>
          <w:lang w:val="en-GB"/>
        </w:rPr>
        <w:t>s</w:t>
      </w:r>
      <w:r>
        <w:rPr>
          <w:lang w:val="en-GB"/>
        </w:rPr>
        <w:t>ations such as Disability Rights UK are with the significant organi</w:t>
      </w:r>
      <w:r>
        <w:rPr>
          <w:lang w:val="en-GB"/>
        </w:rPr>
        <w:t>s</w:t>
      </w:r>
      <w:r>
        <w:rPr>
          <w:lang w:val="en-GB"/>
        </w:rPr>
        <w:t xml:space="preserve">ations in the UK that are working towards enhancing accessibility of care to disabled population. In task 2, Identification, assessment, and management of Type 2 Diabetes Mellitus has been discussed that is most prevalent among adults ageing from 40 and above by </w:t>
      </w:r>
      <w:r>
        <w:rPr>
          <w:lang w:val="en-GB"/>
        </w:rPr>
        <w:t>analysing</w:t>
      </w:r>
      <w:r>
        <w:rPr>
          <w:lang w:val="en-GB"/>
        </w:rPr>
        <w:t xml:space="preserve"> Newham Borough of London. Thus, Self-Management training and Community based Learning Programs has an effective interventions has been developed for addressing the knowledge gaps in the borough by providing customi</w:t>
      </w:r>
      <w:r>
        <w:rPr>
          <w:lang w:val="en-GB"/>
        </w:rPr>
        <w:t>s</w:t>
      </w:r>
      <w:r>
        <w:rPr>
          <w:lang w:val="en-GB"/>
        </w:rPr>
        <w:t xml:space="preserve">ed learning and </w:t>
      </w:r>
      <w:r>
        <w:rPr>
          <w:lang w:val="en-GB"/>
        </w:rPr>
        <w:t>self-management</w:t>
      </w:r>
      <w:r>
        <w:rPr>
          <w:lang w:val="en-GB"/>
        </w:rPr>
        <w:t xml:space="preserve"> training services. </w:t>
      </w:r>
    </w:p>
    <w:p w14:paraId="31AECD28">
      <w:pPr>
        <w:pStyle w:val="style0"/>
        <w:rPr>
          <w:lang w:val="en-GB"/>
        </w:rPr>
      </w:pPr>
    </w:p>
    <w:bookmarkStart w:id="7" w:name="_s384ovgqkfy9" w:colFirst="0" w:colLast="0"/>
    <w:bookmarkEnd w:id="7"/>
    <w:p w14:paraId="1A0133ED">
      <w:pPr>
        <w:pStyle w:val="style1"/>
        <w:rPr>
          <w:lang w:val="en-GB"/>
        </w:rPr>
      </w:pPr>
    </w:p>
    <w:bookmarkStart w:id="8" w:name="_h9fxt2nayf5x" w:colFirst="0" w:colLast="0"/>
    <w:bookmarkEnd w:id="8"/>
    <w:p w14:paraId="3B31CE02">
      <w:pPr>
        <w:pStyle w:val="style1"/>
        <w:rPr>
          <w:lang w:val="en-GB"/>
        </w:rPr>
      </w:pPr>
    </w:p>
    <w:bookmarkStart w:id="9" w:name="_ueikh43x8qmo" w:colFirst="0" w:colLast="0"/>
    <w:bookmarkEnd w:id="9"/>
    <w:p w14:paraId="00B90470">
      <w:pPr>
        <w:pStyle w:val="style1"/>
        <w:rPr>
          <w:lang w:val="en-GB"/>
        </w:rPr>
      </w:pPr>
      <w:r>
        <w:rPr>
          <w:lang w:val="en-GB"/>
        </w:rPr>
        <w:br w:type="page"/>
      </w:r>
    </w:p>
    <w:bookmarkStart w:id="10" w:name="_1wxlqs82s3h4" w:colFirst="0" w:colLast="0"/>
    <w:bookmarkEnd w:id="10"/>
    <w:p w14:paraId="54EBEAC4">
      <w:pPr>
        <w:pStyle w:val="style266"/>
        <w:jc w:val="center"/>
        <w:rPr>
          <w:rFonts w:ascii="Arial" w:cs="Arial" w:hAnsi="Arial"/>
          <w:b/>
          <w:color w:val="000000"/>
          <w:sz w:val="22"/>
        </w:rPr>
      </w:pPr>
      <w:r>
        <w:rPr>
          <w:rFonts w:ascii="Arial" w:cs="Arial" w:hAnsi="Arial"/>
          <w:b/>
          <w:color w:val="000000"/>
          <w:sz w:val="22"/>
        </w:rPr>
        <w:t>Table of Contents</w:t>
      </w:r>
    </w:p>
    <w:p w14:paraId="799A563D">
      <w:pPr>
        <w:pStyle w:val="style19"/>
        <w:tabs>
          <w:tab w:val="right" w:leader="dot" w:pos="9350"/>
        </w:tabs>
        <w:rPr>
          <w:rFonts w:ascii="Cambria" w:cs="宋体" w:eastAsia="宋体" w:hAnsi="Cambria"/>
          <w:noProof/>
          <w:lang w:val="en-GB"/>
        </w:rPr>
      </w:pPr>
      <w:r>
        <w:rPr/>
        <w:fldChar w:fldCharType="begin"/>
      </w:r>
      <w:r>
        <w:instrText xml:space="preserve"> TOC \o "1-3" \h \z \u </w:instrText>
      </w:r>
      <w:r>
        <w:rPr/>
        <w:fldChar w:fldCharType="separate"/>
      </w:r>
      <w:r>
        <w:rPr/>
        <w:fldChar w:fldCharType="begin"/>
      </w:r>
      <w:r>
        <w:instrText xml:space="preserve"> HYPERLINK \l "_Toc237278379" </w:instrText>
      </w:r>
      <w:r>
        <w:rPr/>
        <w:fldChar w:fldCharType="separate"/>
      </w:r>
      <w:r>
        <w:rPr>
          <w:rStyle w:val="style85"/>
          <w:noProof/>
          <w:lang w:val="en-GB"/>
        </w:rPr>
        <w:t>Task 1: Social Epidemiological Analysis</w:t>
      </w:r>
      <w:r>
        <w:rPr>
          <w:noProof/>
          <w:webHidden/>
        </w:rPr>
        <w:tab/>
      </w:r>
      <w:r>
        <w:rPr>
          <w:noProof/>
          <w:webHidden/>
        </w:rPr>
        <w:fldChar w:fldCharType="begin"/>
      </w:r>
      <w:r>
        <w:rPr>
          <w:noProof/>
          <w:webHidden/>
        </w:rPr>
        <w:instrText xml:space="preserve"> PAGEREF _Toc237278379 \h </w:instrText>
      </w:r>
      <w:r>
        <w:rPr>
          <w:noProof/>
          <w:webHidden/>
        </w:rPr>
        <w:fldChar w:fldCharType="separate"/>
      </w:r>
      <w:r>
        <w:rPr>
          <w:noProof/>
          <w:webHidden/>
        </w:rPr>
        <w:t>4</w:t>
      </w:r>
      <w:r>
        <w:rPr>
          <w:noProof/>
          <w:webHidden/>
        </w:rPr>
        <w:fldChar w:fldCharType="end"/>
      </w:r>
      <w:r>
        <w:rPr/>
        <w:fldChar w:fldCharType="end"/>
      </w:r>
    </w:p>
    <w:p w14:paraId="30EB6330">
      <w:pPr>
        <w:pStyle w:val="style20"/>
        <w:tabs>
          <w:tab w:val="right" w:leader="dot" w:pos="9350"/>
        </w:tabs>
        <w:rPr>
          <w:rFonts w:ascii="Cambria" w:cs="宋体" w:eastAsia="宋体" w:hAnsi="Cambria"/>
          <w:noProof/>
          <w:lang w:val="en-GB"/>
        </w:rPr>
      </w:pPr>
      <w:r>
        <w:rPr/>
        <w:fldChar w:fldCharType="begin"/>
      </w:r>
      <w:r>
        <w:instrText xml:space="preserve"> HYPERLINK \l "_Toc237278380" </w:instrText>
      </w:r>
      <w:r>
        <w:rPr/>
        <w:fldChar w:fldCharType="separate"/>
      </w:r>
      <w:r>
        <w:rPr>
          <w:rStyle w:val="style85"/>
          <w:noProof/>
          <w:lang w:val="en-GB"/>
        </w:rPr>
        <w:t>Introduction</w:t>
      </w:r>
      <w:r>
        <w:rPr>
          <w:noProof/>
          <w:webHidden/>
        </w:rPr>
        <w:tab/>
      </w:r>
      <w:r>
        <w:rPr>
          <w:noProof/>
          <w:webHidden/>
        </w:rPr>
        <w:fldChar w:fldCharType="begin"/>
      </w:r>
      <w:r>
        <w:rPr>
          <w:noProof/>
          <w:webHidden/>
        </w:rPr>
        <w:instrText xml:space="preserve"> PAGEREF _Toc237278380 \h </w:instrText>
      </w:r>
      <w:r>
        <w:rPr>
          <w:noProof/>
          <w:webHidden/>
        </w:rPr>
        <w:fldChar w:fldCharType="separate"/>
      </w:r>
      <w:r>
        <w:rPr>
          <w:noProof/>
          <w:webHidden/>
        </w:rPr>
        <w:t>4</w:t>
      </w:r>
      <w:r>
        <w:rPr>
          <w:noProof/>
          <w:webHidden/>
        </w:rPr>
        <w:fldChar w:fldCharType="end"/>
      </w:r>
      <w:r>
        <w:rPr/>
        <w:fldChar w:fldCharType="end"/>
      </w:r>
    </w:p>
    <w:p w14:paraId="5148FA2F">
      <w:pPr>
        <w:pStyle w:val="style20"/>
        <w:tabs>
          <w:tab w:val="right" w:leader="dot" w:pos="9350"/>
        </w:tabs>
        <w:rPr>
          <w:rFonts w:ascii="Cambria" w:cs="宋体" w:eastAsia="宋体" w:hAnsi="Cambria"/>
          <w:noProof/>
          <w:lang w:val="en-GB"/>
        </w:rPr>
      </w:pPr>
      <w:r>
        <w:rPr/>
        <w:fldChar w:fldCharType="begin"/>
      </w:r>
      <w:r>
        <w:instrText xml:space="preserve"> HYPERLINK \l "_Toc237278381" </w:instrText>
      </w:r>
      <w:r>
        <w:rPr/>
        <w:fldChar w:fldCharType="separate"/>
      </w:r>
      <w:r>
        <w:rPr>
          <w:rStyle w:val="style85"/>
          <w:noProof/>
          <w:lang w:val="en-GB"/>
        </w:rPr>
        <w:t>Contextual background and underlying factor</w:t>
      </w:r>
      <w:r>
        <w:rPr>
          <w:noProof/>
          <w:webHidden/>
        </w:rPr>
        <w:tab/>
      </w:r>
      <w:r>
        <w:rPr>
          <w:noProof/>
          <w:webHidden/>
        </w:rPr>
        <w:fldChar w:fldCharType="begin"/>
      </w:r>
      <w:r>
        <w:rPr>
          <w:noProof/>
          <w:webHidden/>
        </w:rPr>
        <w:instrText xml:space="preserve"> PAGEREF _Toc237278381 \h </w:instrText>
      </w:r>
      <w:r>
        <w:rPr>
          <w:noProof/>
          <w:webHidden/>
        </w:rPr>
        <w:fldChar w:fldCharType="separate"/>
      </w:r>
      <w:r>
        <w:rPr>
          <w:noProof/>
          <w:webHidden/>
        </w:rPr>
        <w:t>4</w:t>
      </w:r>
      <w:r>
        <w:rPr>
          <w:noProof/>
          <w:webHidden/>
        </w:rPr>
        <w:fldChar w:fldCharType="end"/>
      </w:r>
      <w:r>
        <w:rPr/>
        <w:fldChar w:fldCharType="end"/>
      </w:r>
    </w:p>
    <w:p w14:paraId="77B2BD6E">
      <w:pPr>
        <w:pStyle w:val="style21"/>
        <w:tabs>
          <w:tab w:val="right" w:leader="dot" w:pos="9350"/>
        </w:tabs>
        <w:rPr>
          <w:rFonts w:ascii="Cambria" w:cs="宋体" w:eastAsia="宋体" w:hAnsi="Cambria"/>
          <w:noProof/>
          <w:lang w:val="en-GB"/>
        </w:rPr>
      </w:pPr>
      <w:r>
        <w:rPr/>
        <w:fldChar w:fldCharType="begin"/>
      </w:r>
      <w:r>
        <w:instrText xml:space="preserve"> HYPERLINK \l "_Toc237278382" </w:instrText>
      </w:r>
      <w:r>
        <w:rPr/>
        <w:fldChar w:fldCharType="separate"/>
      </w:r>
      <w:r>
        <w:rPr>
          <w:rStyle w:val="style85"/>
          <w:noProof/>
          <w:lang w:val="en-GB"/>
        </w:rPr>
        <w:t>3 diseases/illness</w:t>
      </w:r>
      <w:r>
        <w:rPr>
          <w:noProof/>
          <w:webHidden/>
        </w:rPr>
        <w:tab/>
      </w:r>
      <w:r>
        <w:rPr>
          <w:noProof/>
          <w:webHidden/>
        </w:rPr>
        <w:fldChar w:fldCharType="begin"/>
      </w:r>
      <w:r>
        <w:rPr>
          <w:noProof/>
          <w:webHidden/>
        </w:rPr>
        <w:instrText xml:space="preserve"> PAGEREF _Toc237278382 \h </w:instrText>
      </w:r>
      <w:r>
        <w:rPr>
          <w:noProof/>
          <w:webHidden/>
        </w:rPr>
        <w:fldChar w:fldCharType="separate"/>
      </w:r>
      <w:r>
        <w:rPr>
          <w:noProof/>
          <w:webHidden/>
        </w:rPr>
        <w:t>4</w:t>
      </w:r>
      <w:r>
        <w:rPr>
          <w:noProof/>
          <w:webHidden/>
        </w:rPr>
        <w:fldChar w:fldCharType="end"/>
      </w:r>
      <w:r>
        <w:rPr/>
        <w:fldChar w:fldCharType="end"/>
      </w:r>
    </w:p>
    <w:p w14:paraId="1F1A156E">
      <w:pPr>
        <w:pStyle w:val="style21"/>
        <w:tabs>
          <w:tab w:val="right" w:leader="dot" w:pos="9350"/>
        </w:tabs>
        <w:rPr>
          <w:rFonts w:ascii="Cambria" w:cs="宋体" w:eastAsia="宋体" w:hAnsi="Cambria"/>
          <w:noProof/>
          <w:lang w:val="en-GB"/>
        </w:rPr>
      </w:pPr>
      <w:r>
        <w:rPr/>
        <w:fldChar w:fldCharType="begin"/>
      </w:r>
      <w:r>
        <w:instrText xml:space="preserve"> HYPERLINK \l "_Toc237278383" </w:instrText>
      </w:r>
      <w:r>
        <w:rPr/>
        <w:fldChar w:fldCharType="separate"/>
      </w:r>
      <w:r>
        <w:rPr>
          <w:rStyle w:val="style85"/>
          <w:noProof/>
          <w:lang w:val="en-GB"/>
        </w:rPr>
        <w:t>3 social issues</w:t>
      </w:r>
      <w:r>
        <w:rPr>
          <w:noProof/>
          <w:webHidden/>
        </w:rPr>
        <w:tab/>
      </w:r>
      <w:r>
        <w:rPr>
          <w:noProof/>
          <w:webHidden/>
        </w:rPr>
        <w:fldChar w:fldCharType="begin"/>
      </w:r>
      <w:r>
        <w:rPr>
          <w:noProof/>
          <w:webHidden/>
        </w:rPr>
        <w:instrText xml:space="preserve"> PAGEREF _Toc237278383 \h </w:instrText>
      </w:r>
      <w:r>
        <w:rPr>
          <w:noProof/>
          <w:webHidden/>
        </w:rPr>
        <w:fldChar w:fldCharType="separate"/>
      </w:r>
      <w:r>
        <w:rPr>
          <w:noProof/>
          <w:webHidden/>
        </w:rPr>
        <w:t>5</w:t>
      </w:r>
      <w:r>
        <w:rPr>
          <w:noProof/>
          <w:webHidden/>
        </w:rPr>
        <w:fldChar w:fldCharType="end"/>
      </w:r>
      <w:r>
        <w:rPr/>
        <w:fldChar w:fldCharType="end"/>
      </w:r>
    </w:p>
    <w:p w14:paraId="46B4E92A">
      <w:pPr>
        <w:pStyle w:val="style20"/>
        <w:tabs>
          <w:tab w:val="right" w:leader="dot" w:pos="9350"/>
        </w:tabs>
        <w:rPr>
          <w:rFonts w:ascii="Cambria" w:cs="宋体" w:eastAsia="宋体" w:hAnsi="Cambria"/>
          <w:noProof/>
          <w:lang w:val="en-GB"/>
        </w:rPr>
      </w:pPr>
      <w:r>
        <w:rPr/>
        <w:fldChar w:fldCharType="begin"/>
      </w:r>
      <w:r>
        <w:instrText xml:space="preserve"> HYPERLINK \l "_Toc237278384" </w:instrText>
      </w:r>
      <w:r>
        <w:rPr/>
        <w:fldChar w:fldCharType="separate"/>
      </w:r>
      <w:r>
        <w:rPr>
          <w:rStyle w:val="style85"/>
          <w:noProof/>
          <w:lang w:val="en-GB"/>
        </w:rPr>
        <w:t>National Response to reduce health inequalities in your chosen group</w:t>
      </w:r>
      <w:r>
        <w:rPr>
          <w:noProof/>
          <w:webHidden/>
        </w:rPr>
        <w:tab/>
      </w:r>
      <w:r>
        <w:rPr>
          <w:noProof/>
          <w:webHidden/>
        </w:rPr>
        <w:fldChar w:fldCharType="begin"/>
      </w:r>
      <w:r>
        <w:rPr>
          <w:noProof/>
          <w:webHidden/>
        </w:rPr>
        <w:instrText xml:space="preserve"> PAGEREF _Toc237278384 \h </w:instrText>
      </w:r>
      <w:r>
        <w:rPr>
          <w:noProof/>
          <w:webHidden/>
        </w:rPr>
        <w:fldChar w:fldCharType="separate"/>
      </w:r>
      <w:r>
        <w:rPr>
          <w:noProof/>
          <w:webHidden/>
        </w:rPr>
        <w:t>6</w:t>
      </w:r>
      <w:r>
        <w:rPr>
          <w:noProof/>
          <w:webHidden/>
        </w:rPr>
        <w:fldChar w:fldCharType="end"/>
      </w:r>
      <w:r>
        <w:rPr/>
        <w:fldChar w:fldCharType="end"/>
      </w:r>
    </w:p>
    <w:p w14:paraId="2561BFAF">
      <w:pPr>
        <w:pStyle w:val="style20"/>
        <w:tabs>
          <w:tab w:val="right" w:leader="dot" w:pos="9350"/>
        </w:tabs>
        <w:rPr>
          <w:rFonts w:ascii="Cambria" w:cs="宋体" w:eastAsia="宋体" w:hAnsi="Cambria"/>
          <w:noProof/>
          <w:lang w:val="en-GB"/>
        </w:rPr>
      </w:pPr>
      <w:r>
        <w:rPr/>
        <w:fldChar w:fldCharType="begin"/>
      </w:r>
      <w:r>
        <w:instrText xml:space="preserve"> HYPERLINK \l "_Toc237278385" </w:instrText>
      </w:r>
      <w:r>
        <w:rPr/>
        <w:fldChar w:fldCharType="separate"/>
      </w:r>
      <w:r>
        <w:rPr>
          <w:rStyle w:val="style85"/>
          <w:noProof/>
          <w:lang w:val="en-GB"/>
        </w:rPr>
        <w:t>Organisations supporting the chosen group</w:t>
      </w:r>
      <w:r>
        <w:rPr>
          <w:noProof/>
          <w:webHidden/>
        </w:rPr>
        <w:tab/>
      </w:r>
      <w:r>
        <w:rPr>
          <w:noProof/>
          <w:webHidden/>
        </w:rPr>
        <w:fldChar w:fldCharType="begin"/>
      </w:r>
      <w:r>
        <w:rPr>
          <w:noProof/>
          <w:webHidden/>
        </w:rPr>
        <w:instrText xml:space="preserve"> PAGEREF _Toc237278385 \h </w:instrText>
      </w:r>
      <w:r>
        <w:rPr>
          <w:noProof/>
          <w:webHidden/>
        </w:rPr>
        <w:fldChar w:fldCharType="separate"/>
      </w:r>
      <w:r>
        <w:rPr>
          <w:noProof/>
          <w:webHidden/>
        </w:rPr>
        <w:t>7</w:t>
      </w:r>
      <w:r>
        <w:rPr>
          <w:noProof/>
          <w:webHidden/>
        </w:rPr>
        <w:fldChar w:fldCharType="end"/>
      </w:r>
      <w:r>
        <w:rPr/>
        <w:fldChar w:fldCharType="end"/>
      </w:r>
    </w:p>
    <w:p w14:paraId="320364BB">
      <w:pPr>
        <w:pStyle w:val="style20"/>
        <w:tabs>
          <w:tab w:val="right" w:leader="dot" w:pos="9350"/>
        </w:tabs>
        <w:rPr>
          <w:rFonts w:ascii="Cambria" w:cs="宋体" w:eastAsia="宋体" w:hAnsi="Cambria"/>
          <w:noProof/>
          <w:lang w:val="en-GB"/>
        </w:rPr>
      </w:pPr>
      <w:r>
        <w:rPr/>
        <w:fldChar w:fldCharType="begin"/>
      </w:r>
      <w:r>
        <w:instrText xml:space="preserve"> HYPERLINK \l "_Toc237278386" </w:instrText>
      </w:r>
      <w:r>
        <w:rPr/>
        <w:fldChar w:fldCharType="separate"/>
      </w:r>
      <w:r>
        <w:rPr>
          <w:rStyle w:val="style85"/>
          <w:noProof/>
          <w:lang w:val="en-GB"/>
        </w:rPr>
        <w:t>Conclusion</w:t>
      </w:r>
      <w:r>
        <w:rPr>
          <w:noProof/>
          <w:webHidden/>
        </w:rPr>
        <w:tab/>
      </w:r>
      <w:r>
        <w:rPr>
          <w:noProof/>
          <w:webHidden/>
        </w:rPr>
        <w:fldChar w:fldCharType="begin"/>
      </w:r>
      <w:r>
        <w:rPr>
          <w:noProof/>
          <w:webHidden/>
        </w:rPr>
        <w:instrText xml:space="preserve"> PAGEREF _Toc237278386 \h </w:instrText>
      </w:r>
      <w:r>
        <w:rPr>
          <w:noProof/>
          <w:webHidden/>
        </w:rPr>
        <w:fldChar w:fldCharType="separate"/>
      </w:r>
      <w:r>
        <w:rPr>
          <w:noProof/>
          <w:webHidden/>
        </w:rPr>
        <w:t>7</w:t>
      </w:r>
      <w:r>
        <w:rPr>
          <w:noProof/>
          <w:webHidden/>
        </w:rPr>
        <w:fldChar w:fldCharType="end"/>
      </w:r>
      <w:r>
        <w:rPr/>
        <w:fldChar w:fldCharType="end"/>
      </w:r>
    </w:p>
    <w:p w14:paraId="473C30B3">
      <w:pPr>
        <w:pStyle w:val="style19"/>
        <w:tabs>
          <w:tab w:val="right" w:leader="dot" w:pos="9350"/>
        </w:tabs>
        <w:rPr>
          <w:rFonts w:ascii="Cambria" w:cs="宋体" w:eastAsia="宋体" w:hAnsi="Cambria"/>
          <w:noProof/>
          <w:lang w:val="en-GB"/>
        </w:rPr>
      </w:pPr>
      <w:r>
        <w:rPr/>
        <w:fldChar w:fldCharType="begin"/>
      </w:r>
      <w:r>
        <w:instrText xml:space="preserve"> HYPERLINK \l "_Toc237278387" </w:instrText>
      </w:r>
      <w:r>
        <w:rPr/>
        <w:fldChar w:fldCharType="separate"/>
      </w:r>
      <w:r>
        <w:rPr>
          <w:rStyle w:val="style85"/>
          <w:noProof/>
          <w:lang w:val="en-GB"/>
        </w:rPr>
        <w:t>Task 2- Epidemiological Analysis</w:t>
      </w:r>
      <w:r>
        <w:rPr>
          <w:noProof/>
          <w:webHidden/>
        </w:rPr>
        <w:tab/>
      </w:r>
      <w:r>
        <w:rPr>
          <w:noProof/>
          <w:webHidden/>
        </w:rPr>
        <w:fldChar w:fldCharType="begin"/>
      </w:r>
      <w:r>
        <w:rPr>
          <w:noProof/>
          <w:webHidden/>
        </w:rPr>
        <w:instrText xml:space="preserve"> PAGEREF _Toc237278387 \h </w:instrText>
      </w:r>
      <w:r>
        <w:rPr>
          <w:noProof/>
          <w:webHidden/>
        </w:rPr>
        <w:fldChar w:fldCharType="separate"/>
      </w:r>
      <w:r>
        <w:rPr>
          <w:noProof/>
          <w:webHidden/>
        </w:rPr>
        <w:t>8</w:t>
      </w:r>
      <w:r>
        <w:rPr>
          <w:noProof/>
          <w:webHidden/>
        </w:rPr>
        <w:fldChar w:fldCharType="end"/>
      </w:r>
      <w:r>
        <w:rPr/>
        <w:fldChar w:fldCharType="end"/>
      </w:r>
    </w:p>
    <w:p w14:paraId="6B2529E7">
      <w:pPr>
        <w:pStyle w:val="style20"/>
        <w:tabs>
          <w:tab w:val="right" w:leader="dot" w:pos="9350"/>
        </w:tabs>
        <w:rPr>
          <w:rFonts w:ascii="Cambria" w:cs="宋体" w:eastAsia="宋体" w:hAnsi="Cambria"/>
          <w:noProof/>
          <w:lang w:val="en-GB"/>
        </w:rPr>
      </w:pPr>
      <w:r>
        <w:rPr/>
        <w:fldChar w:fldCharType="begin"/>
      </w:r>
      <w:r>
        <w:instrText xml:space="preserve"> HYPERLINK \l "_Toc237278388" </w:instrText>
      </w:r>
      <w:r>
        <w:rPr/>
        <w:fldChar w:fldCharType="separate"/>
      </w:r>
      <w:r>
        <w:rPr>
          <w:rStyle w:val="style85"/>
          <w:noProof/>
          <w:lang w:val="en-GB"/>
        </w:rPr>
        <w:t>Introduction</w:t>
      </w:r>
      <w:r>
        <w:rPr>
          <w:noProof/>
          <w:webHidden/>
        </w:rPr>
        <w:tab/>
      </w:r>
      <w:r>
        <w:rPr>
          <w:noProof/>
          <w:webHidden/>
        </w:rPr>
        <w:fldChar w:fldCharType="begin"/>
      </w:r>
      <w:r>
        <w:rPr>
          <w:noProof/>
          <w:webHidden/>
        </w:rPr>
        <w:instrText xml:space="preserve"> PAGEREF _Toc237278388 \h </w:instrText>
      </w:r>
      <w:r>
        <w:rPr>
          <w:noProof/>
          <w:webHidden/>
        </w:rPr>
        <w:fldChar w:fldCharType="separate"/>
      </w:r>
      <w:r>
        <w:rPr>
          <w:noProof/>
          <w:webHidden/>
        </w:rPr>
        <w:t>8</w:t>
      </w:r>
      <w:r>
        <w:rPr>
          <w:noProof/>
          <w:webHidden/>
        </w:rPr>
        <w:fldChar w:fldCharType="end"/>
      </w:r>
      <w:r>
        <w:rPr/>
        <w:fldChar w:fldCharType="end"/>
      </w:r>
    </w:p>
    <w:p w14:paraId="0BC56BD2">
      <w:pPr>
        <w:pStyle w:val="style20"/>
        <w:tabs>
          <w:tab w:val="right" w:leader="dot" w:pos="9350"/>
        </w:tabs>
        <w:rPr>
          <w:rFonts w:ascii="Cambria" w:cs="宋体" w:eastAsia="宋体" w:hAnsi="Cambria"/>
          <w:noProof/>
          <w:lang w:val="en-GB"/>
        </w:rPr>
      </w:pPr>
      <w:r>
        <w:rPr/>
        <w:fldChar w:fldCharType="begin"/>
      </w:r>
      <w:r>
        <w:instrText xml:space="preserve"> HYPERLINK \l "_Toc237278389" </w:instrText>
      </w:r>
      <w:r>
        <w:rPr/>
        <w:fldChar w:fldCharType="separate"/>
      </w:r>
      <w:r>
        <w:rPr>
          <w:rStyle w:val="style85"/>
          <w:noProof/>
          <w:lang w:val="en-GB"/>
        </w:rPr>
        <w:t>Main Body</w:t>
      </w:r>
      <w:r>
        <w:rPr>
          <w:noProof/>
          <w:webHidden/>
        </w:rPr>
        <w:tab/>
      </w:r>
      <w:r>
        <w:rPr>
          <w:noProof/>
          <w:webHidden/>
        </w:rPr>
        <w:fldChar w:fldCharType="begin"/>
      </w:r>
      <w:r>
        <w:rPr>
          <w:noProof/>
          <w:webHidden/>
        </w:rPr>
        <w:instrText xml:space="preserve"> PAGEREF _Toc237278389 \h </w:instrText>
      </w:r>
      <w:r>
        <w:rPr>
          <w:noProof/>
          <w:webHidden/>
        </w:rPr>
        <w:fldChar w:fldCharType="separate"/>
      </w:r>
      <w:r>
        <w:rPr>
          <w:noProof/>
          <w:webHidden/>
        </w:rPr>
        <w:t>8</w:t>
      </w:r>
      <w:r>
        <w:rPr>
          <w:noProof/>
          <w:webHidden/>
        </w:rPr>
        <w:fldChar w:fldCharType="end"/>
      </w:r>
      <w:r>
        <w:rPr/>
        <w:fldChar w:fldCharType="end"/>
      </w:r>
    </w:p>
    <w:p w14:paraId="2FC61628">
      <w:pPr>
        <w:pStyle w:val="style21"/>
        <w:tabs>
          <w:tab w:val="right" w:leader="dot" w:pos="9350"/>
        </w:tabs>
        <w:rPr>
          <w:rFonts w:ascii="Cambria" w:cs="宋体" w:eastAsia="宋体" w:hAnsi="Cambria"/>
          <w:noProof/>
          <w:lang w:val="en-GB"/>
        </w:rPr>
      </w:pPr>
      <w:r>
        <w:rPr/>
        <w:fldChar w:fldCharType="begin"/>
      </w:r>
      <w:r>
        <w:instrText xml:space="preserve"> HYPERLINK \l "_Toc237278390" </w:instrText>
      </w:r>
      <w:r>
        <w:rPr/>
        <w:fldChar w:fldCharType="separate"/>
      </w:r>
      <w:r>
        <w:rPr>
          <w:rStyle w:val="style85"/>
          <w:noProof/>
          <w:lang w:val="en-GB"/>
        </w:rPr>
        <w:t>Public health measures to contain, manage, treat, and reduce/control the impact of health problem using 3 P’s framework</w:t>
      </w:r>
      <w:r>
        <w:rPr>
          <w:noProof/>
          <w:webHidden/>
        </w:rPr>
        <w:tab/>
      </w:r>
      <w:r>
        <w:rPr>
          <w:noProof/>
          <w:webHidden/>
        </w:rPr>
        <w:fldChar w:fldCharType="begin"/>
      </w:r>
      <w:r>
        <w:rPr>
          <w:noProof/>
          <w:webHidden/>
        </w:rPr>
        <w:instrText xml:space="preserve"> PAGEREF _Toc237278390 \h </w:instrText>
      </w:r>
      <w:r>
        <w:rPr>
          <w:noProof/>
          <w:webHidden/>
        </w:rPr>
        <w:fldChar w:fldCharType="separate"/>
      </w:r>
      <w:r>
        <w:rPr>
          <w:noProof/>
          <w:webHidden/>
        </w:rPr>
        <w:t>8</w:t>
      </w:r>
      <w:r>
        <w:rPr>
          <w:noProof/>
          <w:webHidden/>
        </w:rPr>
        <w:fldChar w:fldCharType="end"/>
      </w:r>
      <w:r>
        <w:rPr/>
        <w:fldChar w:fldCharType="end"/>
      </w:r>
    </w:p>
    <w:p w14:paraId="5D4CBF37">
      <w:pPr>
        <w:pStyle w:val="style21"/>
        <w:tabs>
          <w:tab w:val="right" w:leader="dot" w:pos="9350"/>
        </w:tabs>
        <w:rPr>
          <w:rFonts w:ascii="Cambria" w:cs="宋体" w:eastAsia="宋体" w:hAnsi="Cambria"/>
          <w:noProof/>
          <w:lang w:val="en-GB"/>
        </w:rPr>
      </w:pPr>
      <w:r>
        <w:rPr/>
        <w:fldChar w:fldCharType="begin"/>
      </w:r>
      <w:r>
        <w:instrText xml:space="preserve"> HYPERLINK \l "_Toc237278391" </w:instrText>
      </w:r>
      <w:r>
        <w:rPr/>
        <w:fldChar w:fldCharType="separate"/>
      </w:r>
      <w:r>
        <w:rPr>
          <w:rStyle w:val="style85"/>
          <w:noProof/>
          <w:lang w:val="en-GB"/>
        </w:rPr>
        <w:t>Key determinants and risk factors</w:t>
      </w:r>
      <w:r>
        <w:rPr>
          <w:noProof/>
          <w:webHidden/>
        </w:rPr>
        <w:tab/>
      </w:r>
      <w:r>
        <w:rPr>
          <w:noProof/>
          <w:webHidden/>
        </w:rPr>
        <w:fldChar w:fldCharType="begin"/>
      </w:r>
      <w:r>
        <w:rPr>
          <w:noProof/>
          <w:webHidden/>
        </w:rPr>
        <w:instrText xml:space="preserve"> PAGEREF _Toc237278391 \h </w:instrText>
      </w:r>
      <w:r>
        <w:rPr>
          <w:noProof/>
          <w:webHidden/>
        </w:rPr>
        <w:fldChar w:fldCharType="separate"/>
      </w:r>
      <w:r>
        <w:rPr>
          <w:noProof/>
          <w:webHidden/>
        </w:rPr>
        <w:t>9</w:t>
      </w:r>
      <w:r>
        <w:rPr>
          <w:noProof/>
          <w:webHidden/>
        </w:rPr>
        <w:fldChar w:fldCharType="end"/>
      </w:r>
      <w:r>
        <w:rPr/>
        <w:fldChar w:fldCharType="end"/>
      </w:r>
    </w:p>
    <w:p w14:paraId="64509425">
      <w:pPr>
        <w:pStyle w:val="style21"/>
        <w:tabs>
          <w:tab w:val="right" w:leader="dot" w:pos="9350"/>
        </w:tabs>
        <w:rPr>
          <w:rFonts w:ascii="Cambria" w:cs="宋体" w:eastAsia="宋体" w:hAnsi="Cambria"/>
          <w:noProof/>
          <w:lang w:val="en-GB"/>
        </w:rPr>
      </w:pPr>
      <w:r>
        <w:rPr/>
        <w:fldChar w:fldCharType="begin"/>
      </w:r>
      <w:r>
        <w:instrText xml:space="preserve"> HYPERLINK \l "_Toc237278392" </w:instrText>
      </w:r>
      <w:r>
        <w:rPr/>
        <w:fldChar w:fldCharType="separate"/>
      </w:r>
      <w:r>
        <w:rPr>
          <w:rStyle w:val="style85"/>
          <w:noProof/>
          <w:lang w:val="en-GB"/>
        </w:rPr>
        <w:t>Defining population in high risks of the issues</w:t>
      </w:r>
      <w:r>
        <w:rPr>
          <w:noProof/>
          <w:webHidden/>
        </w:rPr>
        <w:tab/>
      </w:r>
      <w:r>
        <w:rPr>
          <w:noProof/>
          <w:webHidden/>
        </w:rPr>
        <w:fldChar w:fldCharType="begin"/>
      </w:r>
      <w:r>
        <w:rPr>
          <w:noProof/>
          <w:webHidden/>
        </w:rPr>
        <w:instrText xml:space="preserve"> PAGEREF _Toc237278392 \h </w:instrText>
      </w:r>
      <w:r>
        <w:rPr>
          <w:noProof/>
          <w:webHidden/>
        </w:rPr>
        <w:fldChar w:fldCharType="separate"/>
      </w:r>
      <w:r>
        <w:rPr>
          <w:noProof/>
          <w:webHidden/>
        </w:rPr>
        <w:t>10</w:t>
      </w:r>
      <w:r>
        <w:rPr>
          <w:noProof/>
          <w:webHidden/>
        </w:rPr>
        <w:fldChar w:fldCharType="end"/>
      </w:r>
      <w:r>
        <w:rPr/>
        <w:fldChar w:fldCharType="end"/>
      </w:r>
    </w:p>
    <w:p w14:paraId="02503041">
      <w:pPr>
        <w:pStyle w:val="style21"/>
        <w:tabs>
          <w:tab w:val="right" w:leader="dot" w:pos="9350"/>
        </w:tabs>
        <w:rPr>
          <w:rFonts w:ascii="Cambria" w:cs="宋体" w:eastAsia="宋体" w:hAnsi="Cambria"/>
          <w:noProof/>
          <w:lang w:val="en-GB"/>
        </w:rPr>
      </w:pPr>
      <w:r>
        <w:rPr/>
        <w:fldChar w:fldCharType="begin"/>
      </w:r>
      <w:r>
        <w:instrText xml:space="preserve"> HYPERLINK \l "_Toc237278393" </w:instrText>
      </w:r>
      <w:r>
        <w:rPr/>
        <w:fldChar w:fldCharType="separate"/>
      </w:r>
      <w:r>
        <w:rPr>
          <w:rStyle w:val="style85"/>
          <w:noProof/>
          <w:lang w:val="en-GB"/>
        </w:rPr>
        <w:t>Main public health approaches and strategies used to monitor the incidences</w:t>
      </w:r>
      <w:r>
        <w:rPr>
          <w:noProof/>
          <w:webHidden/>
        </w:rPr>
        <w:tab/>
      </w:r>
      <w:r>
        <w:rPr>
          <w:noProof/>
          <w:webHidden/>
        </w:rPr>
        <w:fldChar w:fldCharType="begin"/>
      </w:r>
      <w:r>
        <w:rPr>
          <w:noProof/>
          <w:webHidden/>
        </w:rPr>
        <w:instrText xml:space="preserve"> PAGEREF _Toc237278393 \h </w:instrText>
      </w:r>
      <w:r>
        <w:rPr>
          <w:noProof/>
          <w:webHidden/>
        </w:rPr>
        <w:fldChar w:fldCharType="separate"/>
      </w:r>
      <w:r>
        <w:rPr>
          <w:noProof/>
          <w:webHidden/>
        </w:rPr>
        <w:t>10</w:t>
      </w:r>
      <w:r>
        <w:rPr>
          <w:noProof/>
          <w:webHidden/>
        </w:rPr>
        <w:fldChar w:fldCharType="end"/>
      </w:r>
      <w:r>
        <w:rPr/>
        <w:fldChar w:fldCharType="end"/>
      </w:r>
    </w:p>
    <w:p w14:paraId="5957D4CD">
      <w:pPr>
        <w:pStyle w:val="style21"/>
        <w:tabs>
          <w:tab w:val="right" w:leader="dot" w:pos="9350"/>
        </w:tabs>
        <w:rPr>
          <w:rFonts w:ascii="Cambria" w:cs="宋体" w:eastAsia="宋体" w:hAnsi="Cambria"/>
          <w:noProof/>
          <w:lang w:val="en-GB"/>
        </w:rPr>
      </w:pPr>
      <w:r>
        <w:rPr/>
        <w:fldChar w:fldCharType="begin"/>
      </w:r>
      <w:r>
        <w:instrText xml:space="preserve"> HYPERLINK \l "_Toc237278394" </w:instrText>
      </w:r>
      <w:r>
        <w:rPr/>
        <w:fldChar w:fldCharType="separate"/>
      </w:r>
      <w:r>
        <w:rPr>
          <w:rStyle w:val="style85"/>
          <w:noProof/>
          <w:lang w:val="en-GB"/>
        </w:rPr>
        <w:t>Determining the public health impact/short- and long-term consequences</w:t>
      </w:r>
      <w:r>
        <w:rPr>
          <w:noProof/>
          <w:webHidden/>
        </w:rPr>
        <w:tab/>
      </w:r>
      <w:r>
        <w:rPr>
          <w:noProof/>
          <w:webHidden/>
        </w:rPr>
        <w:fldChar w:fldCharType="begin"/>
      </w:r>
      <w:r>
        <w:rPr>
          <w:noProof/>
          <w:webHidden/>
        </w:rPr>
        <w:instrText xml:space="preserve"> PAGEREF _Toc237278394 \h </w:instrText>
      </w:r>
      <w:r>
        <w:rPr>
          <w:noProof/>
          <w:webHidden/>
        </w:rPr>
        <w:fldChar w:fldCharType="separate"/>
      </w:r>
      <w:r>
        <w:rPr>
          <w:noProof/>
          <w:webHidden/>
        </w:rPr>
        <w:t>11</w:t>
      </w:r>
      <w:r>
        <w:rPr>
          <w:noProof/>
          <w:webHidden/>
        </w:rPr>
        <w:fldChar w:fldCharType="end"/>
      </w:r>
      <w:r>
        <w:rPr/>
        <w:fldChar w:fldCharType="end"/>
      </w:r>
    </w:p>
    <w:p w14:paraId="198B963E">
      <w:pPr>
        <w:pStyle w:val="style21"/>
        <w:tabs>
          <w:tab w:val="right" w:leader="dot" w:pos="9350"/>
        </w:tabs>
        <w:rPr>
          <w:rFonts w:ascii="Cambria" w:cs="宋体" w:eastAsia="宋体" w:hAnsi="Cambria"/>
          <w:noProof/>
          <w:lang w:val="en-GB"/>
        </w:rPr>
      </w:pPr>
      <w:r>
        <w:rPr/>
        <w:fldChar w:fldCharType="begin"/>
      </w:r>
      <w:r>
        <w:instrText xml:space="preserve"> HYPERLINK \l "_Toc237278395" </w:instrText>
      </w:r>
      <w:r>
        <w:rPr/>
        <w:fldChar w:fldCharType="separate"/>
      </w:r>
      <w:r>
        <w:rPr>
          <w:rStyle w:val="style85"/>
          <w:noProof/>
          <w:lang w:val="en-GB"/>
        </w:rPr>
        <w:t>Designing an health intervention programme</w:t>
      </w:r>
      <w:r>
        <w:rPr>
          <w:noProof/>
          <w:webHidden/>
        </w:rPr>
        <w:tab/>
      </w:r>
      <w:r>
        <w:rPr>
          <w:noProof/>
          <w:webHidden/>
        </w:rPr>
        <w:fldChar w:fldCharType="begin"/>
      </w:r>
      <w:r>
        <w:rPr>
          <w:noProof/>
          <w:webHidden/>
        </w:rPr>
        <w:instrText xml:space="preserve"> PAGEREF _Toc237278395 \h </w:instrText>
      </w:r>
      <w:r>
        <w:rPr>
          <w:noProof/>
          <w:webHidden/>
        </w:rPr>
        <w:fldChar w:fldCharType="separate"/>
      </w:r>
      <w:r>
        <w:rPr>
          <w:noProof/>
          <w:webHidden/>
        </w:rPr>
        <w:t>11</w:t>
      </w:r>
      <w:r>
        <w:rPr>
          <w:noProof/>
          <w:webHidden/>
        </w:rPr>
        <w:fldChar w:fldCharType="end"/>
      </w:r>
      <w:r>
        <w:rPr/>
        <w:fldChar w:fldCharType="end"/>
      </w:r>
    </w:p>
    <w:p w14:paraId="1B0F83DF">
      <w:pPr>
        <w:pStyle w:val="style21"/>
        <w:tabs>
          <w:tab w:val="right" w:leader="dot" w:pos="9350"/>
        </w:tabs>
        <w:rPr>
          <w:rFonts w:ascii="Cambria" w:cs="宋体" w:eastAsia="宋体" w:hAnsi="Cambria"/>
          <w:noProof/>
          <w:lang w:val="en-GB"/>
        </w:rPr>
      </w:pPr>
      <w:r>
        <w:rPr/>
        <w:fldChar w:fldCharType="begin"/>
      </w:r>
      <w:r>
        <w:instrText xml:space="preserve"> HYPERLINK \l "_Toc237278396" </w:instrText>
      </w:r>
      <w:r>
        <w:rPr/>
        <w:fldChar w:fldCharType="separate"/>
      </w:r>
      <w:r>
        <w:rPr>
          <w:rStyle w:val="style85"/>
          <w:noProof/>
          <w:lang w:val="en-GB"/>
        </w:rPr>
        <w:t>Outlining strengths and weaknesses of the designed epidemiological intervention</w:t>
      </w:r>
      <w:r>
        <w:rPr>
          <w:noProof/>
          <w:webHidden/>
        </w:rPr>
        <w:tab/>
      </w:r>
      <w:r>
        <w:rPr>
          <w:noProof/>
          <w:webHidden/>
        </w:rPr>
        <w:fldChar w:fldCharType="begin"/>
      </w:r>
      <w:r>
        <w:rPr>
          <w:noProof/>
          <w:webHidden/>
        </w:rPr>
        <w:instrText xml:space="preserve"> PAGEREF _Toc237278396 \h </w:instrText>
      </w:r>
      <w:r>
        <w:rPr>
          <w:noProof/>
          <w:webHidden/>
        </w:rPr>
        <w:fldChar w:fldCharType="separate"/>
      </w:r>
      <w:r>
        <w:rPr>
          <w:noProof/>
          <w:webHidden/>
        </w:rPr>
        <w:t>12</w:t>
      </w:r>
      <w:r>
        <w:rPr>
          <w:noProof/>
          <w:webHidden/>
        </w:rPr>
        <w:fldChar w:fldCharType="end"/>
      </w:r>
      <w:r>
        <w:rPr/>
        <w:fldChar w:fldCharType="end"/>
      </w:r>
    </w:p>
    <w:p w14:paraId="3D42B018">
      <w:pPr>
        <w:pStyle w:val="style20"/>
        <w:tabs>
          <w:tab w:val="right" w:leader="dot" w:pos="9350"/>
        </w:tabs>
        <w:rPr>
          <w:rFonts w:ascii="Cambria" w:cs="宋体" w:eastAsia="宋体" w:hAnsi="Cambria"/>
          <w:noProof/>
          <w:lang w:val="en-GB"/>
        </w:rPr>
      </w:pPr>
      <w:r>
        <w:rPr/>
        <w:fldChar w:fldCharType="begin"/>
      </w:r>
      <w:r>
        <w:instrText xml:space="preserve"> HYPERLINK \l "_Toc237278397" </w:instrText>
      </w:r>
      <w:r>
        <w:rPr/>
        <w:fldChar w:fldCharType="separate"/>
      </w:r>
      <w:r>
        <w:rPr>
          <w:rStyle w:val="style85"/>
          <w:noProof/>
          <w:lang w:val="en-GB"/>
        </w:rPr>
        <w:t>Conclusion</w:t>
      </w:r>
      <w:r>
        <w:rPr>
          <w:noProof/>
          <w:webHidden/>
        </w:rPr>
        <w:tab/>
      </w:r>
      <w:r>
        <w:rPr>
          <w:noProof/>
          <w:webHidden/>
        </w:rPr>
        <w:fldChar w:fldCharType="begin"/>
      </w:r>
      <w:r>
        <w:rPr>
          <w:noProof/>
          <w:webHidden/>
        </w:rPr>
        <w:instrText xml:space="preserve"> PAGEREF _Toc237278397 \h </w:instrText>
      </w:r>
      <w:r>
        <w:rPr>
          <w:noProof/>
          <w:webHidden/>
        </w:rPr>
        <w:fldChar w:fldCharType="separate"/>
      </w:r>
      <w:r>
        <w:rPr>
          <w:noProof/>
          <w:webHidden/>
        </w:rPr>
        <w:t>12</w:t>
      </w:r>
      <w:r>
        <w:rPr>
          <w:noProof/>
          <w:webHidden/>
        </w:rPr>
        <w:fldChar w:fldCharType="end"/>
      </w:r>
      <w:r>
        <w:rPr/>
        <w:fldChar w:fldCharType="end"/>
      </w:r>
    </w:p>
    <w:p w14:paraId="426A5765">
      <w:pPr>
        <w:pStyle w:val="style19"/>
        <w:tabs>
          <w:tab w:val="right" w:leader="dot" w:pos="9350"/>
        </w:tabs>
        <w:rPr>
          <w:rFonts w:ascii="Cambria" w:cs="宋体" w:eastAsia="宋体" w:hAnsi="Cambria"/>
          <w:noProof/>
          <w:lang w:val="en-GB"/>
        </w:rPr>
      </w:pPr>
      <w:r>
        <w:rPr/>
        <w:fldChar w:fldCharType="begin"/>
      </w:r>
      <w:r>
        <w:instrText xml:space="preserve"> HYPERLINK \l "_Toc237278398" </w:instrText>
      </w:r>
      <w:r>
        <w:rPr/>
        <w:fldChar w:fldCharType="separate"/>
      </w:r>
      <w:r>
        <w:rPr>
          <w:rStyle w:val="style85"/>
          <w:noProof/>
          <w:lang w:val="en-GB"/>
        </w:rPr>
        <w:t>References</w:t>
      </w:r>
      <w:r>
        <w:rPr>
          <w:noProof/>
          <w:webHidden/>
        </w:rPr>
        <w:tab/>
      </w:r>
      <w:r>
        <w:rPr>
          <w:noProof/>
          <w:webHidden/>
        </w:rPr>
        <w:fldChar w:fldCharType="begin"/>
      </w:r>
      <w:r>
        <w:rPr>
          <w:noProof/>
          <w:webHidden/>
        </w:rPr>
        <w:instrText xml:space="preserve"> PAGEREF _Toc237278398 \h </w:instrText>
      </w:r>
      <w:r>
        <w:rPr>
          <w:noProof/>
          <w:webHidden/>
        </w:rPr>
        <w:fldChar w:fldCharType="separate"/>
      </w:r>
      <w:r>
        <w:rPr>
          <w:noProof/>
          <w:webHidden/>
        </w:rPr>
        <w:t>13</w:t>
      </w:r>
      <w:r>
        <w:rPr>
          <w:noProof/>
          <w:webHidden/>
        </w:rPr>
        <w:fldChar w:fldCharType="end"/>
      </w:r>
      <w:r>
        <w:rPr/>
        <w:fldChar w:fldCharType="end"/>
      </w:r>
    </w:p>
    <w:p w14:paraId="04A78CE5">
      <w:pPr>
        <w:pStyle w:val="style0"/>
        <w:rPr/>
      </w:pPr>
      <w:r>
        <w:rPr>
          <w:b/>
          <w:bCs/>
          <w:noProof/>
        </w:rPr>
        <w:fldChar w:fldCharType="end"/>
      </w:r>
    </w:p>
    <w:p w14:paraId="2AD4E072">
      <w:pPr>
        <w:pStyle w:val="style0"/>
        <w:rPr>
          <w:b/>
          <w:bCs/>
          <w:lang w:val="en-GB"/>
        </w:rPr>
      </w:pPr>
      <w:r>
        <w:rPr>
          <w:lang w:val="en-GB"/>
        </w:rPr>
        <w:br w:type="page"/>
      </w:r>
    </w:p>
    <w:bookmarkStart w:id="11" w:name="_Toc237278379"/>
    <w:p w14:paraId="43B3322E">
      <w:pPr>
        <w:pStyle w:val="style1"/>
        <w:rPr>
          <w:lang w:val="en-GB"/>
        </w:rPr>
      </w:pPr>
      <w:r>
        <w:rPr>
          <w:lang w:val="en-GB"/>
        </w:rPr>
        <w:t>Task 1: Social Epidemiological Analysis</w:t>
      </w:r>
      <w:bookmarkEnd w:id="11"/>
      <w:r>
        <w:rPr>
          <w:lang w:val="en-GB"/>
        </w:rPr>
        <w:t xml:space="preserve"> </w:t>
      </w:r>
    </w:p>
    <w:p w14:paraId="4C98F477">
      <w:pPr>
        <w:pStyle w:val="style0"/>
        <w:jc w:val="center"/>
        <w:rPr>
          <w:b/>
          <w:bCs/>
          <w:lang w:val="en-GB"/>
        </w:rPr>
      </w:pPr>
    </w:p>
    <w:p w14:paraId="22E74655">
      <w:pPr>
        <w:pStyle w:val="style0"/>
        <w:jc w:val="center"/>
        <w:rPr>
          <w:b/>
          <w:bCs/>
          <w:lang w:val="en-GB"/>
        </w:rPr>
      </w:pPr>
      <w:r>
        <w:rPr>
          <w:b/>
          <w:bCs/>
          <w:lang w:val="en-GB"/>
        </w:rPr>
        <w:t xml:space="preserve">Title- Disability and Health Inequalities- </w:t>
      </w:r>
      <w:r>
        <w:rPr>
          <w:b/>
          <w:bCs/>
          <w:lang w:val="en-GB"/>
        </w:rPr>
        <w:t>the</w:t>
      </w:r>
      <w:r>
        <w:rPr>
          <w:b/>
          <w:bCs/>
          <w:lang w:val="en-GB"/>
        </w:rPr>
        <w:t xml:space="preserve"> Impact of Disability on Health outcome, accessibility and social determinants in the UK</w:t>
      </w:r>
    </w:p>
    <w:bookmarkStart w:id="12" w:name="_vv3q7xdm65ts" w:colFirst="0" w:colLast="0"/>
    <w:bookmarkEnd w:id="12"/>
    <w:p w14:paraId="1D820133">
      <w:pPr>
        <w:pStyle w:val="style2"/>
        <w:rPr>
          <w:lang w:val="en-GB"/>
        </w:rPr>
      </w:pPr>
    </w:p>
    <w:bookmarkStart w:id="13" w:name="_Toc237278380"/>
    <w:p w14:paraId="1F74BE99">
      <w:pPr>
        <w:pStyle w:val="style2"/>
        <w:rPr>
          <w:lang w:val="en-GB"/>
        </w:rPr>
      </w:pPr>
      <w:r>
        <w:rPr>
          <w:lang w:val="en-GB"/>
        </w:rPr>
        <w:t>Introduction</w:t>
      </w:r>
      <w:bookmarkEnd w:id="13"/>
    </w:p>
    <w:p w14:paraId="5CC0A87B">
      <w:pPr>
        <w:pStyle w:val="style0"/>
        <w:rPr>
          <w:lang w:val="en-GB"/>
        </w:rPr>
      </w:pPr>
      <w:r>
        <w:rPr>
          <w:lang w:val="en-GB"/>
        </w:rPr>
        <w:t xml:space="preserve">The disabled population in the UK are at high risks of health inequities due to physical and digital barriers to healthcare along with systematic poverty and workplace exclusion. The Equality Act 2010 defines disability as a physical and mental impairment that has a long term and substantial negative impact on an individual's daily activities (NHS, 2024). The key social determinants affecting disabled individuals include discrimination, poverty, </w:t>
      </w:r>
      <w:r>
        <w:rPr>
          <w:lang w:val="en-GB"/>
        </w:rPr>
        <w:t>and lack</w:t>
      </w:r>
      <w:r>
        <w:rPr>
          <w:lang w:val="en-GB"/>
        </w:rPr>
        <w:t xml:space="preserve"> of employment opportunities, social exclusion and inaccessible healthcare services. Thus, disabled individuals in the UK have been chosen as a target population for the epidemiological analysis as it reflected both social justice and healthcare challenges, requiring action at individual, community and national levels. </w:t>
      </w:r>
    </w:p>
    <w:bookmarkStart w:id="14" w:name="_99a3fyc8whxn" w:colFirst="0" w:colLast="0"/>
    <w:bookmarkStart w:id="15" w:name="_Toc237278381"/>
    <w:bookmarkEnd w:id="14"/>
    <w:p w14:paraId="660C59A9">
      <w:pPr>
        <w:pStyle w:val="style2"/>
        <w:rPr>
          <w:lang w:val="en-GB"/>
        </w:rPr>
      </w:pPr>
      <w:r>
        <w:rPr>
          <w:lang w:val="en-GB"/>
        </w:rPr>
        <w:t>Contextual background and underlying factor</w:t>
      </w:r>
      <w:bookmarkEnd w:id="15"/>
    </w:p>
    <w:bookmarkStart w:id="16" w:name="_ykhe6zkssd00" w:colFirst="0" w:colLast="0"/>
    <w:bookmarkStart w:id="17" w:name="_Toc237278382"/>
    <w:bookmarkEnd w:id="16"/>
    <w:p w14:paraId="02D8A694">
      <w:pPr>
        <w:pStyle w:val="style3"/>
        <w:rPr>
          <w:lang w:val="en-GB"/>
        </w:rPr>
      </w:pPr>
      <w:r>
        <w:rPr>
          <w:lang w:val="en-GB"/>
        </w:rPr>
        <w:t>3 diseases/illness</w:t>
      </w:r>
      <w:bookmarkEnd w:id="17"/>
    </w:p>
    <w:p w14:paraId="4C7B2ABF">
      <w:pPr>
        <w:pStyle w:val="style0"/>
        <w:numPr>
          <w:ilvl w:val="0"/>
          <w:numId w:val="1"/>
        </w:numPr>
        <w:rPr>
          <w:b/>
          <w:bCs/>
          <w:lang w:val="en-GB"/>
        </w:rPr>
      </w:pPr>
      <w:r>
        <w:rPr>
          <w:b/>
          <w:bCs/>
          <w:lang w:val="en-GB"/>
        </w:rPr>
        <w:t>Higher rates of long-term physical health conditions</w:t>
      </w:r>
    </w:p>
    <w:p w14:paraId="2C23B6F5">
      <w:pPr>
        <w:pStyle w:val="style0"/>
        <w:rPr>
          <w:lang w:val="en-GB"/>
        </w:rPr>
      </w:pPr>
      <w:r>
        <w:rPr>
          <w:lang w:val="en-GB"/>
        </w:rPr>
        <w:t xml:space="preserve">The risks of long -term chronic disease among disabled people is one of the major issues that is faced by the chosen target population in epidemiological analysis. It has been identified that around 2.8 million disabled people in the UK are currently living with a form of chronic issues that is affecting their working capabilities and living conditions (Parliament, 2025). The epidemiological studies have outlined chronic constipation, chronic diarrhoea and insomnia are some of the common examples of the long-term condition faced by intellectually disabled people (Lewin </w:t>
      </w:r>
      <w:r>
        <w:rPr>
          <w:i/>
          <w:iCs/>
          <w:lang w:val="en-GB"/>
        </w:rPr>
        <w:t>et al.,</w:t>
      </w:r>
      <w:r>
        <w:rPr>
          <w:lang w:val="en-GB"/>
        </w:rPr>
        <w:t xml:space="preserve"> 2025). The physical disability of individuals restricts individuals to engage in health important activities such as physical activities and preventive healthcare programs. Thus higher emphasis on preventative healthcare and personali</w:t>
      </w:r>
      <w:r>
        <w:rPr>
          <w:lang w:val="en-GB"/>
        </w:rPr>
        <w:t>s</w:t>
      </w:r>
      <w:r>
        <w:rPr>
          <w:lang w:val="en-GB"/>
        </w:rPr>
        <w:t xml:space="preserve">ed care planning is crucial for supporting disabled people and managing long-term conditions. </w:t>
      </w:r>
    </w:p>
    <w:p w14:paraId="712EB01D">
      <w:pPr>
        <w:pStyle w:val="style0"/>
        <w:numPr>
          <w:ilvl w:val="0"/>
          <w:numId w:val="1"/>
        </w:numPr>
        <w:rPr>
          <w:b/>
          <w:bCs/>
          <w:lang w:val="en-GB"/>
        </w:rPr>
      </w:pPr>
      <w:r>
        <w:rPr>
          <w:b/>
          <w:bCs/>
          <w:lang w:val="en-GB"/>
        </w:rPr>
        <w:t>Mental health issues among disabled people</w:t>
      </w:r>
    </w:p>
    <w:p w14:paraId="272743F2">
      <w:pPr>
        <w:pStyle w:val="style0"/>
        <w:rPr>
          <w:lang w:val="en-GB"/>
        </w:rPr>
      </w:pPr>
      <w:r>
        <w:rPr>
          <w:lang w:val="en-GB"/>
        </w:rPr>
        <w:t xml:space="preserve">Mental illness is a major healthcare issue among the disabled population in the UK that is caused by social isolation and the conclusion of the population. Lewin </w:t>
      </w:r>
      <w:r>
        <w:rPr>
          <w:i/>
          <w:iCs/>
          <w:lang w:val="en-GB"/>
        </w:rPr>
        <w:t>et al.</w:t>
      </w:r>
      <w:r>
        <w:rPr>
          <w:lang w:val="en-GB"/>
        </w:rPr>
        <w:t xml:space="preserve"> (2025) have outlined that mental illness is the most prevalent long-term condition among disabled people, affecting 30.91% of the total population. The exclusion from workplace and community activities reduce social connection and increases the risks of mental health instability. </w:t>
      </w:r>
    </w:p>
    <w:p w14:paraId="286654AF">
      <w:pPr>
        <w:pStyle w:val="style0"/>
        <w:jc w:val="center"/>
        <w:rPr>
          <w:lang w:val="en-GB"/>
        </w:rPr>
      </w:pPr>
      <w:r>
        <w:rPr>
          <w:noProof/>
          <w:lang w:val="en-GB"/>
        </w:rPr>
        <w:drawing>
          <wp:inline distL="0" distT="0" distB="0" distR="0">
            <wp:extent cx="5943600" cy="2108200"/>
            <wp:effectExtent l="12700" t="12700" r="12700" b="12700"/>
            <wp:docPr id="1027"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3" cstate="print"/>
                    <a:srcRect l="0" t="0" r="0" b="0"/>
                    <a:stretch/>
                  </pic:blipFill>
                  <pic:spPr>
                    <a:xfrm rot="0">
                      <a:off x="0" y="0"/>
                      <a:ext cx="5943600" cy="2108200"/>
                    </a:xfrm>
                    <a:prstGeom prst="rect"/>
                    <a:ln cmpd="sng" cap="flat" w="12700">
                      <a:solidFill>
                        <a:srgbClr val="000000"/>
                      </a:solidFill>
                      <a:prstDash val="solid"/>
                      <a:round/>
                      <a:headEnd/>
                      <a:tailEnd/>
                    </a:ln>
                  </pic:spPr>
                </pic:pic>
              </a:graphicData>
            </a:graphic>
          </wp:inline>
        </w:drawing>
      </w:r>
    </w:p>
    <w:p w14:paraId="78CB9922">
      <w:pPr>
        <w:pStyle w:val="style0"/>
        <w:jc w:val="center"/>
        <w:rPr>
          <w:b/>
          <w:bCs/>
          <w:lang w:val="en-GB"/>
        </w:rPr>
      </w:pPr>
      <w:r>
        <w:rPr>
          <w:b/>
          <w:bCs/>
          <w:lang w:val="en-GB"/>
        </w:rPr>
        <w:t xml:space="preserve">Figure 1: Disability in connection with long-term condition and its impact </w:t>
      </w:r>
    </w:p>
    <w:p w14:paraId="35BEAC35">
      <w:pPr>
        <w:pStyle w:val="style0"/>
        <w:jc w:val="center"/>
        <w:rPr>
          <w:lang w:val="en-GB"/>
        </w:rPr>
      </w:pPr>
      <w:r>
        <w:rPr>
          <w:lang w:val="en-GB"/>
        </w:rPr>
        <w:t>(Source: JRF, 2026)</w:t>
      </w:r>
    </w:p>
    <w:p w14:paraId="6EE134A8">
      <w:pPr>
        <w:pStyle w:val="style0"/>
        <w:numPr>
          <w:ilvl w:val="0"/>
          <w:numId w:val="1"/>
        </w:numPr>
        <w:rPr>
          <w:b/>
          <w:bCs/>
          <w:lang w:val="en-GB"/>
        </w:rPr>
      </w:pPr>
      <w:r>
        <w:rPr>
          <w:b/>
          <w:bCs/>
          <w:lang w:val="en-GB"/>
        </w:rPr>
        <w:t xml:space="preserve">Limited living quality and reduced to life expectancy </w:t>
      </w:r>
    </w:p>
    <w:p w14:paraId="50AE1534">
      <w:pPr>
        <w:pStyle w:val="style0"/>
        <w:rPr>
          <w:lang w:val="en-GB"/>
        </w:rPr>
      </w:pPr>
      <w:r>
        <w:rPr>
          <w:lang w:val="en-GB"/>
        </w:rPr>
        <w:t xml:space="preserve">The disabled people experience higher rates of workplace discrimination and lack of employment opportunities in the UK, impacting living quantity and life expectancy rates. The employment rate for disabled people in the UK is at 54% that is nearly 30% points lower than non-disabled people, currently at 82% (Jones, 2025). This outlined that the employment opportunities for individuals with any form of disability in the UK is lower than usual, causing financial instability and impacting living quality. </w:t>
      </w:r>
    </w:p>
    <w:bookmarkStart w:id="18" w:name="_foxid29j1di8" w:colFirst="0" w:colLast="0"/>
    <w:bookmarkStart w:id="19" w:name="_Toc237278383"/>
    <w:bookmarkEnd w:id="18"/>
    <w:p w14:paraId="4170559D">
      <w:pPr>
        <w:pStyle w:val="style3"/>
        <w:rPr>
          <w:lang w:val="en-GB"/>
        </w:rPr>
      </w:pPr>
      <w:r>
        <w:rPr>
          <w:lang w:val="en-GB"/>
        </w:rPr>
        <w:t>3 social issues</w:t>
      </w:r>
      <w:bookmarkEnd w:id="19"/>
    </w:p>
    <w:p w14:paraId="0D914D31">
      <w:pPr>
        <w:pStyle w:val="style0"/>
        <w:numPr>
          <w:ilvl w:val="0"/>
          <w:numId w:val="3"/>
        </w:numPr>
        <w:rPr>
          <w:b/>
          <w:bCs/>
          <w:lang w:val="en-GB"/>
        </w:rPr>
      </w:pPr>
      <w:r>
        <w:rPr>
          <w:b/>
          <w:bCs/>
          <w:lang w:val="en-GB"/>
        </w:rPr>
        <w:t>Poverty and employment inequality</w:t>
      </w:r>
    </w:p>
    <w:p w14:paraId="1A4B0C85">
      <w:pPr>
        <w:pStyle w:val="style0"/>
        <w:rPr>
          <w:lang w:val="en-GB"/>
        </w:rPr>
      </w:pPr>
      <w:r>
        <w:rPr>
          <w:lang w:val="en-GB"/>
        </w:rPr>
        <w:t xml:space="preserve">Economic instability and disadvantage is considered one of the leading factors that cause health inequalities to disable people in the UK. 31% of 13 million people with disability in the UK are living in poverty, accounting for around 4 million people (Disability Rights UK, 2025). Moreover, people also experience employment inequities due to systematic barriers to employment as the majority of working disabled people experienced discrimination. Thus, focusing on workplace accessibility along with strengthening employment support programs is effective and associated with improving poverty and employment inequality among disabled people. </w:t>
      </w:r>
    </w:p>
    <w:p w14:paraId="4C2C1B3D">
      <w:pPr>
        <w:pStyle w:val="style0"/>
        <w:jc w:val="center"/>
        <w:rPr>
          <w:lang w:val="en-GB"/>
        </w:rPr>
      </w:pPr>
      <w:r>
        <w:rPr>
          <w:noProof/>
          <w:lang w:val="en-GB"/>
        </w:rPr>
        <w:drawing>
          <wp:inline distL="0" distT="0" distB="0" distR="0">
            <wp:extent cx="5943600" cy="2197100"/>
            <wp:effectExtent l="12700" t="12700" r="12700" b="12700"/>
            <wp:docPr id="1028"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4" cstate="print"/>
                    <a:srcRect l="0" t="0" r="0" b="0"/>
                    <a:stretch/>
                  </pic:blipFill>
                  <pic:spPr>
                    <a:xfrm rot="0">
                      <a:off x="0" y="0"/>
                      <a:ext cx="5943600" cy="2197100"/>
                    </a:xfrm>
                    <a:prstGeom prst="rect"/>
                    <a:ln cmpd="sng" cap="flat" w="12700">
                      <a:solidFill>
                        <a:srgbClr val="000000"/>
                      </a:solidFill>
                      <a:prstDash val="solid"/>
                      <a:round/>
                      <a:headEnd/>
                      <a:tailEnd/>
                    </a:ln>
                  </pic:spPr>
                </pic:pic>
              </a:graphicData>
            </a:graphic>
          </wp:inline>
        </w:drawing>
      </w:r>
    </w:p>
    <w:p w14:paraId="531DD398">
      <w:pPr>
        <w:pStyle w:val="style0"/>
        <w:jc w:val="center"/>
        <w:rPr>
          <w:b/>
          <w:bCs/>
          <w:lang w:val="en-GB"/>
        </w:rPr>
      </w:pPr>
      <w:r>
        <w:rPr>
          <w:b/>
          <w:bCs/>
          <w:lang w:val="en-GB"/>
        </w:rPr>
        <w:t>Figure 2</w:t>
      </w:r>
      <w:r>
        <w:rPr>
          <w:b/>
          <w:bCs/>
          <w:lang w:val="en-GB"/>
        </w:rPr>
        <w:t xml:space="preserve">: Poverty rates among disabled and non-disabled people in UK </w:t>
      </w:r>
    </w:p>
    <w:p w14:paraId="3A4B3F4B">
      <w:pPr>
        <w:pStyle w:val="style0"/>
        <w:jc w:val="center"/>
        <w:rPr>
          <w:lang w:val="en-GB"/>
        </w:rPr>
      </w:pPr>
      <w:r>
        <w:rPr>
          <w:lang w:val="en-GB"/>
        </w:rPr>
        <w:t>(Source: JRF, 2026)</w:t>
      </w:r>
    </w:p>
    <w:p w14:paraId="73C7E840">
      <w:pPr>
        <w:pStyle w:val="style0"/>
        <w:numPr>
          <w:ilvl w:val="0"/>
          <w:numId w:val="3"/>
        </w:numPr>
        <w:rPr>
          <w:b/>
          <w:bCs/>
          <w:lang w:val="en-GB"/>
        </w:rPr>
      </w:pPr>
      <w:r>
        <w:rPr>
          <w:b/>
          <w:bCs/>
          <w:lang w:val="en-GB"/>
        </w:rPr>
        <w:t>Lack of accessibility to quality care and housing issues</w:t>
      </w:r>
    </w:p>
    <w:p w14:paraId="5725CE71">
      <w:pPr>
        <w:pStyle w:val="style0"/>
        <w:rPr>
          <w:lang w:val="en-GB"/>
        </w:rPr>
      </w:pPr>
      <w:r>
        <w:rPr>
          <w:lang w:val="en-GB"/>
        </w:rPr>
        <w:t xml:space="preserve">Disabled people in the UK experience issues with healthcare accessibility for the inaccessible </w:t>
      </w:r>
      <w:r>
        <w:rPr>
          <w:lang w:val="en-GB"/>
        </w:rPr>
        <w:t>building,</w:t>
      </w:r>
      <w:r>
        <w:rPr>
          <w:lang w:val="en-GB"/>
        </w:rPr>
        <w:t xml:space="preserve"> communication difficulties and lack of adaptive equipment. As per the report of the Equality and Human Rights Commission, around 1 in 5 disabled people in social housing live in unsuitable accommodations (Parliament, 2024). Moreover, disabled people in England also experience issues regarding house accessibility as only 7% of houses in England have basic accessibility features for disabled people (Parliament, 2024). </w:t>
      </w:r>
    </w:p>
    <w:p w14:paraId="606DB42B">
      <w:pPr>
        <w:pStyle w:val="style0"/>
        <w:numPr>
          <w:ilvl w:val="0"/>
          <w:numId w:val="3"/>
        </w:numPr>
        <w:rPr>
          <w:b/>
          <w:bCs/>
          <w:lang w:val="en-GB"/>
        </w:rPr>
      </w:pPr>
      <w:r>
        <w:rPr>
          <w:b/>
          <w:bCs/>
          <w:lang w:val="en-GB"/>
        </w:rPr>
        <w:t xml:space="preserve">Social isolation and discrimination </w:t>
      </w:r>
    </w:p>
    <w:p w14:paraId="6BA5BDC5">
      <w:pPr>
        <w:pStyle w:val="style0"/>
        <w:rPr>
          <w:lang w:val="en-GB"/>
        </w:rPr>
      </w:pPr>
      <w:r>
        <w:rPr>
          <w:lang w:val="en-GB"/>
        </w:rPr>
        <w:t xml:space="preserve">Discrimination is a major social determinant and factor that is affecting disabled individuals’ living quality and causing long term impact on health outcomes. Disabled people are 3 times likely to be economically inactive with only 53% employment rates among disabled people as compared to 82% employment among non-disabled people (Scope, 2023) Thus, this increases the risks of community participation, social exclusion and discrimination, faced by disabled people in the UK. </w:t>
      </w:r>
    </w:p>
    <w:bookmarkStart w:id="20" w:name="_m42x8om4e3qh" w:colFirst="0" w:colLast="0"/>
    <w:bookmarkStart w:id="21" w:name="_Toc237278384"/>
    <w:bookmarkEnd w:id="20"/>
    <w:p w14:paraId="506E1AD6">
      <w:pPr>
        <w:pStyle w:val="style2"/>
        <w:rPr>
          <w:lang w:val="en-GB"/>
        </w:rPr>
      </w:pPr>
      <w:r>
        <w:rPr>
          <w:lang w:val="en-GB"/>
        </w:rPr>
        <w:t>National Response to reduce health inequalities in your chosen group</w:t>
      </w:r>
      <w:bookmarkEnd w:id="21"/>
    </w:p>
    <w:p w14:paraId="2B086FB7">
      <w:pPr>
        <w:pStyle w:val="style0"/>
        <w:rPr>
          <w:lang w:val="en-GB"/>
        </w:rPr>
      </w:pPr>
      <w:r>
        <w:rPr>
          <w:lang w:val="en-GB"/>
        </w:rPr>
        <w:t xml:space="preserve">Core20PLUS5 Framework has been established by the UK government in collaboration with the NHS for supporting the reduction of health inequalities at both national and system levels. The framework provides required healthcare support to 20% deprived communities and national population including disabled people as identified by the national Index of multiple deprivation (IMD) (NHS, 2025). Moreover, the National Disability Strategy in compliance with Equality Act 2010 is set by the UK government for addressing systematic, physical, communication and institutional barriers for improving care outcomes (GOV, 2024). Thus, development of disability </w:t>
      </w:r>
      <w:r>
        <w:rPr>
          <w:lang w:val="en-GB"/>
        </w:rPr>
        <w:t xml:space="preserve">employment programs can be approached for strengthening health outcomes and expanding financial opportunities for disabled people. </w:t>
      </w:r>
    </w:p>
    <w:bookmarkStart w:id="22" w:name="_kce3llmyk0yi" w:colFirst="0" w:colLast="0"/>
    <w:bookmarkStart w:id="23" w:name="_Toc237278385"/>
    <w:bookmarkEnd w:id="22"/>
    <w:p w14:paraId="7DB28F80">
      <w:pPr>
        <w:pStyle w:val="style2"/>
        <w:rPr>
          <w:lang w:val="en-GB"/>
        </w:rPr>
      </w:pPr>
      <w:r>
        <w:rPr>
          <w:lang w:val="en-GB"/>
        </w:rPr>
        <w:t>Organisations supporting the chosen group</w:t>
      </w:r>
      <w:bookmarkEnd w:id="23"/>
    </w:p>
    <w:p w14:paraId="46382167">
      <w:pPr>
        <w:pStyle w:val="style0"/>
        <w:rPr>
          <w:lang w:val="en-GB"/>
        </w:rPr>
      </w:pPr>
      <w:r>
        <w:rPr>
          <w:lang w:val="en-GB"/>
        </w:rPr>
        <w:t>Organisations such as Disability Rights UK and Scope are leading organi</w:t>
      </w:r>
      <w:r>
        <w:rPr>
          <w:lang w:val="en-GB"/>
        </w:rPr>
        <w:t>s</w:t>
      </w:r>
      <w:r>
        <w:rPr>
          <w:lang w:val="en-GB"/>
        </w:rPr>
        <w:t xml:space="preserve">ations that are continuously working towards providing free advice online support and campaigns for disabled people in the UK. Disability Rights UK is one of the leading UK's Disabled People's Organisation (DPO) that is run by and working for disabled people (Disability Rights UK, 2026). The goal of Disability Rights UK is to support the disability rights movement by establishing a campaign for the rights and justice of all disabled people. The organisations are working towards enhancing disabled people’s health outcomes through advocacy, public awareness campaigns and policy engagement to reduce social injustice. </w:t>
      </w:r>
    </w:p>
    <w:bookmarkStart w:id="24" w:name="_l2ec88e7d9q" w:colFirst="0" w:colLast="0"/>
    <w:bookmarkStart w:id="25" w:name="_Toc237278386"/>
    <w:bookmarkEnd w:id="24"/>
    <w:p w14:paraId="726648A7">
      <w:pPr>
        <w:pStyle w:val="style2"/>
        <w:rPr>
          <w:lang w:val="en-GB"/>
        </w:rPr>
      </w:pPr>
      <w:r>
        <w:rPr>
          <w:lang w:val="en-GB"/>
        </w:rPr>
        <w:t>Conclusion</w:t>
      </w:r>
      <w:bookmarkEnd w:id="25"/>
    </w:p>
    <w:p w14:paraId="58FE1F82">
      <w:pPr>
        <w:pStyle w:val="style0"/>
        <w:rPr>
          <w:lang w:val="en-GB"/>
        </w:rPr>
      </w:pPr>
      <w:r>
        <w:rPr>
          <w:lang w:val="en-GB"/>
        </w:rPr>
        <w:t>It can be concluded disability inequality is one of the significant public health challenges in the UK because disabled people experience poor health outcomes and higher social disadvantages. It has been identified that the social determinants of health including social isolation, poverty, lack of healthcare access and workplace inequalities impact disabled individuals’ health outcome.</w:t>
      </w:r>
      <w:r>
        <w:rPr>
          <w:lang w:val="en-GB"/>
        </w:rPr>
        <w:br w:type="page"/>
      </w:r>
    </w:p>
    <w:bookmarkStart w:id="26" w:name="_ph73vz1ive82" w:colFirst="0" w:colLast="0"/>
    <w:bookmarkStart w:id="27" w:name="_Toc237278387"/>
    <w:bookmarkEnd w:id="26"/>
    <w:p w14:paraId="280BAD59">
      <w:pPr>
        <w:pStyle w:val="style1"/>
        <w:rPr>
          <w:lang w:val="en-GB"/>
        </w:rPr>
      </w:pPr>
      <w:r>
        <w:rPr>
          <w:lang w:val="en-GB"/>
        </w:rPr>
        <w:t>T</w:t>
      </w:r>
      <w:r>
        <w:rPr>
          <w:lang w:val="en-GB"/>
        </w:rPr>
        <w:t>ask 2- Epidemiological Analysis</w:t>
      </w:r>
      <w:bookmarkEnd w:id="27"/>
    </w:p>
    <w:p w14:paraId="6305F11E">
      <w:pPr>
        <w:pStyle w:val="style0"/>
        <w:jc w:val="center"/>
        <w:rPr>
          <w:b/>
          <w:bCs/>
          <w:lang w:val="en-GB"/>
        </w:rPr>
      </w:pPr>
    </w:p>
    <w:p w14:paraId="75FFF82B">
      <w:pPr>
        <w:pStyle w:val="style0"/>
        <w:jc w:val="center"/>
        <w:rPr>
          <w:b/>
          <w:bCs/>
          <w:lang w:val="en-GB"/>
        </w:rPr>
      </w:pPr>
      <w:r>
        <w:rPr>
          <w:b/>
          <w:bCs/>
          <w:lang w:val="en-GB"/>
        </w:rPr>
        <w:t>Topic- Identification, assessment, and management of Type 2 Diabetes Mellitus as a growing public health issues among adults (Aging 40 and above) in Newham Borough in London, UK</w:t>
      </w:r>
    </w:p>
    <w:bookmarkStart w:id="28" w:name="_57gr4nkwf29b" w:colFirst="0" w:colLast="0"/>
    <w:bookmarkEnd w:id="28"/>
    <w:p w14:paraId="77E07584">
      <w:pPr>
        <w:pStyle w:val="style2"/>
        <w:rPr>
          <w:lang w:val="en-GB"/>
        </w:rPr>
      </w:pPr>
    </w:p>
    <w:bookmarkStart w:id="29" w:name="_Toc237278388"/>
    <w:p w14:paraId="7909385E">
      <w:pPr>
        <w:pStyle w:val="style2"/>
        <w:rPr>
          <w:lang w:val="en-GB"/>
        </w:rPr>
      </w:pPr>
      <w:r>
        <w:rPr>
          <w:lang w:val="en-GB"/>
        </w:rPr>
        <w:t>Introduction</w:t>
      </w:r>
      <w:bookmarkEnd w:id="29"/>
    </w:p>
    <w:p w14:paraId="71C4723F">
      <w:pPr>
        <w:pStyle w:val="style0"/>
        <w:rPr>
          <w:lang w:val="en-GB"/>
        </w:rPr>
      </w:pPr>
      <w:r>
        <w:rPr>
          <w:lang w:val="en-GB"/>
        </w:rPr>
        <w:t xml:space="preserve">Type 2 diabetes mellitus is a common, lifelong metabolic condition that is defined by the high blood sugar called hyperglycaemia. The NHS has defined Type 2 diabetes mellitus (T2DM) as a common condition where the body is unable to make enough hormone called insulin, causing high blood glucose and glucose </w:t>
      </w:r>
      <w:r>
        <w:rPr>
          <w:lang w:val="en-GB"/>
        </w:rPr>
        <w:t>build-up</w:t>
      </w:r>
      <w:r>
        <w:rPr>
          <w:lang w:val="en-GB"/>
        </w:rPr>
        <w:t xml:space="preserve"> (NHS, 2026). Socially, T2DM contributes to the reduction of quality of life, premature mortality and to increased disability with high prevalence in London Borough, Newham. Newham in the UK has one of the highest rates of T2DM as 1 in 14 people have T2DM, accounting for 28,000 residents (Newham Voices, 2024). The T2DM has cultural consequences due to differences in dietary practices and lifestyle </w:t>
      </w:r>
      <w:r>
        <w:rPr>
          <w:lang w:val="en-GB"/>
        </w:rPr>
        <w:t>behaviours</w:t>
      </w:r>
      <w:r>
        <w:rPr>
          <w:lang w:val="en-GB"/>
        </w:rPr>
        <w:t>,</w:t>
      </w:r>
      <w:r>
        <w:rPr>
          <w:lang w:val="en-GB"/>
        </w:rPr>
        <w:t xml:space="preserve"> </w:t>
      </w:r>
      <w:r>
        <w:rPr>
          <w:lang w:val="en-GB"/>
        </w:rPr>
        <w:t xml:space="preserve">playing a significant role in disease development among diverse communities including black and </w:t>
      </w:r>
      <w:r>
        <w:rPr>
          <w:lang w:val="en-GB"/>
        </w:rPr>
        <w:t>Asian</w:t>
      </w:r>
      <w:r>
        <w:rPr>
          <w:lang w:val="en-GB"/>
        </w:rPr>
        <w:t xml:space="preserve"> population in Newham. The T2DM also has significant health consequences including kidney failure, cardiovascular disease, blindness, neuropathy, making it critical public health issues. </w:t>
      </w:r>
    </w:p>
    <w:bookmarkStart w:id="30" w:name="_eobvu9uf4oq2" w:colFirst="0" w:colLast="0"/>
    <w:bookmarkStart w:id="31" w:name="_Toc237278389"/>
    <w:bookmarkEnd w:id="30"/>
    <w:p w14:paraId="185FBDB8">
      <w:pPr>
        <w:pStyle w:val="style2"/>
        <w:rPr>
          <w:lang w:val="en-GB"/>
        </w:rPr>
      </w:pPr>
      <w:r>
        <w:rPr>
          <w:lang w:val="en-GB"/>
        </w:rPr>
        <w:t>Main Body</w:t>
      </w:r>
      <w:bookmarkEnd w:id="31"/>
      <w:r>
        <w:rPr>
          <w:lang w:val="en-GB"/>
        </w:rPr>
        <w:t xml:space="preserve"> </w:t>
      </w:r>
    </w:p>
    <w:bookmarkStart w:id="32" w:name="_6glhlcgbf3px" w:colFirst="0" w:colLast="0"/>
    <w:bookmarkStart w:id="33" w:name="_Toc237278390"/>
    <w:bookmarkEnd w:id="32"/>
    <w:p w14:paraId="2BFE05CD">
      <w:pPr>
        <w:pStyle w:val="style3"/>
        <w:rPr>
          <w:lang w:val="en-GB"/>
        </w:rPr>
      </w:pPr>
      <w:r>
        <w:rPr>
          <w:lang w:val="en-GB"/>
        </w:rPr>
        <w:t>Public health measures to contain, manage, treat, and reduce/control the impact of health problem using 3 P’s framework</w:t>
      </w:r>
      <w:bookmarkEnd w:id="33"/>
      <w:r>
        <w:rPr>
          <w:lang w:val="en-GB"/>
        </w:rPr>
        <w:t xml:space="preserve"> </w:t>
      </w:r>
    </w:p>
    <w:p w14:paraId="4B3147AA">
      <w:pPr>
        <w:pStyle w:val="style0"/>
        <w:rPr>
          <w:lang w:val="en-GB"/>
        </w:rPr>
      </w:pPr>
      <w:r>
        <w:rPr>
          <w:lang w:val="en-GB"/>
        </w:rPr>
        <w:t xml:space="preserve">Public health measures designed for addressing T2DM in Newham among adults ageing from 40 and above are dependent on three levels of prevention consisting of primary, secondary and tertiary. The primary intervention focuses on improving lifestyle changes through programs such as NHS Diabetes Prevention Programme, offering evidence-based lifestyle change to reduce the risks of T2DM (NHS, 2025). Community based interventions are also developed in </w:t>
      </w:r>
      <w:r>
        <w:rPr>
          <w:lang w:val="en-GB"/>
        </w:rPr>
        <w:t>Newham</w:t>
      </w:r>
      <w:r>
        <w:rPr>
          <w:lang w:val="en-GB"/>
        </w:rPr>
        <w:t xml:space="preserve"> that focus on developing culturally tailored campaigns and programs for addressing dietary habits among ethnically minority groups. </w:t>
      </w:r>
    </w:p>
    <w:p w14:paraId="3C971575">
      <w:pPr>
        <w:pStyle w:val="style0"/>
        <w:rPr>
          <w:lang w:val="en-GB"/>
        </w:rPr>
      </w:pPr>
      <w:r>
        <w:rPr>
          <w:lang w:val="en-GB"/>
        </w:rPr>
        <w:t xml:space="preserve">Secondary prevention includes early detection and management of the T2DM through screening programs for blood testing such as checking HbA1c or fasting glucose levels. Zhang </w:t>
      </w:r>
      <w:r>
        <w:rPr>
          <w:i/>
          <w:iCs/>
          <w:lang w:val="en-GB"/>
        </w:rPr>
        <w:t xml:space="preserve">et al. </w:t>
      </w:r>
      <w:r>
        <w:rPr>
          <w:lang w:val="en-GB"/>
        </w:rPr>
        <w:t>(2023) outlined that HbA1c for glucose level testing is the most used approach as early intervention to determine pre</w:t>
      </w:r>
      <w:r>
        <w:rPr>
          <w:lang w:val="en-GB"/>
        </w:rPr>
        <w:t>-</w:t>
      </w:r>
      <w:r>
        <w:rPr>
          <w:lang w:val="en-GB"/>
        </w:rPr>
        <w:t xml:space="preserve">diabetes with HbA1c levels of 5.7%-6.4%. It is effective for early detection as it monitors the glucose level of an individual over a period of three months. Moreover, early intervention and identification of public health issues such as diabetes is also enhanced by the </w:t>
      </w:r>
      <w:r>
        <w:rPr>
          <w:lang w:val="en-GB"/>
        </w:rPr>
        <w:t xml:space="preserve">implication of Quality and Outcomes Framework (QOF). QOF incentivises GPs to detect and prevent long-term and public health issues such as diabetes to improve career outcome (NHS, 2026). Thus, early detection and prevention is one of the significant aspects of T2DM management in Newham, following the growing concerns of T2DM among the adult population. </w:t>
      </w:r>
    </w:p>
    <w:p w14:paraId="0B1EF509">
      <w:pPr>
        <w:pStyle w:val="style0"/>
        <w:rPr>
          <w:lang w:val="en-GB"/>
        </w:rPr>
      </w:pPr>
      <w:r>
        <w:rPr>
          <w:lang w:val="en-GB"/>
        </w:rPr>
        <w:t xml:space="preserve">Tertiary prevention in London Borough, Newham is guided by NICE standards and delivered through the NHS by targeting microvascular and macrovascular damage. Hu </w:t>
      </w:r>
      <w:r>
        <w:rPr>
          <w:i/>
          <w:iCs/>
          <w:lang w:val="en-GB"/>
        </w:rPr>
        <w:t>et al.</w:t>
      </w:r>
      <w:r>
        <w:rPr>
          <w:lang w:val="en-GB"/>
        </w:rPr>
        <w:t xml:space="preserve"> (2025) \outlined that tertiary prevention limits disability and rehabilitating T2DM patients, preventing microvascular and macrovascular complications with associated risk factors including physical inactivity, obesity and hypertension. Tertiary prevention focuses on implementing intensive therapy as compared to conventional therapy that reduces adverse microvascular outcome by 25% (Hu </w:t>
      </w:r>
      <w:r>
        <w:rPr>
          <w:i/>
          <w:iCs/>
          <w:lang w:val="en-GB"/>
        </w:rPr>
        <w:t>et al.</w:t>
      </w:r>
      <w:r>
        <w:rPr>
          <w:lang w:val="en-GB"/>
        </w:rPr>
        <w:t xml:space="preserve"> 2025). Thus, the management of T2DM outlines the significance of self-management and self-care through regular monitoring for preventing complications related to T2DM. </w:t>
      </w:r>
    </w:p>
    <w:bookmarkStart w:id="34" w:name="_vvznh1vdcbcm" w:colFirst="0" w:colLast="0"/>
    <w:bookmarkStart w:id="35" w:name="_Toc237278391"/>
    <w:bookmarkEnd w:id="34"/>
    <w:p w14:paraId="3DAB1158">
      <w:pPr>
        <w:pStyle w:val="style3"/>
        <w:rPr>
          <w:lang w:val="en-GB"/>
        </w:rPr>
      </w:pPr>
      <w:r>
        <w:rPr>
          <w:lang w:val="en-GB"/>
        </w:rPr>
        <w:t>Key determinants and risk factors</w:t>
      </w:r>
      <w:bookmarkEnd w:id="35"/>
    </w:p>
    <w:p w14:paraId="66C523D9">
      <w:pPr>
        <w:pStyle w:val="style0"/>
        <w:rPr>
          <w:lang w:val="en-GB"/>
        </w:rPr>
      </w:pPr>
      <w:r>
        <w:rPr>
          <w:lang w:val="en-GB"/>
        </w:rPr>
        <w:t xml:space="preserve">The epidemiology of T2DM is shaped by a combination of complex biological, social and </w:t>
      </w:r>
      <w:r>
        <w:rPr>
          <w:lang w:val="en-GB"/>
        </w:rPr>
        <w:t>behavioural</w:t>
      </w:r>
      <w:r>
        <w:rPr>
          <w:lang w:val="en-GB"/>
        </w:rPr>
        <w:t xml:space="preserve"> determinants that increases the risks of T2DM among adults in Newham Borough. The risk factors of T2DM among adults include physical inactivity, unhealthy diet, family history, genetic predisposition, psychosocial stress and socioeconomic determinants (Diabetes UK, 2026). The physical inactivity and obesity in Newham Borough is considered one of the major concerns associated with the increasing risks of T2DM. The rates of obesity and overweight in Newham Borough in the UK is estimated to grow at 63% that is higher than average in all the London Borough (GOV, 2025). Diabetes is one of five leading causes and long-term conditions in Newham Borough of London that is affecting the majority of the population. </w:t>
      </w:r>
    </w:p>
    <w:bookmarkStart w:id="36" w:name="_9pwg43ejulru" w:colFirst="0" w:colLast="0"/>
    <w:bookmarkStart w:id="37" w:name="_Toc237278392"/>
    <w:bookmarkEnd w:id="36"/>
    <w:p w14:paraId="33FD3597">
      <w:pPr>
        <w:pStyle w:val="style3"/>
        <w:rPr>
          <w:lang w:val="en-GB"/>
        </w:rPr>
      </w:pPr>
      <w:r>
        <w:rPr>
          <w:lang w:val="en-GB"/>
        </w:rPr>
        <w:t>Defining population in high risks of the issues</w:t>
      </w:r>
      <w:bookmarkEnd w:id="37"/>
    </w:p>
    <w:p w14:paraId="13FDC211">
      <w:pPr>
        <w:pStyle w:val="style0"/>
        <w:jc w:val="center"/>
        <w:rPr>
          <w:lang w:val="en-GB"/>
        </w:rPr>
      </w:pPr>
      <w:r>
        <w:rPr>
          <w:noProof/>
          <w:lang w:val="en-GB"/>
        </w:rPr>
        <w:drawing>
          <wp:inline distL="0" distT="0" distB="0" distR="0">
            <wp:extent cx="2905125" cy="2552700"/>
            <wp:effectExtent l="0" t="0" r="0" b="0"/>
            <wp:docPr id="1029"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5" cstate="print"/>
                    <a:srcRect l="0" t="0" r="0" b="0"/>
                    <a:stretch/>
                  </pic:blipFill>
                  <pic:spPr>
                    <a:xfrm rot="0">
                      <a:off x="0" y="0"/>
                      <a:ext cx="2905125" cy="2552700"/>
                    </a:xfrm>
                    <a:prstGeom prst="rect"/>
                    <a:ln cmpd="sng" cap="flat" w="9525">
                      <a:solidFill>
                        <a:srgbClr val="000000"/>
                      </a:solidFill>
                      <a:prstDash val="solid"/>
                      <a:round/>
                      <a:headEnd/>
                      <a:tailEnd/>
                    </a:ln>
                  </pic:spPr>
                </pic:pic>
              </a:graphicData>
            </a:graphic>
          </wp:inline>
        </w:drawing>
      </w:r>
    </w:p>
    <w:p w14:paraId="090AC259">
      <w:pPr>
        <w:pStyle w:val="style0"/>
        <w:jc w:val="center"/>
        <w:rPr>
          <w:b/>
          <w:bCs/>
          <w:lang w:val="en-GB"/>
        </w:rPr>
      </w:pPr>
      <w:r>
        <w:rPr>
          <w:b/>
          <w:bCs/>
          <w:lang w:val="en-GB"/>
        </w:rPr>
        <w:t>Figure 3</w:t>
      </w:r>
      <w:r>
        <w:rPr>
          <w:b/>
          <w:bCs/>
          <w:lang w:val="en-GB"/>
        </w:rPr>
        <w:t xml:space="preserve">: Population in Newham at high risks of T2DM </w:t>
      </w:r>
    </w:p>
    <w:p w14:paraId="7CCE7E56">
      <w:pPr>
        <w:pStyle w:val="style0"/>
        <w:jc w:val="center"/>
        <w:rPr>
          <w:lang w:val="en-GB"/>
        </w:rPr>
      </w:pPr>
      <w:r>
        <w:rPr>
          <w:lang w:val="en-GB"/>
        </w:rPr>
        <w:t>(Source: GOV, 2026)</w:t>
      </w:r>
    </w:p>
    <w:p w14:paraId="18D19751">
      <w:pPr>
        <w:pStyle w:val="style0"/>
        <w:rPr>
          <w:lang w:val="en-GB"/>
        </w:rPr>
      </w:pPr>
      <w:r>
        <w:rPr>
          <w:lang w:val="en-GB"/>
        </w:rPr>
        <w:t xml:space="preserve">The population that is at high risk of T2DM in Newham Borough in the UK is the South Asian, African, Caribbean and Black African heritage people. The results of the Newham Joint Strategic Needs Assessment (JSNA) have outlined that as compared white and mixed ethnic groups, the Asian ethnic and Black ethnic groups have high prevalence of contracting long-term conditions such as T2DM (GOV, 2025). Although the causes of high risks regarding T2DM among Asian and African populations are lacking, the common causes of the issues is genetic difference, fat storage and insulin response. Black African, African Caribbean and South Asian backgrounds, especially after the age of 25 have high risks of contracting long term conditions such as T2DM in the UK (Diabetes UK, 2025). Thus, the minority groups in Newham Borough including Black African, African Caribbean and South Asian population are at high risk of T2DM. </w:t>
      </w:r>
    </w:p>
    <w:bookmarkStart w:id="38" w:name="_cts2u1a47xiz" w:colFirst="0" w:colLast="0"/>
    <w:bookmarkStart w:id="39" w:name="_Toc237278393"/>
    <w:bookmarkEnd w:id="38"/>
    <w:p w14:paraId="3BA6AB75">
      <w:pPr>
        <w:pStyle w:val="style3"/>
        <w:rPr>
          <w:lang w:val="en-GB"/>
        </w:rPr>
      </w:pPr>
      <w:r>
        <w:rPr>
          <w:lang w:val="en-GB"/>
        </w:rPr>
        <w:t>Main public health approaches and strategies used to monitor the incidences</w:t>
      </w:r>
      <w:bookmarkEnd w:id="39"/>
    </w:p>
    <w:p w14:paraId="040C87B7">
      <w:pPr>
        <w:pStyle w:val="style0"/>
        <w:numPr>
          <w:ilvl w:val="0"/>
          <w:numId w:val="5"/>
        </w:numPr>
        <w:rPr>
          <w:b/>
          <w:bCs/>
          <w:lang w:val="en-GB"/>
        </w:rPr>
      </w:pPr>
      <w:r>
        <w:rPr>
          <w:b/>
          <w:bCs/>
          <w:lang w:val="en-GB"/>
        </w:rPr>
        <w:t>Types of monitoring/surveillance system</w:t>
      </w:r>
    </w:p>
    <w:p w14:paraId="6FBF33A5">
      <w:pPr>
        <w:pStyle w:val="style0"/>
        <w:rPr>
          <w:lang w:val="en-GB"/>
        </w:rPr>
      </w:pPr>
      <w:r>
        <w:rPr>
          <w:lang w:val="en-GB"/>
        </w:rPr>
        <w:t xml:space="preserve">The monitoring and surveillance systems in Newham borough are integral for the management and early detection of long-term conditions such as T2DM using tools and assessment techniques. Joint Strategic Needs Assessment (JSNA) is one of the most common and effective tools used in </w:t>
      </w:r>
      <w:r>
        <w:rPr>
          <w:lang w:val="en-GB"/>
        </w:rPr>
        <w:t>Newham</w:t>
      </w:r>
      <w:r>
        <w:rPr>
          <w:lang w:val="en-GB"/>
        </w:rPr>
        <w:t xml:space="preserve"> as monitoring and surveillance systems that works by integrating the data from local authorities, healthcare providers and community organi</w:t>
      </w:r>
      <w:r>
        <w:rPr>
          <w:lang w:val="en-GB"/>
        </w:rPr>
        <w:t>s</w:t>
      </w:r>
      <w:r>
        <w:rPr>
          <w:lang w:val="en-GB"/>
        </w:rPr>
        <w:t xml:space="preserve">ations (GOV, 2025). The JSNA is considered a local surveillance tool that assists in identifying the population that have high risks of T2DM. For example, JSNA has outlined that breastfed children have lower risks of T2DM as they obtain the required vitamins and good nutrition (GOV, 2025). Moreover, the use of Quality </w:t>
      </w:r>
      <w:r>
        <w:rPr>
          <w:lang w:val="en-GB"/>
        </w:rPr>
        <w:t xml:space="preserve">and Outcomes Framework (QOF) is also an effective tool used as a primary care-based monitoring system by incentivising GPs to manage and record diabetes cases systematically (NHS, 2026). The lack of information, and data silos reduces the effectiveness of these surveillance systems. Thus, the implications of a comprehensive surveillance and monitoring system can be effective and efficient for addressing the gaps of these systems and improve early T2DM detection. </w:t>
      </w:r>
    </w:p>
    <w:bookmarkStart w:id="40" w:name="_vyn2amx179ni" w:colFirst="0" w:colLast="0"/>
    <w:bookmarkStart w:id="41" w:name="_Toc237278394"/>
    <w:bookmarkEnd w:id="40"/>
    <w:p w14:paraId="152D3BAD">
      <w:pPr>
        <w:pStyle w:val="style3"/>
        <w:rPr>
          <w:lang w:val="en-GB"/>
        </w:rPr>
      </w:pPr>
      <w:r>
        <w:rPr>
          <w:lang w:val="en-GB"/>
        </w:rPr>
        <w:t>Determining the public health impact/short- and long-term consequences</w:t>
      </w:r>
      <w:bookmarkEnd w:id="41"/>
    </w:p>
    <w:p w14:paraId="035723B5">
      <w:pPr>
        <w:pStyle w:val="style0"/>
        <w:numPr>
          <w:ilvl w:val="0"/>
          <w:numId w:val="7"/>
        </w:numPr>
        <w:rPr>
          <w:lang w:val="en-GB"/>
        </w:rPr>
      </w:pPr>
      <w:r>
        <w:rPr>
          <w:b/>
          <w:bCs/>
          <w:lang w:val="en-GB"/>
        </w:rPr>
        <w:t>Short-term consequences-</w:t>
      </w:r>
      <w:r>
        <w:rPr>
          <w:lang w:val="en-GB"/>
        </w:rPr>
        <w:t xml:space="preserve"> The short-term consequence of T2DM in the UK among adults consists of consistent low blood sugar level, sweating, extreme thirst and fatigue (Ayesha </w:t>
      </w:r>
      <w:r>
        <w:rPr>
          <w:i/>
          <w:iCs/>
          <w:lang w:val="en-GB"/>
        </w:rPr>
        <w:t>et al.,</w:t>
      </w:r>
      <w:r>
        <w:rPr>
          <w:lang w:val="en-GB"/>
        </w:rPr>
        <w:t xml:space="preserve"> 2023). The poor management of diabetes at individual levels are at higher risks of acute complications and fatigue including infections and hypoglycaemia. </w:t>
      </w:r>
    </w:p>
    <w:p w14:paraId="410191A6">
      <w:pPr>
        <w:pStyle w:val="style0"/>
        <w:numPr>
          <w:ilvl w:val="0"/>
          <w:numId w:val="7"/>
        </w:numPr>
        <w:rPr>
          <w:lang w:val="en-GB"/>
        </w:rPr>
      </w:pPr>
      <w:r>
        <w:rPr>
          <w:b/>
          <w:bCs/>
          <w:lang w:val="en-GB"/>
        </w:rPr>
        <w:t>Long-term consequences-</w:t>
      </w:r>
      <w:r>
        <w:rPr>
          <w:lang w:val="en-GB"/>
        </w:rPr>
        <w:t xml:space="preserve"> NHS have outlined that the long-term impact of Type 2 diabetes among adults includes nerve damage, kidney failure, cardiovascular complications (NHS, 2026). The increasing risks associated with T2DM is also increasing economic burden on NHS and local healthcare organi</w:t>
      </w:r>
      <w:r>
        <w:rPr>
          <w:lang w:val="en-GB"/>
        </w:rPr>
        <w:t>s</w:t>
      </w:r>
      <w:r>
        <w:rPr>
          <w:lang w:val="en-GB"/>
        </w:rPr>
        <w:t xml:space="preserve">ations in Newham borough of UK. As per the recent Diabetes UK report, diabetes management and its complication causes £10.7 billion economic burden to the NHS (Diabetes UK, 2026). </w:t>
      </w:r>
    </w:p>
    <w:p w14:paraId="743D5E4D">
      <w:pPr>
        <w:pStyle w:val="style0"/>
        <w:numPr>
          <w:ilvl w:val="0"/>
          <w:numId w:val="7"/>
        </w:numPr>
        <w:rPr>
          <w:b/>
          <w:bCs/>
          <w:lang w:val="en-GB"/>
        </w:rPr>
      </w:pPr>
      <w:r>
        <w:rPr>
          <w:b/>
          <w:bCs/>
          <w:lang w:val="en-GB"/>
        </w:rPr>
        <w:t xml:space="preserve">Public health impact and effect of T2DM on adults- </w:t>
      </w:r>
    </w:p>
    <w:p w14:paraId="7157975F">
      <w:pPr>
        <w:pStyle w:val="style0"/>
        <w:rPr>
          <w:lang w:val="en-GB"/>
        </w:rPr>
      </w:pPr>
      <w:r>
        <w:rPr>
          <w:lang w:val="en-GB"/>
        </w:rPr>
        <w:t xml:space="preserve">Epidemiological modelling and projections for the management of T2DM is effective for estimating future disease burden and inform policy development and decision making. Galindo </w:t>
      </w:r>
      <w:r>
        <w:rPr>
          <w:i/>
          <w:iCs/>
          <w:lang w:val="en-GB"/>
        </w:rPr>
        <w:t>et al.</w:t>
      </w:r>
      <w:r>
        <w:rPr>
          <w:lang w:val="en-GB"/>
        </w:rPr>
        <w:t xml:space="preserve"> (2023) have defined that the T2DM increases the risks of cardiovascular disease management issues along with risks of kidney failure as long-term concerns. As per the Epidemiological Planning and Analysis, the morbidity of T2DM is high as 1.3 million people are currently living with type 2 diabetes and lack proper diagnosis (Diabetes UK, 2026). Thus, the poor management and self-management approaches increase the risk of T2DM among adults, increasing risks of morbidity and premature death. </w:t>
      </w:r>
    </w:p>
    <w:bookmarkStart w:id="42" w:name="_1een1lho3ra6" w:colFirst="0" w:colLast="0"/>
    <w:bookmarkStart w:id="43" w:name="_Toc237278395"/>
    <w:bookmarkEnd w:id="42"/>
    <w:p w14:paraId="48570AD4">
      <w:pPr>
        <w:pStyle w:val="style3"/>
        <w:rPr>
          <w:lang w:val="en-GB"/>
        </w:rPr>
      </w:pPr>
      <w:r>
        <w:rPr>
          <w:lang w:val="en-GB"/>
        </w:rPr>
        <w:t>Designing an health intervention programme</w:t>
      </w:r>
      <w:bookmarkEnd w:id="43"/>
    </w:p>
    <w:p w14:paraId="4E472F79">
      <w:pPr>
        <w:pStyle w:val="style0"/>
        <w:rPr>
          <w:lang w:val="en-GB"/>
        </w:rPr>
      </w:pPr>
      <w:r>
        <w:rPr>
          <w:lang w:val="en-GB"/>
        </w:rPr>
        <w:t xml:space="preserve">Self-Management training and Community based Learning Programs are effective and appropriate health intervention programs that can be integrated in Newham to improve healthcare outcomes. Virtič Potočnik </w:t>
      </w:r>
      <w:r>
        <w:rPr>
          <w:i/>
          <w:iCs/>
          <w:lang w:val="en-GB"/>
        </w:rPr>
        <w:t>et al.</w:t>
      </w:r>
      <w:r>
        <w:rPr>
          <w:lang w:val="en-GB"/>
        </w:rPr>
        <w:t xml:space="preserve"> (2024) outlined that self-management training for T2DM is feasible and acceptable as it led to improvement in knowledge, maintaining disease control and to promote positive self-management </w:t>
      </w:r>
      <w:r>
        <w:rPr>
          <w:lang w:val="en-GB"/>
        </w:rPr>
        <w:t>behaviour</w:t>
      </w:r>
      <w:r>
        <w:rPr>
          <w:lang w:val="en-GB"/>
        </w:rPr>
        <w:t xml:space="preserve">. The intervention is grounded in epidemiological evidence demonstrating that long-term glycaemic control and complication prevention are strongly affected by an individual’s ability to manage their condition. The proposed approach adopts a community </w:t>
      </w:r>
      <w:r>
        <w:rPr>
          <w:lang w:val="en-GB"/>
        </w:rPr>
        <w:t xml:space="preserve">oriented and patient </w:t>
      </w:r>
      <w:r>
        <w:rPr>
          <w:lang w:val="en-GB"/>
        </w:rPr>
        <w:t>centred</w:t>
      </w:r>
      <w:r>
        <w:rPr>
          <w:lang w:val="en-GB"/>
        </w:rPr>
        <w:t xml:space="preserve"> approach, recognising that Newham’s population is highly distinctive with the majority of the population from ethnically diverse backgrounds. Key activities includes-</w:t>
      </w:r>
    </w:p>
    <w:p w14:paraId="1BF5013D">
      <w:pPr>
        <w:pStyle w:val="style0"/>
        <w:numPr>
          <w:ilvl w:val="0"/>
          <w:numId w:val="6"/>
        </w:numPr>
        <w:rPr>
          <w:lang w:val="en-GB"/>
        </w:rPr>
      </w:pPr>
      <w:r>
        <w:rPr>
          <w:lang w:val="en-GB"/>
        </w:rPr>
        <w:t xml:space="preserve">Education on blood glucose to monitoring, medication adherence and use of insulin </w:t>
      </w:r>
    </w:p>
    <w:p w14:paraId="213D3131">
      <w:pPr>
        <w:pStyle w:val="style0"/>
        <w:numPr>
          <w:ilvl w:val="0"/>
          <w:numId w:val="6"/>
        </w:numPr>
        <w:rPr>
          <w:lang w:val="en-GB"/>
        </w:rPr>
      </w:pPr>
      <w:r>
        <w:rPr>
          <w:lang w:val="en-GB"/>
        </w:rPr>
        <w:t>Physical activity planning based on individual capacity</w:t>
      </w:r>
    </w:p>
    <w:p w14:paraId="4394E8D6">
      <w:pPr>
        <w:pStyle w:val="style0"/>
        <w:numPr>
          <w:ilvl w:val="0"/>
          <w:numId w:val="6"/>
        </w:numPr>
        <w:rPr>
          <w:lang w:val="en-GB"/>
        </w:rPr>
      </w:pPr>
      <w:r>
        <w:rPr>
          <w:lang w:val="en-GB"/>
        </w:rPr>
        <w:t xml:space="preserve">Behavioural change techniques including goal setting and recognising complications </w:t>
      </w:r>
    </w:p>
    <w:bookmarkStart w:id="44" w:name="_m1qjnsh60ufp" w:colFirst="0" w:colLast="0"/>
    <w:bookmarkStart w:id="45" w:name="_Toc237278396"/>
    <w:bookmarkEnd w:id="44"/>
    <w:p w14:paraId="42B530E2">
      <w:pPr>
        <w:pStyle w:val="style3"/>
        <w:rPr>
          <w:lang w:val="en-GB"/>
        </w:rPr>
      </w:pPr>
      <w:r>
        <w:rPr>
          <w:lang w:val="en-GB"/>
        </w:rPr>
        <w:t>Outlining strengths and weaknesses of the designed epidemiological intervention</w:t>
      </w:r>
      <w:bookmarkEnd w:id="45"/>
      <w:r>
        <w:rPr>
          <w:lang w:val="en-GB"/>
        </w:rPr>
        <w:t xml:space="preserve"> </w:t>
      </w:r>
    </w:p>
    <w:tbl>
      <w:tblPr>
        <w:tblStyle w:val="style4098"/>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70"/>
        <w:gridCol w:w="4490"/>
      </w:tblGrid>
      <w:tr w14:paraId="3D175E36">
        <w:trPr/>
        <w:tc>
          <w:tcPr>
            <w:tcW w:w="4869" w:type="dxa"/>
            <w:tcBorders/>
            <w:tcMar>
              <w:top w:w="100" w:type="dxa"/>
              <w:left w:w="100" w:type="dxa"/>
              <w:bottom w:w="100" w:type="dxa"/>
              <w:right w:w="100" w:type="dxa"/>
            </w:tcMar>
          </w:tcPr>
          <w:p w14:paraId="3C213175">
            <w:pPr>
              <w:pStyle w:val="style0"/>
              <w:widowControl w:val="false"/>
              <w:pBdr>
                <w:left w:val="nil"/>
                <w:right w:val="nil"/>
                <w:top w:val="nil"/>
                <w:bottom w:val="nil"/>
                <w:between w:val="nil"/>
              </w:pBdr>
              <w:rPr>
                <w:b/>
                <w:bCs/>
                <w:lang w:val="en-GB"/>
              </w:rPr>
            </w:pPr>
            <w:r>
              <w:rPr>
                <w:b/>
                <w:bCs/>
                <w:lang w:val="en-GB"/>
              </w:rPr>
              <w:t>Strength</w:t>
            </w:r>
          </w:p>
        </w:tc>
        <w:tc>
          <w:tcPr>
            <w:tcW w:w="4490" w:type="dxa"/>
            <w:tcBorders/>
            <w:tcMar>
              <w:top w:w="100" w:type="dxa"/>
              <w:left w:w="100" w:type="dxa"/>
              <w:bottom w:w="100" w:type="dxa"/>
              <w:right w:w="100" w:type="dxa"/>
            </w:tcMar>
          </w:tcPr>
          <w:p w14:paraId="607329CC">
            <w:pPr>
              <w:pStyle w:val="style0"/>
              <w:widowControl w:val="false"/>
              <w:pBdr>
                <w:left w:val="nil"/>
                <w:right w:val="nil"/>
                <w:top w:val="nil"/>
                <w:bottom w:val="nil"/>
                <w:between w:val="nil"/>
              </w:pBdr>
              <w:rPr>
                <w:b/>
                <w:bCs/>
                <w:lang w:val="en-GB"/>
              </w:rPr>
            </w:pPr>
            <w:r>
              <w:rPr>
                <w:b/>
                <w:bCs/>
                <w:lang w:val="en-GB"/>
              </w:rPr>
              <w:t>Weaknesses</w:t>
            </w:r>
          </w:p>
        </w:tc>
      </w:tr>
      <w:tr w14:paraId="60773B50">
        <w:tblPrEx/>
        <w:trPr/>
        <w:tc>
          <w:tcPr>
            <w:tcW w:w="4869" w:type="dxa"/>
            <w:tcBorders/>
            <w:tcMar>
              <w:top w:w="100" w:type="dxa"/>
              <w:left w:w="100" w:type="dxa"/>
              <w:bottom w:w="100" w:type="dxa"/>
              <w:right w:w="100" w:type="dxa"/>
            </w:tcMar>
          </w:tcPr>
          <w:p w14:paraId="4486150F">
            <w:pPr>
              <w:pStyle w:val="style0"/>
              <w:widowControl w:val="false"/>
              <w:numPr>
                <w:ilvl w:val="0"/>
                <w:numId w:val="2"/>
              </w:numPr>
              <w:pBdr>
                <w:left w:val="nil"/>
                <w:right w:val="nil"/>
                <w:top w:val="nil"/>
                <w:bottom w:val="nil"/>
                <w:between w:val="nil"/>
              </w:pBdr>
              <w:rPr>
                <w:lang w:val="en-GB"/>
              </w:rPr>
            </w:pPr>
            <w:r>
              <w:rPr>
                <w:lang w:val="en-GB"/>
              </w:rPr>
              <w:t xml:space="preserve">Enhance community based intervention effectives </w:t>
            </w:r>
          </w:p>
          <w:p w14:paraId="66E2B950">
            <w:pPr>
              <w:pStyle w:val="style0"/>
              <w:widowControl w:val="false"/>
              <w:numPr>
                <w:ilvl w:val="0"/>
                <w:numId w:val="2"/>
              </w:numPr>
              <w:pBdr>
                <w:left w:val="nil"/>
                <w:right w:val="nil"/>
                <w:top w:val="nil"/>
                <w:bottom w:val="nil"/>
                <w:between w:val="nil"/>
              </w:pBdr>
              <w:rPr>
                <w:lang w:val="en-GB"/>
              </w:rPr>
            </w:pPr>
            <w:r>
              <w:rPr>
                <w:lang w:val="en-GB"/>
              </w:rPr>
              <w:t xml:space="preserve">Improve individual compliance and medication adherence </w:t>
            </w:r>
          </w:p>
          <w:p w14:paraId="22EC1C3D">
            <w:pPr>
              <w:pStyle w:val="style0"/>
              <w:widowControl w:val="false"/>
              <w:numPr>
                <w:ilvl w:val="0"/>
                <w:numId w:val="2"/>
              </w:numPr>
              <w:pBdr>
                <w:left w:val="nil"/>
                <w:right w:val="nil"/>
                <w:top w:val="nil"/>
                <w:bottom w:val="nil"/>
                <w:between w:val="nil"/>
              </w:pBdr>
              <w:rPr>
                <w:lang w:val="en-GB"/>
              </w:rPr>
            </w:pPr>
            <w:r>
              <w:rPr>
                <w:lang w:val="en-GB"/>
              </w:rPr>
              <w:t>Improve individual level knowledge regarding the management of T2DM</w:t>
            </w:r>
          </w:p>
        </w:tc>
        <w:tc>
          <w:tcPr>
            <w:tcW w:w="4490" w:type="dxa"/>
            <w:tcBorders/>
            <w:tcMar>
              <w:top w:w="100" w:type="dxa"/>
              <w:left w:w="100" w:type="dxa"/>
              <w:bottom w:w="100" w:type="dxa"/>
              <w:right w:w="100" w:type="dxa"/>
            </w:tcMar>
          </w:tcPr>
          <w:p w14:paraId="57041265">
            <w:pPr>
              <w:pStyle w:val="style0"/>
              <w:widowControl w:val="false"/>
              <w:numPr>
                <w:ilvl w:val="0"/>
                <w:numId w:val="4"/>
              </w:numPr>
              <w:pBdr>
                <w:left w:val="nil"/>
                <w:right w:val="nil"/>
                <w:top w:val="nil"/>
                <w:bottom w:val="nil"/>
                <w:between w:val="nil"/>
              </w:pBdr>
              <w:rPr>
                <w:lang w:val="en-GB"/>
              </w:rPr>
            </w:pPr>
            <w:r>
              <w:rPr>
                <w:lang w:val="en-GB"/>
              </w:rPr>
              <w:t>Low health literacy hurdles due to complexities of standardi</w:t>
            </w:r>
            <w:r>
              <w:rPr>
                <w:lang w:val="en-GB"/>
              </w:rPr>
              <w:t>s</w:t>
            </w:r>
            <w:r>
              <w:rPr>
                <w:lang w:val="en-GB"/>
              </w:rPr>
              <w:t xml:space="preserve">ed training </w:t>
            </w:r>
          </w:p>
          <w:p w14:paraId="52429C69">
            <w:pPr>
              <w:pStyle w:val="style0"/>
              <w:widowControl w:val="false"/>
              <w:numPr>
                <w:ilvl w:val="0"/>
                <w:numId w:val="4"/>
              </w:numPr>
              <w:pBdr>
                <w:left w:val="nil"/>
                <w:right w:val="nil"/>
                <w:top w:val="nil"/>
                <w:bottom w:val="nil"/>
                <w:between w:val="nil"/>
              </w:pBdr>
              <w:rPr>
                <w:lang w:val="en-GB"/>
              </w:rPr>
            </w:pPr>
            <w:r>
              <w:rPr>
                <w:lang w:val="en-GB"/>
              </w:rPr>
              <w:t xml:space="preserve">Risks of spreading misinformation among communities </w:t>
            </w:r>
          </w:p>
        </w:tc>
      </w:tr>
    </w:tbl>
    <w:p w14:paraId="592B5DBA">
      <w:pPr>
        <w:pStyle w:val="style0"/>
        <w:jc w:val="center"/>
        <w:rPr>
          <w:b/>
          <w:bCs/>
          <w:lang w:val="en-GB"/>
        </w:rPr>
      </w:pPr>
      <w:r>
        <w:rPr>
          <w:b/>
          <w:bCs/>
          <w:lang w:val="en-GB"/>
        </w:rPr>
        <w:t>Table 1: Strength and weaknesses of the interventions</w:t>
      </w:r>
    </w:p>
    <w:p w14:paraId="6FB79776">
      <w:pPr>
        <w:pStyle w:val="style0"/>
        <w:jc w:val="center"/>
        <w:rPr>
          <w:lang w:val="en-GB"/>
        </w:rPr>
      </w:pPr>
      <w:r>
        <w:rPr>
          <w:lang w:val="en-GB"/>
        </w:rPr>
        <w:t xml:space="preserve">(Source: Influenced by Virtič Potočnik </w:t>
      </w:r>
      <w:r>
        <w:rPr>
          <w:i/>
          <w:iCs/>
          <w:lang w:val="en-GB"/>
        </w:rPr>
        <w:t>et al.</w:t>
      </w:r>
      <w:r>
        <w:rPr>
          <w:lang w:val="en-GB"/>
        </w:rPr>
        <w:t xml:space="preserve"> 2024)</w:t>
      </w:r>
    </w:p>
    <w:bookmarkStart w:id="46" w:name="_ihun2f9on9ws" w:colFirst="0" w:colLast="0"/>
    <w:bookmarkStart w:id="47" w:name="_Toc237278397"/>
    <w:bookmarkEnd w:id="46"/>
    <w:p w14:paraId="713A8379">
      <w:pPr>
        <w:pStyle w:val="style2"/>
        <w:rPr>
          <w:lang w:val="en-GB"/>
        </w:rPr>
      </w:pPr>
      <w:r>
        <w:rPr>
          <w:lang w:val="en-GB"/>
        </w:rPr>
        <w:t>Conclusion</w:t>
      </w:r>
      <w:bookmarkEnd w:id="47"/>
    </w:p>
    <w:p w14:paraId="6CD2B1AA">
      <w:pPr>
        <w:pStyle w:val="style0"/>
        <w:rPr>
          <w:lang w:val="en-GB"/>
        </w:rPr>
      </w:pPr>
      <w:r>
        <w:rPr>
          <w:lang w:val="en-GB"/>
        </w:rPr>
        <w:t xml:space="preserve">T2DM represents a significant public health challenge in Newham borough that is caused by combustion of the behavioural, biological and social determinants. The comprehensive surveillance systems are integrated in Newham Borough for identifying the prevalence and the early detection of long term health risks such as T2DM including JSNA and QOF. </w:t>
      </w:r>
    </w:p>
    <w:p w14:paraId="69F6B892">
      <w:pPr>
        <w:pStyle w:val="style0"/>
        <w:rPr>
          <w:lang w:val="en-GB"/>
        </w:rPr>
      </w:pPr>
      <w:r>
        <w:rPr>
          <w:lang w:val="en-GB"/>
        </w:rPr>
        <w:br w:type="page"/>
      </w:r>
    </w:p>
    <w:bookmarkStart w:id="48" w:name="_k2rtjpvq59in" w:colFirst="0" w:colLast="0"/>
    <w:bookmarkStart w:id="49" w:name="_Toc237278398"/>
    <w:bookmarkEnd w:id="48"/>
    <w:p w14:paraId="3913B5F2">
      <w:pPr>
        <w:pStyle w:val="style1"/>
        <w:rPr>
          <w:lang w:val="en-GB"/>
        </w:rPr>
      </w:pPr>
      <w:r>
        <w:rPr>
          <w:lang w:val="en-GB"/>
        </w:rPr>
        <w:t>References</w:t>
      </w:r>
      <w:bookmarkEnd w:id="49"/>
    </w:p>
    <w:p w14:paraId="4437D6E3">
      <w:pPr>
        <w:pStyle w:val="style0"/>
        <w:spacing w:before="200" w:after="200"/>
        <w:rPr>
          <w:b/>
          <w:bCs/>
          <w:i/>
          <w:iCs/>
          <w:lang w:val="en-GB"/>
        </w:rPr>
      </w:pPr>
      <w:r>
        <w:rPr>
          <w:b/>
          <w:bCs/>
          <w:i/>
          <w:iCs/>
          <w:lang w:val="en-GB"/>
        </w:rPr>
        <w:t>Task 1</w:t>
      </w:r>
    </w:p>
    <w:p w14:paraId="2D3B915E">
      <w:pPr>
        <w:pStyle w:val="style0"/>
        <w:spacing w:before="200" w:after="200"/>
        <w:rPr>
          <w:lang w:val="en-GB"/>
        </w:rPr>
      </w:pPr>
      <w:r>
        <w:rPr>
          <w:lang w:val="en-GB"/>
        </w:rPr>
        <w:t xml:space="preserve">Disability Rights UK (2025). </w:t>
      </w:r>
      <w:r>
        <w:rPr>
          <w:i/>
          <w:iCs/>
          <w:lang w:val="en-GB"/>
        </w:rPr>
        <w:t>Nearly half of everyone in poverty is either a disabled person or lives with a disabled person.</w:t>
      </w:r>
      <w:r>
        <w:rPr>
          <w:lang w:val="en-GB"/>
        </w:rPr>
        <w:t xml:space="preserve"> Available at: </w:t>
      </w:r>
      <w:r>
        <w:rPr/>
        <w:fldChar w:fldCharType="begin"/>
      </w:r>
      <w:r>
        <w:instrText xml:space="preserve"> HYPERLINK "https://www.disabilityrightsuk.org/news/2020/february/nearly-half-everyone-poverty-either-disabled-person-or-lives-disabled-person?srsltid=AfmBOoqv1QD4GdWx8qipt-ptrUa4s0j68ecrtyUdM7mL9Q_S-FTkN9ax" </w:instrText>
      </w:r>
      <w:r>
        <w:rPr/>
        <w:fldChar w:fldCharType="separate"/>
      </w:r>
      <w:r>
        <w:rPr>
          <w:color w:val="1155cc"/>
          <w:u w:val="single"/>
          <w:lang w:val="en-GB"/>
        </w:rPr>
        <w:t>https://www.disabilityrightsuk.org/news/2020/february/nearly-half-everyone-poverty-either-disabled-person-or-lives-disabled-person?srsltid=AfmBOoqv1QD4GdWx8qipt-ptrUa4s0j68ecrtyUdM7mL9Q_S-FTkN9ax</w:t>
      </w:r>
      <w:r>
        <w:rPr/>
        <w:fldChar w:fldCharType="end"/>
      </w:r>
      <w:r>
        <w:rPr>
          <w:lang w:val="en-GB"/>
        </w:rPr>
        <w:t xml:space="preserve"> (Accessed: 10 August 2026).</w:t>
      </w:r>
    </w:p>
    <w:p w14:paraId="614480E3">
      <w:pPr>
        <w:pStyle w:val="style0"/>
        <w:spacing w:before="200" w:after="200"/>
        <w:rPr>
          <w:lang w:val="en-GB"/>
        </w:rPr>
      </w:pPr>
      <w:r>
        <w:rPr>
          <w:lang w:val="en-GB"/>
        </w:rPr>
        <w:t xml:space="preserve">Disability Rights UK (2026). </w:t>
      </w:r>
      <w:r>
        <w:rPr>
          <w:i/>
          <w:iCs/>
          <w:lang w:val="en-GB"/>
        </w:rPr>
        <w:t xml:space="preserve">We are Disabled people leading change. </w:t>
      </w:r>
      <w:r>
        <w:rPr>
          <w:lang w:val="en-GB"/>
        </w:rPr>
        <w:t xml:space="preserve">Available at: </w:t>
      </w:r>
      <w:r>
        <w:rPr/>
        <w:fldChar w:fldCharType="begin"/>
      </w:r>
      <w:r>
        <w:instrText xml:space="preserve"> HYPERLINK "https://www.disabilityrightsuk.org/?srsltid=AfmBOoqvDNsxfvwLZkDq3V8s8yT_qjFnzybFAib_735YSEoAU0FrWGSa" </w:instrText>
      </w:r>
      <w:r>
        <w:rPr/>
        <w:fldChar w:fldCharType="separate"/>
      </w:r>
      <w:r>
        <w:rPr>
          <w:color w:val="1155cc"/>
          <w:u w:val="single"/>
          <w:lang w:val="en-GB"/>
        </w:rPr>
        <w:t>https://www.disabilityrightsuk.org/?srsltid=AfmBOoqvDNsxfvwLZkDq3V8s8yT_qjFnzybFAib_735YSEoAU0FrWGSa</w:t>
      </w:r>
      <w:r>
        <w:rPr/>
        <w:fldChar w:fldCharType="end"/>
      </w:r>
      <w:r>
        <w:rPr>
          <w:lang w:val="en-GB"/>
        </w:rPr>
        <w:t xml:space="preserve"> (Accessed: 10 August 2026).</w:t>
      </w:r>
    </w:p>
    <w:p w14:paraId="1C117815">
      <w:pPr>
        <w:pStyle w:val="style0"/>
        <w:spacing w:before="200" w:after="200"/>
        <w:rPr>
          <w:b/>
          <w:bCs/>
          <w:lang w:val="en-GB"/>
        </w:rPr>
      </w:pPr>
      <w:r>
        <w:rPr>
          <w:lang w:val="en-GB"/>
        </w:rPr>
        <w:t xml:space="preserve">GOV (2024). </w:t>
      </w:r>
      <w:r>
        <w:rPr>
          <w:i/>
          <w:iCs/>
          <w:lang w:val="en-GB"/>
        </w:rPr>
        <w:t>Disability Action Plan.</w:t>
      </w:r>
      <w:r>
        <w:rPr>
          <w:lang w:val="en-GB"/>
        </w:rPr>
        <w:t xml:space="preserve"> Available at: </w:t>
      </w:r>
      <w:r>
        <w:rPr/>
        <w:fldChar w:fldCharType="begin"/>
      </w:r>
      <w:r>
        <w:instrText xml:space="preserve"> HYPERLINK "https://assets.publishing.service.gov.uk/media/65bce88fc4319100141a449c/Disability-Action-Plan-PDF.pdf" </w:instrText>
      </w:r>
      <w:r>
        <w:rPr/>
        <w:fldChar w:fldCharType="separate"/>
      </w:r>
      <w:r>
        <w:rPr>
          <w:color w:val="1155cc"/>
          <w:u w:val="single"/>
          <w:lang w:val="en-GB"/>
        </w:rPr>
        <w:t>https://assets.publishing.service.gov.uk/media/65bce88fc4319100141a449c/Disability-Action-Plan-PDF.pdf</w:t>
      </w:r>
      <w:r>
        <w:rPr/>
        <w:fldChar w:fldCharType="end"/>
      </w:r>
      <w:r>
        <w:rPr>
          <w:lang w:val="en-GB"/>
        </w:rPr>
        <w:t xml:space="preserve"> (Accessed: 10 August 2026).</w:t>
      </w:r>
      <w:r>
        <w:rPr>
          <w:b/>
          <w:bCs/>
          <w:lang w:val="en-GB"/>
        </w:rPr>
        <w:t xml:space="preserve"> </w:t>
      </w:r>
    </w:p>
    <w:p w14:paraId="65387B85">
      <w:pPr>
        <w:pStyle w:val="style0"/>
        <w:spacing w:before="200" w:after="200"/>
        <w:rPr>
          <w:lang w:val="en-GB"/>
        </w:rPr>
      </w:pPr>
      <w:r>
        <w:rPr>
          <w:lang w:val="en-GB"/>
        </w:rPr>
        <w:t xml:space="preserve">Jones, M. (2025). </w:t>
      </w:r>
      <w:r>
        <w:rPr>
          <w:i/>
          <w:iCs/>
          <w:lang w:val="en-GB"/>
        </w:rPr>
        <w:t xml:space="preserve">Growing prevalence of disability: what implications for the UK economy. </w:t>
      </w:r>
      <w:r>
        <w:rPr>
          <w:lang w:val="en-GB"/>
        </w:rPr>
        <w:t>Available at:</w:t>
      </w:r>
      <w:r>
        <w:rPr/>
        <w:fldChar w:fldCharType="begin"/>
      </w:r>
      <w:r>
        <w:instrText xml:space="preserve"> HYPERLINK "https://www.economicsobservatory.com/growing-prevalence-of-disability-what-implications-for-the-uk-economy" </w:instrText>
      </w:r>
      <w:r>
        <w:rPr/>
        <w:fldChar w:fldCharType="separate"/>
      </w:r>
      <w:r>
        <w:rPr>
          <w:color w:val="1155cc"/>
          <w:u w:val="single"/>
          <w:lang w:val="en-GB"/>
        </w:rPr>
        <w:t>https://www.economicsobservatory.com/growing-prevalence-of-disability-what-implications-for-the-uk-economy</w:t>
      </w:r>
      <w:r>
        <w:rPr/>
        <w:fldChar w:fldCharType="end"/>
      </w:r>
      <w:r>
        <w:rPr>
          <w:lang w:val="en-GB"/>
        </w:rPr>
        <w:t xml:space="preserve"> (Accessed: 10 August 2026).</w:t>
      </w:r>
    </w:p>
    <w:p w14:paraId="42E77881">
      <w:pPr>
        <w:pStyle w:val="style0"/>
        <w:spacing w:before="200" w:after="200"/>
        <w:rPr>
          <w:lang w:val="en-GB"/>
        </w:rPr>
      </w:pPr>
      <w:r>
        <w:rPr>
          <w:lang w:val="en-GB"/>
        </w:rPr>
        <w:t xml:space="preserve">JRF (2026) </w:t>
      </w:r>
      <w:r>
        <w:rPr>
          <w:i/>
          <w:iCs/>
          <w:lang w:val="en-GB"/>
        </w:rPr>
        <w:t xml:space="preserve">Disability and poverty. </w:t>
      </w:r>
      <w:r>
        <w:rPr>
          <w:lang w:val="en-GB"/>
        </w:rPr>
        <w:t xml:space="preserve">Available at: </w:t>
      </w:r>
      <w:r>
        <w:rPr/>
        <w:fldChar w:fldCharType="begin"/>
      </w:r>
      <w:r>
        <w:instrText xml:space="preserve"> HYPERLINK "https://www.jrf.org.uk/uk-poverty-statistics/disability" </w:instrText>
      </w:r>
      <w:r>
        <w:rPr/>
        <w:fldChar w:fldCharType="separate"/>
      </w:r>
      <w:r>
        <w:rPr>
          <w:color w:val="1155cc"/>
          <w:u w:val="single"/>
          <w:lang w:val="en-GB"/>
        </w:rPr>
        <w:t>https://www.jrf.org.uk/uk-poverty-statistics/disability</w:t>
      </w:r>
      <w:r>
        <w:rPr/>
        <w:fldChar w:fldCharType="end"/>
      </w:r>
      <w:r>
        <w:rPr>
          <w:lang w:val="en-GB"/>
        </w:rPr>
        <w:t xml:space="preserve"> (Accessed: 10 August 2026).</w:t>
      </w:r>
    </w:p>
    <w:p w14:paraId="4506C8E0">
      <w:pPr>
        <w:pStyle w:val="style0"/>
        <w:spacing w:before="200" w:after="200"/>
        <w:rPr>
          <w:lang w:val="en-GB"/>
        </w:rPr>
      </w:pPr>
      <w:r>
        <w:rPr>
          <w:color w:val="222222"/>
          <w:lang w:val="en-GB"/>
        </w:rPr>
        <w:t xml:space="preserve">Lewin, G., </w:t>
      </w:r>
      <w:r>
        <w:rPr>
          <w:color w:val="222222"/>
          <w:lang w:val="en-GB"/>
        </w:rPr>
        <w:t>Kousovista</w:t>
      </w:r>
      <w:r>
        <w:rPr>
          <w:color w:val="222222"/>
          <w:lang w:val="en-GB"/>
        </w:rPr>
        <w:t xml:space="preserve">, R., </w:t>
      </w:r>
      <w:r>
        <w:rPr>
          <w:color w:val="222222"/>
          <w:lang w:val="en-GB"/>
        </w:rPr>
        <w:t>Abakasanga</w:t>
      </w:r>
      <w:r>
        <w:rPr>
          <w:color w:val="222222"/>
          <w:lang w:val="en-GB"/>
        </w:rPr>
        <w:t xml:space="preserve">, E., </w:t>
      </w:r>
      <w:r>
        <w:rPr>
          <w:color w:val="222222"/>
          <w:lang w:val="en-GB"/>
        </w:rPr>
        <w:t>Shivamurthy</w:t>
      </w:r>
      <w:r>
        <w:rPr>
          <w:color w:val="222222"/>
          <w:lang w:val="en-GB"/>
        </w:rPr>
        <w:t xml:space="preserve">, R., Cosma, G., Jun, G., Kaur, N., Akbari, A. and Gangadharan, S., (2025). Nature and prevalence of long-term conditions in people with intellectual disability: retrospective longitudinal population-based study. </w:t>
      </w:r>
      <w:r>
        <w:rPr>
          <w:i/>
          <w:iCs/>
          <w:color w:val="222222"/>
          <w:lang w:val="en-GB"/>
        </w:rPr>
        <w:t>BMJ open</w:t>
      </w:r>
      <w:r>
        <w:rPr>
          <w:color w:val="222222"/>
          <w:lang w:val="en-GB"/>
        </w:rPr>
        <w:t xml:space="preserve">, </w:t>
      </w:r>
      <w:r>
        <w:rPr>
          <w:i/>
          <w:iCs/>
          <w:color w:val="222222"/>
          <w:lang w:val="en-GB"/>
        </w:rPr>
        <w:t>15</w:t>
      </w:r>
      <w:r>
        <w:rPr>
          <w:color w:val="222222"/>
          <w:lang w:val="en-GB"/>
        </w:rPr>
        <w:t>(1), p.e090857.</w:t>
      </w:r>
      <w:r>
        <w:rPr>
          <w:lang w:val="en-GB"/>
        </w:rPr>
        <w:t xml:space="preserve"> Available at: </w:t>
      </w:r>
      <w:r>
        <w:rPr/>
        <w:fldChar w:fldCharType="begin"/>
      </w:r>
      <w:r>
        <w:instrText xml:space="preserve"> HYPERLINK "https://doi.org/10.1136/bmjopen-2024-090857" </w:instrText>
      </w:r>
      <w:r>
        <w:rPr/>
        <w:fldChar w:fldCharType="separate"/>
      </w:r>
      <w:r>
        <w:rPr>
          <w:color w:val="1155cc"/>
          <w:u w:val="single"/>
          <w:lang w:val="en-GB"/>
        </w:rPr>
        <w:t>https://doi.org/10.1136/bmjopen-2024-090857</w:t>
      </w:r>
      <w:r>
        <w:rPr/>
        <w:fldChar w:fldCharType="end"/>
      </w:r>
      <w:r>
        <w:rPr>
          <w:lang w:val="en-GB"/>
        </w:rPr>
        <w:t xml:space="preserve"> </w:t>
      </w:r>
    </w:p>
    <w:p w14:paraId="30551550">
      <w:pPr>
        <w:pStyle w:val="style0"/>
        <w:spacing w:before="200" w:after="200"/>
        <w:rPr>
          <w:lang w:val="en-GB"/>
        </w:rPr>
      </w:pPr>
      <w:r>
        <w:rPr>
          <w:lang w:val="en-GB"/>
        </w:rPr>
        <w:t xml:space="preserve">Newham Voices (2024) </w:t>
      </w:r>
      <w:r>
        <w:rPr>
          <w:i/>
          <w:iCs/>
          <w:lang w:val="en-GB"/>
        </w:rPr>
        <w:t xml:space="preserve">World Diabetes Day: why it’s so important to Newham residents. </w:t>
      </w:r>
      <w:r>
        <w:rPr>
          <w:lang w:val="en-GB"/>
        </w:rPr>
        <w:t xml:space="preserve">Available at: </w:t>
      </w:r>
      <w:r>
        <w:rPr/>
        <w:fldChar w:fldCharType="begin"/>
      </w:r>
      <w:r>
        <w:instrText xml:space="preserve"> HYPERLINK "https://newhamvoices.co.uk/2024/11/14/world-diabetes-day-why-its-so-important-to-newham-residents/" </w:instrText>
      </w:r>
      <w:r>
        <w:rPr/>
        <w:fldChar w:fldCharType="separate"/>
      </w:r>
      <w:r>
        <w:rPr>
          <w:color w:val="1155cc"/>
          <w:u w:val="single"/>
          <w:lang w:val="en-GB"/>
        </w:rPr>
        <w:t>https://newhamvoices.co.uk/2024/11/14/world-diabetes-day-why-its-so-important-to-newham-residents/</w:t>
      </w:r>
      <w:r>
        <w:rPr/>
        <w:fldChar w:fldCharType="end"/>
      </w:r>
      <w:r>
        <w:rPr>
          <w:lang w:val="en-GB"/>
        </w:rPr>
        <w:t xml:space="preserve"> (Accessed: 10 August 2026).</w:t>
      </w:r>
    </w:p>
    <w:p w14:paraId="4B1F7308">
      <w:pPr>
        <w:pStyle w:val="style0"/>
        <w:spacing w:before="200" w:after="200"/>
        <w:rPr>
          <w:lang w:val="en-GB"/>
        </w:rPr>
      </w:pPr>
      <w:r>
        <w:rPr>
          <w:lang w:val="en-GB"/>
        </w:rPr>
        <w:t xml:space="preserve">NHS (2024). </w:t>
      </w:r>
      <w:r>
        <w:rPr>
          <w:i/>
          <w:iCs/>
          <w:lang w:val="en-GB"/>
        </w:rPr>
        <w:t>Disability.</w:t>
      </w:r>
      <w:r>
        <w:rPr>
          <w:lang w:val="en-GB"/>
        </w:rPr>
        <w:t xml:space="preserve"> Available at: </w:t>
      </w:r>
      <w:r>
        <w:rPr/>
        <w:fldChar w:fldCharType="begin"/>
      </w:r>
      <w:r>
        <w:instrText xml:space="preserve"> HYPERLINK "https://digital.nhs.uk/data-and-information/data-collections-and-data-sets/data-sets/mental-health-services-data-set/submit-data/data-quality-of-protected-characteristics-and-other-vulnerable-groups/disability" </w:instrText>
      </w:r>
      <w:r>
        <w:rPr/>
        <w:fldChar w:fldCharType="separate"/>
      </w:r>
      <w:r>
        <w:rPr>
          <w:color w:val="1155cc"/>
          <w:u w:val="single"/>
          <w:lang w:val="en-GB"/>
        </w:rPr>
        <w:t>https://digital.nhs.uk/data-and-information/data-collections-and-data-sets/data-sets/mental-health-services-data-set/submit-data/data-quality-of-protected-characteristics-and-other-vulnerable-groups/disability</w:t>
      </w:r>
      <w:r>
        <w:rPr/>
        <w:fldChar w:fldCharType="end"/>
      </w:r>
      <w:r>
        <w:rPr>
          <w:lang w:val="en-GB"/>
        </w:rPr>
        <w:t xml:space="preserve"> (Accessed: 10 August 2026).</w:t>
      </w:r>
    </w:p>
    <w:p w14:paraId="108CD300">
      <w:pPr>
        <w:pStyle w:val="style0"/>
        <w:spacing w:before="200" w:after="200"/>
        <w:rPr>
          <w:lang w:val="en-GB"/>
        </w:rPr>
      </w:pPr>
      <w:r>
        <w:rPr>
          <w:lang w:val="en-GB"/>
        </w:rPr>
        <w:t xml:space="preserve">NHS (2025) </w:t>
      </w:r>
      <w:r>
        <w:rPr>
          <w:i/>
          <w:iCs/>
          <w:lang w:val="en-GB"/>
        </w:rPr>
        <w:t>Core20PLUS5 – An approach to reducing health inequalities for children and young people.</w:t>
      </w:r>
      <w:r>
        <w:rPr>
          <w:lang w:val="en-GB"/>
        </w:rPr>
        <w:t xml:space="preserve"> Available at: </w:t>
      </w:r>
      <w:r>
        <w:rPr/>
        <w:fldChar w:fldCharType="begin"/>
      </w:r>
      <w:r>
        <w:instrText xml:space="preserve"> HYPERLINK "https://www.england.nhs.uk/about/equality/equality-hub/national-healthcare-inequalities-improvement-programme/core20plus5/core20plus5-cyp/" </w:instrText>
      </w:r>
      <w:r>
        <w:rPr/>
        <w:fldChar w:fldCharType="separate"/>
      </w:r>
      <w:r>
        <w:rPr>
          <w:color w:val="1155cc"/>
          <w:u w:val="single"/>
          <w:lang w:val="en-GB"/>
        </w:rPr>
        <w:t>https://www.england.nhs.uk/about/equality/equality-hub/national-healthcare-inequalities-improvement-programme/core20plus5/core20plus5-cyp/</w:t>
      </w:r>
      <w:r>
        <w:rPr/>
        <w:fldChar w:fldCharType="end"/>
      </w:r>
      <w:r>
        <w:rPr>
          <w:lang w:val="en-GB"/>
        </w:rPr>
        <w:t xml:space="preserve"> (Accessed: 10 August 2026).</w:t>
      </w:r>
    </w:p>
    <w:p w14:paraId="0587595B">
      <w:pPr>
        <w:pStyle w:val="style0"/>
        <w:spacing w:before="200" w:after="200"/>
        <w:rPr>
          <w:lang w:val="en-GB"/>
        </w:rPr>
      </w:pPr>
      <w:r>
        <w:rPr>
          <w:lang w:val="en-GB"/>
        </w:rPr>
        <w:t xml:space="preserve">NHS (2025). </w:t>
      </w:r>
      <w:r>
        <w:rPr>
          <w:i/>
          <w:iCs/>
          <w:lang w:val="en-GB"/>
        </w:rPr>
        <w:t>Diabetes – Diabetes Prevention Programme (NDPP).</w:t>
      </w:r>
      <w:r>
        <w:rPr>
          <w:lang w:val="en-GB"/>
        </w:rPr>
        <w:t xml:space="preserve"> Available at: </w:t>
      </w:r>
      <w:r>
        <w:rPr/>
        <w:fldChar w:fldCharType="begin"/>
      </w:r>
      <w:r>
        <w:instrText xml:space="preserve"> HYPERLINK "https://northeastlondon.icb.nhs.uk/service/diabetes-diabetes-prevention-programme-ndpp/" </w:instrText>
      </w:r>
      <w:r>
        <w:rPr/>
        <w:fldChar w:fldCharType="separate"/>
      </w:r>
      <w:r>
        <w:rPr>
          <w:color w:val="1155cc"/>
          <w:u w:val="single"/>
          <w:lang w:val="en-GB"/>
        </w:rPr>
        <w:t>https://northeastlondon.icb.nhs.uk/service/diabetes-diabetes-prevention-programme-ndpp/</w:t>
      </w:r>
      <w:r>
        <w:rPr/>
        <w:fldChar w:fldCharType="end"/>
      </w:r>
      <w:r>
        <w:rPr>
          <w:lang w:val="en-GB"/>
        </w:rPr>
        <w:t xml:space="preserve"> (Accessed: 10 August 2026).</w:t>
      </w:r>
    </w:p>
    <w:p w14:paraId="347BADEF">
      <w:pPr>
        <w:pStyle w:val="style0"/>
        <w:spacing w:before="200" w:after="200"/>
        <w:rPr>
          <w:lang w:val="en-GB"/>
        </w:rPr>
      </w:pPr>
      <w:r>
        <w:rPr>
          <w:lang w:val="en-GB"/>
        </w:rPr>
        <w:t xml:space="preserve">NHS (2026) </w:t>
      </w:r>
      <w:r>
        <w:rPr>
          <w:i/>
          <w:iCs/>
          <w:lang w:val="en-GB"/>
        </w:rPr>
        <w:t>Diabetes.</w:t>
      </w:r>
      <w:r>
        <w:rPr>
          <w:lang w:val="en-GB"/>
        </w:rPr>
        <w:t xml:space="preserve"> Available at: </w:t>
      </w:r>
      <w:r>
        <w:rPr/>
        <w:fldChar w:fldCharType="begin"/>
      </w:r>
      <w:r>
        <w:instrText xml:space="preserve"> HYPERLINK "https://www.nhs.uk/conditions/diabetes/" </w:instrText>
      </w:r>
      <w:r>
        <w:rPr/>
        <w:fldChar w:fldCharType="separate"/>
      </w:r>
      <w:r>
        <w:rPr>
          <w:color w:val="1155cc"/>
          <w:u w:val="single"/>
          <w:lang w:val="en-GB"/>
        </w:rPr>
        <w:t>https://www.nhs.uk/conditions/diabetes/</w:t>
      </w:r>
      <w:r>
        <w:rPr/>
        <w:fldChar w:fldCharType="end"/>
      </w:r>
      <w:r>
        <w:rPr>
          <w:lang w:val="en-GB"/>
        </w:rPr>
        <w:t xml:space="preserve"> (Accessed: 10 August 2026).</w:t>
      </w:r>
    </w:p>
    <w:p w14:paraId="07CC744F">
      <w:pPr>
        <w:pStyle w:val="style0"/>
        <w:spacing w:before="200" w:after="200"/>
        <w:rPr>
          <w:lang w:val="en-GB"/>
        </w:rPr>
      </w:pPr>
      <w:r>
        <w:rPr>
          <w:lang w:val="en-GB"/>
        </w:rPr>
        <w:t xml:space="preserve">NHS (2026) </w:t>
      </w:r>
      <w:r>
        <w:rPr>
          <w:i/>
          <w:iCs/>
          <w:lang w:val="en-GB"/>
        </w:rPr>
        <w:t>NHS Diabetes Prevention Programme (NHS DPP).</w:t>
      </w:r>
      <w:r>
        <w:rPr>
          <w:lang w:val="en-GB"/>
        </w:rPr>
        <w:t xml:space="preserve"> Available at: </w:t>
      </w:r>
      <w:r>
        <w:rPr/>
        <w:fldChar w:fldCharType="begin"/>
      </w:r>
      <w:r>
        <w:instrText xml:space="preserve"> HYPERLINK "https://www.england.nhs.uk/diabetes/diabetes-prevention/" </w:instrText>
      </w:r>
      <w:r>
        <w:rPr/>
        <w:fldChar w:fldCharType="separate"/>
      </w:r>
      <w:r>
        <w:rPr>
          <w:color w:val="1155cc"/>
          <w:u w:val="single"/>
          <w:lang w:val="en-GB"/>
        </w:rPr>
        <w:t>https://www.england.nhs.uk/diabetes/diabetes-prevention/</w:t>
      </w:r>
      <w:r>
        <w:rPr/>
        <w:fldChar w:fldCharType="end"/>
      </w:r>
      <w:r>
        <w:rPr>
          <w:lang w:val="en-GB"/>
        </w:rPr>
        <w:t xml:space="preserve"> (Accessed: 10 August 2026).</w:t>
      </w:r>
    </w:p>
    <w:p w14:paraId="49969CF1">
      <w:pPr>
        <w:pStyle w:val="style0"/>
        <w:spacing w:before="200" w:after="200"/>
        <w:rPr>
          <w:lang w:val="en-GB"/>
        </w:rPr>
      </w:pPr>
      <w:r>
        <w:rPr>
          <w:lang w:val="en-GB"/>
        </w:rPr>
        <w:t xml:space="preserve">NHS (2026) </w:t>
      </w:r>
      <w:r>
        <w:rPr>
          <w:i/>
          <w:iCs/>
          <w:lang w:val="en-GB"/>
        </w:rPr>
        <w:t>Type 2 diabetes.</w:t>
      </w:r>
      <w:r>
        <w:rPr>
          <w:lang w:val="en-GB"/>
        </w:rPr>
        <w:t xml:space="preserve"> Available at: </w:t>
      </w:r>
      <w:r>
        <w:rPr/>
        <w:fldChar w:fldCharType="begin"/>
      </w:r>
      <w:r>
        <w:instrText xml:space="preserve"> HYPERLINK "https://www.nhs.uk/conditions/type-2-diabetes/" </w:instrText>
      </w:r>
      <w:r>
        <w:rPr/>
        <w:fldChar w:fldCharType="separate"/>
      </w:r>
      <w:r>
        <w:rPr>
          <w:color w:val="1155cc"/>
          <w:u w:val="single"/>
          <w:lang w:val="en-GB"/>
        </w:rPr>
        <w:t>https://www.nhs.uk/conditions/type-2-diabetes/</w:t>
      </w:r>
      <w:r>
        <w:rPr/>
        <w:fldChar w:fldCharType="end"/>
      </w:r>
      <w:r>
        <w:rPr>
          <w:lang w:val="en-GB"/>
        </w:rPr>
        <w:t xml:space="preserve"> (Accessed: 10 August 2026).</w:t>
      </w:r>
    </w:p>
    <w:p w14:paraId="320FA3C4">
      <w:pPr>
        <w:pStyle w:val="style0"/>
        <w:spacing w:before="200" w:after="200"/>
        <w:rPr>
          <w:lang w:val="en-GB"/>
        </w:rPr>
      </w:pPr>
      <w:r>
        <w:rPr>
          <w:lang w:val="en-GB"/>
        </w:rPr>
        <w:t xml:space="preserve">Parliament (2024). </w:t>
      </w:r>
      <w:r>
        <w:rPr>
          <w:i/>
          <w:iCs/>
          <w:lang w:val="en-GB"/>
        </w:rPr>
        <w:t>Disabled people in the housing sector – Report Summar</w:t>
      </w:r>
      <w:r>
        <w:rPr>
          <w:lang w:val="en-GB"/>
        </w:rPr>
        <w:t xml:space="preserve">y. Available at: </w:t>
      </w:r>
      <w:r>
        <w:rPr/>
        <w:fldChar w:fldCharType="begin"/>
      </w:r>
      <w:r>
        <w:instrText xml:space="preserve"> HYPERLINK "https://publications.parliament.uk/pa/cm5804/cmselect/cmcomloc/63/summary.html" </w:instrText>
      </w:r>
      <w:r>
        <w:rPr/>
        <w:fldChar w:fldCharType="separate"/>
      </w:r>
      <w:r>
        <w:rPr>
          <w:color w:val="1155cc"/>
          <w:u w:val="single"/>
          <w:lang w:val="en-GB"/>
        </w:rPr>
        <w:t>https://publications.parliament.uk/pa/cm5804/cmselect/cmcomloc/63/summary.html</w:t>
      </w:r>
      <w:r>
        <w:rPr/>
        <w:fldChar w:fldCharType="end"/>
      </w:r>
      <w:r>
        <w:rPr>
          <w:lang w:val="en-GB"/>
        </w:rPr>
        <w:t xml:space="preserve"> (Accessed: 10 August 2026).</w:t>
      </w:r>
    </w:p>
    <w:p w14:paraId="1D0A645B">
      <w:pPr>
        <w:pStyle w:val="style0"/>
        <w:spacing w:before="200" w:after="200"/>
        <w:rPr>
          <w:lang w:val="en-GB"/>
        </w:rPr>
      </w:pPr>
      <w:r>
        <w:rPr>
          <w:lang w:val="en-GB"/>
        </w:rPr>
        <w:t xml:space="preserve">Parliament (2025). </w:t>
      </w:r>
      <w:r>
        <w:rPr>
          <w:i/>
          <w:iCs/>
          <w:lang w:val="en-GB"/>
        </w:rPr>
        <w:t xml:space="preserve">UK disability statistics: Prevalence and life experiences. </w:t>
      </w:r>
      <w:r>
        <w:rPr>
          <w:lang w:val="en-GB"/>
        </w:rPr>
        <w:t xml:space="preserve">Available at: </w:t>
      </w:r>
      <w:r>
        <w:rPr/>
        <w:fldChar w:fldCharType="begin"/>
      </w:r>
      <w:r>
        <w:instrText xml:space="preserve"> HYPERLINK "https://researchbriefings.files.parliament.uk/documents/CBP-9602/CBP-9602.pdf" </w:instrText>
      </w:r>
      <w:r>
        <w:rPr/>
        <w:fldChar w:fldCharType="separate"/>
      </w:r>
      <w:r>
        <w:rPr>
          <w:color w:val="1155cc"/>
          <w:u w:val="single"/>
          <w:lang w:val="en-GB"/>
        </w:rPr>
        <w:t>https://researchbriefings.files.parliament.uk/documents/CBP-9602/CBP-9602.pdf</w:t>
      </w:r>
      <w:r>
        <w:rPr/>
        <w:fldChar w:fldCharType="end"/>
      </w:r>
      <w:r>
        <w:rPr>
          <w:lang w:val="en-GB"/>
        </w:rPr>
        <w:t xml:space="preserve"> (Accessed: 10 August 2026). </w:t>
      </w:r>
    </w:p>
    <w:p w14:paraId="32B8BBD8">
      <w:pPr>
        <w:pStyle w:val="style0"/>
        <w:spacing w:before="200" w:after="200"/>
        <w:rPr>
          <w:lang w:val="en-GB"/>
        </w:rPr>
      </w:pPr>
      <w:r>
        <w:rPr>
          <w:lang w:val="en-GB"/>
        </w:rPr>
        <w:t xml:space="preserve">Scope (2023). </w:t>
      </w:r>
      <w:r>
        <w:rPr>
          <w:i/>
          <w:iCs/>
          <w:lang w:val="en-GB"/>
        </w:rPr>
        <w:t>Disability facts and figures.</w:t>
      </w:r>
      <w:r>
        <w:rPr>
          <w:lang w:val="en-GB"/>
        </w:rPr>
        <w:t xml:space="preserve"> Available at: </w:t>
      </w:r>
      <w:r>
        <w:rPr/>
        <w:fldChar w:fldCharType="begin"/>
      </w:r>
      <w:r>
        <w:instrText xml:space="preserve"> HYPERLINK "https://www.scope.org.uk/media/disability-facts-figures" </w:instrText>
      </w:r>
      <w:r>
        <w:rPr/>
        <w:fldChar w:fldCharType="separate"/>
      </w:r>
      <w:r>
        <w:rPr>
          <w:color w:val="1155cc"/>
          <w:u w:val="single"/>
          <w:lang w:val="en-GB"/>
        </w:rPr>
        <w:t>https://www.scope.org.uk/media/disability-facts-figures</w:t>
      </w:r>
      <w:r>
        <w:rPr/>
        <w:fldChar w:fldCharType="end"/>
      </w:r>
      <w:r>
        <w:rPr>
          <w:lang w:val="en-GB"/>
        </w:rPr>
        <w:t xml:space="preserve"> (Accessed: 10 August 2026).</w:t>
      </w:r>
    </w:p>
    <w:p w14:paraId="740B1D90">
      <w:pPr>
        <w:pStyle w:val="style0"/>
        <w:spacing w:before="200" w:after="200"/>
        <w:rPr>
          <w:b/>
          <w:bCs/>
          <w:color w:val="222222"/>
          <w:lang w:val="en-GB"/>
        </w:rPr>
      </w:pPr>
      <w:r>
        <w:rPr>
          <w:b/>
          <w:bCs/>
          <w:color w:val="222222"/>
          <w:lang w:val="en-GB"/>
        </w:rPr>
        <w:t>Task 2</w:t>
      </w:r>
    </w:p>
    <w:p w14:paraId="697A242E">
      <w:pPr>
        <w:pStyle w:val="style0"/>
        <w:spacing w:before="200" w:after="200"/>
        <w:rPr>
          <w:lang w:val="en-GB"/>
        </w:rPr>
      </w:pPr>
      <w:r>
        <w:rPr>
          <w:color w:val="222222"/>
          <w:lang w:val="en-GB"/>
        </w:rPr>
        <w:t xml:space="preserve">Ayesha, I.E., Monson, N.R., Klair, N., Patel, U., Saxena, A., Patel, D., Venugopal, S. and Ayesha, I.E., (2023). Probiotics and their role in the management of type 2 diabetes mellitus (Short-term versus long-term effect): A systematic review and meta-analysis. </w:t>
      </w:r>
      <w:r>
        <w:rPr>
          <w:i/>
          <w:iCs/>
          <w:color w:val="222222"/>
          <w:lang w:val="en-GB"/>
        </w:rPr>
        <w:t>Cureus</w:t>
      </w:r>
      <w:r>
        <w:rPr>
          <w:color w:val="222222"/>
          <w:lang w:val="en-GB"/>
        </w:rPr>
        <w:t xml:space="preserve">, </w:t>
      </w:r>
      <w:r>
        <w:rPr>
          <w:i/>
          <w:iCs/>
          <w:color w:val="222222"/>
          <w:lang w:val="en-GB"/>
        </w:rPr>
        <w:t>15</w:t>
      </w:r>
      <w:r>
        <w:rPr>
          <w:color w:val="222222"/>
          <w:lang w:val="en-GB"/>
        </w:rPr>
        <w:t>(10).</w:t>
      </w:r>
      <w:r>
        <w:rPr>
          <w:lang w:val="en-GB"/>
        </w:rPr>
        <w:t xml:space="preserve"> Available at: </w:t>
      </w:r>
      <w:r>
        <w:rPr/>
        <w:fldChar w:fldCharType="begin"/>
      </w:r>
      <w:r>
        <w:instrText xml:space="preserve"> HYPERLINK "https://assets.cureus.com/uploads/review_article/pdf/184426/20240724-319105-xrqclo.pdf" </w:instrText>
      </w:r>
      <w:r>
        <w:rPr/>
        <w:fldChar w:fldCharType="separate"/>
      </w:r>
      <w:r>
        <w:rPr>
          <w:color w:val="1155cc"/>
          <w:u w:val="single"/>
          <w:lang w:val="en-GB"/>
        </w:rPr>
        <w:t>https://assets.cureus.com/uploads/review_article/pdf/184426/20240724-319105-xrqclo.pdf</w:t>
      </w:r>
      <w:r>
        <w:rPr/>
        <w:fldChar w:fldCharType="end"/>
      </w:r>
      <w:r>
        <w:rPr>
          <w:lang w:val="en-GB"/>
        </w:rPr>
        <w:t xml:space="preserve"> </w:t>
      </w:r>
    </w:p>
    <w:p w14:paraId="0DCAF71E">
      <w:pPr>
        <w:pStyle w:val="style0"/>
        <w:spacing w:before="200" w:after="200"/>
        <w:rPr>
          <w:lang w:val="en-GB"/>
        </w:rPr>
      </w:pPr>
      <w:r>
        <w:rPr>
          <w:lang w:val="en-GB"/>
        </w:rPr>
        <w:t xml:space="preserve">Diabetes UK (2026) </w:t>
      </w:r>
      <w:r>
        <w:rPr>
          <w:i/>
          <w:iCs/>
          <w:lang w:val="en-GB"/>
        </w:rPr>
        <w:t>diabetes risk factors.</w:t>
      </w:r>
      <w:r>
        <w:rPr>
          <w:lang w:val="en-GB"/>
        </w:rPr>
        <w:t xml:space="preserve"> Available at: </w:t>
      </w:r>
      <w:r>
        <w:rPr/>
        <w:fldChar w:fldCharType="begin"/>
      </w:r>
      <w:r>
        <w:instrText xml:space="preserve"> HYPERLINK "https://www.diabetes.org.uk/about-diabetes/type-2-diabetes/diabetes-risk-factors" </w:instrText>
      </w:r>
      <w:r>
        <w:rPr/>
        <w:fldChar w:fldCharType="separate"/>
      </w:r>
      <w:r>
        <w:rPr>
          <w:color w:val="1155cc"/>
          <w:u w:val="single"/>
          <w:lang w:val="en-GB"/>
        </w:rPr>
        <w:t>https://www.diabetes.org.uk/about-diabetes/type-2-diabetes/diabetes-risk-factors</w:t>
      </w:r>
      <w:r>
        <w:rPr/>
        <w:fldChar w:fldCharType="end"/>
      </w:r>
      <w:r>
        <w:rPr>
          <w:lang w:val="en-GB"/>
        </w:rPr>
        <w:t xml:space="preserve"> (Accessed: 10 August 2026).</w:t>
      </w:r>
    </w:p>
    <w:p w14:paraId="3E76FDC9">
      <w:pPr>
        <w:pStyle w:val="style0"/>
        <w:spacing w:before="200" w:after="200"/>
        <w:rPr>
          <w:lang w:val="en-GB"/>
        </w:rPr>
      </w:pPr>
      <w:r>
        <w:rPr>
          <w:lang w:val="en-GB"/>
        </w:rPr>
        <w:t>Diabetes UK (2026)</w:t>
      </w:r>
      <w:r>
        <w:rPr>
          <w:i/>
          <w:iCs/>
          <w:lang w:val="en-GB"/>
        </w:rPr>
        <w:t xml:space="preserve"> ethnicity and type 2 diabetes.</w:t>
      </w:r>
      <w:r>
        <w:rPr>
          <w:lang w:val="en-GB"/>
        </w:rPr>
        <w:t xml:space="preserve"> Available at: </w:t>
      </w:r>
      <w:r>
        <w:rPr/>
        <w:fldChar w:fldCharType="begin"/>
      </w:r>
      <w:r>
        <w:instrText xml:space="preserve"> HYPERLINK "https://www.diabetes.org.uk/about-diabetes/type-2-diabetes/diabetes-ethnicity" </w:instrText>
      </w:r>
      <w:r>
        <w:rPr/>
        <w:fldChar w:fldCharType="separate"/>
      </w:r>
      <w:r>
        <w:rPr>
          <w:color w:val="1155cc"/>
          <w:u w:val="single"/>
          <w:lang w:val="en-GB"/>
        </w:rPr>
        <w:t>https://www.diabetes.org.uk/about-diabetes/type-2-diabetes/diabetes-ethnicity</w:t>
      </w:r>
      <w:r>
        <w:rPr/>
        <w:fldChar w:fldCharType="end"/>
      </w:r>
      <w:r>
        <w:rPr>
          <w:lang w:val="en-GB"/>
        </w:rPr>
        <w:t xml:space="preserve"> (Accessed: 10 August 2026).</w:t>
      </w:r>
    </w:p>
    <w:p w14:paraId="75F2D139">
      <w:pPr>
        <w:pStyle w:val="style0"/>
        <w:spacing w:before="200" w:after="200"/>
        <w:rPr>
          <w:lang w:val="en-GB"/>
        </w:rPr>
      </w:pPr>
      <w:r>
        <w:rPr>
          <w:lang w:val="en-GB"/>
        </w:rPr>
        <w:t xml:space="preserve">Diabetes UK (2026) </w:t>
      </w:r>
      <w:r>
        <w:rPr>
          <w:i/>
          <w:iCs/>
          <w:lang w:val="en-GB"/>
        </w:rPr>
        <w:t xml:space="preserve">how many people in the </w:t>
      </w:r>
      <w:r>
        <w:rPr>
          <w:i/>
          <w:iCs/>
          <w:lang w:val="en-GB"/>
        </w:rPr>
        <w:t>uk</w:t>
      </w:r>
      <w:r>
        <w:rPr>
          <w:i/>
          <w:iCs/>
          <w:lang w:val="en-GB"/>
        </w:rPr>
        <w:t xml:space="preserve"> have diabetes.</w:t>
      </w:r>
      <w:r>
        <w:rPr>
          <w:lang w:val="en-GB"/>
        </w:rPr>
        <w:t xml:space="preserve"> Available at: </w:t>
      </w:r>
      <w:r>
        <w:rPr/>
        <w:fldChar w:fldCharType="begin"/>
      </w:r>
      <w:r>
        <w:instrText xml:space="preserve"> HYPERLINK "https://www.diabetes.org.uk/about-us/about-the-charity/our-strategy/statistics" </w:instrText>
      </w:r>
      <w:r>
        <w:rPr/>
        <w:fldChar w:fldCharType="separate"/>
      </w:r>
      <w:r>
        <w:rPr>
          <w:color w:val="1155cc"/>
          <w:u w:val="single"/>
          <w:lang w:val="en-GB"/>
        </w:rPr>
        <w:t>https://www.diabetes.org.uk/about-us/about-the-charity/our-strategy/statistics</w:t>
      </w:r>
      <w:r>
        <w:rPr/>
        <w:fldChar w:fldCharType="end"/>
      </w:r>
      <w:r>
        <w:rPr>
          <w:lang w:val="en-GB"/>
        </w:rPr>
        <w:t xml:space="preserve"> (Accessed: 10 August 2026).</w:t>
      </w:r>
    </w:p>
    <w:p w14:paraId="7F51634D">
      <w:pPr>
        <w:pStyle w:val="style0"/>
        <w:spacing w:before="200" w:after="200"/>
        <w:rPr>
          <w:lang w:val="en-GB"/>
        </w:rPr>
      </w:pPr>
      <w:r>
        <w:rPr>
          <w:lang w:val="en-GB"/>
        </w:rPr>
        <w:t xml:space="preserve">Diabetes UK (2026) </w:t>
      </w:r>
      <w:r>
        <w:rPr>
          <w:i/>
          <w:iCs/>
          <w:lang w:val="en-GB"/>
        </w:rPr>
        <w:t>investing in diabetes care.</w:t>
      </w:r>
      <w:r>
        <w:rPr>
          <w:lang w:val="en-GB"/>
        </w:rPr>
        <w:t xml:space="preserve"> Available at: </w:t>
      </w:r>
      <w:r>
        <w:rPr/>
        <w:fldChar w:fldCharType="begin"/>
      </w:r>
      <w:r>
        <w:instrText xml:space="preserve"> HYPERLINK "https://www.diabetes.org.uk/investing-in-care" </w:instrText>
      </w:r>
      <w:r>
        <w:rPr/>
        <w:fldChar w:fldCharType="separate"/>
      </w:r>
      <w:r>
        <w:rPr>
          <w:color w:val="1155cc"/>
          <w:u w:val="single"/>
          <w:lang w:val="en-GB"/>
        </w:rPr>
        <w:t>https://www.diabetes.org.uk/investing-in-care</w:t>
      </w:r>
      <w:r>
        <w:rPr/>
        <w:fldChar w:fldCharType="end"/>
      </w:r>
      <w:r>
        <w:rPr>
          <w:lang w:val="en-GB"/>
        </w:rPr>
        <w:t xml:space="preserve"> (Accessed: 10 August 2026).</w:t>
      </w:r>
    </w:p>
    <w:p w14:paraId="705B7AE1">
      <w:pPr>
        <w:pStyle w:val="style0"/>
        <w:spacing w:before="200" w:after="200"/>
        <w:rPr>
          <w:lang w:val="en-GB"/>
        </w:rPr>
      </w:pPr>
      <w:r>
        <w:rPr>
          <w:color w:val="222222"/>
          <w:lang w:val="en-GB"/>
        </w:rPr>
        <w:t xml:space="preserve">Galindo, R.J., Trujillo, J.M., Wang, C.C.L. and McCoy, R.G., (2023). Advances in the management of type 2 diabetes in adults. </w:t>
      </w:r>
      <w:r>
        <w:rPr>
          <w:i/>
          <w:iCs/>
          <w:color w:val="222222"/>
          <w:lang w:val="en-GB"/>
        </w:rPr>
        <w:t>BMJ medicine</w:t>
      </w:r>
      <w:r>
        <w:rPr>
          <w:color w:val="222222"/>
          <w:lang w:val="en-GB"/>
        </w:rPr>
        <w:t xml:space="preserve">, </w:t>
      </w:r>
      <w:r>
        <w:rPr>
          <w:i/>
          <w:iCs/>
          <w:color w:val="222222"/>
          <w:lang w:val="en-GB"/>
        </w:rPr>
        <w:t>2</w:t>
      </w:r>
      <w:r>
        <w:rPr>
          <w:color w:val="222222"/>
          <w:lang w:val="en-GB"/>
        </w:rPr>
        <w:t>(1), p.e000372.</w:t>
      </w:r>
      <w:r>
        <w:rPr>
          <w:lang w:val="en-GB"/>
        </w:rPr>
        <w:t xml:space="preserve"> Available at: </w:t>
      </w:r>
      <w:r>
        <w:rPr/>
        <w:fldChar w:fldCharType="begin"/>
      </w:r>
      <w:r>
        <w:instrText xml:space="preserve"> HYPERLINK "https://doi.org/10.1136/bmjmed-2022-000372" </w:instrText>
      </w:r>
      <w:r>
        <w:rPr/>
        <w:fldChar w:fldCharType="separate"/>
      </w:r>
      <w:r>
        <w:rPr>
          <w:color w:val="1155cc"/>
          <w:u w:val="single"/>
          <w:lang w:val="en-GB"/>
        </w:rPr>
        <w:t>https://doi.org/10.1136/bmjmed-2022-000372</w:t>
      </w:r>
      <w:r>
        <w:rPr/>
        <w:fldChar w:fldCharType="end"/>
      </w:r>
      <w:r>
        <w:rPr>
          <w:lang w:val="en-GB"/>
        </w:rPr>
        <w:t xml:space="preserve"> </w:t>
      </w:r>
    </w:p>
    <w:p w14:paraId="0085F7F6">
      <w:pPr>
        <w:pStyle w:val="style0"/>
        <w:spacing w:before="200" w:after="200"/>
        <w:rPr>
          <w:lang w:val="en-GB"/>
        </w:rPr>
      </w:pPr>
      <w:r>
        <w:rPr>
          <w:lang w:val="en-GB"/>
        </w:rPr>
        <w:t xml:space="preserve">GOV (2025) </w:t>
      </w:r>
      <w:r>
        <w:rPr>
          <w:i/>
          <w:iCs/>
          <w:lang w:val="en-GB"/>
        </w:rPr>
        <w:t>50 Steps to a Healthier Newham.</w:t>
      </w:r>
      <w:r>
        <w:rPr>
          <w:lang w:val="en-GB"/>
        </w:rPr>
        <w:t xml:space="preserve"> Available at: </w:t>
      </w:r>
      <w:r>
        <w:rPr/>
        <w:fldChar w:fldCharType="begin"/>
      </w:r>
      <w:r>
        <w:instrText xml:space="preserve"> HYPERLINK "https://www.newham.gov.uk/downloads/file/8521/50-steps-jsna-exec-summary" </w:instrText>
      </w:r>
      <w:r>
        <w:rPr/>
        <w:fldChar w:fldCharType="separate"/>
      </w:r>
      <w:r>
        <w:rPr>
          <w:color w:val="1155cc"/>
          <w:u w:val="single"/>
          <w:lang w:val="en-GB"/>
        </w:rPr>
        <w:t>https://www.newham.gov.uk/downloads/file/8521/50-steps-jsna-exec-summary</w:t>
      </w:r>
      <w:r>
        <w:rPr/>
        <w:fldChar w:fldCharType="end"/>
      </w:r>
      <w:r>
        <w:rPr>
          <w:lang w:val="en-GB"/>
        </w:rPr>
        <w:t xml:space="preserve"> (Accessed: 10 August 2026).</w:t>
      </w:r>
    </w:p>
    <w:p w14:paraId="2E865356">
      <w:pPr>
        <w:pStyle w:val="style0"/>
        <w:spacing w:before="200" w:after="200"/>
        <w:rPr>
          <w:lang w:val="en-GB"/>
        </w:rPr>
      </w:pPr>
      <w:r>
        <w:rPr>
          <w:lang w:val="en-GB"/>
        </w:rPr>
        <w:t xml:space="preserve">GOV (2026) </w:t>
      </w:r>
      <w:r>
        <w:rPr>
          <w:i/>
          <w:iCs/>
          <w:lang w:val="en-GB"/>
        </w:rPr>
        <w:t xml:space="preserve">Public Health Information: Reports, Strategies and Fact Sheets. </w:t>
      </w:r>
      <w:r>
        <w:rPr>
          <w:lang w:val="en-GB"/>
        </w:rPr>
        <w:t xml:space="preserve">Available at: </w:t>
      </w:r>
      <w:r>
        <w:rPr/>
        <w:fldChar w:fldCharType="begin"/>
      </w:r>
      <w:r>
        <w:instrText xml:space="preserve"> HYPERLINK "https://www.newham.gov.uk/health-adult-social-care/public-health-information-reports-strategies-fact-sheets/2" </w:instrText>
      </w:r>
      <w:r>
        <w:rPr/>
        <w:fldChar w:fldCharType="separate"/>
      </w:r>
      <w:r>
        <w:rPr>
          <w:color w:val="1155cc"/>
          <w:u w:val="single"/>
          <w:lang w:val="en-GB"/>
        </w:rPr>
        <w:t>https://www.newham.gov.uk/health-adult-social-care/public-health-information-reports-strategies-fact-sheets/2</w:t>
      </w:r>
      <w:r>
        <w:rPr/>
        <w:fldChar w:fldCharType="end"/>
      </w:r>
      <w:r>
        <w:rPr>
          <w:lang w:val="en-GB"/>
        </w:rPr>
        <w:t xml:space="preserve"> (Accessed: 10 August 2026).</w:t>
      </w:r>
    </w:p>
    <w:p w14:paraId="7237E235">
      <w:pPr>
        <w:pStyle w:val="style0"/>
        <w:spacing w:before="200" w:after="200"/>
        <w:rPr>
          <w:lang w:val="en-GB"/>
        </w:rPr>
      </w:pPr>
      <w:r>
        <w:rPr>
          <w:lang w:val="en-GB"/>
        </w:rPr>
        <w:t xml:space="preserve">GOV (2026) </w:t>
      </w:r>
      <w:r>
        <w:rPr>
          <w:i/>
          <w:iCs/>
          <w:lang w:val="en-GB"/>
        </w:rPr>
        <w:t>WHAT IS TYPE 2 DIABETES.</w:t>
      </w:r>
      <w:r>
        <w:rPr>
          <w:lang w:val="en-GB"/>
        </w:rPr>
        <w:t xml:space="preserve"> Available at: </w:t>
      </w:r>
      <w:r>
        <w:rPr/>
        <w:fldChar w:fldCharType="begin"/>
      </w:r>
      <w:r>
        <w:instrText xml:space="preserve"> HYPERLINK "https://www.newham.gov.uk/downloads/file/4921/diabetes-information-and-support-in-newham-final" </w:instrText>
      </w:r>
      <w:r>
        <w:rPr/>
        <w:fldChar w:fldCharType="separate"/>
      </w:r>
      <w:r>
        <w:rPr>
          <w:color w:val="1155cc"/>
          <w:u w:val="single"/>
          <w:lang w:val="en-GB"/>
        </w:rPr>
        <w:t>https://www.newham.gov.uk/downloads/file/4921/diabetes-information-and-support-in-newham-final</w:t>
      </w:r>
      <w:r>
        <w:rPr/>
        <w:fldChar w:fldCharType="end"/>
      </w:r>
      <w:r>
        <w:rPr>
          <w:lang w:val="en-GB"/>
        </w:rPr>
        <w:t xml:space="preserve"> (Accessed: 10 August 2026).</w:t>
      </w:r>
    </w:p>
    <w:p w14:paraId="64EDFA09">
      <w:pPr>
        <w:pStyle w:val="style0"/>
        <w:spacing w:before="200" w:after="200"/>
        <w:rPr>
          <w:lang w:val="en-GB"/>
        </w:rPr>
      </w:pPr>
      <w:r>
        <w:rPr>
          <w:color w:val="222222"/>
          <w:lang w:val="en-GB"/>
        </w:rPr>
        <w:t xml:space="preserve">Hu, M., Hao, X., Zhang, Y., Sun, X., Zhang, M., Zhao, J. and Wang, Q., (2025). Long-term exposure to particulate air pollution associated with the progression of type 2 diabetes mellitus in China: effect size and urban–rural disparities. </w:t>
      </w:r>
      <w:r>
        <w:rPr>
          <w:i/>
          <w:iCs/>
          <w:color w:val="222222"/>
          <w:lang w:val="en-GB"/>
        </w:rPr>
        <w:t>BMC Public Health</w:t>
      </w:r>
      <w:r>
        <w:rPr>
          <w:color w:val="222222"/>
          <w:lang w:val="en-GB"/>
        </w:rPr>
        <w:t xml:space="preserve">, </w:t>
      </w:r>
      <w:r>
        <w:rPr>
          <w:i/>
          <w:iCs/>
          <w:color w:val="222222"/>
          <w:lang w:val="en-GB"/>
        </w:rPr>
        <w:t>25</w:t>
      </w:r>
      <w:r>
        <w:rPr>
          <w:color w:val="222222"/>
          <w:lang w:val="en-GB"/>
        </w:rPr>
        <w:t>(1), p.1565.</w:t>
      </w:r>
      <w:r>
        <w:rPr>
          <w:lang w:val="en-GB"/>
        </w:rPr>
        <w:t xml:space="preserve"> Available at: </w:t>
      </w:r>
      <w:r>
        <w:rPr/>
        <w:fldChar w:fldCharType="begin"/>
      </w:r>
      <w:r>
        <w:instrText xml:space="preserve"> HYPERLINK "https://doi.org/10.1186/s12889-025-22394-z" </w:instrText>
      </w:r>
      <w:r>
        <w:rPr/>
        <w:fldChar w:fldCharType="separate"/>
      </w:r>
      <w:r>
        <w:rPr>
          <w:color w:val="1155cc"/>
          <w:u w:val="single"/>
          <w:lang w:val="en-GB"/>
        </w:rPr>
        <w:t>https://doi.org/10.1186/s12889-025-22394-z</w:t>
      </w:r>
      <w:r>
        <w:rPr/>
        <w:fldChar w:fldCharType="end"/>
      </w:r>
      <w:r>
        <w:rPr>
          <w:lang w:val="en-GB"/>
        </w:rPr>
        <w:t xml:space="preserve"> </w:t>
      </w:r>
    </w:p>
    <w:p w14:paraId="189E075C">
      <w:pPr>
        <w:pStyle w:val="style0"/>
        <w:spacing w:before="200" w:after="200"/>
        <w:rPr>
          <w:lang w:val="en-GB"/>
        </w:rPr>
      </w:pPr>
      <w:r>
        <w:rPr>
          <w:lang w:val="en-GB"/>
        </w:rPr>
        <w:t xml:space="preserve">NHS (2026) </w:t>
      </w:r>
      <w:r>
        <w:rPr>
          <w:i/>
          <w:iCs/>
          <w:lang w:val="en-GB"/>
        </w:rPr>
        <w:t>Quality and Outcomes Framework (QOF) guidance for 2026/27.</w:t>
      </w:r>
      <w:r>
        <w:rPr>
          <w:lang w:val="en-GB"/>
        </w:rPr>
        <w:t xml:space="preserve"> Available at: </w:t>
      </w:r>
      <w:r>
        <w:rPr/>
        <w:fldChar w:fldCharType="begin"/>
      </w:r>
      <w:r>
        <w:instrText xml:space="preserve"> HYPERLINK "https://www.england.nhs.uk/gp/investment/gp-contract/quality-on-outcomes-framework-qof-changes/" </w:instrText>
      </w:r>
      <w:r>
        <w:rPr/>
        <w:fldChar w:fldCharType="separate"/>
      </w:r>
      <w:r>
        <w:rPr>
          <w:color w:val="1155cc"/>
          <w:u w:val="single"/>
          <w:lang w:val="en-GB"/>
        </w:rPr>
        <w:t>https://www.england.nhs.uk/gp/investment/gp-contract/quality-on-outcomes-framework-qof-changes/</w:t>
      </w:r>
      <w:r>
        <w:rPr/>
        <w:fldChar w:fldCharType="end"/>
      </w:r>
      <w:r>
        <w:rPr>
          <w:lang w:val="en-GB"/>
        </w:rPr>
        <w:t xml:space="preserve"> (Accessed: 10 August 2026).</w:t>
      </w:r>
    </w:p>
    <w:p w14:paraId="018D10F8">
      <w:pPr>
        <w:pStyle w:val="style0"/>
        <w:spacing w:before="200" w:after="200"/>
        <w:rPr>
          <w:lang w:val="en-GB"/>
        </w:rPr>
      </w:pPr>
      <w:r>
        <w:rPr>
          <w:lang w:val="en-GB"/>
        </w:rPr>
        <w:t xml:space="preserve">NHS (2026) </w:t>
      </w:r>
      <w:r>
        <w:rPr>
          <w:i/>
          <w:iCs/>
          <w:lang w:val="en-GB"/>
        </w:rPr>
        <w:t>Quality and Outcomes Framework (QOF).</w:t>
      </w:r>
      <w:r>
        <w:rPr>
          <w:lang w:val="en-GB"/>
        </w:rPr>
        <w:t xml:space="preserve"> Available at: </w:t>
      </w:r>
      <w:r>
        <w:rPr/>
        <w:fldChar w:fldCharType="begin"/>
      </w:r>
      <w:r>
        <w:instrText xml:space="preserve"> HYPERLINK "https://digital.nhs.uk/data-and-information/data-tools-and-services/data-services/general-practice-data-hub/quality-outcomes-framework-qof" </w:instrText>
      </w:r>
      <w:r>
        <w:rPr/>
        <w:fldChar w:fldCharType="separate"/>
      </w:r>
      <w:r>
        <w:rPr>
          <w:color w:val="1155cc"/>
          <w:u w:val="single"/>
          <w:lang w:val="en-GB"/>
        </w:rPr>
        <w:t>https://digital.nhs.uk/data-and-information/data-tools-and-services/data-services/general-practice-data-hub/quality-outcomes-framework-qof</w:t>
      </w:r>
      <w:r>
        <w:rPr/>
        <w:fldChar w:fldCharType="end"/>
      </w:r>
      <w:r>
        <w:rPr>
          <w:lang w:val="en-GB"/>
        </w:rPr>
        <w:t xml:space="preserve"> (Accessed: 10 August 2026).</w:t>
      </w:r>
    </w:p>
    <w:p w14:paraId="1BD0A495">
      <w:pPr>
        <w:pStyle w:val="style0"/>
        <w:spacing w:before="200" w:after="200"/>
        <w:rPr>
          <w:lang w:val="en-GB"/>
        </w:rPr>
      </w:pPr>
      <w:r>
        <w:rPr>
          <w:lang w:val="en-GB"/>
        </w:rPr>
        <w:t xml:space="preserve">NHS (2026) </w:t>
      </w:r>
      <w:r>
        <w:rPr>
          <w:i/>
          <w:iCs/>
          <w:lang w:val="en-GB"/>
        </w:rPr>
        <w:t xml:space="preserve">Type 2 diabetes. </w:t>
      </w:r>
      <w:r>
        <w:rPr>
          <w:lang w:val="en-GB"/>
        </w:rPr>
        <w:t xml:space="preserve">Available at: </w:t>
      </w:r>
      <w:r>
        <w:rPr/>
        <w:fldChar w:fldCharType="begin"/>
      </w:r>
      <w:r>
        <w:instrText xml:space="preserve"> HYPERLINK "https://www.nhsinform.scot/illnesses-and-conditions/diabetes/type-2-diabetes/" </w:instrText>
      </w:r>
      <w:r>
        <w:rPr/>
        <w:fldChar w:fldCharType="separate"/>
      </w:r>
      <w:r>
        <w:rPr>
          <w:color w:val="1155cc"/>
          <w:u w:val="single"/>
          <w:lang w:val="en-GB"/>
        </w:rPr>
        <w:t>https://www.nhsinform.scot/illnesses-and-conditions/diabetes/type-2-diabetes/</w:t>
      </w:r>
      <w:r>
        <w:rPr/>
        <w:fldChar w:fldCharType="end"/>
      </w:r>
      <w:r>
        <w:rPr>
          <w:lang w:val="en-GB"/>
        </w:rPr>
        <w:t xml:space="preserve"> (Accessed: 10 August 2026).</w:t>
      </w:r>
    </w:p>
    <w:p w14:paraId="2E469B3C">
      <w:pPr>
        <w:pStyle w:val="style0"/>
        <w:spacing w:before="200" w:after="200"/>
        <w:rPr>
          <w:lang w:val="en-GB"/>
        </w:rPr>
      </w:pPr>
      <w:r>
        <w:rPr>
          <w:color w:val="222222"/>
          <w:lang w:val="en-GB"/>
        </w:rPr>
        <w:t xml:space="preserve">Virtič Potočnik, T., Mihevc, M., </w:t>
      </w:r>
      <w:r>
        <w:rPr>
          <w:color w:val="222222"/>
          <w:lang w:val="en-GB"/>
        </w:rPr>
        <w:t>Zavrnik</w:t>
      </w:r>
      <w:r>
        <w:rPr>
          <w:color w:val="222222"/>
          <w:lang w:val="en-GB"/>
        </w:rPr>
        <w:t xml:space="preserve">, Č., Mori Lukančič, M., Ružić Gorenjec, N., </w:t>
      </w:r>
      <w:r>
        <w:rPr>
          <w:color w:val="222222"/>
          <w:lang w:val="en-GB"/>
        </w:rPr>
        <w:t>Poplas</w:t>
      </w:r>
      <w:r>
        <w:rPr>
          <w:color w:val="222222"/>
          <w:lang w:val="en-GB"/>
        </w:rPr>
        <w:t xml:space="preserve"> Susič, A. and Klemenc-</w:t>
      </w:r>
      <w:r>
        <w:rPr>
          <w:color w:val="222222"/>
          <w:lang w:val="en-GB"/>
        </w:rPr>
        <w:t>Ketiš</w:t>
      </w:r>
      <w:r>
        <w:rPr>
          <w:color w:val="222222"/>
          <w:lang w:val="en-GB"/>
        </w:rPr>
        <w:t xml:space="preserve">, Z., (2024). Evaluation of a specialist nurse-led structured self-management training for peer supporters with type 2 diabetes mellitus with or without comorbid hypertension in Slovenia. </w:t>
      </w:r>
      <w:r>
        <w:rPr>
          <w:i/>
          <w:iCs/>
          <w:color w:val="222222"/>
          <w:lang w:val="en-GB"/>
        </w:rPr>
        <w:t>BMC nursing</w:t>
      </w:r>
      <w:r>
        <w:rPr>
          <w:color w:val="222222"/>
          <w:lang w:val="en-GB"/>
        </w:rPr>
        <w:t xml:space="preserve">, </w:t>
      </w:r>
      <w:r>
        <w:rPr>
          <w:i/>
          <w:iCs/>
          <w:color w:val="222222"/>
          <w:lang w:val="en-GB"/>
        </w:rPr>
        <w:t>23</w:t>
      </w:r>
      <w:r>
        <w:rPr>
          <w:color w:val="222222"/>
          <w:lang w:val="en-GB"/>
        </w:rPr>
        <w:t>(1), p.567.</w:t>
      </w:r>
      <w:r>
        <w:rPr>
          <w:lang w:val="en-GB"/>
        </w:rPr>
        <w:t xml:space="preserve"> Available at: </w:t>
      </w:r>
      <w:r>
        <w:rPr/>
        <w:fldChar w:fldCharType="begin"/>
      </w:r>
      <w:r>
        <w:instrText xml:space="preserve"> HYPERLINK "https://doi.org/10.1186/s12912-024-02239-7" </w:instrText>
      </w:r>
      <w:r>
        <w:rPr/>
        <w:fldChar w:fldCharType="separate"/>
      </w:r>
      <w:r>
        <w:rPr>
          <w:color w:val="1155cc"/>
          <w:u w:val="single"/>
          <w:lang w:val="en-GB"/>
        </w:rPr>
        <w:t>https://doi.org/10.1186/s12912-024-02239-7</w:t>
      </w:r>
      <w:r>
        <w:rPr/>
        <w:fldChar w:fldCharType="end"/>
      </w:r>
      <w:r>
        <w:rPr>
          <w:lang w:val="en-GB"/>
        </w:rPr>
        <w:t xml:space="preserve"> </w:t>
      </w:r>
    </w:p>
    <w:p w14:paraId="65BE0720">
      <w:pPr>
        <w:pStyle w:val="style0"/>
        <w:spacing w:before="200" w:after="200"/>
        <w:rPr>
          <w:lang w:val="en-GB"/>
        </w:rPr>
      </w:pPr>
      <w:r>
        <w:rPr>
          <w:color w:val="222222"/>
          <w:lang w:val="en-GB"/>
        </w:rPr>
        <w:t xml:space="preserve">Zhang, J., Zhang, Z., Zhang, K., Ge, X., Sun, R. and Zhai, X., (2023). Early detection of type 2 diabetes risk: limitations of current diagnostic criteria. </w:t>
      </w:r>
      <w:r>
        <w:rPr>
          <w:i/>
          <w:iCs/>
          <w:color w:val="222222"/>
          <w:lang w:val="en-GB"/>
        </w:rPr>
        <w:t>Frontiers in Endocrinology</w:t>
      </w:r>
      <w:r>
        <w:rPr>
          <w:color w:val="222222"/>
          <w:lang w:val="en-GB"/>
        </w:rPr>
        <w:t xml:space="preserve">, </w:t>
      </w:r>
      <w:r>
        <w:rPr>
          <w:i/>
          <w:iCs/>
          <w:color w:val="222222"/>
          <w:lang w:val="en-GB"/>
        </w:rPr>
        <w:t>14</w:t>
      </w:r>
      <w:r>
        <w:rPr>
          <w:color w:val="222222"/>
          <w:lang w:val="en-GB"/>
        </w:rPr>
        <w:t>, p.1260623.</w:t>
      </w:r>
      <w:r>
        <w:rPr>
          <w:lang w:val="en-GB"/>
        </w:rPr>
        <w:t xml:space="preserve"> Available at: </w:t>
      </w:r>
      <w:r>
        <w:rPr/>
        <w:fldChar w:fldCharType="begin"/>
      </w:r>
      <w:r>
        <w:instrText xml:space="preserve"> HYPERLINK "https://doi.org/10.3389/fendo.2023.1260623" </w:instrText>
      </w:r>
      <w:r>
        <w:rPr/>
        <w:fldChar w:fldCharType="separate"/>
      </w:r>
      <w:r>
        <w:rPr>
          <w:color w:val="1155cc"/>
          <w:u w:val="single"/>
          <w:lang w:val="en-GB"/>
        </w:rPr>
        <w:t>https://doi.org/10.3389/fendo.2023.1260623</w:t>
      </w:r>
      <w:r>
        <w:rPr/>
        <w:fldChar w:fldCharType="end"/>
      </w:r>
      <w:r>
        <w:rPr>
          <w:lang w:val="en-GB"/>
        </w:rPr>
        <w:t xml:space="preserve"> </w:t>
      </w:r>
    </w:p>
    <w:p w14:paraId="46245345">
      <w:pPr>
        <w:pStyle w:val="style0"/>
        <w:rPr>
          <w:lang w:val="en-GB"/>
        </w:rPr>
      </w:pPr>
    </w:p>
    <w:sectPr>
      <w:footerReference w:type="default" r:id="rId6"/>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B42A39A">
    <w:pPr>
      <w:pStyle w:val="style32"/>
      <w:jc w:val="right"/>
      <w:rPr>
        <w:sz w:val="20"/>
      </w:rPr>
    </w:pPr>
    <w:r>
      <w:rPr>
        <w:sz w:val="20"/>
      </w:rPr>
      <w:fldChar w:fldCharType="begin"/>
    </w:r>
    <w:r>
      <w:rPr>
        <w:sz w:val="20"/>
      </w:rPr>
      <w:instrText xml:space="preserve"> PAGE   \* MERGEFORMAT </w:instrText>
    </w:r>
    <w:r>
      <w:rPr>
        <w:sz w:val="20"/>
      </w:rPr>
      <w:fldChar w:fldCharType="separate"/>
    </w:r>
    <w:r>
      <w:rPr>
        <w:noProof/>
        <w:sz w:val="20"/>
      </w:rPr>
      <w:t>16</w:t>
    </w:r>
    <w:r>
      <w:rPr>
        <w:noProof/>
        <w:sz w:val="20"/>
      </w:rPr>
      <w:fldChar w:fldCharType="end"/>
    </w:r>
  </w:p>
  <w:p w14:paraId="468B3E43">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27544A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0000001"/>
    <w:multiLevelType w:val="multilevel"/>
    <w:tmpl w:val="8F647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28A8FC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00000003"/>
    <w:multiLevelType w:val="multilevel"/>
    <w:tmpl w:val="69FC8A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00000004"/>
    <w:multiLevelType w:val="multilevel"/>
    <w:tmpl w:val="683C3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CA523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46326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hybridMultilevel"/>
    <w:tmpl w:val="3DF8D9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00000008"/>
    <w:multiLevelType w:val="multilevel"/>
    <w:tmpl w:val="FF6A1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2"/>
  </w:num>
  <w:num w:numId="4">
    <w:abstractNumId w:val="4"/>
  </w:num>
  <w:num w:numId="5">
    <w:abstractNumId w:val="1"/>
  </w:num>
  <w:num w:numId="6">
    <w:abstractNumId w:val="8"/>
  </w:num>
  <w:num w:numId="7">
    <w:abstractNumId w:val="6"/>
  </w:num>
  <w:num w:numId="8">
    <w:abstractNumId w:val="0"/>
  </w:num>
  <w:num w:numId="9">
    <w:abstractNumId w:val="7"/>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GB"/>
      </w:rPr>
    </w:rPrDefault>
    <w:pPrDefault>
      <w:pPr>
        <w:spacing w:lineRule="auto" w:line="360"/>
        <w:jc w:val="both"/>
      </w:pPr>
    </w:pPrDefault>
  </w:docDefaults>
  <w:style w:type="paragraph" w:default="1" w:styleId="style0">
    <w:name w:val="Normal"/>
    <w:next w:val="style0"/>
    <w:pPr/>
  </w:style>
  <w:style w:type="paragraph" w:styleId="style1">
    <w:name w:val="heading 1"/>
    <w:basedOn w:val="style0"/>
    <w:next w:val="style0"/>
    <w:pPr>
      <w:keepNext/>
      <w:keepLines/>
      <w:outlineLvl w:val="0"/>
    </w:pPr>
    <w:rPr>
      <w:b/>
      <w:bCs/>
    </w:rPr>
  </w:style>
  <w:style w:type="paragraph" w:styleId="style2">
    <w:name w:val="heading 2"/>
    <w:basedOn w:val="style0"/>
    <w:next w:val="style0"/>
    <w:pPr>
      <w:keepNext/>
      <w:keepLines/>
      <w:outlineLvl w:val="1"/>
    </w:pPr>
    <w:rPr>
      <w:b/>
      <w:bCs/>
    </w:rPr>
  </w:style>
  <w:style w:type="paragraph" w:styleId="style3">
    <w:name w:val="heading 3"/>
    <w:basedOn w:val="style0"/>
    <w:next w:val="style0"/>
    <w:pPr>
      <w:keepNext/>
      <w:keepLines/>
      <w:outlineLvl w:val="2"/>
    </w:pPr>
    <w:rPr>
      <w:b/>
      <w:bCs/>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bCs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styleId="style85">
    <w:name w:val="Hyperlink"/>
    <w:basedOn w:val="style65"/>
    <w:next w:val="style85"/>
    <w:uiPriority w:val="99"/>
    <w:rPr>
      <w:color w:val="0000ff"/>
      <w:u w:val="single"/>
    </w:rPr>
  </w:style>
  <w:style w:type="paragraph" w:styleId="style157">
    <w:name w:val="No Spacing"/>
    <w:next w:val="style157"/>
    <w:qFormat/>
    <w:uiPriority w:val="1"/>
    <w:pPr>
      <w:spacing w:lineRule="auto" w:line="240"/>
    </w:pPr>
    <w:rPr/>
  </w:style>
  <w:style w:type="paragraph" w:styleId="style31">
    <w:name w:val="header"/>
    <w:basedOn w:val="style0"/>
    <w:next w:val="style31"/>
    <w:link w:val="style4099"/>
    <w:uiPriority w:val="99"/>
    <w:pPr>
      <w:tabs>
        <w:tab w:val="center" w:leader="none" w:pos="4513"/>
        <w:tab w:val="right" w:leader="none" w:pos="9026"/>
      </w:tabs>
      <w:spacing w:lineRule="auto" w:line="240"/>
    </w:pPr>
    <w:rPr/>
  </w:style>
  <w:style w:type="character" w:customStyle="1" w:styleId="style4099">
    <w:name w:val="Header Char_5b9b2fad-4ead-4ffb-a496-18981641a953"/>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lineRule="auto" w:line="240"/>
    </w:pPr>
    <w:rPr/>
  </w:style>
  <w:style w:type="character" w:customStyle="1" w:styleId="style4100">
    <w:name w:val="Footer Char_2403cb12-5499-4e92-bdad-cbf92aed4420"/>
    <w:basedOn w:val="style65"/>
    <w:next w:val="style4100"/>
    <w:link w:val="style32"/>
    <w:uiPriority w:val="99"/>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11CA0-B65E-4E5E-A16D-ABF025823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3468</Words>
  <Pages>16</Pages>
  <Characters>22866</Characters>
  <Application>WPS Office</Application>
  <DocSecurity>0</DocSecurity>
  <Paragraphs>160</Paragraphs>
  <ScaleCrop>false</ScaleCrop>
  <LinksUpToDate>false</LinksUpToDate>
  <CharactersWithSpaces>26246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2026-08-10T13:03:00Z</dcterms:created>
  <dc:creator>WPS Office</dc:creator>
  <lastModifiedBy>CPH2707</lastModifiedBy>
  <dcterms:modified xsi:type="dcterms:W3CDTF">2026-08-17T16:18:11Z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7473b4abc5794e308a9393aa043c95f6_23</vt:lpwstr>
  </property>
</Properties>
</file>