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2C365E" w:rsidRDefault="007405A3">
      <w:pPr>
        <w:rPr>
          <w:rFonts w:eastAsia="open sansregular"/>
          <w:color w:val="333333"/>
          <w:szCs w:val="24"/>
        </w:rPr>
      </w:pPr>
      <w:r>
        <w:rPr>
          <w:rFonts w:eastAsia="open sansregular"/>
          <w:color w:val="333333"/>
          <w:szCs w:val="24"/>
        </w:rPr>
        <w:t>Psychology</w:t>
      </w:r>
      <w:r w:rsidR="00F3318E">
        <w:rPr>
          <w:rFonts w:eastAsia="open sansregular"/>
          <w:color w:val="333333"/>
          <w:szCs w:val="24"/>
        </w:rPr>
        <w:t xml:space="preserve"> for health and social care</w:t>
      </w:r>
    </w:p>
    <w:p w:rsidR="007405A3" w:rsidRDefault="007405A3">
      <w:pPr>
        <w:rPr>
          <w:rFonts w:eastAsia="open sansregular"/>
          <w:color w:val="333333"/>
          <w:szCs w:val="24"/>
        </w:rPr>
      </w:pPr>
      <w:r>
        <w:rPr>
          <w:rFonts w:eastAsia="open sansregular"/>
          <w:color w:val="333333"/>
          <w:szCs w:val="24"/>
        </w:rPr>
        <w:t>BMHP 4003</w:t>
      </w:r>
    </w:p>
    <w:p w:rsidR="003C7571" w:rsidRDefault="007579BE">
      <w:pPr>
        <w:rPr>
          <w:rFonts w:eastAsia="open sansregular"/>
          <w:color w:val="333333"/>
          <w:szCs w:val="24"/>
        </w:rPr>
      </w:pPr>
      <w:r>
        <w:rPr>
          <w:rFonts w:eastAsia="open sansregular"/>
          <w:color w:val="333333"/>
          <w:szCs w:val="24"/>
        </w:rPr>
        <w:t>Lecturer name</w:t>
      </w:r>
      <w:r w:rsidR="00653335">
        <w:rPr>
          <w:rFonts w:eastAsia="open sansregular"/>
          <w:color w:val="333333"/>
          <w:szCs w:val="24"/>
        </w:rPr>
        <w:t xml:space="preserve"> : </w:t>
      </w:r>
      <w:r w:rsidR="00265F1D">
        <w:rPr>
          <w:rFonts w:eastAsia="open sansregular"/>
          <w:color w:val="333333"/>
          <w:szCs w:val="24"/>
        </w:rPr>
        <w:t xml:space="preserve">Dr. </w:t>
      </w:r>
      <w:proofErr w:type="spellStart"/>
      <w:r w:rsidR="00265F1D">
        <w:rPr>
          <w:rFonts w:eastAsia="open sansregular"/>
          <w:color w:val="333333"/>
          <w:szCs w:val="24"/>
        </w:rPr>
        <w:t>Gulnar</w:t>
      </w:r>
      <w:proofErr w:type="spellEnd"/>
      <w:r w:rsidR="00265F1D">
        <w:rPr>
          <w:rFonts w:eastAsia="open sansregular"/>
          <w:color w:val="333333"/>
          <w:szCs w:val="24"/>
        </w:rPr>
        <w:t xml:space="preserve"> Ali</w:t>
      </w:r>
    </w:p>
    <w:p w:rsidR="005E6A52" w:rsidRDefault="005E6A52">
      <w:pPr>
        <w:rPr>
          <w:rFonts w:eastAsia="open sansregular"/>
          <w:color w:val="333333"/>
          <w:szCs w:val="24"/>
        </w:rPr>
      </w:pPr>
      <w:r>
        <w:rPr>
          <w:rFonts w:eastAsia="open sansregular"/>
          <w:color w:val="333333"/>
          <w:szCs w:val="24"/>
        </w:rPr>
        <w:t xml:space="preserve">Student name: Madalina </w:t>
      </w:r>
      <w:proofErr w:type="spellStart"/>
      <w:r>
        <w:rPr>
          <w:rFonts w:eastAsia="open sansregular"/>
          <w:color w:val="333333"/>
          <w:szCs w:val="24"/>
        </w:rPr>
        <w:t>Sorina</w:t>
      </w:r>
      <w:proofErr w:type="spellEnd"/>
      <w:r>
        <w:rPr>
          <w:rFonts w:eastAsia="open sansregular"/>
          <w:color w:val="333333"/>
          <w:szCs w:val="24"/>
        </w:rPr>
        <w:t xml:space="preserve"> Petre</w:t>
      </w:r>
    </w:p>
    <w:p w:rsidR="005E6A52" w:rsidRDefault="00DB73F1">
      <w:pPr>
        <w:rPr>
          <w:rFonts w:eastAsia="open sansregular"/>
          <w:color w:val="333333"/>
          <w:szCs w:val="24"/>
        </w:rPr>
      </w:pPr>
      <w:r>
        <w:rPr>
          <w:rFonts w:eastAsia="open sansregular"/>
          <w:color w:val="333333"/>
          <w:szCs w:val="24"/>
        </w:rPr>
        <w:t>Student number: 1808352</w:t>
      </w:r>
    </w:p>
    <w:p w:rsidR="002C365E" w:rsidRDefault="002C365E">
      <w:pPr>
        <w:suppressAutoHyphens w:val="0"/>
        <w:spacing w:line="240" w:lineRule="auto"/>
        <w:jc w:val="left"/>
        <w:rPr>
          <w:rFonts w:eastAsia="open sansregular"/>
          <w:color w:val="333333"/>
          <w:szCs w:val="24"/>
        </w:rPr>
      </w:pPr>
      <w:r>
        <w:rPr>
          <w:rFonts w:eastAsia="open sansregular"/>
          <w:color w:val="333333"/>
          <w:szCs w:val="24"/>
        </w:rPr>
        <w:br w:type="page"/>
      </w:r>
    </w:p>
    <w:p w:rsidR="00000000" w:rsidRPr="00F6448C" w:rsidRDefault="00740DCE">
      <w:pPr>
        <w:rPr>
          <w:rFonts w:eastAsia="open sansregular"/>
          <w:color w:val="333333"/>
          <w:szCs w:val="24"/>
        </w:rPr>
      </w:pPr>
    </w:p>
    <w:p w:rsidR="00000000" w:rsidRDefault="00740DCE">
      <w:pPr>
        <w:pStyle w:val="Corptext"/>
        <w:jc w:val="center"/>
        <w:rPr>
          <w:rFonts w:ascii="open sansregular" w:eastAsia="open sansregular" w:hAnsi="open sansregular" w:cs="open sansregular"/>
          <w:color w:val="333333"/>
          <w:sz w:val="21"/>
          <w:szCs w:val="21"/>
          <w:shd w:val="clear" w:color="auto" w:fill="FFFFFF"/>
        </w:rPr>
      </w:pPr>
    </w:p>
    <w:p w:rsidR="00000000" w:rsidRDefault="00740DCE">
      <w:pPr>
        <w:pStyle w:val="Corptext"/>
        <w:jc w:val="center"/>
        <w:rPr>
          <w:szCs w:val="24"/>
        </w:rPr>
        <w:sectPr w:rsidR="00000000">
          <w:headerReference w:type="even" r:id="rId7"/>
          <w:headerReference w:type="default" r:id="rId8"/>
          <w:footerReference w:type="even" r:id="rId9"/>
          <w:footerReference w:type="default" r:id="rId10"/>
          <w:headerReference w:type="first" r:id="rId11"/>
          <w:pgSz w:w="12240" w:h="15840"/>
          <w:pgMar w:top="1440" w:right="1440" w:bottom="1440" w:left="1440" w:header="708" w:footer="708" w:gutter="0"/>
          <w:cols w:space="708"/>
          <w:docGrid w:linePitch="600" w:charSpace="32768"/>
        </w:sectPr>
      </w:pPr>
      <w:r>
        <w:rPr>
          <w:b/>
          <w:bCs/>
          <w:color w:val="333333"/>
          <w:sz w:val="72"/>
          <w:szCs w:val="72"/>
        </w:rPr>
        <w:t>Applying Psychological perspectives in Health and Social Care</w:t>
      </w:r>
    </w:p>
    <w:p w:rsidR="00000000" w:rsidRDefault="00740DCE">
      <w:pPr>
        <w:pStyle w:val="ContentsHeading"/>
        <w:jc w:val="center"/>
      </w:pPr>
      <w:r>
        <w:rPr>
          <w:rFonts w:ascii="Times New Roman" w:hAnsi="Times New Roman"/>
          <w:sz w:val="24"/>
          <w:szCs w:val="24"/>
        </w:rPr>
        <w:lastRenderedPageBreak/>
        <w:t>TABLE OF CONTENTS</w:t>
      </w:r>
    </w:p>
    <w:p w:rsidR="00000000" w:rsidRDefault="00740DCE">
      <w:pPr>
        <w:pStyle w:val="Cuprins1"/>
        <w:tabs>
          <w:tab w:val="right" w:leader="dot" w:pos="9360"/>
        </w:tabs>
      </w:pPr>
      <w:r>
        <w:fldChar w:fldCharType="begin"/>
      </w:r>
      <w:r>
        <w:instrText xml:space="preserve"> TOC \f \o "1-9" \o "1-9" </w:instrText>
      </w:r>
      <w:r>
        <w:fldChar w:fldCharType="separate"/>
      </w:r>
      <w:r>
        <w:t xml:space="preserve">TASK 2 </w:t>
      </w:r>
      <w:r>
        <w:tab/>
        <w:t>1</w:t>
      </w:r>
    </w:p>
    <w:p w:rsidR="00000000" w:rsidRDefault="00740DCE">
      <w:pPr>
        <w:pStyle w:val="Cuprins1"/>
        <w:tabs>
          <w:tab w:val="right" w:leader="dot" w:pos="9360"/>
        </w:tabs>
      </w:pPr>
      <w:r>
        <w:t>INTRODUCTION</w:t>
      </w:r>
      <w:r>
        <w:tab/>
        <w:t>1</w:t>
      </w:r>
    </w:p>
    <w:p w:rsidR="00000000" w:rsidRDefault="00740DCE">
      <w:pPr>
        <w:pStyle w:val="Cuprins2"/>
        <w:tabs>
          <w:tab w:val="right" w:leader="dot" w:pos="9360"/>
        </w:tabs>
      </w:pPr>
      <w:r>
        <w:t xml:space="preserve">Reflection on psychological theory and research </w:t>
      </w:r>
      <w:r>
        <w:tab/>
        <w:t>1</w:t>
      </w:r>
    </w:p>
    <w:p w:rsidR="00000000" w:rsidRDefault="00740DCE">
      <w:pPr>
        <w:pStyle w:val="Cuprins2"/>
        <w:tabs>
          <w:tab w:val="right" w:leader="dot" w:pos="9360"/>
        </w:tabs>
      </w:pPr>
      <w:r>
        <w:t>Applying psychological perspective as duty of care</w:t>
      </w:r>
      <w:r>
        <w:tab/>
        <w:t>2</w:t>
      </w:r>
    </w:p>
    <w:p w:rsidR="00000000" w:rsidRDefault="00740DCE">
      <w:pPr>
        <w:pStyle w:val="Cuprins2"/>
        <w:tabs>
          <w:tab w:val="right" w:leader="dot" w:pos="9360"/>
        </w:tabs>
      </w:pPr>
      <w:r>
        <w:t>Relating learning</w:t>
      </w:r>
      <w:r>
        <w:t>s to social and care practices</w:t>
      </w:r>
      <w:r>
        <w:tab/>
        <w:t>4</w:t>
      </w:r>
    </w:p>
    <w:p w:rsidR="00000000" w:rsidRDefault="00740DCE">
      <w:pPr>
        <w:pStyle w:val="Cuprins1"/>
        <w:tabs>
          <w:tab w:val="right" w:leader="dot" w:pos="9360"/>
        </w:tabs>
      </w:pPr>
      <w:r>
        <w:t>CONCLUSION</w:t>
      </w:r>
      <w:r>
        <w:tab/>
        <w:t>5</w:t>
      </w:r>
    </w:p>
    <w:p w:rsidR="00000000" w:rsidRDefault="00740DCE">
      <w:pPr>
        <w:pStyle w:val="Cuprins1"/>
        <w:tabs>
          <w:tab w:val="right" w:leader="dot" w:pos="9360"/>
        </w:tabs>
      </w:pPr>
      <w:r>
        <w:t xml:space="preserve">REFERENCES </w:t>
      </w:r>
      <w:r>
        <w:tab/>
        <w:t>6</w:t>
      </w:r>
      <w:r>
        <w:fldChar w:fldCharType="end"/>
      </w:r>
    </w:p>
    <w:p w:rsidR="00000000" w:rsidRDefault="00740DCE">
      <w:pPr>
        <w:pStyle w:val="TOCHeading"/>
      </w:pPr>
    </w:p>
    <w:p w:rsidR="00000000" w:rsidRDefault="00740DCE">
      <w:pPr>
        <w:sectPr w:rsidR="00000000">
          <w:pgSz w:w="12240" w:h="15840"/>
          <w:pgMar w:top="1440" w:right="1440" w:bottom="1440" w:left="1440" w:header="708" w:footer="708" w:gutter="0"/>
          <w:cols w:space="708"/>
          <w:docGrid w:linePitch="600" w:charSpace="32768"/>
        </w:sectPr>
      </w:pPr>
    </w:p>
    <w:p w:rsidR="00000000" w:rsidRDefault="00740DCE">
      <w:pPr>
        <w:pStyle w:val="Titlu1"/>
      </w:pPr>
      <w:r>
        <w:lastRenderedPageBreak/>
        <w:t xml:space="preserve">TASK 2 </w:t>
      </w:r>
    </w:p>
    <w:p w:rsidR="00000000" w:rsidRDefault="00740DCE">
      <w:pPr>
        <w:pStyle w:val="Titlu1"/>
      </w:pPr>
      <w:r>
        <w:t>INTRODUCTION</w:t>
      </w:r>
    </w:p>
    <w:p w:rsidR="00000000" w:rsidRDefault="00740DCE">
      <w:pPr>
        <w:pStyle w:val="Corptext"/>
      </w:pPr>
      <w:r>
        <w:tab/>
        <w:t>Child development process emphasis on development and changes which occur over the course of childhood. The infancy is known to be highly critical period for the psycholog</w:t>
      </w:r>
      <w:r>
        <w:t xml:space="preserve">ical, emotional as well as cognitive development of the child </w:t>
      </w:r>
      <w:r>
        <w:rPr>
          <w:color w:val="222222"/>
          <w:szCs w:val="24"/>
        </w:rPr>
        <w:t>(Cox,  Stabb and Bruckner, 2016)</w:t>
      </w:r>
      <w:r>
        <w:t>. Thus, it is very important for the health care professionals to understand and implement the knowledge of psychological and development theories in their practi</w:t>
      </w:r>
      <w:r>
        <w:t xml:space="preserve">ces. This task will provide the reflection on psychological theories and how these theories can enhance the practices of health care professionals. </w:t>
      </w:r>
    </w:p>
    <w:p w:rsidR="00000000" w:rsidRDefault="00740DCE">
      <w:pPr>
        <w:pStyle w:val="Titlu2"/>
      </w:pPr>
      <w:r>
        <w:t xml:space="preserve">Reflection on psychological theory and research </w:t>
      </w:r>
    </w:p>
    <w:p w:rsidR="00000000" w:rsidRDefault="00740DCE">
      <w:pPr>
        <w:pStyle w:val="Corptext"/>
      </w:pPr>
      <w:r>
        <w:tab/>
        <w:t xml:space="preserve">The infancy stage of the child is very important for the </w:t>
      </w:r>
      <w:r>
        <w:t>development and later stages of life of an individual. In the task 1 the two various psychological theories of Erikson and Piaget were discussed. The task gave me a great opportunity to understand the significance of the surrounding environment and how var</w:t>
      </w:r>
      <w:r>
        <w:t>ious psychological aspects promotes the development of child. The task included the analysis of Erikson theory as the concept of trust and mistrust. The trust can be considered as the basic and fundamental parameter which not only governs the psychological</w:t>
      </w:r>
      <w:r>
        <w:t xml:space="preserve"> development but also affects the actions, behaviour and outcomes of individuals </w:t>
      </w:r>
      <w:r>
        <w:rPr>
          <w:color w:val="222222"/>
          <w:szCs w:val="24"/>
        </w:rPr>
        <w:t>(</w:t>
      </w:r>
      <w:r>
        <w:rPr>
          <w:color w:val="222222"/>
          <w:szCs w:val="24"/>
        </w:rPr>
        <w:t>Koch and et.al., 2017)</w:t>
      </w:r>
      <w:r>
        <w:t>. The theory supports not only parents but health professionals as well. Through the analysis of Erikson theory I learned that in the infancy stage a ch</w:t>
      </w:r>
      <w:r>
        <w:t xml:space="preserve">ild has the strongest emotional and trustworthy bond with mother. </w:t>
      </w:r>
    </w:p>
    <w:p w:rsidR="00000000" w:rsidRDefault="00740DCE">
      <w:pPr>
        <w:pStyle w:val="Corptext"/>
      </w:pPr>
      <w:r>
        <w:tab/>
        <w:t>Though father and other family members can also act as part of the trustworthy from the child perspective but right form the birth mothers are taken as the leading factor promoting the gro</w:t>
      </w:r>
      <w:r>
        <w:t>wth of child. In my opinion since most of the time child spend with mother it becomes easy for them to develop learning from her. This is the same reason that I believe that for the overall child care and development mothers actions and behaviour of mother</w:t>
      </w:r>
      <w:r>
        <w:t>s is one of the critical factor. Throughout the research I came to the fact that mothers who  breastfeed their babies or who pay more attention to their safety and development needs tends to provide more secure and safe growth environment to the infant. Fr</w:t>
      </w:r>
      <w:r>
        <w:t xml:space="preserve">om the analysis in task one I also analysed that apart from the mother's child have very negligible trust or bonding on other members. </w:t>
      </w:r>
    </w:p>
    <w:p w:rsidR="00000000" w:rsidRDefault="00740DCE">
      <w:pPr>
        <w:pStyle w:val="Corptext"/>
      </w:pPr>
      <w:r>
        <w:tab/>
        <w:t>However, when children does not feel secure enough with their mothers or if their needs are not assessed properly by mo</w:t>
      </w:r>
      <w:r>
        <w:t xml:space="preserve">thers then it often makes child anxious </w:t>
      </w:r>
      <w:r>
        <w:rPr>
          <w:color w:val="222222"/>
          <w:szCs w:val="24"/>
        </w:rPr>
        <w:t xml:space="preserve">(Benham, Leikauf and </w:t>
      </w:r>
      <w:r>
        <w:rPr>
          <w:color w:val="222222"/>
          <w:szCs w:val="24"/>
        </w:rPr>
        <w:lastRenderedPageBreak/>
        <w:t>Romanowicz, 2017)</w:t>
      </w:r>
      <w:r>
        <w:t>. Their cognitive needs may also not satisfied. Along with the Erikson theory I also conducted research on theory of Jean piaget which emphasis or explore the cognitive developme</w:t>
      </w:r>
      <w:r>
        <w:t xml:space="preserve">nt of the child. The environment provided to child in the initial 1-2 years regulates the actions, motor and sensory development of the child as well as their thinking process. In this age the infants try to explore various habits or practices followed by </w:t>
      </w:r>
      <w:r>
        <w:t xml:space="preserve">their surrounding environment or the mother. </w:t>
      </w:r>
    </w:p>
    <w:p w:rsidR="00000000" w:rsidRDefault="00740DCE">
      <w:pPr>
        <w:pStyle w:val="Corptext"/>
      </w:pPr>
      <w:r>
        <w:tab/>
        <w:t>Earlier I used to believe that the intelligence and cognitive abilities of the individual are completely dependent upon their own abilities. However through this theory I developed the understanding that in th</w:t>
      </w:r>
      <w:r>
        <w:t xml:space="preserve">e infancy stage child try to copy the actions or movements of their parents. Thus, to a great extent their habits and processing capabilities are dependent upon surrounding environment </w:t>
      </w:r>
      <w:r>
        <w:rPr>
          <w:color w:val="222222"/>
          <w:szCs w:val="24"/>
        </w:rPr>
        <w:t>(Newman and Newman, 2017)</w:t>
      </w:r>
      <w:r>
        <w:t xml:space="preserve">. As a health care professional I assume that </w:t>
      </w:r>
      <w:r>
        <w:t>these findings are vital in understanding the development phases of the child. The analysis of these theories and practices in child development is also valuable in resolving various development and psychological issues in the later stages of child develop</w:t>
      </w:r>
      <w:r>
        <w:t xml:space="preserve">ment. The health care professionals can use these theories to guide mothers and carers so that better care facilities can be provided to the child. For instance when child fails to develop a feeling of trust with its surrounding or carers then it can lead </w:t>
      </w:r>
      <w:r>
        <w:t>to feeling of suspicious, fear, anxiety and loneliness. The insecurities developed in the early stages of development can have life long impact upon the quality of life and behavioural practices of child.  Thus in my opinion if these theories are incorpora</w:t>
      </w:r>
      <w:r>
        <w:t xml:space="preserve">ted in the care provided to child as well as mother then health outcomes of child in terms of psychological, cognitive and physical development can be improved to a great extent. </w:t>
      </w:r>
    </w:p>
    <w:p w:rsidR="00000000" w:rsidRDefault="00740DCE">
      <w:pPr>
        <w:pStyle w:val="Titlu2"/>
      </w:pPr>
      <w:r>
        <w:t>Applying psychological perspective as duty of care</w:t>
      </w:r>
    </w:p>
    <w:p w:rsidR="00000000" w:rsidRDefault="00740DCE">
      <w:pPr>
        <w:pStyle w:val="Corptext"/>
      </w:pPr>
      <w:r>
        <w:tab/>
        <w:t>As a health professional</w:t>
      </w:r>
      <w:r>
        <w:t xml:space="preserve"> it is my first responsibility to ensure the safety and well-being of my patient. It is an important part of my duty of care to ensure that along with the safe environment a child must be  provided with an environment so that its cognitive development is a</w:t>
      </w:r>
      <w:r>
        <w:t>lso facilitated. I will also provide education to the parents and carers that how they can develop more secure relation with the child. For assuring the safety of child it is vital that their needs such as medications, milk, comfort or pain management must</w:t>
      </w:r>
      <w:r>
        <w:t xml:space="preserve"> be addressed timely and effectively </w:t>
      </w:r>
      <w:r>
        <w:rPr>
          <w:color w:val="222222"/>
          <w:szCs w:val="24"/>
        </w:rPr>
        <w:t>(Eldredge and et.al., 2016)</w:t>
      </w:r>
      <w:r>
        <w:t xml:space="preserve">. However, as health professional I cannot address this need alone. The support from the parents is one of the necessity for assuring child safety. The mothers can anticipate the requirements </w:t>
      </w:r>
      <w:r>
        <w:t xml:space="preserve">of child. </w:t>
      </w:r>
    </w:p>
    <w:p w:rsidR="00000000" w:rsidRDefault="00740DCE">
      <w:pPr>
        <w:pStyle w:val="Corptext"/>
      </w:pPr>
      <w:r>
        <w:lastRenderedPageBreak/>
        <w:tab/>
        <w:t>On the basis of these requirements needs of child must be solved in timely and consistent manner. Thus, concepts and principles of Erikson theory can be used to encourage the trust between child and mother. I can provide assistance and guidance</w:t>
      </w:r>
      <w:r>
        <w:t xml:space="preserve"> to the mother that how they can </w:t>
      </w:r>
      <w:r w:rsidR="00AC3250">
        <w:t>recognise</w:t>
      </w:r>
      <w:bookmarkStart w:id="0" w:name="_GoBack"/>
      <w:bookmarkEnd w:id="0"/>
      <w:r>
        <w:t xml:space="preserve"> the needs of child. For instance many women may not be aware with the behaviour or actions of child to understand their needs. In such situations the guidance provided by me can be helpful for them to develop a mo</w:t>
      </w:r>
      <w:r>
        <w:t xml:space="preserve">re trustworthy relation with the child. There are parents who are not aware of the facts that distrust among children can have an adverse impact on their overall health outcomes </w:t>
      </w:r>
      <w:r>
        <w:rPr>
          <w:color w:val="222222"/>
          <w:szCs w:val="24"/>
        </w:rPr>
        <w:t xml:space="preserve"> (Britto and et.al., 2017)</w:t>
      </w:r>
      <w:r>
        <w:t xml:space="preserve">. </w:t>
      </w:r>
    </w:p>
    <w:p w:rsidR="00000000" w:rsidRDefault="00740DCE">
      <w:pPr>
        <w:pStyle w:val="Corptext"/>
      </w:pPr>
      <w:r>
        <w:tab/>
        <w:t xml:space="preserve">Thus, if in the health care settings carers are </w:t>
      </w:r>
      <w:r>
        <w:t>not concerned about the safety and emotional needs of child then it must be taken into notice. The continuous distress among family member, deteriorating health of mother, disrespectful behaviour towards child or mother, lack of attention and care needs of</w:t>
      </w:r>
      <w:r>
        <w:t xml:space="preserve"> child are the major factors which causes distrust issue </w:t>
      </w:r>
      <w:r>
        <w:rPr>
          <w:color w:val="222222"/>
          <w:szCs w:val="24"/>
        </w:rPr>
        <w:t>(Vaughn, 2019</w:t>
      </w:r>
      <w:r>
        <w:rPr>
          <w:color w:val="222222"/>
          <w:szCs w:val="24"/>
        </w:rPr>
        <w:t xml:space="preserve">) </w:t>
      </w:r>
      <w:r>
        <w:t>. As professional, it is my duty to assure that such type of stressful environment is not provided to child. The mothers may face various issues in the development phase thus as my pro</w:t>
      </w:r>
      <w:r>
        <w:t xml:space="preserve">fessional duty I must assist them in overcoming this challenge. For example, I must regularly interact with the patient or mother so that they can inform me what challenges are experience by them in raising their infants. </w:t>
      </w:r>
    </w:p>
    <w:p w:rsidR="00000000" w:rsidRDefault="00740DCE">
      <w:pPr>
        <w:pStyle w:val="Corptext"/>
      </w:pPr>
      <w:r>
        <w:tab/>
        <w:t>Along with the trust and mistrus</w:t>
      </w:r>
      <w:r>
        <w:t xml:space="preserve">t principle the cognitive development in the infancy is accomplished by sensory motor stage as per  piaget theory </w:t>
      </w:r>
      <w:r>
        <w:rPr>
          <w:color w:val="222222"/>
          <w:szCs w:val="24"/>
        </w:rPr>
        <w:t>(Neal and Hammer, 2017)</w:t>
      </w:r>
      <w:r>
        <w:t>. In the early development stages the child begin to follow the goal directed actions through development of symbolic k</w:t>
      </w:r>
      <w:r>
        <w:t>nowledge and imitative behaviour. The accurate assessment of the individuals is an integral role of health and social care profession. Since the children are not able to communicate themselves in this period mothers must play an active role on their behalf</w:t>
      </w:r>
      <w:r>
        <w:t xml:space="preserve">. I always used to enquire mothers about the sensory behaviour of their child. In the later stages this behaviour is helpful in detecting cognitive impairments in the patient </w:t>
      </w:r>
      <w:r>
        <w:rPr>
          <w:color w:val="222222"/>
          <w:szCs w:val="24"/>
        </w:rPr>
        <w:t xml:space="preserve">(Townsend and Morgan, 2017) </w:t>
      </w:r>
      <w:r>
        <w:t>. For the better health outcomes and care concerns of</w:t>
      </w:r>
      <w:r>
        <w:t xml:space="preserve"> children it is very essential that health professionals must understand the cognitive development phase of the child or individual. </w:t>
      </w:r>
    </w:p>
    <w:p w:rsidR="00000000" w:rsidRDefault="00740DCE">
      <w:pPr>
        <w:pStyle w:val="Corptext"/>
      </w:pPr>
      <w:r>
        <w:tab/>
        <w:t xml:space="preserve">In my opinion for this purpose Piaget's theory of cognitive development serves the most appropriate option. On the basis </w:t>
      </w:r>
      <w:r>
        <w:t xml:space="preserve">of accurate assessment of child I can plan more precise simulation level and thus development tasks can be accomplished with more profession. As professional duty it is my responsibility to create a health care environment in which child safety is assured </w:t>
      </w:r>
      <w:r>
        <w:t xml:space="preserve">and </w:t>
      </w:r>
      <w:r>
        <w:lastRenderedPageBreak/>
        <w:t>equal opportunities are provided to child for their overall development. For this purpose health service providers must also work in collaboration with the families and mother especially. The association with the family members and health professionals</w:t>
      </w:r>
      <w:r>
        <w:t xml:space="preserve"> is necessary to provide safe learning and development environment to the infants for their growth and well-being </w:t>
      </w:r>
      <w:r>
        <w:rPr>
          <w:color w:val="222222"/>
          <w:szCs w:val="24"/>
        </w:rPr>
        <w:t>(Payne and Isaacs, 2017)</w:t>
      </w:r>
      <w:r>
        <w:t xml:space="preserve">. </w:t>
      </w:r>
    </w:p>
    <w:p w:rsidR="00000000" w:rsidRDefault="00740DCE">
      <w:pPr>
        <w:pStyle w:val="Titlu2"/>
      </w:pPr>
      <w:r>
        <w:t>Relating learnings to social and care practices</w:t>
      </w:r>
    </w:p>
    <w:p w:rsidR="00000000" w:rsidRDefault="00740DCE">
      <w:pPr>
        <w:pStyle w:val="Corptext"/>
      </w:pPr>
      <w:r>
        <w:tab/>
        <w:t>I have reached to a conclusion that since child has trust connecti</w:t>
      </w:r>
      <w:r>
        <w:t>ons with mother only in the initial years it is necessary that family based care as well. The infants must be provided with the care approach which includes emotional and physical care as well as safe surroundings. After giving birth it is possible that mo</w:t>
      </w:r>
      <w:r>
        <w:t xml:space="preserve">thers may undergo various psychological and physical changes which can be less appropriate for the child </w:t>
      </w:r>
      <w:r>
        <w:rPr>
          <w:color w:val="222222"/>
          <w:szCs w:val="24"/>
        </w:rPr>
        <w:t xml:space="preserve"> (Garbarino, 2017)</w:t>
      </w:r>
      <w:r>
        <w:t>. Within the role of nurse practitioner I must be able to respond to specific needs of my patient. Through the analysis of various re</w:t>
      </w:r>
      <w:r>
        <w:t xml:space="preserve">searches on child development I have analysed that the state of trust developed between the child and caregivers is formed on the basis of dependency of child. </w:t>
      </w:r>
    </w:p>
    <w:p w:rsidR="00000000" w:rsidRDefault="00740DCE">
      <w:pPr>
        <w:pStyle w:val="Corptext"/>
      </w:pPr>
      <w:r>
        <w:tab/>
        <w:t>One of the significant learning form the psychosocial development theory of Erikson gave me va</w:t>
      </w:r>
      <w:r>
        <w:t xml:space="preserve">luable learning that symptomatic behaviour can be the outcome of past struggles and experiences in the development phases </w:t>
      </w:r>
      <w:r>
        <w:rPr>
          <w:color w:val="222222"/>
          <w:szCs w:val="24"/>
        </w:rPr>
        <w:t xml:space="preserve"> (Ell, 2018)</w:t>
      </w:r>
      <w:r>
        <w:t>. For example many child faces mental trauma or the psychological distress due to the childhood experience. Thus, while pr</w:t>
      </w:r>
      <w:r>
        <w:t>oviding services to the patient the psychological theories must be used to determine the triggering elements affecting the development in adult stages. For providing the more effective person centred care services to the patient. I have learned that at any</w:t>
      </w:r>
      <w:r>
        <w:t xml:space="preserve"> stage of the development if individuals find it difficult to cope up with the situation then it is possible that they may have experienced the issues or difficulties in one of the stages of development models. </w:t>
      </w:r>
    </w:p>
    <w:p w:rsidR="00000000" w:rsidRDefault="00740DCE">
      <w:pPr>
        <w:pStyle w:val="Corptext"/>
      </w:pPr>
      <w:r>
        <w:tab/>
        <w:t xml:space="preserve">Within social and health care practices is </w:t>
      </w:r>
      <w:r>
        <w:t xml:space="preserve">recommended that nurses must have patience and good communication skills so that they can understand the needs of their patients. However, sometimes it is very challenging for me to assess the patient needs because they may not show support in interaction </w:t>
      </w:r>
      <w:r>
        <w:rPr>
          <w:color w:val="222222"/>
          <w:szCs w:val="24"/>
        </w:rPr>
        <w:t xml:space="preserve"> </w:t>
      </w:r>
      <w:r>
        <w:rPr>
          <w:color w:val="222222"/>
          <w:szCs w:val="24"/>
        </w:rPr>
        <w:t xml:space="preserve"> (Benham, Leikauf and Romanowicz, 2017)</w:t>
      </w:r>
      <w:r>
        <w:t>. In such cases instead of getting frustrated I must show more sensitivity towards the need of patient. I must try to figure out the actual cause which make patient more vulnerable to psychological issues and affecti</w:t>
      </w:r>
      <w:r>
        <w:t xml:space="preserve">ng quality of care provided to them. In the infancy period along with the sense's child also undergoes into development of motor skills and reflexes. </w:t>
      </w:r>
    </w:p>
    <w:p w:rsidR="00000000" w:rsidRDefault="00740DCE">
      <w:pPr>
        <w:pStyle w:val="Corptext"/>
      </w:pPr>
      <w:r>
        <w:lastRenderedPageBreak/>
        <w:tab/>
        <w:t>Thus, as health care practitioner these aspects can enhance the quality of care. For instance as practit</w:t>
      </w:r>
      <w:r>
        <w:t xml:space="preserve">ioner I must understand that as compare to children (above 6 months), infants (below 6 months) may not show a significant response on separation from the parents </w:t>
      </w:r>
      <w:r>
        <w:rPr>
          <w:color w:val="222222"/>
          <w:szCs w:val="24"/>
        </w:rPr>
        <w:t>(</w:t>
      </w:r>
      <w:proofErr w:type="spellStart"/>
      <w:r>
        <w:rPr>
          <w:color w:val="222222"/>
          <w:szCs w:val="24"/>
        </w:rPr>
        <w:t>Asarnow</w:t>
      </w:r>
      <w:proofErr w:type="spellEnd"/>
      <w:r>
        <w:rPr>
          <w:color w:val="222222"/>
          <w:szCs w:val="24"/>
        </w:rPr>
        <w:t xml:space="preserve"> and et.al., 2017) </w:t>
      </w:r>
      <w:r>
        <w:t xml:space="preserve">. Since the children above 6 months are more likely to have better </w:t>
      </w:r>
      <w:r>
        <w:t>understanding in terms of cognitive development nurses must incorporate more patient centred approach. Contrary to this the requirements of infants may not have a clear support form the cognitive understanding and thus nurses tends to provide more evidence</w:t>
      </w:r>
      <w:r>
        <w:t xml:space="preserve"> based care to these patients. The interaction with the environment in promoting the safe and effective child development is supported by both the discussed theories </w:t>
      </w:r>
      <w:r>
        <w:rPr>
          <w:color w:val="222222"/>
          <w:szCs w:val="24"/>
        </w:rPr>
        <w:t xml:space="preserve"> </w:t>
      </w:r>
      <w:r>
        <w:rPr>
          <w:color w:val="222222"/>
          <w:szCs w:val="24"/>
        </w:rPr>
        <w:t>(Cox,  Stabb and Bruckner, 2016)</w:t>
      </w:r>
      <w:r>
        <w:t>. Thus, to assure the child safety and patient needs as p</w:t>
      </w:r>
      <w:r>
        <w:t xml:space="preserve">riority it is mandatory that health care staff members must be trained and aware of these theories so that safe and effective care be provided to paediatrics. </w:t>
      </w:r>
    </w:p>
    <w:p w:rsidR="00000000" w:rsidRDefault="00740DCE">
      <w:pPr>
        <w:pStyle w:val="Corptext"/>
      </w:pPr>
      <w:r>
        <w:tab/>
      </w:r>
    </w:p>
    <w:p w:rsidR="00000000" w:rsidRDefault="00740DCE">
      <w:pPr>
        <w:pStyle w:val="Titlu1"/>
      </w:pPr>
      <w:r>
        <w:t>CONCLUSION</w:t>
      </w:r>
    </w:p>
    <w:p w:rsidR="00000000" w:rsidRDefault="00740DCE">
      <w:pPr>
        <w:pStyle w:val="Corptext"/>
      </w:pPr>
      <w:r>
        <w:tab/>
        <w:t>It can be concluded from the report that practices of duty of care can be made mor</w:t>
      </w:r>
      <w:r>
        <w:t>e effective in terms of health care practices. The psychological theories such as cognitive development by Jean Piaget and development theory by Erik Erikson are not only helpful for the cognitive or psychological development of the child but can also affe</w:t>
      </w:r>
      <w:r>
        <w:t xml:space="preserve">ct the physical growth of the children. The quality of life greatly depends upon the infancy stages and thus health care and social practices must integrate psychological theories in proposing and applying care interventions. </w:t>
      </w:r>
    </w:p>
    <w:p w:rsidR="00000000" w:rsidRDefault="00740DCE">
      <w:pPr>
        <w:pStyle w:val="Corptext"/>
      </w:pPr>
    </w:p>
    <w:p w:rsidR="00000000" w:rsidRDefault="00740DCE">
      <w:pPr>
        <w:pStyle w:val="Titlu1"/>
      </w:pPr>
    </w:p>
    <w:p w:rsidR="00000000" w:rsidRDefault="00740DCE">
      <w:pPr>
        <w:pStyle w:val="Titlu1"/>
        <w:pageBreakBefore/>
        <w:rPr>
          <w:u w:val="single"/>
        </w:rPr>
      </w:pPr>
      <w:r>
        <w:lastRenderedPageBreak/>
        <w:t xml:space="preserve">REFERENCES </w:t>
      </w:r>
    </w:p>
    <w:p w:rsidR="00000000" w:rsidRDefault="00740DCE">
      <w:pPr>
        <w:pStyle w:val="Corptext"/>
        <w:rPr>
          <w:color w:val="222222"/>
          <w:szCs w:val="24"/>
        </w:rPr>
      </w:pPr>
      <w:r>
        <w:rPr>
          <w:u w:val="single"/>
        </w:rPr>
        <w:t>Books and Journ</w:t>
      </w:r>
      <w:r>
        <w:rPr>
          <w:u w:val="single"/>
        </w:rPr>
        <w:t xml:space="preserve">als </w:t>
      </w:r>
    </w:p>
    <w:p w:rsidR="00000000" w:rsidRDefault="00740DCE">
      <w:pPr>
        <w:pStyle w:val="Corptext"/>
        <w:spacing w:line="100" w:lineRule="atLeast"/>
        <w:ind w:left="733" w:hanging="733"/>
        <w:rPr>
          <w:color w:val="222222"/>
          <w:szCs w:val="24"/>
        </w:rPr>
      </w:pPr>
      <w:proofErr w:type="spellStart"/>
      <w:r>
        <w:rPr>
          <w:color w:val="222222"/>
          <w:szCs w:val="24"/>
        </w:rPr>
        <w:t>Asarnow</w:t>
      </w:r>
      <w:proofErr w:type="spellEnd"/>
      <w:r>
        <w:rPr>
          <w:color w:val="222222"/>
          <w:szCs w:val="24"/>
        </w:rPr>
        <w:t xml:space="preserve">, J.R. and et.al., 2017. The </w:t>
      </w:r>
      <w:proofErr w:type="spellStart"/>
      <w:r>
        <w:rPr>
          <w:color w:val="222222"/>
          <w:szCs w:val="24"/>
        </w:rPr>
        <w:t>pediatric</w:t>
      </w:r>
      <w:proofErr w:type="spellEnd"/>
      <w:r>
        <w:rPr>
          <w:color w:val="222222"/>
          <w:szCs w:val="24"/>
        </w:rPr>
        <w:t xml:space="preserve"> </w:t>
      </w:r>
      <w:proofErr w:type="spellStart"/>
      <w:r>
        <w:rPr>
          <w:color w:val="222222"/>
          <w:szCs w:val="24"/>
        </w:rPr>
        <w:t>patient-centered</w:t>
      </w:r>
      <w:proofErr w:type="spellEnd"/>
      <w:r>
        <w:rPr>
          <w:color w:val="222222"/>
          <w:szCs w:val="24"/>
        </w:rPr>
        <w:t xml:space="preserve"> medical home: innovative models for improving </w:t>
      </w:r>
      <w:proofErr w:type="spellStart"/>
      <w:r>
        <w:rPr>
          <w:color w:val="222222"/>
          <w:szCs w:val="24"/>
        </w:rPr>
        <w:t>behavioral</w:t>
      </w:r>
      <w:proofErr w:type="spellEnd"/>
      <w:r>
        <w:rPr>
          <w:color w:val="222222"/>
          <w:szCs w:val="24"/>
        </w:rPr>
        <w:t xml:space="preserve"> health. </w:t>
      </w:r>
      <w:r>
        <w:rPr>
          <w:i/>
          <w:color w:val="222222"/>
          <w:szCs w:val="24"/>
        </w:rPr>
        <w:t>American Psychologist</w:t>
      </w:r>
      <w:r>
        <w:rPr>
          <w:color w:val="222222"/>
          <w:szCs w:val="24"/>
        </w:rPr>
        <w:t>, </w:t>
      </w:r>
      <w:r>
        <w:rPr>
          <w:i/>
          <w:color w:val="222222"/>
          <w:szCs w:val="24"/>
        </w:rPr>
        <w:t>72</w:t>
      </w:r>
      <w:r>
        <w:rPr>
          <w:color w:val="222222"/>
          <w:szCs w:val="24"/>
        </w:rPr>
        <w:t>(1), p.13.</w:t>
      </w:r>
    </w:p>
    <w:p w:rsidR="00000000" w:rsidRDefault="00740DCE">
      <w:pPr>
        <w:pStyle w:val="Corptext"/>
        <w:spacing w:line="100" w:lineRule="atLeast"/>
        <w:ind w:left="733" w:hanging="733"/>
        <w:rPr>
          <w:color w:val="222222"/>
          <w:szCs w:val="24"/>
        </w:rPr>
      </w:pPr>
      <w:r>
        <w:rPr>
          <w:color w:val="222222"/>
          <w:szCs w:val="24"/>
        </w:rPr>
        <w:t>Benham, A.L., Leikauf, J.E. and Romanowicz, M., 2017. The Need for Infant Mental Health</w:t>
      </w:r>
      <w:r>
        <w:rPr>
          <w:color w:val="222222"/>
          <w:szCs w:val="24"/>
        </w:rPr>
        <w:t xml:space="preserve"> Training for All Child and Adolescent Psychiatrists. </w:t>
      </w:r>
      <w:r>
        <w:rPr>
          <w:i/>
          <w:color w:val="222222"/>
          <w:szCs w:val="24"/>
        </w:rPr>
        <w:t>Academic Psychiatry</w:t>
      </w:r>
      <w:r>
        <w:rPr>
          <w:color w:val="222222"/>
          <w:szCs w:val="24"/>
        </w:rPr>
        <w:t>, </w:t>
      </w:r>
      <w:r>
        <w:rPr>
          <w:i/>
          <w:color w:val="222222"/>
          <w:szCs w:val="24"/>
        </w:rPr>
        <w:t>41</w:t>
      </w:r>
      <w:r>
        <w:rPr>
          <w:color w:val="222222"/>
          <w:szCs w:val="24"/>
        </w:rPr>
        <w:t>(5), pp.596-600.</w:t>
      </w:r>
    </w:p>
    <w:p w:rsidR="00000000" w:rsidRDefault="00740DCE">
      <w:pPr>
        <w:pStyle w:val="Corptext"/>
        <w:spacing w:line="100" w:lineRule="atLeast"/>
        <w:ind w:left="733" w:hanging="733"/>
        <w:rPr>
          <w:color w:val="222222"/>
          <w:szCs w:val="24"/>
        </w:rPr>
      </w:pPr>
      <w:r>
        <w:rPr>
          <w:color w:val="222222"/>
          <w:szCs w:val="24"/>
        </w:rPr>
        <w:t>Britto, P.R. and et.al., 2017. Nurturing care: promoting early childhood development. </w:t>
      </w:r>
      <w:r>
        <w:rPr>
          <w:i/>
          <w:color w:val="222222"/>
          <w:szCs w:val="24"/>
        </w:rPr>
        <w:t>The Lancet</w:t>
      </w:r>
      <w:r>
        <w:rPr>
          <w:color w:val="222222"/>
          <w:szCs w:val="24"/>
        </w:rPr>
        <w:t>, </w:t>
      </w:r>
      <w:r>
        <w:rPr>
          <w:i/>
          <w:color w:val="222222"/>
          <w:szCs w:val="24"/>
        </w:rPr>
        <w:t>389</w:t>
      </w:r>
      <w:r>
        <w:rPr>
          <w:color w:val="222222"/>
          <w:szCs w:val="24"/>
        </w:rPr>
        <w:t>(10064), pp.91-102.</w:t>
      </w:r>
    </w:p>
    <w:p w:rsidR="00000000" w:rsidRDefault="00740DCE">
      <w:pPr>
        <w:pStyle w:val="Corptext"/>
        <w:spacing w:line="100" w:lineRule="atLeast"/>
        <w:ind w:left="733" w:hanging="733"/>
        <w:rPr>
          <w:color w:val="222222"/>
          <w:szCs w:val="24"/>
        </w:rPr>
      </w:pPr>
      <w:r>
        <w:rPr>
          <w:color w:val="222222"/>
          <w:szCs w:val="24"/>
        </w:rPr>
        <w:t>Cox, D., Stabb, S. and Bruckner, K., 2016</w:t>
      </w:r>
      <w:r>
        <w:rPr>
          <w:color w:val="222222"/>
          <w:szCs w:val="24"/>
        </w:rPr>
        <w:t>. </w:t>
      </w:r>
      <w:r>
        <w:rPr>
          <w:i/>
          <w:color w:val="222222"/>
          <w:szCs w:val="24"/>
        </w:rPr>
        <w:t>Women's anger: Clinical and developmental perspectives</w:t>
      </w:r>
      <w:r>
        <w:rPr>
          <w:color w:val="222222"/>
          <w:szCs w:val="24"/>
        </w:rPr>
        <w:t>. Routledge.</w:t>
      </w:r>
    </w:p>
    <w:p w:rsidR="00000000" w:rsidRDefault="00740DCE">
      <w:pPr>
        <w:pStyle w:val="Corptext"/>
        <w:spacing w:line="100" w:lineRule="atLeast"/>
        <w:ind w:left="733" w:hanging="733"/>
        <w:rPr>
          <w:color w:val="222222"/>
          <w:szCs w:val="24"/>
        </w:rPr>
      </w:pPr>
      <w:r>
        <w:rPr>
          <w:color w:val="222222"/>
          <w:szCs w:val="24"/>
        </w:rPr>
        <w:t>Eldredge, L.K.B. and et.al., 2016. </w:t>
      </w:r>
      <w:r>
        <w:rPr>
          <w:i/>
          <w:color w:val="222222"/>
          <w:szCs w:val="24"/>
        </w:rPr>
        <w:t>Planning health promotion programs: an intervention mapping approach</w:t>
      </w:r>
      <w:r>
        <w:rPr>
          <w:color w:val="222222"/>
          <w:szCs w:val="24"/>
        </w:rPr>
        <w:t>. John Wiley &amp; Sons.</w:t>
      </w:r>
    </w:p>
    <w:p w:rsidR="00000000" w:rsidRDefault="00740DCE">
      <w:pPr>
        <w:pStyle w:val="Corptext"/>
        <w:spacing w:line="100" w:lineRule="atLeast"/>
        <w:ind w:left="733" w:hanging="733"/>
        <w:rPr>
          <w:color w:val="222222"/>
          <w:szCs w:val="24"/>
        </w:rPr>
      </w:pPr>
      <w:r>
        <w:rPr>
          <w:color w:val="222222"/>
          <w:szCs w:val="24"/>
        </w:rPr>
        <w:t>Ell, K., 2018. </w:t>
      </w:r>
      <w:r>
        <w:rPr>
          <w:i/>
          <w:color w:val="222222"/>
          <w:szCs w:val="24"/>
        </w:rPr>
        <w:t>Families and health care: Psychosocial practice</w:t>
      </w:r>
      <w:r>
        <w:rPr>
          <w:color w:val="222222"/>
          <w:szCs w:val="24"/>
        </w:rPr>
        <w:t>.</w:t>
      </w:r>
      <w:r>
        <w:rPr>
          <w:color w:val="222222"/>
          <w:szCs w:val="24"/>
        </w:rPr>
        <w:t xml:space="preserve"> Routledge.</w:t>
      </w:r>
    </w:p>
    <w:p w:rsidR="00000000" w:rsidRDefault="00740DCE">
      <w:pPr>
        <w:pStyle w:val="Corptext"/>
        <w:spacing w:line="100" w:lineRule="atLeast"/>
        <w:ind w:left="733" w:hanging="733"/>
        <w:rPr>
          <w:color w:val="222222"/>
          <w:szCs w:val="24"/>
        </w:rPr>
      </w:pPr>
      <w:r>
        <w:rPr>
          <w:color w:val="222222"/>
          <w:szCs w:val="24"/>
        </w:rPr>
        <w:t>Garbarino, J., 2017. </w:t>
      </w:r>
      <w:r>
        <w:rPr>
          <w:i/>
          <w:color w:val="222222"/>
          <w:szCs w:val="24"/>
        </w:rPr>
        <w:t>Children and Families in the Social Environment: Modern Applications of Social Work</w:t>
      </w:r>
      <w:r>
        <w:rPr>
          <w:color w:val="222222"/>
          <w:szCs w:val="24"/>
        </w:rPr>
        <w:t>. Routledge.</w:t>
      </w:r>
    </w:p>
    <w:p w:rsidR="00000000" w:rsidRDefault="00740DCE">
      <w:pPr>
        <w:pStyle w:val="Corptext"/>
        <w:spacing w:line="100" w:lineRule="atLeast"/>
        <w:ind w:left="733" w:hanging="733"/>
        <w:rPr>
          <w:color w:val="222222"/>
          <w:szCs w:val="24"/>
        </w:rPr>
      </w:pPr>
      <w:r>
        <w:rPr>
          <w:color w:val="222222"/>
          <w:szCs w:val="24"/>
        </w:rPr>
        <w:t>Koch, G. and et.al., 2017. </w:t>
      </w:r>
      <w:proofErr w:type="spellStart"/>
      <w:r>
        <w:rPr>
          <w:i/>
          <w:color w:val="222222"/>
          <w:szCs w:val="24"/>
        </w:rPr>
        <w:t>Pediatric</w:t>
      </w:r>
      <w:proofErr w:type="spellEnd"/>
      <w:r>
        <w:rPr>
          <w:i/>
          <w:color w:val="222222"/>
          <w:szCs w:val="24"/>
        </w:rPr>
        <w:t xml:space="preserve"> dentistry: a clinical approach</w:t>
      </w:r>
      <w:r>
        <w:rPr>
          <w:color w:val="222222"/>
          <w:szCs w:val="24"/>
        </w:rPr>
        <w:t>. John Wiley &amp; Sons.</w:t>
      </w:r>
    </w:p>
    <w:p w:rsidR="00000000" w:rsidRDefault="00740DCE">
      <w:pPr>
        <w:pStyle w:val="Corptext"/>
        <w:spacing w:line="100" w:lineRule="atLeast"/>
        <w:ind w:left="733" w:hanging="733"/>
        <w:rPr>
          <w:color w:val="222222"/>
          <w:szCs w:val="24"/>
        </w:rPr>
      </w:pPr>
      <w:r>
        <w:rPr>
          <w:color w:val="222222"/>
          <w:szCs w:val="24"/>
        </w:rPr>
        <w:t>Neal, M.B. and Hammer, L.B., 2017. </w:t>
      </w:r>
      <w:r>
        <w:rPr>
          <w:i/>
          <w:color w:val="222222"/>
          <w:szCs w:val="24"/>
        </w:rPr>
        <w:t>Work</w:t>
      </w:r>
      <w:r>
        <w:rPr>
          <w:i/>
          <w:color w:val="222222"/>
          <w:szCs w:val="24"/>
        </w:rPr>
        <w:t xml:space="preserve">ing couples caring for children and </w:t>
      </w:r>
      <w:proofErr w:type="spellStart"/>
      <w:r>
        <w:rPr>
          <w:i/>
          <w:color w:val="222222"/>
          <w:szCs w:val="24"/>
        </w:rPr>
        <w:t>aging</w:t>
      </w:r>
      <w:proofErr w:type="spellEnd"/>
      <w:r>
        <w:rPr>
          <w:i/>
          <w:color w:val="222222"/>
          <w:szCs w:val="24"/>
        </w:rPr>
        <w:t xml:space="preserve"> parents: Effects on work and well-being</w:t>
      </w:r>
      <w:r>
        <w:rPr>
          <w:color w:val="222222"/>
          <w:szCs w:val="24"/>
        </w:rPr>
        <w:t>. Psychology Press.</w:t>
      </w:r>
    </w:p>
    <w:p w:rsidR="00000000" w:rsidRDefault="00740DCE">
      <w:pPr>
        <w:pStyle w:val="Corptext"/>
        <w:spacing w:line="100" w:lineRule="atLeast"/>
        <w:ind w:left="733" w:hanging="733"/>
        <w:rPr>
          <w:color w:val="222222"/>
          <w:szCs w:val="24"/>
        </w:rPr>
      </w:pPr>
      <w:r>
        <w:rPr>
          <w:color w:val="222222"/>
          <w:szCs w:val="24"/>
        </w:rPr>
        <w:t>Newman, B.M. and Newman, P.R., 2017. </w:t>
      </w:r>
      <w:r>
        <w:rPr>
          <w:i/>
          <w:color w:val="222222"/>
          <w:szCs w:val="24"/>
        </w:rPr>
        <w:t>Development through life: A psychosocial approach</w:t>
      </w:r>
      <w:r>
        <w:rPr>
          <w:color w:val="222222"/>
          <w:szCs w:val="24"/>
        </w:rPr>
        <w:t>. Cengage Learning.</w:t>
      </w:r>
    </w:p>
    <w:p w:rsidR="00000000" w:rsidRDefault="00740DCE">
      <w:pPr>
        <w:pStyle w:val="Corptext"/>
        <w:spacing w:line="100" w:lineRule="atLeast"/>
        <w:ind w:left="733" w:hanging="733"/>
        <w:rPr>
          <w:color w:val="222222"/>
          <w:szCs w:val="24"/>
        </w:rPr>
      </w:pPr>
      <w:r>
        <w:rPr>
          <w:color w:val="222222"/>
          <w:szCs w:val="24"/>
        </w:rPr>
        <w:t>Payne, V.G. and Isaacs, L.D., 2017. </w:t>
      </w:r>
      <w:r>
        <w:rPr>
          <w:i/>
          <w:color w:val="222222"/>
          <w:szCs w:val="24"/>
        </w:rPr>
        <w:t>Human motor d</w:t>
      </w:r>
      <w:r>
        <w:rPr>
          <w:i/>
          <w:color w:val="222222"/>
          <w:szCs w:val="24"/>
        </w:rPr>
        <w:t>evelopment: A lifespan approach</w:t>
      </w:r>
      <w:r>
        <w:rPr>
          <w:color w:val="222222"/>
          <w:szCs w:val="24"/>
        </w:rPr>
        <w:t>. Routledge.</w:t>
      </w:r>
    </w:p>
    <w:p w:rsidR="00000000" w:rsidRDefault="00740DCE">
      <w:pPr>
        <w:pStyle w:val="Corptext"/>
        <w:spacing w:line="100" w:lineRule="atLeast"/>
        <w:ind w:left="733" w:hanging="733"/>
        <w:rPr>
          <w:color w:val="222222"/>
          <w:szCs w:val="24"/>
        </w:rPr>
      </w:pPr>
      <w:r>
        <w:rPr>
          <w:color w:val="222222"/>
          <w:szCs w:val="24"/>
        </w:rPr>
        <w:t>Townsend, M.C. and Morgan, K.I., 2017. </w:t>
      </w:r>
      <w:r>
        <w:rPr>
          <w:i/>
          <w:color w:val="222222"/>
          <w:szCs w:val="24"/>
        </w:rPr>
        <w:t>Psychiatric mental health nursing: Concepts of care in evidence-based practice</w:t>
      </w:r>
      <w:r>
        <w:rPr>
          <w:color w:val="222222"/>
          <w:szCs w:val="24"/>
        </w:rPr>
        <w:t>. FA Davis.</w:t>
      </w:r>
    </w:p>
    <w:p w:rsidR="00000000" w:rsidRDefault="00740DCE">
      <w:pPr>
        <w:pStyle w:val="Corptext"/>
        <w:spacing w:line="100" w:lineRule="atLeast"/>
        <w:ind w:left="733" w:hanging="733"/>
        <w:rPr>
          <w:rFonts w:ascii="open_sansregular" w:hAnsi="open_sansregular" w:cs="open_sansregular"/>
          <w:b/>
          <w:i/>
          <w:color w:val="333333"/>
          <w:sz w:val="72"/>
          <w:szCs w:val="72"/>
          <w:shd w:val="clear" w:color="auto" w:fill="FFFFFF"/>
        </w:rPr>
      </w:pPr>
      <w:r>
        <w:rPr>
          <w:color w:val="222222"/>
          <w:szCs w:val="24"/>
        </w:rPr>
        <w:t>Vaughn, L., 2019. </w:t>
      </w:r>
      <w:r>
        <w:rPr>
          <w:i/>
          <w:color w:val="222222"/>
          <w:szCs w:val="24"/>
        </w:rPr>
        <w:t>Psychology and culture: Thinking, feeling and behaving in a globa</w:t>
      </w:r>
      <w:r>
        <w:rPr>
          <w:i/>
          <w:color w:val="222222"/>
          <w:szCs w:val="24"/>
        </w:rPr>
        <w:t>l context</w:t>
      </w:r>
      <w:r>
        <w:rPr>
          <w:color w:val="222222"/>
          <w:szCs w:val="24"/>
        </w:rPr>
        <w:t>. Routledge.</w:t>
      </w:r>
    </w:p>
    <w:p w:rsidR="00000000" w:rsidRDefault="00740DCE">
      <w:pPr>
        <w:pStyle w:val="Corptext"/>
        <w:jc w:val="center"/>
        <w:rPr>
          <w:rFonts w:ascii="open_sansregular" w:hAnsi="open_sansregular" w:cs="open_sansregular"/>
          <w:b/>
          <w:i/>
          <w:color w:val="333333"/>
          <w:sz w:val="72"/>
          <w:szCs w:val="72"/>
          <w:shd w:val="clear" w:color="auto" w:fill="FFFFFF"/>
        </w:rPr>
      </w:pPr>
    </w:p>
    <w:p w:rsidR="00000000" w:rsidRDefault="00740DCE">
      <w:pPr>
        <w:rPr>
          <w:color w:val="800000"/>
        </w:rPr>
      </w:pPr>
    </w:p>
    <w:p w:rsidR="00000000" w:rsidRDefault="00740DCE">
      <w:pPr>
        <w:pStyle w:val="TableContents"/>
      </w:pPr>
    </w:p>
    <w:p w:rsidR="00000000" w:rsidRDefault="00740DCE">
      <w:pPr>
        <w:pStyle w:val="TableContents"/>
      </w:pPr>
    </w:p>
    <w:p w:rsidR="00000000" w:rsidRDefault="00740DCE">
      <w:pPr>
        <w:pStyle w:val="TableContents"/>
      </w:pPr>
    </w:p>
    <w:p w:rsidR="00000000" w:rsidRDefault="00740DCE">
      <w:pPr>
        <w:pStyle w:val="TableContents"/>
        <w:rPr>
          <w:b/>
          <w:bCs/>
          <w:i/>
          <w:iCs/>
        </w:rPr>
      </w:pPr>
      <w:r>
        <w:rPr>
          <w:b/>
          <w:bCs/>
          <w:color w:val="000000"/>
        </w:rPr>
        <w:t xml:space="preserve"> </w:t>
      </w:r>
    </w:p>
    <w:p w:rsidR="00000000" w:rsidRDefault="00740DCE">
      <w:pPr>
        <w:rPr>
          <w:b/>
          <w:bCs/>
          <w:i/>
          <w:iCs/>
        </w:rPr>
      </w:pPr>
    </w:p>
    <w:p w:rsidR="00000000" w:rsidRDefault="00740DCE">
      <w:pPr>
        <w:rPr>
          <w:b/>
          <w:bCs/>
          <w:i/>
          <w:iCs/>
        </w:rPr>
      </w:pPr>
    </w:p>
    <w:p w:rsidR="00000000" w:rsidRDefault="00740DCE">
      <w:pPr>
        <w:rPr>
          <w:b/>
          <w:bCs/>
          <w:i/>
          <w:iCs/>
        </w:rPr>
      </w:pPr>
    </w:p>
    <w:p w:rsidR="00000000" w:rsidRDefault="00740DCE">
      <w:pPr>
        <w:rPr>
          <w:b/>
          <w:bCs/>
          <w:i/>
          <w:iCs/>
        </w:rPr>
      </w:pPr>
    </w:p>
    <w:p w:rsidR="00000000" w:rsidRDefault="00740DCE">
      <w:pPr>
        <w:rPr>
          <w:b/>
          <w:bCs/>
          <w:i/>
          <w:iCs/>
        </w:rPr>
      </w:pPr>
    </w:p>
    <w:p w:rsidR="00000000" w:rsidRDefault="00740DCE">
      <w:pPr>
        <w:pStyle w:val="Titlu1"/>
        <w:pageBreakBefore/>
      </w:pPr>
      <w:bookmarkStart w:id="1" w:name="__RefHeading___Toc1725922"/>
      <w:bookmarkEnd w:id="1"/>
    </w:p>
    <w:p w:rsidR="00000000" w:rsidRDefault="00740DCE">
      <w:pPr>
        <w:pStyle w:val="Corptext"/>
        <w:rPr>
          <w:lang w:val="en-US"/>
        </w:rPr>
      </w:pPr>
      <w:r>
        <w:tab/>
        <w:t xml:space="preserve"> </w:t>
      </w: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pStyle w:val="Titlu1"/>
        <w:numPr>
          <w:ilvl w:val="0"/>
          <w:numId w:val="0"/>
        </w:numPr>
        <w:ind w:left="432"/>
        <w:rPr>
          <w:lang w:val="en-US"/>
        </w:rPr>
      </w:pP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pStyle w:val="Titlu1"/>
        <w:pageBreakBefore/>
        <w:rPr>
          <w:lang w:val="en-US"/>
        </w:rPr>
      </w:pP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rPr>
          <w:lang w:val="en-US"/>
        </w:rPr>
      </w:pPr>
    </w:p>
    <w:p w:rsidR="00000000" w:rsidRDefault="00740DCE">
      <w:pPr>
        <w:pageBreakBefore/>
        <w:rPr>
          <w:b/>
          <w:u w:val="single"/>
          <w:lang w:val="en-US"/>
        </w:rPr>
      </w:pPr>
      <w:r>
        <w:rPr>
          <w:b/>
          <w:u w:val="single"/>
          <w:lang w:val="en-US"/>
        </w:rPr>
        <w:lastRenderedPageBreak/>
        <w:t xml:space="preserve"> </w:t>
      </w:r>
    </w:p>
    <w:p w:rsidR="00000000" w:rsidRDefault="00740DCE">
      <w:pPr>
        <w:rPr>
          <w:b/>
          <w:u w:val="single"/>
          <w:lang w:val="en-US"/>
        </w:rPr>
      </w:pPr>
    </w:p>
    <w:p w:rsidR="00000000" w:rsidRDefault="00740DCE">
      <w:pPr>
        <w:rPr>
          <w:b/>
          <w:u w:val="single"/>
          <w:lang w:val="en-US"/>
        </w:rPr>
      </w:pPr>
    </w:p>
    <w:p w:rsidR="00000000" w:rsidRDefault="00740DCE">
      <w:pPr>
        <w:rPr>
          <w:b/>
          <w:u w:val="single"/>
          <w:lang w:val="en-US"/>
        </w:rPr>
      </w:pPr>
    </w:p>
    <w:p w:rsidR="00000000" w:rsidRDefault="00740DCE">
      <w:pPr>
        <w:rPr>
          <w:b/>
          <w:u w:val="single"/>
          <w:lang w:val="en-US"/>
        </w:rPr>
      </w:pPr>
    </w:p>
    <w:p w:rsidR="00000000" w:rsidRDefault="00740DCE">
      <w:pPr>
        <w:rPr>
          <w:b/>
          <w:u w:val="single"/>
          <w:lang w:val="en-US"/>
        </w:rPr>
      </w:pPr>
    </w:p>
    <w:p w:rsidR="00000000" w:rsidRDefault="00740DCE">
      <w:pPr>
        <w:rPr>
          <w:lang w:val="en-US"/>
        </w:rPr>
      </w:pPr>
    </w:p>
    <w:p w:rsidR="00000000" w:rsidRDefault="00740DCE">
      <w:pPr>
        <w:rPr>
          <w:lang/>
        </w:rPr>
      </w:pPr>
      <w:r>
        <w:rPr>
          <w:lang/>
        </w:rPr>
        <w:tab/>
        <w:t xml:space="preserve"> </w:t>
      </w:r>
    </w:p>
    <w:p w:rsidR="00000000" w:rsidRDefault="00740DCE">
      <w:pPr>
        <w:rPr>
          <w:lang/>
        </w:rPr>
      </w:pPr>
    </w:p>
    <w:p w:rsidR="00000000" w:rsidRDefault="00740DCE">
      <w:pPr>
        <w:rPr>
          <w:lang/>
        </w:rPr>
      </w:pPr>
    </w:p>
    <w:p w:rsidR="00000000" w:rsidRDefault="00740DCE">
      <w:pPr>
        <w:rPr>
          <w:lang/>
        </w:rPr>
      </w:pPr>
    </w:p>
    <w:p w:rsidR="00000000" w:rsidRDefault="00740DCE">
      <w:pPr>
        <w:rPr>
          <w:lang/>
        </w:rPr>
      </w:pPr>
    </w:p>
    <w:p w:rsidR="00000000" w:rsidRDefault="00740DCE">
      <w:pPr>
        <w:rPr>
          <w:lang w:val="en-US"/>
        </w:rPr>
      </w:pPr>
    </w:p>
    <w:p w:rsidR="00000000" w:rsidRDefault="00740DCE">
      <w:pPr>
        <w:pageBreakBefore/>
        <w:rPr>
          <w:lang w:val="en-US"/>
        </w:rPr>
      </w:pPr>
    </w:p>
    <w:p w:rsidR="00000000" w:rsidRDefault="00740DCE"/>
    <w:p w:rsidR="00000000" w:rsidRDefault="00740DCE"/>
    <w:p w:rsidR="00000000" w:rsidRDefault="00740DCE">
      <w:pPr>
        <w:rPr>
          <w:sz w:val="48"/>
          <w:szCs w:val="24"/>
        </w:rPr>
      </w:pPr>
    </w:p>
    <w:p w:rsidR="00000000" w:rsidRDefault="00740DCE">
      <w:pPr>
        <w:rPr>
          <w:sz w:val="48"/>
          <w:szCs w:val="24"/>
        </w:rPr>
      </w:pPr>
    </w:p>
    <w:p w:rsidR="00000000" w:rsidRDefault="00740DCE">
      <w:pPr>
        <w:rPr>
          <w:sz w:val="48"/>
          <w:szCs w:val="24"/>
        </w:rPr>
      </w:pPr>
    </w:p>
    <w:p w:rsidR="00000000" w:rsidRDefault="00740DCE">
      <w:pPr>
        <w:rPr>
          <w:sz w:val="48"/>
          <w:szCs w:val="24"/>
        </w:rPr>
      </w:pPr>
    </w:p>
    <w:p w:rsidR="00000000" w:rsidRDefault="00740DCE">
      <w:pPr>
        <w:rPr>
          <w:sz w:val="48"/>
          <w:szCs w:val="24"/>
        </w:rPr>
      </w:pPr>
    </w:p>
    <w:p w:rsidR="00000000" w:rsidRDefault="00740DCE">
      <w:pPr>
        <w:rPr>
          <w:sz w:val="48"/>
          <w:szCs w:val="24"/>
        </w:rPr>
      </w:pPr>
    </w:p>
    <w:p w:rsidR="00000000" w:rsidRDefault="00740DCE"/>
    <w:sectPr w:rsidR="00000000">
      <w:footerReference w:type="default" r:id="rId12"/>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740DCE">
      <w:pPr>
        <w:spacing w:line="240" w:lineRule="auto"/>
      </w:pPr>
      <w:r>
        <w:separator/>
      </w:r>
    </w:p>
  </w:endnote>
  <w:endnote w:type="continuationSeparator" w:id="0">
    <w:p w:rsidR="00000000" w:rsidRDefault="00740D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 w:name="open sansregular">
    <w:altName w:val="Yu Gothic"/>
    <w:panose1 w:val="020B0604020202020204"/>
    <w:charset w:val="80"/>
    <w:family w:val="auto"/>
    <w:pitch w:val="default"/>
  </w:font>
  <w:font w:name="open_sansregular">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depagin"/>
      </w:rPr>
      <w:id w:val="933942938"/>
      <w:docPartObj>
        <w:docPartGallery w:val="Page Numbers (Bottom of Page)"/>
        <w:docPartUnique/>
      </w:docPartObj>
    </w:sdtPr>
    <w:sdtContent>
      <w:p w:rsidR="000B20AB" w:rsidRDefault="000B20AB" w:rsidP="00AC3250">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2</w:t>
        </w:r>
        <w:r>
          <w:rPr>
            <w:rStyle w:val="Numrdepagin"/>
          </w:rPr>
          <w:fldChar w:fldCharType="end"/>
        </w:r>
      </w:p>
    </w:sdtContent>
  </w:sdt>
  <w:p w:rsidR="000B20AB" w:rsidRDefault="000B20AB" w:rsidP="000B20AB">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depagin"/>
      </w:rPr>
      <w:id w:val="-1410456887"/>
      <w:docPartObj>
        <w:docPartGallery w:val="Page Numbers (Bottom of Page)"/>
        <w:docPartUnique/>
      </w:docPartObj>
    </w:sdtPr>
    <w:sdtContent>
      <w:p w:rsidR="00AC3250" w:rsidRDefault="00AC3250" w:rsidP="00B62BAD">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3</w:t>
        </w:r>
        <w:r>
          <w:rPr>
            <w:rStyle w:val="Numrdepagin"/>
          </w:rPr>
          <w:fldChar w:fldCharType="end"/>
        </w:r>
      </w:p>
    </w:sdtContent>
  </w:sdt>
  <w:p w:rsidR="00D17DCD" w:rsidRDefault="002573B2" w:rsidP="000B20AB">
    <w:pPr>
      <w:pStyle w:val="Subsol"/>
      <w:ind w:right="360"/>
    </w:pPr>
    <w:r>
      <w:t xml:space="preserve">Student name :Madalina </w:t>
    </w:r>
    <w:proofErr w:type="spellStart"/>
    <w:r>
      <w:t>Sorina</w:t>
    </w:r>
    <w:proofErr w:type="spellEnd"/>
    <w:r>
      <w:t xml:space="preserve"> Petre</w:t>
    </w:r>
  </w:p>
  <w:p w:rsidR="002573B2" w:rsidRDefault="002573B2">
    <w:pPr>
      <w:pStyle w:val="Subsol"/>
    </w:pPr>
    <w:r>
      <w:t>Student number</w:t>
    </w:r>
    <w:r w:rsidR="00390541">
      <w:t>: 1808352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740DCE">
    <w:pPr>
      <w:pStyle w:val="Subsol"/>
      <w:jc w:val="center"/>
    </w:pPr>
    <w:r>
      <w:fldChar w:fldCharType="begin"/>
    </w:r>
    <w:r>
      <w:instrText xml:space="preserve"> PAGE </w:instrText>
    </w:r>
    <w:r>
      <w:fldChar w:fldCharType="separate"/>
    </w:r>
    <w:r>
      <w:t>11</w:t>
    </w:r>
    <w:r>
      <w:fldChar w:fldCharType="end"/>
    </w:r>
  </w:p>
  <w:p w:rsidR="00000000" w:rsidRDefault="00740DC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740DCE">
      <w:pPr>
        <w:spacing w:line="240" w:lineRule="auto"/>
      </w:pPr>
      <w:r>
        <w:separator/>
      </w:r>
    </w:p>
  </w:footnote>
  <w:footnote w:type="continuationSeparator" w:id="0">
    <w:p w:rsidR="00000000" w:rsidRDefault="00740DC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depagin"/>
      </w:rPr>
      <w:id w:val="1707295357"/>
      <w:docPartObj>
        <w:docPartGallery w:val="Page Numbers (Top of Page)"/>
        <w:docPartUnique/>
      </w:docPartObj>
    </w:sdtPr>
    <w:sdtContent>
      <w:p w:rsidR="000B20AB" w:rsidRDefault="000B20AB" w:rsidP="00B62BAD">
        <w:pPr>
          <w:pStyle w:val="Antet"/>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rsidR="002957FD" w:rsidRDefault="002957FD" w:rsidP="000B20AB">
    <w:pPr>
      <w:pStyle w:val="Antet"/>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57FD" w:rsidRDefault="00390541" w:rsidP="000B20AB">
    <w:pPr>
      <w:pStyle w:val="Antet"/>
      <w:ind w:right="360"/>
    </w:pPr>
    <w:r>
      <w:t xml:space="preserve">                                       </w:t>
    </w:r>
    <w:r w:rsidR="00D17DCD">
      <w:t>Ps</w:t>
    </w:r>
    <w:r w:rsidR="00D861B2">
      <w:t>ychology</w:t>
    </w:r>
    <w:r w:rsidR="00D17DCD">
      <w:t xml:space="preserve"> for health and Social care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57FD" w:rsidRDefault="002957FD">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formatting="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7FD"/>
    <w:rsid w:val="000B20AB"/>
    <w:rsid w:val="00200AF0"/>
    <w:rsid w:val="00252221"/>
    <w:rsid w:val="002573B2"/>
    <w:rsid w:val="00265F1D"/>
    <w:rsid w:val="002957FD"/>
    <w:rsid w:val="002C365E"/>
    <w:rsid w:val="00390541"/>
    <w:rsid w:val="003C7571"/>
    <w:rsid w:val="005E6A52"/>
    <w:rsid w:val="00653335"/>
    <w:rsid w:val="007405A3"/>
    <w:rsid w:val="00740DCE"/>
    <w:rsid w:val="007579BE"/>
    <w:rsid w:val="00885005"/>
    <w:rsid w:val="00AC3250"/>
    <w:rsid w:val="00B00726"/>
    <w:rsid w:val="00D17DCD"/>
    <w:rsid w:val="00D861B2"/>
    <w:rsid w:val="00DB73F1"/>
    <w:rsid w:val="00F3318E"/>
    <w:rsid w:val="00F6448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11E381B7"/>
  <w15:chartTrackingRefBased/>
  <w15:docId w15:val="{AFCEF3A4-8FC3-3A46-9414-B7FC6C851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Titlu1">
    <w:name w:val="heading 1"/>
    <w:basedOn w:val="Normal"/>
    <w:next w:val="Normal"/>
    <w:qFormat/>
    <w:pPr>
      <w:keepNext/>
      <w:keepLines/>
      <w:numPr>
        <w:numId w:val="1"/>
      </w:numPr>
      <w:outlineLvl w:val="0"/>
    </w:pPr>
    <w:rPr>
      <w:rFonts w:eastAsia="Times New Roman"/>
      <w:b/>
      <w:bCs/>
      <w:color w:val="000000"/>
      <w:sz w:val="28"/>
      <w:szCs w:val="28"/>
    </w:rPr>
  </w:style>
  <w:style w:type="paragraph" w:styleId="Titlu2">
    <w:name w:val="heading 2"/>
    <w:basedOn w:val="Normal"/>
    <w:next w:val="Normal"/>
    <w:qFormat/>
    <w:pPr>
      <w:keepNext/>
      <w:keepLines/>
      <w:numPr>
        <w:ilvl w:val="1"/>
        <w:numId w:val="1"/>
      </w:numPr>
      <w:outlineLvl w:val="1"/>
    </w:pPr>
    <w:rPr>
      <w:rFonts w:eastAsia="Times New Roman"/>
      <w:bCs/>
      <w:color w:val="000000"/>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DefaultParagraphFont">
    <w:name w:val="Default Paragraph Font"/>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lang/>
    </w:rPr>
  </w:style>
  <w:style w:type="character" w:styleId="Accentuat">
    <w:name w:val="Emphasis"/>
    <w:qFormat/>
    <w:rPr>
      <w:i/>
      <w:iCs/>
    </w:rPr>
  </w:style>
  <w:style w:type="character" w:customStyle="1" w:styleId="IndexLink">
    <w:name w:val="Index Link"/>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rPr>
      <w:color w:val="000000"/>
    </w:rPr>
  </w:style>
  <w:style w:type="paragraph" w:styleId="List">
    <w:name w:val="List"/>
    <w:basedOn w:val="Corptext"/>
    <w:rPr>
      <w:rFonts w:cs="DejaVu Sans"/>
    </w:rPr>
  </w:style>
  <w:style w:type="paragraph" w:customStyle="1" w:styleId="Caption">
    <w:name w:val="Caption"/>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TOCHeading">
    <w:name w:val="TOC Heading"/>
    <w:basedOn w:val="Titlu1"/>
    <w:next w:val="Normal"/>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Cuprins1">
    <w:name w:val="toc 1"/>
    <w:basedOn w:val="Normal"/>
    <w:next w:val="Normal"/>
  </w:style>
  <w:style w:type="paragraph" w:customStyle="1" w:styleId="TableContents">
    <w:name w:val="Table Contents"/>
    <w:basedOn w:val="Normal"/>
    <w:pPr>
      <w:suppressLineNumbers/>
    </w:pPr>
    <w:rPr>
      <w:rFonts w:eastAsia="Times New Roman"/>
    </w:rPr>
  </w:style>
  <w:style w:type="paragraph" w:styleId="Cuprins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character" w:styleId="Numrdepagin">
    <w:name w:val="page number"/>
    <w:basedOn w:val="Fontdeparagrafimplicit"/>
    <w:uiPriority w:val="99"/>
    <w:semiHidden/>
    <w:unhideWhenUsed/>
    <w:rsid w:val="000B2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2141</Words>
  <Characters>12418</Characters>
  <Application>Microsoft Office Word</Application>
  <DocSecurity>0</DocSecurity>
  <Lines>103</Lines>
  <Paragraphs>29</Paragraphs>
  <ScaleCrop>false</ScaleCrop>
  <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Madalina Petre (1808352)</cp:lastModifiedBy>
  <cp:revision>2</cp:revision>
  <cp:lastPrinted>1601-01-01T00:00:00Z</cp:lastPrinted>
  <dcterms:created xsi:type="dcterms:W3CDTF">2019-09-06T07:12:00Z</dcterms:created>
  <dcterms:modified xsi:type="dcterms:W3CDTF">2019-09-06T07:12:00Z</dcterms:modified>
</cp:coreProperties>
</file>