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454090479"/>
        <w:docPartObj>
          <w:docPartGallery w:val="Cover Pages"/>
          <w:docPartUnique/>
        </w:docPartObj>
      </w:sdtPr>
      <w:sdtEndPr>
        <w:rPr>
          <w:rFonts w:ascii="Arial" w:hAnsi="Arial" w:cs="Arial"/>
        </w:rPr>
      </w:sdtEndPr>
      <w:sdtContent>
        <w:p w14:paraId="4AF05B86" w14:textId="217D080C" w:rsidR="00D736DC" w:rsidRDefault="00D736DC"/>
        <w:p w14:paraId="4BA07929" w14:textId="4E8DC526" w:rsidR="00D736DC" w:rsidRDefault="00D736DC">
          <w:pPr>
            <w:rPr>
              <w:rFonts w:ascii="Arial" w:hAnsi="Arial" w:cs="Arial"/>
            </w:rPr>
          </w:pPr>
          <w:r>
            <w:rPr>
              <w:noProof/>
            </w:rPr>
            <mc:AlternateContent>
              <mc:Choice Requires="wps">
                <w:drawing>
                  <wp:anchor distT="0" distB="0" distL="182880" distR="182880" simplePos="0" relativeHeight="251660288" behindDoc="0" locked="0" layoutInCell="1" allowOverlap="1" wp14:anchorId="06F5D8A4" wp14:editId="2084BE89">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2858AE" w14:textId="2264514C" w:rsidR="00D736DC" w:rsidRDefault="00D736DC">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Causation</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57DF0318" w14:textId="647071C2" w:rsidR="00D736DC" w:rsidRDefault="00D736DC">
                                    <w:pPr>
                                      <w:pStyle w:val="NoSpacing"/>
                                      <w:spacing w:before="40" w:after="40"/>
                                      <w:rPr>
                                        <w:caps/>
                                        <w:color w:val="1F4E79" w:themeColor="accent5" w:themeShade="80"/>
                                        <w:sz w:val="28"/>
                                        <w:szCs w:val="28"/>
                                      </w:rPr>
                                    </w:pPr>
                                    <w:r>
                                      <w:rPr>
                                        <w:caps/>
                                        <w:color w:val="1F4E79" w:themeColor="accent5" w:themeShade="80"/>
                                        <w:sz w:val="28"/>
                                        <w:szCs w:val="28"/>
                                      </w:rPr>
                                      <w:t>230605</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2186A189" w14:textId="5E12CBF5" w:rsidR="00D736DC" w:rsidRDefault="00D736DC">
                                    <w:pPr>
                                      <w:pStyle w:val="NoSpacing"/>
                                      <w:spacing w:before="80" w:after="40"/>
                                      <w:rPr>
                                        <w:caps/>
                                        <w:color w:val="5B9BD5" w:themeColor="accent5"/>
                                        <w:sz w:val="24"/>
                                        <w:szCs w:val="24"/>
                                      </w:rPr>
                                    </w:pPr>
                                    <w:r>
                                      <w:rPr>
                                        <w:caps/>
                                        <w:color w:val="5B9BD5" w:themeColor="accent5"/>
                                        <w:sz w:val="24"/>
                                        <w:szCs w:val="24"/>
                                      </w:rPr>
                                      <w:t>Shannon Davies</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06F5D8A4"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652858AE" w14:textId="2264514C" w:rsidR="00D736DC" w:rsidRDefault="00D736DC">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Causation</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57DF0318" w14:textId="647071C2" w:rsidR="00D736DC" w:rsidRDefault="00D736DC">
                              <w:pPr>
                                <w:pStyle w:val="NoSpacing"/>
                                <w:spacing w:before="40" w:after="40"/>
                                <w:rPr>
                                  <w:caps/>
                                  <w:color w:val="1F4E79" w:themeColor="accent5" w:themeShade="80"/>
                                  <w:sz w:val="28"/>
                                  <w:szCs w:val="28"/>
                                </w:rPr>
                              </w:pPr>
                              <w:r>
                                <w:rPr>
                                  <w:caps/>
                                  <w:color w:val="1F4E79" w:themeColor="accent5" w:themeShade="80"/>
                                  <w:sz w:val="28"/>
                                  <w:szCs w:val="28"/>
                                </w:rPr>
                                <w:t>230605</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2186A189" w14:textId="5E12CBF5" w:rsidR="00D736DC" w:rsidRDefault="00D736DC">
                              <w:pPr>
                                <w:pStyle w:val="NoSpacing"/>
                                <w:spacing w:before="80" w:after="40"/>
                                <w:rPr>
                                  <w:caps/>
                                  <w:color w:val="5B9BD5" w:themeColor="accent5"/>
                                  <w:sz w:val="24"/>
                                  <w:szCs w:val="24"/>
                                </w:rPr>
                              </w:pPr>
                              <w:r>
                                <w:rPr>
                                  <w:caps/>
                                  <w:color w:val="5B9BD5" w:themeColor="accent5"/>
                                  <w:sz w:val="24"/>
                                  <w:szCs w:val="24"/>
                                </w:rPr>
                                <w:t>Shannon Davies</w:t>
                              </w:r>
                            </w:p>
                          </w:sdtContent>
                        </w:sdt>
                      </w:txbxContent>
                    </v:textbox>
                    <w10:wrap type="square" anchorx="margin" anchory="page"/>
                  </v:shape>
                </w:pict>
              </mc:Fallback>
            </mc:AlternateContent>
          </w:r>
          <w:r>
            <w:rPr>
              <w:rFonts w:ascii="Arial" w:hAnsi="Arial" w:cs="Arial"/>
            </w:rPr>
            <w:br w:type="page"/>
          </w:r>
        </w:p>
      </w:sdtContent>
    </w:sdt>
    <w:p w14:paraId="78BAE023" w14:textId="104F41EA" w:rsidR="00D736DC" w:rsidRPr="00D736DC" w:rsidRDefault="00D736DC" w:rsidP="00D736DC">
      <w:pPr>
        <w:spacing w:line="360" w:lineRule="auto"/>
        <w:rPr>
          <w:rFonts w:ascii="Arial" w:hAnsi="Arial" w:cs="Arial"/>
        </w:rPr>
      </w:pPr>
      <w:r w:rsidRPr="00D736DC">
        <w:rPr>
          <w:rFonts w:ascii="Arial" w:hAnsi="Arial" w:cs="Arial"/>
        </w:rPr>
        <w:lastRenderedPageBreak/>
        <w:t xml:space="preserve">Duty of care is a fundamental cornerstone of tort </w:t>
      </w:r>
      <w:proofErr w:type="spellStart"/>
      <w:r w:rsidRPr="00D736DC">
        <w:rPr>
          <w:rFonts w:ascii="Arial" w:hAnsi="Arial" w:cs="Arial"/>
        </w:rPr>
        <w:t>law.</w:t>
      </w:r>
      <w:proofErr w:type="spellEnd"/>
      <w:r w:rsidRPr="00D736DC">
        <w:rPr>
          <w:rFonts w:ascii="Arial" w:hAnsi="Arial" w:cs="Arial"/>
        </w:rPr>
        <w:t xml:space="preserve"> It is vital to ensure individuals are held accountable for their actions when they result in causing others harm; when a breach of duty of care occurs, establishing causation is the next step; this is essential in determining whether the defendant holds legal liability. The essay will foremost discuss how duty of care is established before moving on to distinguishing the difference between factual and legal causation, then critically evaluating the tests for causation, focusing on the but for test and the thin skull rule and analysing the implications and practicality of these tests, then discussing potential reform options to address their limitations before culminating in a brief conclusion.</w:t>
      </w:r>
    </w:p>
    <w:p w14:paraId="34358657" w14:textId="77777777" w:rsidR="00D736DC" w:rsidRPr="00D736DC" w:rsidRDefault="00D736DC" w:rsidP="00D736DC">
      <w:pPr>
        <w:spacing w:line="360" w:lineRule="auto"/>
        <w:rPr>
          <w:rFonts w:ascii="Arial" w:hAnsi="Arial" w:cs="Arial"/>
        </w:rPr>
      </w:pPr>
      <w:r w:rsidRPr="00D736DC">
        <w:rPr>
          <w:rFonts w:ascii="Arial" w:hAnsi="Arial" w:cs="Arial"/>
        </w:rPr>
        <w:t>The definition of duty of care was first established in ‘Donoghue v Stevenson’ (1982); Lord Atkin presented the neighbour principle, which formed the framework to determine whether a duty of care prevails. This framework tests whether it was foreseeable that the victim would be harmed and whether there was sufficient proximity between the individuals. Lord Atkin defined the term neighbours as individuals who can directly and closely face the implications of their actions. This case affirms that individuals should avoid acts or omissions that could injure others, and it closely applies to the context of product liability. In closer proximity to the present day, the ‘Caparo Industries plc v Dickman’ (1990) case added a third aspect to the test and produced a broader framework, which was the need to be fair, just and reasonable to mandate a duty of care; however, the concept of fairness is perceptual and may lead to decisions being discrepant.</w:t>
      </w:r>
    </w:p>
    <w:p w14:paraId="046F998A" w14:textId="77777777" w:rsidR="00D736DC" w:rsidRPr="00D736DC" w:rsidRDefault="00D736DC" w:rsidP="00D736DC">
      <w:pPr>
        <w:spacing w:line="360" w:lineRule="auto"/>
        <w:rPr>
          <w:rFonts w:ascii="Arial" w:hAnsi="Arial" w:cs="Arial"/>
        </w:rPr>
      </w:pPr>
      <w:r w:rsidRPr="00D736DC">
        <w:rPr>
          <w:rFonts w:ascii="Arial" w:hAnsi="Arial" w:cs="Arial"/>
        </w:rPr>
        <w:t xml:space="preserve">A breach in duty of care occurs when an individual fails to meet the standard of care required of them; in the case of ‘Blyth v Birmingham Waterworks Co’ (1856), the ‘reasonable person’ test was rendered; this test is to establish negligence and compares the defendant to a hypothetical individual with average skills, knowledge and judgement and what they would do in the same scenario if the defendant actions failed to meet the standards expected of a reasonable person it would be negligence and considered a breach. It is important to note that professionals have a high duty of care; for instance, a doctor would be held to the standards of another doctor. Professionals have specialised knowledge, unlike standard people, so it would not be reasonable to compare them to someone with significantly less knowledge. This is known as the Bolam test, which the ‘Bolam v Friern Committee’ (1957) formed. The foreseeability of harm is another factor that’s considered to determine whether a breach has occurred; in ‘Kent v Griffiths’ (2000), it was established that the defendant must take steps to mitigate harm from occurring; in this instance, an ambulance was called, but the ambulance service had a delayed response to the call, the risk of harm was deemed foreseeable, and the ambulance service was held responsible for not taking precautions to mitigate the risk. </w:t>
      </w:r>
    </w:p>
    <w:p w14:paraId="4862061E" w14:textId="77777777" w:rsidR="00D736DC" w:rsidRPr="00D736DC" w:rsidRDefault="00D736DC" w:rsidP="00D736DC">
      <w:pPr>
        <w:spacing w:line="360" w:lineRule="auto"/>
        <w:rPr>
          <w:rFonts w:ascii="Arial" w:hAnsi="Arial" w:cs="Arial"/>
        </w:rPr>
      </w:pPr>
      <w:r w:rsidRPr="00D736DC">
        <w:rPr>
          <w:rFonts w:ascii="Arial" w:hAnsi="Arial" w:cs="Arial"/>
        </w:rPr>
        <w:lastRenderedPageBreak/>
        <w:t xml:space="preserve">Next, causation correlates the defendant's breach of duty of care to the claimant's harm; two types of causation need to be established to necessitate this: factual causation and legal causation. Factual causation is that the defendant's actions did cause the damage (Butterworths Personal Injury Litigation Service, No date). In contrast, legal causation is when the defendant's act is a substantial cause of the harm but does not have to be the only thing linked to the result (Nkrumah, M., 2008). The case of ‘The Wagon Mound, No.2’ (1966) highlights the difference between legal and factual causation; factual causation was clear and established due to the defendant's action (spilling oil) being the direct cause of harm, but legal causation could not be established due to the oil being ignited not being foreseeable by a reasonable person. While physical links to harm are governed by factual causation, legal causation adds an element of fairness, so not every improbable occurrence counts as a liability. However, some may argue that the term reasonable person can be subject to judicial interpretation, resulting in different outcomes in similar cases. </w:t>
      </w:r>
    </w:p>
    <w:p w14:paraId="73919592" w14:textId="77777777" w:rsidR="00D736DC" w:rsidRPr="00D736DC" w:rsidRDefault="00D736DC" w:rsidP="00D736DC">
      <w:pPr>
        <w:spacing w:line="360" w:lineRule="auto"/>
        <w:rPr>
          <w:rFonts w:ascii="Arial" w:hAnsi="Arial" w:cs="Arial"/>
        </w:rPr>
      </w:pPr>
      <w:r w:rsidRPr="00D736DC">
        <w:rPr>
          <w:rFonts w:ascii="Arial" w:hAnsi="Arial" w:cs="Arial"/>
        </w:rPr>
        <w:t>The prima facie test in factual causation is the ‘but for’ test; according to Tettenborn, A and Wilby, D (2010), the test poses a fundamental question: if the defendant did not commit the breach, would the harm occur? If the harm would not occur, causation would be established. The ‘but for’ test was implemented in the ‘Barnett v Chelsea and Kensington Hospital Management Committee’ (1969); the hospital failed to provide treatment, but due to the patient having arsenic poisoning, which is fatal regardless of medical treatment, the hospital was not deemed responsible for their death and the ‘but for’ test was not satisfied.</w:t>
      </w:r>
    </w:p>
    <w:p w14:paraId="3323F8BA" w14:textId="77777777" w:rsidR="00D736DC" w:rsidRPr="00D736DC" w:rsidRDefault="00D736DC" w:rsidP="00D736DC">
      <w:pPr>
        <w:spacing w:line="360" w:lineRule="auto"/>
        <w:rPr>
          <w:rFonts w:ascii="Arial" w:hAnsi="Arial" w:cs="Arial"/>
        </w:rPr>
      </w:pPr>
      <w:r w:rsidRPr="00D736DC">
        <w:rPr>
          <w:rFonts w:ascii="Arial" w:hAnsi="Arial" w:cs="Arial"/>
        </w:rPr>
        <w:t xml:space="preserve">There are multiple potential implications of the 'but for' test, for instance, when numerous factors contribute to harm or if there is uncertainty that the defendant's actions were the sole cause. One case that illustrates this is  ‘Cork v Kirby MacLean Ltd’ (1952); this case demonstrates the limitations of the test due to the difficulty in establishing causation due to the claimant's actions; the claimant had epilepsy but had not disclosed this to his employer, although he was at a significant height without guard rails, this presented the challenge of if the claimant did not have a seizure would he of fell as the claimant's injury was not based solely on the defendant's actions, the case highlights how the test may not be readily applicable in complexed circumstances where there are numerous contributing factors, as there is no certainty as an individual cannot predict if the claimant did not have a seizure whether he would have fallen. </w:t>
      </w:r>
    </w:p>
    <w:p w14:paraId="0609C6A0" w14:textId="77777777" w:rsidR="00D736DC" w:rsidRPr="00D736DC" w:rsidRDefault="00D736DC" w:rsidP="00D736DC">
      <w:pPr>
        <w:spacing w:line="360" w:lineRule="auto"/>
        <w:rPr>
          <w:rFonts w:ascii="Arial" w:hAnsi="Arial" w:cs="Arial"/>
        </w:rPr>
      </w:pPr>
      <w:r w:rsidRPr="00D736DC">
        <w:rPr>
          <w:rFonts w:ascii="Arial" w:hAnsi="Arial" w:cs="Arial"/>
        </w:rPr>
        <w:t xml:space="preserve">Another example of the limitations of the ‘but for’ test is ‘Wilsher v Essex Ares Health Authority’ (1988).  A baby was born prematurely; the baby required oxygen to survive, but due to a junior doctor giving the baby too much oxygen, the baby eventually became blind. There were multiple causes of the blindness; being born prematurely could have been a </w:t>
      </w:r>
      <w:r w:rsidRPr="00D736DC">
        <w:rPr>
          <w:rFonts w:ascii="Arial" w:hAnsi="Arial" w:cs="Arial"/>
        </w:rPr>
        <w:lastRenderedPageBreak/>
        <w:t xml:space="preserve">reason without the negligence occurring. As a result, the court struggled as it was not clear that if the hospital had not administered too much oxygen, the blindness would not have occurred; despite it being a potential result of the hospital, the court was not satisfied due to the uncertainty. On the other hand, it is fair to presume that if the court compensated the claimant, it could encourage a compensation culture as they were uncertain of the cause of the blindness. </w:t>
      </w:r>
    </w:p>
    <w:p w14:paraId="40158D71" w14:textId="77777777" w:rsidR="00D736DC" w:rsidRPr="00D736DC" w:rsidRDefault="00D736DC" w:rsidP="00D736DC">
      <w:pPr>
        <w:spacing w:line="360" w:lineRule="auto"/>
        <w:rPr>
          <w:rFonts w:ascii="Arial" w:hAnsi="Arial" w:cs="Arial"/>
        </w:rPr>
      </w:pPr>
      <w:r w:rsidRPr="00D736DC">
        <w:rPr>
          <w:rFonts w:ascii="Arial" w:hAnsi="Arial" w:cs="Arial"/>
        </w:rPr>
        <w:t xml:space="preserve">When addressing reform, both cases could have benefited from the ‘material contribution test’ as opposed to the ‘but for’ test introduced in the ‘Bonnington Castings Ltd v Wardlow’ (1956) case; the claimant did not have to prove that the defendant was the sole cause of harm, but had to demonstrate that their actions contributed to the harm, this test could be used in cases that contain multiple causes that may have contributed to the harm if the defendants actioned still had a significant factor in causing harm to address the limitations of the ‘but for’ test. </w:t>
      </w:r>
      <w:proofErr w:type="spellStart"/>
      <w:r w:rsidRPr="00D736DC">
        <w:rPr>
          <w:rFonts w:ascii="Arial" w:hAnsi="Arial" w:cs="Arial"/>
        </w:rPr>
        <w:t>Mcivor</w:t>
      </w:r>
      <w:proofErr w:type="spellEnd"/>
      <w:r w:rsidRPr="00D736DC">
        <w:rPr>
          <w:rFonts w:ascii="Arial" w:hAnsi="Arial" w:cs="Arial"/>
        </w:rPr>
        <w:t xml:space="preserve">, C. (2013) states that the material contribution test does not demand any evidence between the harm done and the actual breach of the duty of care; this could encourage more individuals to make a claim, which means that individuals who have been affected can gain compensation more readily, but the adverse side is that individuals merely claiming compensation because they would like more finances can likewise claim more comfortably. </w:t>
      </w:r>
    </w:p>
    <w:p w14:paraId="15DFED10" w14:textId="77777777" w:rsidR="00D736DC" w:rsidRPr="00D736DC" w:rsidRDefault="00D736DC" w:rsidP="00D736DC">
      <w:pPr>
        <w:spacing w:line="360" w:lineRule="auto"/>
        <w:rPr>
          <w:rFonts w:ascii="Arial" w:hAnsi="Arial" w:cs="Arial"/>
        </w:rPr>
      </w:pPr>
      <w:r w:rsidRPr="00D736DC">
        <w:rPr>
          <w:rFonts w:ascii="Arial" w:hAnsi="Arial" w:cs="Arial"/>
        </w:rPr>
        <w:t xml:space="preserve">The primary test in legal causation is the thin skull rule, Oliphant. K </w:t>
      </w:r>
      <w:r w:rsidRPr="00D736DC">
        <w:rPr>
          <w:rFonts w:ascii="Arial" w:hAnsi="Arial" w:cs="Arial"/>
          <w:i/>
          <w:iCs/>
        </w:rPr>
        <w:t>et al.</w:t>
      </w:r>
      <w:r w:rsidRPr="00D736DC">
        <w:rPr>
          <w:rFonts w:ascii="Arial" w:hAnsi="Arial" w:cs="Arial"/>
        </w:rPr>
        <w:t xml:space="preserve"> (2007) state that this rule means that the defendant must take the victim as he is found; this means no matter the degree of harm that's inflicted on the victim and whether it is unusual it is still the defendant's fault as it is a result of his omissions regardless of pre-existing medical issues or factors of old age. A critical case that displays this rule is ‘Smith v Leech Brain &amp; Co’ (1962). The defendant employed the claimant, and he suffered a burn on his lip; this then triggered a cancerous condition he already had, resulting in the claimant's death; the court held the defendant responsible for the death of the claimant despite it not being foreseeable and the claimant's vulnerability. This protects vulnerable individuals from harm and safeguards; however, the claimant getting a burn and dying could never have been anticipated, and the level of liability seems excessive compared to the level of negligence; this rule seems harsh regarding the defendant as it conflicts with the foreseeability principle. </w:t>
      </w:r>
    </w:p>
    <w:p w14:paraId="4A963D74" w14:textId="77777777" w:rsidR="00D736DC" w:rsidRPr="00D736DC" w:rsidRDefault="00D736DC" w:rsidP="00D736DC">
      <w:pPr>
        <w:spacing w:line="360" w:lineRule="auto"/>
        <w:rPr>
          <w:rFonts w:ascii="Arial" w:hAnsi="Arial" w:cs="Arial"/>
        </w:rPr>
      </w:pPr>
      <w:r w:rsidRPr="00D736DC">
        <w:rPr>
          <w:rFonts w:ascii="Arial" w:hAnsi="Arial" w:cs="Arial"/>
        </w:rPr>
        <w:t xml:space="preserve">The thin skull rule applies to psychiatric injuries, and Bennet, D. and Cotter. B (2019) highlights that it applies to recognised psychiatric conditions, for instance, post-traumatic stress disorder, clinical shock and extreme pathological grief; however, it does not apply to distress or fear alone. A case that illustrates this is ‘Page v Smith’ (1996); the judgement concluded that if any type of injury is foreseeable, whether their action results in psychiatric </w:t>
      </w:r>
      <w:r w:rsidRPr="00D736DC">
        <w:rPr>
          <w:rFonts w:ascii="Arial" w:hAnsi="Arial" w:cs="Arial"/>
        </w:rPr>
        <w:lastRenderedPageBreak/>
        <w:t xml:space="preserve">harm or physical injury does not matter; in this case, the claimant already has a mental health condition, so the question arises of was the defendants solely responsible for this? However, this does not matter when applying the thin skull rule. This can be seen as protecting psychologically vulnerable victims, but psychiatric conditions cannot be seen, unlike physical conditions; this could mean a defendant could trigger something unknowingly as someone who has a mental health condition could be affected a lot more than an average person, it presents the challenge as its difficult to perceive when someone's mental health could be affected, one way to combat this and balance fairness and safeguarding could be to set limitations so the rule can only be utilised if the injuries were foreseeable. The thin skull rule could encourage psychiatric claims as claimants could exaggerate their condition in hopes of receiving compensation. </w:t>
      </w:r>
    </w:p>
    <w:p w14:paraId="00C05F4A" w14:textId="77777777" w:rsidR="00D736DC" w:rsidRPr="00D736DC" w:rsidRDefault="00D736DC" w:rsidP="00D736DC">
      <w:pPr>
        <w:spacing w:line="360" w:lineRule="auto"/>
        <w:rPr>
          <w:rFonts w:ascii="Arial" w:hAnsi="Arial" w:cs="Arial"/>
        </w:rPr>
      </w:pPr>
      <w:r w:rsidRPr="00D736DC">
        <w:rPr>
          <w:rFonts w:ascii="Arial" w:hAnsi="Arial" w:cs="Arial"/>
        </w:rPr>
        <w:t xml:space="preserve">To conclude, the tests for determining causation, specifically, the 'but for' and the thin skull test, have a critical role in establishing legal liability; however, they have impracticalities. The 'but for' test is a test that appears straightforward and asks a clear question but can become ambiguous when applied to scenarios that have multiple causes of harm or when complications occur in ascertaining causation; this was demonstrated </w:t>
      </w:r>
      <w:proofErr w:type="gramStart"/>
      <w:r w:rsidRPr="00D736DC">
        <w:rPr>
          <w:rFonts w:ascii="Arial" w:hAnsi="Arial" w:cs="Arial"/>
        </w:rPr>
        <w:t>through the use of</w:t>
      </w:r>
      <w:proofErr w:type="gramEnd"/>
      <w:r w:rsidRPr="00D736DC">
        <w:rPr>
          <w:rFonts w:ascii="Arial" w:hAnsi="Arial" w:cs="Arial"/>
        </w:rPr>
        <w:t xml:space="preserve"> case law, there are numerous reform suggestions, for instance, utilising the material contribution test more frequently. When discussing the thin skull test, there were numerous advantages, for example, holding the defendant's liability without taking account of the victim's prior conditions or vulnerabilities, which safeguards victims and makes sure they are compensated when experiencing harm induced by others, but on the other hand, can bring a disproportional level of liability in comparison to the level of negligence, which can be unfair and unjust to the victim, concerns were also raised in regards to the application of the rule in cases resulting in psychiatric harm despite this, it does protect individuals who are psychiatrically vulnerable from harm. The thin skull test could benefit from more precise guidelines to protect the claimant and maintain fairness.</w:t>
      </w:r>
    </w:p>
    <w:p w14:paraId="6F144CAF" w14:textId="77777777" w:rsidR="00D736DC" w:rsidRPr="00D736DC" w:rsidRDefault="00D736DC" w:rsidP="00D736DC">
      <w:pPr>
        <w:spacing w:line="360" w:lineRule="auto"/>
        <w:rPr>
          <w:rFonts w:ascii="Arial" w:hAnsi="Arial" w:cs="Arial"/>
        </w:rPr>
      </w:pPr>
    </w:p>
    <w:p w14:paraId="78CEB541" w14:textId="77777777" w:rsidR="00D736DC" w:rsidRPr="00D736DC" w:rsidRDefault="00D736DC" w:rsidP="00D736DC">
      <w:pPr>
        <w:spacing w:line="360" w:lineRule="auto"/>
        <w:rPr>
          <w:rFonts w:ascii="Arial" w:hAnsi="Arial" w:cs="Arial"/>
        </w:rPr>
      </w:pPr>
    </w:p>
    <w:p w14:paraId="2D0C88B5" w14:textId="77777777" w:rsidR="00D736DC" w:rsidRPr="00D736DC" w:rsidRDefault="00D736DC" w:rsidP="00D736DC">
      <w:pPr>
        <w:spacing w:line="360" w:lineRule="auto"/>
        <w:rPr>
          <w:rFonts w:ascii="Arial" w:hAnsi="Arial" w:cs="Arial"/>
        </w:rPr>
      </w:pPr>
    </w:p>
    <w:p w14:paraId="54E5589A" w14:textId="77777777" w:rsidR="00D736DC" w:rsidRPr="00D736DC" w:rsidRDefault="00D736DC" w:rsidP="00D736DC">
      <w:pPr>
        <w:spacing w:line="360" w:lineRule="auto"/>
        <w:rPr>
          <w:rFonts w:ascii="Arial" w:hAnsi="Arial" w:cs="Arial"/>
        </w:rPr>
      </w:pPr>
    </w:p>
    <w:p w14:paraId="7D84E568" w14:textId="77777777" w:rsidR="00D736DC" w:rsidRPr="00D736DC" w:rsidRDefault="00D736DC" w:rsidP="00D736DC">
      <w:pPr>
        <w:spacing w:line="360" w:lineRule="auto"/>
        <w:rPr>
          <w:rFonts w:ascii="Arial" w:hAnsi="Arial" w:cs="Arial"/>
        </w:rPr>
      </w:pPr>
    </w:p>
    <w:p w14:paraId="6E61C256" w14:textId="77777777" w:rsidR="00D736DC" w:rsidRPr="00D736DC" w:rsidRDefault="00D736DC" w:rsidP="00D736DC">
      <w:pPr>
        <w:spacing w:line="360" w:lineRule="auto"/>
        <w:rPr>
          <w:rFonts w:ascii="Arial" w:hAnsi="Arial" w:cs="Arial"/>
        </w:rPr>
      </w:pPr>
    </w:p>
    <w:p w14:paraId="37694B50" w14:textId="77777777" w:rsidR="00D736DC" w:rsidRPr="00D736DC" w:rsidRDefault="00D736DC" w:rsidP="00D736DC">
      <w:pPr>
        <w:spacing w:line="360" w:lineRule="auto"/>
        <w:rPr>
          <w:rFonts w:ascii="Arial" w:hAnsi="Arial" w:cs="Arial"/>
        </w:rPr>
      </w:pPr>
    </w:p>
    <w:p w14:paraId="6955B7A5" w14:textId="77777777" w:rsidR="00D736DC" w:rsidRPr="00D736DC" w:rsidRDefault="00D736DC" w:rsidP="00D736DC">
      <w:pPr>
        <w:spacing w:line="360" w:lineRule="auto"/>
        <w:rPr>
          <w:rFonts w:ascii="Arial" w:hAnsi="Arial" w:cs="Arial"/>
          <w:u w:val="single"/>
        </w:rPr>
      </w:pPr>
      <w:r w:rsidRPr="00D736DC">
        <w:rPr>
          <w:rFonts w:ascii="Arial" w:hAnsi="Arial" w:cs="Arial"/>
          <w:u w:val="single"/>
        </w:rPr>
        <w:lastRenderedPageBreak/>
        <w:t>Cases</w:t>
      </w:r>
    </w:p>
    <w:p w14:paraId="18732FAD" w14:textId="77777777" w:rsidR="00D736DC" w:rsidRPr="00D736DC" w:rsidRDefault="00D736DC" w:rsidP="00D736DC">
      <w:pPr>
        <w:spacing w:line="360" w:lineRule="auto"/>
        <w:rPr>
          <w:rFonts w:ascii="Arial" w:hAnsi="Arial" w:cs="Arial"/>
        </w:rPr>
      </w:pPr>
    </w:p>
    <w:p w14:paraId="15F8C78F" w14:textId="77777777" w:rsidR="00D736DC" w:rsidRPr="00D736DC" w:rsidRDefault="00D736DC" w:rsidP="00D736DC">
      <w:pPr>
        <w:spacing w:line="360" w:lineRule="auto"/>
        <w:rPr>
          <w:rFonts w:ascii="Arial" w:hAnsi="Arial" w:cs="Arial"/>
        </w:rPr>
      </w:pPr>
      <w:r w:rsidRPr="00D736DC">
        <w:rPr>
          <w:rFonts w:ascii="Arial" w:hAnsi="Arial" w:cs="Arial"/>
        </w:rPr>
        <w:t xml:space="preserve">‘Barnett v Chelsea and Kensington Hospital Management Committee’ (1969), </w:t>
      </w:r>
      <w:r w:rsidRPr="00D736DC">
        <w:rPr>
          <w:rFonts w:ascii="Arial" w:hAnsi="Arial" w:cs="Arial"/>
          <w:i/>
          <w:iCs/>
        </w:rPr>
        <w:t>Weekly Law Reports</w:t>
      </w:r>
      <w:r w:rsidRPr="00D736DC">
        <w:rPr>
          <w:rFonts w:ascii="Arial" w:hAnsi="Arial" w:cs="Arial"/>
        </w:rPr>
        <w:t>, 2, 422</w:t>
      </w:r>
    </w:p>
    <w:p w14:paraId="040C65E9" w14:textId="77777777" w:rsidR="00D736DC" w:rsidRPr="00D736DC" w:rsidRDefault="00D736DC" w:rsidP="00D736DC">
      <w:pPr>
        <w:spacing w:line="360" w:lineRule="auto"/>
        <w:rPr>
          <w:rFonts w:ascii="Arial" w:hAnsi="Arial" w:cs="Arial"/>
        </w:rPr>
      </w:pPr>
    </w:p>
    <w:p w14:paraId="6AAE4E85" w14:textId="77777777" w:rsidR="00D736DC" w:rsidRPr="00D736DC" w:rsidRDefault="00D736DC" w:rsidP="00D736DC">
      <w:pPr>
        <w:spacing w:line="360" w:lineRule="auto"/>
        <w:rPr>
          <w:rFonts w:ascii="Arial" w:hAnsi="Arial" w:cs="Arial"/>
        </w:rPr>
      </w:pPr>
      <w:r w:rsidRPr="00D736DC">
        <w:rPr>
          <w:rFonts w:ascii="Arial" w:hAnsi="Arial" w:cs="Arial"/>
        </w:rPr>
        <w:t xml:space="preserve">‘Blyth v Birmingham Waterworks Co’ (1856) </w:t>
      </w:r>
      <w:r w:rsidRPr="00D736DC">
        <w:rPr>
          <w:rFonts w:ascii="Arial" w:hAnsi="Arial" w:cs="Arial"/>
          <w:i/>
          <w:iCs/>
        </w:rPr>
        <w:t>Exchequer reports</w:t>
      </w:r>
      <w:r w:rsidRPr="00D736DC">
        <w:rPr>
          <w:rFonts w:ascii="Arial" w:hAnsi="Arial" w:cs="Arial"/>
        </w:rPr>
        <w:t>, 11, 781</w:t>
      </w:r>
    </w:p>
    <w:p w14:paraId="3C072AF8" w14:textId="77777777" w:rsidR="00D736DC" w:rsidRPr="00D736DC" w:rsidRDefault="00D736DC" w:rsidP="00D736DC">
      <w:pPr>
        <w:spacing w:line="360" w:lineRule="auto"/>
        <w:rPr>
          <w:rFonts w:ascii="Arial" w:hAnsi="Arial" w:cs="Arial"/>
        </w:rPr>
      </w:pPr>
    </w:p>
    <w:p w14:paraId="7A084016" w14:textId="77777777" w:rsidR="00D736DC" w:rsidRPr="00D736DC" w:rsidRDefault="00D736DC" w:rsidP="00D736DC">
      <w:pPr>
        <w:spacing w:line="360" w:lineRule="auto"/>
        <w:rPr>
          <w:rFonts w:ascii="Arial" w:hAnsi="Arial" w:cs="Arial"/>
        </w:rPr>
      </w:pPr>
      <w:r w:rsidRPr="00D736DC">
        <w:rPr>
          <w:rFonts w:ascii="Arial" w:hAnsi="Arial" w:cs="Arial"/>
        </w:rPr>
        <w:t xml:space="preserve">‘Bolam v Friern Committee’ (1957) </w:t>
      </w:r>
      <w:r w:rsidRPr="00D736DC">
        <w:rPr>
          <w:rFonts w:ascii="Arial" w:hAnsi="Arial" w:cs="Arial"/>
          <w:i/>
          <w:iCs/>
        </w:rPr>
        <w:t>Weekly Law Reports</w:t>
      </w:r>
      <w:r w:rsidRPr="00D736DC">
        <w:rPr>
          <w:rFonts w:ascii="Arial" w:hAnsi="Arial" w:cs="Arial"/>
        </w:rPr>
        <w:t>, 158</w:t>
      </w:r>
    </w:p>
    <w:p w14:paraId="298F7D96" w14:textId="77777777" w:rsidR="00D736DC" w:rsidRPr="00D736DC" w:rsidRDefault="00D736DC" w:rsidP="00D736DC">
      <w:pPr>
        <w:spacing w:line="360" w:lineRule="auto"/>
        <w:rPr>
          <w:rFonts w:ascii="Arial" w:hAnsi="Arial" w:cs="Arial"/>
        </w:rPr>
      </w:pPr>
    </w:p>
    <w:p w14:paraId="00D1A50F" w14:textId="77777777" w:rsidR="00D736DC" w:rsidRPr="00D736DC" w:rsidRDefault="00D736DC" w:rsidP="00D736DC">
      <w:pPr>
        <w:spacing w:line="360" w:lineRule="auto"/>
        <w:rPr>
          <w:rFonts w:ascii="Arial" w:hAnsi="Arial" w:cs="Arial"/>
        </w:rPr>
      </w:pPr>
      <w:r w:rsidRPr="00D736DC">
        <w:rPr>
          <w:rFonts w:ascii="Arial" w:hAnsi="Arial" w:cs="Arial"/>
        </w:rPr>
        <w:t xml:space="preserve">‘Bonnington Castings Ltd v Wardlow’ (1956), </w:t>
      </w:r>
      <w:r w:rsidRPr="00D736DC">
        <w:rPr>
          <w:rFonts w:ascii="Arial" w:hAnsi="Arial" w:cs="Arial"/>
          <w:i/>
          <w:iCs/>
        </w:rPr>
        <w:t>Appeal Cases</w:t>
      </w:r>
      <w:r w:rsidRPr="00D736DC">
        <w:rPr>
          <w:rFonts w:ascii="Arial" w:hAnsi="Arial" w:cs="Arial"/>
        </w:rPr>
        <w:t>, 613</w:t>
      </w:r>
    </w:p>
    <w:p w14:paraId="05B5E175" w14:textId="77777777" w:rsidR="00D736DC" w:rsidRPr="00D736DC" w:rsidRDefault="00D736DC" w:rsidP="00D736DC">
      <w:pPr>
        <w:spacing w:line="360" w:lineRule="auto"/>
        <w:rPr>
          <w:rFonts w:ascii="Arial" w:hAnsi="Arial" w:cs="Arial"/>
        </w:rPr>
      </w:pPr>
    </w:p>
    <w:p w14:paraId="2D96F10A" w14:textId="77777777" w:rsidR="00D736DC" w:rsidRPr="00D736DC" w:rsidRDefault="00D736DC" w:rsidP="00D736DC">
      <w:pPr>
        <w:spacing w:line="360" w:lineRule="auto"/>
        <w:rPr>
          <w:rFonts w:ascii="Arial" w:hAnsi="Arial" w:cs="Arial"/>
        </w:rPr>
      </w:pPr>
      <w:r w:rsidRPr="00D736DC">
        <w:rPr>
          <w:rFonts w:ascii="Arial" w:hAnsi="Arial" w:cs="Arial"/>
        </w:rPr>
        <w:t xml:space="preserve">‘Caparo Industries plc v Dickman’ (1990) </w:t>
      </w:r>
      <w:r w:rsidRPr="00D736DC">
        <w:rPr>
          <w:rFonts w:ascii="Arial" w:hAnsi="Arial" w:cs="Arial"/>
          <w:i/>
          <w:iCs/>
        </w:rPr>
        <w:t>Weekly Law Report</w:t>
      </w:r>
      <w:r w:rsidRPr="00D736DC">
        <w:rPr>
          <w:rFonts w:ascii="Arial" w:hAnsi="Arial" w:cs="Arial"/>
        </w:rPr>
        <w:t>, 2, 358</w:t>
      </w:r>
    </w:p>
    <w:p w14:paraId="12A9E010" w14:textId="77777777" w:rsidR="00D736DC" w:rsidRPr="00D736DC" w:rsidRDefault="00D736DC" w:rsidP="00D736DC">
      <w:pPr>
        <w:spacing w:line="360" w:lineRule="auto"/>
        <w:rPr>
          <w:rFonts w:ascii="Arial" w:hAnsi="Arial" w:cs="Arial"/>
        </w:rPr>
      </w:pPr>
    </w:p>
    <w:p w14:paraId="1A058EAF" w14:textId="77777777" w:rsidR="00D736DC" w:rsidRPr="00D736DC" w:rsidRDefault="00D736DC" w:rsidP="00D736DC">
      <w:pPr>
        <w:spacing w:line="360" w:lineRule="auto"/>
        <w:rPr>
          <w:rFonts w:ascii="Arial" w:hAnsi="Arial" w:cs="Arial"/>
        </w:rPr>
      </w:pPr>
      <w:r w:rsidRPr="00D736DC">
        <w:rPr>
          <w:rFonts w:ascii="Arial" w:hAnsi="Arial" w:cs="Arial"/>
        </w:rPr>
        <w:t xml:space="preserve"> ‘Cork v Kirby MacLean Ltd’ (1952), </w:t>
      </w:r>
      <w:r w:rsidRPr="00D736DC">
        <w:rPr>
          <w:rFonts w:ascii="Arial" w:hAnsi="Arial" w:cs="Arial"/>
          <w:i/>
          <w:iCs/>
        </w:rPr>
        <w:t>All England Reports</w:t>
      </w:r>
      <w:r w:rsidRPr="00D736DC">
        <w:rPr>
          <w:rFonts w:ascii="Arial" w:hAnsi="Arial" w:cs="Arial"/>
        </w:rPr>
        <w:t>, 402</w:t>
      </w:r>
    </w:p>
    <w:p w14:paraId="623F88A1" w14:textId="77777777" w:rsidR="00D736DC" w:rsidRPr="00D736DC" w:rsidRDefault="00D736DC" w:rsidP="00D736DC">
      <w:pPr>
        <w:spacing w:line="360" w:lineRule="auto"/>
        <w:rPr>
          <w:rFonts w:ascii="Arial" w:hAnsi="Arial" w:cs="Arial"/>
        </w:rPr>
      </w:pPr>
    </w:p>
    <w:p w14:paraId="3A6981C3" w14:textId="77777777" w:rsidR="00D736DC" w:rsidRPr="00D736DC" w:rsidRDefault="00D736DC" w:rsidP="00D736DC">
      <w:pPr>
        <w:spacing w:line="360" w:lineRule="auto"/>
        <w:rPr>
          <w:rFonts w:ascii="Arial" w:hAnsi="Arial" w:cs="Arial"/>
        </w:rPr>
      </w:pPr>
      <w:r w:rsidRPr="00D736DC">
        <w:rPr>
          <w:rFonts w:ascii="Arial" w:hAnsi="Arial" w:cs="Arial"/>
        </w:rPr>
        <w:t xml:space="preserve">‘Donoghue v Stevenson (1982)’ </w:t>
      </w:r>
      <w:r w:rsidRPr="00D736DC">
        <w:rPr>
          <w:rFonts w:ascii="Arial" w:hAnsi="Arial" w:cs="Arial"/>
          <w:i/>
          <w:iCs/>
        </w:rPr>
        <w:t>Appeal cases</w:t>
      </w:r>
      <w:r w:rsidRPr="00D736DC">
        <w:rPr>
          <w:rFonts w:ascii="Arial" w:hAnsi="Arial" w:cs="Arial"/>
        </w:rPr>
        <w:t>, 562</w:t>
      </w:r>
    </w:p>
    <w:p w14:paraId="7CA3DBF8" w14:textId="77777777" w:rsidR="00D736DC" w:rsidRPr="00D736DC" w:rsidRDefault="00D736DC" w:rsidP="00D736DC">
      <w:pPr>
        <w:spacing w:line="360" w:lineRule="auto"/>
        <w:rPr>
          <w:rFonts w:ascii="Arial" w:hAnsi="Arial" w:cs="Arial"/>
        </w:rPr>
      </w:pPr>
    </w:p>
    <w:p w14:paraId="353AB9E5" w14:textId="77777777" w:rsidR="00D736DC" w:rsidRPr="00D736DC" w:rsidRDefault="00D736DC" w:rsidP="00D736DC">
      <w:pPr>
        <w:spacing w:line="360" w:lineRule="auto"/>
        <w:rPr>
          <w:rFonts w:ascii="Arial" w:hAnsi="Arial" w:cs="Arial"/>
        </w:rPr>
      </w:pPr>
      <w:r w:rsidRPr="00D736DC">
        <w:rPr>
          <w:rFonts w:ascii="Arial" w:hAnsi="Arial" w:cs="Arial"/>
        </w:rPr>
        <w:t xml:space="preserve">‘Kent v Griffiths’ (2000) </w:t>
      </w:r>
      <w:r w:rsidRPr="00D736DC">
        <w:rPr>
          <w:rFonts w:ascii="Arial" w:hAnsi="Arial" w:cs="Arial"/>
          <w:i/>
          <w:iCs/>
        </w:rPr>
        <w:t>Weekly Law Reports</w:t>
      </w:r>
      <w:r w:rsidRPr="00D736DC">
        <w:rPr>
          <w:rFonts w:ascii="Arial" w:hAnsi="Arial" w:cs="Arial"/>
        </w:rPr>
        <w:t>, 2, 1158</w:t>
      </w:r>
    </w:p>
    <w:p w14:paraId="28FA6953" w14:textId="77777777" w:rsidR="00D736DC" w:rsidRPr="00D736DC" w:rsidRDefault="00D736DC" w:rsidP="00D736DC">
      <w:pPr>
        <w:spacing w:line="360" w:lineRule="auto"/>
        <w:rPr>
          <w:rFonts w:ascii="Arial" w:hAnsi="Arial" w:cs="Arial"/>
        </w:rPr>
      </w:pPr>
    </w:p>
    <w:p w14:paraId="29A7548B" w14:textId="77777777" w:rsidR="00D736DC" w:rsidRPr="00D736DC" w:rsidRDefault="00D736DC" w:rsidP="00D736DC">
      <w:pPr>
        <w:spacing w:line="360" w:lineRule="auto"/>
        <w:rPr>
          <w:rFonts w:ascii="Arial" w:hAnsi="Arial" w:cs="Arial"/>
        </w:rPr>
      </w:pPr>
      <w:r w:rsidRPr="00D736DC">
        <w:rPr>
          <w:rFonts w:ascii="Arial" w:hAnsi="Arial" w:cs="Arial"/>
        </w:rPr>
        <w:t xml:space="preserve">‘Page v Smith’ (1996) </w:t>
      </w:r>
      <w:r w:rsidRPr="00D736DC">
        <w:rPr>
          <w:rFonts w:ascii="Arial" w:hAnsi="Arial" w:cs="Arial"/>
          <w:i/>
          <w:iCs/>
        </w:rPr>
        <w:t>Weekly Law Reports</w:t>
      </w:r>
      <w:r w:rsidRPr="00D736DC">
        <w:rPr>
          <w:rFonts w:ascii="Arial" w:hAnsi="Arial" w:cs="Arial"/>
        </w:rPr>
        <w:t xml:space="preserve">, 2, 644 </w:t>
      </w:r>
    </w:p>
    <w:p w14:paraId="1363259A" w14:textId="77777777" w:rsidR="00D736DC" w:rsidRPr="00D736DC" w:rsidRDefault="00D736DC" w:rsidP="00D736DC">
      <w:pPr>
        <w:spacing w:line="360" w:lineRule="auto"/>
        <w:rPr>
          <w:rFonts w:ascii="Arial" w:hAnsi="Arial" w:cs="Arial"/>
        </w:rPr>
      </w:pPr>
    </w:p>
    <w:p w14:paraId="5DA634E6" w14:textId="77777777" w:rsidR="00D736DC" w:rsidRPr="00D736DC" w:rsidRDefault="00D736DC" w:rsidP="00D736DC">
      <w:pPr>
        <w:spacing w:line="360" w:lineRule="auto"/>
        <w:rPr>
          <w:rFonts w:ascii="Arial" w:hAnsi="Arial" w:cs="Arial"/>
        </w:rPr>
      </w:pPr>
      <w:r w:rsidRPr="00D736DC">
        <w:rPr>
          <w:rFonts w:ascii="Arial" w:hAnsi="Arial" w:cs="Arial"/>
        </w:rPr>
        <w:t xml:space="preserve">‘Smith v Leech Brain &amp; Co’ (1962) </w:t>
      </w:r>
      <w:r w:rsidRPr="00D736DC">
        <w:rPr>
          <w:rFonts w:ascii="Arial" w:hAnsi="Arial" w:cs="Arial"/>
          <w:i/>
          <w:iCs/>
        </w:rPr>
        <w:t>Weekly Law Reports</w:t>
      </w:r>
      <w:r w:rsidRPr="00D736DC">
        <w:rPr>
          <w:rFonts w:ascii="Arial" w:hAnsi="Arial" w:cs="Arial"/>
        </w:rPr>
        <w:t>, 2, 148</w:t>
      </w:r>
    </w:p>
    <w:p w14:paraId="4C483EFC" w14:textId="77777777" w:rsidR="00D736DC" w:rsidRPr="00D736DC" w:rsidRDefault="00D736DC" w:rsidP="00D736DC">
      <w:pPr>
        <w:spacing w:line="360" w:lineRule="auto"/>
        <w:rPr>
          <w:rFonts w:ascii="Arial" w:hAnsi="Arial" w:cs="Arial"/>
        </w:rPr>
      </w:pPr>
    </w:p>
    <w:p w14:paraId="0AA524D0" w14:textId="77777777" w:rsidR="00D736DC" w:rsidRPr="00D736DC" w:rsidRDefault="00D736DC" w:rsidP="00D736DC">
      <w:pPr>
        <w:spacing w:line="360" w:lineRule="auto"/>
        <w:rPr>
          <w:rFonts w:ascii="Arial" w:hAnsi="Arial" w:cs="Arial"/>
        </w:rPr>
      </w:pPr>
      <w:r w:rsidRPr="00D736DC">
        <w:rPr>
          <w:rFonts w:ascii="Arial" w:hAnsi="Arial" w:cs="Arial"/>
        </w:rPr>
        <w:t xml:space="preserve">‘The Wagon Mound, No.2’ (1966) </w:t>
      </w:r>
      <w:r w:rsidRPr="00D736DC">
        <w:rPr>
          <w:rFonts w:ascii="Arial" w:hAnsi="Arial" w:cs="Arial"/>
          <w:i/>
          <w:iCs/>
        </w:rPr>
        <w:t>Weekly law reports</w:t>
      </w:r>
      <w:r w:rsidRPr="00D736DC">
        <w:rPr>
          <w:rFonts w:ascii="Arial" w:hAnsi="Arial" w:cs="Arial"/>
        </w:rPr>
        <w:t xml:space="preserve">, 3, 498 </w:t>
      </w:r>
    </w:p>
    <w:p w14:paraId="7C81FC2D" w14:textId="77777777" w:rsidR="00D736DC" w:rsidRPr="00D736DC" w:rsidRDefault="00D736DC" w:rsidP="00D736DC">
      <w:pPr>
        <w:spacing w:line="360" w:lineRule="auto"/>
        <w:rPr>
          <w:rFonts w:ascii="Arial" w:hAnsi="Arial" w:cs="Arial"/>
        </w:rPr>
      </w:pPr>
    </w:p>
    <w:p w14:paraId="1B83552F" w14:textId="77777777" w:rsidR="00D736DC" w:rsidRPr="00D736DC" w:rsidRDefault="00D736DC" w:rsidP="00D736DC">
      <w:pPr>
        <w:spacing w:line="360" w:lineRule="auto"/>
        <w:rPr>
          <w:rFonts w:ascii="Arial" w:hAnsi="Arial" w:cs="Arial"/>
        </w:rPr>
      </w:pPr>
      <w:r w:rsidRPr="00D736DC">
        <w:rPr>
          <w:rFonts w:ascii="Arial" w:hAnsi="Arial" w:cs="Arial"/>
        </w:rPr>
        <w:t>‘Wilsher v Essex Ares Health Authority’ (1988), Weekly Law Reports, 2, 557</w:t>
      </w:r>
    </w:p>
    <w:p w14:paraId="3194910D" w14:textId="266C158C" w:rsidR="00D736DC" w:rsidRPr="00D736DC" w:rsidRDefault="00D736DC" w:rsidP="00D736DC">
      <w:pPr>
        <w:spacing w:line="360" w:lineRule="auto"/>
        <w:rPr>
          <w:rFonts w:ascii="Arial" w:hAnsi="Arial" w:cs="Arial"/>
        </w:rPr>
      </w:pPr>
      <w:r w:rsidRPr="00D736DC">
        <w:rPr>
          <w:rFonts w:ascii="Arial" w:hAnsi="Arial" w:cs="Arial"/>
          <w:u w:val="single"/>
        </w:rPr>
        <w:lastRenderedPageBreak/>
        <w:t xml:space="preserve">References </w:t>
      </w:r>
    </w:p>
    <w:p w14:paraId="2B8D628F" w14:textId="77777777" w:rsidR="00D736DC" w:rsidRPr="00D736DC" w:rsidRDefault="00D736DC" w:rsidP="00D736DC">
      <w:pPr>
        <w:spacing w:line="360" w:lineRule="auto"/>
        <w:rPr>
          <w:rFonts w:ascii="Arial" w:hAnsi="Arial" w:cs="Arial"/>
          <w:u w:val="single"/>
        </w:rPr>
      </w:pPr>
    </w:p>
    <w:p w14:paraId="6A0AE2AF" w14:textId="77777777" w:rsidR="00D736DC" w:rsidRPr="00D736DC" w:rsidRDefault="00D736DC" w:rsidP="00D736DC">
      <w:pPr>
        <w:spacing w:line="360" w:lineRule="auto"/>
        <w:rPr>
          <w:rFonts w:ascii="Arial" w:hAnsi="Arial" w:cs="Arial"/>
        </w:rPr>
      </w:pPr>
      <w:r w:rsidRPr="00D736DC">
        <w:rPr>
          <w:rFonts w:ascii="Arial" w:hAnsi="Arial" w:cs="Arial"/>
        </w:rPr>
        <w:t>Bennet, D. and Cotter. B (2019) </w:t>
      </w:r>
      <w:r w:rsidRPr="00D736DC">
        <w:rPr>
          <w:rFonts w:ascii="Arial" w:hAnsi="Arial" w:cs="Arial"/>
          <w:i/>
          <w:iCs/>
        </w:rPr>
        <w:t>Munkman: Employer's Liability</w:t>
      </w:r>
      <w:r w:rsidRPr="00D736DC">
        <w:rPr>
          <w:rFonts w:ascii="Arial" w:hAnsi="Arial" w:cs="Arial"/>
        </w:rPr>
        <w:t>. Ed. 15. London: LexisNexis. Chapter 15.3.</w:t>
      </w:r>
    </w:p>
    <w:p w14:paraId="3EA75281" w14:textId="77777777" w:rsidR="00D736DC" w:rsidRPr="00D736DC" w:rsidRDefault="00D736DC" w:rsidP="00D736DC">
      <w:pPr>
        <w:spacing w:line="360" w:lineRule="auto"/>
        <w:rPr>
          <w:rFonts w:ascii="Arial" w:hAnsi="Arial" w:cs="Arial"/>
        </w:rPr>
      </w:pPr>
      <w:r w:rsidRPr="00D736DC">
        <w:rPr>
          <w:rFonts w:ascii="Arial" w:hAnsi="Arial" w:cs="Arial"/>
        </w:rPr>
        <w:t>Available at:</w:t>
      </w:r>
    </w:p>
    <w:p w14:paraId="3414ED2A" w14:textId="77777777" w:rsidR="00D736DC" w:rsidRPr="00D736DC" w:rsidRDefault="00D736DC" w:rsidP="00D736DC">
      <w:pPr>
        <w:spacing w:line="360" w:lineRule="auto"/>
        <w:rPr>
          <w:rFonts w:ascii="Arial" w:hAnsi="Arial" w:cs="Arial"/>
        </w:rPr>
      </w:pPr>
      <w:hyperlink r:id="rId7" w:history="1">
        <w:r w:rsidRPr="00D736DC">
          <w:rPr>
            <w:rStyle w:val="Hyperlink"/>
            <w:rFonts w:ascii="Arial" w:hAnsi="Arial" w:cs="Arial"/>
          </w:rPr>
          <w:t>https://plus-lexis-co</w:t>
        </w:r>
        <w:r w:rsidRPr="00D736DC">
          <w:rPr>
            <w:rStyle w:val="Hyperlink"/>
            <w:rFonts w:ascii="Arial" w:hAnsi="Arial" w:cs="Arial"/>
          </w:rPr>
          <w:t>m</w:t>
        </w:r>
        <w:r w:rsidRPr="00D736DC">
          <w:rPr>
            <w:rStyle w:val="Hyperlink"/>
            <w:rFonts w:ascii="Arial" w:hAnsi="Arial" w:cs="Arial"/>
          </w:rPr>
          <w:t>.ezproxy.uwtsd.ac.uk/uk/analytical-materials-uk/psychiatric-injury_2/?crid=b6c7b1e2-8334-4980-8c07-5c78c97bd1df&amp;pddocumentnumber=57</w:t>
        </w:r>
      </w:hyperlink>
    </w:p>
    <w:p w14:paraId="21DB36FB" w14:textId="77777777" w:rsidR="00D736DC" w:rsidRPr="00D736DC" w:rsidRDefault="00D736DC" w:rsidP="00D736DC">
      <w:pPr>
        <w:spacing w:line="360" w:lineRule="auto"/>
        <w:rPr>
          <w:rFonts w:ascii="Arial" w:hAnsi="Arial" w:cs="Arial"/>
        </w:rPr>
      </w:pPr>
      <w:r w:rsidRPr="00D736DC">
        <w:rPr>
          <w:rFonts w:ascii="Arial" w:hAnsi="Arial" w:cs="Arial"/>
        </w:rPr>
        <w:t>Accessed:08/11/2024</w:t>
      </w:r>
    </w:p>
    <w:p w14:paraId="71D9030A" w14:textId="77777777" w:rsidR="00D736DC" w:rsidRPr="00D736DC" w:rsidRDefault="00D736DC" w:rsidP="00D736DC">
      <w:pPr>
        <w:spacing w:line="360" w:lineRule="auto"/>
        <w:rPr>
          <w:rFonts w:ascii="Arial" w:hAnsi="Arial" w:cs="Arial"/>
        </w:rPr>
      </w:pPr>
    </w:p>
    <w:p w14:paraId="2D5677E4" w14:textId="77777777" w:rsidR="00D736DC" w:rsidRPr="00D736DC" w:rsidRDefault="00D736DC" w:rsidP="00D736DC">
      <w:pPr>
        <w:spacing w:line="360" w:lineRule="auto"/>
        <w:rPr>
          <w:rFonts w:ascii="Arial" w:hAnsi="Arial" w:cs="Arial"/>
        </w:rPr>
      </w:pPr>
    </w:p>
    <w:p w14:paraId="694236F9" w14:textId="77777777" w:rsidR="00D736DC" w:rsidRPr="009D7952" w:rsidRDefault="00D736DC" w:rsidP="00D736DC">
      <w:pPr>
        <w:spacing w:line="360" w:lineRule="auto"/>
        <w:rPr>
          <w:rFonts w:ascii="Arial" w:hAnsi="Arial" w:cs="Arial"/>
        </w:rPr>
      </w:pPr>
      <w:r w:rsidRPr="009D7952">
        <w:rPr>
          <w:rFonts w:ascii="Arial" w:hAnsi="Arial" w:cs="Arial"/>
        </w:rPr>
        <w:t xml:space="preserve">Butterworths Personal Injury Litigation Service (No date). 17, Clinical Negligence Claims, A Principles and Practice, G causation, factual causation. London: LexisNexis. </w:t>
      </w:r>
    </w:p>
    <w:p w14:paraId="2C43E3CC" w14:textId="77777777" w:rsidR="00D736DC" w:rsidRPr="009D7952" w:rsidRDefault="00D736DC" w:rsidP="00D736DC">
      <w:pPr>
        <w:spacing w:line="360" w:lineRule="auto"/>
        <w:rPr>
          <w:rFonts w:ascii="Arial" w:hAnsi="Arial" w:cs="Arial"/>
        </w:rPr>
      </w:pPr>
      <w:r w:rsidRPr="009D7952">
        <w:rPr>
          <w:rFonts w:ascii="Arial" w:hAnsi="Arial" w:cs="Arial"/>
        </w:rPr>
        <w:t>Available at:</w:t>
      </w:r>
    </w:p>
    <w:p w14:paraId="4386CDD2" w14:textId="77777777" w:rsidR="00D736DC" w:rsidRPr="009D7952" w:rsidRDefault="00D736DC" w:rsidP="00D736DC">
      <w:pPr>
        <w:spacing w:line="360" w:lineRule="auto"/>
        <w:rPr>
          <w:rFonts w:ascii="Arial" w:hAnsi="Arial" w:cs="Arial"/>
        </w:rPr>
      </w:pPr>
      <w:hyperlink r:id="rId8" w:history="1">
        <w:r w:rsidRPr="009D7952">
          <w:rPr>
            <w:rStyle w:val="Hyperlink"/>
            <w:rFonts w:ascii="Arial" w:hAnsi="Arial" w:cs="Arial"/>
          </w:rPr>
          <w:t>https://plus-lexis-com.ezproxy.uwtsd.ac.uk/uk/document/?pdmfid=1001073&amp;crid=a3b8b271-3266-4c11-a726-89a8983656e2&amp;pddocfullpath=%2Fshared%2Fdocument%2Fanalytical-materials-uk%2Fu</w:t>
        </w:r>
        <w:r w:rsidRPr="009D7952">
          <w:rPr>
            <w:rStyle w:val="Hyperlink"/>
            <w:rFonts w:ascii="Arial" w:hAnsi="Arial" w:cs="Arial"/>
          </w:rPr>
          <w:t>r</w:t>
        </w:r>
        <w:r w:rsidRPr="009D7952">
          <w:rPr>
            <w:rStyle w:val="Hyperlink"/>
            <w:rFonts w:ascii="Arial" w:hAnsi="Arial" w:cs="Arial"/>
          </w:rPr>
          <w:t>n:contentItem:63BX-8JV3-CGXG-00K6-00000-00&amp;pdcontentcomponentid=274729&amp;pdteaserkey=&amp;pdislpamode=false&amp;pddocumentnumber=66&amp;ecomp=5t5k&amp;earg=sr65&amp;prid=7577dd92-756f-44eb-b2b8-c9d66d831399</w:t>
        </w:r>
      </w:hyperlink>
    </w:p>
    <w:p w14:paraId="2592BA6C" w14:textId="77777777" w:rsidR="00D736DC" w:rsidRPr="009D7952" w:rsidRDefault="00D736DC" w:rsidP="00D736DC">
      <w:pPr>
        <w:spacing w:line="360" w:lineRule="auto"/>
        <w:rPr>
          <w:rFonts w:ascii="Arial" w:hAnsi="Arial" w:cs="Arial"/>
        </w:rPr>
      </w:pPr>
      <w:r w:rsidRPr="009D7952">
        <w:rPr>
          <w:rFonts w:ascii="Arial" w:hAnsi="Arial" w:cs="Arial"/>
        </w:rPr>
        <w:t>Accessed: 02/11/2024</w:t>
      </w:r>
    </w:p>
    <w:p w14:paraId="09067F81" w14:textId="77777777" w:rsidR="00D736DC" w:rsidRPr="00D736DC" w:rsidRDefault="00D736DC" w:rsidP="00D736DC">
      <w:pPr>
        <w:spacing w:line="360" w:lineRule="auto"/>
        <w:rPr>
          <w:rFonts w:ascii="Arial" w:hAnsi="Arial" w:cs="Arial"/>
        </w:rPr>
      </w:pPr>
    </w:p>
    <w:p w14:paraId="5956292A" w14:textId="77777777" w:rsidR="00D736DC" w:rsidRPr="006C4A15" w:rsidRDefault="00D736DC" w:rsidP="00D736DC">
      <w:pPr>
        <w:spacing w:line="360" w:lineRule="auto"/>
        <w:rPr>
          <w:rFonts w:ascii="Arial" w:hAnsi="Arial" w:cs="Arial"/>
        </w:rPr>
      </w:pPr>
      <w:proofErr w:type="spellStart"/>
      <w:r w:rsidRPr="006C4A15">
        <w:rPr>
          <w:rFonts w:ascii="Arial" w:hAnsi="Arial" w:cs="Arial"/>
        </w:rPr>
        <w:t>Mcivor</w:t>
      </w:r>
      <w:proofErr w:type="spellEnd"/>
      <w:r w:rsidRPr="006C4A15">
        <w:rPr>
          <w:rFonts w:ascii="Arial" w:hAnsi="Arial" w:cs="Arial"/>
        </w:rPr>
        <w:t xml:space="preserve">, C. (2013) 'Debunking Some Judicial Myths About Epidemiology and Its Relevance to UK Tort Law', </w:t>
      </w:r>
      <w:r w:rsidRPr="006C4A15">
        <w:rPr>
          <w:rFonts w:ascii="Arial" w:hAnsi="Arial" w:cs="Arial"/>
          <w:i/>
          <w:iCs/>
        </w:rPr>
        <w:t>Medical Law Review</w:t>
      </w:r>
      <w:r w:rsidRPr="006C4A15">
        <w:rPr>
          <w:rFonts w:ascii="Arial" w:hAnsi="Arial" w:cs="Arial"/>
        </w:rPr>
        <w:t>, 21(4).</w:t>
      </w:r>
    </w:p>
    <w:p w14:paraId="59761E07" w14:textId="77777777" w:rsidR="00D736DC" w:rsidRPr="006C4A15" w:rsidRDefault="00D736DC" w:rsidP="00D736DC">
      <w:pPr>
        <w:spacing w:line="360" w:lineRule="auto"/>
        <w:rPr>
          <w:rFonts w:ascii="Arial" w:hAnsi="Arial" w:cs="Arial"/>
        </w:rPr>
      </w:pPr>
      <w:hyperlink r:id="rId9" w:history="1">
        <w:r w:rsidRPr="006C4A15">
          <w:rPr>
            <w:rStyle w:val="Hyperlink"/>
            <w:rFonts w:ascii="Arial" w:hAnsi="Arial" w:cs="Arial"/>
          </w:rPr>
          <w:t>https://plus-lexis-com.ezproxy.uwtsd.a</w:t>
        </w:r>
        <w:r w:rsidRPr="006C4A15">
          <w:rPr>
            <w:rStyle w:val="Hyperlink"/>
            <w:rFonts w:ascii="Arial" w:hAnsi="Arial" w:cs="Arial"/>
          </w:rPr>
          <w:t>c</w:t>
        </w:r>
        <w:r w:rsidRPr="006C4A15">
          <w:rPr>
            <w:rStyle w:val="Hyperlink"/>
            <w:rFonts w:ascii="Arial" w:hAnsi="Arial" w:cs="Arial"/>
          </w:rPr>
          <w:t>.uk/uk/analytical-materials-uk/debunking-some-judicial-myths-about-epidemiol/?crid=56686ad6-0adf-454d-aa98-9c856e73ca18&amp;pddocumentnumber=18</w:t>
        </w:r>
      </w:hyperlink>
    </w:p>
    <w:p w14:paraId="236AD05B" w14:textId="77777777" w:rsidR="00D736DC" w:rsidRPr="006C4A15" w:rsidRDefault="00D736DC" w:rsidP="00D736DC">
      <w:pPr>
        <w:spacing w:line="360" w:lineRule="auto"/>
        <w:rPr>
          <w:rFonts w:ascii="Arial" w:hAnsi="Arial" w:cs="Arial"/>
        </w:rPr>
      </w:pPr>
      <w:r w:rsidRPr="006C4A15">
        <w:rPr>
          <w:rFonts w:ascii="Arial" w:hAnsi="Arial" w:cs="Arial"/>
        </w:rPr>
        <w:t>Accessed:04/11/2024</w:t>
      </w:r>
    </w:p>
    <w:p w14:paraId="53C7F66B" w14:textId="77777777" w:rsidR="00D736DC" w:rsidRPr="00D736DC" w:rsidRDefault="00D736DC" w:rsidP="00D736DC">
      <w:pPr>
        <w:spacing w:line="360" w:lineRule="auto"/>
        <w:rPr>
          <w:rFonts w:ascii="Arial" w:hAnsi="Arial" w:cs="Arial"/>
        </w:rPr>
      </w:pPr>
    </w:p>
    <w:p w14:paraId="39454C06" w14:textId="77777777" w:rsidR="00D736DC" w:rsidRPr="00A805FD" w:rsidRDefault="00D736DC" w:rsidP="00D736DC">
      <w:pPr>
        <w:spacing w:line="360" w:lineRule="auto"/>
        <w:rPr>
          <w:rFonts w:ascii="Arial" w:hAnsi="Arial" w:cs="Arial"/>
        </w:rPr>
      </w:pPr>
    </w:p>
    <w:p w14:paraId="32826443" w14:textId="77777777" w:rsidR="00D736DC" w:rsidRPr="00A805FD" w:rsidRDefault="00D736DC" w:rsidP="00D736DC">
      <w:pPr>
        <w:spacing w:line="360" w:lineRule="auto"/>
        <w:rPr>
          <w:rFonts w:ascii="Arial" w:hAnsi="Arial" w:cs="Arial"/>
        </w:rPr>
      </w:pPr>
      <w:r w:rsidRPr="00A805FD">
        <w:rPr>
          <w:rFonts w:ascii="Arial" w:hAnsi="Arial" w:cs="Arial"/>
        </w:rPr>
        <w:lastRenderedPageBreak/>
        <w:t xml:space="preserve">Nkrumah, M. (2008) 'R v Kennedy Revisited', </w:t>
      </w:r>
      <w:r w:rsidRPr="00A805FD">
        <w:rPr>
          <w:rFonts w:ascii="Arial" w:hAnsi="Arial" w:cs="Arial"/>
          <w:i/>
          <w:iCs/>
        </w:rPr>
        <w:t>Journal of Criminal Law</w:t>
      </w:r>
      <w:r w:rsidRPr="00A805FD">
        <w:rPr>
          <w:rFonts w:ascii="Arial" w:hAnsi="Arial" w:cs="Arial"/>
        </w:rPr>
        <w:t>, Vol. 72(2), Comment 117.</w:t>
      </w:r>
    </w:p>
    <w:p w14:paraId="4F4D2F43" w14:textId="77777777" w:rsidR="00D736DC" w:rsidRPr="00A805FD" w:rsidRDefault="00D736DC" w:rsidP="00D736DC">
      <w:pPr>
        <w:spacing w:line="360" w:lineRule="auto"/>
        <w:rPr>
          <w:rFonts w:ascii="Arial" w:hAnsi="Arial" w:cs="Arial"/>
        </w:rPr>
      </w:pPr>
      <w:r w:rsidRPr="00A805FD">
        <w:rPr>
          <w:rFonts w:ascii="Arial" w:hAnsi="Arial" w:cs="Arial"/>
        </w:rPr>
        <w:t>Available at:</w:t>
      </w:r>
    </w:p>
    <w:p w14:paraId="5F1AFDC5" w14:textId="77777777" w:rsidR="00D736DC" w:rsidRPr="00A805FD" w:rsidRDefault="00D736DC" w:rsidP="00D736DC">
      <w:pPr>
        <w:spacing w:line="360" w:lineRule="auto"/>
        <w:rPr>
          <w:rFonts w:ascii="Arial" w:hAnsi="Arial" w:cs="Arial"/>
        </w:rPr>
      </w:pPr>
      <w:hyperlink r:id="rId10" w:history="1">
        <w:r w:rsidRPr="00A805FD">
          <w:rPr>
            <w:rStyle w:val="Hyperlink"/>
            <w:rFonts w:ascii="Arial" w:hAnsi="Arial" w:cs="Arial"/>
          </w:rPr>
          <w:t>https://plus-lexis-com.ezproxy.uwtsd.ac.uk/uk/analytical-materials-uk/comment-jcl-72-117/?crid</w:t>
        </w:r>
        <w:r w:rsidRPr="00A805FD">
          <w:rPr>
            <w:rStyle w:val="Hyperlink"/>
            <w:rFonts w:ascii="Arial" w:hAnsi="Arial" w:cs="Arial"/>
          </w:rPr>
          <w:t>=</w:t>
        </w:r>
        <w:r w:rsidRPr="00A805FD">
          <w:rPr>
            <w:rStyle w:val="Hyperlink"/>
            <w:rFonts w:ascii="Arial" w:hAnsi="Arial" w:cs="Arial"/>
          </w:rPr>
          <w:t>00fbe6e7-30c8-4e47-afb2-3410bf1a4e27&amp;pddocumentnumber=27</w:t>
        </w:r>
      </w:hyperlink>
    </w:p>
    <w:p w14:paraId="29866601" w14:textId="77777777" w:rsidR="00D736DC" w:rsidRPr="00A805FD" w:rsidRDefault="00D736DC" w:rsidP="00D736DC">
      <w:pPr>
        <w:spacing w:line="360" w:lineRule="auto"/>
        <w:rPr>
          <w:rFonts w:ascii="Arial" w:hAnsi="Arial" w:cs="Arial"/>
        </w:rPr>
      </w:pPr>
      <w:r w:rsidRPr="00A805FD">
        <w:rPr>
          <w:rFonts w:ascii="Arial" w:hAnsi="Arial" w:cs="Arial"/>
        </w:rPr>
        <w:t>Accessed:04/11/2024</w:t>
      </w:r>
    </w:p>
    <w:p w14:paraId="2403FC5F" w14:textId="77777777" w:rsidR="00D736DC" w:rsidRPr="00D736DC" w:rsidRDefault="00D736DC" w:rsidP="00D736DC">
      <w:pPr>
        <w:spacing w:line="360" w:lineRule="auto"/>
        <w:rPr>
          <w:rFonts w:ascii="Arial" w:hAnsi="Arial" w:cs="Arial"/>
        </w:rPr>
      </w:pPr>
    </w:p>
    <w:p w14:paraId="47F59158" w14:textId="77777777" w:rsidR="00D736DC" w:rsidRPr="00A674E5" w:rsidRDefault="00D736DC" w:rsidP="00D736DC">
      <w:pPr>
        <w:spacing w:line="360" w:lineRule="auto"/>
        <w:rPr>
          <w:rFonts w:ascii="Arial" w:hAnsi="Arial" w:cs="Arial"/>
        </w:rPr>
      </w:pPr>
      <w:r w:rsidRPr="00A674E5">
        <w:rPr>
          <w:rFonts w:ascii="Arial" w:hAnsi="Arial" w:cs="Arial"/>
        </w:rPr>
        <w:t xml:space="preserve">Oliphant. K, Burnet. D, Harpwood. V, Hedley. S, Lunney. M, Mitchell. P, Mullis. A, Nolan. D, Gilker. P and Howard. D, (2007) </w:t>
      </w:r>
      <w:r w:rsidRPr="00A674E5">
        <w:rPr>
          <w:rFonts w:ascii="Arial" w:hAnsi="Arial" w:cs="Arial"/>
          <w:i/>
          <w:iCs/>
        </w:rPr>
        <w:t>Tort: The Law of Tort</w:t>
      </w:r>
      <w:r w:rsidRPr="00A674E5">
        <w:rPr>
          <w:rFonts w:ascii="Arial" w:hAnsi="Arial" w:cs="Arial"/>
        </w:rPr>
        <w:t>. London: Butterworths Law. Chapter 14.55.</w:t>
      </w:r>
    </w:p>
    <w:p w14:paraId="32D5A5BA" w14:textId="77777777" w:rsidR="00D736DC" w:rsidRPr="00D736DC" w:rsidRDefault="00D736DC" w:rsidP="00D736DC">
      <w:pPr>
        <w:spacing w:line="360" w:lineRule="auto"/>
        <w:rPr>
          <w:rFonts w:ascii="Arial" w:hAnsi="Arial" w:cs="Arial"/>
        </w:rPr>
      </w:pPr>
      <w:r w:rsidRPr="00A674E5">
        <w:rPr>
          <w:rFonts w:ascii="Arial" w:hAnsi="Arial" w:cs="Arial"/>
        </w:rPr>
        <w:t>Available at:</w:t>
      </w:r>
    </w:p>
    <w:p w14:paraId="4943925B" w14:textId="77777777" w:rsidR="00D736DC" w:rsidRPr="00A674E5" w:rsidRDefault="00D736DC" w:rsidP="00D736DC">
      <w:pPr>
        <w:spacing w:line="360" w:lineRule="auto"/>
        <w:rPr>
          <w:rFonts w:ascii="Arial" w:hAnsi="Arial" w:cs="Arial"/>
        </w:rPr>
      </w:pPr>
      <w:hyperlink r:id="rId11" w:history="1">
        <w:r w:rsidRPr="00A674E5">
          <w:rPr>
            <w:rStyle w:val="Hyperlink"/>
            <w:rFonts w:ascii="Arial" w:hAnsi="Arial" w:cs="Arial"/>
          </w:rPr>
          <w:t>https://plus-lexis-</w:t>
        </w:r>
        <w:r w:rsidRPr="00A674E5">
          <w:rPr>
            <w:rStyle w:val="Hyperlink"/>
            <w:rFonts w:ascii="Arial" w:hAnsi="Arial" w:cs="Arial"/>
          </w:rPr>
          <w:t>c</w:t>
        </w:r>
        <w:r w:rsidRPr="00A674E5">
          <w:rPr>
            <w:rStyle w:val="Hyperlink"/>
            <w:rFonts w:ascii="Arial" w:hAnsi="Arial" w:cs="Arial"/>
          </w:rPr>
          <w:t>om.ezproxy.uwtsd.ac.uk/uk/analytical-materials-uk/remoteness-the-thin-skull-rule/?crid=c21dd8bf-bd08-461d-9c13-39bcf330323d&amp;pddocumentnumber=1</w:t>
        </w:r>
      </w:hyperlink>
    </w:p>
    <w:p w14:paraId="40529955" w14:textId="77777777" w:rsidR="00D736DC" w:rsidRPr="00A674E5" w:rsidRDefault="00D736DC" w:rsidP="00D736DC">
      <w:pPr>
        <w:spacing w:line="360" w:lineRule="auto"/>
        <w:rPr>
          <w:rFonts w:ascii="Arial" w:hAnsi="Arial" w:cs="Arial"/>
        </w:rPr>
      </w:pPr>
      <w:r w:rsidRPr="00A674E5">
        <w:rPr>
          <w:rFonts w:ascii="Arial" w:hAnsi="Arial" w:cs="Arial"/>
        </w:rPr>
        <w:t>Accessed:07/11/2024</w:t>
      </w:r>
    </w:p>
    <w:p w14:paraId="3BD1176A" w14:textId="77777777" w:rsidR="00D736DC" w:rsidRPr="00A674E5" w:rsidRDefault="00D736DC" w:rsidP="00D736DC">
      <w:pPr>
        <w:spacing w:line="360" w:lineRule="auto"/>
        <w:rPr>
          <w:rFonts w:ascii="Arial" w:hAnsi="Arial" w:cs="Arial"/>
        </w:rPr>
      </w:pPr>
    </w:p>
    <w:p w14:paraId="5F7C0690" w14:textId="77777777" w:rsidR="00D736DC" w:rsidRPr="00405736" w:rsidRDefault="00D736DC" w:rsidP="00D736DC">
      <w:pPr>
        <w:spacing w:line="360" w:lineRule="auto"/>
        <w:rPr>
          <w:rFonts w:ascii="Arial" w:hAnsi="Arial" w:cs="Arial"/>
        </w:rPr>
      </w:pPr>
    </w:p>
    <w:p w14:paraId="34149FF9" w14:textId="77777777" w:rsidR="00D736DC" w:rsidRPr="00405736" w:rsidRDefault="00D736DC" w:rsidP="00D736DC">
      <w:pPr>
        <w:spacing w:line="360" w:lineRule="auto"/>
        <w:rPr>
          <w:rFonts w:ascii="Arial" w:hAnsi="Arial" w:cs="Arial"/>
        </w:rPr>
      </w:pPr>
      <w:r w:rsidRPr="00405736">
        <w:rPr>
          <w:rFonts w:ascii="Arial" w:hAnsi="Arial" w:cs="Arial"/>
        </w:rPr>
        <w:t>Tettenborn, A and Wilby, D (2010) </w:t>
      </w:r>
      <w:r w:rsidRPr="00405736">
        <w:rPr>
          <w:rFonts w:ascii="Arial" w:hAnsi="Arial" w:cs="Arial"/>
          <w:i/>
          <w:iCs/>
        </w:rPr>
        <w:t>Damages: The Law of Damages (Common Law Series)</w:t>
      </w:r>
      <w:r w:rsidRPr="00405736">
        <w:rPr>
          <w:rFonts w:ascii="Arial" w:hAnsi="Arial" w:cs="Arial"/>
        </w:rPr>
        <w:t>. 3, chapter 30, London; LexisNexis.</w:t>
      </w:r>
    </w:p>
    <w:p w14:paraId="1649EF3F" w14:textId="77777777" w:rsidR="00D736DC" w:rsidRPr="00405736" w:rsidRDefault="00D736DC" w:rsidP="00D736DC">
      <w:pPr>
        <w:spacing w:line="360" w:lineRule="auto"/>
        <w:rPr>
          <w:rFonts w:ascii="Arial" w:hAnsi="Arial" w:cs="Arial"/>
        </w:rPr>
      </w:pPr>
      <w:hyperlink r:id="rId12" w:history="1">
        <w:r w:rsidRPr="00405736">
          <w:rPr>
            <w:rStyle w:val="Hyperlink"/>
            <w:rFonts w:ascii="Arial" w:hAnsi="Arial" w:cs="Arial"/>
          </w:rPr>
          <w:t>https://plus-lexis-com.ezproxy.uwtsd.ac.uk/uk/document/?pdmfid=1001073&amp;crid=9ecb51b6-4cd3-4f6f-94b4-f8a3454ac429&amp;pddocfullpath=%2Fshared%2Fdocument%2Fanalytical-materials-uk%2Furn:con</w:t>
        </w:r>
        <w:r w:rsidRPr="00405736">
          <w:rPr>
            <w:rStyle w:val="Hyperlink"/>
            <w:rFonts w:ascii="Arial" w:hAnsi="Arial" w:cs="Arial"/>
          </w:rPr>
          <w:t>t</w:t>
        </w:r>
        <w:r w:rsidRPr="00405736">
          <w:rPr>
            <w:rStyle w:val="Hyperlink"/>
            <w:rFonts w:ascii="Arial" w:hAnsi="Arial" w:cs="Arial"/>
          </w:rPr>
          <w:t>entItem:55YY-VGV1-F0C5-H30B-00000-00&amp;pdcontentcom</w:t>
        </w:r>
        <w:r w:rsidRPr="00405736">
          <w:rPr>
            <w:rStyle w:val="Hyperlink"/>
            <w:rFonts w:ascii="Arial" w:hAnsi="Arial" w:cs="Arial"/>
          </w:rPr>
          <w:t>p</w:t>
        </w:r>
        <w:r w:rsidRPr="00405736">
          <w:rPr>
            <w:rStyle w:val="Hyperlink"/>
            <w:rFonts w:ascii="Arial" w:hAnsi="Arial" w:cs="Arial"/>
          </w:rPr>
          <w:t>onentid=312678&amp;pdteaserkey=&amp;pdislpamode=false&amp;pddocumentnumber=7&amp;ecomp=5t5k&amp;earg=sr6&amp;prid=88bd8ff8-87c6-4f05-9abf-af7ae7571d5d</w:t>
        </w:r>
      </w:hyperlink>
    </w:p>
    <w:p w14:paraId="2D6C0AEC" w14:textId="77777777" w:rsidR="00D736DC" w:rsidRPr="00405736" w:rsidRDefault="00D736DC" w:rsidP="00D736DC">
      <w:pPr>
        <w:spacing w:line="360" w:lineRule="auto"/>
        <w:rPr>
          <w:rFonts w:ascii="Arial" w:hAnsi="Arial" w:cs="Arial"/>
        </w:rPr>
      </w:pPr>
      <w:r w:rsidRPr="00405736">
        <w:rPr>
          <w:rFonts w:ascii="Arial" w:hAnsi="Arial" w:cs="Arial"/>
        </w:rPr>
        <w:t>Accessed:04/11/2024</w:t>
      </w:r>
    </w:p>
    <w:p w14:paraId="2D42B79E" w14:textId="77777777" w:rsidR="00421860" w:rsidRPr="00D736DC" w:rsidRDefault="00421860" w:rsidP="00D736DC">
      <w:pPr>
        <w:spacing w:line="360" w:lineRule="auto"/>
        <w:rPr>
          <w:rFonts w:ascii="Arial" w:hAnsi="Arial" w:cs="Arial"/>
        </w:rPr>
      </w:pPr>
    </w:p>
    <w:sectPr w:rsidR="00421860" w:rsidRPr="00D736DC" w:rsidSect="00D736D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36DC"/>
    <w:rsid w:val="00421860"/>
    <w:rsid w:val="00700534"/>
    <w:rsid w:val="009D39F3"/>
    <w:rsid w:val="00D550B7"/>
    <w:rsid w:val="00D736DC"/>
    <w:rsid w:val="00E34D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1A10EA"/>
  <w15:chartTrackingRefBased/>
  <w15:docId w15:val="{992A1D46-CA6D-4EF5-B4A1-FA365E2324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36DC"/>
  </w:style>
  <w:style w:type="paragraph" w:styleId="Heading1">
    <w:name w:val="heading 1"/>
    <w:basedOn w:val="Normal"/>
    <w:next w:val="Normal"/>
    <w:link w:val="Heading1Char"/>
    <w:uiPriority w:val="9"/>
    <w:qFormat/>
    <w:rsid w:val="00D736D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736D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736D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736D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736D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736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36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36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36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36D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736D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736D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736D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736D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736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36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36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36DC"/>
    <w:rPr>
      <w:rFonts w:eastAsiaTheme="majorEastAsia" w:cstheme="majorBidi"/>
      <w:color w:val="272727" w:themeColor="text1" w:themeTint="D8"/>
    </w:rPr>
  </w:style>
  <w:style w:type="paragraph" w:styleId="Title">
    <w:name w:val="Title"/>
    <w:basedOn w:val="Normal"/>
    <w:next w:val="Normal"/>
    <w:link w:val="TitleChar"/>
    <w:uiPriority w:val="10"/>
    <w:qFormat/>
    <w:rsid w:val="00D736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36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36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36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36DC"/>
    <w:pPr>
      <w:spacing w:before="160"/>
      <w:jc w:val="center"/>
    </w:pPr>
    <w:rPr>
      <w:i/>
      <w:iCs/>
      <w:color w:val="404040" w:themeColor="text1" w:themeTint="BF"/>
    </w:rPr>
  </w:style>
  <w:style w:type="character" w:customStyle="1" w:styleId="QuoteChar">
    <w:name w:val="Quote Char"/>
    <w:basedOn w:val="DefaultParagraphFont"/>
    <w:link w:val="Quote"/>
    <w:uiPriority w:val="29"/>
    <w:rsid w:val="00D736DC"/>
    <w:rPr>
      <w:i/>
      <w:iCs/>
      <w:color w:val="404040" w:themeColor="text1" w:themeTint="BF"/>
    </w:rPr>
  </w:style>
  <w:style w:type="paragraph" w:styleId="ListParagraph">
    <w:name w:val="List Paragraph"/>
    <w:basedOn w:val="Normal"/>
    <w:uiPriority w:val="34"/>
    <w:qFormat/>
    <w:rsid w:val="00D736DC"/>
    <w:pPr>
      <w:ind w:left="720"/>
      <w:contextualSpacing/>
    </w:pPr>
  </w:style>
  <w:style w:type="character" w:styleId="IntenseEmphasis">
    <w:name w:val="Intense Emphasis"/>
    <w:basedOn w:val="DefaultParagraphFont"/>
    <w:uiPriority w:val="21"/>
    <w:qFormat/>
    <w:rsid w:val="00D736DC"/>
    <w:rPr>
      <w:i/>
      <w:iCs/>
      <w:color w:val="2F5496" w:themeColor="accent1" w:themeShade="BF"/>
    </w:rPr>
  </w:style>
  <w:style w:type="paragraph" w:styleId="IntenseQuote">
    <w:name w:val="Intense Quote"/>
    <w:basedOn w:val="Normal"/>
    <w:next w:val="Normal"/>
    <w:link w:val="IntenseQuoteChar"/>
    <w:uiPriority w:val="30"/>
    <w:qFormat/>
    <w:rsid w:val="00D736D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736DC"/>
    <w:rPr>
      <w:i/>
      <w:iCs/>
      <w:color w:val="2F5496" w:themeColor="accent1" w:themeShade="BF"/>
    </w:rPr>
  </w:style>
  <w:style w:type="character" w:styleId="IntenseReference">
    <w:name w:val="Intense Reference"/>
    <w:basedOn w:val="DefaultParagraphFont"/>
    <w:uiPriority w:val="32"/>
    <w:qFormat/>
    <w:rsid w:val="00D736DC"/>
    <w:rPr>
      <w:b/>
      <w:bCs/>
      <w:smallCaps/>
      <w:color w:val="2F5496" w:themeColor="accent1" w:themeShade="BF"/>
      <w:spacing w:val="5"/>
    </w:rPr>
  </w:style>
  <w:style w:type="character" w:styleId="Hyperlink">
    <w:name w:val="Hyperlink"/>
    <w:basedOn w:val="DefaultParagraphFont"/>
    <w:uiPriority w:val="99"/>
    <w:unhideWhenUsed/>
    <w:rsid w:val="00D736DC"/>
    <w:rPr>
      <w:color w:val="0563C1" w:themeColor="hyperlink"/>
      <w:u w:val="single"/>
    </w:rPr>
  </w:style>
  <w:style w:type="character" w:styleId="FollowedHyperlink">
    <w:name w:val="FollowedHyperlink"/>
    <w:basedOn w:val="DefaultParagraphFont"/>
    <w:uiPriority w:val="99"/>
    <w:semiHidden/>
    <w:unhideWhenUsed/>
    <w:rsid w:val="00D736DC"/>
    <w:rPr>
      <w:color w:val="954F72" w:themeColor="followedHyperlink"/>
      <w:u w:val="single"/>
    </w:rPr>
  </w:style>
  <w:style w:type="paragraph" w:styleId="NoSpacing">
    <w:name w:val="No Spacing"/>
    <w:link w:val="NoSpacingChar"/>
    <w:uiPriority w:val="1"/>
    <w:qFormat/>
    <w:rsid w:val="00D736DC"/>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D736DC"/>
    <w:rPr>
      <w:rFonts w:eastAsiaTheme="minorEastAsia"/>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lus-lexis-com.ezproxy.uwtsd.ac.uk/uk/document/?pdmfid=1001073&amp;crid=a3b8b271-3266-4c11-a726-89a8983656e2&amp;pddocfullpath=%2Fshared%2Fdocument%2Fanalytical-materials-uk%2Furn:contentItem:63BX-8JV3-CGXG-00K6-00000-00&amp;pdcontentcomponentid=274729&amp;pdteaserkey=&amp;pdislpamode=false&amp;pddocumentnumber=66&amp;ecomp=5t5k&amp;earg=sr65&amp;prid=7577dd92-756f-44eb-b2b8-c9d66d831399" TargetMode="Externa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https://plus-lexis-com.ezproxy.uwtsd.ac.uk/uk/analytical-materials-uk/psychiatric-injury_2/?crid=b6c7b1e2-8334-4980-8c07-5c78c97bd1df&amp;pddocumentnumber=57" TargetMode="External"/><Relationship Id="rId12" Type="http://schemas.openxmlformats.org/officeDocument/2006/relationships/hyperlink" Target="https://plus-lexis-com.ezproxy.uwtsd.ac.uk/uk/document/?pdmfid=1001073&amp;crid=9ecb51b6-4cd3-4f6f-94b4-f8a3454ac429&amp;pddocfullpath=%2Fshared%2Fdocument%2Fanalytical-materials-uk%2Furn:contentItem:55YY-VGV1-F0C5-H30B-00000-00&amp;pdcontentcomponentid=312678&amp;pdteaserkey=&amp;pdislpamode=false&amp;pddocumentnumber=7&amp;ecomp=5t5k&amp;earg=sr6&amp;prid=88bd8ff8-87c6-4f05-9abf-af7ae7571d5d"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plus-lexis-com.ezproxy.uwtsd.ac.uk/uk/analytical-materials-uk/remoteness-the-thin-skull-rule/?crid=c21dd8bf-bd08-461d-9c13-39bcf330323d&amp;pddocumentnumber=1" TargetMode="External"/><Relationship Id="rId5" Type="http://schemas.openxmlformats.org/officeDocument/2006/relationships/settings" Target="settings.xml"/><Relationship Id="rId10" Type="http://schemas.openxmlformats.org/officeDocument/2006/relationships/hyperlink" Target="https://plus-lexis-com.ezproxy.uwtsd.ac.uk/uk/analytical-materials-uk/comment-jcl-72-117/?crid=00fbe6e7-30c8-4e47-afb2-3410bf1a4e27&amp;pddocumentnumber=27" TargetMode="External"/><Relationship Id="rId4" Type="http://schemas.openxmlformats.org/officeDocument/2006/relationships/styles" Target="styles.xml"/><Relationship Id="rId9" Type="http://schemas.openxmlformats.org/officeDocument/2006/relationships/hyperlink" Target="https://plus-lexis-com.ezproxy.uwtsd.ac.uk/uk/analytical-materials-uk/debunking-some-judicial-myths-about-epidemiol/?crid=56686ad6-0adf-454d-aa98-9c856e73ca18&amp;pddocumentnumber=18"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3" ma:contentTypeDescription="Create a new document." ma:contentTypeScope="" ma:versionID="cf453e58328fec31073bd3ee7d904aa3">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afeb4becee64491c29fba15b49cdb5fb"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8BE7D80F-9084-4897-BEAB-A8CAF13944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278D074-F82E-4C3F-856D-8F330D49CB4C}">
  <ds:schemaRefs>
    <ds:schemaRef ds:uri="http://schemas.microsoft.com/sharepoint/v3/contenttype/forms"/>
  </ds:schemaRefs>
</ds:datastoreItem>
</file>

<file path=customXml/itemProps3.xml><?xml version="1.0" encoding="utf-8"?>
<ds:datastoreItem xmlns:ds="http://schemas.openxmlformats.org/officeDocument/2006/customXml" ds:itemID="{D091DFCF-ED49-4DF1-9AFD-27596312EB5E}">
  <ds:schemaRefs>
    <ds:schemaRef ds:uri="http://schemas.microsoft.com/office/2006/documentManagement/types"/>
    <ds:schemaRef ds:uri="http://schemas.openxmlformats.org/package/2006/metadata/core-properties"/>
    <ds:schemaRef ds:uri="http://www.w3.org/XML/1998/namespace"/>
    <ds:schemaRef ds:uri="http://purl.org/dc/terms/"/>
    <ds:schemaRef ds:uri="ad7316b1-23f1-480c-8fa6-cbf037f4db9c"/>
    <ds:schemaRef ds:uri="http://purl.org/dc/elements/1.1/"/>
    <ds:schemaRef ds:uri="http://schemas.microsoft.com/office/infopath/2007/PartnerControls"/>
    <ds:schemaRef ds:uri="bd2b2a82-bc2e-4fcc-b8ad-fd63686c78d2"/>
    <ds:schemaRef ds:uri="http://schemas.microsoft.com/office/2006/metadata/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2123</Words>
  <Characters>12533</Characters>
  <Application>Microsoft Office Word</Application>
  <DocSecurity>0</DocSecurity>
  <Lines>219</Lines>
  <Paragraphs>47</Paragraphs>
  <ScaleCrop>false</ScaleCrop>
  <Company/>
  <LinksUpToDate>false</LinksUpToDate>
  <CharactersWithSpaces>14623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Causation</dc:title>
  <dc:subject>230605</dc:subject>
  <dc:creator>Shannon Davies</dc:creator>
  <cp:keywords/>
  <dc:description/>
  <cp:lastModifiedBy>Shannon Davies</cp:lastModifiedBy>
  <cp:revision>1</cp:revision>
  <dcterms:created xsi:type="dcterms:W3CDTF">2024-11-22T12:18:00Z</dcterms:created>
  <dcterms:modified xsi:type="dcterms:W3CDTF">2024-11-22T12:23:00Z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5c758a80-9454-486c-aa0f-12a9b6e61a72</vt:lpwstr>
  </property>
  <property fmtid="{D5CDD505-2E9C-101B-9397-08002B2CF9AE}" pid="3" name="ContentTypeId">
    <vt:lpwstr>0x01010096C48B67E562FF45ADD1FE43E2BC7706</vt:lpwstr>
  </property>
</Properties>
</file>