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ACC11"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 xml:space="preserve">Qualification: </w:t>
      </w:r>
      <w:r w:rsidRPr="00FF2EF1">
        <w:rPr>
          <w:rFonts w:ascii="Times New Roman" w:hAnsi="Times New Roman" w:cs="Times New Roman"/>
          <w:color w:val="000000"/>
        </w:rPr>
        <w:tab/>
      </w:r>
      <w:r w:rsidRPr="00FF2EF1">
        <w:rPr>
          <w:rFonts w:ascii="Times New Roman" w:hAnsi="Times New Roman" w:cs="Times New Roman"/>
          <w:color w:val="000000"/>
        </w:rPr>
        <w:tab/>
        <w:t xml:space="preserve">CIPD Level 5 Diploma in Applied HR </w:t>
      </w:r>
    </w:p>
    <w:p w14:paraId="77537666" w14:textId="032E3733"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Module:                </w:t>
      </w:r>
      <w:r w:rsidRPr="00FF2EF1">
        <w:rPr>
          <w:rFonts w:ascii="Times New Roman" w:hAnsi="Times New Roman" w:cs="Times New Roman"/>
          <w:color w:val="000000"/>
        </w:rPr>
        <w:tab/>
      </w:r>
      <w:r>
        <w:rPr>
          <w:rFonts w:ascii="Times New Roman" w:hAnsi="Times New Roman" w:cs="Times New Roman"/>
          <w:color w:val="000000"/>
        </w:rPr>
        <w:t>Understanding Resourcing and Talent Planning</w:t>
      </w:r>
    </w:p>
    <w:p w14:paraId="57F2192B"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Assignment:  </w:t>
      </w:r>
      <w:r w:rsidRPr="00FF2EF1">
        <w:rPr>
          <w:rFonts w:ascii="Times New Roman" w:hAnsi="Times New Roman" w:cs="Times New Roman"/>
          <w:color w:val="000000"/>
        </w:rPr>
        <w:tab/>
      </w:r>
      <w:r w:rsidRPr="00FF2EF1">
        <w:rPr>
          <w:rFonts w:ascii="Times New Roman" w:hAnsi="Times New Roman" w:cs="Times New Roman"/>
          <w:color w:val="000000"/>
        </w:rPr>
        <w:tab/>
        <w:t>Activity 1</w:t>
      </w:r>
    </w:p>
    <w:p w14:paraId="7DBC7908" w14:textId="77777777" w:rsidR="00792637" w:rsidRPr="00FF2EF1" w:rsidRDefault="00792637" w:rsidP="00792637">
      <w:pPr>
        <w:spacing w:line="360" w:lineRule="auto"/>
        <w:rPr>
          <w:rFonts w:ascii="Times New Roman" w:hAnsi="Times New Roman" w:cs="Times New Roman"/>
          <w:color w:val="000000"/>
        </w:rPr>
      </w:pPr>
    </w:p>
    <w:p w14:paraId="427C361F"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Name:                        </w:t>
      </w:r>
      <w:r w:rsidRPr="00FF2EF1">
        <w:rPr>
          <w:rFonts w:ascii="Times New Roman" w:hAnsi="Times New Roman" w:cs="Times New Roman"/>
          <w:color w:val="000000"/>
        </w:rPr>
        <w:tab/>
        <w:t>Shelley Dony</w:t>
      </w:r>
    </w:p>
    <w:p w14:paraId="323513D0"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Student Number:        </w:t>
      </w:r>
      <w:r w:rsidRPr="00FF2EF1">
        <w:rPr>
          <w:rFonts w:ascii="Times New Roman" w:hAnsi="Times New Roman" w:cs="Times New Roman"/>
          <w:color w:val="000000"/>
        </w:rPr>
        <w:tab/>
        <w:t xml:space="preserve">1810449 </w:t>
      </w:r>
    </w:p>
    <w:p w14:paraId="3945D027"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CIPD Number:</w:t>
      </w:r>
      <w:r w:rsidRPr="00FF2EF1">
        <w:rPr>
          <w:rFonts w:ascii="Times New Roman" w:hAnsi="Times New Roman" w:cs="Times New Roman"/>
          <w:color w:val="000000"/>
        </w:rPr>
        <w:tab/>
      </w:r>
      <w:r w:rsidRPr="00FF2EF1">
        <w:rPr>
          <w:rFonts w:ascii="Times New Roman" w:hAnsi="Times New Roman" w:cs="Times New Roman"/>
          <w:color w:val="000000"/>
        </w:rPr>
        <w:tab/>
        <w:t>53274174</w:t>
      </w:r>
    </w:p>
    <w:p w14:paraId="464F4DD8" w14:textId="77777777" w:rsidR="00792637" w:rsidRPr="00FF2EF1" w:rsidRDefault="00792637" w:rsidP="00792637">
      <w:pPr>
        <w:spacing w:line="360" w:lineRule="auto"/>
        <w:rPr>
          <w:rFonts w:ascii="Times New Roman" w:hAnsi="Times New Roman" w:cs="Times New Roman"/>
          <w:color w:val="000000"/>
        </w:rPr>
      </w:pPr>
    </w:p>
    <w:p w14:paraId="6B6A43F6" w14:textId="77777777" w:rsidR="00792637" w:rsidRPr="00FF2EF1" w:rsidRDefault="00792637" w:rsidP="00792637">
      <w:pPr>
        <w:spacing w:line="360" w:lineRule="auto"/>
        <w:rPr>
          <w:rFonts w:ascii="Times New Roman" w:hAnsi="Times New Roman" w:cs="Times New Roman"/>
          <w:color w:val="000000"/>
        </w:rPr>
      </w:pPr>
      <w:r w:rsidRPr="00FF2EF1">
        <w:rPr>
          <w:rFonts w:ascii="Times New Roman" w:hAnsi="Times New Roman" w:cs="Times New Roman"/>
          <w:color w:val="000000"/>
        </w:rPr>
        <w:t>By signing below, I confirm that the work/evidence presented is my own, unaided work.  I understand the regulations pertaining to candidate malpractice and the action that may be taken as a result.</w:t>
      </w:r>
    </w:p>
    <w:p w14:paraId="66BE352B" w14:textId="77777777" w:rsidR="00792637" w:rsidRPr="003B5BE8" w:rsidRDefault="00792637" w:rsidP="00792637">
      <w:pPr>
        <w:spacing w:line="360" w:lineRule="auto"/>
        <w:rPr>
          <w:color w:val="000000"/>
        </w:rPr>
      </w:pPr>
    </w:p>
    <w:p w14:paraId="2A0A95C1" w14:textId="77777777" w:rsidR="00792637" w:rsidRPr="003B5BE8" w:rsidRDefault="00792637" w:rsidP="00792637">
      <w:pPr>
        <w:spacing w:line="360" w:lineRule="auto"/>
        <w:rPr>
          <w:color w:val="000000"/>
        </w:rPr>
      </w:pPr>
      <w:r w:rsidRPr="003B5BE8">
        <w:rPr>
          <w:color w:val="000000"/>
        </w:rPr>
        <w:t xml:space="preserve">Signed:   </w:t>
      </w:r>
      <w:r w:rsidRPr="003B5BE8">
        <w:rPr>
          <w:noProof/>
          <w:color w:val="000000"/>
        </w:rPr>
        <w:drawing>
          <wp:inline distT="0" distB="0" distL="0" distR="0" wp14:anchorId="25F53DF7" wp14:editId="4C57031F">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79DFF17C" w14:textId="1D5EE8F3" w:rsidR="0053079D" w:rsidRDefault="0053079D" w:rsidP="001F4F78">
      <w:pPr>
        <w:spacing w:after="0" w:line="360" w:lineRule="auto"/>
      </w:pPr>
    </w:p>
    <w:p w14:paraId="5D1B726A" w14:textId="010138EF" w:rsidR="00D57658" w:rsidRDefault="00D57658" w:rsidP="001F4F78">
      <w:pPr>
        <w:spacing w:after="0" w:line="360" w:lineRule="auto"/>
      </w:pPr>
    </w:p>
    <w:p w14:paraId="26F1D5EF" w14:textId="26A8F2A4" w:rsidR="00D57658" w:rsidRDefault="00D57658" w:rsidP="001F4F78">
      <w:pPr>
        <w:spacing w:after="0" w:line="360" w:lineRule="auto"/>
      </w:pPr>
    </w:p>
    <w:p w14:paraId="3A714120" w14:textId="77777777" w:rsidR="00D57658" w:rsidRDefault="00D57658" w:rsidP="001F4F78">
      <w:pPr>
        <w:spacing w:after="0" w:line="360" w:lineRule="auto"/>
      </w:pPr>
    </w:p>
    <w:p w14:paraId="4BEC3DF8" w14:textId="77777777" w:rsidR="00D57658" w:rsidRPr="00D57658" w:rsidRDefault="00D57658" w:rsidP="00D57658">
      <w:pPr>
        <w:spacing w:after="0" w:line="240" w:lineRule="auto"/>
        <w:rPr>
          <w:rFonts w:ascii="Arial" w:hAnsi="Arial" w:cs="Arial"/>
          <w:color w:val="FF0000"/>
          <w:sz w:val="20"/>
          <w:szCs w:val="20"/>
        </w:rPr>
      </w:pPr>
      <w:r w:rsidRPr="00D57658">
        <w:rPr>
          <w:rFonts w:ascii="Arial" w:hAnsi="Arial" w:cs="Arial"/>
          <w:color w:val="FF0000"/>
          <w:sz w:val="20"/>
          <w:szCs w:val="20"/>
        </w:rPr>
        <w:t xml:space="preserve">1.1 Describe key contemporary labour market trends. </w:t>
      </w:r>
    </w:p>
    <w:p w14:paraId="6FDA0F6F" w14:textId="46D9675B"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1.2 Describe the principles of effective workforce planning and tools used to carry it out.   </w:t>
      </w:r>
    </w:p>
    <w:p w14:paraId="1B8F17DA" w14:textId="7777777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1.3 Explain how to develop basic people plans and succession plans.</w:t>
      </w:r>
    </w:p>
    <w:p w14:paraId="5B92C9DB" w14:textId="7777777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2.1 Assess the strengths and weaknesses of different approaches to attracting talent to the organisation. </w:t>
      </w:r>
    </w:p>
    <w:p w14:paraId="2240E7C2" w14:textId="1319262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2.2 Assess the strengths and weaknesses of different approaches to retaining talent.</w:t>
      </w:r>
    </w:p>
    <w:p w14:paraId="5B7F63E7" w14:textId="4623AA36"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3.1 Explain key aspects of good practice in relation to the development of job descriptions, person specifications and competency frameworks. </w:t>
      </w:r>
    </w:p>
    <w:p w14:paraId="706749BD" w14:textId="15A3FF88"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 xml:space="preserve">3.2 Evaluate different methods of recruitment and selection. </w:t>
      </w:r>
    </w:p>
    <w:p w14:paraId="4584C295" w14:textId="77777777" w:rsidR="00D57658" w:rsidRPr="00D57658" w:rsidRDefault="00D57658" w:rsidP="00D57658">
      <w:pPr>
        <w:autoSpaceDE w:val="0"/>
        <w:autoSpaceDN w:val="0"/>
        <w:adjustRightInd w:val="0"/>
        <w:spacing w:after="0" w:line="240" w:lineRule="auto"/>
        <w:rPr>
          <w:rFonts w:ascii="Arial" w:hAnsi="Arial" w:cs="Arial"/>
          <w:color w:val="FF0000"/>
          <w:sz w:val="20"/>
          <w:szCs w:val="20"/>
        </w:rPr>
      </w:pPr>
      <w:r w:rsidRPr="00D57658">
        <w:rPr>
          <w:rFonts w:ascii="Arial" w:hAnsi="Arial" w:cs="Arial"/>
          <w:color w:val="FF0000"/>
          <w:sz w:val="20"/>
          <w:szCs w:val="20"/>
        </w:rPr>
        <w:t>3.3 Explain key aspects of good practice in relation to dismissal, redundancy and retirement.</w:t>
      </w:r>
    </w:p>
    <w:p w14:paraId="5667BA07" w14:textId="55F129BE" w:rsidR="00B7374F" w:rsidRPr="001F4F78" w:rsidRDefault="00B7374F" w:rsidP="001F4F78">
      <w:pPr>
        <w:pStyle w:val="ListParagraph"/>
        <w:numPr>
          <w:ilvl w:val="0"/>
          <w:numId w:val="2"/>
        </w:numPr>
        <w:spacing w:after="0" w:line="360" w:lineRule="auto"/>
        <w:rPr>
          <w:rFonts w:ascii="Arial" w:hAnsi="Arial" w:cs="Arial"/>
          <w:sz w:val="20"/>
          <w:szCs w:val="20"/>
        </w:rPr>
      </w:pPr>
      <w:r w:rsidRPr="001F4F78">
        <w:rPr>
          <w:b/>
          <w:bCs/>
        </w:rPr>
        <w:br w:type="page"/>
      </w:r>
    </w:p>
    <w:p w14:paraId="6F5D9378" w14:textId="02B2C44E" w:rsidR="001F4F78" w:rsidRPr="00D57658" w:rsidRDefault="00D57658" w:rsidP="001F4F78">
      <w:pPr>
        <w:spacing w:after="0" w:line="360" w:lineRule="auto"/>
        <w:rPr>
          <w:rFonts w:ascii="Arial" w:hAnsi="Arial" w:cs="Arial"/>
          <w:color w:val="FF0000"/>
          <w:sz w:val="20"/>
          <w:szCs w:val="20"/>
        </w:rPr>
      </w:pPr>
      <w:r w:rsidRPr="00D57658">
        <w:rPr>
          <w:rFonts w:ascii="Arial" w:hAnsi="Arial" w:cs="Arial"/>
          <w:color w:val="FF0000"/>
          <w:sz w:val="20"/>
          <w:szCs w:val="20"/>
        </w:rPr>
        <w:lastRenderedPageBreak/>
        <w:t>Describe key contemporary labour market trends.</w:t>
      </w:r>
      <w:r w:rsidR="001F4F78" w:rsidRPr="00D57658">
        <w:rPr>
          <w:rFonts w:ascii="Arial" w:hAnsi="Arial" w:cs="Arial"/>
          <w:color w:val="FF0000"/>
          <w:sz w:val="20"/>
          <w:szCs w:val="20"/>
        </w:rPr>
        <w:t xml:space="preserve">  </w:t>
      </w:r>
    </w:p>
    <w:p w14:paraId="3A0EF152" w14:textId="77777777" w:rsidR="001F4F78" w:rsidRDefault="001F4F78" w:rsidP="00792637"/>
    <w:p w14:paraId="743CFB11" w14:textId="2034F9ED" w:rsidR="002B67D5" w:rsidRDefault="009175C2" w:rsidP="00792637">
      <w:r>
        <w:t xml:space="preserve">The labour market consists of people that could potentially work for an organisation </w:t>
      </w:r>
      <w:sdt>
        <w:sdtPr>
          <w:id w:val="1118795994"/>
          <w:citation/>
        </w:sdtPr>
        <w:sdtEndPr/>
        <w:sdtContent>
          <w:r>
            <w:fldChar w:fldCharType="begin"/>
          </w:r>
          <w:r>
            <w:instrText xml:space="preserve"> CITATION Kry162 \l 2057 </w:instrText>
          </w:r>
          <w:r>
            <w:fldChar w:fldCharType="separate"/>
          </w:r>
          <w:r w:rsidR="00FD06BA">
            <w:rPr>
              <w:noProof/>
            </w:rPr>
            <w:t>(Wilkinson &amp; Taylor, 2016)</w:t>
          </w:r>
          <w:r>
            <w:fldChar w:fldCharType="end"/>
          </w:r>
        </w:sdtContent>
      </w:sdt>
      <w:r>
        <w:t xml:space="preserve">.  It is affected by supply and demand which create either a tight or loose labour market.  A tight labour market is when there are more jobs available than people actively looking, whereas a loose labour market </w:t>
      </w:r>
      <w:r w:rsidR="00315CC5">
        <w:t>has more jobseekers than job opportunities.</w:t>
      </w:r>
      <w:r>
        <w:t xml:space="preserve"> </w:t>
      </w:r>
      <w:r w:rsidR="00315CC5">
        <w:t xml:space="preserve">  The labour market can be local, national or international.  With globalisation ever increasing, it can be of benefit for organisation to compare the trends of the United Kingdom</w:t>
      </w:r>
      <w:r w:rsidR="009651F4">
        <w:t xml:space="preserve"> (UK)</w:t>
      </w:r>
      <w:r w:rsidR="00315CC5">
        <w:t xml:space="preserve"> labour market with other countries.  </w:t>
      </w:r>
    </w:p>
    <w:p w14:paraId="5A8574DD" w14:textId="764B122E" w:rsidR="002B67D5" w:rsidRDefault="00315CC5" w:rsidP="00792637">
      <w:r>
        <w:t>For example</w:t>
      </w:r>
      <w:r w:rsidR="009651F4">
        <w:t>,</w:t>
      </w:r>
      <w:r>
        <w:t xml:space="preserve"> </w:t>
      </w:r>
      <w:r w:rsidR="009651F4">
        <w:t>the trends in the labour market of both the UK and Germany are very similar, however, the figures vary greatly.  While there is an increase in employment in both countries, the employment rate is substantially higher in the UK at 76.5% as opposed to 40.2%.  Similarly, both countries have seen a decrease in unemployment; however, with the UK’s unemployment rate of 3.8% of the 67.8 million people, and Germany’s unemployment rate of 5.3% of their 82.8 million population, leaves a difference of just over 1.8 million extra people in Germany who are unemployed</w:t>
      </w:r>
      <w:r w:rsidR="002B67D5">
        <w:t xml:space="preserve"> </w:t>
      </w:r>
      <w:r w:rsidR="004D1A59">
        <w:rPr>
          <w:noProof/>
        </w:rPr>
        <w:t>(Office for National Statistics, 2020; EURES, 2019)</w:t>
      </w:r>
      <w:r w:rsidR="009651F4">
        <w:t xml:space="preserve">.  </w:t>
      </w:r>
      <w:r w:rsidR="00281C22">
        <w:t>Meaning that both countries are experiencing a tight labour market.</w:t>
      </w:r>
    </w:p>
    <w:p w14:paraId="6F10902C" w14:textId="177280F2" w:rsidR="00B7374F" w:rsidRDefault="002B67D5" w:rsidP="00792637">
      <w:r>
        <w:t>One similarity between the two countries is that nationally they both have tight labour markets.  In the UK there were a reported 810,000 vacancies between November 2019 and January 2020, with 8.48 million people economically inactive and potentially looking for employment.  In Germany there were a reported 244,000 vacancies in February 2019, with 2.4 million people economically inactive.</w:t>
      </w:r>
    </w:p>
    <w:p w14:paraId="1EC97538" w14:textId="635C782C" w:rsidR="002B67D5" w:rsidRDefault="002B67D5" w:rsidP="00792637">
      <w:r>
        <w:t xml:space="preserve">Another similarity between both countries is that the </w:t>
      </w:r>
      <w:proofErr w:type="spellStart"/>
      <w:r>
        <w:t>there</w:t>
      </w:r>
      <w:proofErr w:type="spellEnd"/>
      <w:r>
        <w:t xml:space="preserve"> has been an increase in </w:t>
      </w:r>
      <w:r w:rsidR="004D1A59">
        <w:t>economically active women.  In the UK the unemployment rate of women is at its lowest ever, at 24.8%</w:t>
      </w:r>
      <w:r w:rsidR="00281C22">
        <w:t>, and</w:t>
      </w:r>
      <w:r w:rsidR="004D1A59">
        <w:t xml:space="preserve"> in Germany </w:t>
      </w:r>
      <w:r w:rsidR="00281C22">
        <w:t xml:space="preserve">28.5% </w:t>
      </w:r>
      <w:sdt>
        <w:sdtPr>
          <w:id w:val="862404424"/>
          <w:citation/>
        </w:sdtPr>
        <w:sdtEndPr/>
        <w:sdtContent>
          <w:r w:rsidR="004D1A59">
            <w:fldChar w:fldCharType="begin"/>
          </w:r>
          <w:r w:rsidR="004D1A59">
            <w:instrText xml:space="preserve"> CITATION DMnd \l 2057 </w:instrText>
          </w:r>
          <w:r w:rsidR="004D1A59">
            <w:fldChar w:fldCharType="separate"/>
          </w:r>
          <w:r w:rsidR="00FD06BA">
            <w:rPr>
              <w:noProof/>
            </w:rPr>
            <w:t>(DM, n.d.)</w:t>
          </w:r>
          <w:r w:rsidR="004D1A59">
            <w:fldChar w:fldCharType="end"/>
          </w:r>
        </w:sdtContent>
      </w:sdt>
      <w:r w:rsidR="00281C22">
        <w:t>.</w:t>
      </w:r>
    </w:p>
    <w:p w14:paraId="48C59FD4" w14:textId="0F935D66" w:rsidR="009651F4" w:rsidRDefault="009651F4" w:rsidP="00792637">
      <w:r>
        <w:t xml:space="preserve">Another difference between the two countries are the vacancies where skills are required.  In the UK the three main areas are health and social care, retail and hospitality; while in Germany their main areas are health and tradesman occupations – engineering, transport, </w:t>
      </w:r>
      <w:r w:rsidR="004D1A59">
        <w:t>carpentry, metal work</w:t>
      </w:r>
      <w:r w:rsidR="002B67D5">
        <w:t>.</w:t>
      </w:r>
      <w:r w:rsidR="00281C22">
        <w:t xml:space="preserve">  This shows that there is both a similarity and difference in the demand for skills between both countries, this could lead to competition.</w:t>
      </w:r>
    </w:p>
    <w:p w14:paraId="2273D3DB" w14:textId="77777777" w:rsidR="006F72D0" w:rsidRDefault="006F72D0" w:rsidP="00792637"/>
    <w:p w14:paraId="519C09A8" w14:textId="2135B66F" w:rsidR="00B7374F" w:rsidRDefault="00D57658" w:rsidP="00792637">
      <w:r w:rsidRPr="00D57658">
        <w:rPr>
          <w:rFonts w:ascii="Arial" w:hAnsi="Arial" w:cs="Arial"/>
          <w:color w:val="FF0000"/>
          <w:sz w:val="20"/>
          <w:szCs w:val="20"/>
        </w:rPr>
        <w:t>Describe the principles of effective workforce planning and tools used to carry it out.</w:t>
      </w:r>
    </w:p>
    <w:p w14:paraId="2E432FFC" w14:textId="242E69B3" w:rsidR="00A13288" w:rsidRDefault="00A13288" w:rsidP="00792637">
      <w:r>
        <w:t>The tight labour market, as well as the potential impact of Brexit and the 4</w:t>
      </w:r>
      <w:r w:rsidRPr="00A13288">
        <w:rPr>
          <w:vertAlign w:val="superscript"/>
        </w:rPr>
        <w:t>th</w:t>
      </w:r>
      <w:r>
        <w:t xml:space="preserve"> Industrial Revolution, impacts on workforce trends.  There is a growing emergent in the important of workforce planning to help organisation meet these impacts on the future workforce.</w:t>
      </w:r>
    </w:p>
    <w:p w14:paraId="35C64AD3" w14:textId="79DC5CDB" w:rsidR="009134D4" w:rsidRDefault="000C173C" w:rsidP="009134D4">
      <w:r>
        <w:t xml:space="preserve">Workforce planning </w:t>
      </w:r>
      <w:r w:rsidR="001808A9">
        <w:t>is a process that involves various steps/tasks to ensure that an organisation has the</w:t>
      </w:r>
      <w:r>
        <w:t xml:space="preserve"> right number</w:t>
      </w:r>
      <w:r w:rsidR="001808A9">
        <w:t xml:space="preserve"> of the</w:t>
      </w:r>
      <w:r>
        <w:t xml:space="preserve"> right people</w:t>
      </w:r>
      <w:r w:rsidR="001808A9">
        <w:t xml:space="preserve"> with the </w:t>
      </w:r>
      <w:r>
        <w:t>right skills</w:t>
      </w:r>
      <w:r w:rsidR="001808A9">
        <w:t xml:space="preserve"> at the</w:t>
      </w:r>
      <w:r>
        <w:t xml:space="preserve"> right time</w:t>
      </w:r>
      <w:r w:rsidR="001808A9">
        <w:t xml:space="preserve"> for the</w:t>
      </w:r>
      <w:r>
        <w:t xml:space="preserve"> right costs</w:t>
      </w:r>
      <w:r w:rsidR="001808A9">
        <w:t xml:space="preserve"> in the</w:t>
      </w:r>
      <w:r>
        <w:t xml:space="preserve"> right contracts </w:t>
      </w:r>
      <w:sdt>
        <w:sdtPr>
          <w:id w:val="-1647739427"/>
          <w:citation/>
        </w:sdtPr>
        <w:sdtEndPr/>
        <w:sdtContent>
          <w:r w:rsidR="001808A9">
            <w:fldChar w:fldCharType="begin"/>
          </w:r>
          <w:r w:rsidR="001808A9">
            <w:instrText xml:space="preserve"> CITATION CIP1911 \l 2057 </w:instrText>
          </w:r>
          <w:r w:rsidR="001808A9">
            <w:fldChar w:fldCharType="separate"/>
          </w:r>
          <w:r w:rsidR="00FD06BA">
            <w:rPr>
              <w:noProof/>
            </w:rPr>
            <w:t>(CIPD, 2019)</w:t>
          </w:r>
          <w:r w:rsidR="001808A9">
            <w:fldChar w:fldCharType="end"/>
          </w:r>
        </w:sdtContent>
      </w:sdt>
      <w:r w:rsidR="001808A9">
        <w:t>.</w:t>
      </w:r>
      <w:r w:rsidR="00CF34C0">
        <w:t xml:space="preserve">  It can be termed as ‘human resource planning’, ‘talent planning’ or ‘manpower planning’ within the organisation and can vary in scope and timescale </w:t>
      </w:r>
      <w:r w:rsidR="00CF34C0">
        <w:rPr>
          <w:noProof/>
        </w:rPr>
        <w:t>(Wilkinson &amp; Taylor, 2016; Stephen Taylor, 2010)</w:t>
      </w:r>
      <w:r w:rsidR="00CF34C0">
        <w:t>.</w:t>
      </w:r>
      <w:r w:rsidR="009134D4">
        <w:t xml:space="preserve">  It includes analysing data on the current workforce and capability, also incorporate current demographics, forecasting of skills shortages and surpluses as well as HR trends e.g. automation </w:t>
      </w:r>
      <w:sdt>
        <w:sdtPr>
          <w:id w:val="1790085637"/>
          <w:citation/>
        </w:sdtPr>
        <w:sdtEndPr/>
        <w:sdtContent>
          <w:r w:rsidR="009134D4">
            <w:fldChar w:fldCharType="begin"/>
          </w:r>
          <w:r w:rsidR="009134D4">
            <w:instrText xml:space="preserve"> CITATION CIP20 \l 2057 </w:instrText>
          </w:r>
          <w:r w:rsidR="009134D4">
            <w:fldChar w:fldCharType="separate"/>
          </w:r>
          <w:r w:rsidR="00FD06BA">
            <w:rPr>
              <w:noProof/>
            </w:rPr>
            <w:t>(CIPD, 2020)</w:t>
          </w:r>
          <w:r w:rsidR="009134D4">
            <w:fldChar w:fldCharType="end"/>
          </w:r>
        </w:sdtContent>
      </w:sdt>
      <w:r w:rsidR="009134D4">
        <w:t>.  This provides the evidence of what is, and will be, needed so that strategies can be developed and implemented accordingly.</w:t>
      </w:r>
    </w:p>
    <w:p w14:paraId="6EEE66A3" w14:textId="74B7445B" w:rsidR="0053079D" w:rsidRDefault="0053079D" w:rsidP="00792637"/>
    <w:p w14:paraId="02407DCF" w14:textId="281F0403" w:rsidR="00CF34C0" w:rsidRDefault="00CF34C0" w:rsidP="00792637">
      <w:r>
        <w:lastRenderedPageBreak/>
        <w:t>Assessing organisation’s position in relation to its labour market, forecasting</w:t>
      </w:r>
      <w:r w:rsidR="000267E6">
        <w:t xml:space="preserve"> its</w:t>
      </w:r>
      <w:r>
        <w:t xml:space="preserve"> situation </w:t>
      </w:r>
      <w:r w:rsidR="000267E6">
        <w:t>– whether that be</w:t>
      </w:r>
      <w:r>
        <w:t xml:space="preserve"> short, medium,</w:t>
      </w:r>
      <w:r w:rsidR="000267E6">
        <w:t xml:space="preserve"> or</w:t>
      </w:r>
      <w:r>
        <w:t xml:space="preserve"> long term</w:t>
      </w:r>
      <w:r w:rsidR="000267E6">
        <w:t xml:space="preserve"> – to develop plans that bridge any gaps in labour supply and demand, ensuring that the organisation can meet its goals</w:t>
      </w:r>
      <w:r>
        <w:t xml:space="preserve"> </w:t>
      </w:r>
      <w:sdt>
        <w:sdtPr>
          <w:id w:val="-1028333812"/>
          <w:citation/>
        </w:sdtPr>
        <w:sdtEndPr/>
        <w:sdtContent>
          <w:r>
            <w:fldChar w:fldCharType="begin"/>
          </w:r>
          <w:r w:rsidR="00BC416E">
            <w:instrText xml:space="preserve">CITATION Ste10 \l 2057 </w:instrText>
          </w:r>
          <w:r>
            <w:fldChar w:fldCharType="separate"/>
          </w:r>
          <w:r w:rsidR="00FD06BA">
            <w:rPr>
              <w:noProof/>
            </w:rPr>
            <w:t>(Taylor S. , Resourcing and Talent Management (5th Ed), 2010)</w:t>
          </w:r>
          <w:r>
            <w:fldChar w:fldCharType="end"/>
          </w:r>
        </w:sdtContent>
      </w:sdt>
      <w:r>
        <w:t>.</w:t>
      </w:r>
      <w:r w:rsidR="000267E6">
        <w:t xml:space="preserve">  </w:t>
      </w:r>
    </w:p>
    <w:p w14:paraId="5D476657" w14:textId="3470DA26" w:rsidR="000C173C" w:rsidRDefault="00CF34C0" w:rsidP="00792637">
      <w:r>
        <w:t>According to Taylor</w:t>
      </w:r>
      <w:r w:rsidR="00A13288">
        <w:t xml:space="preserve"> </w:t>
      </w:r>
      <w:r w:rsidR="00A13288">
        <w:rPr>
          <w:noProof/>
        </w:rPr>
        <w:t>(2010: p105)</w:t>
      </w:r>
      <w:r>
        <w:t>, there are four</w:t>
      </w:r>
      <w:r w:rsidR="002A35A2">
        <w:t xml:space="preserve"> stages</w:t>
      </w:r>
      <w:r>
        <w:t xml:space="preserve"> in the workforce planning cycle</w:t>
      </w:r>
      <w:r w:rsidR="000C173C">
        <w:t>:</w:t>
      </w:r>
      <w:r w:rsidR="002A35A2">
        <w:t xml:space="preserve"> </w:t>
      </w:r>
    </w:p>
    <w:p w14:paraId="5CE4426C" w14:textId="75D80F0C" w:rsidR="000C173C" w:rsidRDefault="00CF34C0" w:rsidP="00792637">
      <w:r w:rsidRPr="004B203C">
        <w:rPr>
          <w:i/>
          <w:iCs/>
        </w:rPr>
        <w:t>F</w:t>
      </w:r>
      <w:r w:rsidR="002A35A2" w:rsidRPr="004B203C">
        <w:rPr>
          <w:i/>
          <w:iCs/>
        </w:rPr>
        <w:t>orecasting demand</w:t>
      </w:r>
      <w:r>
        <w:t xml:space="preserve"> </w:t>
      </w:r>
      <w:r w:rsidR="00323E83">
        <w:t>–</w:t>
      </w:r>
      <w:r>
        <w:t xml:space="preserve"> </w:t>
      </w:r>
      <w:r w:rsidR="00D65887">
        <w:t>focusing on</w:t>
      </w:r>
      <w:r w:rsidR="00CE1AC0">
        <w:t xml:space="preserve"> the organisation’s plans for the future</w:t>
      </w:r>
      <w:r w:rsidR="00D65887">
        <w:t>.</w:t>
      </w:r>
      <w:r w:rsidR="00CE1AC0">
        <w:t xml:space="preserve">  </w:t>
      </w:r>
      <w:r w:rsidR="00D65887">
        <w:t>A</w:t>
      </w:r>
      <w:r w:rsidR="00323E83">
        <w:t>im to identify what tasks need to be carried out, which tasks can be grouped together to form roles, how many of these roles will be needed, what skills and competencies are needed</w:t>
      </w:r>
      <w:r w:rsidR="00CE1AC0">
        <w:t xml:space="preserve"> to perform those tasks, what levels of skills are needed to perform those tasks, what governance is needed to ensure high quality</w:t>
      </w:r>
      <w:r w:rsidR="00D73768">
        <w:t xml:space="preserve"> </w:t>
      </w:r>
      <w:sdt>
        <w:sdtPr>
          <w:id w:val="1409041287"/>
          <w:citation/>
        </w:sdtPr>
        <w:sdtEndPr/>
        <w:sdtContent>
          <w:r w:rsidR="00D73768">
            <w:fldChar w:fldCharType="begin"/>
          </w:r>
          <w:r w:rsidR="00D73768">
            <w:instrText xml:space="preserve"> CITATION Dav19 \l 2057 </w:instrText>
          </w:r>
          <w:r w:rsidR="00D73768">
            <w:fldChar w:fldCharType="separate"/>
          </w:r>
          <w:r w:rsidR="00FD06BA">
            <w:rPr>
              <w:noProof/>
            </w:rPr>
            <w:t>(Ulrich, 2019)</w:t>
          </w:r>
          <w:r w:rsidR="00D73768">
            <w:fldChar w:fldCharType="end"/>
          </w:r>
        </w:sdtContent>
      </w:sdt>
      <w:r w:rsidR="00323E83">
        <w:t>.</w:t>
      </w:r>
      <w:r w:rsidR="00CE1AC0">
        <w:t xml:space="preserve">  These can help to identify costs in terms of roles needed for the future</w:t>
      </w:r>
      <w:r w:rsidR="00D65887">
        <w:t>.</w:t>
      </w:r>
    </w:p>
    <w:p w14:paraId="7E674B24" w14:textId="0BD3CA7F" w:rsidR="00A13288" w:rsidRDefault="00CF34C0" w:rsidP="00A13288">
      <w:r w:rsidRPr="004B203C">
        <w:rPr>
          <w:i/>
          <w:iCs/>
        </w:rPr>
        <w:t>F</w:t>
      </w:r>
      <w:r w:rsidR="002A35A2" w:rsidRPr="004B203C">
        <w:rPr>
          <w:i/>
          <w:iCs/>
        </w:rPr>
        <w:t>orecasting supply</w:t>
      </w:r>
      <w:r>
        <w:t xml:space="preserve"> </w:t>
      </w:r>
      <w:r w:rsidR="00323E83">
        <w:t>–</w:t>
      </w:r>
      <w:r>
        <w:t xml:space="preserve"> </w:t>
      </w:r>
      <w:r w:rsidR="00323E83">
        <w:t>turnover rates over time, current resources</w:t>
      </w:r>
      <w:r w:rsidR="00CE1AC0">
        <w:t xml:space="preserve">, what specific </w:t>
      </w:r>
      <w:r w:rsidR="00323E83">
        <w:t>skills</w:t>
      </w:r>
      <w:r w:rsidR="00CE1AC0">
        <w:t xml:space="preserve"> are held and at what level</w:t>
      </w:r>
      <w:r w:rsidR="00323E83">
        <w:t>,</w:t>
      </w:r>
      <w:r w:rsidR="00CE1AC0">
        <w:t xml:space="preserve"> demographic of current workforce including age.  These trends can help predict future movement.</w:t>
      </w:r>
      <w:r w:rsidR="00323E83">
        <w:t xml:space="preserve"> </w:t>
      </w:r>
      <w:r w:rsidR="00A13288">
        <w:t xml:space="preserve">For </w:t>
      </w:r>
      <w:proofErr w:type="gramStart"/>
      <w:r w:rsidR="00A13288">
        <w:t>example</w:t>
      </w:r>
      <w:proofErr w:type="gramEnd"/>
      <w:r w:rsidR="00A13288">
        <w:t xml:space="preserve"> in the NHS Wales there is a Workforce Interactive Tool and a Skills Mix Analyser Tool that assist executives and senior managers as a part of workforce planning.  Understanding trends in the organisations and comparing then to other Health Boards in Wales </w:t>
      </w:r>
      <w:sdt>
        <w:sdtPr>
          <w:id w:val="661509904"/>
          <w:citation/>
        </w:sdtPr>
        <w:sdtEndPr/>
        <w:sdtContent>
          <w:r w:rsidR="00A13288">
            <w:fldChar w:fldCharType="begin"/>
          </w:r>
          <w:r w:rsidR="00A13288">
            <w:instrText xml:space="preserve">CITATION WED16 \t  \m WED161 \t  \l 2057 </w:instrText>
          </w:r>
          <w:r w:rsidR="00A13288">
            <w:fldChar w:fldCharType="separate"/>
          </w:r>
          <w:r w:rsidR="00FD06BA">
            <w:rPr>
              <w:noProof/>
            </w:rPr>
            <w:t>(WEDS, 2016; WEDS, 2016)</w:t>
          </w:r>
          <w:r w:rsidR="00A13288">
            <w:fldChar w:fldCharType="end"/>
          </w:r>
        </w:sdtContent>
      </w:sdt>
      <w:r w:rsidR="00A13288">
        <w:t>.</w:t>
      </w:r>
    </w:p>
    <w:p w14:paraId="37148FB1" w14:textId="60B2A5B2" w:rsidR="000C173C" w:rsidRDefault="00CF34C0" w:rsidP="00792637">
      <w:r w:rsidRPr="004B203C">
        <w:rPr>
          <w:i/>
          <w:iCs/>
        </w:rPr>
        <w:t>I</w:t>
      </w:r>
      <w:r w:rsidR="002A35A2" w:rsidRPr="004B203C">
        <w:rPr>
          <w:i/>
          <w:iCs/>
        </w:rPr>
        <w:t>dentifying gaps</w:t>
      </w:r>
      <w:r>
        <w:t xml:space="preserve"> </w:t>
      </w:r>
      <w:r w:rsidR="00323E83">
        <w:t>–</w:t>
      </w:r>
      <w:r>
        <w:t xml:space="preserve"> </w:t>
      </w:r>
      <w:r w:rsidR="004B203C">
        <w:t xml:space="preserve">These can be achieved through </w:t>
      </w:r>
      <w:r w:rsidR="00323E83">
        <w:t>competency framework</w:t>
      </w:r>
      <w:r w:rsidR="004B203C">
        <w:t>s</w:t>
      </w:r>
      <w:r w:rsidR="00323E83">
        <w:t>, skills audit</w:t>
      </w:r>
      <w:r w:rsidR="004B203C">
        <w:t>s,</w:t>
      </w:r>
      <w:r w:rsidR="00323E83">
        <w:t xml:space="preserve"> managers knowing staff, training needs analysis, </w:t>
      </w:r>
      <w:r w:rsidR="004B203C">
        <w:t xml:space="preserve">and </w:t>
      </w:r>
      <w:r w:rsidR="00323E83">
        <w:t>talent pools with employees self-identifying skills.</w:t>
      </w:r>
      <w:r w:rsidR="004B203C">
        <w:t xml:space="preserve">  Competency frameworks are structures that show the employees’ behaviours, attitude and action – for example critical thinking or problem solving – with limited detail, not too broad </w:t>
      </w:r>
      <w:sdt>
        <w:sdtPr>
          <w:id w:val="-1102561557"/>
          <w:citation/>
        </w:sdtPr>
        <w:sdtEndPr/>
        <w:sdtContent>
          <w:r w:rsidR="004B203C">
            <w:fldChar w:fldCharType="begin"/>
          </w:r>
          <w:r w:rsidR="004B203C">
            <w:instrText xml:space="preserve"> CITATION CIP1912 \l 2057 </w:instrText>
          </w:r>
          <w:r w:rsidR="004B203C">
            <w:fldChar w:fldCharType="separate"/>
          </w:r>
          <w:r w:rsidR="00FD06BA">
            <w:rPr>
              <w:noProof/>
            </w:rPr>
            <w:t>(CIPD, Competency and Competency Framework, 2019)</w:t>
          </w:r>
          <w:r w:rsidR="004B203C">
            <w:fldChar w:fldCharType="end"/>
          </w:r>
        </w:sdtContent>
      </w:sdt>
      <w:r w:rsidR="004B203C">
        <w:t>.</w:t>
      </w:r>
      <w:r w:rsidR="00CE1AC0">
        <w:t xml:space="preserve">  </w:t>
      </w:r>
    </w:p>
    <w:p w14:paraId="1D4EF60D" w14:textId="314852DE" w:rsidR="00B7374F" w:rsidRDefault="00CF34C0" w:rsidP="00792637">
      <w:r w:rsidRPr="004B203C">
        <w:rPr>
          <w:i/>
          <w:iCs/>
        </w:rPr>
        <w:t>A</w:t>
      </w:r>
      <w:r w:rsidR="002A35A2" w:rsidRPr="004B203C">
        <w:rPr>
          <w:i/>
          <w:iCs/>
        </w:rPr>
        <w:t>ddressing gaps</w:t>
      </w:r>
      <w:r>
        <w:t xml:space="preserve"> </w:t>
      </w:r>
      <w:r w:rsidR="00323E83">
        <w:t>–</w:t>
      </w:r>
      <w:r>
        <w:t xml:space="preserve"> </w:t>
      </w:r>
      <w:r w:rsidR="00D65887">
        <w:t xml:space="preserve">This can be accomplished through </w:t>
      </w:r>
      <w:r w:rsidR="00323E83">
        <w:t>retain</w:t>
      </w:r>
      <w:r w:rsidR="00D65887">
        <w:t>ing</w:t>
      </w:r>
      <w:r w:rsidR="00323E83">
        <w:t xml:space="preserve"> and upskill</w:t>
      </w:r>
      <w:r w:rsidR="00D65887">
        <w:t>ing</w:t>
      </w:r>
      <w:r w:rsidR="00323E83">
        <w:t xml:space="preserve"> current employees </w:t>
      </w:r>
      <w:r w:rsidR="00D65887">
        <w:t>by</w:t>
      </w:r>
      <w:r w:rsidR="00323E83">
        <w:t xml:space="preserve"> moving</w:t>
      </w:r>
      <w:r w:rsidR="00D65887">
        <w:t xml:space="preserve"> them into different roles</w:t>
      </w:r>
      <w:r w:rsidR="00323E83">
        <w:t xml:space="preserve"> and mentoring</w:t>
      </w:r>
      <w:r w:rsidR="00D65887">
        <w:t xml:space="preserve"> them</w:t>
      </w:r>
      <w:r w:rsidR="00323E83">
        <w:t>, retrain</w:t>
      </w:r>
      <w:r w:rsidR="00D65887">
        <w:t>ing</w:t>
      </w:r>
      <w:r w:rsidR="00323E83">
        <w:t xml:space="preserve"> current employees through </w:t>
      </w:r>
      <w:r w:rsidR="00D65887">
        <w:t>learning and development schemes</w:t>
      </w:r>
      <w:r w:rsidR="00323E83">
        <w:t>, or creating redundancies.</w:t>
      </w:r>
      <w:r w:rsidR="00D65887">
        <w:t xml:space="preserve">  For example, in a tight labour market, there might not be the skills needed out in the labour market, therefore there may be a need to retrain and upskill current employees.</w:t>
      </w:r>
    </w:p>
    <w:p w14:paraId="78D819F5" w14:textId="77777777" w:rsidR="00B7374F" w:rsidRDefault="00B7374F" w:rsidP="00792637"/>
    <w:p w14:paraId="5ED82C7D" w14:textId="40878094" w:rsidR="00B7374F" w:rsidRDefault="00D57658" w:rsidP="00792637">
      <w:r w:rsidRPr="00D57658">
        <w:rPr>
          <w:rFonts w:ascii="Arial" w:hAnsi="Arial" w:cs="Arial"/>
          <w:color w:val="FF0000"/>
          <w:sz w:val="20"/>
          <w:szCs w:val="20"/>
        </w:rPr>
        <w:t>Explain how to develop basic people plans and succession plans.</w:t>
      </w:r>
    </w:p>
    <w:p w14:paraId="3D9B01B0" w14:textId="0E37A4D2" w:rsidR="00F30C28" w:rsidRDefault="00106D58" w:rsidP="00792637">
      <w:r>
        <w:t xml:space="preserve">People and succession planning </w:t>
      </w:r>
      <w:r w:rsidR="002A61B0">
        <w:t>involve</w:t>
      </w:r>
      <w:r>
        <w:t xml:space="preserve"> a process </w:t>
      </w:r>
      <w:r w:rsidR="002A61B0">
        <w:t>that</w:t>
      </w:r>
      <w:r>
        <w:t xml:space="preserve"> identif</w:t>
      </w:r>
      <w:r w:rsidR="002A61B0">
        <w:t>ies</w:t>
      </w:r>
      <w:r>
        <w:t xml:space="preserve"> employees and develop</w:t>
      </w:r>
      <w:r w:rsidR="002A61B0">
        <w:t>s</w:t>
      </w:r>
      <w:r>
        <w:t xml:space="preserve"> them so that they could potentially </w:t>
      </w:r>
      <w:r w:rsidR="002A61B0">
        <w:t>step into</w:t>
      </w:r>
      <w:r>
        <w:t xml:space="preserve"> the organisations’ future l</w:t>
      </w:r>
      <w:r w:rsidR="00F30C28">
        <w:t>eader, manager and</w:t>
      </w:r>
      <w:r>
        <w:t>/or</w:t>
      </w:r>
      <w:r w:rsidR="00F30C28">
        <w:t xml:space="preserve"> business-critical roles</w:t>
      </w:r>
      <w:r w:rsidR="002A61B0">
        <w:t xml:space="preserve"> when needed</w:t>
      </w:r>
      <w:r>
        <w:t xml:space="preserve"> </w:t>
      </w:r>
      <w:r w:rsidR="002A61B0">
        <w:rPr>
          <w:noProof/>
        </w:rPr>
        <w:t>(CIPD, 2020)</w:t>
      </w:r>
      <w:r w:rsidR="00F30C28">
        <w:t>.</w:t>
      </w:r>
      <w:r w:rsidR="002A61B0">
        <w:t xml:space="preserve">  Taylor (2010: p296) suggests that </w:t>
      </w:r>
      <w:r w:rsidR="0003370D">
        <w:t>effective succession planning involves five steps:</w:t>
      </w:r>
    </w:p>
    <w:p w14:paraId="07BACFA7" w14:textId="0AF834EB" w:rsidR="0003370D" w:rsidRDefault="0003370D" w:rsidP="0003370D">
      <w:pPr>
        <w:pStyle w:val="ListParagraph"/>
        <w:numPr>
          <w:ilvl w:val="0"/>
          <w:numId w:val="1"/>
        </w:numPr>
      </w:pPr>
      <w:r>
        <w:t>Identification of critical positions</w:t>
      </w:r>
    </w:p>
    <w:p w14:paraId="6F12CDA5" w14:textId="0DEFBAC6" w:rsidR="0003370D" w:rsidRDefault="0003370D" w:rsidP="0003370D">
      <w:pPr>
        <w:pStyle w:val="ListParagraph"/>
        <w:numPr>
          <w:ilvl w:val="0"/>
          <w:numId w:val="1"/>
        </w:numPr>
      </w:pPr>
      <w:r>
        <w:t>Define the capabilities required</w:t>
      </w:r>
    </w:p>
    <w:p w14:paraId="40DCEA23" w14:textId="52192485" w:rsidR="0003370D" w:rsidRDefault="0003370D" w:rsidP="0003370D">
      <w:pPr>
        <w:pStyle w:val="ListParagraph"/>
        <w:numPr>
          <w:ilvl w:val="0"/>
          <w:numId w:val="1"/>
        </w:numPr>
      </w:pPr>
      <w:r>
        <w:t>Identification and assessment of potential successors</w:t>
      </w:r>
    </w:p>
    <w:p w14:paraId="54AAE1AF" w14:textId="33289667" w:rsidR="0003370D" w:rsidRDefault="0003370D" w:rsidP="0003370D">
      <w:pPr>
        <w:pStyle w:val="ListParagraph"/>
        <w:numPr>
          <w:ilvl w:val="0"/>
          <w:numId w:val="1"/>
        </w:numPr>
      </w:pPr>
      <w:r>
        <w:t>Provision of focussed development plans</w:t>
      </w:r>
    </w:p>
    <w:p w14:paraId="371ECB14" w14:textId="42213F24" w:rsidR="0003370D" w:rsidRDefault="0003370D" w:rsidP="0003370D">
      <w:pPr>
        <w:pStyle w:val="ListParagraph"/>
        <w:numPr>
          <w:ilvl w:val="0"/>
          <w:numId w:val="1"/>
        </w:numPr>
      </w:pPr>
      <w:r>
        <w:t>Regular review of potential successors</w:t>
      </w:r>
    </w:p>
    <w:p w14:paraId="46B5ABD8" w14:textId="69AFFE3B" w:rsidR="00F30C28" w:rsidRDefault="0003370D" w:rsidP="00792637">
      <w:r>
        <w:t>Taylor (2010: p300-304) also suggests that t</w:t>
      </w:r>
      <w:r w:rsidR="00F30C28">
        <w:t>here are two approaches to succession planning</w:t>
      </w:r>
      <w:r>
        <w:t>:</w:t>
      </w:r>
    </w:p>
    <w:p w14:paraId="0E7BC108" w14:textId="76539748" w:rsidR="00B7374F" w:rsidRDefault="002A35A2" w:rsidP="00792637">
      <w:r>
        <w:t>T</w:t>
      </w:r>
      <w:r w:rsidR="003A1947">
        <w:t xml:space="preserve">he </w:t>
      </w:r>
      <w:r w:rsidR="003A1947" w:rsidRPr="003A1947">
        <w:rPr>
          <w:i/>
          <w:iCs/>
        </w:rPr>
        <w:t>t</w:t>
      </w:r>
      <w:r w:rsidRPr="003A1947">
        <w:rPr>
          <w:i/>
          <w:iCs/>
        </w:rPr>
        <w:t xml:space="preserve">raditional </w:t>
      </w:r>
      <w:r w:rsidR="003A1947" w:rsidRPr="003A1947">
        <w:rPr>
          <w:i/>
          <w:iCs/>
        </w:rPr>
        <w:t>approach</w:t>
      </w:r>
      <w:r>
        <w:t xml:space="preserve"> </w:t>
      </w:r>
      <w:r w:rsidR="00F30C28">
        <w:t>typically followed in larger organisations, hierarchical in direction, where senior managers</w:t>
      </w:r>
      <w:r w:rsidR="003A1947">
        <w:t xml:space="preserve"> discreetly</w:t>
      </w:r>
      <w:r w:rsidR="00F30C28">
        <w:t xml:space="preserve"> identify and develop talented employees.  While this may bring continuity of leadership, there are weaknesses to this approach.  </w:t>
      </w:r>
      <w:r w:rsidR="003A1947">
        <w:t xml:space="preserve">There is a potential for favouritism to be shown by managers and a limitation to the number of employees’ opportunities are given to.  </w:t>
      </w:r>
      <w:r w:rsidR="003A1947">
        <w:lastRenderedPageBreak/>
        <w:t>This can lead to talented employees being overlooked, animosity within the teams/departments, disengagement, lower employee wellbeing and low performance</w:t>
      </w:r>
      <w:r w:rsidR="00106D58">
        <w:t xml:space="preserve"> </w:t>
      </w:r>
      <w:sdt>
        <w:sdtPr>
          <w:id w:val="1050814775"/>
          <w:citation/>
        </w:sdtPr>
        <w:sdtEndPr/>
        <w:sdtContent>
          <w:r w:rsidR="00106D58">
            <w:fldChar w:fldCharType="begin"/>
          </w:r>
          <w:r w:rsidR="00106D58">
            <w:instrText xml:space="preserve">CITATION CIP201 \t  \l 2057 </w:instrText>
          </w:r>
          <w:r w:rsidR="00106D58">
            <w:fldChar w:fldCharType="separate"/>
          </w:r>
          <w:r w:rsidR="00FD06BA">
            <w:rPr>
              <w:noProof/>
            </w:rPr>
            <w:t>(CIPD, 2020)</w:t>
          </w:r>
          <w:r w:rsidR="00106D58">
            <w:fldChar w:fldCharType="end"/>
          </w:r>
        </w:sdtContent>
      </w:sdt>
      <w:r w:rsidR="003A1947">
        <w:t>.</w:t>
      </w:r>
    </w:p>
    <w:p w14:paraId="089564ED" w14:textId="2537EBDF" w:rsidR="002A35A2" w:rsidRDefault="003A1947" w:rsidP="00792637">
      <w:r>
        <w:t xml:space="preserve">Whereas, the </w:t>
      </w:r>
      <w:r w:rsidRPr="00106D58">
        <w:rPr>
          <w:i/>
          <w:iCs/>
        </w:rPr>
        <w:t>c</w:t>
      </w:r>
      <w:r w:rsidR="002A35A2" w:rsidRPr="00106D58">
        <w:rPr>
          <w:i/>
          <w:iCs/>
        </w:rPr>
        <w:t xml:space="preserve">ontemporary </w:t>
      </w:r>
      <w:r w:rsidRPr="00106D58">
        <w:rPr>
          <w:i/>
          <w:iCs/>
        </w:rPr>
        <w:t>approach</w:t>
      </w:r>
      <w:r>
        <w:t xml:space="preserve"> allows for a pool of talented employees to identified</w:t>
      </w:r>
      <w:r w:rsidR="00106D58">
        <w:t>, possibly through appraisals by line mangers,</w:t>
      </w:r>
      <w:r>
        <w:t xml:space="preserve"> and developed</w:t>
      </w:r>
      <w:r w:rsidR="00106D58">
        <w:t>.  Identification could also be</w:t>
      </w:r>
      <w:r>
        <w:t xml:space="preserve"> based on selection techniques such as competency frameworks and/or skills mix tools.  This </w:t>
      </w:r>
      <w:r w:rsidR="00106D58">
        <w:t>approach leads to a more open and fair culture of progression within an organisation, opportunities for a variation in management and leadership techniques</w:t>
      </w:r>
      <w:r w:rsidR="002038F5">
        <w:t>, and potentially greater diversity in successors</w:t>
      </w:r>
      <w:r w:rsidR="00106D58">
        <w:t>.</w:t>
      </w:r>
      <w:r w:rsidR="002A35A2">
        <w:t xml:space="preserve"> </w:t>
      </w:r>
    </w:p>
    <w:p w14:paraId="0E4AE6D3" w14:textId="1647BE40" w:rsidR="002038F5" w:rsidRDefault="0003370D" w:rsidP="00792637">
      <w:r>
        <w:t xml:space="preserve">Within the contemporary approach are key techniques for the process.  </w:t>
      </w:r>
      <w:r w:rsidR="002038F5">
        <w:t>It regular, open appraisals (or methods of communication between employee and line manager, formal or informal) so that the employee can express an interest and/or a manager can encourage development.</w:t>
      </w:r>
      <w:r>
        <w:t xml:space="preserve"> </w:t>
      </w:r>
      <w:r w:rsidR="003F75E4">
        <w:t xml:space="preserve">It </w:t>
      </w:r>
      <w:r>
        <w:t xml:space="preserve">is suggested that appraisals are a key method of identifying </w:t>
      </w:r>
      <w:r w:rsidR="003F75E4">
        <w:t xml:space="preserve">these </w:t>
      </w:r>
      <w:r>
        <w:t>potential successors</w:t>
      </w:r>
      <w:r w:rsidR="003F75E4">
        <w:t xml:space="preserve"> </w:t>
      </w:r>
      <w:sdt>
        <w:sdtPr>
          <w:id w:val="-1576666513"/>
          <w:citation/>
        </w:sdtPr>
        <w:sdtEndPr/>
        <w:sdtContent>
          <w:r w:rsidR="003F75E4">
            <w:fldChar w:fldCharType="begin"/>
          </w:r>
          <w:r w:rsidR="003F75E4">
            <w:instrText xml:space="preserve">CITATION Mic12 \l 2057 </w:instrText>
          </w:r>
          <w:r w:rsidR="003F75E4">
            <w:fldChar w:fldCharType="separate"/>
          </w:r>
          <w:r w:rsidR="00FD06BA">
            <w:rPr>
              <w:noProof/>
            </w:rPr>
            <w:t>(Armstrong, 2012)</w:t>
          </w:r>
          <w:r w:rsidR="003F75E4">
            <w:fldChar w:fldCharType="end"/>
          </w:r>
        </w:sdtContent>
      </w:sdt>
      <w:r>
        <w:t>.</w:t>
      </w:r>
      <w:r w:rsidR="00656E73">
        <w:t xml:space="preserve"> Allowing for l</w:t>
      </w:r>
      <w:r w:rsidR="002038F5">
        <w:t>ateral moves can broaden an employees</w:t>
      </w:r>
      <w:r w:rsidR="006E16C1">
        <w:t>’</w:t>
      </w:r>
      <w:r w:rsidR="002038F5">
        <w:t xml:space="preserve"> experience, creating a foundation of greater depth of knowledge and understanding </w:t>
      </w:r>
      <w:r w:rsidR="006E16C1">
        <w:t xml:space="preserve">of the organisation as a whole, helping them </w:t>
      </w:r>
      <w:r w:rsidR="002038F5">
        <w:t>in preparation for future roles</w:t>
      </w:r>
      <w:r w:rsidR="006E16C1">
        <w:t xml:space="preserve"> </w:t>
      </w:r>
      <w:sdt>
        <w:sdtPr>
          <w:id w:val="91827649"/>
          <w:citation/>
        </w:sdtPr>
        <w:sdtEndPr/>
        <w:sdtContent>
          <w:r w:rsidR="006E16C1">
            <w:fldChar w:fldCharType="begin"/>
          </w:r>
          <w:r w:rsidR="006E16C1">
            <w:instrText xml:space="preserve">CITATION CIP201 \t  \l 2057 </w:instrText>
          </w:r>
          <w:r w:rsidR="006E16C1">
            <w:fldChar w:fldCharType="separate"/>
          </w:r>
          <w:r w:rsidR="00FD06BA">
            <w:rPr>
              <w:noProof/>
            </w:rPr>
            <w:t>(CIPD, 2020)</w:t>
          </w:r>
          <w:r w:rsidR="006E16C1">
            <w:fldChar w:fldCharType="end"/>
          </w:r>
        </w:sdtContent>
      </w:sdt>
      <w:r w:rsidR="002038F5">
        <w:t xml:space="preserve">. </w:t>
      </w:r>
      <w:r w:rsidR="00656E73">
        <w:t xml:space="preserve"> </w:t>
      </w:r>
      <w:r w:rsidR="006E16C1">
        <w:t>Ensuring that there are l</w:t>
      </w:r>
      <w:r w:rsidR="002038F5">
        <w:t>earning and development opportunities</w:t>
      </w:r>
      <w:r w:rsidR="006E16C1">
        <w:t xml:space="preserve"> for employees to participate in can provide the knowledge and skills necessary in various roles</w:t>
      </w:r>
      <w:r w:rsidR="00656E73">
        <w:t>.  Providing access to c</w:t>
      </w:r>
      <w:r w:rsidR="002038F5">
        <w:t>oaching and/or mentoring</w:t>
      </w:r>
      <w:r w:rsidR="00656E73">
        <w:t xml:space="preserve"> can also aid the development process to ensure that the progress of the potential successor is timely and in line with the organisation’s requirements.</w:t>
      </w:r>
    </w:p>
    <w:p w14:paraId="3B4134C8" w14:textId="1D4E90DD" w:rsidR="00B7374F" w:rsidRDefault="00B7374F" w:rsidP="00792637"/>
    <w:p w14:paraId="6BBA6E2A" w14:textId="12649D2A" w:rsidR="00B7374F" w:rsidRDefault="00D57658" w:rsidP="00792637">
      <w:r w:rsidRPr="00D57658">
        <w:rPr>
          <w:rFonts w:ascii="Arial" w:hAnsi="Arial" w:cs="Arial"/>
          <w:color w:val="FF0000"/>
          <w:sz w:val="20"/>
          <w:szCs w:val="20"/>
        </w:rPr>
        <w:t>Assess the strengths and weaknesses of different approaches to attracting talent to the organisation.</w:t>
      </w:r>
    </w:p>
    <w:p w14:paraId="5C1B0A94" w14:textId="22B56092" w:rsidR="002A35A2" w:rsidRDefault="005C4B53" w:rsidP="00792637">
      <w:r>
        <w:t xml:space="preserve">A more recent line of thinking is that when organisations clearly show what their </w:t>
      </w:r>
      <w:r w:rsidRPr="00162C9E">
        <w:rPr>
          <w:b/>
          <w:bCs/>
        </w:rPr>
        <w:t>culture and values</w:t>
      </w:r>
      <w:r>
        <w:t xml:space="preserve"> are, individuals are attracted to this.  </w:t>
      </w:r>
      <w:r w:rsidR="00162C9E">
        <w:t>If an individual can picture themselves in an organisation because of how they perceive the culture to be and the values that are displayed they may be more likely to apply for a position there</w:t>
      </w:r>
      <w:sdt>
        <w:sdtPr>
          <w:id w:val="182792078"/>
          <w:citation/>
        </w:sdtPr>
        <w:sdtEndPr/>
        <w:sdtContent>
          <w:r w:rsidR="00162C9E">
            <w:fldChar w:fldCharType="begin"/>
          </w:r>
          <w:r w:rsidR="00162C9E">
            <w:instrText xml:space="preserve">CITATION Cla17 \l 2057 </w:instrText>
          </w:r>
          <w:r w:rsidR="00162C9E">
            <w:fldChar w:fldCharType="separate"/>
          </w:r>
          <w:r w:rsidR="00FD06BA">
            <w:rPr>
              <w:noProof/>
            </w:rPr>
            <w:t xml:space="preserve"> (McCartney, 2017)</w:t>
          </w:r>
          <w:r w:rsidR="00162C9E">
            <w:fldChar w:fldCharType="end"/>
          </w:r>
        </w:sdtContent>
      </w:sdt>
      <w:r w:rsidR="00162C9E">
        <w:t>.  For example, Google has created a culture of open communication and encouragement of creativity, which has attracted so many individuals that it has hundreds of CVs every week</w:t>
      </w:r>
      <w:sdt>
        <w:sdtPr>
          <w:id w:val="1754628202"/>
          <w:citation/>
        </w:sdtPr>
        <w:sdtEndPr/>
        <w:sdtContent>
          <w:r w:rsidR="00162C9E">
            <w:fldChar w:fldCharType="begin"/>
          </w:r>
          <w:r w:rsidR="00162C9E">
            <w:instrText xml:space="preserve">CITATION Ste16 \t  \l 2057 </w:instrText>
          </w:r>
          <w:r w:rsidR="00162C9E">
            <w:fldChar w:fldCharType="separate"/>
          </w:r>
          <w:r w:rsidR="00FD06BA">
            <w:rPr>
              <w:noProof/>
            </w:rPr>
            <w:t xml:space="preserve"> (Taylor &amp; Woodhams, 2016)</w:t>
          </w:r>
          <w:r w:rsidR="00162C9E">
            <w:fldChar w:fldCharType="end"/>
          </w:r>
        </w:sdtContent>
      </w:sdt>
      <w:r w:rsidR="00162C9E">
        <w:t>.</w:t>
      </w:r>
      <w:r w:rsidR="00E229C3">
        <w:t xml:space="preserve">  However, if the culture and values has shaped the wrong identity for an organisation, it could either detract individuals or attract the wrong individuals from applying to work there.</w:t>
      </w:r>
      <w:r w:rsidR="00A13614">
        <w:t xml:space="preserve">  Also, if an organisation portrays one set of values but in </w:t>
      </w:r>
      <w:proofErr w:type="gramStart"/>
      <w:r w:rsidR="00A13614">
        <w:t>reality</w:t>
      </w:r>
      <w:proofErr w:type="gramEnd"/>
      <w:r w:rsidR="00A13614">
        <w:t xml:space="preserve"> it is very different, word will soon spread and strategies for attraction may not work.</w:t>
      </w:r>
    </w:p>
    <w:p w14:paraId="7BFC79D9" w14:textId="46124F91" w:rsidR="002A35A2" w:rsidRDefault="00E450F5" w:rsidP="00792637">
      <w:r>
        <w:t xml:space="preserve">A strong </w:t>
      </w:r>
      <w:r w:rsidRPr="00162C9E">
        <w:rPr>
          <w:b/>
          <w:bCs/>
        </w:rPr>
        <w:t>brand</w:t>
      </w:r>
      <w:r>
        <w:t xml:space="preserve"> </w:t>
      </w:r>
      <w:r w:rsidR="00A17309">
        <w:t>can differentiate an organisation from its competitors, and</w:t>
      </w:r>
      <w:r>
        <w:t xml:space="preserve"> Taylor suggests that an individual will more likely choose a heavily branded product/service than another unbranded</w:t>
      </w:r>
      <w:r w:rsidR="001C6E07">
        <w:t xml:space="preserve"> one (2010:194).</w:t>
      </w:r>
      <w:r>
        <w:t xml:space="preserve"> </w:t>
      </w:r>
      <w:r w:rsidR="004D58BD">
        <w:t xml:space="preserve"> </w:t>
      </w:r>
      <w:r w:rsidR="00E51269">
        <w:t xml:space="preserve">However, in order for an organisation to have a powerful brand, a substantial amount of money is required to be spent on marketing and advertising, and possibly on creating new products/services to support the stronger branding.  This may not be possible for smaller organisations.  </w:t>
      </w:r>
      <w:r w:rsidR="004D58BD">
        <w:t>A strong brand can induce loyalty in the organisation’s customers, as individuals may be less likely to risk trying another product/service in case their experience is inferior.</w:t>
      </w:r>
      <w:r w:rsidR="00E51269">
        <w:t xml:space="preserve">  There are risks associated with the contamination of branding – the bigger the branding, the greater the fall if any bad publicity arises, meaning that more resources may need to be put towards recovery, if recovery is even conceivable</w:t>
      </w:r>
      <w:r w:rsidR="00513DAF">
        <w:t xml:space="preserve"> </w:t>
      </w:r>
      <w:r w:rsidR="00513DAF">
        <w:rPr>
          <w:noProof/>
        </w:rPr>
        <w:t>(Taylor S. , 2010; Taylor S. , 2016)</w:t>
      </w:r>
      <w:r w:rsidR="00E51269">
        <w:t>.</w:t>
      </w:r>
    </w:p>
    <w:p w14:paraId="4DC14410" w14:textId="0B21C4DC" w:rsidR="002A35A2" w:rsidRDefault="00CB7469" w:rsidP="00792637">
      <w:r>
        <w:t xml:space="preserve">Some organisations are in a position to offer competitive rates of </w:t>
      </w:r>
      <w:r w:rsidRPr="00D57658">
        <w:rPr>
          <w:b/>
          <w:bCs/>
        </w:rPr>
        <w:t>pay</w:t>
      </w:r>
      <w:r>
        <w:t xml:space="preserve"> and/or </w:t>
      </w:r>
      <w:r w:rsidR="00186979">
        <w:t xml:space="preserve">attractive </w:t>
      </w:r>
      <w:r w:rsidR="00186979" w:rsidRPr="00D57658">
        <w:rPr>
          <w:b/>
          <w:bCs/>
        </w:rPr>
        <w:t>benefits</w:t>
      </w:r>
      <w:r w:rsidR="00186979">
        <w:t xml:space="preserve"> to employees that can attract individuals.  </w:t>
      </w:r>
      <w:r w:rsidR="003C220D">
        <w:t>This can go a long way in drawing the attention of individuals, particularly when the labour market is tight.  However, o</w:t>
      </w:r>
      <w:r w:rsidR="00FB5390">
        <w:t>rganisations, like Google, while they do not offer competitive rats of pay, they do offer very attractive benefits, such as in-house exercise facilities, flexible working, range of catering establishments to eat at</w:t>
      </w:r>
      <w:r w:rsidR="003C220D">
        <w:t xml:space="preserve"> and many more</w:t>
      </w:r>
      <w:sdt>
        <w:sdtPr>
          <w:id w:val="-1586912723"/>
          <w:citation/>
        </w:sdtPr>
        <w:sdtEndPr/>
        <w:sdtContent>
          <w:r w:rsidR="003C220D">
            <w:fldChar w:fldCharType="begin"/>
          </w:r>
          <w:r w:rsidR="003C220D">
            <w:instrText xml:space="preserve">CITATION Ste16 \t  \l 2057 </w:instrText>
          </w:r>
          <w:r w:rsidR="003C220D">
            <w:fldChar w:fldCharType="separate"/>
          </w:r>
          <w:r w:rsidR="00FD06BA">
            <w:rPr>
              <w:noProof/>
            </w:rPr>
            <w:t xml:space="preserve"> (Taylor &amp; Woodhams, 2016)</w:t>
          </w:r>
          <w:r w:rsidR="003C220D">
            <w:fldChar w:fldCharType="end"/>
          </w:r>
        </w:sdtContent>
      </w:sdt>
      <w:r w:rsidR="003C220D">
        <w:t xml:space="preserve">.  This also draws individuals to the organisation.  There is a risk to this though, </w:t>
      </w:r>
      <w:r w:rsidR="003C220D">
        <w:lastRenderedPageBreak/>
        <w:t>w</w:t>
      </w:r>
      <w:r w:rsidR="00186979">
        <w:t>hen organisations only offer competitive rates of pay and do not develop other strategies for attracting and retaining employees, they could either attract the wrong types of employees for their line of business or they risk a high turnover rate due to employees not becoming/remaining actively engaged</w:t>
      </w:r>
      <w:sdt>
        <w:sdtPr>
          <w:id w:val="1806424538"/>
          <w:citation/>
        </w:sdtPr>
        <w:sdtEndPr/>
        <w:sdtContent>
          <w:r w:rsidR="003C220D">
            <w:fldChar w:fldCharType="begin"/>
          </w:r>
          <w:r w:rsidR="003C220D">
            <w:instrText xml:space="preserve">CITATION Ste162 \t  \l 2057 </w:instrText>
          </w:r>
          <w:r w:rsidR="003C220D">
            <w:fldChar w:fldCharType="separate"/>
          </w:r>
          <w:r w:rsidR="00FD06BA">
            <w:rPr>
              <w:noProof/>
            </w:rPr>
            <w:t xml:space="preserve"> (Taylor S. , 2016)</w:t>
          </w:r>
          <w:r w:rsidR="003C220D">
            <w:fldChar w:fldCharType="end"/>
          </w:r>
        </w:sdtContent>
      </w:sdt>
      <w:r w:rsidR="00186979">
        <w:t xml:space="preserve">. </w:t>
      </w:r>
    </w:p>
    <w:p w14:paraId="35E41FB3" w14:textId="77777777" w:rsidR="00B7374F" w:rsidRDefault="00B7374F" w:rsidP="00792637"/>
    <w:p w14:paraId="25F4DAD1" w14:textId="024D77A9" w:rsidR="00B7374F" w:rsidRDefault="00D57658" w:rsidP="00792637">
      <w:r w:rsidRPr="00D57658">
        <w:rPr>
          <w:rFonts w:ascii="Arial" w:hAnsi="Arial" w:cs="Arial"/>
          <w:color w:val="FF0000"/>
          <w:sz w:val="20"/>
          <w:szCs w:val="20"/>
        </w:rPr>
        <w:t>Assess the strengths and weaknesses of different approaches to retaining talent.</w:t>
      </w:r>
    </w:p>
    <w:p w14:paraId="29F76824" w14:textId="46007C7E" w:rsidR="00FC19CB" w:rsidRDefault="00FC19CB" w:rsidP="00792637">
      <w:r>
        <w:t xml:space="preserve">Taylor (2010: p 334) discusses four factors that cause organisational turnover </w:t>
      </w:r>
      <w:r w:rsidR="009F56DF">
        <w:t>suggesting employees are ‘</w:t>
      </w:r>
      <w:r w:rsidR="009F56DF" w:rsidRPr="009F56DF">
        <w:rPr>
          <w:b/>
          <w:bCs/>
        </w:rPr>
        <w:t>pull</w:t>
      </w:r>
      <w:r w:rsidR="009F56DF">
        <w:t>ed’ away to the offer of a better job, ‘</w:t>
      </w:r>
      <w:r w:rsidR="00ED2E90" w:rsidRPr="009F56DF">
        <w:rPr>
          <w:b/>
          <w:bCs/>
        </w:rPr>
        <w:t>push</w:t>
      </w:r>
      <w:r w:rsidR="009F56DF">
        <w:t>ed’ away</w:t>
      </w:r>
      <w:r w:rsidR="00ED2E90">
        <w:t xml:space="preserve"> from their existing organisations to another with the hope of a better job</w:t>
      </w:r>
      <w:r w:rsidR="009F56DF">
        <w:t>; organisations experience</w:t>
      </w:r>
      <w:r w:rsidR="00ED2E90">
        <w:t xml:space="preserve"> </w:t>
      </w:r>
      <w:r w:rsidR="009F56DF" w:rsidRPr="009F56DF">
        <w:rPr>
          <w:b/>
          <w:bCs/>
        </w:rPr>
        <w:t>u</w:t>
      </w:r>
      <w:r w:rsidR="00ED2E90" w:rsidRPr="009F56DF">
        <w:rPr>
          <w:b/>
          <w:bCs/>
        </w:rPr>
        <w:t>navoidable</w:t>
      </w:r>
      <w:r w:rsidR="00ED2E90">
        <w:t xml:space="preserve"> turnover </w:t>
      </w:r>
      <w:r w:rsidR="009F56DF">
        <w:t>due to a</w:t>
      </w:r>
      <w:r w:rsidR="00ED2E90">
        <w:t xml:space="preserve"> career break or moving away</w:t>
      </w:r>
      <w:r w:rsidR="009F56DF">
        <w:t xml:space="preserve"> for example, and </w:t>
      </w:r>
      <w:r w:rsidR="009F56DF" w:rsidRPr="009F56DF">
        <w:rPr>
          <w:b/>
          <w:bCs/>
        </w:rPr>
        <w:t>i</w:t>
      </w:r>
      <w:r w:rsidR="00ED2E90" w:rsidRPr="009F56DF">
        <w:rPr>
          <w:b/>
          <w:bCs/>
        </w:rPr>
        <w:t>nvoluntary</w:t>
      </w:r>
      <w:r w:rsidR="00ED2E90">
        <w:t xml:space="preserve"> turnover</w:t>
      </w:r>
      <w:r w:rsidR="00B07883">
        <w:t xml:space="preserve"> where the organisation initiates the employee leaving, due to redundancy, fixed term contracts ending or where people “jump before they are pushed” (Taylor, 2010).</w:t>
      </w:r>
    </w:p>
    <w:p w14:paraId="609ADDB3" w14:textId="1658F144" w:rsidR="00684B88" w:rsidRDefault="00B07883" w:rsidP="00792637">
      <w:r>
        <w:t xml:space="preserve">With more than four-fifths of organisations </w:t>
      </w:r>
      <w:r w:rsidR="009F56DF">
        <w:t xml:space="preserve">admitting to having difficulties in employee retention it suggests that it is </w:t>
      </w:r>
      <w:r>
        <w:t xml:space="preserve">important </w:t>
      </w:r>
      <w:r w:rsidR="00684B88">
        <w:t>there are initiatives</w:t>
      </w:r>
      <w:r w:rsidR="003A393A">
        <w:t>, including development and rewards</w:t>
      </w:r>
      <w:r w:rsidR="00684B88">
        <w:t xml:space="preserve"> that can be undertaken by organisations to increase their employee retention rate.</w:t>
      </w:r>
      <w:r w:rsidR="009F56DF">
        <w:t xml:space="preserve"> </w:t>
      </w:r>
      <w:sdt>
        <w:sdtPr>
          <w:id w:val="-657232528"/>
          <w:citation/>
        </w:sdtPr>
        <w:sdtEndPr/>
        <w:sdtContent>
          <w:r w:rsidR="009F56DF">
            <w:fldChar w:fldCharType="begin"/>
          </w:r>
          <w:r w:rsidR="009F56DF">
            <w:instrText xml:space="preserve"> CITATION CIP177 \l 2057 </w:instrText>
          </w:r>
          <w:r w:rsidR="009F56DF">
            <w:fldChar w:fldCharType="separate"/>
          </w:r>
          <w:r w:rsidR="00FD06BA">
            <w:rPr>
              <w:noProof/>
            </w:rPr>
            <w:t>(CIPD, 2017)</w:t>
          </w:r>
          <w:r w:rsidR="009F56DF">
            <w:fldChar w:fldCharType="end"/>
          </w:r>
        </w:sdtContent>
      </w:sdt>
      <w:r w:rsidR="009F56DF">
        <w:t xml:space="preserve">. </w:t>
      </w:r>
    </w:p>
    <w:p w14:paraId="09C5C18C" w14:textId="623F3ACF" w:rsidR="00684B88" w:rsidRPr="00684B88" w:rsidRDefault="00684B88" w:rsidP="00792637">
      <w:pPr>
        <w:rPr>
          <w:i/>
          <w:iCs/>
        </w:rPr>
      </w:pPr>
      <w:r w:rsidRPr="00684B88">
        <w:rPr>
          <w:i/>
          <w:iCs/>
        </w:rPr>
        <w:t>Development</w:t>
      </w:r>
    </w:p>
    <w:p w14:paraId="46E34E4E" w14:textId="53B2FB56" w:rsidR="009F56DF" w:rsidRDefault="00684B88" w:rsidP="00792637">
      <w:r>
        <w:t xml:space="preserve">The CIPD reported that one of the top three activities organisations have improved to improve their employee retention is learning and development </w:t>
      </w:r>
      <w:sdt>
        <w:sdtPr>
          <w:id w:val="-711424551"/>
          <w:citation/>
        </w:sdtPr>
        <w:sdtEndPr/>
        <w:sdtContent>
          <w:r>
            <w:fldChar w:fldCharType="begin"/>
          </w:r>
          <w:r>
            <w:instrText xml:space="preserve"> CITATION CIP177 \l 2057 </w:instrText>
          </w:r>
          <w:r>
            <w:fldChar w:fldCharType="separate"/>
          </w:r>
          <w:r w:rsidR="00FD06BA">
            <w:rPr>
              <w:noProof/>
            </w:rPr>
            <w:t>(CIPD, 2017)</w:t>
          </w:r>
          <w:r>
            <w:fldChar w:fldCharType="end"/>
          </w:r>
        </w:sdtContent>
      </w:sdt>
      <w:r>
        <w:t xml:space="preserve">.   </w:t>
      </w:r>
      <w:r w:rsidR="00F25459">
        <w:t xml:space="preserve">It can be said that improving development opportunities and encouraging employees to participate can empower them and create a flexible and adaptable </w:t>
      </w:r>
      <w:r w:rsidR="007C5D4B">
        <w:t xml:space="preserve">workforce </w:t>
      </w:r>
      <w:sdt>
        <w:sdtPr>
          <w:id w:val="-27648224"/>
          <w:citation/>
        </w:sdtPr>
        <w:sdtEndPr/>
        <w:sdtContent>
          <w:r w:rsidR="007C5D4B">
            <w:fldChar w:fldCharType="begin"/>
          </w:r>
          <w:r w:rsidR="007C5D4B">
            <w:instrText xml:space="preserve"> CITATION Pos18 \l 2057 </w:instrText>
          </w:r>
          <w:r w:rsidR="007C5D4B">
            <w:fldChar w:fldCharType="separate"/>
          </w:r>
          <w:r w:rsidR="00FD06BA">
            <w:rPr>
              <w:noProof/>
            </w:rPr>
            <w:t>(PositiveRevolution, 2018)</w:t>
          </w:r>
          <w:r w:rsidR="007C5D4B">
            <w:fldChar w:fldCharType="end"/>
          </w:r>
        </w:sdtContent>
      </w:sdt>
      <w:r w:rsidR="007C5D4B">
        <w:t xml:space="preserve">.  If an organisation doesn’t, then it can risk losing ambitious employees via the </w:t>
      </w:r>
      <w:r w:rsidR="00845B9A">
        <w:t>‘</w:t>
      </w:r>
      <w:r w:rsidR="007C5D4B">
        <w:t>push factor</w:t>
      </w:r>
      <w:r w:rsidR="00845B9A">
        <w:t>’</w:t>
      </w:r>
      <w:r w:rsidR="007C5D4B">
        <w:t xml:space="preserve">, due to them being frustrated, demotivated and disengaged </w:t>
      </w:r>
      <w:sdt>
        <w:sdtPr>
          <w:id w:val="1555425570"/>
          <w:citation/>
        </w:sdtPr>
        <w:sdtEndPr/>
        <w:sdtContent>
          <w:r w:rsidR="007C5D4B">
            <w:fldChar w:fldCharType="begin"/>
          </w:r>
          <w:r w:rsidR="00BC416E">
            <w:instrText xml:space="preserve">CITATION Ste10 \l 2057 </w:instrText>
          </w:r>
          <w:r w:rsidR="007C5D4B">
            <w:fldChar w:fldCharType="separate"/>
          </w:r>
          <w:r w:rsidR="00FD06BA">
            <w:rPr>
              <w:noProof/>
            </w:rPr>
            <w:t>(Taylor S. , Resourcing and Talent Management (5th Ed), 2010)</w:t>
          </w:r>
          <w:r w:rsidR="007C5D4B">
            <w:fldChar w:fldCharType="end"/>
          </w:r>
        </w:sdtContent>
      </w:sdt>
      <w:r w:rsidR="007C5D4B">
        <w:t>.</w:t>
      </w:r>
      <w:r w:rsidR="001023C8">
        <w:t xml:space="preserve"> Some even go as far as to s</w:t>
      </w:r>
      <w:r w:rsidR="001023C8" w:rsidRPr="001023C8">
        <w:t>uggest that it is unreasonable and unrealistic to expect hard work and commitment from any employee without offering opportunity for advancement (Marchington</w:t>
      </w:r>
      <w:r w:rsidR="001023C8">
        <w:t xml:space="preserve"> et al</w:t>
      </w:r>
      <w:r w:rsidR="001023C8" w:rsidRPr="001023C8">
        <w:t>, 2016).</w:t>
      </w:r>
      <w:r w:rsidR="007C5D4B">
        <w:t xml:space="preserve"> However, </w:t>
      </w:r>
      <w:r w:rsidR="00B12AA6">
        <w:t xml:space="preserve">there is a risk that developing and upskilling employees may increase the likelihood of them leaving </w:t>
      </w:r>
      <w:r w:rsidR="003E6F5E">
        <w:t>for career opportunities if they are no existing opportunities.</w:t>
      </w:r>
      <w:r w:rsidR="00B12AA6">
        <w:t xml:space="preserve"> </w:t>
      </w:r>
      <w:r w:rsidR="00D97528">
        <w:t xml:space="preserve"> One study found that obtaining specific externally recognised qualifications increased the </w:t>
      </w:r>
      <w:r>
        <w:t xml:space="preserve">tendency for search for a job elsewhere </w:t>
      </w:r>
      <w:sdt>
        <w:sdtPr>
          <w:id w:val="-76203850"/>
          <w:citation/>
        </w:sdtPr>
        <w:sdtEndPr/>
        <w:sdtContent>
          <w:r>
            <w:fldChar w:fldCharType="begin"/>
          </w:r>
          <w:r w:rsidR="00BC416E">
            <w:instrText xml:space="preserve">CITATION Ste10 \l 2057 </w:instrText>
          </w:r>
          <w:r>
            <w:fldChar w:fldCharType="separate"/>
          </w:r>
          <w:r w:rsidR="00FD06BA">
            <w:rPr>
              <w:noProof/>
            </w:rPr>
            <w:t>(Taylor S. , Resourcing and Talent Management (5th Ed), 2010)</w:t>
          </w:r>
          <w:r>
            <w:fldChar w:fldCharType="end"/>
          </w:r>
        </w:sdtContent>
      </w:sdt>
      <w:r>
        <w:t>.</w:t>
      </w:r>
    </w:p>
    <w:p w14:paraId="125E84B8" w14:textId="2EBFF7A2" w:rsidR="00FC19CB" w:rsidRPr="00684B88" w:rsidRDefault="00FC19CB" w:rsidP="00792637">
      <w:pPr>
        <w:rPr>
          <w:i/>
          <w:iCs/>
        </w:rPr>
      </w:pPr>
      <w:r w:rsidRPr="00684B88">
        <w:rPr>
          <w:i/>
          <w:iCs/>
        </w:rPr>
        <w:t>Reward</w:t>
      </w:r>
      <w:r w:rsidR="00503E2B" w:rsidRPr="00684B88">
        <w:rPr>
          <w:i/>
          <w:iCs/>
        </w:rPr>
        <w:t>s</w:t>
      </w:r>
    </w:p>
    <w:p w14:paraId="55989786" w14:textId="5495FB96" w:rsidR="001023C8" w:rsidRDefault="00684B88" w:rsidP="001023C8">
      <w:r>
        <w:t xml:space="preserve">It is now recognised that retention is not solely due to pay, rewards and </w:t>
      </w:r>
      <w:r w:rsidR="00845B9A">
        <w:t>personal motivators</w:t>
      </w:r>
      <w:r w:rsidR="003A393A">
        <w:t>, including job satisfaction and a clear sense of purpose,</w:t>
      </w:r>
      <w:r>
        <w:t xml:space="preserve"> are as important to many employees </w:t>
      </w:r>
      <w:r w:rsidR="00845B9A">
        <w:rPr>
          <w:noProof/>
        </w:rPr>
        <w:t>(PositiveRevolution, 2018; Taylor, 2010)</w:t>
      </w:r>
      <w:r w:rsidR="00845B9A">
        <w:t xml:space="preserve">. </w:t>
      </w:r>
      <w:r>
        <w:t xml:space="preserve"> </w:t>
      </w:r>
      <w:r w:rsidR="00845B9A">
        <w:t xml:space="preserve"> </w:t>
      </w:r>
      <w:r w:rsidR="001023C8" w:rsidRPr="001023C8">
        <w:t xml:space="preserve">There are various ways of recognising and rewarding talent, through performance-related pay, higher than average compensation e.g. regular bonus, profit-sharing schemes, group-wide incentives schemes, ‘total reward’ and other non-pay related benefits (Taylor, 2016; Perkins &amp; Woodhams, 2016).  Incentives include analytical (or non-analytical) job evaluation to determine job worth within an organisation, can make it standardised and fair.  It has been suggested that money, feedback and recognition </w:t>
      </w:r>
      <w:r w:rsidR="003A393A" w:rsidRPr="001023C8">
        <w:t>have</w:t>
      </w:r>
      <w:r w:rsidR="001023C8" w:rsidRPr="001023C8">
        <w:t xml:space="preserve"> a stronger effect on </w:t>
      </w:r>
      <w:r w:rsidR="003A393A">
        <w:t>satisfaction</w:t>
      </w:r>
      <w:r w:rsidR="001023C8" w:rsidRPr="001023C8">
        <w:t xml:space="preserve"> than if used solely when a manager recognises the specific details of the performance/talent and offer the praise when deserved (</w:t>
      </w:r>
      <w:proofErr w:type="spellStart"/>
      <w:r w:rsidR="001023C8" w:rsidRPr="001023C8">
        <w:t>Wietrak</w:t>
      </w:r>
      <w:proofErr w:type="spellEnd"/>
      <w:r w:rsidR="001023C8" w:rsidRPr="001023C8">
        <w:t>, 2019).</w:t>
      </w:r>
      <w:r w:rsidR="003A393A">
        <w:t xml:space="preserve">  </w:t>
      </w:r>
      <w:r w:rsidR="003A393A" w:rsidRPr="00421F0C">
        <w:t xml:space="preserve">A team from the Gallup Organisation held an extensive study to whether there was a link between employee emotional and cognitive engagement with </w:t>
      </w:r>
      <w:r w:rsidR="003A393A">
        <w:t xml:space="preserve">various things including </w:t>
      </w:r>
      <w:r w:rsidR="003A393A" w:rsidRPr="00421F0C">
        <w:t>staff turnover (Harter et al, 2002).  The findings suggest</w:t>
      </w:r>
      <w:r w:rsidR="003A393A">
        <w:t>ed</w:t>
      </w:r>
      <w:r w:rsidR="003A393A" w:rsidRPr="00421F0C">
        <w:t xml:space="preserve"> </w:t>
      </w:r>
      <w:r w:rsidR="003A393A">
        <w:t>a</w:t>
      </w:r>
      <w:r w:rsidR="003A393A" w:rsidRPr="00421F0C">
        <w:t xml:space="preserve"> clear link between employee engagement and staff turnover</w:t>
      </w:r>
      <w:r w:rsidR="003A393A">
        <w:t xml:space="preserve">.  </w:t>
      </w:r>
      <w:r w:rsidR="001023C8" w:rsidRPr="001023C8">
        <w:t xml:space="preserve">However, when any of the methods of recognising and rewarding talent are not comparable with other organisations it can lead to </w:t>
      </w:r>
      <w:r w:rsidR="001023C8" w:rsidRPr="001023C8">
        <w:lastRenderedPageBreak/>
        <w:t>higher staff turnover, as individuals may leave to a more attractive offer. Also, if not equitable to different levels of working then it can lead to frustration, disunity and (Marchington</w:t>
      </w:r>
      <w:r w:rsidR="00C541E2">
        <w:t xml:space="preserve"> et al</w:t>
      </w:r>
      <w:r w:rsidR="001023C8" w:rsidRPr="001023C8">
        <w:t>, 2016).</w:t>
      </w:r>
      <w:r w:rsidR="003A393A">
        <w:t xml:space="preserve"> </w:t>
      </w:r>
    </w:p>
    <w:p w14:paraId="1A7FD4C5" w14:textId="77777777" w:rsidR="00421F0C" w:rsidRDefault="00421F0C" w:rsidP="00792637"/>
    <w:p w14:paraId="1A6A7274" w14:textId="71C5CD5F" w:rsidR="00B7374F" w:rsidRDefault="00D57658" w:rsidP="00792637">
      <w:r w:rsidRPr="00D57658">
        <w:rPr>
          <w:rFonts w:ascii="Arial" w:hAnsi="Arial" w:cs="Arial"/>
          <w:color w:val="FF0000"/>
          <w:sz w:val="20"/>
          <w:szCs w:val="20"/>
        </w:rPr>
        <w:t>Explain key aspects of good practice in relation to the development of job descriptions, person specifications and competency frameworks.</w:t>
      </w:r>
      <w:r w:rsidR="00B7374F" w:rsidRPr="00963A8D">
        <w:rPr>
          <w:color w:val="FF0000"/>
        </w:rPr>
        <w:t xml:space="preserve"> </w:t>
      </w:r>
    </w:p>
    <w:p w14:paraId="5071851A" w14:textId="60E91A23" w:rsidR="00B7374F" w:rsidRDefault="005460E4" w:rsidP="00792637">
      <w:r>
        <w:t>It has been considered ‘good practice’ to conduct a j</w:t>
      </w:r>
      <w:r w:rsidR="0053079D">
        <w:t xml:space="preserve">ob </w:t>
      </w:r>
      <w:r>
        <w:t>a</w:t>
      </w:r>
      <w:r w:rsidR="0053079D">
        <w:t>nalysis</w:t>
      </w:r>
      <w:r>
        <w:t xml:space="preserve"> in the process of recruiting and selecting employees</w:t>
      </w:r>
      <w:sdt>
        <w:sdtPr>
          <w:id w:val="-1309701901"/>
          <w:citation/>
        </w:sdtPr>
        <w:sdtEndPr/>
        <w:sdtContent>
          <w:r w:rsidR="00E371CA">
            <w:fldChar w:fldCharType="begin"/>
          </w:r>
          <w:r w:rsidR="00E371CA">
            <w:instrText xml:space="preserve"> CITATION Kry162 \l 2057 </w:instrText>
          </w:r>
          <w:r w:rsidR="00E371CA">
            <w:fldChar w:fldCharType="separate"/>
          </w:r>
          <w:r w:rsidR="00FD06BA">
            <w:rPr>
              <w:noProof/>
            </w:rPr>
            <w:t xml:space="preserve"> (Wilkinson &amp; Taylor, 2016)</w:t>
          </w:r>
          <w:r w:rsidR="00E371CA">
            <w:fldChar w:fldCharType="end"/>
          </w:r>
        </w:sdtContent>
      </w:sdt>
      <w:r>
        <w:t xml:space="preserve">  </w:t>
      </w:r>
      <w:r w:rsidR="00A57642">
        <w:t>This way i</w:t>
      </w:r>
      <w:r>
        <w:t>nformation</w:t>
      </w:r>
      <w:r w:rsidR="00A57642">
        <w:t xml:space="preserve"> </w:t>
      </w:r>
      <w:r w:rsidR="0086425B">
        <w:t xml:space="preserve">about the job </w:t>
      </w:r>
      <w:r w:rsidR="00A57642">
        <w:t>is</w:t>
      </w:r>
      <w:r>
        <w:t xml:space="preserve"> </w:t>
      </w:r>
      <w:r w:rsidR="003E7880">
        <w:t xml:space="preserve">systematically </w:t>
      </w:r>
      <w:r>
        <w:t>gathered objectively so as to minimise any potential bias in the recruitment process</w:t>
      </w:r>
      <w:r w:rsidR="00A57642">
        <w:t xml:space="preserve"> and increase the chances of selecting the right individual for the job</w:t>
      </w:r>
      <w:r>
        <w:t xml:space="preserve">. </w:t>
      </w:r>
      <w:r w:rsidR="00A57642">
        <w:t>A typical job analysis sh</w:t>
      </w:r>
      <w:r>
        <w:t>ould include</w:t>
      </w:r>
      <w:r w:rsidR="00A57642">
        <w:t xml:space="preserve"> information on the duties and</w:t>
      </w:r>
      <w:r>
        <w:t xml:space="preserve"> responsibilities</w:t>
      </w:r>
      <w:r w:rsidR="00A57642">
        <w:t xml:space="preserve"> required</w:t>
      </w:r>
      <w:r>
        <w:t xml:space="preserve">, controls, </w:t>
      </w:r>
      <w:r w:rsidR="00A57642">
        <w:t xml:space="preserve">the varying and levels of </w:t>
      </w:r>
      <w:r>
        <w:t>interactions and relationships</w:t>
      </w:r>
      <w:r w:rsidR="00A57642">
        <w:t xml:space="preserve"> needed</w:t>
      </w:r>
      <w:r>
        <w:t>, qualifications and experience</w:t>
      </w:r>
      <w:r w:rsidR="00A57642">
        <w:t xml:space="preserve"> (essential and/or desirable) for the post</w:t>
      </w:r>
      <w:r>
        <w:t>, environment</w:t>
      </w:r>
      <w:r w:rsidR="00A57642">
        <w:t xml:space="preserve"> in which the job will be carried out</w:t>
      </w:r>
      <w:r>
        <w:t>,</w:t>
      </w:r>
      <w:r w:rsidR="00A57642">
        <w:t xml:space="preserve"> and output required.  Job analys</w:t>
      </w:r>
      <w:r w:rsidR="003E7880">
        <w:t>e</w:t>
      </w:r>
      <w:r w:rsidR="00A57642">
        <w:t>s can provide the evidence necessary for promotion, redundancy, rates of pay, and performance management</w:t>
      </w:r>
      <w:sdt>
        <w:sdtPr>
          <w:id w:val="-1564558967"/>
          <w:citation/>
        </w:sdtPr>
        <w:sdtEndPr/>
        <w:sdtContent>
          <w:r w:rsidR="003E7880">
            <w:fldChar w:fldCharType="begin"/>
          </w:r>
          <w:r w:rsidR="003E7880">
            <w:instrText xml:space="preserve">CITATION Ste10 \t  \l 2057 </w:instrText>
          </w:r>
          <w:r w:rsidR="003E7880">
            <w:fldChar w:fldCharType="separate"/>
          </w:r>
          <w:r w:rsidR="00FD06BA">
            <w:rPr>
              <w:noProof/>
            </w:rPr>
            <w:t xml:space="preserve"> (Taylor S. , 2010)</w:t>
          </w:r>
          <w:r w:rsidR="003E7880">
            <w:fldChar w:fldCharType="end"/>
          </w:r>
        </w:sdtContent>
      </w:sdt>
      <w:r w:rsidR="00A57642">
        <w:t>.</w:t>
      </w:r>
      <w:r>
        <w:t xml:space="preserve"> </w:t>
      </w:r>
      <w:r w:rsidR="00A57642">
        <w:t xml:space="preserve">  The job description and person specifications </w:t>
      </w:r>
      <w:r w:rsidR="003E7880">
        <w:t xml:space="preserve">produced </w:t>
      </w:r>
      <w:r w:rsidR="00A57642">
        <w:t xml:space="preserve">are then based on this analysis.  The </w:t>
      </w:r>
      <w:r w:rsidR="003E7880">
        <w:t>job description</w:t>
      </w:r>
      <w:r w:rsidR="00A57642">
        <w:t xml:space="preserve"> is a summary of the job and </w:t>
      </w:r>
      <w:r w:rsidR="003E7880">
        <w:t xml:space="preserve">its </w:t>
      </w:r>
      <w:r w:rsidR="00A57642">
        <w:t xml:space="preserve">place </w:t>
      </w:r>
      <w:r w:rsidR="003E7880">
        <w:t xml:space="preserve">within the </w:t>
      </w:r>
      <w:r w:rsidR="00A57642">
        <w:t>structure</w:t>
      </w:r>
      <w:r w:rsidR="003E7880">
        <w:t xml:space="preserve"> of the organisation/directorate/department</w:t>
      </w:r>
      <w:r w:rsidR="00A57642">
        <w:t xml:space="preserve">, and the </w:t>
      </w:r>
      <w:r w:rsidR="003E7880">
        <w:t>personal specification</w:t>
      </w:r>
      <w:r w:rsidR="00A57642">
        <w:t xml:space="preserve"> provides more detailed info</w:t>
      </w:r>
      <w:r w:rsidR="003E7880">
        <w:t>rmation</w:t>
      </w:r>
      <w:r w:rsidR="00A57642">
        <w:t xml:space="preserve"> on the attributes and traits required.</w:t>
      </w:r>
      <w:r w:rsidR="003E7880">
        <w:t xml:space="preserve"> These two documents are used as tools in recruitment, selection, drawing of contracts, and performance management.  It is important to note that </w:t>
      </w:r>
      <w:r w:rsidR="000B18BC">
        <w:t>care must be taken when creating personal specifications that discrimination is not show whether directly or indirectly.</w:t>
      </w:r>
    </w:p>
    <w:p w14:paraId="5B145013" w14:textId="7A6A7527" w:rsidR="0053079D" w:rsidRDefault="0053079D" w:rsidP="00792637">
      <w:r>
        <w:t>Competency Framework</w:t>
      </w:r>
      <w:r w:rsidR="003E7880">
        <w:t xml:space="preserve">s are not too different to personal specifications, </w:t>
      </w:r>
      <w:r w:rsidR="000B18BC">
        <w:t>in that it includes the identification of the skills, knowledge, attributes, education/qualifications and experience required for a particular job.  They can be used instead of, but found more widely alongside, the historical job descriptions and personal specifications.  Competency frameworks are person-based, rather than job-based, looking at what attributes</w:t>
      </w:r>
      <w:r w:rsidR="0086425B">
        <w:t xml:space="preserve"> and skills</w:t>
      </w:r>
      <w:r w:rsidR="000B18BC">
        <w:t xml:space="preserve"> a person would need for optimum performance – for example, communication, leadership, problem solving, teamwork, analytical, organisation</w:t>
      </w:r>
      <w:r w:rsidR="0086425B">
        <w:t xml:space="preserve"> – therefore can be generic for the organisation, rather than specific to a job</w:t>
      </w:r>
      <w:sdt>
        <w:sdtPr>
          <w:id w:val="98456121"/>
          <w:citation/>
        </w:sdtPr>
        <w:sdtEndPr/>
        <w:sdtContent>
          <w:r w:rsidR="0086425B">
            <w:fldChar w:fldCharType="begin"/>
          </w:r>
          <w:r w:rsidR="0086425B">
            <w:instrText xml:space="preserve">CITATION Ste10 \t  \l 2057 </w:instrText>
          </w:r>
          <w:r w:rsidR="0086425B">
            <w:fldChar w:fldCharType="separate"/>
          </w:r>
          <w:r w:rsidR="00FD06BA">
            <w:rPr>
              <w:noProof/>
            </w:rPr>
            <w:t xml:space="preserve"> (Taylor S. , 2010)</w:t>
          </w:r>
          <w:r w:rsidR="0086425B">
            <w:fldChar w:fldCharType="end"/>
          </w:r>
        </w:sdtContent>
      </w:sdt>
      <w:r w:rsidR="0086425B">
        <w:t>.  The recruitment and selection process can then be tailored to highlight such attributes and skills displayed by applicants, potentially increasing the chance of hiring the right person for the job.</w:t>
      </w:r>
    </w:p>
    <w:p w14:paraId="1F6C6292" w14:textId="77777777" w:rsidR="00B7374F" w:rsidRDefault="00B7374F" w:rsidP="00792637"/>
    <w:p w14:paraId="161410BF" w14:textId="5C2D4C71" w:rsidR="00B7374F" w:rsidRDefault="00D57658" w:rsidP="00792637">
      <w:r w:rsidRPr="00D57658">
        <w:rPr>
          <w:rFonts w:ascii="Arial" w:hAnsi="Arial" w:cs="Arial"/>
          <w:color w:val="FF0000"/>
          <w:sz w:val="20"/>
          <w:szCs w:val="20"/>
        </w:rPr>
        <w:t>Evaluate different methods of recruitment and selection.</w:t>
      </w:r>
    </w:p>
    <w:p w14:paraId="5154D295" w14:textId="77777777" w:rsidR="002C493D" w:rsidRDefault="002C493D" w:rsidP="00792637">
      <w:r>
        <w:t>Recruitment and selection of the workforce are two separate elements with processes in their own right.</w:t>
      </w:r>
    </w:p>
    <w:p w14:paraId="332F0FF7" w14:textId="597875C9" w:rsidR="00B7374F" w:rsidRDefault="00EE0648" w:rsidP="00792637">
      <w:r w:rsidRPr="00E229C3">
        <w:rPr>
          <w:b/>
          <w:bCs/>
        </w:rPr>
        <w:t>Recruitmen</w:t>
      </w:r>
      <w:r w:rsidR="00E229C3" w:rsidRPr="00E229C3">
        <w:rPr>
          <w:b/>
          <w:bCs/>
        </w:rPr>
        <w:t>t</w:t>
      </w:r>
      <w:r w:rsidR="00812967">
        <w:t xml:space="preserve"> could be sought internally, through</w:t>
      </w:r>
      <w:r w:rsidR="00C541E2">
        <w:t xml:space="preserve"> internal promotion, lateral transfers, job rotation,</w:t>
      </w:r>
      <w:r w:rsidR="00812967">
        <w:t xml:space="preserve"> or the</w:t>
      </w:r>
      <w:r w:rsidR="00C541E2">
        <w:t xml:space="preserve"> </w:t>
      </w:r>
      <w:r w:rsidR="00A21A7F">
        <w:t>rehiring former staff</w:t>
      </w:r>
      <w:r w:rsidR="00812967">
        <w:t xml:space="preserve"> </w:t>
      </w:r>
      <w:sdt>
        <w:sdtPr>
          <w:id w:val="1841045511"/>
          <w:citation/>
        </w:sdtPr>
        <w:sdtEndPr/>
        <w:sdtContent>
          <w:r w:rsidR="00812967">
            <w:fldChar w:fldCharType="begin"/>
          </w:r>
          <w:r w:rsidR="00812967">
            <w:instrText xml:space="preserve">CITATION Ste162 \t  \l 2057 </w:instrText>
          </w:r>
          <w:r w:rsidR="00812967">
            <w:fldChar w:fldCharType="separate"/>
          </w:r>
          <w:r w:rsidR="00FD06BA">
            <w:rPr>
              <w:noProof/>
            </w:rPr>
            <w:t>(Taylor S. , 2016)</w:t>
          </w:r>
          <w:r w:rsidR="00812967">
            <w:fldChar w:fldCharType="end"/>
          </w:r>
        </w:sdtContent>
      </w:sdt>
      <w:r w:rsidR="00812967">
        <w:t xml:space="preserve">.  This method costs less than recruiting externally, as there is no expensive advertising, staff could be informed through internal communication methods for example emails, newsletters, and/or bulletin boards.  These opportunities can also increase employee engagement levels as they have a </w:t>
      </w:r>
      <w:proofErr w:type="gramStart"/>
      <w:r w:rsidR="00812967">
        <w:t>pathway</w:t>
      </w:r>
      <w:proofErr w:type="gramEnd"/>
      <w:r w:rsidR="00812967">
        <w:t xml:space="preserve"> they could work towards </w:t>
      </w:r>
      <w:sdt>
        <w:sdtPr>
          <w:id w:val="-1457322282"/>
          <w:citation/>
        </w:sdtPr>
        <w:sdtEndPr/>
        <w:sdtContent>
          <w:r w:rsidR="00812967">
            <w:fldChar w:fldCharType="begin"/>
          </w:r>
          <w:r w:rsidR="00812967">
            <w:instrText xml:space="preserve"> CITATION Har02 \l 2057 </w:instrText>
          </w:r>
          <w:r w:rsidR="00812967">
            <w:fldChar w:fldCharType="separate"/>
          </w:r>
          <w:r w:rsidR="00FD06BA">
            <w:rPr>
              <w:noProof/>
            </w:rPr>
            <w:t>(Harter, Schmidt, &amp; Hayes, 2002)</w:t>
          </w:r>
          <w:r w:rsidR="00812967">
            <w:fldChar w:fldCharType="end"/>
          </w:r>
        </w:sdtContent>
      </w:sdt>
      <w:r w:rsidR="00812967">
        <w:t xml:space="preserve">.  </w:t>
      </w:r>
      <w:r w:rsidR="002D1A54">
        <w:t xml:space="preserve">Internal candidates should also have organisational knowledge and what will be expected of them in that job.  However, when internal recruitment is used it denies the organisation opportunity for fresh blood and alternative/creative ways of working that could be of benefit.  Also, </w:t>
      </w:r>
      <w:r w:rsidR="00D840BE">
        <w:t xml:space="preserve">if an organisation has a lack of diversity within the organisation, only recruiting internally will do nothing to resolve the issue.  </w:t>
      </w:r>
    </w:p>
    <w:p w14:paraId="6C50B8B3" w14:textId="77FB482D" w:rsidR="00EE0648" w:rsidRDefault="00D840BE" w:rsidP="00792637">
      <w:r>
        <w:lastRenderedPageBreak/>
        <w:t>Another method of recruitment that is increasing in popularity is via s</w:t>
      </w:r>
      <w:r w:rsidR="00EE0648">
        <w:t xml:space="preserve">ocial </w:t>
      </w:r>
      <w:r>
        <w:t>m</w:t>
      </w:r>
      <w:r w:rsidR="00EE0648">
        <w:t>edia</w:t>
      </w:r>
      <w:r>
        <w:t xml:space="preserve">.  There are sites such as </w:t>
      </w:r>
      <w:r w:rsidR="00A21A7F">
        <w:t xml:space="preserve">LinkedIn, Facebook, </w:t>
      </w:r>
      <w:r>
        <w:t xml:space="preserve">and </w:t>
      </w:r>
      <w:r w:rsidR="00A21A7F">
        <w:t>Twitter</w:t>
      </w:r>
      <w:r>
        <w:t xml:space="preserve">, where HR professionals can post adverts of the vacancies within the organisation for free, targeting jobs that are hard to fill and creating campaigns when the need arises.  In contrast, it is claimed that in 2016 over £350 million is spent per year on </w:t>
      </w:r>
      <w:r w:rsidR="00A21A7F">
        <w:t>online recruitment services</w:t>
      </w:r>
      <w:r w:rsidR="0077237F">
        <w:t xml:space="preserve"> in the United Kingdom, and over £650 million on advertising in the printed media.  </w:t>
      </w:r>
      <w:r w:rsidR="007D7270">
        <w:t xml:space="preserve">This method attracts the millennials who typically search for opportunities via social media </w:t>
      </w:r>
      <w:sdt>
        <w:sdtPr>
          <w:id w:val="1765260424"/>
          <w:citation/>
        </w:sdtPr>
        <w:sdtEndPr/>
        <w:sdtContent>
          <w:r w:rsidR="007D7270">
            <w:fldChar w:fldCharType="begin"/>
          </w:r>
          <w:r w:rsidR="007D7270">
            <w:instrText xml:space="preserve"> CITATION Mat17 \l 2057 </w:instrText>
          </w:r>
          <w:r w:rsidR="007D7270">
            <w:fldChar w:fldCharType="separate"/>
          </w:r>
          <w:r w:rsidR="00FD06BA">
            <w:rPr>
              <w:noProof/>
            </w:rPr>
            <w:t>(Taylor M. , 2017)</w:t>
          </w:r>
          <w:r w:rsidR="007D7270">
            <w:fldChar w:fldCharType="end"/>
          </w:r>
        </w:sdtContent>
      </w:sdt>
      <w:r w:rsidR="007D7270">
        <w:t xml:space="preserve">; however, as there is an aging workforce globally, this method could discriminate against those of the older generation who may not have the IT skills yet to enable them use such methods of searching for opportunities </w:t>
      </w:r>
      <w:sdt>
        <w:sdtPr>
          <w:id w:val="1085727238"/>
          <w:citation/>
        </w:sdtPr>
        <w:sdtEndPr/>
        <w:sdtContent>
          <w:r w:rsidR="007D7270">
            <w:fldChar w:fldCharType="begin"/>
          </w:r>
          <w:r w:rsidR="007D7270">
            <w:instrText xml:space="preserve"> CITATION CIP177 \l 2057 </w:instrText>
          </w:r>
          <w:r w:rsidR="007D7270">
            <w:fldChar w:fldCharType="separate"/>
          </w:r>
          <w:r w:rsidR="00FD06BA">
            <w:rPr>
              <w:noProof/>
            </w:rPr>
            <w:t>(CIPD, 2017)</w:t>
          </w:r>
          <w:r w:rsidR="007D7270">
            <w:fldChar w:fldCharType="end"/>
          </w:r>
        </w:sdtContent>
      </w:sdt>
      <w:r w:rsidR="007D7270">
        <w:t>.</w:t>
      </w:r>
    </w:p>
    <w:p w14:paraId="611D0D10" w14:textId="2B52083E" w:rsidR="00EE0648" w:rsidRDefault="008E3F98" w:rsidP="00792637">
      <w:r>
        <w:t>An alternative method of recruitment is to via ed</w:t>
      </w:r>
      <w:r w:rsidR="00EE0648">
        <w:t xml:space="preserve">ucational </w:t>
      </w:r>
      <w:r>
        <w:t>l</w:t>
      </w:r>
      <w:r w:rsidR="00EE0648">
        <w:t>iaison</w:t>
      </w:r>
      <w:r w:rsidR="00C541E2">
        <w:t xml:space="preserve"> – careers service/advisors, careers fairs/festivals, college tutors, student societies</w:t>
      </w:r>
      <w:r>
        <w:t>.  Most attention has previously been given to graduates</w:t>
      </w:r>
      <w:r w:rsidR="0025318A">
        <w:t>;</w:t>
      </w:r>
      <w:r>
        <w:t xml:space="preserve"> however, some organisations are recognising the need for those leaving schools and local colleges.  </w:t>
      </w:r>
      <w:r w:rsidR="0025318A">
        <w:t xml:space="preserve">In 2016/17, over 750,000 individuals graduated from university in the United Kingdom </w:t>
      </w:r>
      <w:sdt>
        <w:sdtPr>
          <w:id w:val="-1246097989"/>
          <w:citation/>
        </w:sdtPr>
        <w:sdtEndPr/>
        <w:sdtContent>
          <w:r w:rsidR="0025318A">
            <w:fldChar w:fldCharType="begin"/>
          </w:r>
          <w:r w:rsidR="0025318A">
            <w:instrText xml:space="preserve"> CITATION HES18 \l 2057 </w:instrText>
          </w:r>
          <w:r w:rsidR="0025318A">
            <w:fldChar w:fldCharType="separate"/>
          </w:r>
          <w:r w:rsidR="00FD06BA">
            <w:rPr>
              <w:noProof/>
            </w:rPr>
            <w:t>(HESA, 2018)</w:t>
          </w:r>
          <w:r w:rsidR="0025318A">
            <w:fldChar w:fldCharType="end"/>
          </w:r>
        </w:sdtContent>
      </w:sdt>
      <w:r w:rsidR="0025318A">
        <w:t>.</w:t>
      </w:r>
      <w:r w:rsidR="00C541E2">
        <w:t xml:space="preserve"> </w:t>
      </w:r>
      <w:r w:rsidR="0025318A">
        <w:t xml:space="preserve">  Attracting graduates is costly as it is a very competitive market; however, some organisations view them as individuals that can make a real difference in its successes in the future </w:t>
      </w:r>
      <w:sdt>
        <w:sdtPr>
          <w:id w:val="1374271140"/>
          <w:citation/>
        </w:sdtPr>
        <w:sdtEndPr/>
        <w:sdtContent>
          <w:r w:rsidR="0025318A">
            <w:fldChar w:fldCharType="begin"/>
          </w:r>
          <w:r w:rsidR="0025318A">
            <w:instrText xml:space="preserve">CITATION Ste10 \t  \l 2057 </w:instrText>
          </w:r>
          <w:r w:rsidR="0025318A">
            <w:fldChar w:fldCharType="separate"/>
          </w:r>
          <w:r w:rsidR="00FD06BA">
            <w:rPr>
              <w:noProof/>
            </w:rPr>
            <w:t>(Taylor S. , 2010)</w:t>
          </w:r>
          <w:r w:rsidR="0025318A">
            <w:fldChar w:fldCharType="end"/>
          </w:r>
        </w:sdtContent>
      </w:sdt>
      <w:r w:rsidR="0025318A">
        <w:t>.</w:t>
      </w:r>
    </w:p>
    <w:p w14:paraId="4F903E7E" w14:textId="77777777" w:rsidR="003A1947" w:rsidRDefault="003A1947" w:rsidP="00792637"/>
    <w:p w14:paraId="16D57D81" w14:textId="27805F90" w:rsidR="002C493D" w:rsidRDefault="002C493D" w:rsidP="00792637">
      <w:r>
        <w:t xml:space="preserve">Within the </w:t>
      </w:r>
      <w:r w:rsidRPr="00E229C3">
        <w:rPr>
          <w:b/>
          <w:bCs/>
        </w:rPr>
        <w:t>selection</w:t>
      </w:r>
      <w:r>
        <w:t xml:space="preserve"> process there exists the historical ‘classic trio’ – application, interview reference (Taylor, 2010).  However, over the years, advanced methods of selection have also been introduced, sometimes instead of, but sometimes along with, the ‘classic trio’. </w:t>
      </w:r>
    </w:p>
    <w:p w14:paraId="11B2A552" w14:textId="588A8AFC" w:rsidR="00EE0648" w:rsidRDefault="00E501EF" w:rsidP="00792637">
      <w:r>
        <w:t>When an individual expresses interest in a particular vacancy they typically complete an a</w:t>
      </w:r>
      <w:r w:rsidR="00EE0648">
        <w:t>pplication</w:t>
      </w:r>
      <w:r>
        <w:t xml:space="preserve"> form.  This is a useful way of collating, assessing and comparing</w:t>
      </w:r>
      <w:r w:rsidR="00B73455">
        <w:t xml:space="preserve"> biographical information on all the potential candidates, assisting with shortlisting. It also provides the organisation the opportunity to discuss questions on work permits.  The application form may also retain information on unsuccessful candidates for future reference.  </w:t>
      </w:r>
    </w:p>
    <w:p w14:paraId="7DCB0CCD" w14:textId="37AC50E5" w:rsidR="00EE0648" w:rsidRDefault="002C493D" w:rsidP="00792637">
      <w:r>
        <w:t xml:space="preserve">The interview process is a relatively low resource method of selection.  </w:t>
      </w:r>
      <w:r w:rsidR="00E501EF">
        <w:t xml:space="preserve">It is flexible as it can be used as stand alone, with other methods, on a one-to-one, panel or group basis, and can be targeted to clarify impressions and questions that arose from the application form.  It is also a good way of promoting the organisation to all interviewees and conducting a degree of PR to encourage all unsuccessful candidates to seek employment within other roles within that organisation.  </w:t>
      </w:r>
      <w:r w:rsidR="00BC416E">
        <w:t>Anderson and Shackleton</w:t>
      </w:r>
      <w:r w:rsidR="00E501EF">
        <w:t>, however,</w:t>
      </w:r>
      <w:r w:rsidR="00BC416E">
        <w:t xml:space="preserve"> compiled findings from various studies and </w:t>
      </w:r>
      <w:r>
        <w:t>surmised</w:t>
      </w:r>
      <w:r w:rsidR="00BC416E">
        <w:t xml:space="preserve"> that there are several issues with using interviews to determine the right candidate</w:t>
      </w:r>
      <w:r w:rsidR="00D0632E">
        <w:t xml:space="preserve"> </w:t>
      </w:r>
      <w:r w:rsidR="00D0632E">
        <w:rPr>
          <w:noProof/>
        </w:rPr>
        <w:t>(Anderson and Shackleton, 1996)</w:t>
      </w:r>
      <w:r w:rsidR="00BC416E">
        <w:t>.  They suggest there is a chance for stereotyping and or/</w:t>
      </w:r>
      <w:r>
        <w:t>prototyping</w:t>
      </w:r>
      <w:r w:rsidR="00BC416E">
        <w:t xml:space="preserve"> by the interviewer, chance that interviews don’t ‘see’ the true self of the interviewee due to nervousness, undue influence given to initial impressions of CV/application form and questions could be formed based on this, preferential treatment may be given to candidates with similarities to the interviewer, </w:t>
      </w:r>
      <w:r>
        <w:t>and an interviewer may put more emphasis on a candidates’ negative points than the positive</w:t>
      </w:r>
      <w:r w:rsidR="00BC416E">
        <w:t xml:space="preserve"> </w:t>
      </w:r>
      <w:sdt>
        <w:sdtPr>
          <w:id w:val="1031930173"/>
          <w:citation/>
        </w:sdtPr>
        <w:sdtEndPr/>
        <w:sdtContent>
          <w:r w:rsidR="00BC416E">
            <w:fldChar w:fldCharType="begin"/>
          </w:r>
          <w:r w:rsidR="00BC416E">
            <w:instrText xml:space="preserve">CITATION Ste10 \t  \l 2057 </w:instrText>
          </w:r>
          <w:r w:rsidR="00BC416E">
            <w:fldChar w:fldCharType="separate"/>
          </w:r>
          <w:r w:rsidR="00FD06BA">
            <w:rPr>
              <w:noProof/>
            </w:rPr>
            <w:t>(Taylor S. , 2010)</w:t>
          </w:r>
          <w:r w:rsidR="00BC416E">
            <w:fldChar w:fldCharType="end"/>
          </w:r>
        </w:sdtContent>
      </w:sdt>
      <w:r>
        <w:t>.</w:t>
      </w:r>
    </w:p>
    <w:p w14:paraId="0D334037" w14:textId="04565C0F" w:rsidR="00F420D1" w:rsidRDefault="00D0632E" w:rsidP="00792637">
      <w:r>
        <w:t xml:space="preserve">Approximately half of large organisations use ability tests of some sort in their selection process </w:t>
      </w:r>
      <w:sdt>
        <w:sdtPr>
          <w:id w:val="-1365825196"/>
          <w:citation/>
        </w:sdtPr>
        <w:sdtEndPr/>
        <w:sdtContent>
          <w:r w:rsidR="00EB4E85">
            <w:fldChar w:fldCharType="begin"/>
          </w:r>
          <w:r w:rsidR="00EB4E85">
            <w:instrText xml:space="preserve"> CITATION CIP09 \l 2057 </w:instrText>
          </w:r>
          <w:r w:rsidR="00EB4E85">
            <w:fldChar w:fldCharType="separate"/>
          </w:r>
          <w:r w:rsidR="00FD06BA">
            <w:rPr>
              <w:noProof/>
            </w:rPr>
            <w:t>(CIPD, 2009)</w:t>
          </w:r>
          <w:r w:rsidR="00EB4E85">
            <w:fldChar w:fldCharType="end"/>
          </w:r>
        </w:sdtContent>
      </w:sdt>
      <w:r w:rsidR="00EB4E85">
        <w:t xml:space="preserve">.  </w:t>
      </w:r>
      <w:r w:rsidR="003076A7">
        <w:t>This method can be a r</w:t>
      </w:r>
      <w:r w:rsidR="00F420D1">
        <w:t>elatively inexpensive</w:t>
      </w:r>
      <w:r w:rsidR="003076A7">
        <w:t xml:space="preserve"> way of assessing the capabilit</w:t>
      </w:r>
      <w:r w:rsidR="0081663E">
        <w:t>ies</w:t>
      </w:r>
      <w:r w:rsidR="003076A7">
        <w:t xml:space="preserve"> of a candidate, either </w:t>
      </w:r>
      <w:r w:rsidR="0081663E">
        <w:t>in general ability, literacy/numeracy or job specific ability.</w:t>
      </w:r>
      <w:r w:rsidR="007E16CD">
        <w:t xml:space="preserve">   The general ability and literacy/numeracy tests are transferrable to most job</w:t>
      </w:r>
      <w:r w:rsidR="00C541E2">
        <w:t xml:space="preserve"> types in various organisations,</w:t>
      </w:r>
      <w:r w:rsidR="007E16CD">
        <w:t xml:space="preserve"> without the need to make specific to each vacancy</w:t>
      </w:r>
      <w:r w:rsidR="00C541E2">
        <w:t xml:space="preserve"> or conduct extensive job analysis.  There is a risk, however, that employers use the results of these tests as b</w:t>
      </w:r>
      <w:r w:rsidR="0043234A">
        <w:t>ack-up info</w:t>
      </w:r>
      <w:r w:rsidR="00C541E2">
        <w:t>rmation</w:t>
      </w:r>
      <w:r w:rsidR="0043234A">
        <w:t xml:space="preserve"> rather than</w:t>
      </w:r>
      <w:r w:rsidR="00C541E2">
        <w:t xml:space="preserve"> one of the</w:t>
      </w:r>
      <w:r w:rsidR="0043234A">
        <w:t xml:space="preserve"> primary </w:t>
      </w:r>
      <w:r w:rsidR="0043234A">
        <w:lastRenderedPageBreak/>
        <w:t>reason</w:t>
      </w:r>
      <w:r w:rsidR="00812967">
        <w:t>s</w:t>
      </w:r>
      <w:r w:rsidR="0043234A">
        <w:t xml:space="preserve"> for hiring.</w:t>
      </w:r>
      <w:r w:rsidR="00C541E2">
        <w:t xml:space="preserve">  If there is a poor attitude towards them, it could be used to w</w:t>
      </w:r>
      <w:r w:rsidR="0043234A">
        <w:t>eed out poorest</w:t>
      </w:r>
      <w:r w:rsidR="00C541E2">
        <w:t xml:space="preserve"> candidates only, rather than as it should.  It goes without saying that the job specific tests are n</w:t>
      </w:r>
      <w:r w:rsidR="00F420D1">
        <w:t xml:space="preserve">ot practical in all settings, </w:t>
      </w:r>
      <w:r w:rsidR="00C541E2">
        <w:t xml:space="preserve">it would </w:t>
      </w:r>
      <w:r w:rsidR="00F420D1">
        <w:t xml:space="preserve">depend on </w:t>
      </w:r>
      <w:r w:rsidR="00C541E2">
        <w:t xml:space="preserve">job </w:t>
      </w:r>
      <w:r w:rsidR="00F420D1">
        <w:t xml:space="preserve">and </w:t>
      </w:r>
      <w:r w:rsidR="00C541E2">
        <w:t xml:space="preserve">its context.  </w:t>
      </w:r>
      <w:r w:rsidR="00F420D1">
        <w:t xml:space="preserve">There is </w:t>
      </w:r>
      <w:r w:rsidR="00C541E2">
        <w:t xml:space="preserve">also </w:t>
      </w:r>
      <w:r w:rsidR="00F420D1">
        <w:t>a risk that organisations could have either a short and ineffective test or a timely complex battery of tests</w:t>
      </w:r>
      <w:r w:rsidR="00C541E2">
        <w:t xml:space="preserve"> </w:t>
      </w:r>
      <w:sdt>
        <w:sdtPr>
          <w:id w:val="740987878"/>
          <w:citation/>
        </w:sdtPr>
        <w:sdtEndPr/>
        <w:sdtContent>
          <w:r w:rsidR="00C541E2">
            <w:fldChar w:fldCharType="begin"/>
          </w:r>
          <w:r w:rsidR="00C541E2">
            <w:instrText xml:space="preserve">CITATION Ste10 \t  \l 2057 </w:instrText>
          </w:r>
          <w:r w:rsidR="00C541E2">
            <w:fldChar w:fldCharType="separate"/>
          </w:r>
          <w:r w:rsidR="00FD06BA">
            <w:rPr>
              <w:noProof/>
            </w:rPr>
            <w:t>(Taylor S. , 2010)</w:t>
          </w:r>
          <w:r w:rsidR="00C541E2">
            <w:fldChar w:fldCharType="end"/>
          </w:r>
        </w:sdtContent>
      </w:sdt>
      <w:r w:rsidR="00F420D1">
        <w:t xml:space="preserve">.  </w:t>
      </w:r>
    </w:p>
    <w:p w14:paraId="5FA74F48" w14:textId="77777777" w:rsidR="007D40E3" w:rsidRDefault="007D40E3" w:rsidP="00792637">
      <w:pPr>
        <w:rPr>
          <w:color w:val="FF0000"/>
        </w:rPr>
      </w:pPr>
    </w:p>
    <w:p w14:paraId="6739B5A7" w14:textId="08C3167D" w:rsidR="00EE0648" w:rsidRDefault="00D57658" w:rsidP="00792637">
      <w:r w:rsidRPr="00D57658">
        <w:rPr>
          <w:rFonts w:ascii="Arial" w:hAnsi="Arial" w:cs="Arial"/>
          <w:color w:val="FF0000"/>
          <w:sz w:val="20"/>
          <w:szCs w:val="20"/>
        </w:rPr>
        <w:t>Explain key aspects of good practice in relation to dismissal, redundancy and retirement.</w:t>
      </w:r>
    </w:p>
    <w:p w14:paraId="7CE568DA" w14:textId="577C277E" w:rsidR="00EE0648" w:rsidRDefault="00EE0648" w:rsidP="00792637">
      <w:r>
        <w:t>Dismissal (involuntary):</w:t>
      </w:r>
    </w:p>
    <w:p w14:paraId="177E9206" w14:textId="0C5CC6AB" w:rsidR="001D3137" w:rsidRDefault="001D3137" w:rsidP="001D3137">
      <w:r>
        <w:t xml:space="preserve">Under ERA there are five potentially fair reasons for dismissal – capability or qualifications, conduct, redundancy, statutory ban, some other substantial reason </w:t>
      </w:r>
      <w:sdt>
        <w:sdtPr>
          <w:id w:val="455154782"/>
          <w:citation/>
        </w:sdtPr>
        <w:sdtEndPr/>
        <w:sdtContent>
          <w:r>
            <w:fldChar w:fldCharType="begin"/>
          </w:r>
          <w:r>
            <w:instrText xml:space="preserve"> CITATION Kat19 \l 2057 </w:instrText>
          </w:r>
          <w:r>
            <w:fldChar w:fldCharType="separate"/>
          </w:r>
          <w:r w:rsidR="00FD06BA">
            <w:rPr>
              <w:noProof/>
            </w:rPr>
            <w:t>(Daniels, 2019)</w:t>
          </w:r>
          <w:r>
            <w:fldChar w:fldCharType="end"/>
          </w:r>
        </w:sdtContent>
      </w:sdt>
      <w:r>
        <w:t xml:space="preserve">.  </w:t>
      </w:r>
      <w:r w:rsidR="00EE0648">
        <w:t>ACAS</w:t>
      </w:r>
      <w:r>
        <w:t>’</w:t>
      </w:r>
      <w:r w:rsidR="00EE0648">
        <w:t xml:space="preserve"> Code of Practice</w:t>
      </w:r>
      <w:r w:rsidR="00794F74">
        <w:t xml:space="preserve"> is the minimum standard </w:t>
      </w:r>
      <w:r>
        <w:t xml:space="preserve">of </w:t>
      </w:r>
      <w:r w:rsidR="00794F74">
        <w:t xml:space="preserve">practice </w:t>
      </w:r>
      <w:r w:rsidR="00D20195">
        <w:t>to be adhered to</w:t>
      </w:r>
      <w:r w:rsidR="00794F74">
        <w:t xml:space="preserve"> by organisations</w:t>
      </w:r>
      <w:r w:rsidR="00D20195">
        <w:t>.  This code sets out that f</w:t>
      </w:r>
      <w:r w:rsidR="00EE0648">
        <w:t>air and proper procedure</w:t>
      </w:r>
      <w:r w:rsidR="00D20195">
        <w:t xml:space="preserve"> should be followed</w:t>
      </w:r>
      <w:r w:rsidR="00EE0648">
        <w:t>, including investigation</w:t>
      </w:r>
      <w:r w:rsidR="00206732">
        <w:t xml:space="preserve">.  </w:t>
      </w:r>
      <w:r>
        <w:rPr>
          <w:noProof/>
        </w:rPr>
        <w:t xml:space="preserve">If the employee is unable to meet the requirements, the employer must take reasonable measures to investigate the issue and potential solutions.  As part of the action taken, it is usual for the employer to give warning(s) to the employee in question – informal (employer’s discretion), formal, and final.  When the employer has taken all resonable measures to help the employee and capability is still an issue, the dismissal is potentially fair.  Under the ACAS code the procedure would follow the steps: letter (informing the employee of the allegations and invite to a meeting to discuss), meeting (to discuss the matter with the employee), outcome (provided in writing along with the action to be taken), appeal (the employee has the right to appeal the result).  If any of these steps do not take place, the dismissal can be deemed as unfair and taken to Employment Tribunal within three months of dismissal – </w:t>
      </w:r>
      <w:r w:rsidRPr="000513D0">
        <w:rPr>
          <w:i/>
        </w:rPr>
        <w:t>BS v Dundee City Council</w:t>
      </w:r>
      <w:r>
        <w:t xml:space="preserve"> (2013) CSIH19.</w:t>
      </w:r>
    </w:p>
    <w:p w14:paraId="59F96E92" w14:textId="57C01C1C" w:rsidR="00EE0648" w:rsidRDefault="00EE0648" w:rsidP="00792637">
      <w:r>
        <w:t>Redundancy (involuntary):</w:t>
      </w:r>
    </w:p>
    <w:p w14:paraId="4356AA8C" w14:textId="3A810949" w:rsidR="00955A2A" w:rsidRDefault="00481B02" w:rsidP="00792637">
      <w:r>
        <w:t xml:space="preserve">ACAS </w:t>
      </w:r>
      <w:r w:rsidR="001D3137">
        <w:t>advise that it is best practice for organisations to develop a redundancy plan</w:t>
      </w:r>
      <w:r>
        <w:t xml:space="preserve">.  </w:t>
      </w:r>
      <w:r w:rsidR="001D3137">
        <w:t>It is also recommended, b</w:t>
      </w:r>
      <w:r>
        <w:t xml:space="preserve">efore making </w:t>
      </w:r>
      <w:r w:rsidR="001D3137">
        <w:t xml:space="preserve">any </w:t>
      </w:r>
      <w:r>
        <w:t>redundanc</w:t>
      </w:r>
      <w:r w:rsidR="001D3137">
        <w:t>ies</w:t>
      </w:r>
      <w:r>
        <w:t xml:space="preserve">, </w:t>
      </w:r>
      <w:r w:rsidR="001D3137">
        <w:t xml:space="preserve">to </w:t>
      </w:r>
      <w:r>
        <w:t xml:space="preserve">look for alternatives – </w:t>
      </w:r>
      <w:r w:rsidR="00955A2A">
        <w:t xml:space="preserve">offering </w:t>
      </w:r>
      <w:r>
        <w:t>flexible working, limiting overtime</w:t>
      </w:r>
      <w:r w:rsidR="00955A2A">
        <w:t xml:space="preserve"> for staff</w:t>
      </w:r>
      <w:r>
        <w:t>,</w:t>
      </w:r>
      <w:r w:rsidR="00955A2A">
        <w:t xml:space="preserve"> offering temporary reduction in hours, offer voluntary redundancy or retirement, or moving employees to different jobs</w:t>
      </w:r>
      <w:sdt>
        <w:sdtPr>
          <w:id w:val="-1783182424"/>
          <w:citation/>
        </w:sdtPr>
        <w:sdtEndPr/>
        <w:sdtContent>
          <w:r w:rsidR="0064084E">
            <w:fldChar w:fldCharType="begin"/>
          </w:r>
          <w:r w:rsidR="0064084E">
            <w:instrText xml:space="preserve"> CITATION ACA5 \l 2057 </w:instrText>
          </w:r>
          <w:r w:rsidR="0064084E">
            <w:fldChar w:fldCharType="separate"/>
          </w:r>
          <w:r w:rsidR="00FD06BA">
            <w:rPr>
              <w:noProof/>
            </w:rPr>
            <w:t xml:space="preserve"> (ACAS, n.d.)</w:t>
          </w:r>
          <w:r w:rsidR="0064084E">
            <w:fldChar w:fldCharType="end"/>
          </w:r>
        </w:sdtContent>
      </w:sdt>
      <w:r w:rsidR="00955A2A">
        <w:t>.  Consultation needs to take place with the employee(s) that could be affected.</w:t>
      </w:r>
      <w:r w:rsidR="00C45287">
        <w:t xml:space="preserve">  Depending on the number of redundancies that may need to take place, Trade Unions and timescales will need to be </w:t>
      </w:r>
      <w:r w:rsidR="00337565">
        <w:t>considered if there are more than 20 to be made.  Criteria for selection needs to be agreed with all involved and an appeals process should be made as a conduit for any employee that feels they have been selected unfairly</w:t>
      </w:r>
      <w:sdt>
        <w:sdtPr>
          <w:id w:val="-1215268502"/>
          <w:citation/>
        </w:sdtPr>
        <w:sdtEndPr/>
        <w:sdtContent>
          <w:r w:rsidR="0064084E">
            <w:fldChar w:fldCharType="begin"/>
          </w:r>
          <w:r w:rsidR="0064084E">
            <w:instrText xml:space="preserve"> CITATION Kat19 \l 2057 </w:instrText>
          </w:r>
          <w:r w:rsidR="0064084E">
            <w:fldChar w:fldCharType="separate"/>
          </w:r>
          <w:r w:rsidR="00FD06BA">
            <w:rPr>
              <w:noProof/>
            </w:rPr>
            <w:t xml:space="preserve"> (Daniels, 2019)</w:t>
          </w:r>
          <w:r w:rsidR="0064084E">
            <w:fldChar w:fldCharType="end"/>
          </w:r>
        </w:sdtContent>
      </w:sdt>
      <w:r w:rsidR="00337565">
        <w:t>.  Employees are given a period of notice of the decision of redundancy – of which there is a minimum statutory period that must be provided, or what is stated in the contract of employment</w:t>
      </w:r>
      <w:r w:rsidR="0064084E">
        <w:t xml:space="preserve"> – as well as an entitlement to redundancy pay – again there are statutory amounts set as a minimum.  An employer should also provide the employee being made redundant a</w:t>
      </w:r>
      <w:r w:rsidR="00955A2A">
        <w:t>ssistance to find another job</w:t>
      </w:r>
      <w:r w:rsidR="0064084E">
        <w:t>, which could include paid</w:t>
      </w:r>
      <w:r w:rsidR="00955A2A">
        <w:t xml:space="preserve"> time for training and attending interviews</w:t>
      </w:r>
      <w:r w:rsidR="0064084E">
        <w:t>, along with the provision of a</w:t>
      </w:r>
      <w:r w:rsidR="00955A2A">
        <w:t xml:space="preserve">dvice and guidance for overall wellbeing – </w:t>
      </w:r>
      <w:r w:rsidR="00C45287">
        <w:t>including counselling, financial advice and continual open communications</w:t>
      </w:r>
      <w:sdt>
        <w:sdtPr>
          <w:id w:val="-1347934670"/>
          <w:citation/>
        </w:sdtPr>
        <w:sdtEndPr/>
        <w:sdtContent>
          <w:r w:rsidR="0064084E">
            <w:fldChar w:fldCharType="begin"/>
          </w:r>
          <w:r w:rsidR="0064084E">
            <w:instrText xml:space="preserve"> CITATION ACA5 \l 2057 </w:instrText>
          </w:r>
          <w:r w:rsidR="0064084E">
            <w:fldChar w:fldCharType="separate"/>
          </w:r>
          <w:r w:rsidR="00FD06BA">
            <w:rPr>
              <w:noProof/>
            </w:rPr>
            <w:t xml:space="preserve"> (ACAS, n.d.)</w:t>
          </w:r>
          <w:r w:rsidR="0064084E">
            <w:fldChar w:fldCharType="end"/>
          </w:r>
        </w:sdtContent>
      </w:sdt>
      <w:r w:rsidR="00C45287">
        <w:t>.</w:t>
      </w:r>
    </w:p>
    <w:p w14:paraId="0F7D3159" w14:textId="1DAD26F8" w:rsidR="00EE0648" w:rsidRDefault="00EE0648" w:rsidP="00792637">
      <w:r>
        <w:t>Retirement (voluntary):</w:t>
      </w:r>
    </w:p>
    <w:p w14:paraId="0F2389BB" w14:textId="7C9E270F" w:rsidR="00EE0648" w:rsidRDefault="00AD0DF5" w:rsidP="00792637">
      <w:r>
        <w:t>It is best practice to have a culture that encourages ongoing and o</w:t>
      </w:r>
      <w:r w:rsidR="00EE0648">
        <w:t>pen conversations</w:t>
      </w:r>
      <w:r>
        <w:t xml:space="preserve"> about the future with employees.  </w:t>
      </w:r>
      <w:r w:rsidR="009E34F1">
        <w:t xml:space="preserve">This can allow for all parties to understand each other’s needs and priorities, </w:t>
      </w:r>
      <w:r w:rsidR="000D362C">
        <w:t>and possibility for a</w:t>
      </w:r>
      <w:r w:rsidR="009E34F1">
        <w:t xml:space="preserve"> </w:t>
      </w:r>
      <w:r w:rsidR="000D362C">
        <w:t>deepened trust.  Communication is also important even before the process begins</w:t>
      </w:r>
      <w:r w:rsidR="00DC6D31">
        <w:t>.  Clear communication can inform the employee considering retirement what</w:t>
      </w:r>
      <w:r w:rsidR="00EE0648">
        <w:t xml:space="preserve"> options available</w:t>
      </w:r>
      <w:r w:rsidR="00DC6D31">
        <w:t xml:space="preserve"> are available</w:t>
      </w:r>
      <w:r w:rsidR="00EE0648">
        <w:t xml:space="preserve"> –</w:t>
      </w:r>
      <w:r w:rsidR="00DC6D31">
        <w:t xml:space="preserve"> this could include</w:t>
      </w:r>
      <w:r w:rsidR="00EE0648">
        <w:t xml:space="preserve"> </w:t>
      </w:r>
      <w:r w:rsidR="009E34F1">
        <w:t xml:space="preserve">phased graduation through offering </w:t>
      </w:r>
      <w:r w:rsidR="00EE0648">
        <w:t xml:space="preserve">flexible hours, </w:t>
      </w:r>
      <w:r w:rsidR="00EE0648">
        <w:lastRenderedPageBreak/>
        <w:t xml:space="preserve">reduced hours, </w:t>
      </w:r>
      <w:r w:rsidR="009E34F1">
        <w:t>extended leave</w:t>
      </w:r>
      <w:r w:rsidR="00DC6D31">
        <w:t xml:space="preserve"> and/or reducing </w:t>
      </w:r>
      <w:r w:rsidR="00634DA9">
        <w:t>responsibilities</w:t>
      </w:r>
      <w:r w:rsidR="00DC6D31">
        <w:t>.</w:t>
      </w:r>
      <w:r w:rsidR="0086425B">
        <w:t xml:space="preserve">  As </w:t>
      </w:r>
      <w:r w:rsidR="00FE7B09">
        <w:t>the UK is seeing a gradual increase in the older workforce, an organisation could look into upskilling or retraining older employees for those that cannot yet afford to retire</w:t>
      </w:r>
      <w:sdt>
        <w:sdtPr>
          <w:id w:val="775676920"/>
          <w:citation/>
        </w:sdtPr>
        <w:sdtEndPr/>
        <w:sdtContent>
          <w:r w:rsidR="00FE7B09">
            <w:fldChar w:fldCharType="begin"/>
          </w:r>
          <w:r w:rsidR="00FE7B09">
            <w:instrText xml:space="preserve">CITATION Ste10 \t  \l 2057 </w:instrText>
          </w:r>
          <w:r w:rsidR="00FE7B09">
            <w:fldChar w:fldCharType="separate"/>
          </w:r>
          <w:r w:rsidR="00FD06BA">
            <w:rPr>
              <w:noProof/>
            </w:rPr>
            <w:t xml:space="preserve"> (Taylor S. , 2010)</w:t>
          </w:r>
          <w:r w:rsidR="00FE7B09">
            <w:fldChar w:fldCharType="end"/>
          </w:r>
        </w:sdtContent>
      </w:sdt>
      <w:r w:rsidR="00FE7B09">
        <w:t xml:space="preserve">.   </w:t>
      </w:r>
      <w:r w:rsidR="00690CCB">
        <w:t>Retirement can</w:t>
      </w:r>
      <w:r w:rsidR="004742B1">
        <w:t xml:space="preserve"> raise </w:t>
      </w:r>
      <w:r w:rsidR="0086425B">
        <w:t xml:space="preserve">many different </w:t>
      </w:r>
      <w:r w:rsidR="004742B1">
        <w:t xml:space="preserve">concerns and emotions from an employee.  </w:t>
      </w:r>
      <w:r w:rsidR="0086425B">
        <w:t>There is usually a need for organisations</w:t>
      </w:r>
      <w:r w:rsidR="004742B1">
        <w:t xml:space="preserve"> to provide e</w:t>
      </w:r>
      <w:r w:rsidR="00EE0648">
        <w:t>motional support during a large part</w:t>
      </w:r>
      <w:r w:rsidR="004742B1">
        <w:t xml:space="preserve"> of the process</w:t>
      </w:r>
      <w:r w:rsidR="000D362C">
        <w:t>, including financial advice</w:t>
      </w:r>
      <w:r w:rsidR="0086425B">
        <w:t xml:space="preserve"> and pension provision</w:t>
      </w:r>
      <w:r w:rsidR="000D362C">
        <w:t>, counselling due to loss of identity</w:t>
      </w:r>
      <w:r w:rsidR="0086425B">
        <w:t>, guidance on health, safety and nutrition while at home, and the possibility of re-employment/part-time working</w:t>
      </w:r>
      <w:sdt>
        <w:sdtPr>
          <w:id w:val="1962379352"/>
          <w:citation/>
        </w:sdtPr>
        <w:sdtEndPr/>
        <w:sdtContent>
          <w:r w:rsidR="00FE7B09">
            <w:fldChar w:fldCharType="begin"/>
          </w:r>
          <w:r w:rsidR="00FE7B09">
            <w:instrText xml:space="preserve"> CITATION Mic12 \l 2057 </w:instrText>
          </w:r>
          <w:r w:rsidR="00FE7B09">
            <w:fldChar w:fldCharType="separate"/>
          </w:r>
          <w:r w:rsidR="00FD06BA">
            <w:rPr>
              <w:noProof/>
            </w:rPr>
            <w:t xml:space="preserve"> (Armstrong, 2012)</w:t>
          </w:r>
          <w:r w:rsidR="00FE7B09">
            <w:fldChar w:fldCharType="end"/>
          </w:r>
        </w:sdtContent>
      </w:sdt>
      <w:r w:rsidR="0086425B">
        <w:t>.</w:t>
      </w:r>
      <w:r w:rsidR="000D362C">
        <w:t xml:space="preserve"> </w:t>
      </w:r>
    </w:p>
    <w:p w14:paraId="0466F6A0" w14:textId="7D101B8F" w:rsidR="00B7374F" w:rsidRDefault="00B7374F" w:rsidP="00792637"/>
    <w:p w14:paraId="217166E0" w14:textId="7729D5C7" w:rsidR="004D1A59" w:rsidRDefault="004D1A59">
      <w:pPr>
        <w:rPr>
          <w:color w:val="FF0000"/>
        </w:rPr>
      </w:pPr>
      <w:r>
        <w:rPr>
          <w:color w:val="FF0000"/>
        </w:rPr>
        <w:br w:type="page"/>
      </w:r>
    </w:p>
    <w:sdt>
      <w:sdtPr>
        <w:rPr>
          <w:rFonts w:asciiTheme="minorHAnsi" w:eastAsiaTheme="minorHAnsi" w:hAnsiTheme="minorHAnsi" w:cstheme="minorBidi"/>
          <w:color w:val="auto"/>
          <w:sz w:val="22"/>
          <w:szCs w:val="22"/>
          <w:lang w:val="en-GB"/>
        </w:rPr>
        <w:id w:val="342980398"/>
        <w:docPartObj>
          <w:docPartGallery w:val="Bibliographies"/>
          <w:docPartUnique/>
        </w:docPartObj>
      </w:sdtPr>
      <w:sdtEndPr/>
      <w:sdtContent>
        <w:bookmarkStart w:id="0" w:name="_GoBack" w:displacedByCustomXml="prev"/>
        <w:bookmarkEnd w:id="0" w:displacedByCustomXml="prev"/>
        <w:p w14:paraId="68D567C8" w14:textId="178952C3" w:rsidR="004D1A59" w:rsidRDefault="004D1A59">
          <w:pPr>
            <w:pStyle w:val="Heading1"/>
          </w:pPr>
          <w:r>
            <w:t>Bibliography</w:t>
          </w:r>
        </w:p>
        <w:sdt>
          <w:sdtPr>
            <w:id w:val="111145805"/>
            <w:bibliography/>
          </w:sdtPr>
          <w:sdtEndPr/>
          <w:sdtContent>
            <w:p w14:paraId="11C87A90" w14:textId="77777777" w:rsidR="00FD06BA" w:rsidRDefault="004D1A59" w:rsidP="00FD06BA">
              <w:pPr>
                <w:pStyle w:val="Bibliography"/>
                <w:ind w:left="720" w:hanging="720"/>
                <w:rPr>
                  <w:noProof/>
                  <w:sz w:val="24"/>
                  <w:szCs w:val="24"/>
                  <w:lang w:val="en-US"/>
                </w:rPr>
              </w:pPr>
              <w:r>
                <w:fldChar w:fldCharType="begin"/>
              </w:r>
              <w:r>
                <w:instrText xml:space="preserve"> BIBLIOGRAPHY </w:instrText>
              </w:r>
              <w:r>
                <w:fldChar w:fldCharType="separate"/>
              </w:r>
              <w:r w:rsidR="00FD06BA">
                <w:rPr>
                  <w:noProof/>
                  <w:lang w:val="en-US"/>
                </w:rPr>
                <w:t xml:space="preserve">ACAS. (n.d.). </w:t>
              </w:r>
              <w:r w:rsidR="00FD06BA">
                <w:rPr>
                  <w:i/>
                  <w:iCs/>
                  <w:noProof/>
                  <w:lang w:val="en-US"/>
                </w:rPr>
                <w:t>Manage Staff Redundancies</w:t>
              </w:r>
              <w:r w:rsidR="00FD06BA">
                <w:rPr>
                  <w:noProof/>
                  <w:lang w:val="en-US"/>
                </w:rPr>
                <w:t>. Retrieved from ACAS: https://www.acas.org.uk/manage-staff-redundancies</w:t>
              </w:r>
            </w:p>
            <w:p w14:paraId="5312AEFE" w14:textId="77777777" w:rsidR="00FD06BA" w:rsidRDefault="00FD06BA" w:rsidP="00FD06BA">
              <w:pPr>
                <w:pStyle w:val="Bibliography"/>
                <w:ind w:left="720" w:hanging="720"/>
                <w:rPr>
                  <w:noProof/>
                  <w:lang w:val="en-US"/>
                </w:rPr>
              </w:pPr>
              <w:r>
                <w:rPr>
                  <w:noProof/>
                  <w:lang w:val="en-US"/>
                </w:rPr>
                <w:t xml:space="preserve">Anderson, N. a. (1996). </w:t>
              </w:r>
              <w:r>
                <w:rPr>
                  <w:i/>
                  <w:iCs/>
                  <w:noProof/>
                  <w:lang w:val="en-US"/>
                </w:rPr>
                <w:t>Successful Selection Interviewing.</w:t>
              </w:r>
              <w:r>
                <w:rPr>
                  <w:noProof/>
                  <w:lang w:val="en-US"/>
                </w:rPr>
                <w:t xml:space="preserve"> Oxford: Blackwell.</w:t>
              </w:r>
            </w:p>
            <w:p w14:paraId="0ED02775" w14:textId="77777777" w:rsidR="00FD06BA" w:rsidRDefault="00FD06BA" w:rsidP="00FD06BA">
              <w:pPr>
                <w:pStyle w:val="Bibliography"/>
                <w:ind w:left="720" w:hanging="720"/>
                <w:rPr>
                  <w:noProof/>
                  <w:lang w:val="en-US"/>
                </w:rPr>
              </w:pPr>
              <w:r>
                <w:rPr>
                  <w:noProof/>
                  <w:lang w:val="en-US"/>
                </w:rPr>
                <w:t xml:space="preserve">Armstrong, M. (2012). People Resourcing. In M. Armstrong, </w:t>
              </w:r>
              <w:r>
                <w:rPr>
                  <w:i/>
                  <w:iCs/>
                  <w:noProof/>
                  <w:lang w:val="en-US"/>
                </w:rPr>
                <w:t>Armstrong's Handbook of Human Resource Management Practice (12th Ed)</w:t>
              </w:r>
              <w:r>
                <w:rPr>
                  <w:noProof/>
                  <w:lang w:val="en-US"/>
                </w:rPr>
                <w:t xml:space="preserve"> (pp. 201-272). London: Kogan Page.</w:t>
              </w:r>
            </w:p>
            <w:p w14:paraId="62867D88" w14:textId="77777777" w:rsidR="00FD06BA" w:rsidRDefault="00FD06BA" w:rsidP="00FD06BA">
              <w:pPr>
                <w:pStyle w:val="Bibliography"/>
                <w:ind w:left="720" w:hanging="720"/>
                <w:rPr>
                  <w:noProof/>
                  <w:lang w:val="en-US"/>
                </w:rPr>
              </w:pPr>
              <w:r>
                <w:rPr>
                  <w:noProof/>
                  <w:lang w:val="en-US"/>
                </w:rPr>
                <w:t xml:space="preserve">CIPD. (2009). </w:t>
              </w:r>
              <w:r>
                <w:rPr>
                  <w:i/>
                  <w:iCs/>
                  <w:noProof/>
                  <w:lang w:val="en-US"/>
                </w:rPr>
                <w:t>Recruitment, Retention and Turnover.</w:t>
              </w:r>
              <w:r>
                <w:rPr>
                  <w:noProof/>
                  <w:lang w:val="en-US"/>
                </w:rPr>
                <w:t xml:space="preserve"> London: CIPD.</w:t>
              </w:r>
            </w:p>
            <w:p w14:paraId="5C8AB5ED" w14:textId="77777777" w:rsidR="00FD06BA" w:rsidRDefault="00FD06BA" w:rsidP="00FD06BA">
              <w:pPr>
                <w:pStyle w:val="Bibliography"/>
                <w:ind w:left="720" w:hanging="720"/>
                <w:rPr>
                  <w:noProof/>
                  <w:lang w:val="en-US"/>
                </w:rPr>
              </w:pPr>
              <w:r>
                <w:rPr>
                  <w:noProof/>
                  <w:lang w:val="en-US"/>
                </w:rPr>
                <w:t xml:space="preserve">CIPD. (2017, June). </w:t>
              </w:r>
              <w:r>
                <w:rPr>
                  <w:i/>
                  <w:iCs/>
                  <w:noProof/>
                  <w:lang w:val="en-US"/>
                </w:rPr>
                <w:t>Resource and Talent Planning Survey Report 2017</w:t>
              </w:r>
              <w:r>
                <w:rPr>
                  <w:noProof/>
                  <w:lang w:val="en-US"/>
                </w:rPr>
                <w:t>. Retrieved from CIPD: https://www.cipd.co.uk/Images/resourcing-talent-planning_2017_tcm18-23747.pdf</w:t>
              </w:r>
            </w:p>
            <w:p w14:paraId="50723809" w14:textId="77777777" w:rsidR="00FD06BA" w:rsidRDefault="00FD06BA" w:rsidP="00FD06BA">
              <w:pPr>
                <w:pStyle w:val="Bibliography"/>
                <w:ind w:left="720" w:hanging="720"/>
                <w:rPr>
                  <w:noProof/>
                  <w:lang w:val="en-US"/>
                </w:rPr>
              </w:pPr>
              <w:r>
                <w:rPr>
                  <w:noProof/>
                  <w:lang w:val="en-US"/>
                </w:rPr>
                <w:t xml:space="preserve">CIPD. (2019, January 28). </w:t>
              </w:r>
              <w:r>
                <w:rPr>
                  <w:i/>
                  <w:iCs/>
                  <w:noProof/>
                  <w:lang w:val="en-US"/>
                </w:rPr>
                <w:t>Competency and Competency Framework</w:t>
              </w:r>
              <w:r>
                <w:rPr>
                  <w:noProof/>
                  <w:lang w:val="en-US"/>
                </w:rPr>
                <w:t>. Retrieved from CIPD: https://www.cipd.co.uk/knowledge/fundamentals/people/performance/competency-factsheet</w:t>
              </w:r>
            </w:p>
            <w:p w14:paraId="48DCA389" w14:textId="77777777" w:rsidR="00FD06BA" w:rsidRDefault="00FD06BA" w:rsidP="00FD06BA">
              <w:pPr>
                <w:pStyle w:val="Bibliography"/>
                <w:ind w:left="720" w:hanging="720"/>
                <w:rPr>
                  <w:noProof/>
                  <w:lang w:val="en-US"/>
                </w:rPr>
              </w:pPr>
              <w:r>
                <w:rPr>
                  <w:noProof/>
                  <w:lang w:val="en-US"/>
                </w:rPr>
                <w:t xml:space="preserve">CIPD. (2019, May 20). </w:t>
              </w:r>
              <w:r>
                <w:rPr>
                  <w:i/>
                  <w:iCs/>
                  <w:noProof/>
                  <w:lang w:val="en-US"/>
                </w:rPr>
                <w:t>Workforce Planning Worksheet</w:t>
              </w:r>
              <w:r>
                <w:rPr>
                  <w:noProof/>
                  <w:lang w:val="en-US"/>
                </w:rPr>
                <w:t>. Retrieved from CIPD: https://www.cipd.co.uk/knowledge/strategy/organisational-development/workforce-planning-factsheet</w:t>
              </w:r>
            </w:p>
            <w:p w14:paraId="537A98AF" w14:textId="77777777" w:rsidR="00FD06BA" w:rsidRDefault="00FD06BA" w:rsidP="00FD06BA">
              <w:pPr>
                <w:pStyle w:val="Bibliography"/>
                <w:ind w:left="720" w:hanging="720"/>
                <w:rPr>
                  <w:noProof/>
                  <w:lang w:val="en-US"/>
                </w:rPr>
              </w:pPr>
              <w:r>
                <w:rPr>
                  <w:noProof/>
                  <w:lang w:val="en-US"/>
                </w:rPr>
                <w:t xml:space="preserve">CIPD. (2020, January 23). </w:t>
              </w:r>
              <w:r>
                <w:rPr>
                  <w:i/>
                  <w:iCs/>
                  <w:noProof/>
                  <w:lang w:val="en-US"/>
                </w:rPr>
                <w:t>Succession Planning Factsheet</w:t>
              </w:r>
              <w:r>
                <w:rPr>
                  <w:noProof/>
                  <w:lang w:val="en-US"/>
                </w:rPr>
                <w:t>. Retrieved from CIPD: https://www.cipd.co.uk/knowledge/strategy/resourcing/succession-planning-factsheet</w:t>
              </w:r>
            </w:p>
            <w:p w14:paraId="21404A37" w14:textId="77777777" w:rsidR="00FD06BA" w:rsidRDefault="00FD06BA" w:rsidP="00FD06BA">
              <w:pPr>
                <w:pStyle w:val="Bibliography"/>
                <w:ind w:left="720" w:hanging="720"/>
                <w:rPr>
                  <w:noProof/>
                  <w:lang w:val="en-US"/>
                </w:rPr>
              </w:pPr>
              <w:r>
                <w:rPr>
                  <w:noProof/>
                  <w:lang w:val="en-US"/>
                </w:rPr>
                <w:t xml:space="preserve">CIPD. (2020, January 23). </w:t>
              </w:r>
              <w:r>
                <w:rPr>
                  <w:i/>
                  <w:iCs/>
                  <w:noProof/>
                  <w:lang w:val="en-US"/>
                </w:rPr>
                <w:t>Talent Management Factsheet</w:t>
              </w:r>
              <w:r>
                <w:rPr>
                  <w:noProof/>
                  <w:lang w:val="en-US"/>
                </w:rPr>
                <w:t>. Retrieved from SIPD: https://www.cipd.co.uk/knowledge/strategy/resourcing/talent-factsheet</w:t>
              </w:r>
            </w:p>
            <w:p w14:paraId="3A6BF540" w14:textId="77777777" w:rsidR="00FD06BA" w:rsidRDefault="00FD06BA" w:rsidP="00FD06BA">
              <w:pPr>
                <w:pStyle w:val="Bibliography"/>
                <w:ind w:left="720" w:hanging="720"/>
                <w:rPr>
                  <w:noProof/>
                  <w:lang w:val="en-US"/>
                </w:rPr>
              </w:pPr>
              <w:r>
                <w:rPr>
                  <w:noProof/>
                  <w:lang w:val="en-US"/>
                </w:rPr>
                <w:t xml:space="preserve">Daniels, K. (2019). </w:t>
              </w:r>
              <w:r>
                <w:rPr>
                  <w:i/>
                  <w:iCs/>
                  <w:noProof/>
                  <w:lang w:val="en-US"/>
                </w:rPr>
                <w:t>Introduction to Employment Law: Fundamentals for HR and Business Students.</w:t>
              </w:r>
              <w:r>
                <w:rPr>
                  <w:noProof/>
                  <w:lang w:val="en-US"/>
                </w:rPr>
                <w:t xml:space="preserve"> London: Kogan Page.</w:t>
              </w:r>
            </w:p>
            <w:p w14:paraId="5AAC66D9" w14:textId="77777777" w:rsidR="00FD06BA" w:rsidRDefault="00FD06BA" w:rsidP="00FD06BA">
              <w:pPr>
                <w:pStyle w:val="Bibliography"/>
                <w:ind w:left="720" w:hanging="720"/>
                <w:rPr>
                  <w:noProof/>
                  <w:lang w:val="en-US"/>
                </w:rPr>
              </w:pPr>
              <w:r>
                <w:rPr>
                  <w:noProof/>
                  <w:lang w:val="en-US"/>
                </w:rPr>
                <w:t xml:space="preserve">DM. (n.d.). </w:t>
              </w:r>
              <w:r>
                <w:rPr>
                  <w:i/>
                  <w:iCs/>
                  <w:noProof/>
                  <w:lang w:val="en-US"/>
                </w:rPr>
                <w:t>Female employment in Germany way above EU average</w:t>
              </w:r>
              <w:r>
                <w:rPr>
                  <w:noProof/>
                  <w:lang w:val="en-US"/>
                </w:rPr>
                <w:t>. Retrieved from DM Business: https://www.dw.com/en/female-employment-in-germany-way-above-eu-average/a-17481377</w:t>
              </w:r>
            </w:p>
            <w:p w14:paraId="22F2816E" w14:textId="77777777" w:rsidR="00FD06BA" w:rsidRDefault="00FD06BA" w:rsidP="00FD06BA">
              <w:pPr>
                <w:pStyle w:val="Bibliography"/>
                <w:ind w:left="720" w:hanging="720"/>
                <w:rPr>
                  <w:noProof/>
                  <w:lang w:val="en-US"/>
                </w:rPr>
              </w:pPr>
              <w:r>
                <w:rPr>
                  <w:noProof/>
                  <w:lang w:val="en-US"/>
                </w:rPr>
                <w:t xml:space="preserve">EURES. (2019, February). </w:t>
              </w:r>
              <w:r>
                <w:rPr>
                  <w:i/>
                  <w:iCs/>
                  <w:noProof/>
                  <w:lang w:val="en-US"/>
                </w:rPr>
                <w:t>Germany - National Level</w:t>
              </w:r>
              <w:r>
                <w:rPr>
                  <w:noProof/>
                  <w:lang w:val="en-US"/>
                </w:rPr>
                <w:t>. Retrieved from EURES The European Job Mobility Portal: https://ec.europa.eu/eures/main.jsp?catId=2641&amp;countryId=DE&amp;acro=lmi&amp;lang=en</w:t>
              </w:r>
            </w:p>
            <w:p w14:paraId="4C5C1055" w14:textId="77777777" w:rsidR="00FD06BA" w:rsidRDefault="00FD06BA" w:rsidP="00FD06BA">
              <w:pPr>
                <w:pStyle w:val="Bibliography"/>
                <w:ind w:left="720" w:hanging="720"/>
                <w:rPr>
                  <w:noProof/>
                  <w:lang w:val="en-US"/>
                </w:rPr>
              </w:pPr>
              <w:r>
                <w:rPr>
                  <w:noProof/>
                  <w:lang w:val="en-US"/>
                </w:rPr>
                <w:t xml:space="preserve">Harter, J. K., Schmidt, F. L., &amp; Hayes, T. L. (2002). Business-unit level relationship between employee satisfaction, employee engagement, and business outcomes: a meta-analysis. </w:t>
              </w:r>
              <w:r>
                <w:rPr>
                  <w:i/>
                  <w:iCs/>
                  <w:noProof/>
                  <w:lang w:val="en-US"/>
                </w:rPr>
                <w:t>Journal of Applied Psychology. Vol 87</w:t>
              </w:r>
              <w:r>
                <w:rPr>
                  <w:noProof/>
                  <w:lang w:val="en-US"/>
                </w:rPr>
                <w:t>, 268-279.</w:t>
              </w:r>
            </w:p>
            <w:p w14:paraId="02EB6FA3" w14:textId="77777777" w:rsidR="00FD06BA" w:rsidRDefault="00FD06BA" w:rsidP="00FD06BA">
              <w:pPr>
                <w:pStyle w:val="Bibliography"/>
                <w:ind w:left="720" w:hanging="720"/>
                <w:rPr>
                  <w:noProof/>
                  <w:lang w:val="en-US"/>
                </w:rPr>
              </w:pPr>
              <w:r>
                <w:rPr>
                  <w:noProof/>
                  <w:lang w:val="en-US"/>
                </w:rPr>
                <w:t xml:space="preserve">HESA. (2018, January 11). </w:t>
              </w:r>
              <w:r>
                <w:rPr>
                  <w:i/>
                  <w:iCs/>
                  <w:noProof/>
                  <w:lang w:val="en-US"/>
                </w:rPr>
                <w:t>Higher Education Student Statistics: UK, 2016/17 - Qualifications achieved</w:t>
              </w:r>
              <w:r>
                <w:rPr>
                  <w:noProof/>
                  <w:lang w:val="en-US"/>
                </w:rPr>
                <w:t>. Retrieved from HESA: https://www.hesa.ac.uk/news/11-01-2018/sfr247-higher-education-student-statistics/qualifications</w:t>
              </w:r>
            </w:p>
            <w:p w14:paraId="1D268321" w14:textId="77777777" w:rsidR="00FD06BA" w:rsidRDefault="00FD06BA" w:rsidP="00FD06BA">
              <w:pPr>
                <w:pStyle w:val="Bibliography"/>
                <w:ind w:left="720" w:hanging="720"/>
                <w:rPr>
                  <w:noProof/>
                  <w:lang w:val="en-US"/>
                </w:rPr>
              </w:pPr>
              <w:r>
                <w:rPr>
                  <w:noProof/>
                  <w:lang w:val="en-US"/>
                </w:rPr>
                <w:t xml:space="preserve">Marchington, M., Wilkinson, A., Donnelly, R., &amp; Kynighou, A. (2016). High-Commitment HRM Policy and Practice. In M. Marchington, A. Wilkinson, R. Donnelly, &amp; A. Kynighou, </w:t>
              </w:r>
              <w:r>
                <w:rPr>
                  <w:i/>
                  <w:iCs/>
                  <w:noProof/>
                  <w:lang w:val="en-US"/>
                </w:rPr>
                <w:t>Human Resource Management at Work</w:t>
              </w:r>
              <w:r>
                <w:rPr>
                  <w:noProof/>
                  <w:lang w:val="en-US"/>
                </w:rPr>
                <w:t xml:space="preserve"> (pp. 55-80). London: CIPD.</w:t>
              </w:r>
            </w:p>
            <w:p w14:paraId="69814455" w14:textId="77777777" w:rsidR="00FD06BA" w:rsidRDefault="00FD06BA" w:rsidP="00FD06BA">
              <w:pPr>
                <w:pStyle w:val="Bibliography"/>
                <w:ind w:left="720" w:hanging="720"/>
                <w:rPr>
                  <w:noProof/>
                  <w:lang w:val="en-US"/>
                </w:rPr>
              </w:pPr>
              <w:r>
                <w:rPr>
                  <w:noProof/>
                  <w:lang w:val="en-US"/>
                </w:rPr>
                <w:t xml:space="preserve">McCartney, C. (2017, July 10). How to be an employer of choice in an increasingly competitive jobs market. </w:t>
              </w:r>
              <w:r>
                <w:rPr>
                  <w:i/>
                  <w:iCs/>
                  <w:noProof/>
                  <w:lang w:val="en-US"/>
                </w:rPr>
                <w:t>Personnel Today</w:t>
              </w:r>
              <w:r>
                <w:rPr>
                  <w:noProof/>
                  <w:lang w:val="en-US"/>
                </w:rPr>
                <w:t>.</w:t>
              </w:r>
            </w:p>
            <w:p w14:paraId="1F275C54" w14:textId="77777777" w:rsidR="00FD06BA" w:rsidRDefault="00FD06BA" w:rsidP="00FD06BA">
              <w:pPr>
                <w:pStyle w:val="Bibliography"/>
                <w:ind w:left="720" w:hanging="720"/>
                <w:rPr>
                  <w:noProof/>
                  <w:lang w:val="en-US"/>
                </w:rPr>
              </w:pPr>
              <w:r>
                <w:rPr>
                  <w:noProof/>
                  <w:lang w:val="en-US"/>
                </w:rPr>
                <w:lastRenderedPageBreak/>
                <w:t xml:space="preserve">Michael Armstrong. (2009). Human Resource Planning. In M. Armstrong, </w:t>
              </w:r>
              <w:r>
                <w:rPr>
                  <w:i/>
                  <w:iCs/>
                  <w:noProof/>
                  <w:lang w:val="en-US"/>
                </w:rPr>
                <w:t>Armstrong's Handbook of Human Resource Management Practice (11th Ed)</w:t>
              </w:r>
              <w:r>
                <w:rPr>
                  <w:noProof/>
                  <w:lang w:val="en-US"/>
                </w:rPr>
                <w:t xml:space="preserve"> (pp. 485-494). London: Kogan Page.</w:t>
              </w:r>
            </w:p>
            <w:p w14:paraId="440DC820" w14:textId="77777777" w:rsidR="00FD06BA" w:rsidRDefault="00FD06BA" w:rsidP="00FD06BA">
              <w:pPr>
                <w:pStyle w:val="Bibliography"/>
                <w:ind w:left="720" w:hanging="720"/>
                <w:rPr>
                  <w:noProof/>
                  <w:lang w:val="en-US"/>
                </w:rPr>
              </w:pPr>
              <w:r>
                <w:rPr>
                  <w:noProof/>
                  <w:lang w:val="en-US"/>
                </w:rPr>
                <w:t xml:space="preserve">Office for National Statistics. (2020, February 18). </w:t>
              </w:r>
              <w:r>
                <w:rPr>
                  <w:i/>
                  <w:iCs/>
                  <w:noProof/>
                  <w:lang w:val="en-US"/>
                </w:rPr>
                <w:t>Labour Market Overview, UK: February 2020</w:t>
              </w:r>
              <w:r>
                <w:rPr>
                  <w:noProof/>
                  <w:lang w:val="en-US"/>
                </w:rPr>
                <w:t>. Retrieved from Office for National Statistics: https://www.ons.gov.uk/employmentandlabourmarket/peopleinwork/employmentandemployeetypes/bulletins/uklabourmarket/february2020</w:t>
              </w:r>
            </w:p>
            <w:p w14:paraId="5FC343A6" w14:textId="77777777" w:rsidR="00FD06BA" w:rsidRDefault="00FD06BA" w:rsidP="00FD06BA">
              <w:pPr>
                <w:pStyle w:val="Bibliography"/>
                <w:ind w:left="720" w:hanging="720"/>
                <w:rPr>
                  <w:noProof/>
                  <w:lang w:val="en-US"/>
                </w:rPr>
              </w:pPr>
              <w:r>
                <w:rPr>
                  <w:noProof/>
                  <w:lang w:val="en-US"/>
                </w:rPr>
                <w:t xml:space="preserve">Perkins, G., &amp; Woodhams, C. (2016). Reward Management. In S. Taylor, &amp; C. Woodhams, </w:t>
              </w:r>
              <w:r>
                <w:rPr>
                  <w:i/>
                  <w:iCs/>
                  <w:noProof/>
                  <w:lang w:val="en-US"/>
                </w:rPr>
                <w:t>Human Resource Management: People and Organisations</w:t>
              </w:r>
              <w:r>
                <w:rPr>
                  <w:noProof/>
                  <w:lang w:val="en-US"/>
                </w:rPr>
                <w:t xml:space="preserve"> (pp. 121-141). London: CIPD.</w:t>
              </w:r>
            </w:p>
            <w:p w14:paraId="610710D8" w14:textId="77777777" w:rsidR="00FD06BA" w:rsidRDefault="00FD06BA" w:rsidP="00FD06BA">
              <w:pPr>
                <w:pStyle w:val="Bibliography"/>
                <w:ind w:left="720" w:hanging="720"/>
                <w:rPr>
                  <w:noProof/>
                  <w:lang w:val="en-US"/>
                </w:rPr>
              </w:pPr>
              <w:r>
                <w:rPr>
                  <w:noProof/>
                  <w:lang w:val="en-US"/>
                </w:rPr>
                <w:t xml:space="preserve">PositiveRevolution. (2018, April 19). </w:t>
              </w:r>
              <w:r>
                <w:rPr>
                  <w:i/>
                  <w:iCs/>
                  <w:noProof/>
                  <w:lang w:val="en-US"/>
                </w:rPr>
                <w:t>TALENT RETENTION: how to reduce attrition</w:t>
              </w:r>
              <w:r>
                <w:rPr>
                  <w:noProof/>
                  <w:lang w:val="en-US"/>
                </w:rPr>
                <w:t>. Retrieved from YouTube: https://www.youtube.com/watch?v=OhFjv2VgokE</w:t>
              </w:r>
            </w:p>
            <w:p w14:paraId="671E0AA1" w14:textId="77777777" w:rsidR="00FD06BA" w:rsidRDefault="00FD06BA" w:rsidP="00FD06BA">
              <w:pPr>
                <w:pStyle w:val="Bibliography"/>
                <w:ind w:left="720" w:hanging="720"/>
                <w:rPr>
                  <w:noProof/>
                  <w:lang w:val="en-US"/>
                </w:rPr>
              </w:pPr>
              <w:r>
                <w:rPr>
                  <w:noProof/>
                  <w:lang w:val="en-US"/>
                </w:rPr>
                <w:t xml:space="preserve">Taylor, M. (2017, July). </w:t>
              </w:r>
              <w:r>
                <w:rPr>
                  <w:i/>
                  <w:iCs/>
                  <w:noProof/>
                  <w:lang w:val="en-US"/>
                </w:rPr>
                <w:t>Good Work: The Taylor Review of Modern Working Practices</w:t>
              </w:r>
              <w:r>
                <w:rPr>
                  <w:noProof/>
                  <w:lang w:val="en-US"/>
                </w:rPr>
                <w:t>. Retrieved from Gov.UK: https://assets.publishing.service.gov.uk/government/uploads/system/uploads/attachment_data/file/627671/good-work-taylor-review-modern-working-practices-rg.pdf</w:t>
              </w:r>
            </w:p>
            <w:p w14:paraId="068AAC5E" w14:textId="77777777" w:rsidR="00FD06BA" w:rsidRDefault="00FD06BA" w:rsidP="00FD06BA">
              <w:pPr>
                <w:pStyle w:val="Bibliography"/>
                <w:ind w:left="720" w:hanging="720"/>
                <w:rPr>
                  <w:noProof/>
                  <w:lang w:val="en-US"/>
                </w:rPr>
              </w:pPr>
              <w:r>
                <w:rPr>
                  <w:noProof/>
                  <w:lang w:val="en-US"/>
                </w:rPr>
                <w:t xml:space="preserve">Taylor, S. (2010). </w:t>
              </w:r>
              <w:r>
                <w:rPr>
                  <w:i/>
                  <w:iCs/>
                  <w:noProof/>
                  <w:lang w:val="en-US"/>
                </w:rPr>
                <w:t>Resourcing and Talent Management (5th Ed).</w:t>
              </w:r>
              <w:r>
                <w:rPr>
                  <w:noProof/>
                  <w:lang w:val="en-US"/>
                </w:rPr>
                <w:t xml:space="preserve"> London: CIPD.</w:t>
              </w:r>
            </w:p>
            <w:p w14:paraId="11033884" w14:textId="77777777" w:rsidR="00FD06BA" w:rsidRDefault="00FD06BA" w:rsidP="00FD06BA">
              <w:pPr>
                <w:pStyle w:val="Bibliography"/>
                <w:ind w:left="720" w:hanging="720"/>
                <w:rPr>
                  <w:noProof/>
                  <w:lang w:val="en-US"/>
                </w:rPr>
              </w:pPr>
              <w:r>
                <w:rPr>
                  <w:noProof/>
                  <w:lang w:val="en-US"/>
                </w:rPr>
                <w:t xml:space="preserve">Taylor, S. (2016). Improving Organisational Performance. In S. T. Woodhams, </w:t>
              </w:r>
              <w:r>
                <w:rPr>
                  <w:i/>
                  <w:iCs/>
                  <w:noProof/>
                  <w:lang w:val="en-US"/>
                </w:rPr>
                <w:t>Human Resource Management: People and Organisation</w:t>
              </w:r>
              <w:r>
                <w:rPr>
                  <w:noProof/>
                  <w:lang w:val="en-US"/>
                </w:rPr>
                <w:t xml:space="preserve"> (pp. 197-218). London: CIPD.</w:t>
              </w:r>
            </w:p>
            <w:p w14:paraId="439BD36E" w14:textId="77777777" w:rsidR="00FD06BA" w:rsidRDefault="00FD06BA" w:rsidP="00FD06BA">
              <w:pPr>
                <w:pStyle w:val="Bibliography"/>
                <w:ind w:left="720" w:hanging="720"/>
                <w:rPr>
                  <w:noProof/>
                  <w:lang w:val="en-US"/>
                </w:rPr>
              </w:pPr>
              <w:r>
                <w:rPr>
                  <w:noProof/>
                  <w:lang w:val="en-US"/>
                </w:rPr>
                <w:t xml:space="preserve">Taylor, S., &amp; Woodhams, C. (2016). </w:t>
              </w:r>
              <w:r>
                <w:rPr>
                  <w:i/>
                  <w:iCs/>
                  <w:noProof/>
                  <w:lang w:val="en-US"/>
                </w:rPr>
                <w:t>Studying Human Resources Management.</w:t>
              </w:r>
              <w:r>
                <w:rPr>
                  <w:noProof/>
                  <w:lang w:val="en-US"/>
                </w:rPr>
                <w:t xml:space="preserve"> London: CIPD.</w:t>
              </w:r>
            </w:p>
            <w:p w14:paraId="4C0AF4A2" w14:textId="77777777" w:rsidR="00FD06BA" w:rsidRDefault="00FD06BA" w:rsidP="00FD06BA">
              <w:pPr>
                <w:pStyle w:val="Bibliography"/>
                <w:ind w:left="720" w:hanging="720"/>
                <w:rPr>
                  <w:noProof/>
                  <w:lang w:val="en-US"/>
                </w:rPr>
              </w:pPr>
              <w:r>
                <w:rPr>
                  <w:noProof/>
                  <w:lang w:val="en-US"/>
                </w:rPr>
                <w:t xml:space="preserve">Ulrich, D. (2019, March 12). </w:t>
              </w:r>
              <w:r>
                <w:rPr>
                  <w:i/>
                  <w:iCs/>
                  <w:noProof/>
                  <w:lang w:val="en-US"/>
                </w:rPr>
                <w:t>From Workforce to Worktask Planning</w:t>
              </w:r>
              <w:r>
                <w:rPr>
                  <w:noProof/>
                  <w:lang w:val="en-US"/>
                </w:rPr>
                <w:t>. Retrieved from LinkedIn: https://www.linkedin.com/pulse/from-workforce-worktask-planning-dave-ulrich/</w:t>
              </w:r>
            </w:p>
            <w:p w14:paraId="5B57C43D" w14:textId="77777777" w:rsidR="00FD06BA" w:rsidRDefault="00FD06BA" w:rsidP="00FD06BA">
              <w:pPr>
                <w:pStyle w:val="Bibliography"/>
                <w:ind w:left="720" w:hanging="720"/>
                <w:rPr>
                  <w:noProof/>
                  <w:lang w:val="en-US"/>
                </w:rPr>
              </w:pPr>
              <w:r>
                <w:rPr>
                  <w:noProof/>
                  <w:lang w:val="en-US"/>
                </w:rPr>
                <w:t xml:space="preserve">WEDS. (2016, August). </w:t>
              </w:r>
              <w:r>
                <w:rPr>
                  <w:i/>
                  <w:iCs/>
                  <w:noProof/>
                  <w:lang w:val="en-US"/>
                </w:rPr>
                <w:t>Skills Mix Analyser Tool - User Guidance Notes</w:t>
              </w:r>
              <w:r>
                <w:rPr>
                  <w:noProof/>
                  <w:lang w:val="en-US"/>
                </w:rPr>
                <w:t>. Retrieved from WEDS: https://weds.heiw.wales/assets/Uploads/777bcd4d46/Skill-Mix-Analyser-User-guide-updated-August-2016.pdf</w:t>
              </w:r>
            </w:p>
            <w:p w14:paraId="51104CBF" w14:textId="77777777" w:rsidR="00FD06BA" w:rsidRDefault="00FD06BA" w:rsidP="00FD06BA">
              <w:pPr>
                <w:pStyle w:val="Bibliography"/>
                <w:ind w:left="720" w:hanging="720"/>
                <w:rPr>
                  <w:noProof/>
                  <w:lang w:val="en-US"/>
                </w:rPr>
              </w:pPr>
              <w:r>
                <w:rPr>
                  <w:noProof/>
                  <w:lang w:val="en-US"/>
                </w:rPr>
                <w:t xml:space="preserve">WEDS. (2016, August). </w:t>
              </w:r>
              <w:r>
                <w:rPr>
                  <w:i/>
                  <w:iCs/>
                  <w:noProof/>
                  <w:lang w:val="en-US"/>
                </w:rPr>
                <w:t>Workforce Interactive Tool - User Guidance Notes</w:t>
              </w:r>
              <w:r>
                <w:rPr>
                  <w:noProof/>
                  <w:lang w:val="en-US"/>
                </w:rPr>
                <w:t>. Retrieved from WEDS: https://weds.heiw.wales/assets/Uploads/625b9d5b25/Workforce-Interactive-Tool-User-guidance-updated-August-2016.pdf</w:t>
              </w:r>
            </w:p>
            <w:p w14:paraId="795D2D80" w14:textId="77777777" w:rsidR="00FD06BA" w:rsidRDefault="00FD06BA" w:rsidP="00FD06BA">
              <w:pPr>
                <w:pStyle w:val="Bibliography"/>
                <w:ind w:left="720" w:hanging="720"/>
                <w:rPr>
                  <w:noProof/>
                  <w:lang w:val="en-US"/>
                </w:rPr>
              </w:pPr>
              <w:r>
                <w:rPr>
                  <w:noProof/>
                  <w:lang w:val="en-US"/>
                </w:rPr>
                <w:t xml:space="preserve">Wietrak, E. (2018, February). </w:t>
              </w:r>
              <w:r>
                <w:rPr>
                  <w:i/>
                  <w:iCs/>
                  <w:noProof/>
                  <w:lang w:val="en-US"/>
                </w:rPr>
                <w:t>How to Reduces Gender Bias in Your Hiring Process</w:t>
              </w:r>
              <w:r>
                <w:rPr>
                  <w:noProof/>
                  <w:lang w:val="en-US"/>
                </w:rPr>
                <w:t>. Retrieved from Science for Work: https://scienceforwork.com/blog/reducing-gender-bias-hiring/</w:t>
              </w:r>
            </w:p>
            <w:p w14:paraId="06A779D8" w14:textId="77777777" w:rsidR="00FD06BA" w:rsidRDefault="00FD06BA" w:rsidP="00FD06BA">
              <w:pPr>
                <w:pStyle w:val="Bibliography"/>
                <w:ind w:left="720" w:hanging="720"/>
                <w:rPr>
                  <w:noProof/>
                  <w:lang w:val="en-US"/>
                </w:rPr>
              </w:pPr>
              <w:r>
                <w:rPr>
                  <w:noProof/>
                  <w:lang w:val="en-US"/>
                </w:rPr>
                <w:t xml:space="preserve">Wilkinson, K., &amp; Taylor, S. (2016). Resourcing and Talent Plannig. In S. Taylor, &amp; C. Woodhams, </w:t>
              </w:r>
              <w:r>
                <w:rPr>
                  <w:i/>
                  <w:iCs/>
                  <w:noProof/>
                  <w:lang w:val="en-US"/>
                </w:rPr>
                <w:t>Human Resource Management: People and Organisations</w:t>
              </w:r>
              <w:r>
                <w:rPr>
                  <w:noProof/>
                  <w:lang w:val="en-US"/>
                </w:rPr>
                <w:t xml:space="preserve"> (pp. 51-78). London: CIPD.</w:t>
              </w:r>
            </w:p>
            <w:p w14:paraId="5DFB4A88" w14:textId="4B87104E" w:rsidR="004D1A59" w:rsidRDefault="004D1A59" w:rsidP="00FD06BA">
              <w:r>
                <w:rPr>
                  <w:b/>
                  <w:bCs/>
                  <w:noProof/>
                </w:rPr>
                <w:fldChar w:fldCharType="end"/>
              </w:r>
            </w:p>
          </w:sdtContent>
        </w:sdt>
      </w:sdtContent>
    </w:sdt>
    <w:p w14:paraId="1B6957CD" w14:textId="77777777" w:rsidR="00B7374F" w:rsidRPr="00EE0648" w:rsidRDefault="00B7374F" w:rsidP="00792637">
      <w:pPr>
        <w:rPr>
          <w:color w:val="FF0000"/>
        </w:rPr>
      </w:pPr>
    </w:p>
    <w:p w14:paraId="382ECA9F" w14:textId="77777777" w:rsidR="006E16C1" w:rsidRDefault="006E16C1"/>
    <w:sectPr w:rsidR="006E16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D05E3" w14:textId="77777777" w:rsidR="00CF6777" w:rsidRDefault="00CF6777" w:rsidP="00D57658">
      <w:pPr>
        <w:spacing w:after="0" w:line="240" w:lineRule="auto"/>
      </w:pPr>
      <w:r>
        <w:separator/>
      </w:r>
    </w:p>
  </w:endnote>
  <w:endnote w:type="continuationSeparator" w:id="0">
    <w:p w14:paraId="07B4B79D" w14:textId="77777777" w:rsidR="00CF6777" w:rsidRDefault="00CF6777" w:rsidP="00D57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63AFC" w14:textId="77777777" w:rsidR="00CF6777" w:rsidRDefault="00CF6777" w:rsidP="00D57658">
      <w:pPr>
        <w:spacing w:after="0" w:line="240" w:lineRule="auto"/>
      </w:pPr>
      <w:r>
        <w:separator/>
      </w:r>
    </w:p>
  </w:footnote>
  <w:footnote w:type="continuationSeparator" w:id="0">
    <w:p w14:paraId="3B0F0826" w14:textId="77777777" w:rsidR="00CF6777" w:rsidRDefault="00CF6777" w:rsidP="00D57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9422A"/>
    <w:multiLevelType w:val="hybridMultilevel"/>
    <w:tmpl w:val="3DB016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E946213"/>
    <w:multiLevelType w:val="hybridMultilevel"/>
    <w:tmpl w:val="60367DD6"/>
    <w:lvl w:ilvl="0" w:tplc="08090001">
      <w:start w:val="1"/>
      <w:numFmt w:val="bullet"/>
      <w:lvlText w:val=""/>
      <w:lvlJc w:val="left"/>
      <w:pPr>
        <w:ind w:left="1074"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2" w15:restartNumberingAfterBreak="0">
    <w:nsid w:val="747E68F8"/>
    <w:multiLevelType w:val="hybridMultilevel"/>
    <w:tmpl w:val="65C494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637"/>
    <w:rsid w:val="000267E6"/>
    <w:rsid w:val="0003370D"/>
    <w:rsid w:val="00085E4D"/>
    <w:rsid w:val="000B18BC"/>
    <w:rsid w:val="000C173C"/>
    <w:rsid w:val="000D362C"/>
    <w:rsid w:val="001023C8"/>
    <w:rsid w:val="00106D58"/>
    <w:rsid w:val="00162C9E"/>
    <w:rsid w:val="001808A9"/>
    <w:rsid w:val="00186979"/>
    <w:rsid w:val="001C6E07"/>
    <w:rsid w:val="001D3137"/>
    <w:rsid w:val="001F4F78"/>
    <w:rsid w:val="002038F5"/>
    <w:rsid w:val="00206732"/>
    <w:rsid w:val="0021552E"/>
    <w:rsid w:val="00235884"/>
    <w:rsid w:val="0025318A"/>
    <w:rsid w:val="00281C22"/>
    <w:rsid w:val="00296BBB"/>
    <w:rsid w:val="0029713F"/>
    <w:rsid w:val="002A35A2"/>
    <w:rsid w:val="002A61B0"/>
    <w:rsid w:val="002B67D5"/>
    <w:rsid w:val="002C493D"/>
    <w:rsid w:val="002D1A54"/>
    <w:rsid w:val="002F2E30"/>
    <w:rsid w:val="003076A7"/>
    <w:rsid w:val="00315CC5"/>
    <w:rsid w:val="00323E83"/>
    <w:rsid w:val="00333238"/>
    <w:rsid w:val="00337565"/>
    <w:rsid w:val="003A1947"/>
    <w:rsid w:val="003A393A"/>
    <w:rsid w:val="003C220D"/>
    <w:rsid w:val="003E6F5E"/>
    <w:rsid w:val="003E7880"/>
    <w:rsid w:val="003F75E4"/>
    <w:rsid w:val="00421F0C"/>
    <w:rsid w:val="0043234A"/>
    <w:rsid w:val="004742B1"/>
    <w:rsid w:val="00481B02"/>
    <w:rsid w:val="004B203C"/>
    <w:rsid w:val="004C2F37"/>
    <w:rsid w:val="004D1A59"/>
    <w:rsid w:val="004D58BD"/>
    <w:rsid w:val="00503E2B"/>
    <w:rsid w:val="00513DAF"/>
    <w:rsid w:val="0053079D"/>
    <w:rsid w:val="005460E4"/>
    <w:rsid w:val="005C4B53"/>
    <w:rsid w:val="00634DA9"/>
    <w:rsid w:val="0064084E"/>
    <w:rsid w:val="00656E73"/>
    <w:rsid w:val="00684B88"/>
    <w:rsid w:val="00690CCB"/>
    <w:rsid w:val="006E16C1"/>
    <w:rsid w:val="006F72D0"/>
    <w:rsid w:val="0077237F"/>
    <w:rsid w:val="00792637"/>
    <w:rsid w:val="00794F74"/>
    <w:rsid w:val="007C5D4B"/>
    <w:rsid w:val="007D40E3"/>
    <w:rsid w:val="007D7270"/>
    <w:rsid w:val="007E16CD"/>
    <w:rsid w:val="007F47C2"/>
    <w:rsid w:val="00812967"/>
    <w:rsid w:val="0081663E"/>
    <w:rsid w:val="008221D8"/>
    <w:rsid w:val="00845B9A"/>
    <w:rsid w:val="0086425B"/>
    <w:rsid w:val="008E3F98"/>
    <w:rsid w:val="009134D4"/>
    <w:rsid w:val="009175C2"/>
    <w:rsid w:val="00955A2A"/>
    <w:rsid w:val="00963A8D"/>
    <w:rsid w:val="009651F4"/>
    <w:rsid w:val="00965EA5"/>
    <w:rsid w:val="009805D2"/>
    <w:rsid w:val="009C14C6"/>
    <w:rsid w:val="009E34F1"/>
    <w:rsid w:val="009F56DF"/>
    <w:rsid w:val="00A13288"/>
    <w:rsid w:val="00A13614"/>
    <w:rsid w:val="00A17309"/>
    <w:rsid w:val="00A21A7F"/>
    <w:rsid w:val="00A57642"/>
    <w:rsid w:val="00A601D6"/>
    <w:rsid w:val="00AD0DF5"/>
    <w:rsid w:val="00B07883"/>
    <w:rsid w:val="00B12AA6"/>
    <w:rsid w:val="00B73455"/>
    <w:rsid w:val="00B7374F"/>
    <w:rsid w:val="00BC416E"/>
    <w:rsid w:val="00C056B4"/>
    <w:rsid w:val="00C45287"/>
    <w:rsid w:val="00C541E2"/>
    <w:rsid w:val="00CB7469"/>
    <w:rsid w:val="00CE1AC0"/>
    <w:rsid w:val="00CF34C0"/>
    <w:rsid w:val="00CF6777"/>
    <w:rsid w:val="00D0632E"/>
    <w:rsid w:val="00D20195"/>
    <w:rsid w:val="00D57658"/>
    <w:rsid w:val="00D65887"/>
    <w:rsid w:val="00D73768"/>
    <w:rsid w:val="00D840BE"/>
    <w:rsid w:val="00D97528"/>
    <w:rsid w:val="00DC6D31"/>
    <w:rsid w:val="00E229C3"/>
    <w:rsid w:val="00E31732"/>
    <w:rsid w:val="00E371CA"/>
    <w:rsid w:val="00E450F5"/>
    <w:rsid w:val="00E501EF"/>
    <w:rsid w:val="00E50685"/>
    <w:rsid w:val="00E51269"/>
    <w:rsid w:val="00EB4E85"/>
    <w:rsid w:val="00ED2E90"/>
    <w:rsid w:val="00EE0648"/>
    <w:rsid w:val="00EE6EA1"/>
    <w:rsid w:val="00F25459"/>
    <w:rsid w:val="00F30C28"/>
    <w:rsid w:val="00F420D1"/>
    <w:rsid w:val="00FB5390"/>
    <w:rsid w:val="00FC19CB"/>
    <w:rsid w:val="00FD06BA"/>
    <w:rsid w:val="00FE7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4727B"/>
  <w15:chartTrackingRefBased/>
  <w15:docId w15:val="{E08E054C-DD05-4572-A478-522A03D2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637"/>
  </w:style>
  <w:style w:type="paragraph" w:styleId="Heading1">
    <w:name w:val="heading 1"/>
    <w:basedOn w:val="Normal"/>
    <w:next w:val="Normal"/>
    <w:link w:val="Heading1Char"/>
    <w:uiPriority w:val="9"/>
    <w:qFormat/>
    <w:rsid w:val="004D1A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A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1A59"/>
  </w:style>
  <w:style w:type="paragraph" w:styleId="ListParagraph">
    <w:name w:val="List Paragraph"/>
    <w:basedOn w:val="Normal"/>
    <w:uiPriority w:val="34"/>
    <w:qFormat/>
    <w:rsid w:val="0003370D"/>
    <w:pPr>
      <w:ind w:left="720"/>
      <w:contextualSpacing/>
    </w:pPr>
  </w:style>
  <w:style w:type="table" w:styleId="TableGrid">
    <w:name w:val="Table Grid"/>
    <w:basedOn w:val="TableNormal"/>
    <w:uiPriority w:val="59"/>
    <w:rsid w:val="001F4F78"/>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57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658"/>
  </w:style>
  <w:style w:type="paragraph" w:styleId="Footer">
    <w:name w:val="footer"/>
    <w:basedOn w:val="Normal"/>
    <w:link w:val="FooterChar"/>
    <w:uiPriority w:val="99"/>
    <w:unhideWhenUsed/>
    <w:rsid w:val="00D57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38137">
      <w:bodyDiv w:val="1"/>
      <w:marLeft w:val="0"/>
      <w:marRight w:val="0"/>
      <w:marTop w:val="0"/>
      <w:marBottom w:val="0"/>
      <w:divBdr>
        <w:top w:val="none" w:sz="0" w:space="0" w:color="auto"/>
        <w:left w:val="none" w:sz="0" w:space="0" w:color="auto"/>
        <w:bottom w:val="none" w:sz="0" w:space="0" w:color="auto"/>
        <w:right w:val="none" w:sz="0" w:space="0" w:color="auto"/>
      </w:divBdr>
    </w:div>
    <w:div w:id="54008360">
      <w:bodyDiv w:val="1"/>
      <w:marLeft w:val="0"/>
      <w:marRight w:val="0"/>
      <w:marTop w:val="0"/>
      <w:marBottom w:val="0"/>
      <w:divBdr>
        <w:top w:val="none" w:sz="0" w:space="0" w:color="auto"/>
        <w:left w:val="none" w:sz="0" w:space="0" w:color="auto"/>
        <w:bottom w:val="none" w:sz="0" w:space="0" w:color="auto"/>
        <w:right w:val="none" w:sz="0" w:space="0" w:color="auto"/>
      </w:divBdr>
    </w:div>
    <w:div w:id="54931733">
      <w:bodyDiv w:val="1"/>
      <w:marLeft w:val="0"/>
      <w:marRight w:val="0"/>
      <w:marTop w:val="0"/>
      <w:marBottom w:val="0"/>
      <w:divBdr>
        <w:top w:val="none" w:sz="0" w:space="0" w:color="auto"/>
        <w:left w:val="none" w:sz="0" w:space="0" w:color="auto"/>
        <w:bottom w:val="none" w:sz="0" w:space="0" w:color="auto"/>
        <w:right w:val="none" w:sz="0" w:space="0" w:color="auto"/>
      </w:divBdr>
    </w:div>
    <w:div w:id="62416472">
      <w:bodyDiv w:val="1"/>
      <w:marLeft w:val="0"/>
      <w:marRight w:val="0"/>
      <w:marTop w:val="0"/>
      <w:marBottom w:val="0"/>
      <w:divBdr>
        <w:top w:val="none" w:sz="0" w:space="0" w:color="auto"/>
        <w:left w:val="none" w:sz="0" w:space="0" w:color="auto"/>
        <w:bottom w:val="none" w:sz="0" w:space="0" w:color="auto"/>
        <w:right w:val="none" w:sz="0" w:space="0" w:color="auto"/>
      </w:divBdr>
    </w:div>
    <w:div w:id="85346650">
      <w:bodyDiv w:val="1"/>
      <w:marLeft w:val="0"/>
      <w:marRight w:val="0"/>
      <w:marTop w:val="0"/>
      <w:marBottom w:val="0"/>
      <w:divBdr>
        <w:top w:val="none" w:sz="0" w:space="0" w:color="auto"/>
        <w:left w:val="none" w:sz="0" w:space="0" w:color="auto"/>
        <w:bottom w:val="none" w:sz="0" w:space="0" w:color="auto"/>
        <w:right w:val="none" w:sz="0" w:space="0" w:color="auto"/>
      </w:divBdr>
    </w:div>
    <w:div w:id="93474801">
      <w:bodyDiv w:val="1"/>
      <w:marLeft w:val="0"/>
      <w:marRight w:val="0"/>
      <w:marTop w:val="0"/>
      <w:marBottom w:val="0"/>
      <w:divBdr>
        <w:top w:val="none" w:sz="0" w:space="0" w:color="auto"/>
        <w:left w:val="none" w:sz="0" w:space="0" w:color="auto"/>
        <w:bottom w:val="none" w:sz="0" w:space="0" w:color="auto"/>
        <w:right w:val="none" w:sz="0" w:space="0" w:color="auto"/>
      </w:divBdr>
    </w:div>
    <w:div w:id="95255171">
      <w:bodyDiv w:val="1"/>
      <w:marLeft w:val="0"/>
      <w:marRight w:val="0"/>
      <w:marTop w:val="0"/>
      <w:marBottom w:val="0"/>
      <w:divBdr>
        <w:top w:val="none" w:sz="0" w:space="0" w:color="auto"/>
        <w:left w:val="none" w:sz="0" w:space="0" w:color="auto"/>
        <w:bottom w:val="none" w:sz="0" w:space="0" w:color="auto"/>
        <w:right w:val="none" w:sz="0" w:space="0" w:color="auto"/>
      </w:divBdr>
    </w:div>
    <w:div w:id="95636529">
      <w:bodyDiv w:val="1"/>
      <w:marLeft w:val="0"/>
      <w:marRight w:val="0"/>
      <w:marTop w:val="0"/>
      <w:marBottom w:val="0"/>
      <w:divBdr>
        <w:top w:val="none" w:sz="0" w:space="0" w:color="auto"/>
        <w:left w:val="none" w:sz="0" w:space="0" w:color="auto"/>
        <w:bottom w:val="none" w:sz="0" w:space="0" w:color="auto"/>
        <w:right w:val="none" w:sz="0" w:space="0" w:color="auto"/>
      </w:divBdr>
    </w:div>
    <w:div w:id="111286648">
      <w:bodyDiv w:val="1"/>
      <w:marLeft w:val="0"/>
      <w:marRight w:val="0"/>
      <w:marTop w:val="0"/>
      <w:marBottom w:val="0"/>
      <w:divBdr>
        <w:top w:val="none" w:sz="0" w:space="0" w:color="auto"/>
        <w:left w:val="none" w:sz="0" w:space="0" w:color="auto"/>
        <w:bottom w:val="none" w:sz="0" w:space="0" w:color="auto"/>
        <w:right w:val="none" w:sz="0" w:space="0" w:color="auto"/>
      </w:divBdr>
    </w:div>
    <w:div w:id="116411424">
      <w:bodyDiv w:val="1"/>
      <w:marLeft w:val="0"/>
      <w:marRight w:val="0"/>
      <w:marTop w:val="0"/>
      <w:marBottom w:val="0"/>
      <w:divBdr>
        <w:top w:val="none" w:sz="0" w:space="0" w:color="auto"/>
        <w:left w:val="none" w:sz="0" w:space="0" w:color="auto"/>
        <w:bottom w:val="none" w:sz="0" w:space="0" w:color="auto"/>
        <w:right w:val="none" w:sz="0" w:space="0" w:color="auto"/>
      </w:divBdr>
    </w:div>
    <w:div w:id="118842501">
      <w:bodyDiv w:val="1"/>
      <w:marLeft w:val="0"/>
      <w:marRight w:val="0"/>
      <w:marTop w:val="0"/>
      <w:marBottom w:val="0"/>
      <w:divBdr>
        <w:top w:val="none" w:sz="0" w:space="0" w:color="auto"/>
        <w:left w:val="none" w:sz="0" w:space="0" w:color="auto"/>
        <w:bottom w:val="none" w:sz="0" w:space="0" w:color="auto"/>
        <w:right w:val="none" w:sz="0" w:space="0" w:color="auto"/>
      </w:divBdr>
    </w:div>
    <w:div w:id="128205512">
      <w:bodyDiv w:val="1"/>
      <w:marLeft w:val="0"/>
      <w:marRight w:val="0"/>
      <w:marTop w:val="0"/>
      <w:marBottom w:val="0"/>
      <w:divBdr>
        <w:top w:val="none" w:sz="0" w:space="0" w:color="auto"/>
        <w:left w:val="none" w:sz="0" w:space="0" w:color="auto"/>
        <w:bottom w:val="none" w:sz="0" w:space="0" w:color="auto"/>
        <w:right w:val="none" w:sz="0" w:space="0" w:color="auto"/>
      </w:divBdr>
    </w:div>
    <w:div w:id="132136479">
      <w:bodyDiv w:val="1"/>
      <w:marLeft w:val="0"/>
      <w:marRight w:val="0"/>
      <w:marTop w:val="0"/>
      <w:marBottom w:val="0"/>
      <w:divBdr>
        <w:top w:val="none" w:sz="0" w:space="0" w:color="auto"/>
        <w:left w:val="none" w:sz="0" w:space="0" w:color="auto"/>
        <w:bottom w:val="none" w:sz="0" w:space="0" w:color="auto"/>
        <w:right w:val="none" w:sz="0" w:space="0" w:color="auto"/>
      </w:divBdr>
    </w:div>
    <w:div w:id="140930474">
      <w:bodyDiv w:val="1"/>
      <w:marLeft w:val="0"/>
      <w:marRight w:val="0"/>
      <w:marTop w:val="0"/>
      <w:marBottom w:val="0"/>
      <w:divBdr>
        <w:top w:val="none" w:sz="0" w:space="0" w:color="auto"/>
        <w:left w:val="none" w:sz="0" w:space="0" w:color="auto"/>
        <w:bottom w:val="none" w:sz="0" w:space="0" w:color="auto"/>
        <w:right w:val="none" w:sz="0" w:space="0" w:color="auto"/>
      </w:divBdr>
    </w:div>
    <w:div w:id="143550051">
      <w:bodyDiv w:val="1"/>
      <w:marLeft w:val="0"/>
      <w:marRight w:val="0"/>
      <w:marTop w:val="0"/>
      <w:marBottom w:val="0"/>
      <w:divBdr>
        <w:top w:val="none" w:sz="0" w:space="0" w:color="auto"/>
        <w:left w:val="none" w:sz="0" w:space="0" w:color="auto"/>
        <w:bottom w:val="none" w:sz="0" w:space="0" w:color="auto"/>
        <w:right w:val="none" w:sz="0" w:space="0" w:color="auto"/>
      </w:divBdr>
    </w:div>
    <w:div w:id="172502398">
      <w:bodyDiv w:val="1"/>
      <w:marLeft w:val="0"/>
      <w:marRight w:val="0"/>
      <w:marTop w:val="0"/>
      <w:marBottom w:val="0"/>
      <w:divBdr>
        <w:top w:val="none" w:sz="0" w:space="0" w:color="auto"/>
        <w:left w:val="none" w:sz="0" w:space="0" w:color="auto"/>
        <w:bottom w:val="none" w:sz="0" w:space="0" w:color="auto"/>
        <w:right w:val="none" w:sz="0" w:space="0" w:color="auto"/>
      </w:divBdr>
    </w:div>
    <w:div w:id="178007452">
      <w:bodyDiv w:val="1"/>
      <w:marLeft w:val="0"/>
      <w:marRight w:val="0"/>
      <w:marTop w:val="0"/>
      <w:marBottom w:val="0"/>
      <w:divBdr>
        <w:top w:val="none" w:sz="0" w:space="0" w:color="auto"/>
        <w:left w:val="none" w:sz="0" w:space="0" w:color="auto"/>
        <w:bottom w:val="none" w:sz="0" w:space="0" w:color="auto"/>
        <w:right w:val="none" w:sz="0" w:space="0" w:color="auto"/>
      </w:divBdr>
    </w:div>
    <w:div w:id="208038228">
      <w:bodyDiv w:val="1"/>
      <w:marLeft w:val="0"/>
      <w:marRight w:val="0"/>
      <w:marTop w:val="0"/>
      <w:marBottom w:val="0"/>
      <w:divBdr>
        <w:top w:val="none" w:sz="0" w:space="0" w:color="auto"/>
        <w:left w:val="none" w:sz="0" w:space="0" w:color="auto"/>
        <w:bottom w:val="none" w:sz="0" w:space="0" w:color="auto"/>
        <w:right w:val="none" w:sz="0" w:space="0" w:color="auto"/>
      </w:divBdr>
    </w:div>
    <w:div w:id="208104731">
      <w:bodyDiv w:val="1"/>
      <w:marLeft w:val="0"/>
      <w:marRight w:val="0"/>
      <w:marTop w:val="0"/>
      <w:marBottom w:val="0"/>
      <w:divBdr>
        <w:top w:val="none" w:sz="0" w:space="0" w:color="auto"/>
        <w:left w:val="none" w:sz="0" w:space="0" w:color="auto"/>
        <w:bottom w:val="none" w:sz="0" w:space="0" w:color="auto"/>
        <w:right w:val="none" w:sz="0" w:space="0" w:color="auto"/>
      </w:divBdr>
    </w:div>
    <w:div w:id="212928849">
      <w:bodyDiv w:val="1"/>
      <w:marLeft w:val="0"/>
      <w:marRight w:val="0"/>
      <w:marTop w:val="0"/>
      <w:marBottom w:val="0"/>
      <w:divBdr>
        <w:top w:val="none" w:sz="0" w:space="0" w:color="auto"/>
        <w:left w:val="none" w:sz="0" w:space="0" w:color="auto"/>
        <w:bottom w:val="none" w:sz="0" w:space="0" w:color="auto"/>
        <w:right w:val="none" w:sz="0" w:space="0" w:color="auto"/>
      </w:divBdr>
    </w:div>
    <w:div w:id="213009653">
      <w:bodyDiv w:val="1"/>
      <w:marLeft w:val="0"/>
      <w:marRight w:val="0"/>
      <w:marTop w:val="0"/>
      <w:marBottom w:val="0"/>
      <w:divBdr>
        <w:top w:val="none" w:sz="0" w:space="0" w:color="auto"/>
        <w:left w:val="none" w:sz="0" w:space="0" w:color="auto"/>
        <w:bottom w:val="none" w:sz="0" w:space="0" w:color="auto"/>
        <w:right w:val="none" w:sz="0" w:space="0" w:color="auto"/>
      </w:divBdr>
    </w:div>
    <w:div w:id="227573305">
      <w:bodyDiv w:val="1"/>
      <w:marLeft w:val="0"/>
      <w:marRight w:val="0"/>
      <w:marTop w:val="0"/>
      <w:marBottom w:val="0"/>
      <w:divBdr>
        <w:top w:val="none" w:sz="0" w:space="0" w:color="auto"/>
        <w:left w:val="none" w:sz="0" w:space="0" w:color="auto"/>
        <w:bottom w:val="none" w:sz="0" w:space="0" w:color="auto"/>
        <w:right w:val="none" w:sz="0" w:space="0" w:color="auto"/>
      </w:divBdr>
    </w:div>
    <w:div w:id="230045912">
      <w:bodyDiv w:val="1"/>
      <w:marLeft w:val="0"/>
      <w:marRight w:val="0"/>
      <w:marTop w:val="0"/>
      <w:marBottom w:val="0"/>
      <w:divBdr>
        <w:top w:val="none" w:sz="0" w:space="0" w:color="auto"/>
        <w:left w:val="none" w:sz="0" w:space="0" w:color="auto"/>
        <w:bottom w:val="none" w:sz="0" w:space="0" w:color="auto"/>
        <w:right w:val="none" w:sz="0" w:space="0" w:color="auto"/>
      </w:divBdr>
    </w:div>
    <w:div w:id="231354699">
      <w:bodyDiv w:val="1"/>
      <w:marLeft w:val="0"/>
      <w:marRight w:val="0"/>
      <w:marTop w:val="0"/>
      <w:marBottom w:val="0"/>
      <w:divBdr>
        <w:top w:val="none" w:sz="0" w:space="0" w:color="auto"/>
        <w:left w:val="none" w:sz="0" w:space="0" w:color="auto"/>
        <w:bottom w:val="none" w:sz="0" w:space="0" w:color="auto"/>
        <w:right w:val="none" w:sz="0" w:space="0" w:color="auto"/>
      </w:divBdr>
    </w:div>
    <w:div w:id="233517806">
      <w:bodyDiv w:val="1"/>
      <w:marLeft w:val="0"/>
      <w:marRight w:val="0"/>
      <w:marTop w:val="0"/>
      <w:marBottom w:val="0"/>
      <w:divBdr>
        <w:top w:val="none" w:sz="0" w:space="0" w:color="auto"/>
        <w:left w:val="none" w:sz="0" w:space="0" w:color="auto"/>
        <w:bottom w:val="none" w:sz="0" w:space="0" w:color="auto"/>
        <w:right w:val="none" w:sz="0" w:space="0" w:color="auto"/>
      </w:divBdr>
    </w:div>
    <w:div w:id="268440254">
      <w:bodyDiv w:val="1"/>
      <w:marLeft w:val="0"/>
      <w:marRight w:val="0"/>
      <w:marTop w:val="0"/>
      <w:marBottom w:val="0"/>
      <w:divBdr>
        <w:top w:val="none" w:sz="0" w:space="0" w:color="auto"/>
        <w:left w:val="none" w:sz="0" w:space="0" w:color="auto"/>
        <w:bottom w:val="none" w:sz="0" w:space="0" w:color="auto"/>
        <w:right w:val="none" w:sz="0" w:space="0" w:color="auto"/>
      </w:divBdr>
    </w:div>
    <w:div w:id="285624776">
      <w:bodyDiv w:val="1"/>
      <w:marLeft w:val="0"/>
      <w:marRight w:val="0"/>
      <w:marTop w:val="0"/>
      <w:marBottom w:val="0"/>
      <w:divBdr>
        <w:top w:val="none" w:sz="0" w:space="0" w:color="auto"/>
        <w:left w:val="none" w:sz="0" w:space="0" w:color="auto"/>
        <w:bottom w:val="none" w:sz="0" w:space="0" w:color="auto"/>
        <w:right w:val="none" w:sz="0" w:space="0" w:color="auto"/>
      </w:divBdr>
    </w:div>
    <w:div w:id="289406987">
      <w:bodyDiv w:val="1"/>
      <w:marLeft w:val="0"/>
      <w:marRight w:val="0"/>
      <w:marTop w:val="0"/>
      <w:marBottom w:val="0"/>
      <w:divBdr>
        <w:top w:val="none" w:sz="0" w:space="0" w:color="auto"/>
        <w:left w:val="none" w:sz="0" w:space="0" w:color="auto"/>
        <w:bottom w:val="none" w:sz="0" w:space="0" w:color="auto"/>
        <w:right w:val="none" w:sz="0" w:space="0" w:color="auto"/>
      </w:divBdr>
    </w:div>
    <w:div w:id="300497823">
      <w:bodyDiv w:val="1"/>
      <w:marLeft w:val="0"/>
      <w:marRight w:val="0"/>
      <w:marTop w:val="0"/>
      <w:marBottom w:val="0"/>
      <w:divBdr>
        <w:top w:val="none" w:sz="0" w:space="0" w:color="auto"/>
        <w:left w:val="none" w:sz="0" w:space="0" w:color="auto"/>
        <w:bottom w:val="none" w:sz="0" w:space="0" w:color="auto"/>
        <w:right w:val="none" w:sz="0" w:space="0" w:color="auto"/>
      </w:divBdr>
    </w:div>
    <w:div w:id="302782419">
      <w:bodyDiv w:val="1"/>
      <w:marLeft w:val="0"/>
      <w:marRight w:val="0"/>
      <w:marTop w:val="0"/>
      <w:marBottom w:val="0"/>
      <w:divBdr>
        <w:top w:val="none" w:sz="0" w:space="0" w:color="auto"/>
        <w:left w:val="none" w:sz="0" w:space="0" w:color="auto"/>
        <w:bottom w:val="none" w:sz="0" w:space="0" w:color="auto"/>
        <w:right w:val="none" w:sz="0" w:space="0" w:color="auto"/>
      </w:divBdr>
    </w:div>
    <w:div w:id="318392097">
      <w:bodyDiv w:val="1"/>
      <w:marLeft w:val="0"/>
      <w:marRight w:val="0"/>
      <w:marTop w:val="0"/>
      <w:marBottom w:val="0"/>
      <w:divBdr>
        <w:top w:val="none" w:sz="0" w:space="0" w:color="auto"/>
        <w:left w:val="none" w:sz="0" w:space="0" w:color="auto"/>
        <w:bottom w:val="none" w:sz="0" w:space="0" w:color="auto"/>
        <w:right w:val="none" w:sz="0" w:space="0" w:color="auto"/>
      </w:divBdr>
    </w:div>
    <w:div w:id="353844229">
      <w:bodyDiv w:val="1"/>
      <w:marLeft w:val="0"/>
      <w:marRight w:val="0"/>
      <w:marTop w:val="0"/>
      <w:marBottom w:val="0"/>
      <w:divBdr>
        <w:top w:val="none" w:sz="0" w:space="0" w:color="auto"/>
        <w:left w:val="none" w:sz="0" w:space="0" w:color="auto"/>
        <w:bottom w:val="none" w:sz="0" w:space="0" w:color="auto"/>
        <w:right w:val="none" w:sz="0" w:space="0" w:color="auto"/>
      </w:divBdr>
    </w:div>
    <w:div w:id="359203657">
      <w:bodyDiv w:val="1"/>
      <w:marLeft w:val="0"/>
      <w:marRight w:val="0"/>
      <w:marTop w:val="0"/>
      <w:marBottom w:val="0"/>
      <w:divBdr>
        <w:top w:val="none" w:sz="0" w:space="0" w:color="auto"/>
        <w:left w:val="none" w:sz="0" w:space="0" w:color="auto"/>
        <w:bottom w:val="none" w:sz="0" w:space="0" w:color="auto"/>
        <w:right w:val="none" w:sz="0" w:space="0" w:color="auto"/>
      </w:divBdr>
    </w:div>
    <w:div w:id="371467492">
      <w:bodyDiv w:val="1"/>
      <w:marLeft w:val="0"/>
      <w:marRight w:val="0"/>
      <w:marTop w:val="0"/>
      <w:marBottom w:val="0"/>
      <w:divBdr>
        <w:top w:val="none" w:sz="0" w:space="0" w:color="auto"/>
        <w:left w:val="none" w:sz="0" w:space="0" w:color="auto"/>
        <w:bottom w:val="none" w:sz="0" w:space="0" w:color="auto"/>
        <w:right w:val="none" w:sz="0" w:space="0" w:color="auto"/>
      </w:divBdr>
    </w:div>
    <w:div w:id="378359160">
      <w:bodyDiv w:val="1"/>
      <w:marLeft w:val="0"/>
      <w:marRight w:val="0"/>
      <w:marTop w:val="0"/>
      <w:marBottom w:val="0"/>
      <w:divBdr>
        <w:top w:val="none" w:sz="0" w:space="0" w:color="auto"/>
        <w:left w:val="none" w:sz="0" w:space="0" w:color="auto"/>
        <w:bottom w:val="none" w:sz="0" w:space="0" w:color="auto"/>
        <w:right w:val="none" w:sz="0" w:space="0" w:color="auto"/>
      </w:divBdr>
    </w:div>
    <w:div w:id="386757328">
      <w:bodyDiv w:val="1"/>
      <w:marLeft w:val="0"/>
      <w:marRight w:val="0"/>
      <w:marTop w:val="0"/>
      <w:marBottom w:val="0"/>
      <w:divBdr>
        <w:top w:val="none" w:sz="0" w:space="0" w:color="auto"/>
        <w:left w:val="none" w:sz="0" w:space="0" w:color="auto"/>
        <w:bottom w:val="none" w:sz="0" w:space="0" w:color="auto"/>
        <w:right w:val="none" w:sz="0" w:space="0" w:color="auto"/>
      </w:divBdr>
    </w:div>
    <w:div w:id="396636784">
      <w:bodyDiv w:val="1"/>
      <w:marLeft w:val="0"/>
      <w:marRight w:val="0"/>
      <w:marTop w:val="0"/>
      <w:marBottom w:val="0"/>
      <w:divBdr>
        <w:top w:val="none" w:sz="0" w:space="0" w:color="auto"/>
        <w:left w:val="none" w:sz="0" w:space="0" w:color="auto"/>
        <w:bottom w:val="none" w:sz="0" w:space="0" w:color="auto"/>
        <w:right w:val="none" w:sz="0" w:space="0" w:color="auto"/>
      </w:divBdr>
    </w:div>
    <w:div w:id="396784384">
      <w:bodyDiv w:val="1"/>
      <w:marLeft w:val="0"/>
      <w:marRight w:val="0"/>
      <w:marTop w:val="0"/>
      <w:marBottom w:val="0"/>
      <w:divBdr>
        <w:top w:val="none" w:sz="0" w:space="0" w:color="auto"/>
        <w:left w:val="none" w:sz="0" w:space="0" w:color="auto"/>
        <w:bottom w:val="none" w:sz="0" w:space="0" w:color="auto"/>
        <w:right w:val="none" w:sz="0" w:space="0" w:color="auto"/>
      </w:divBdr>
    </w:div>
    <w:div w:id="402337501">
      <w:bodyDiv w:val="1"/>
      <w:marLeft w:val="0"/>
      <w:marRight w:val="0"/>
      <w:marTop w:val="0"/>
      <w:marBottom w:val="0"/>
      <w:divBdr>
        <w:top w:val="none" w:sz="0" w:space="0" w:color="auto"/>
        <w:left w:val="none" w:sz="0" w:space="0" w:color="auto"/>
        <w:bottom w:val="none" w:sz="0" w:space="0" w:color="auto"/>
        <w:right w:val="none" w:sz="0" w:space="0" w:color="auto"/>
      </w:divBdr>
    </w:div>
    <w:div w:id="411582331">
      <w:bodyDiv w:val="1"/>
      <w:marLeft w:val="0"/>
      <w:marRight w:val="0"/>
      <w:marTop w:val="0"/>
      <w:marBottom w:val="0"/>
      <w:divBdr>
        <w:top w:val="none" w:sz="0" w:space="0" w:color="auto"/>
        <w:left w:val="none" w:sz="0" w:space="0" w:color="auto"/>
        <w:bottom w:val="none" w:sz="0" w:space="0" w:color="auto"/>
        <w:right w:val="none" w:sz="0" w:space="0" w:color="auto"/>
      </w:divBdr>
    </w:div>
    <w:div w:id="414547692">
      <w:bodyDiv w:val="1"/>
      <w:marLeft w:val="0"/>
      <w:marRight w:val="0"/>
      <w:marTop w:val="0"/>
      <w:marBottom w:val="0"/>
      <w:divBdr>
        <w:top w:val="none" w:sz="0" w:space="0" w:color="auto"/>
        <w:left w:val="none" w:sz="0" w:space="0" w:color="auto"/>
        <w:bottom w:val="none" w:sz="0" w:space="0" w:color="auto"/>
        <w:right w:val="none" w:sz="0" w:space="0" w:color="auto"/>
      </w:divBdr>
    </w:div>
    <w:div w:id="419722705">
      <w:bodyDiv w:val="1"/>
      <w:marLeft w:val="0"/>
      <w:marRight w:val="0"/>
      <w:marTop w:val="0"/>
      <w:marBottom w:val="0"/>
      <w:divBdr>
        <w:top w:val="none" w:sz="0" w:space="0" w:color="auto"/>
        <w:left w:val="none" w:sz="0" w:space="0" w:color="auto"/>
        <w:bottom w:val="none" w:sz="0" w:space="0" w:color="auto"/>
        <w:right w:val="none" w:sz="0" w:space="0" w:color="auto"/>
      </w:divBdr>
    </w:div>
    <w:div w:id="423300947">
      <w:bodyDiv w:val="1"/>
      <w:marLeft w:val="0"/>
      <w:marRight w:val="0"/>
      <w:marTop w:val="0"/>
      <w:marBottom w:val="0"/>
      <w:divBdr>
        <w:top w:val="none" w:sz="0" w:space="0" w:color="auto"/>
        <w:left w:val="none" w:sz="0" w:space="0" w:color="auto"/>
        <w:bottom w:val="none" w:sz="0" w:space="0" w:color="auto"/>
        <w:right w:val="none" w:sz="0" w:space="0" w:color="auto"/>
      </w:divBdr>
    </w:div>
    <w:div w:id="451369085">
      <w:bodyDiv w:val="1"/>
      <w:marLeft w:val="0"/>
      <w:marRight w:val="0"/>
      <w:marTop w:val="0"/>
      <w:marBottom w:val="0"/>
      <w:divBdr>
        <w:top w:val="none" w:sz="0" w:space="0" w:color="auto"/>
        <w:left w:val="none" w:sz="0" w:space="0" w:color="auto"/>
        <w:bottom w:val="none" w:sz="0" w:space="0" w:color="auto"/>
        <w:right w:val="none" w:sz="0" w:space="0" w:color="auto"/>
      </w:divBdr>
    </w:div>
    <w:div w:id="452406262">
      <w:bodyDiv w:val="1"/>
      <w:marLeft w:val="0"/>
      <w:marRight w:val="0"/>
      <w:marTop w:val="0"/>
      <w:marBottom w:val="0"/>
      <w:divBdr>
        <w:top w:val="none" w:sz="0" w:space="0" w:color="auto"/>
        <w:left w:val="none" w:sz="0" w:space="0" w:color="auto"/>
        <w:bottom w:val="none" w:sz="0" w:space="0" w:color="auto"/>
        <w:right w:val="none" w:sz="0" w:space="0" w:color="auto"/>
      </w:divBdr>
    </w:div>
    <w:div w:id="477453594">
      <w:bodyDiv w:val="1"/>
      <w:marLeft w:val="0"/>
      <w:marRight w:val="0"/>
      <w:marTop w:val="0"/>
      <w:marBottom w:val="0"/>
      <w:divBdr>
        <w:top w:val="none" w:sz="0" w:space="0" w:color="auto"/>
        <w:left w:val="none" w:sz="0" w:space="0" w:color="auto"/>
        <w:bottom w:val="none" w:sz="0" w:space="0" w:color="auto"/>
        <w:right w:val="none" w:sz="0" w:space="0" w:color="auto"/>
      </w:divBdr>
    </w:div>
    <w:div w:id="492067747">
      <w:bodyDiv w:val="1"/>
      <w:marLeft w:val="0"/>
      <w:marRight w:val="0"/>
      <w:marTop w:val="0"/>
      <w:marBottom w:val="0"/>
      <w:divBdr>
        <w:top w:val="none" w:sz="0" w:space="0" w:color="auto"/>
        <w:left w:val="none" w:sz="0" w:space="0" w:color="auto"/>
        <w:bottom w:val="none" w:sz="0" w:space="0" w:color="auto"/>
        <w:right w:val="none" w:sz="0" w:space="0" w:color="auto"/>
      </w:divBdr>
    </w:div>
    <w:div w:id="495654729">
      <w:bodyDiv w:val="1"/>
      <w:marLeft w:val="0"/>
      <w:marRight w:val="0"/>
      <w:marTop w:val="0"/>
      <w:marBottom w:val="0"/>
      <w:divBdr>
        <w:top w:val="none" w:sz="0" w:space="0" w:color="auto"/>
        <w:left w:val="none" w:sz="0" w:space="0" w:color="auto"/>
        <w:bottom w:val="none" w:sz="0" w:space="0" w:color="auto"/>
        <w:right w:val="none" w:sz="0" w:space="0" w:color="auto"/>
      </w:divBdr>
    </w:div>
    <w:div w:id="498040661">
      <w:bodyDiv w:val="1"/>
      <w:marLeft w:val="0"/>
      <w:marRight w:val="0"/>
      <w:marTop w:val="0"/>
      <w:marBottom w:val="0"/>
      <w:divBdr>
        <w:top w:val="none" w:sz="0" w:space="0" w:color="auto"/>
        <w:left w:val="none" w:sz="0" w:space="0" w:color="auto"/>
        <w:bottom w:val="none" w:sz="0" w:space="0" w:color="auto"/>
        <w:right w:val="none" w:sz="0" w:space="0" w:color="auto"/>
      </w:divBdr>
    </w:div>
    <w:div w:id="500898722">
      <w:bodyDiv w:val="1"/>
      <w:marLeft w:val="0"/>
      <w:marRight w:val="0"/>
      <w:marTop w:val="0"/>
      <w:marBottom w:val="0"/>
      <w:divBdr>
        <w:top w:val="none" w:sz="0" w:space="0" w:color="auto"/>
        <w:left w:val="none" w:sz="0" w:space="0" w:color="auto"/>
        <w:bottom w:val="none" w:sz="0" w:space="0" w:color="auto"/>
        <w:right w:val="none" w:sz="0" w:space="0" w:color="auto"/>
      </w:divBdr>
    </w:div>
    <w:div w:id="506755861">
      <w:bodyDiv w:val="1"/>
      <w:marLeft w:val="0"/>
      <w:marRight w:val="0"/>
      <w:marTop w:val="0"/>
      <w:marBottom w:val="0"/>
      <w:divBdr>
        <w:top w:val="none" w:sz="0" w:space="0" w:color="auto"/>
        <w:left w:val="none" w:sz="0" w:space="0" w:color="auto"/>
        <w:bottom w:val="none" w:sz="0" w:space="0" w:color="auto"/>
        <w:right w:val="none" w:sz="0" w:space="0" w:color="auto"/>
      </w:divBdr>
    </w:div>
    <w:div w:id="511184532">
      <w:bodyDiv w:val="1"/>
      <w:marLeft w:val="0"/>
      <w:marRight w:val="0"/>
      <w:marTop w:val="0"/>
      <w:marBottom w:val="0"/>
      <w:divBdr>
        <w:top w:val="none" w:sz="0" w:space="0" w:color="auto"/>
        <w:left w:val="none" w:sz="0" w:space="0" w:color="auto"/>
        <w:bottom w:val="none" w:sz="0" w:space="0" w:color="auto"/>
        <w:right w:val="none" w:sz="0" w:space="0" w:color="auto"/>
      </w:divBdr>
    </w:div>
    <w:div w:id="511576458">
      <w:bodyDiv w:val="1"/>
      <w:marLeft w:val="0"/>
      <w:marRight w:val="0"/>
      <w:marTop w:val="0"/>
      <w:marBottom w:val="0"/>
      <w:divBdr>
        <w:top w:val="none" w:sz="0" w:space="0" w:color="auto"/>
        <w:left w:val="none" w:sz="0" w:space="0" w:color="auto"/>
        <w:bottom w:val="none" w:sz="0" w:space="0" w:color="auto"/>
        <w:right w:val="none" w:sz="0" w:space="0" w:color="auto"/>
      </w:divBdr>
    </w:div>
    <w:div w:id="517231030">
      <w:bodyDiv w:val="1"/>
      <w:marLeft w:val="0"/>
      <w:marRight w:val="0"/>
      <w:marTop w:val="0"/>
      <w:marBottom w:val="0"/>
      <w:divBdr>
        <w:top w:val="none" w:sz="0" w:space="0" w:color="auto"/>
        <w:left w:val="none" w:sz="0" w:space="0" w:color="auto"/>
        <w:bottom w:val="none" w:sz="0" w:space="0" w:color="auto"/>
        <w:right w:val="none" w:sz="0" w:space="0" w:color="auto"/>
      </w:divBdr>
    </w:div>
    <w:div w:id="519470467">
      <w:bodyDiv w:val="1"/>
      <w:marLeft w:val="0"/>
      <w:marRight w:val="0"/>
      <w:marTop w:val="0"/>
      <w:marBottom w:val="0"/>
      <w:divBdr>
        <w:top w:val="none" w:sz="0" w:space="0" w:color="auto"/>
        <w:left w:val="none" w:sz="0" w:space="0" w:color="auto"/>
        <w:bottom w:val="none" w:sz="0" w:space="0" w:color="auto"/>
        <w:right w:val="none" w:sz="0" w:space="0" w:color="auto"/>
      </w:divBdr>
    </w:div>
    <w:div w:id="532691080">
      <w:bodyDiv w:val="1"/>
      <w:marLeft w:val="0"/>
      <w:marRight w:val="0"/>
      <w:marTop w:val="0"/>
      <w:marBottom w:val="0"/>
      <w:divBdr>
        <w:top w:val="none" w:sz="0" w:space="0" w:color="auto"/>
        <w:left w:val="none" w:sz="0" w:space="0" w:color="auto"/>
        <w:bottom w:val="none" w:sz="0" w:space="0" w:color="auto"/>
        <w:right w:val="none" w:sz="0" w:space="0" w:color="auto"/>
      </w:divBdr>
    </w:div>
    <w:div w:id="535309925">
      <w:bodyDiv w:val="1"/>
      <w:marLeft w:val="0"/>
      <w:marRight w:val="0"/>
      <w:marTop w:val="0"/>
      <w:marBottom w:val="0"/>
      <w:divBdr>
        <w:top w:val="none" w:sz="0" w:space="0" w:color="auto"/>
        <w:left w:val="none" w:sz="0" w:space="0" w:color="auto"/>
        <w:bottom w:val="none" w:sz="0" w:space="0" w:color="auto"/>
        <w:right w:val="none" w:sz="0" w:space="0" w:color="auto"/>
      </w:divBdr>
    </w:div>
    <w:div w:id="538124925">
      <w:bodyDiv w:val="1"/>
      <w:marLeft w:val="0"/>
      <w:marRight w:val="0"/>
      <w:marTop w:val="0"/>
      <w:marBottom w:val="0"/>
      <w:divBdr>
        <w:top w:val="none" w:sz="0" w:space="0" w:color="auto"/>
        <w:left w:val="none" w:sz="0" w:space="0" w:color="auto"/>
        <w:bottom w:val="none" w:sz="0" w:space="0" w:color="auto"/>
        <w:right w:val="none" w:sz="0" w:space="0" w:color="auto"/>
      </w:divBdr>
    </w:div>
    <w:div w:id="538199976">
      <w:bodyDiv w:val="1"/>
      <w:marLeft w:val="0"/>
      <w:marRight w:val="0"/>
      <w:marTop w:val="0"/>
      <w:marBottom w:val="0"/>
      <w:divBdr>
        <w:top w:val="none" w:sz="0" w:space="0" w:color="auto"/>
        <w:left w:val="none" w:sz="0" w:space="0" w:color="auto"/>
        <w:bottom w:val="none" w:sz="0" w:space="0" w:color="auto"/>
        <w:right w:val="none" w:sz="0" w:space="0" w:color="auto"/>
      </w:divBdr>
    </w:div>
    <w:div w:id="551497994">
      <w:bodyDiv w:val="1"/>
      <w:marLeft w:val="0"/>
      <w:marRight w:val="0"/>
      <w:marTop w:val="0"/>
      <w:marBottom w:val="0"/>
      <w:divBdr>
        <w:top w:val="none" w:sz="0" w:space="0" w:color="auto"/>
        <w:left w:val="none" w:sz="0" w:space="0" w:color="auto"/>
        <w:bottom w:val="none" w:sz="0" w:space="0" w:color="auto"/>
        <w:right w:val="none" w:sz="0" w:space="0" w:color="auto"/>
      </w:divBdr>
    </w:div>
    <w:div w:id="563107101">
      <w:bodyDiv w:val="1"/>
      <w:marLeft w:val="0"/>
      <w:marRight w:val="0"/>
      <w:marTop w:val="0"/>
      <w:marBottom w:val="0"/>
      <w:divBdr>
        <w:top w:val="none" w:sz="0" w:space="0" w:color="auto"/>
        <w:left w:val="none" w:sz="0" w:space="0" w:color="auto"/>
        <w:bottom w:val="none" w:sz="0" w:space="0" w:color="auto"/>
        <w:right w:val="none" w:sz="0" w:space="0" w:color="auto"/>
      </w:divBdr>
    </w:div>
    <w:div w:id="571429440">
      <w:bodyDiv w:val="1"/>
      <w:marLeft w:val="0"/>
      <w:marRight w:val="0"/>
      <w:marTop w:val="0"/>
      <w:marBottom w:val="0"/>
      <w:divBdr>
        <w:top w:val="none" w:sz="0" w:space="0" w:color="auto"/>
        <w:left w:val="none" w:sz="0" w:space="0" w:color="auto"/>
        <w:bottom w:val="none" w:sz="0" w:space="0" w:color="auto"/>
        <w:right w:val="none" w:sz="0" w:space="0" w:color="auto"/>
      </w:divBdr>
    </w:div>
    <w:div w:id="580724613">
      <w:bodyDiv w:val="1"/>
      <w:marLeft w:val="0"/>
      <w:marRight w:val="0"/>
      <w:marTop w:val="0"/>
      <w:marBottom w:val="0"/>
      <w:divBdr>
        <w:top w:val="none" w:sz="0" w:space="0" w:color="auto"/>
        <w:left w:val="none" w:sz="0" w:space="0" w:color="auto"/>
        <w:bottom w:val="none" w:sz="0" w:space="0" w:color="auto"/>
        <w:right w:val="none" w:sz="0" w:space="0" w:color="auto"/>
      </w:divBdr>
    </w:div>
    <w:div w:id="589775200">
      <w:bodyDiv w:val="1"/>
      <w:marLeft w:val="0"/>
      <w:marRight w:val="0"/>
      <w:marTop w:val="0"/>
      <w:marBottom w:val="0"/>
      <w:divBdr>
        <w:top w:val="none" w:sz="0" w:space="0" w:color="auto"/>
        <w:left w:val="none" w:sz="0" w:space="0" w:color="auto"/>
        <w:bottom w:val="none" w:sz="0" w:space="0" w:color="auto"/>
        <w:right w:val="none" w:sz="0" w:space="0" w:color="auto"/>
      </w:divBdr>
    </w:div>
    <w:div w:id="591816019">
      <w:bodyDiv w:val="1"/>
      <w:marLeft w:val="0"/>
      <w:marRight w:val="0"/>
      <w:marTop w:val="0"/>
      <w:marBottom w:val="0"/>
      <w:divBdr>
        <w:top w:val="none" w:sz="0" w:space="0" w:color="auto"/>
        <w:left w:val="none" w:sz="0" w:space="0" w:color="auto"/>
        <w:bottom w:val="none" w:sz="0" w:space="0" w:color="auto"/>
        <w:right w:val="none" w:sz="0" w:space="0" w:color="auto"/>
      </w:divBdr>
    </w:div>
    <w:div w:id="602807097">
      <w:bodyDiv w:val="1"/>
      <w:marLeft w:val="0"/>
      <w:marRight w:val="0"/>
      <w:marTop w:val="0"/>
      <w:marBottom w:val="0"/>
      <w:divBdr>
        <w:top w:val="none" w:sz="0" w:space="0" w:color="auto"/>
        <w:left w:val="none" w:sz="0" w:space="0" w:color="auto"/>
        <w:bottom w:val="none" w:sz="0" w:space="0" w:color="auto"/>
        <w:right w:val="none" w:sz="0" w:space="0" w:color="auto"/>
      </w:divBdr>
    </w:div>
    <w:div w:id="608119983">
      <w:bodyDiv w:val="1"/>
      <w:marLeft w:val="0"/>
      <w:marRight w:val="0"/>
      <w:marTop w:val="0"/>
      <w:marBottom w:val="0"/>
      <w:divBdr>
        <w:top w:val="none" w:sz="0" w:space="0" w:color="auto"/>
        <w:left w:val="none" w:sz="0" w:space="0" w:color="auto"/>
        <w:bottom w:val="none" w:sz="0" w:space="0" w:color="auto"/>
        <w:right w:val="none" w:sz="0" w:space="0" w:color="auto"/>
      </w:divBdr>
    </w:div>
    <w:div w:id="621575940">
      <w:bodyDiv w:val="1"/>
      <w:marLeft w:val="0"/>
      <w:marRight w:val="0"/>
      <w:marTop w:val="0"/>
      <w:marBottom w:val="0"/>
      <w:divBdr>
        <w:top w:val="none" w:sz="0" w:space="0" w:color="auto"/>
        <w:left w:val="none" w:sz="0" w:space="0" w:color="auto"/>
        <w:bottom w:val="none" w:sz="0" w:space="0" w:color="auto"/>
        <w:right w:val="none" w:sz="0" w:space="0" w:color="auto"/>
      </w:divBdr>
    </w:div>
    <w:div w:id="642080501">
      <w:bodyDiv w:val="1"/>
      <w:marLeft w:val="0"/>
      <w:marRight w:val="0"/>
      <w:marTop w:val="0"/>
      <w:marBottom w:val="0"/>
      <w:divBdr>
        <w:top w:val="none" w:sz="0" w:space="0" w:color="auto"/>
        <w:left w:val="none" w:sz="0" w:space="0" w:color="auto"/>
        <w:bottom w:val="none" w:sz="0" w:space="0" w:color="auto"/>
        <w:right w:val="none" w:sz="0" w:space="0" w:color="auto"/>
      </w:divBdr>
    </w:div>
    <w:div w:id="673652690">
      <w:bodyDiv w:val="1"/>
      <w:marLeft w:val="0"/>
      <w:marRight w:val="0"/>
      <w:marTop w:val="0"/>
      <w:marBottom w:val="0"/>
      <w:divBdr>
        <w:top w:val="none" w:sz="0" w:space="0" w:color="auto"/>
        <w:left w:val="none" w:sz="0" w:space="0" w:color="auto"/>
        <w:bottom w:val="none" w:sz="0" w:space="0" w:color="auto"/>
        <w:right w:val="none" w:sz="0" w:space="0" w:color="auto"/>
      </w:divBdr>
    </w:div>
    <w:div w:id="682129040">
      <w:bodyDiv w:val="1"/>
      <w:marLeft w:val="0"/>
      <w:marRight w:val="0"/>
      <w:marTop w:val="0"/>
      <w:marBottom w:val="0"/>
      <w:divBdr>
        <w:top w:val="none" w:sz="0" w:space="0" w:color="auto"/>
        <w:left w:val="none" w:sz="0" w:space="0" w:color="auto"/>
        <w:bottom w:val="none" w:sz="0" w:space="0" w:color="auto"/>
        <w:right w:val="none" w:sz="0" w:space="0" w:color="auto"/>
      </w:divBdr>
    </w:div>
    <w:div w:id="689457352">
      <w:bodyDiv w:val="1"/>
      <w:marLeft w:val="0"/>
      <w:marRight w:val="0"/>
      <w:marTop w:val="0"/>
      <w:marBottom w:val="0"/>
      <w:divBdr>
        <w:top w:val="none" w:sz="0" w:space="0" w:color="auto"/>
        <w:left w:val="none" w:sz="0" w:space="0" w:color="auto"/>
        <w:bottom w:val="none" w:sz="0" w:space="0" w:color="auto"/>
        <w:right w:val="none" w:sz="0" w:space="0" w:color="auto"/>
      </w:divBdr>
    </w:div>
    <w:div w:id="695010966">
      <w:bodyDiv w:val="1"/>
      <w:marLeft w:val="0"/>
      <w:marRight w:val="0"/>
      <w:marTop w:val="0"/>
      <w:marBottom w:val="0"/>
      <w:divBdr>
        <w:top w:val="none" w:sz="0" w:space="0" w:color="auto"/>
        <w:left w:val="none" w:sz="0" w:space="0" w:color="auto"/>
        <w:bottom w:val="none" w:sz="0" w:space="0" w:color="auto"/>
        <w:right w:val="none" w:sz="0" w:space="0" w:color="auto"/>
      </w:divBdr>
    </w:div>
    <w:div w:id="696202701">
      <w:bodyDiv w:val="1"/>
      <w:marLeft w:val="0"/>
      <w:marRight w:val="0"/>
      <w:marTop w:val="0"/>
      <w:marBottom w:val="0"/>
      <w:divBdr>
        <w:top w:val="none" w:sz="0" w:space="0" w:color="auto"/>
        <w:left w:val="none" w:sz="0" w:space="0" w:color="auto"/>
        <w:bottom w:val="none" w:sz="0" w:space="0" w:color="auto"/>
        <w:right w:val="none" w:sz="0" w:space="0" w:color="auto"/>
      </w:divBdr>
    </w:div>
    <w:div w:id="714813794">
      <w:bodyDiv w:val="1"/>
      <w:marLeft w:val="0"/>
      <w:marRight w:val="0"/>
      <w:marTop w:val="0"/>
      <w:marBottom w:val="0"/>
      <w:divBdr>
        <w:top w:val="none" w:sz="0" w:space="0" w:color="auto"/>
        <w:left w:val="none" w:sz="0" w:space="0" w:color="auto"/>
        <w:bottom w:val="none" w:sz="0" w:space="0" w:color="auto"/>
        <w:right w:val="none" w:sz="0" w:space="0" w:color="auto"/>
      </w:divBdr>
    </w:div>
    <w:div w:id="717821192">
      <w:bodyDiv w:val="1"/>
      <w:marLeft w:val="0"/>
      <w:marRight w:val="0"/>
      <w:marTop w:val="0"/>
      <w:marBottom w:val="0"/>
      <w:divBdr>
        <w:top w:val="none" w:sz="0" w:space="0" w:color="auto"/>
        <w:left w:val="none" w:sz="0" w:space="0" w:color="auto"/>
        <w:bottom w:val="none" w:sz="0" w:space="0" w:color="auto"/>
        <w:right w:val="none" w:sz="0" w:space="0" w:color="auto"/>
      </w:divBdr>
    </w:div>
    <w:div w:id="718435021">
      <w:bodyDiv w:val="1"/>
      <w:marLeft w:val="0"/>
      <w:marRight w:val="0"/>
      <w:marTop w:val="0"/>
      <w:marBottom w:val="0"/>
      <w:divBdr>
        <w:top w:val="none" w:sz="0" w:space="0" w:color="auto"/>
        <w:left w:val="none" w:sz="0" w:space="0" w:color="auto"/>
        <w:bottom w:val="none" w:sz="0" w:space="0" w:color="auto"/>
        <w:right w:val="none" w:sz="0" w:space="0" w:color="auto"/>
      </w:divBdr>
    </w:div>
    <w:div w:id="719670016">
      <w:bodyDiv w:val="1"/>
      <w:marLeft w:val="0"/>
      <w:marRight w:val="0"/>
      <w:marTop w:val="0"/>
      <w:marBottom w:val="0"/>
      <w:divBdr>
        <w:top w:val="none" w:sz="0" w:space="0" w:color="auto"/>
        <w:left w:val="none" w:sz="0" w:space="0" w:color="auto"/>
        <w:bottom w:val="none" w:sz="0" w:space="0" w:color="auto"/>
        <w:right w:val="none" w:sz="0" w:space="0" w:color="auto"/>
      </w:divBdr>
    </w:div>
    <w:div w:id="759831668">
      <w:bodyDiv w:val="1"/>
      <w:marLeft w:val="0"/>
      <w:marRight w:val="0"/>
      <w:marTop w:val="0"/>
      <w:marBottom w:val="0"/>
      <w:divBdr>
        <w:top w:val="none" w:sz="0" w:space="0" w:color="auto"/>
        <w:left w:val="none" w:sz="0" w:space="0" w:color="auto"/>
        <w:bottom w:val="none" w:sz="0" w:space="0" w:color="auto"/>
        <w:right w:val="none" w:sz="0" w:space="0" w:color="auto"/>
      </w:divBdr>
    </w:div>
    <w:div w:id="764805638">
      <w:bodyDiv w:val="1"/>
      <w:marLeft w:val="0"/>
      <w:marRight w:val="0"/>
      <w:marTop w:val="0"/>
      <w:marBottom w:val="0"/>
      <w:divBdr>
        <w:top w:val="none" w:sz="0" w:space="0" w:color="auto"/>
        <w:left w:val="none" w:sz="0" w:space="0" w:color="auto"/>
        <w:bottom w:val="none" w:sz="0" w:space="0" w:color="auto"/>
        <w:right w:val="none" w:sz="0" w:space="0" w:color="auto"/>
      </w:divBdr>
    </w:div>
    <w:div w:id="769663925">
      <w:bodyDiv w:val="1"/>
      <w:marLeft w:val="0"/>
      <w:marRight w:val="0"/>
      <w:marTop w:val="0"/>
      <w:marBottom w:val="0"/>
      <w:divBdr>
        <w:top w:val="none" w:sz="0" w:space="0" w:color="auto"/>
        <w:left w:val="none" w:sz="0" w:space="0" w:color="auto"/>
        <w:bottom w:val="none" w:sz="0" w:space="0" w:color="auto"/>
        <w:right w:val="none" w:sz="0" w:space="0" w:color="auto"/>
      </w:divBdr>
    </w:div>
    <w:div w:id="778109514">
      <w:bodyDiv w:val="1"/>
      <w:marLeft w:val="0"/>
      <w:marRight w:val="0"/>
      <w:marTop w:val="0"/>
      <w:marBottom w:val="0"/>
      <w:divBdr>
        <w:top w:val="none" w:sz="0" w:space="0" w:color="auto"/>
        <w:left w:val="none" w:sz="0" w:space="0" w:color="auto"/>
        <w:bottom w:val="none" w:sz="0" w:space="0" w:color="auto"/>
        <w:right w:val="none" w:sz="0" w:space="0" w:color="auto"/>
      </w:divBdr>
    </w:div>
    <w:div w:id="787549136">
      <w:bodyDiv w:val="1"/>
      <w:marLeft w:val="0"/>
      <w:marRight w:val="0"/>
      <w:marTop w:val="0"/>
      <w:marBottom w:val="0"/>
      <w:divBdr>
        <w:top w:val="none" w:sz="0" w:space="0" w:color="auto"/>
        <w:left w:val="none" w:sz="0" w:space="0" w:color="auto"/>
        <w:bottom w:val="none" w:sz="0" w:space="0" w:color="auto"/>
        <w:right w:val="none" w:sz="0" w:space="0" w:color="auto"/>
      </w:divBdr>
    </w:div>
    <w:div w:id="793787882">
      <w:bodyDiv w:val="1"/>
      <w:marLeft w:val="0"/>
      <w:marRight w:val="0"/>
      <w:marTop w:val="0"/>
      <w:marBottom w:val="0"/>
      <w:divBdr>
        <w:top w:val="none" w:sz="0" w:space="0" w:color="auto"/>
        <w:left w:val="none" w:sz="0" w:space="0" w:color="auto"/>
        <w:bottom w:val="none" w:sz="0" w:space="0" w:color="auto"/>
        <w:right w:val="none" w:sz="0" w:space="0" w:color="auto"/>
      </w:divBdr>
    </w:div>
    <w:div w:id="793986480">
      <w:bodyDiv w:val="1"/>
      <w:marLeft w:val="0"/>
      <w:marRight w:val="0"/>
      <w:marTop w:val="0"/>
      <w:marBottom w:val="0"/>
      <w:divBdr>
        <w:top w:val="none" w:sz="0" w:space="0" w:color="auto"/>
        <w:left w:val="none" w:sz="0" w:space="0" w:color="auto"/>
        <w:bottom w:val="none" w:sz="0" w:space="0" w:color="auto"/>
        <w:right w:val="none" w:sz="0" w:space="0" w:color="auto"/>
      </w:divBdr>
    </w:div>
    <w:div w:id="807749585">
      <w:bodyDiv w:val="1"/>
      <w:marLeft w:val="0"/>
      <w:marRight w:val="0"/>
      <w:marTop w:val="0"/>
      <w:marBottom w:val="0"/>
      <w:divBdr>
        <w:top w:val="none" w:sz="0" w:space="0" w:color="auto"/>
        <w:left w:val="none" w:sz="0" w:space="0" w:color="auto"/>
        <w:bottom w:val="none" w:sz="0" w:space="0" w:color="auto"/>
        <w:right w:val="none" w:sz="0" w:space="0" w:color="auto"/>
      </w:divBdr>
    </w:div>
    <w:div w:id="819880987">
      <w:bodyDiv w:val="1"/>
      <w:marLeft w:val="0"/>
      <w:marRight w:val="0"/>
      <w:marTop w:val="0"/>
      <w:marBottom w:val="0"/>
      <w:divBdr>
        <w:top w:val="none" w:sz="0" w:space="0" w:color="auto"/>
        <w:left w:val="none" w:sz="0" w:space="0" w:color="auto"/>
        <w:bottom w:val="none" w:sz="0" w:space="0" w:color="auto"/>
        <w:right w:val="none" w:sz="0" w:space="0" w:color="auto"/>
      </w:divBdr>
    </w:div>
    <w:div w:id="821041835">
      <w:bodyDiv w:val="1"/>
      <w:marLeft w:val="0"/>
      <w:marRight w:val="0"/>
      <w:marTop w:val="0"/>
      <w:marBottom w:val="0"/>
      <w:divBdr>
        <w:top w:val="none" w:sz="0" w:space="0" w:color="auto"/>
        <w:left w:val="none" w:sz="0" w:space="0" w:color="auto"/>
        <w:bottom w:val="none" w:sz="0" w:space="0" w:color="auto"/>
        <w:right w:val="none" w:sz="0" w:space="0" w:color="auto"/>
      </w:divBdr>
    </w:div>
    <w:div w:id="826946281">
      <w:bodyDiv w:val="1"/>
      <w:marLeft w:val="0"/>
      <w:marRight w:val="0"/>
      <w:marTop w:val="0"/>
      <w:marBottom w:val="0"/>
      <w:divBdr>
        <w:top w:val="none" w:sz="0" w:space="0" w:color="auto"/>
        <w:left w:val="none" w:sz="0" w:space="0" w:color="auto"/>
        <w:bottom w:val="none" w:sz="0" w:space="0" w:color="auto"/>
        <w:right w:val="none" w:sz="0" w:space="0" w:color="auto"/>
      </w:divBdr>
    </w:div>
    <w:div w:id="843469434">
      <w:bodyDiv w:val="1"/>
      <w:marLeft w:val="0"/>
      <w:marRight w:val="0"/>
      <w:marTop w:val="0"/>
      <w:marBottom w:val="0"/>
      <w:divBdr>
        <w:top w:val="none" w:sz="0" w:space="0" w:color="auto"/>
        <w:left w:val="none" w:sz="0" w:space="0" w:color="auto"/>
        <w:bottom w:val="none" w:sz="0" w:space="0" w:color="auto"/>
        <w:right w:val="none" w:sz="0" w:space="0" w:color="auto"/>
      </w:divBdr>
    </w:div>
    <w:div w:id="849679942">
      <w:bodyDiv w:val="1"/>
      <w:marLeft w:val="0"/>
      <w:marRight w:val="0"/>
      <w:marTop w:val="0"/>
      <w:marBottom w:val="0"/>
      <w:divBdr>
        <w:top w:val="none" w:sz="0" w:space="0" w:color="auto"/>
        <w:left w:val="none" w:sz="0" w:space="0" w:color="auto"/>
        <w:bottom w:val="none" w:sz="0" w:space="0" w:color="auto"/>
        <w:right w:val="none" w:sz="0" w:space="0" w:color="auto"/>
      </w:divBdr>
    </w:div>
    <w:div w:id="866715009">
      <w:bodyDiv w:val="1"/>
      <w:marLeft w:val="0"/>
      <w:marRight w:val="0"/>
      <w:marTop w:val="0"/>
      <w:marBottom w:val="0"/>
      <w:divBdr>
        <w:top w:val="none" w:sz="0" w:space="0" w:color="auto"/>
        <w:left w:val="none" w:sz="0" w:space="0" w:color="auto"/>
        <w:bottom w:val="none" w:sz="0" w:space="0" w:color="auto"/>
        <w:right w:val="none" w:sz="0" w:space="0" w:color="auto"/>
      </w:divBdr>
    </w:div>
    <w:div w:id="878080923">
      <w:bodyDiv w:val="1"/>
      <w:marLeft w:val="0"/>
      <w:marRight w:val="0"/>
      <w:marTop w:val="0"/>
      <w:marBottom w:val="0"/>
      <w:divBdr>
        <w:top w:val="none" w:sz="0" w:space="0" w:color="auto"/>
        <w:left w:val="none" w:sz="0" w:space="0" w:color="auto"/>
        <w:bottom w:val="none" w:sz="0" w:space="0" w:color="auto"/>
        <w:right w:val="none" w:sz="0" w:space="0" w:color="auto"/>
      </w:divBdr>
    </w:div>
    <w:div w:id="897477745">
      <w:bodyDiv w:val="1"/>
      <w:marLeft w:val="0"/>
      <w:marRight w:val="0"/>
      <w:marTop w:val="0"/>
      <w:marBottom w:val="0"/>
      <w:divBdr>
        <w:top w:val="none" w:sz="0" w:space="0" w:color="auto"/>
        <w:left w:val="none" w:sz="0" w:space="0" w:color="auto"/>
        <w:bottom w:val="none" w:sz="0" w:space="0" w:color="auto"/>
        <w:right w:val="none" w:sz="0" w:space="0" w:color="auto"/>
      </w:divBdr>
    </w:div>
    <w:div w:id="901872730">
      <w:bodyDiv w:val="1"/>
      <w:marLeft w:val="0"/>
      <w:marRight w:val="0"/>
      <w:marTop w:val="0"/>
      <w:marBottom w:val="0"/>
      <w:divBdr>
        <w:top w:val="none" w:sz="0" w:space="0" w:color="auto"/>
        <w:left w:val="none" w:sz="0" w:space="0" w:color="auto"/>
        <w:bottom w:val="none" w:sz="0" w:space="0" w:color="auto"/>
        <w:right w:val="none" w:sz="0" w:space="0" w:color="auto"/>
      </w:divBdr>
    </w:div>
    <w:div w:id="903493149">
      <w:bodyDiv w:val="1"/>
      <w:marLeft w:val="0"/>
      <w:marRight w:val="0"/>
      <w:marTop w:val="0"/>
      <w:marBottom w:val="0"/>
      <w:divBdr>
        <w:top w:val="none" w:sz="0" w:space="0" w:color="auto"/>
        <w:left w:val="none" w:sz="0" w:space="0" w:color="auto"/>
        <w:bottom w:val="none" w:sz="0" w:space="0" w:color="auto"/>
        <w:right w:val="none" w:sz="0" w:space="0" w:color="auto"/>
      </w:divBdr>
    </w:div>
    <w:div w:id="906191320">
      <w:bodyDiv w:val="1"/>
      <w:marLeft w:val="0"/>
      <w:marRight w:val="0"/>
      <w:marTop w:val="0"/>
      <w:marBottom w:val="0"/>
      <w:divBdr>
        <w:top w:val="none" w:sz="0" w:space="0" w:color="auto"/>
        <w:left w:val="none" w:sz="0" w:space="0" w:color="auto"/>
        <w:bottom w:val="none" w:sz="0" w:space="0" w:color="auto"/>
        <w:right w:val="none" w:sz="0" w:space="0" w:color="auto"/>
      </w:divBdr>
    </w:div>
    <w:div w:id="919758412">
      <w:bodyDiv w:val="1"/>
      <w:marLeft w:val="0"/>
      <w:marRight w:val="0"/>
      <w:marTop w:val="0"/>
      <w:marBottom w:val="0"/>
      <w:divBdr>
        <w:top w:val="none" w:sz="0" w:space="0" w:color="auto"/>
        <w:left w:val="none" w:sz="0" w:space="0" w:color="auto"/>
        <w:bottom w:val="none" w:sz="0" w:space="0" w:color="auto"/>
        <w:right w:val="none" w:sz="0" w:space="0" w:color="auto"/>
      </w:divBdr>
    </w:div>
    <w:div w:id="921137477">
      <w:bodyDiv w:val="1"/>
      <w:marLeft w:val="0"/>
      <w:marRight w:val="0"/>
      <w:marTop w:val="0"/>
      <w:marBottom w:val="0"/>
      <w:divBdr>
        <w:top w:val="none" w:sz="0" w:space="0" w:color="auto"/>
        <w:left w:val="none" w:sz="0" w:space="0" w:color="auto"/>
        <w:bottom w:val="none" w:sz="0" w:space="0" w:color="auto"/>
        <w:right w:val="none" w:sz="0" w:space="0" w:color="auto"/>
      </w:divBdr>
    </w:div>
    <w:div w:id="937835756">
      <w:bodyDiv w:val="1"/>
      <w:marLeft w:val="0"/>
      <w:marRight w:val="0"/>
      <w:marTop w:val="0"/>
      <w:marBottom w:val="0"/>
      <w:divBdr>
        <w:top w:val="none" w:sz="0" w:space="0" w:color="auto"/>
        <w:left w:val="none" w:sz="0" w:space="0" w:color="auto"/>
        <w:bottom w:val="none" w:sz="0" w:space="0" w:color="auto"/>
        <w:right w:val="none" w:sz="0" w:space="0" w:color="auto"/>
      </w:divBdr>
    </w:div>
    <w:div w:id="938173771">
      <w:bodyDiv w:val="1"/>
      <w:marLeft w:val="0"/>
      <w:marRight w:val="0"/>
      <w:marTop w:val="0"/>
      <w:marBottom w:val="0"/>
      <w:divBdr>
        <w:top w:val="none" w:sz="0" w:space="0" w:color="auto"/>
        <w:left w:val="none" w:sz="0" w:space="0" w:color="auto"/>
        <w:bottom w:val="none" w:sz="0" w:space="0" w:color="auto"/>
        <w:right w:val="none" w:sz="0" w:space="0" w:color="auto"/>
      </w:divBdr>
    </w:div>
    <w:div w:id="946154759">
      <w:bodyDiv w:val="1"/>
      <w:marLeft w:val="0"/>
      <w:marRight w:val="0"/>
      <w:marTop w:val="0"/>
      <w:marBottom w:val="0"/>
      <w:divBdr>
        <w:top w:val="none" w:sz="0" w:space="0" w:color="auto"/>
        <w:left w:val="none" w:sz="0" w:space="0" w:color="auto"/>
        <w:bottom w:val="none" w:sz="0" w:space="0" w:color="auto"/>
        <w:right w:val="none" w:sz="0" w:space="0" w:color="auto"/>
      </w:divBdr>
    </w:div>
    <w:div w:id="947396668">
      <w:bodyDiv w:val="1"/>
      <w:marLeft w:val="0"/>
      <w:marRight w:val="0"/>
      <w:marTop w:val="0"/>
      <w:marBottom w:val="0"/>
      <w:divBdr>
        <w:top w:val="none" w:sz="0" w:space="0" w:color="auto"/>
        <w:left w:val="none" w:sz="0" w:space="0" w:color="auto"/>
        <w:bottom w:val="none" w:sz="0" w:space="0" w:color="auto"/>
        <w:right w:val="none" w:sz="0" w:space="0" w:color="auto"/>
      </w:divBdr>
    </w:div>
    <w:div w:id="948777566">
      <w:bodyDiv w:val="1"/>
      <w:marLeft w:val="0"/>
      <w:marRight w:val="0"/>
      <w:marTop w:val="0"/>
      <w:marBottom w:val="0"/>
      <w:divBdr>
        <w:top w:val="none" w:sz="0" w:space="0" w:color="auto"/>
        <w:left w:val="none" w:sz="0" w:space="0" w:color="auto"/>
        <w:bottom w:val="none" w:sz="0" w:space="0" w:color="auto"/>
        <w:right w:val="none" w:sz="0" w:space="0" w:color="auto"/>
      </w:divBdr>
    </w:div>
    <w:div w:id="962266324">
      <w:bodyDiv w:val="1"/>
      <w:marLeft w:val="0"/>
      <w:marRight w:val="0"/>
      <w:marTop w:val="0"/>
      <w:marBottom w:val="0"/>
      <w:divBdr>
        <w:top w:val="none" w:sz="0" w:space="0" w:color="auto"/>
        <w:left w:val="none" w:sz="0" w:space="0" w:color="auto"/>
        <w:bottom w:val="none" w:sz="0" w:space="0" w:color="auto"/>
        <w:right w:val="none" w:sz="0" w:space="0" w:color="auto"/>
      </w:divBdr>
    </w:div>
    <w:div w:id="965476400">
      <w:bodyDiv w:val="1"/>
      <w:marLeft w:val="0"/>
      <w:marRight w:val="0"/>
      <w:marTop w:val="0"/>
      <w:marBottom w:val="0"/>
      <w:divBdr>
        <w:top w:val="none" w:sz="0" w:space="0" w:color="auto"/>
        <w:left w:val="none" w:sz="0" w:space="0" w:color="auto"/>
        <w:bottom w:val="none" w:sz="0" w:space="0" w:color="auto"/>
        <w:right w:val="none" w:sz="0" w:space="0" w:color="auto"/>
      </w:divBdr>
    </w:div>
    <w:div w:id="969941804">
      <w:bodyDiv w:val="1"/>
      <w:marLeft w:val="0"/>
      <w:marRight w:val="0"/>
      <w:marTop w:val="0"/>
      <w:marBottom w:val="0"/>
      <w:divBdr>
        <w:top w:val="none" w:sz="0" w:space="0" w:color="auto"/>
        <w:left w:val="none" w:sz="0" w:space="0" w:color="auto"/>
        <w:bottom w:val="none" w:sz="0" w:space="0" w:color="auto"/>
        <w:right w:val="none" w:sz="0" w:space="0" w:color="auto"/>
      </w:divBdr>
    </w:div>
    <w:div w:id="973171289">
      <w:bodyDiv w:val="1"/>
      <w:marLeft w:val="0"/>
      <w:marRight w:val="0"/>
      <w:marTop w:val="0"/>
      <w:marBottom w:val="0"/>
      <w:divBdr>
        <w:top w:val="none" w:sz="0" w:space="0" w:color="auto"/>
        <w:left w:val="none" w:sz="0" w:space="0" w:color="auto"/>
        <w:bottom w:val="none" w:sz="0" w:space="0" w:color="auto"/>
        <w:right w:val="none" w:sz="0" w:space="0" w:color="auto"/>
      </w:divBdr>
    </w:div>
    <w:div w:id="982077006">
      <w:bodyDiv w:val="1"/>
      <w:marLeft w:val="0"/>
      <w:marRight w:val="0"/>
      <w:marTop w:val="0"/>
      <w:marBottom w:val="0"/>
      <w:divBdr>
        <w:top w:val="none" w:sz="0" w:space="0" w:color="auto"/>
        <w:left w:val="none" w:sz="0" w:space="0" w:color="auto"/>
        <w:bottom w:val="none" w:sz="0" w:space="0" w:color="auto"/>
        <w:right w:val="none" w:sz="0" w:space="0" w:color="auto"/>
      </w:divBdr>
    </w:div>
    <w:div w:id="1000739202">
      <w:bodyDiv w:val="1"/>
      <w:marLeft w:val="0"/>
      <w:marRight w:val="0"/>
      <w:marTop w:val="0"/>
      <w:marBottom w:val="0"/>
      <w:divBdr>
        <w:top w:val="none" w:sz="0" w:space="0" w:color="auto"/>
        <w:left w:val="none" w:sz="0" w:space="0" w:color="auto"/>
        <w:bottom w:val="none" w:sz="0" w:space="0" w:color="auto"/>
        <w:right w:val="none" w:sz="0" w:space="0" w:color="auto"/>
      </w:divBdr>
    </w:div>
    <w:div w:id="1004474700">
      <w:bodyDiv w:val="1"/>
      <w:marLeft w:val="0"/>
      <w:marRight w:val="0"/>
      <w:marTop w:val="0"/>
      <w:marBottom w:val="0"/>
      <w:divBdr>
        <w:top w:val="none" w:sz="0" w:space="0" w:color="auto"/>
        <w:left w:val="none" w:sz="0" w:space="0" w:color="auto"/>
        <w:bottom w:val="none" w:sz="0" w:space="0" w:color="auto"/>
        <w:right w:val="none" w:sz="0" w:space="0" w:color="auto"/>
      </w:divBdr>
    </w:div>
    <w:div w:id="1008022385">
      <w:bodyDiv w:val="1"/>
      <w:marLeft w:val="0"/>
      <w:marRight w:val="0"/>
      <w:marTop w:val="0"/>
      <w:marBottom w:val="0"/>
      <w:divBdr>
        <w:top w:val="none" w:sz="0" w:space="0" w:color="auto"/>
        <w:left w:val="none" w:sz="0" w:space="0" w:color="auto"/>
        <w:bottom w:val="none" w:sz="0" w:space="0" w:color="auto"/>
        <w:right w:val="none" w:sz="0" w:space="0" w:color="auto"/>
      </w:divBdr>
    </w:div>
    <w:div w:id="1009718355">
      <w:bodyDiv w:val="1"/>
      <w:marLeft w:val="0"/>
      <w:marRight w:val="0"/>
      <w:marTop w:val="0"/>
      <w:marBottom w:val="0"/>
      <w:divBdr>
        <w:top w:val="none" w:sz="0" w:space="0" w:color="auto"/>
        <w:left w:val="none" w:sz="0" w:space="0" w:color="auto"/>
        <w:bottom w:val="none" w:sz="0" w:space="0" w:color="auto"/>
        <w:right w:val="none" w:sz="0" w:space="0" w:color="auto"/>
      </w:divBdr>
    </w:div>
    <w:div w:id="1014768369">
      <w:bodyDiv w:val="1"/>
      <w:marLeft w:val="0"/>
      <w:marRight w:val="0"/>
      <w:marTop w:val="0"/>
      <w:marBottom w:val="0"/>
      <w:divBdr>
        <w:top w:val="none" w:sz="0" w:space="0" w:color="auto"/>
        <w:left w:val="none" w:sz="0" w:space="0" w:color="auto"/>
        <w:bottom w:val="none" w:sz="0" w:space="0" w:color="auto"/>
        <w:right w:val="none" w:sz="0" w:space="0" w:color="auto"/>
      </w:divBdr>
    </w:div>
    <w:div w:id="1015694858">
      <w:bodyDiv w:val="1"/>
      <w:marLeft w:val="0"/>
      <w:marRight w:val="0"/>
      <w:marTop w:val="0"/>
      <w:marBottom w:val="0"/>
      <w:divBdr>
        <w:top w:val="none" w:sz="0" w:space="0" w:color="auto"/>
        <w:left w:val="none" w:sz="0" w:space="0" w:color="auto"/>
        <w:bottom w:val="none" w:sz="0" w:space="0" w:color="auto"/>
        <w:right w:val="none" w:sz="0" w:space="0" w:color="auto"/>
      </w:divBdr>
    </w:div>
    <w:div w:id="1020164502">
      <w:bodyDiv w:val="1"/>
      <w:marLeft w:val="0"/>
      <w:marRight w:val="0"/>
      <w:marTop w:val="0"/>
      <w:marBottom w:val="0"/>
      <w:divBdr>
        <w:top w:val="none" w:sz="0" w:space="0" w:color="auto"/>
        <w:left w:val="none" w:sz="0" w:space="0" w:color="auto"/>
        <w:bottom w:val="none" w:sz="0" w:space="0" w:color="auto"/>
        <w:right w:val="none" w:sz="0" w:space="0" w:color="auto"/>
      </w:divBdr>
    </w:div>
    <w:div w:id="1037317420">
      <w:bodyDiv w:val="1"/>
      <w:marLeft w:val="0"/>
      <w:marRight w:val="0"/>
      <w:marTop w:val="0"/>
      <w:marBottom w:val="0"/>
      <w:divBdr>
        <w:top w:val="none" w:sz="0" w:space="0" w:color="auto"/>
        <w:left w:val="none" w:sz="0" w:space="0" w:color="auto"/>
        <w:bottom w:val="none" w:sz="0" w:space="0" w:color="auto"/>
        <w:right w:val="none" w:sz="0" w:space="0" w:color="auto"/>
      </w:divBdr>
    </w:div>
    <w:div w:id="1037699718">
      <w:bodyDiv w:val="1"/>
      <w:marLeft w:val="0"/>
      <w:marRight w:val="0"/>
      <w:marTop w:val="0"/>
      <w:marBottom w:val="0"/>
      <w:divBdr>
        <w:top w:val="none" w:sz="0" w:space="0" w:color="auto"/>
        <w:left w:val="none" w:sz="0" w:space="0" w:color="auto"/>
        <w:bottom w:val="none" w:sz="0" w:space="0" w:color="auto"/>
        <w:right w:val="none" w:sz="0" w:space="0" w:color="auto"/>
      </w:divBdr>
    </w:div>
    <w:div w:id="1049497730">
      <w:bodyDiv w:val="1"/>
      <w:marLeft w:val="0"/>
      <w:marRight w:val="0"/>
      <w:marTop w:val="0"/>
      <w:marBottom w:val="0"/>
      <w:divBdr>
        <w:top w:val="none" w:sz="0" w:space="0" w:color="auto"/>
        <w:left w:val="none" w:sz="0" w:space="0" w:color="auto"/>
        <w:bottom w:val="none" w:sz="0" w:space="0" w:color="auto"/>
        <w:right w:val="none" w:sz="0" w:space="0" w:color="auto"/>
      </w:divBdr>
    </w:div>
    <w:div w:id="1054281209">
      <w:bodyDiv w:val="1"/>
      <w:marLeft w:val="0"/>
      <w:marRight w:val="0"/>
      <w:marTop w:val="0"/>
      <w:marBottom w:val="0"/>
      <w:divBdr>
        <w:top w:val="none" w:sz="0" w:space="0" w:color="auto"/>
        <w:left w:val="none" w:sz="0" w:space="0" w:color="auto"/>
        <w:bottom w:val="none" w:sz="0" w:space="0" w:color="auto"/>
        <w:right w:val="none" w:sz="0" w:space="0" w:color="auto"/>
      </w:divBdr>
    </w:div>
    <w:div w:id="1074933343">
      <w:bodyDiv w:val="1"/>
      <w:marLeft w:val="0"/>
      <w:marRight w:val="0"/>
      <w:marTop w:val="0"/>
      <w:marBottom w:val="0"/>
      <w:divBdr>
        <w:top w:val="none" w:sz="0" w:space="0" w:color="auto"/>
        <w:left w:val="none" w:sz="0" w:space="0" w:color="auto"/>
        <w:bottom w:val="none" w:sz="0" w:space="0" w:color="auto"/>
        <w:right w:val="none" w:sz="0" w:space="0" w:color="auto"/>
      </w:divBdr>
    </w:div>
    <w:div w:id="1078484472">
      <w:bodyDiv w:val="1"/>
      <w:marLeft w:val="0"/>
      <w:marRight w:val="0"/>
      <w:marTop w:val="0"/>
      <w:marBottom w:val="0"/>
      <w:divBdr>
        <w:top w:val="none" w:sz="0" w:space="0" w:color="auto"/>
        <w:left w:val="none" w:sz="0" w:space="0" w:color="auto"/>
        <w:bottom w:val="none" w:sz="0" w:space="0" w:color="auto"/>
        <w:right w:val="none" w:sz="0" w:space="0" w:color="auto"/>
      </w:divBdr>
    </w:div>
    <w:div w:id="1083913384">
      <w:bodyDiv w:val="1"/>
      <w:marLeft w:val="0"/>
      <w:marRight w:val="0"/>
      <w:marTop w:val="0"/>
      <w:marBottom w:val="0"/>
      <w:divBdr>
        <w:top w:val="none" w:sz="0" w:space="0" w:color="auto"/>
        <w:left w:val="none" w:sz="0" w:space="0" w:color="auto"/>
        <w:bottom w:val="none" w:sz="0" w:space="0" w:color="auto"/>
        <w:right w:val="none" w:sz="0" w:space="0" w:color="auto"/>
      </w:divBdr>
    </w:div>
    <w:div w:id="1087120313">
      <w:bodyDiv w:val="1"/>
      <w:marLeft w:val="0"/>
      <w:marRight w:val="0"/>
      <w:marTop w:val="0"/>
      <w:marBottom w:val="0"/>
      <w:divBdr>
        <w:top w:val="none" w:sz="0" w:space="0" w:color="auto"/>
        <w:left w:val="none" w:sz="0" w:space="0" w:color="auto"/>
        <w:bottom w:val="none" w:sz="0" w:space="0" w:color="auto"/>
        <w:right w:val="none" w:sz="0" w:space="0" w:color="auto"/>
      </w:divBdr>
    </w:div>
    <w:div w:id="1088232765">
      <w:bodyDiv w:val="1"/>
      <w:marLeft w:val="0"/>
      <w:marRight w:val="0"/>
      <w:marTop w:val="0"/>
      <w:marBottom w:val="0"/>
      <w:divBdr>
        <w:top w:val="none" w:sz="0" w:space="0" w:color="auto"/>
        <w:left w:val="none" w:sz="0" w:space="0" w:color="auto"/>
        <w:bottom w:val="none" w:sz="0" w:space="0" w:color="auto"/>
        <w:right w:val="none" w:sz="0" w:space="0" w:color="auto"/>
      </w:divBdr>
    </w:div>
    <w:div w:id="1094478344">
      <w:bodyDiv w:val="1"/>
      <w:marLeft w:val="0"/>
      <w:marRight w:val="0"/>
      <w:marTop w:val="0"/>
      <w:marBottom w:val="0"/>
      <w:divBdr>
        <w:top w:val="none" w:sz="0" w:space="0" w:color="auto"/>
        <w:left w:val="none" w:sz="0" w:space="0" w:color="auto"/>
        <w:bottom w:val="none" w:sz="0" w:space="0" w:color="auto"/>
        <w:right w:val="none" w:sz="0" w:space="0" w:color="auto"/>
      </w:divBdr>
    </w:div>
    <w:div w:id="1111165580">
      <w:bodyDiv w:val="1"/>
      <w:marLeft w:val="0"/>
      <w:marRight w:val="0"/>
      <w:marTop w:val="0"/>
      <w:marBottom w:val="0"/>
      <w:divBdr>
        <w:top w:val="none" w:sz="0" w:space="0" w:color="auto"/>
        <w:left w:val="none" w:sz="0" w:space="0" w:color="auto"/>
        <w:bottom w:val="none" w:sz="0" w:space="0" w:color="auto"/>
        <w:right w:val="none" w:sz="0" w:space="0" w:color="auto"/>
      </w:divBdr>
    </w:div>
    <w:div w:id="1125656784">
      <w:bodyDiv w:val="1"/>
      <w:marLeft w:val="0"/>
      <w:marRight w:val="0"/>
      <w:marTop w:val="0"/>
      <w:marBottom w:val="0"/>
      <w:divBdr>
        <w:top w:val="none" w:sz="0" w:space="0" w:color="auto"/>
        <w:left w:val="none" w:sz="0" w:space="0" w:color="auto"/>
        <w:bottom w:val="none" w:sz="0" w:space="0" w:color="auto"/>
        <w:right w:val="none" w:sz="0" w:space="0" w:color="auto"/>
      </w:divBdr>
    </w:div>
    <w:div w:id="1136684334">
      <w:bodyDiv w:val="1"/>
      <w:marLeft w:val="0"/>
      <w:marRight w:val="0"/>
      <w:marTop w:val="0"/>
      <w:marBottom w:val="0"/>
      <w:divBdr>
        <w:top w:val="none" w:sz="0" w:space="0" w:color="auto"/>
        <w:left w:val="none" w:sz="0" w:space="0" w:color="auto"/>
        <w:bottom w:val="none" w:sz="0" w:space="0" w:color="auto"/>
        <w:right w:val="none" w:sz="0" w:space="0" w:color="auto"/>
      </w:divBdr>
    </w:div>
    <w:div w:id="1137642499">
      <w:bodyDiv w:val="1"/>
      <w:marLeft w:val="0"/>
      <w:marRight w:val="0"/>
      <w:marTop w:val="0"/>
      <w:marBottom w:val="0"/>
      <w:divBdr>
        <w:top w:val="none" w:sz="0" w:space="0" w:color="auto"/>
        <w:left w:val="none" w:sz="0" w:space="0" w:color="auto"/>
        <w:bottom w:val="none" w:sz="0" w:space="0" w:color="auto"/>
        <w:right w:val="none" w:sz="0" w:space="0" w:color="auto"/>
      </w:divBdr>
    </w:div>
    <w:div w:id="1144812789">
      <w:bodyDiv w:val="1"/>
      <w:marLeft w:val="0"/>
      <w:marRight w:val="0"/>
      <w:marTop w:val="0"/>
      <w:marBottom w:val="0"/>
      <w:divBdr>
        <w:top w:val="none" w:sz="0" w:space="0" w:color="auto"/>
        <w:left w:val="none" w:sz="0" w:space="0" w:color="auto"/>
        <w:bottom w:val="none" w:sz="0" w:space="0" w:color="auto"/>
        <w:right w:val="none" w:sz="0" w:space="0" w:color="auto"/>
      </w:divBdr>
    </w:div>
    <w:div w:id="1147210567">
      <w:bodyDiv w:val="1"/>
      <w:marLeft w:val="0"/>
      <w:marRight w:val="0"/>
      <w:marTop w:val="0"/>
      <w:marBottom w:val="0"/>
      <w:divBdr>
        <w:top w:val="none" w:sz="0" w:space="0" w:color="auto"/>
        <w:left w:val="none" w:sz="0" w:space="0" w:color="auto"/>
        <w:bottom w:val="none" w:sz="0" w:space="0" w:color="auto"/>
        <w:right w:val="none" w:sz="0" w:space="0" w:color="auto"/>
      </w:divBdr>
    </w:div>
    <w:div w:id="1156801491">
      <w:bodyDiv w:val="1"/>
      <w:marLeft w:val="0"/>
      <w:marRight w:val="0"/>
      <w:marTop w:val="0"/>
      <w:marBottom w:val="0"/>
      <w:divBdr>
        <w:top w:val="none" w:sz="0" w:space="0" w:color="auto"/>
        <w:left w:val="none" w:sz="0" w:space="0" w:color="auto"/>
        <w:bottom w:val="none" w:sz="0" w:space="0" w:color="auto"/>
        <w:right w:val="none" w:sz="0" w:space="0" w:color="auto"/>
      </w:divBdr>
    </w:div>
    <w:div w:id="1163274827">
      <w:bodyDiv w:val="1"/>
      <w:marLeft w:val="0"/>
      <w:marRight w:val="0"/>
      <w:marTop w:val="0"/>
      <w:marBottom w:val="0"/>
      <w:divBdr>
        <w:top w:val="none" w:sz="0" w:space="0" w:color="auto"/>
        <w:left w:val="none" w:sz="0" w:space="0" w:color="auto"/>
        <w:bottom w:val="none" w:sz="0" w:space="0" w:color="auto"/>
        <w:right w:val="none" w:sz="0" w:space="0" w:color="auto"/>
      </w:divBdr>
    </w:div>
    <w:div w:id="1163396091">
      <w:bodyDiv w:val="1"/>
      <w:marLeft w:val="0"/>
      <w:marRight w:val="0"/>
      <w:marTop w:val="0"/>
      <w:marBottom w:val="0"/>
      <w:divBdr>
        <w:top w:val="none" w:sz="0" w:space="0" w:color="auto"/>
        <w:left w:val="none" w:sz="0" w:space="0" w:color="auto"/>
        <w:bottom w:val="none" w:sz="0" w:space="0" w:color="auto"/>
        <w:right w:val="none" w:sz="0" w:space="0" w:color="auto"/>
      </w:divBdr>
    </w:div>
    <w:div w:id="1164587190">
      <w:bodyDiv w:val="1"/>
      <w:marLeft w:val="0"/>
      <w:marRight w:val="0"/>
      <w:marTop w:val="0"/>
      <w:marBottom w:val="0"/>
      <w:divBdr>
        <w:top w:val="none" w:sz="0" w:space="0" w:color="auto"/>
        <w:left w:val="none" w:sz="0" w:space="0" w:color="auto"/>
        <w:bottom w:val="none" w:sz="0" w:space="0" w:color="auto"/>
        <w:right w:val="none" w:sz="0" w:space="0" w:color="auto"/>
      </w:divBdr>
    </w:div>
    <w:div w:id="1187213126">
      <w:bodyDiv w:val="1"/>
      <w:marLeft w:val="0"/>
      <w:marRight w:val="0"/>
      <w:marTop w:val="0"/>
      <w:marBottom w:val="0"/>
      <w:divBdr>
        <w:top w:val="none" w:sz="0" w:space="0" w:color="auto"/>
        <w:left w:val="none" w:sz="0" w:space="0" w:color="auto"/>
        <w:bottom w:val="none" w:sz="0" w:space="0" w:color="auto"/>
        <w:right w:val="none" w:sz="0" w:space="0" w:color="auto"/>
      </w:divBdr>
    </w:div>
    <w:div w:id="1231188955">
      <w:bodyDiv w:val="1"/>
      <w:marLeft w:val="0"/>
      <w:marRight w:val="0"/>
      <w:marTop w:val="0"/>
      <w:marBottom w:val="0"/>
      <w:divBdr>
        <w:top w:val="none" w:sz="0" w:space="0" w:color="auto"/>
        <w:left w:val="none" w:sz="0" w:space="0" w:color="auto"/>
        <w:bottom w:val="none" w:sz="0" w:space="0" w:color="auto"/>
        <w:right w:val="none" w:sz="0" w:space="0" w:color="auto"/>
      </w:divBdr>
    </w:div>
    <w:div w:id="1240750668">
      <w:bodyDiv w:val="1"/>
      <w:marLeft w:val="0"/>
      <w:marRight w:val="0"/>
      <w:marTop w:val="0"/>
      <w:marBottom w:val="0"/>
      <w:divBdr>
        <w:top w:val="none" w:sz="0" w:space="0" w:color="auto"/>
        <w:left w:val="none" w:sz="0" w:space="0" w:color="auto"/>
        <w:bottom w:val="none" w:sz="0" w:space="0" w:color="auto"/>
        <w:right w:val="none" w:sz="0" w:space="0" w:color="auto"/>
      </w:divBdr>
    </w:div>
    <w:div w:id="1263955822">
      <w:bodyDiv w:val="1"/>
      <w:marLeft w:val="0"/>
      <w:marRight w:val="0"/>
      <w:marTop w:val="0"/>
      <w:marBottom w:val="0"/>
      <w:divBdr>
        <w:top w:val="none" w:sz="0" w:space="0" w:color="auto"/>
        <w:left w:val="none" w:sz="0" w:space="0" w:color="auto"/>
        <w:bottom w:val="none" w:sz="0" w:space="0" w:color="auto"/>
        <w:right w:val="none" w:sz="0" w:space="0" w:color="auto"/>
      </w:divBdr>
    </w:div>
    <w:div w:id="1288508290">
      <w:bodyDiv w:val="1"/>
      <w:marLeft w:val="0"/>
      <w:marRight w:val="0"/>
      <w:marTop w:val="0"/>
      <w:marBottom w:val="0"/>
      <w:divBdr>
        <w:top w:val="none" w:sz="0" w:space="0" w:color="auto"/>
        <w:left w:val="none" w:sz="0" w:space="0" w:color="auto"/>
        <w:bottom w:val="none" w:sz="0" w:space="0" w:color="auto"/>
        <w:right w:val="none" w:sz="0" w:space="0" w:color="auto"/>
      </w:divBdr>
    </w:div>
    <w:div w:id="1309240051">
      <w:bodyDiv w:val="1"/>
      <w:marLeft w:val="0"/>
      <w:marRight w:val="0"/>
      <w:marTop w:val="0"/>
      <w:marBottom w:val="0"/>
      <w:divBdr>
        <w:top w:val="none" w:sz="0" w:space="0" w:color="auto"/>
        <w:left w:val="none" w:sz="0" w:space="0" w:color="auto"/>
        <w:bottom w:val="none" w:sz="0" w:space="0" w:color="auto"/>
        <w:right w:val="none" w:sz="0" w:space="0" w:color="auto"/>
      </w:divBdr>
    </w:div>
    <w:div w:id="1310161928">
      <w:bodyDiv w:val="1"/>
      <w:marLeft w:val="0"/>
      <w:marRight w:val="0"/>
      <w:marTop w:val="0"/>
      <w:marBottom w:val="0"/>
      <w:divBdr>
        <w:top w:val="none" w:sz="0" w:space="0" w:color="auto"/>
        <w:left w:val="none" w:sz="0" w:space="0" w:color="auto"/>
        <w:bottom w:val="none" w:sz="0" w:space="0" w:color="auto"/>
        <w:right w:val="none" w:sz="0" w:space="0" w:color="auto"/>
      </w:divBdr>
    </w:div>
    <w:div w:id="1347518333">
      <w:bodyDiv w:val="1"/>
      <w:marLeft w:val="0"/>
      <w:marRight w:val="0"/>
      <w:marTop w:val="0"/>
      <w:marBottom w:val="0"/>
      <w:divBdr>
        <w:top w:val="none" w:sz="0" w:space="0" w:color="auto"/>
        <w:left w:val="none" w:sz="0" w:space="0" w:color="auto"/>
        <w:bottom w:val="none" w:sz="0" w:space="0" w:color="auto"/>
        <w:right w:val="none" w:sz="0" w:space="0" w:color="auto"/>
      </w:divBdr>
    </w:div>
    <w:div w:id="1360282043">
      <w:bodyDiv w:val="1"/>
      <w:marLeft w:val="0"/>
      <w:marRight w:val="0"/>
      <w:marTop w:val="0"/>
      <w:marBottom w:val="0"/>
      <w:divBdr>
        <w:top w:val="none" w:sz="0" w:space="0" w:color="auto"/>
        <w:left w:val="none" w:sz="0" w:space="0" w:color="auto"/>
        <w:bottom w:val="none" w:sz="0" w:space="0" w:color="auto"/>
        <w:right w:val="none" w:sz="0" w:space="0" w:color="auto"/>
      </w:divBdr>
    </w:div>
    <w:div w:id="1362778201">
      <w:bodyDiv w:val="1"/>
      <w:marLeft w:val="0"/>
      <w:marRight w:val="0"/>
      <w:marTop w:val="0"/>
      <w:marBottom w:val="0"/>
      <w:divBdr>
        <w:top w:val="none" w:sz="0" w:space="0" w:color="auto"/>
        <w:left w:val="none" w:sz="0" w:space="0" w:color="auto"/>
        <w:bottom w:val="none" w:sz="0" w:space="0" w:color="auto"/>
        <w:right w:val="none" w:sz="0" w:space="0" w:color="auto"/>
      </w:divBdr>
    </w:div>
    <w:div w:id="1370300573">
      <w:bodyDiv w:val="1"/>
      <w:marLeft w:val="0"/>
      <w:marRight w:val="0"/>
      <w:marTop w:val="0"/>
      <w:marBottom w:val="0"/>
      <w:divBdr>
        <w:top w:val="none" w:sz="0" w:space="0" w:color="auto"/>
        <w:left w:val="none" w:sz="0" w:space="0" w:color="auto"/>
        <w:bottom w:val="none" w:sz="0" w:space="0" w:color="auto"/>
        <w:right w:val="none" w:sz="0" w:space="0" w:color="auto"/>
      </w:divBdr>
    </w:div>
    <w:div w:id="1377781608">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36051324">
      <w:bodyDiv w:val="1"/>
      <w:marLeft w:val="0"/>
      <w:marRight w:val="0"/>
      <w:marTop w:val="0"/>
      <w:marBottom w:val="0"/>
      <w:divBdr>
        <w:top w:val="none" w:sz="0" w:space="0" w:color="auto"/>
        <w:left w:val="none" w:sz="0" w:space="0" w:color="auto"/>
        <w:bottom w:val="none" w:sz="0" w:space="0" w:color="auto"/>
        <w:right w:val="none" w:sz="0" w:space="0" w:color="auto"/>
      </w:divBdr>
    </w:div>
    <w:div w:id="1440493886">
      <w:bodyDiv w:val="1"/>
      <w:marLeft w:val="0"/>
      <w:marRight w:val="0"/>
      <w:marTop w:val="0"/>
      <w:marBottom w:val="0"/>
      <w:divBdr>
        <w:top w:val="none" w:sz="0" w:space="0" w:color="auto"/>
        <w:left w:val="none" w:sz="0" w:space="0" w:color="auto"/>
        <w:bottom w:val="none" w:sz="0" w:space="0" w:color="auto"/>
        <w:right w:val="none" w:sz="0" w:space="0" w:color="auto"/>
      </w:divBdr>
    </w:div>
    <w:div w:id="1469782045">
      <w:bodyDiv w:val="1"/>
      <w:marLeft w:val="0"/>
      <w:marRight w:val="0"/>
      <w:marTop w:val="0"/>
      <w:marBottom w:val="0"/>
      <w:divBdr>
        <w:top w:val="none" w:sz="0" w:space="0" w:color="auto"/>
        <w:left w:val="none" w:sz="0" w:space="0" w:color="auto"/>
        <w:bottom w:val="none" w:sz="0" w:space="0" w:color="auto"/>
        <w:right w:val="none" w:sz="0" w:space="0" w:color="auto"/>
      </w:divBdr>
    </w:div>
    <w:div w:id="1506827066">
      <w:bodyDiv w:val="1"/>
      <w:marLeft w:val="0"/>
      <w:marRight w:val="0"/>
      <w:marTop w:val="0"/>
      <w:marBottom w:val="0"/>
      <w:divBdr>
        <w:top w:val="none" w:sz="0" w:space="0" w:color="auto"/>
        <w:left w:val="none" w:sz="0" w:space="0" w:color="auto"/>
        <w:bottom w:val="none" w:sz="0" w:space="0" w:color="auto"/>
        <w:right w:val="none" w:sz="0" w:space="0" w:color="auto"/>
      </w:divBdr>
    </w:div>
    <w:div w:id="1510561094">
      <w:bodyDiv w:val="1"/>
      <w:marLeft w:val="0"/>
      <w:marRight w:val="0"/>
      <w:marTop w:val="0"/>
      <w:marBottom w:val="0"/>
      <w:divBdr>
        <w:top w:val="none" w:sz="0" w:space="0" w:color="auto"/>
        <w:left w:val="none" w:sz="0" w:space="0" w:color="auto"/>
        <w:bottom w:val="none" w:sz="0" w:space="0" w:color="auto"/>
        <w:right w:val="none" w:sz="0" w:space="0" w:color="auto"/>
      </w:divBdr>
    </w:div>
    <w:div w:id="1535188738">
      <w:bodyDiv w:val="1"/>
      <w:marLeft w:val="0"/>
      <w:marRight w:val="0"/>
      <w:marTop w:val="0"/>
      <w:marBottom w:val="0"/>
      <w:divBdr>
        <w:top w:val="none" w:sz="0" w:space="0" w:color="auto"/>
        <w:left w:val="none" w:sz="0" w:space="0" w:color="auto"/>
        <w:bottom w:val="none" w:sz="0" w:space="0" w:color="auto"/>
        <w:right w:val="none" w:sz="0" w:space="0" w:color="auto"/>
      </w:divBdr>
    </w:div>
    <w:div w:id="1549102808">
      <w:bodyDiv w:val="1"/>
      <w:marLeft w:val="0"/>
      <w:marRight w:val="0"/>
      <w:marTop w:val="0"/>
      <w:marBottom w:val="0"/>
      <w:divBdr>
        <w:top w:val="none" w:sz="0" w:space="0" w:color="auto"/>
        <w:left w:val="none" w:sz="0" w:space="0" w:color="auto"/>
        <w:bottom w:val="none" w:sz="0" w:space="0" w:color="auto"/>
        <w:right w:val="none" w:sz="0" w:space="0" w:color="auto"/>
      </w:divBdr>
    </w:div>
    <w:div w:id="1557820488">
      <w:bodyDiv w:val="1"/>
      <w:marLeft w:val="0"/>
      <w:marRight w:val="0"/>
      <w:marTop w:val="0"/>
      <w:marBottom w:val="0"/>
      <w:divBdr>
        <w:top w:val="none" w:sz="0" w:space="0" w:color="auto"/>
        <w:left w:val="none" w:sz="0" w:space="0" w:color="auto"/>
        <w:bottom w:val="none" w:sz="0" w:space="0" w:color="auto"/>
        <w:right w:val="none" w:sz="0" w:space="0" w:color="auto"/>
      </w:divBdr>
    </w:div>
    <w:div w:id="1562328559">
      <w:bodyDiv w:val="1"/>
      <w:marLeft w:val="0"/>
      <w:marRight w:val="0"/>
      <w:marTop w:val="0"/>
      <w:marBottom w:val="0"/>
      <w:divBdr>
        <w:top w:val="none" w:sz="0" w:space="0" w:color="auto"/>
        <w:left w:val="none" w:sz="0" w:space="0" w:color="auto"/>
        <w:bottom w:val="none" w:sz="0" w:space="0" w:color="auto"/>
        <w:right w:val="none" w:sz="0" w:space="0" w:color="auto"/>
      </w:divBdr>
    </w:div>
    <w:div w:id="1562977554">
      <w:bodyDiv w:val="1"/>
      <w:marLeft w:val="0"/>
      <w:marRight w:val="0"/>
      <w:marTop w:val="0"/>
      <w:marBottom w:val="0"/>
      <w:divBdr>
        <w:top w:val="none" w:sz="0" w:space="0" w:color="auto"/>
        <w:left w:val="none" w:sz="0" w:space="0" w:color="auto"/>
        <w:bottom w:val="none" w:sz="0" w:space="0" w:color="auto"/>
        <w:right w:val="none" w:sz="0" w:space="0" w:color="auto"/>
      </w:divBdr>
    </w:div>
    <w:div w:id="1568372982">
      <w:bodyDiv w:val="1"/>
      <w:marLeft w:val="0"/>
      <w:marRight w:val="0"/>
      <w:marTop w:val="0"/>
      <w:marBottom w:val="0"/>
      <w:divBdr>
        <w:top w:val="none" w:sz="0" w:space="0" w:color="auto"/>
        <w:left w:val="none" w:sz="0" w:space="0" w:color="auto"/>
        <w:bottom w:val="none" w:sz="0" w:space="0" w:color="auto"/>
        <w:right w:val="none" w:sz="0" w:space="0" w:color="auto"/>
      </w:divBdr>
    </w:div>
    <w:div w:id="1589729493">
      <w:bodyDiv w:val="1"/>
      <w:marLeft w:val="0"/>
      <w:marRight w:val="0"/>
      <w:marTop w:val="0"/>
      <w:marBottom w:val="0"/>
      <w:divBdr>
        <w:top w:val="none" w:sz="0" w:space="0" w:color="auto"/>
        <w:left w:val="none" w:sz="0" w:space="0" w:color="auto"/>
        <w:bottom w:val="none" w:sz="0" w:space="0" w:color="auto"/>
        <w:right w:val="none" w:sz="0" w:space="0" w:color="auto"/>
      </w:divBdr>
    </w:div>
    <w:div w:id="1592353260">
      <w:bodyDiv w:val="1"/>
      <w:marLeft w:val="0"/>
      <w:marRight w:val="0"/>
      <w:marTop w:val="0"/>
      <w:marBottom w:val="0"/>
      <w:divBdr>
        <w:top w:val="none" w:sz="0" w:space="0" w:color="auto"/>
        <w:left w:val="none" w:sz="0" w:space="0" w:color="auto"/>
        <w:bottom w:val="none" w:sz="0" w:space="0" w:color="auto"/>
        <w:right w:val="none" w:sz="0" w:space="0" w:color="auto"/>
      </w:divBdr>
    </w:div>
    <w:div w:id="1602686574">
      <w:bodyDiv w:val="1"/>
      <w:marLeft w:val="0"/>
      <w:marRight w:val="0"/>
      <w:marTop w:val="0"/>
      <w:marBottom w:val="0"/>
      <w:divBdr>
        <w:top w:val="none" w:sz="0" w:space="0" w:color="auto"/>
        <w:left w:val="none" w:sz="0" w:space="0" w:color="auto"/>
        <w:bottom w:val="none" w:sz="0" w:space="0" w:color="auto"/>
        <w:right w:val="none" w:sz="0" w:space="0" w:color="auto"/>
      </w:divBdr>
    </w:div>
    <w:div w:id="1618758696">
      <w:bodyDiv w:val="1"/>
      <w:marLeft w:val="0"/>
      <w:marRight w:val="0"/>
      <w:marTop w:val="0"/>
      <w:marBottom w:val="0"/>
      <w:divBdr>
        <w:top w:val="none" w:sz="0" w:space="0" w:color="auto"/>
        <w:left w:val="none" w:sz="0" w:space="0" w:color="auto"/>
        <w:bottom w:val="none" w:sz="0" w:space="0" w:color="auto"/>
        <w:right w:val="none" w:sz="0" w:space="0" w:color="auto"/>
      </w:divBdr>
    </w:div>
    <w:div w:id="1650205444">
      <w:bodyDiv w:val="1"/>
      <w:marLeft w:val="0"/>
      <w:marRight w:val="0"/>
      <w:marTop w:val="0"/>
      <w:marBottom w:val="0"/>
      <w:divBdr>
        <w:top w:val="none" w:sz="0" w:space="0" w:color="auto"/>
        <w:left w:val="none" w:sz="0" w:space="0" w:color="auto"/>
        <w:bottom w:val="none" w:sz="0" w:space="0" w:color="auto"/>
        <w:right w:val="none" w:sz="0" w:space="0" w:color="auto"/>
      </w:divBdr>
    </w:div>
    <w:div w:id="1651639156">
      <w:bodyDiv w:val="1"/>
      <w:marLeft w:val="0"/>
      <w:marRight w:val="0"/>
      <w:marTop w:val="0"/>
      <w:marBottom w:val="0"/>
      <w:divBdr>
        <w:top w:val="none" w:sz="0" w:space="0" w:color="auto"/>
        <w:left w:val="none" w:sz="0" w:space="0" w:color="auto"/>
        <w:bottom w:val="none" w:sz="0" w:space="0" w:color="auto"/>
        <w:right w:val="none" w:sz="0" w:space="0" w:color="auto"/>
      </w:divBdr>
    </w:div>
    <w:div w:id="1654220059">
      <w:bodyDiv w:val="1"/>
      <w:marLeft w:val="0"/>
      <w:marRight w:val="0"/>
      <w:marTop w:val="0"/>
      <w:marBottom w:val="0"/>
      <w:divBdr>
        <w:top w:val="none" w:sz="0" w:space="0" w:color="auto"/>
        <w:left w:val="none" w:sz="0" w:space="0" w:color="auto"/>
        <w:bottom w:val="none" w:sz="0" w:space="0" w:color="auto"/>
        <w:right w:val="none" w:sz="0" w:space="0" w:color="auto"/>
      </w:divBdr>
    </w:div>
    <w:div w:id="1659311342">
      <w:bodyDiv w:val="1"/>
      <w:marLeft w:val="0"/>
      <w:marRight w:val="0"/>
      <w:marTop w:val="0"/>
      <w:marBottom w:val="0"/>
      <w:divBdr>
        <w:top w:val="none" w:sz="0" w:space="0" w:color="auto"/>
        <w:left w:val="none" w:sz="0" w:space="0" w:color="auto"/>
        <w:bottom w:val="none" w:sz="0" w:space="0" w:color="auto"/>
        <w:right w:val="none" w:sz="0" w:space="0" w:color="auto"/>
      </w:divBdr>
    </w:div>
    <w:div w:id="1708798754">
      <w:bodyDiv w:val="1"/>
      <w:marLeft w:val="0"/>
      <w:marRight w:val="0"/>
      <w:marTop w:val="0"/>
      <w:marBottom w:val="0"/>
      <w:divBdr>
        <w:top w:val="none" w:sz="0" w:space="0" w:color="auto"/>
        <w:left w:val="none" w:sz="0" w:space="0" w:color="auto"/>
        <w:bottom w:val="none" w:sz="0" w:space="0" w:color="auto"/>
        <w:right w:val="none" w:sz="0" w:space="0" w:color="auto"/>
      </w:divBdr>
    </w:div>
    <w:div w:id="1725908168">
      <w:bodyDiv w:val="1"/>
      <w:marLeft w:val="0"/>
      <w:marRight w:val="0"/>
      <w:marTop w:val="0"/>
      <w:marBottom w:val="0"/>
      <w:divBdr>
        <w:top w:val="none" w:sz="0" w:space="0" w:color="auto"/>
        <w:left w:val="none" w:sz="0" w:space="0" w:color="auto"/>
        <w:bottom w:val="none" w:sz="0" w:space="0" w:color="auto"/>
        <w:right w:val="none" w:sz="0" w:space="0" w:color="auto"/>
      </w:divBdr>
    </w:div>
    <w:div w:id="1730877118">
      <w:bodyDiv w:val="1"/>
      <w:marLeft w:val="0"/>
      <w:marRight w:val="0"/>
      <w:marTop w:val="0"/>
      <w:marBottom w:val="0"/>
      <w:divBdr>
        <w:top w:val="none" w:sz="0" w:space="0" w:color="auto"/>
        <w:left w:val="none" w:sz="0" w:space="0" w:color="auto"/>
        <w:bottom w:val="none" w:sz="0" w:space="0" w:color="auto"/>
        <w:right w:val="none" w:sz="0" w:space="0" w:color="auto"/>
      </w:divBdr>
    </w:div>
    <w:div w:id="1738093690">
      <w:bodyDiv w:val="1"/>
      <w:marLeft w:val="0"/>
      <w:marRight w:val="0"/>
      <w:marTop w:val="0"/>
      <w:marBottom w:val="0"/>
      <w:divBdr>
        <w:top w:val="none" w:sz="0" w:space="0" w:color="auto"/>
        <w:left w:val="none" w:sz="0" w:space="0" w:color="auto"/>
        <w:bottom w:val="none" w:sz="0" w:space="0" w:color="auto"/>
        <w:right w:val="none" w:sz="0" w:space="0" w:color="auto"/>
      </w:divBdr>
    </w:div>
    <w:div w:id="1742095443">
      <w:bodyDiv w:val="1"/>
      <w:marLeft w:val="0"/>
      <w:marRight w:val="0"/>
      <w:marTop w:val="0"/>
      <w:marBottom w:val="0"/>
      <w:divBdr>
        <w:top w:val="none" w:sz="0" w:space="0" w:color="auto"/>
        <w:left w:val="none" w:sz="0" w:space="0" w:color="auto"/>
        <w:bottom w:val="none" w:sz="0" w:space="0" w:color="auto"/>
        <w:right w:val="none" w:sz="0" w:space="0" w:color="auto"/>
      </w:divBdr>
    </w:div>
    <w:div w:id="1745108726">
      <w:bodyDiv w:val="1"/>
      <w:marLeft w:val="0"/>
      <w:marRight w:val="0"/>
      <w:marTop w:val="0"/>
      <w:marBottom w:val="0"/>
      <w:divBdr>
        <w:top w:val="none" w:sz="0" w:space="0" w:color="auto"/>
        <w:left w:val="none" w:sz="0" w:space="0" w:color="auto"/>
        <w:bottom w:val="none" w:sz="0" w:space="0" w:color="auto"/>
        <w:right w:val="none" w:sz="0" w:space="0" w:color="auto"/>
      </w:divBdr>
    </w:div>
    <w:div w:id="1752701557">
      <w:bodyDiv w:val="1"/>
      <w:marLeft w:val="0"/>
      <w:marRight w:val="0"/>
      <w:marTop w:val="0"/>
      <w:marBottom w:val="0"/>
      <w:divBdr>
        <w:top w:val="none" w:sz="0" w:space="0" w:color="auto"/>
        <w:left w:val="none" w:sz="0" w:space="0" w:color="auto"/>
        <w:bottom w:val="none" w:sz="0" w:space="0" w:color="auto"/>
        <w:right w:val="none" w:sz="0" w:space="0" w:color="auto"/>
      </w:divBdr>
    </w:div>
    <w:div w:id="1754738827">
      <w:bodyDiv w:val="1"/>
      <w:marLeft w:val="0"/>
      <w:marRight w:val="0"/>
      <w:marTop w:val="0"/>
      <w:marBottom w:val="0"/>
      <w:divBdr>
        <w:top w:val="none" w:sz="0" w:space="0" w:color="auto"/>
        <w:left w:val="none" w:sz="0" w:space="0" w:color="auto"/>
        <w:bottom w:val="none" w:sz="0" w:space="0" w:color="auto"/>
        <w:right w:val="none" w:sz="0" w:space="0" w:color="auto"/>
      </w:divBdr>
    </w:div>
    <w:div w:id="1769810572">
      <w:bodyDiv w:val="1"/>
      <w:marLeft w:val="0"/>
      <w:marRight w:val="0"/>
      <w:marTop w:val="0"/>
      <w:marBottom w:val="0"/>
      <w:divBdr>
        <w:top w:val="none" w:sz="0" w:space="0" w:color="auto"/>
        <w:left w:val="none" w:sz="0" w:space="0" w:color="auto"/>
        <w:bottom w:val="none" w:sz="0" w:space="0" w:color="auto"/>
        <w:right w:val="none" w:sz="0" w:space="0" w:color="auto"/>
      </w:divBdr>
    </w:div>
    <w:div w:id="1779831713">
      <w:bodyDiv w:val="1"/>
      <w:marLeft w:val="0"/>
      <w:marRight w:val="0"/>
      <w:marTop w:val="0"/>
      <w:marBottom w:val="0"/>
      <w:divBdr>
        <w:top w:val="none" w:sz="0" w:space="0" w:color="auto"/>
        <w:left w:val="none" w:sz="0" w:space="0" w:color="auto"/>
        <w:bottom w:val="none" w:sz="0" w:space="0" w:color="auto"/>
        <w:right w:val="none" w:sz="0" w:space="0" w:color="auto"/>
      </w:divBdr>
    </w:div>
    <w:div w:id="1786577552">
      <w:bodyDiv w:val="1"/>
      <w:marLeft w:val="0"/>
      <w:marRight w:val="0"/>
      <w:marTop w:val="0"/>
      <w:marBottom w:val="0"/>
      <w:divBdr>
        <w:top w:val="none" w:sz="0" w:space="0" w:color="auto"/>
        <w:left w:val="none" w:sz="0" w:space="0" w:color="auto"/>
        <w:bottom w:val="none" w:sz="0" w:space="0" w:color="auto"/>
        <w:right w:val="none" w:sz="0" w:space="0" w:color="auto"/>
      </w:divBdr>
    </w:div>
    <w:div w:id="1787429925">
      <w:bodyDiv w:val="1"/>
      <w:marLeft w:val="0"/>
      <w:marRight w:val="0"/>
      <w:marTop w:val="0"/>
      <w:marBottom w:val="0"/>
      <w:divBdr>
        <w:top w:val="none" w:sz="0" w:space="0" w:color="auto"/>
        <w:left w:val="none" w:sz="0" w:space="0" w:color="auto"/>
        <w:bottom w:val="none" w:sz="0" w:space="0" w:color="auto"/>
        <w:right w:val="none" w:sz="0" w:space="0" w:color="auto"/>
      </w:divBdr>
    </w:div>
    <w:div w:id="1796866280">
      <w:bodyDiv w:val="1"/>
      <w:marLeft w:val="0"/>
      <w:marRight w:val="0"/>
      <w:marTop w:val="0"/>
      <w:marBottom w:val="0"/>
      <w:divBdr>
        <w:top w:val="none" w:sz="0" w:space="0" w:color="auto"/>
        <w:left w:val="none" w:sz="0" w:space="0" w:color="auto"/>
        <w:bottom w:val="none" w:sz="0" w:space="0" w:color="auto"/>
        <w:right w:val="none" w:sz="0" w:space="0" w:color="auto"/>
      </w:divBdr>
    </w:div>
    <w:div w:id="1799375950">
      <w:bodyDiv w:val="1"/>
      <w:marLeft w:val="0"/>
      <w:marRight w:val="0"/>
      <w:marTop w:val="0"/>
      <w:marBottom w:val="0"/>
      <w:divBdr>
        <w:top w:val="none" w:sz="0" w:space="0" w:color="auto"/>
        <w:left w:val="none" w:sz="0" w:space="0" w:color="auto"/>
        <w:bottom w:val="none" w:sz="0" w:space="0" w:color="auto"/>
        <w:right w:val="none" w:sz="0" w:space="0" w:color="auto"/>
      </w:divBdr>
    </w:div>
    <w:div w:id="1819376902">
      <w:bodyDiv w:val="1"/>
      <w:marLeft w:val="0"/>
      <w:marRight w:val="0"/>
      <w:marTop w:val="0"/>
      <w:marBottom w:val="0"/>
      <w:divBdr>
        <w:top w:val="none" w:sz="0" w:space="0" w:color="auto"/>
        <w:left w:val="none" w:sz="0" w:space="0" w:color="auto"/>
        <w:bottom w:val="none" w:sz="0" w:space="0" w:color="auto"/>
        <w:right w:val="none" w:sz="0" w:space="0" w:color="auto"/>
      </w:divBdr>
    </w:div>
    <w:div w:id="1830361469">
      <w:bodyDiv w:val="1"/>
      <w:marLeft w:val="0"/>
      <w:marRight w:val="0"/>
      <w:marTop w:val="0"/>
      <w:marBottom w:val="0"/>
      <w:divBdr>
        <w:top w:val="none" w:sz="0" w:space="0" w:color="auto"/>
        <w:left w:val="none" w:sz="0" w:space="0" w:color="auto"/>
        <w:bottom w:val="none" w:sz="0" w:space="0" w:color="auto"/>
        <w:right w:val="none" w:sz="0" w:space="0" w:color="auto"/>
      </w:divBdr>
    </w:div>
    <w:div w:id="1836607319">
      <w:bodyDiv w:val="1"/>
      <w:marLeft w:val="0"/>
      <w:marRight w:val="0"/>
      <w:marTop w:val="0"/>
      <w:marBottom w:val="0"/>
      <w:divBdr>
        <w:top w:val="none" w:sz="0" w:space="0" w:color="auto"/>
        <w:left w:val="none" w:sz="0" w:space="0" w:color="auto"/>
        <w:bottom w:val="none" w:sz="0" w:space="0" w:color="auto"/>
        <w:right w:val="none" w:sz="0" w:space="0" w:color="auto"/>
      </w:divBdr>
    </w:div>
    <w:div w:id="1840269843">
      <w:bodyDiv w:val="1"/>
      <w:marLeft w:val="0"/>
      <w:marRight w:val="0"/>
      <w:marTop w:val="0"/>
      <w:marBottom w:val="0"/>
      <w:divBdr>
        <w:top w:val="none" w:sz="0" w:space="0" w:color="auto"/>
        <w:left w:val="none" w:sz="0" w:space="0" w:color="auto"/>
        <w:bottom w:val="none" w:sz="0" w:space="0" w:color="auto"/>
        <w:right w:val="none" w:sz="0" w:space="0" w:color="auto"/>
      </w:divBdr>
    </w:div>
    <w:div w:id="1847479370">
      <w:bodyDiv w:val="1"/>
      <w:marLeft w:val="0"/>
      <w:marRight w:val="0"/>
      <w:marTop w:val="0"/>
      <w:marBottom w:val="0"/>
      <w:divBdr>
        <w:top w:val="none" w:sz="0" w:space="0" w:color="auto"/>
        <w:left w:val="none" w:sz="0" w:space="0" w:color="auto"/>
        <w:bottom w:val="none" w:sz="0" w:space="0" w:color="auto"/>
        <w:right w:val="none" w:sz="0" w:space="0" w:color="auto"/>
      </w:divBdr>
    </w:div>
    <w:div w:id="1848054027">
      <w:bodyDiv w:val="1"/>
      <w:marLeft w:val="0"/>
      <w:marRight w:val="0"/>
      <w:marTop w:val="0"/>
      <w:marBottom w:val="0"/>
      <w:divBdr>
        <w:top w:val="none" w:sz="0" w:space="0" w:color="auto"/>
        <w:left w:val="none" w:sz="0" w:space="0" w:color="auto"/>
        <w:bottom w:val="none" w:sz="0" w:space="0" w:color="auto"/>
        <w:right w:val="none" w:sz="0" w:space="0" w:color="auto"/>
      </w:divBdr>
    </w:div>
    <w:div w:id="1858536927">
      <w:bodyDiv w:val="1"/>
      <w:marLeft w:val="0"/>
      <w:marRight w:val="0"/>
      <w:marTop w:val="0"/>
      <w:marBottom w:val="0"/>
      <w:divBdr>
        <w:top w:val="none" w:sz="0" w:space="0" w:color="auto"/>
        <w:left w:val="none" w:sz="0" w:space="0" w:color="auto"/>
        <w:bottom w:val="none" w:sz="0" w:space="0" w:color="auto"/>
        <w:right w:val="none" w:sz="0" w:space="0" w:color="auto"/>
      </w:divBdr>
    </w:div>
    <w:div w:id="1882667264">
      <w:bodyDiv w:val="1"/>
      <w:marLeft w:val="0"/>
      <w:marRight w:val="0"/>
      <w:marTop w:val="0"/>
      <w:marBottom w:val="0"/>
      <w:divBdr>
        <w:top w:val="none" w:sz="0" w:space="0" w:color="auto"/>
        <w:left w:val="none" w:sz="0" w:space="0" w:color="auto"/>
        <w:bottom w:val="none" w:sz="0" w:space="0" w:color="auto"/>
        <w:right w:val="none" w:sz="0" w:space="0" w:color="auto"/>
      </w:divBdr>
    </w:div>
    <w:div w:id="1895189863">
      <w:bodyDiv w:val="1"/>
      <w:marLeft w:val="0"/>
      <w:marRight w:val="0"/>
      <w:marTop w:val="0"/>
      <w:marBottom w:val="0"/>
      <w:divBdr>
        <w:top w:val="none" w:sz="0" w:space="0" w:color="auto"/>
        <w:left w:val="none" w:sz="0" w:space="0" w:color="auto"/>
        <w:bottom w:val="none" w:sz="0" w:space="0" w:color="auto"/>
        <w:right w:val="none" w:sz="0" w:space="0" w:color="auto"/>
      </w:divBdr>
    </w:div>
    <w:div w:id="1909729381">
      <w:bodyDiv w:val="1"/>
      <w:marLeft w:val="0"/>
      <w:marRight w:val="0"/>
      <w:marTop w:val="0"/>
      <w:marBottom w:val="0"/>
      <w:divBdr>
        <w:top w:val="none" w:sz="0" w:space="0" w:color="auto"/>
        <w:left w:val="none" w:sz="0" w:space="0" w:color="auto"/>
        <w:bottom w:val="none" w:sz="0" w:space="0" w:color="auto"/>
        <w:right w:val="none" w:sz="0" w:space="0" w:color="auto"/>
      </w:divBdr>
    </w:div>
    <w:div w:id="1915967033">
      <w:bodyDiv w:val="1"/>
      <w:marLeft w:val="0"/>
      <w:marRight w:val="0"/>
      <w:marTop w:val="0"/>
      <w:marBottom w:val="0"/>
      <w:divBdr>
        <w:top w:val="none" w:sz="0" w:space="0" w:color="auto"/>
        <w:left w:val="none" w:sz="0" w:space="0" w:color="auto"/>
        <w:bottom w:val="none" w:sz="0" w:space="0" w:color="auto"/>
        <w:right w:val="none" w:sz="0" w:space="0" w:color="auto"/>
      </w:divBdr>
    </w:div>
    <w:div w:id="1932615006">
      <w:bodyDiv w:val="1"/>
      <w:marLeft w:val="0"/>
      <w:marRight w:val="0"/>
      <w:marTop w:val="0"/>
      <w:marBottom w:val="0"/>
      <w:divBdr>
        <w:top w:val="none" w:sz="0" w:space="0" w:color="auto"/>
        <w:left w:val="none" w:sz="0" w:space="0" w:color="auto"/>
        <w:bottom w:val="none" w:sz="0" w:space="0" w:color="auto"/>
        <w:right w:val="none" w:sz="0" w:space="0" w:color="auto"/>
      </w:divBdr>
    </w:div>
    <w:div w:id="1944337189">
      <w:bodyDiv w:val="1"/>
      <w:marLeft w:val="0"/>
      <w:marRight w:val="0"/>
      <w:marTop w:val="0"/>
      <w:marBottom w:val="0"/>
      <w:divBdr>
        <w:top w:val="none" w:sz="0" w:space="0" w:color="auto"/>
        <w:left w:val="none" w:sz="0" w:space="0" w:color="auto"/>
        <w:bottom w:val="none" w:sz="0" w:space="0" w:color="auto"/>
        <w:right w:val="none" w:sz="0" w:space="0" w:color="auto"/>
      </w:divBdr>
    </w:div>
    <w:div w:id="1949776027">
      <w:bodyDiv w:val="1"/>
      <w:marLeft w:val="0"/>
      <w:marRight w:val="0"/>
      <w:marTop w:val="0"/>
      <w:marBottom w:val="0"/>
      <w:divBdr>
        <w:top w:val="none" w:sz="0" w:space="0" w:color="auto"/>
        <w:left w:val="none" w:sz="0" w:space="0" w:color="auto"/>
        <w:bottom w:val="none" w:sz="0" w:space="0" w:color="auto"/>
        <w:right w:val="none" w:sz="0" w:space="0" w:color="auto"/>
      </w:divBdr>
    </w:div>
    <w:div w:id="1953705250">
      <w:bodyDiv w:val="1"/>
      <w:marLeft w:val="0"/>
      <w:marRight w:val="0"/>
      <w:marTop w:val="0"/>
      <w:marBottom w:val="0"/>
      <w:divBdr>
        <w:top w:val="none" w:sz="0" w:space="0" w:color="auto"/>
        <w:left w:val="none" w:sz="0" w:space="0" w:color="auto"/>
        <w:bottom w:val="none" w:sz="0" w:space="0" w:color="auto"/>
        <w:right w:val="none" w:sz="0" w:space="0" w:color="auto"/>
      </w:divBdr>
    </w:div>
    <w:div w:id="1970864152">
      <w:bodyDiv w:val="1"/>
      <w:marLeft w:val="0"/>
      <w:marRight w:val="0"/>
      <w:marTop w:val="0"/>
      <w:marBottom w:val="0"/>
      <w:divBdr>
        <w:top w:val="none" w:sz="0" w:space="0" w:color="auto"/>
        <w:left w:val="none" w:sz="0" w:space="0" w:color="auto"/>
        <w:bottom w:val="none" w:sz="0" w:space="0" w:color="auto"/>
        <w:right w:val="none" w:sz="0" w:space="0" w:color="auto"/>
      </w:divBdr>
    </w:div>
    <w:div w:id="1990477222">
      <w:bodyDiv w:val="1"/>
      <w:marLeft w:val="0"/>
      <w:marRight w:val="0"/>
      <w:marTop w:val="0"/>
      <w:marBottom w:val="0"/>
      <w:divBdr>
        <w:top w:val="none" w:sz="0" w:space="0" w:color="auto"/>
        <w:left w:val="none" w:sz="0" w:space="0" w:color="auto"/>
        <w:bottom w:val="none" w:sz="0" w:space="0" w:color="auto"/>
        <w:right w:val="none" w:sz="0" w:space="0" w:color="auto"/>
      </w:divBdr>
    </w:div>
    <w:div w:id="1994991285">
      <w:bodyDiv w:val="1"/>
      <w:marLeft w:val="0"/>
      <w:marRight w:val="0"/>
      <w:marTop w:val="0"/>
      <w:marBottom w:val="0"/>
      <w:divBdr>
        <w:top w:val="none" w:sz="0" w:space="0" w:color="auto"/>
        <w:left w:val="none" w:sz="0" w:space="0" w:color="auto"/>
        <w:bottom w:val="none" w:sz="0" w:space="0" w:color="auto"/>
        <w:right w:val="none" w:sz="0" w:space="0" w:color="auto"/>
      </w:divBdr>
    </w:div>
    <w:div w:id="2003386187">
      <w:bodyDiv w:val="1"/>
      <w:marLeft w:val="0"/>
      <w:marRight w:val="0"/>
      <w:marTop w:val="0"/>
      <w:marBottom w:val="0"/>
      <w:divBdr>
        <w:top w:val="none" w:sz="0" w:space="0" w:color="auto"/>
        <w:left w:val="none" w:sz="0" w:space="0" w:color="auto"/>
        <w:bottom w:val="none" w:sz="0" w:space="0" w:color="auto"/>
        <w:right w:val="none" w:sz="0" w:space="0" w:color="auto"/>
      </w:divBdr>
    </w:div>
    <w:div w:id="2004697844">
      <w:bodyDiv w:val="1"/>
      <w:marLeft w:val="0"/>
      <w:marRight w:val="0"/>
      <w:marTop w:val="0"/>
      <w:marBottom w:val="0"/>
      <w:divBdr>
        <w:top w:val="none" w:sz="0" w:space="0" w:color="auto"/>
        <w:left w:val="none" w:sz="0" w:space="0" w:color="auto"/>
        <w:bottom w:val="none" w:sz="0" w:space="0" w:color="auto"/>
        <w:right w:val="none" w:sz="0" w:space="0" w:color="auto"/>
      </w:divBdr>
    </w:div>
    <w:div w:id="2008703184">
      <w:bodyDiv w:val="1"/>
      <w:marLeft w:val="0"/>
      <w:marRight w:val="0"/>
      <w:marTop w:val="0"/>
      <w:marBottom w:val="0"/>
      <w:divBdr>
        <w:top w:val="none" w:sz="0" w:space="0" w:color="auto"/>
        <w:left w:val="none" w:sz="0" w:space="0" w:color="auto"/>
        <w:bottom w:val="none" w:sz="0" w:space="0" w:color="auto"/>
        <w:right w:val="none" w:sz="0" w:space="0" w:color="auto"/>
      </w:divBdr>
    </w:div>
    <w:div w:id="2012830855">
      <w:bodyDiv w:val="1"/>
      <w:marLeft w:val="0"/>
      <w:marRight w:val="0"/>
      <w:marTop w:val="0"/>
      <w:marBottom w:val="0"/>
      <w:divBdr>
        <w:top w:val="none" w:sz="0" w:space="0" w:color="auto"/>
        <w:left w:val="none" w:sz="0" w:space="0" w:color="auto"/>
        <w:bottom w:val="none" w:sz="0" w:space="0" w:color="auto"/>
        <w:right w:val="none" w:sz="0" w:space="0" w:color="auto"/>
      </w:divBdr>
    </w:div>
    <w:div w:id="2027630143">
      <w:bodyDiv w:val="1"/>
      <w:marLeft w:val="0"/>
      <w:marRight w:val="0"/>
      <w:marTop w:val="0"/>
      <w:marBottom w:val="0"/>
      <w:divBdr>
        <w:top w:val="none" w:sz="0" w:space="0" w:color="auto"/>
        <w:left w:val="none" w:sz="0" w:space="0" w:color="auto"/>
        <w:bottom w:val="none" w:sz="0" w:space="0" w:color="auto"/>
        <w:right w:val="none" w:sz="0" w:space="0" w:color="auto"/>
      </w:divBdr>
    </w:div>
    <w:div w:id="2028095383">
      <w:bodyDiv w:val="1"/>
      <w:marLeft w:val="0"/>
      <w:marRight w:val="0"/>
      <w:marTop w:val="0"/>
      <w:marBottom w:val="0"/>
      <w:divBdr>
        <w:top w:val="none" w:sz="0" w:space="0" w:color="auto"/>
        <w:left w:val="none" w:sz="0" w:space="0" w:color="auto"/>
        <w:bottom w:val="none" w:sz="0" w:space="0" w:color="auto"/>
        <w:right w:val="none" w:sz="0" w:space="0" w:color="auto"/>
      </w:divBdr>
    </w:div>
    <w:div w:id="2033335555">
      <w:bodyDiv w:val="1"/>
      <w:marLeft w:val="0"/>
      <w:marRight w:val="0"/>
      <w:marTop w:val="0"/>
      <w:marBottom w:val="0"/>
      <w:divBdr>
        <w:top w:val="none" w:sz="0" w:space="0" w:color="auto"/>
        <w:left w:val="none" w:sz="0" w:space="0" w:color="auto"/>
        <w:bottom w:val="none" w:sz="0" w:space="0" w:color="auto"/>
        <w:right w:val="none" w:sz="0" w:space="0" w:color="auto"/>
      </w:divBdr>
    </w:div>
    <w:div w:id="2033411986">
      <w:bodyDiv w:val="1"/>
      <w:marLeft w:val="0"/>
      <w:marRight w:val="0"/>
      <w:marTop w:val="0"/>
      <w:marBottom w:val="0"/>
      <w:divBdr>
        <w:top w:val="none" w:sz="0" w:space="0" w:color="auto"/>
        <w:left w:val="none" w:sz="0" w:space="0" w:color="auto"/>
        <w:bottom w:val="none" w:sz="0" w:space="0" w:color="auto"/>
        <w:right w:val="none" w:sz="0" w:space="0" w:color="auto"/>
      </w:divBdr>
    </w:div>
    <w:div w:id="2035768640">
      <w:bodyDiv w:val="1"/>
      <w:marLeft w:val="0"/>
      <w:marRight w:val="0"/>
      <w:marTop w:val="0"/>
      <w:marBottom w:val="0"/>
      <w:divBdr>
        <w:top w:val="none" w:sz="0" w:space="0" w:color="auto"/>
        <w:left w:val="none" w:sz="0" w:space="0" w:color="auto"/>
        <w:bottom w:val="none" w:sz="0" w:space="0" w:color="auto"/>
        <w:right w:val="none" w:sz="0" w:space="0" w:color="auto"/>
      </w:divBdr>
    </w:div>
    <w:div w:id="2061980047">
      <w:bodyDiv w:val="1"/>
      <w:marLeft w:val="0"/>
      <w:marRight w:val="0"/>
      <w:marTop w:val="0"/>
      <w:marBottom w:val="0"/>
      <w:divBdr>
        <w:top w:val="none" w:sz="0" w:space="0" w:color="auto"/>
        <w:left w:val="none" w:sz="0" w:space="0" w:color="auto"/>
        <w:bottom w:val="none" w:sz="0" w:space="0" w:color="auto"/>
        <w:right w:val="none" w:sz="0" w:space="0" w:color="auto"/>
      </w:divBdr>
    </w:div>
    <w:div w:id="2073699533">
      <w:bodyDiv w:val="1"/>
      <w:marLeft w:val="0"/>
      <w:marRight w:val="0"/>
      <w:marTop w:val="0"/>
      <w:marBottom w:val="0"/>
      <w:divBdr>
        <w:top w:val="none" w:sz="0" w:space="0" w:color="auto"/>
        <w:left w:val="none" w:sz="0" w:space="0" w:color="auto"/>
        <w:bottom w:val="none" w:sz="0" w:space="0" w:color="auto"/>
        <w:right w:val="none" w:sz="0" w:space="0" w:color="auto"/>
      </w:divBdr>
    </w:div>
    <w:div w:id="2078671410">
      <w:bodyDiv w:val="1"/>
      <w:marLeft w:val="0"/>
      <w:marRight w:val="0"/>
      <w:marTop w:val="0"/>
      <w:marBottom w:val="0"/>
      <w:divBdr>
        <w:top w:val="none" w:sz="0" w:space="0" w:color="auto"/>
        <w:left w:val="none" w:sz="0" w:space="0" w:color="auto"/>
        <w:bottom w:val="none" w:sz="0" w:space="0" w:color="auto"/>
        <w:right w:val="none" w:sz="0" w:space="0" w:color="auto"/>
      </w:divBdr>
    </w:div>
    <w:div w:id="2082019514">
      <w:bodyDiv w:val="1"/>
      <w:marLeft w:val="0"/>
      <w:marRight w:val="0"/>
      <w:marTop w:val="0"/>
      <w:marBottom w:val="0"/>
      <w:divBdr>
        <w:top w:val="none" w:sz="0" w:space="0" w:color="auto"/>
        <w:left w:val="none" w:sz="0" w:space="0" w:color="auto"/>
        <w:bottom w:val="none" w:sz="0" w:space="0" w:color="auto"/>
        <w:right w:val="none" w:sz="0" w:space="0" w:color="auto"/>
      </w:divBdr>
    </w:div>
    <w:div w:id="2106883491">
      <w:bodyDiv w:val="1"/>
      <w:marLeft w:val="0"/>
      <w:marRight w:val="0"/>
      <w:marTop w:val="0"/>
      <w:marBottom w:val="0"/>
      <w:divBdr>
        <w:top w:val="none" w:sz="0" w:space="0" w:color="auto"/>
        <w:left w:val="none" w:sz="0" w:space="0" w:color="auto"/>
        <w:bottom w:val="none" w:sz="0" w:space="0" w:color="auto"/>
        <w:right w:val="none" w:sz="0" w:space="0" w:color="auto"/>
      </w:divBdr>
    </w:div>
    <w:div w:id="2116052509">
      <w:bodyDiv w:val="1"/>
      <w:marLeft w:val="0"/>
      <w:marRight w:val="0"/>
      <w:marTop w:val="0"/>
      <w:marBottom w:val="0"/>
      <w:divBdr>
        <w:top w:val="none" w:sz="0" w:space="0" w:color="auto"/>
        <w:left w:val="none" w:sz="0" w:space="0" w:color="auto"/>
        <w:bottom w:val="none" w:sz="0" w:space="0" w:color="auto"/>
        <w:right w:val="none" w:sz="0" w:space="0" w:color="auto"/>
      </w:divBdr>
    </w:div>
    <w:div w:id="2119400607">
      <w:bodyDiv w:val="1"/>
      <w:marLeft w:val="0"/>
      <w:marRight w:val="0"/>
      <w:marTop w:val="0"/>
      <w:marBottom w:val="0"/>
      <w:divBdr>
        <w:top w:val="none" w:sz="0" w:space="0" w:color="auto"/>
        <w:left w:val="none" w:sz="0" w:space="0" w:color="auto"/>
        <w:bottom w:val="none" w:sz="0" w:space="0" w:color="auto"/>
        <w:right w:val="none" w:sz="0" w:space="0" w:color="auto"/>
      </w:divBdr>
    </w:div>
    <w:div w:id="2124113291">
      <w:bodyDiv w:val="1"/>
      <w:marLeft w:val="0"/>
      <w:marRight w:val="0"/>
      <w:marTop w:val="0"/>
      <w:marBottom w:val="0"/>
      <w:divBdr>
        <w:top w:val="none" w:sz="0" w:space="0" w:color="auto"/>
        <w:left w:val="none" w:sz="0" w:space="0" w:color="auto"/>
        <w:bottom w:val="none" w:sz="0" w:space="0" w:color="auto"/>
        <w:right w:val="none" w:sz="0" w:space="0" w:color="auto"/>
      </w:divBdr>
    </w:div>
    <w:div w:id="2125684302">
      <w:bodyDiv w:val="1"/>
      <w:marLeft w:val="0"/>
      <w:marRight w:val="0"/>
      <w:marTop w:val="0"/>
      <w:marBottom w:val="0"/>
      <w:divBdr>
        <w:top w:val="none" w:sz="0" w:space="0" w:color="auto"/>
        <w:left w:val="none" w:sz="0" w:space="0" w:color="auto"/>
        <w:bottom w:val="none" w:sz="0" w:space="0" w:color="auto"/>
        <w:right w:val="none" w:sz="0" w:space="0" w:color="auto"/>
      </w:divBdr>
    </w:div>
    <w:div w:id="214056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Kry162</b:Tag>
    <b:SourceType>BookSection</b:SourceType>
    <b:Guid>{7694635E-F28F-4E06-8299-E2D55AF8816F}</b:Guid>
    <b:Title>Resourcing and Talent Plannig</b:Title>
    <b:Year>2016</b:Year>
    <b:Publisher>CIPD</b:Publisher>
    <b:City>London</b:City>
    <b:Pages>51-78</b:Pages>
    <b:Author>
      <b:Author>
        <b:NameList>
          <b:Person>
            <b:Last>Wilkinson</b:Last>
            <b:First>Krystal</b:First>
          </b:Person>
          <b:Person>
            <b:Last>Taylor</b:Last>
            <b:First>Stephen</b:First>
          </b:Person>
        </b:NameList>
      </b:Author>
      <b:BookAuthor>
        <b:NameList>
          <b:Person>
            <b:Last>Taylor</b:Last>
            <b:First>Stephen</b:First>
          </b:Person>
          <b:Person>
            <b:Last>Woodhams</b:Last>
            <b:First>Carol</b:First>
          </b:Person>
        </b:NameList>
      </b:BookAuthor>
    </b:Author>
    <b:BookTitle>Human Resource Management: People and Organisations</b:BookTitle>
    <b:RefOrder>1</b:RefOrder>
  </b:Source>
  <b:Source>
    <b:Tag>Mic093</b:Tag>
    <b:SourceType>BookSection</b:SourceType>
    <b:Guid>{EE9468EE-F53A-4880-8FED-D22D73586EC2}</b:Guid>
    <b:Title>Human Resource Planning</b:Title>
    <b:Year>2009</b:Year>
    <b:City>London</b:City>
    <b:Publisher>Kogan Page</b:Publisher>
    <b:Author>
      <b:Author>
        <b:Corporate>Michael Armstrong</b:Corporate>
      </b:Author>
      <b:BookAuthor>
        <b:NameList>
          <b:Person>
            <b:Last>Armstrong</b:Last>
            <b:First>Michael</b:First>
          </b:Person>
        </b:NameList>
      </b:BookAuthor>
    </b:Author>
    <b:BookTitle>Armstrong's Handbook of Human Resource Management Practice (11th Ed)</b:BookTitle>
    <b:Pages>485-494</b:Pages>
    <b:RefOrder>23</b:RefOrder>
  </b:Source>
  <b:Source>
    <b:Tag>Off20</b:Tag>
    <b:SourceType>InternetSite</b:SourceType>
    <b:Guid>{B8A0FD48-F726-4512-B868-B5129CC8B6BA}</b:Guid>
    <b:Title>Labour Market Overview, UK: February 2020</b:Title>
    <b:Year>2020</b:Year>
    <b:Month>February</b:Month>
    <b:Day>18</b:Day>
    <b:Author>
      <b:Author>
        <b:Corporate>Office for National Statistics</b:Corporate>
      </b:Author>
    </b:Author>
    <b:InternetSiteTitle>Office for National Statistics</b:InternetSiteTitle>
    <b:URL>https://www.ons.gov.uk/employmentandlabourmarket/peopleinwork/employmentandemployeetypes/bulletins/uklabourmarket/february2020</b:URL>
    <b:RefOrder>24</b:RefOrder>
  </b:Source>
  <b:Source>
    <b:Tag>EUR19</b:Tag>
    <b:SourceType>InternetSite</b:SourceType>
    <b:Guid>{CF441717-084C-4DEE-80CE-C2AA2E6B0E03}</b:Guid>
    <b:Author>
      <b:Author>
        <b:NameList>
          <b:Person>
            <b:Last>EURES</b:Last>
          </b:Person>
        </b:NameList>
      </b:Author>
    </b:Author>
    <b:Title>Germany - National Level</b:Title>
    <b:InternetSiteTitle>EURES The European Job Mobility Portal</b:InternetSiteTitle>
    <b:Year>2019</b:Year>
    <b:Month>February</b:Month>
    <b:URL>https://ec.europa.eu/eures/main.jsp?catId=2641&amp;countryId=DE&amp;acro=lmi&amp;lang=en</b:URL>
    <b:RefOrder>25</b:RefOrder>
  </b:Source>
  <b:Source>
    <b:Tag>DMnd</b:Tag>
    <b:SourceType>InternetSite</b:SourceType>
    <b:Guid>{C319E0C6-CD73-4EE7-90FF-B87A83649656}</b:Guid>
    <b:Author>
      <b:Author>
        <b:NameList>
          <b:Person>
            <b:Last>DM</b:Last>
          </b:Person>
        </b:NameList>
      </b:Author>
    </b:Author>
    <b:Title>Female employment in Germany way above EU average</b:Title>
    <b:InternetSiteTitle>DM Business</b:InternetSiteTitle>
    <b:Year>n.d.</b:Year>
    <b:URL>https://www.dw.com/en/female-employment-in-germany-way-above-eu-average/a-17481377</b:URL>
    <b:RefOrder>2</b:RefOrder>
  </b:Source>
  <b:Source>
    <b:Tag>CIP1911</b:Tag>
    <b:SourceType>InternetSite</b:SourceType>
    <b:Guid>{9403C87C-B05D-42FB-8DA3-F251D7305542}</b:Guid>
    <b:Author>
      <b:Author>
        <b:Corporate>CIPD</b:Corporate>
      </b:Author>
    </b:Author>
    <b:Title>Workforce Planning Worksheet</b:Title>
    <b:InternetSiteTitle>CIPD</b:InternetSiteTitle>
    <b:Year>2019</b:Year>
    <b:Month>May</b:Month>
    <b:Day>20</b:Day>
    <b:URL>https://www.cipd.co.uk/knowledge/strategy/organisational-development/workforce-planning-factsheet</b:URL>
    <b:RefOrder>3</b:RefOrder>
  </b:Source>
  <b:Source>
    <b:Tag>CIP20</b:Tag>
    <b:SourceType>InternetSite</b:SourceType>
    <b:Guid>{C1B7ED83-AB0B-45BE-A840-2ACE7F477618}</b:Guid>
    <b:Author>
      <b:Author>
        <b:Corporate>CIPD</b:Corporate>
      </b:Author>
    </b:Author>
    <b:Title>Talent Management Factsheet</b:Title>
    <b:InternetSiteTitle>SIPD</b:InternetSiteTitle>
    <b:Year>2020</b:Year>
    <b:Month>January </b:Month>
    <b:Day>23</b:Day>
    <b:URL>https://www.cipd.co.uk/knowledge/strategy/resourcing/talent-factsheet</b:URL>
    <b:RefOrder>4</b:RefOrder>
  </b:Source>
  <b:Source>
    <b:Tag>WED16</b:Tag>
    <b:SourceType>InternetSite</b:SourceType>
    <b:Guid>{F1337F97-F348-48FC-B516-506D5F88A737}</b:Guid>
    <b:Author>
      <b:Author>
        <b:NameList>
          <b:Person>
            <b:Last>WEDS</b:Last>
          </b:Person>
        </b:NameList>
      </b:Author>
    </b:Author>
    <b:Title>Skills Mix Analyser Tool - User Guidance Notes</b:Title>
    <b:InternetSiteTitle>WEDS</b:InternetSiteTitle>
    <b:Year>2016</b:Year>
    <b:Month>August</b:Month>
    <b:URL>https://weds.heiw.wales/assets/Uploads/777bcd4d46/Skill-Mix-Analyser-User-guide-updated-August-2016.pdf</b:URL>
    <b:RefOrder>7</b:RefOrder>
  </b:Source>
  <b:Source>
    <b:Tag>WED161</b:Tag>
    <b:SourceType>InternetSite</b:SourceType>
    <b:Guid>{7EBE176F-2204-40ED-BEA8-A05E2912EB32}</b:Guid>
    <b:Author>
      <b:Author>
        <b:NameList>
          <b:Person>
            <b:Last>WEDS</b:Last>
          </b:Person>
        </b:NameList>
      </b:Author>
    </b:Author>
    <b:Title>Workforce Interactive Tool - User Guidance Notes</b:Title>
    <b:InternetSiteTitle>WEDS</b:InternetSiteTitle>
    <b:Year>2016</b:Year>
    <b:Month>August</b:Month>
    <b:URL>https://weds.heiw.wales/assets/Uploads/625b9d5b25/Workforce-Interactive-Tool-User-guidance-updated-August-2016.pdf</b:URL>
    <b:RefOrder>8</b:RefOrder>
  </b:Source>
  <b:Source>
    <b:Tag>CIP1912</b:Tag>
    <b:SourceType>InternetSite</b:SourceType>
    <b:Guid>{E1D28E41-C072-47DD-A209-4E5101D4A927}</b:Guid>
    <b:Author>
      <b:Author>
        <b:NameList>
          <b:Person>
            <b:Last>CIPD</b:Last>
          </b:Person>
        </b:NameList>
      </b:Author>
    </b:Author>
    <b:Title>Competency and Competency Framework</b:Title>
    <b:InternetSiteTitle>CIPD</b:InternetSiteTitle>
    <b:Year>2019</b:Year>
    <b:Month>January</b:Month>
    <b:Day>28</b:Day>
    <b:URL>https://www.cipd.co.uk/knowledge/fundamentals/people/performance/competency-factsheet</b:URL>
    <b:RefOrder>9</b:RefOrder>
  </b:Source>
  <b:Source>
    <b:Tag>Dav19</b:Tag>
    <b:SourceType>InternetSite</b:SourceType>
    <b:Guid>{B8A833ED-9122-4099-9979-FC1ABCD2A4D9}</b:Guid>
    <b:Author>
      <b:Author>
        <b:NameList>
          <b:Person>
            <b:Last>Ulrich</b:Last>
            <b:First>David</b:First>
          </b:Person>
        </b:NameList>
      </b:Author>
    </b:Author>
    <b:Title>From Workforce to Worktask Planning</b:Title>
    <b:InternetSiteTitle>LinkedIn</b:InternetSiteTitle>
    <b:Year>2019</b:Year>
    <b:Month>March</b:Month>
    <b:Day>12</b:Day>
    <b:URL>https://www.linkedin.com/pulse/from-workforce-worktask-planning-dave-ulrich/</b:URL>
    <b:RefOrder>6</b:RefOrder>
  </b:Source>
  <b:Source>
    <b:Tag>CIP201</b:Tag>
    <b:SourceType>InternetSite</b:SourceType>
    <b:Guid>{924142EB-0A99-4B0F-A1D4-FBA68CC6167C}</b:Guid>
    <b:Author>
      <b:Author>
        <b:NameList>
          <b:Person>
            <b:Last>CIPD</b:Last>
          </b:Person>
        </b:NameList>
      </b:Author>
    </b:Author>
    <b:Title>Succession Planning Factsheet</b:Title>
    <b:InternetSiteTitle>CIPD</b:InternetSiteTitle>
    <b:Year>2020</b:Year>
    <b:Month>January</b:Month>
    <b:Day>23</b:Day>
    <b:URL>https://www.cipd.co.uk/knowledge/strategy/resourcing/succession-planning-factsheet</b:URL>
    <b:RefOrder>10</b:RefOrder>
  </b:Source>
  <b:Source>
    <b:Tag>Mic12</b:Tag>
    <b:SourceType>BookSection</b:SourceType>
    <b:Guid>{E3C5F8FF-40CF-443A-8A85-588420796744}</b:Guid>
    <b:Author>
      <b:Author>
        <b:NameList>
          <b:Person>
            <b:Last>Armstrong</b:Last>
            <b:First>Michael</b:First>
          </b:Person>
        </b:NameList>
      </b:Author>
      <b:BookAuthor>
        <b:NameList>
          <b:Person>
            <b:Last>Armstrong</b:Last>
            <b:First>Michael</b:First>
          </b:Person>
        </b:NameList>
      </b:BookAuthor>
    </b:Author>
    <b:Title>People Resourcing</b:Title>
    <b:BookTitle>Armstrong's Handbook of Human Resource Management Practice (12th Ed)</b:BookTitle>
    <b:Year>2012</b:Year>
    <b:Pages>201-272</b:Pages>
    <b:City>London</b:City>
    <b:Publisher>Kogan Page</b:Publisher>
    <b:RefOrder>11</b:RefOrder>
  </b:Source>
  <b:Source>
    <b:Tag>CIP177</b:Tag>
    <b:SourceType>InternetSite</b:SourceType>
    <b:Guid>{E52F9788-9BCC-455E-9477-CA3C86C88C1F}</b:Guid>
    <b:Author>
      <b:Author>
        <b:Corporate>CIPD</b:Corporate>
      </b:Author>
    </b:Author>
    <b:Title>Resource and Talent Planning  Survey Report 2017</b:Title>
    <b:InternetSiteTitle>CIPD</b:InternetSiteTitle>
    <b:Year>2017</b:Year>
    <b:Month>June</b:Month>
    <b:URL>https://www.cipd.co.uk/Images/resourcing-talent-planning_2017_tcm18-23747.pdf</b:URL>
    <b:RefOrder>15</b:RefOrder>
  </b:Source>
  <b:Source>
    <b:Tag>Pos18</b:Tag>
    <b:SourceType>InternetSite</b:SourceType>
    <b:Guid>{2A0C5AAA-E387-4DF2-92AF-B3979008394D}</b:Guid>
    <b:Author>
      <b:Author>
        <b:NameList>
          <b:Person>
            <b:Last>PositiveRevolution</b:Last>
          </b:Person>
        </b:NameList>
      </b:Author>
    </b:Author>
    <b:Title>TALENT RETENTION: how to reduce attrition</b:Title>
    <b:InternetSiteTitle>YouTube</b:InternetSiteTitle>
    <b:Year>2018</b:Year>
    <b:Month>April</b:Month>
    <b:Day>19</b:Day>
    <b:URL>https://www.youtube.com/watch?v=OhFjv2VgokE</b:URL>
    <b:RefOrder>16</b:RefOrder>
  </b:Source>
  <b:Source>
    <b:Tag>Har02</b:Tag>
    <b:SourceType>JournalArticle</b:SourceType>
    <b:Guid>{5B1AE8E9-282E-4AC9-A813-98A926788A84}</b:Guid>
    <b:Author>
      <b:Author>
        <b:NameList>
          <b:Person>
            <b:Last>Harter</b:Last>
            <b:First>J.</b:First>
            <b:Middle>K.</b:Middle>
          </b:Person>
          <b:Person>
            <b:Last>Schmidt</b:Last>
            <b:First>F.</b:First>
            <b:Middle>L.</b:Middle>
          </b:Person>
          <b:Person>
            <b:Last>Hayes</b:Last>
            <b:First>T.</b:First>
            <b:Middle>L.</b:Middle>
          </b:Person>
        </b:NameList>
      </b:Author>
    </b:Author>
    <b:Title>Business-unit level relationship between employee satisfaction, employee engagement, and business outcomes: a meta-analysis</b:Title>
    <b:JournalName>Journal of Applied Psychology. Vol 87</b:JournalName>
    <b:Year>2002</b:Year>
    <b:Pages>268-279</b:Pages>
    <b:RefOrder>17</b:RefOrder>
  </b:Source>
  <b:Source>
    <b:Tag>Mar</b:Tag>
    <b:SourceType>BookSection</b:SourceType>
    <b:Guid>{EA6A83AE-0F0A-48F2-AA43-78151C522805}</b:Guid>
    <b:Title>High-Commitment HRM Policy and Practice</b:Title>
    <b:Pages>55-80</b:Pages>
    <b:Author>
      <b:Author>
        <b:NameList>
          <b:Person>
            <b:Last>Marchington</b:Last>
            <b:First>M</b:First>
          </b:Person>
          <b:Person>
            <b:Last>Wilkinson</b:Last>
            <b:First>A</b:First>
          </b:Person>
          <b:Person>
            <b:Last>Donnelly</b:Last>
            <b:First>R</b:First>
          </b:Person>
          <b:Person>
            <b:Last>Kynighou</b:Last>
            <b:First>A</b:First>
          </b:Person>
        </b:NameList>
      </b:Author>
      <b:BookAuthor>
        <b:NameList>
          <b:Person>
            <b:Last>Marchington</b:Last>
            <b:First>M</b:First>
          </b:Person>
          <b:Person>
            <b:Last>Wilkinson</b:Last>
            <b:First>A</b:First>
          </b:Person>
          <b:Person>
            <b:Last>Donnelly</b:Last>
            <b:First>R</b:First>
          </b:Person>
          <b:Person>
            <b:Last>Kynighou</b:Last>
            <b:First>A</b:First>
          </b:Person>
        </b:NameList>
      </b:BookAuthor>
    </b:Author>
    <b:BookTitle>Human Resource Management at Work</b:BookTitle>
    <b:City>London</b:City>
    <b:Publisher>CIPD</b:Publisher>
    <b:Year>2016</b:Year>
    <b:RefOrder>26</b:RefOrder>
  </b:Source>
  <b:Source>
    <b:Tag>Ste162</b:Tag>
    <b:SourceType>BookSection</b:SourceType>
    <b:Guid>{1898F7AE-7E29-4A7A-8A38-B94D5A55AED1}</b:Guid>
    <b:Title>Improving Organisational Performance</b:Title>
    <b:Year>2016</b:Year>
    <b:Publisher>CIPD</b:Publisher>
    <b:City>London</b:City>
    <b:Pages>197-218</b:Pages>
    <b:Author>
      <b:Author>
        <b:NameList>
          <b:Person>
            <b:Last>Taylor</b:Last>
            <b:First>Stephen</b:First>
          </b:Person>
        </b:NameList>
      </b:Author>
      <b:BookAuthor>
        <b:NameList>
          <b:Person>
            <b:Last>Woodhams</b:Last>
            <b:First>Stephen</b:First>
            <b:Middle>Taylor and Carol</b:Middle>
          </b:Person>
        </b:NameList>
      </b:BookAuthor>
    </b:Author>
    <b:BookTitle>Human Resource Management: People and Organisation</b:BookTitle>
    <b:RefOrder>14</b:RefOrder>
  </b:Source>
  <b:Source>
    <b:Tag>Per16</b:Tag>
    <b:SourceType>BookSection</b:SourceType>
    <b:Guid>{99A68670-A2B3-40F9-83E0-1DBDDDA23FFD}</b:Guid>
    <b:Title>Reward Management</b:Title>
    <b:Year>2016</b:Year>
    <b:Pages>121-141</b:Pages>
    <b:Author>
      <b:Author>
        <b:NameList>
          <b:Person>
            <b:Last>Perkins</b:Last>
            <b:First>G</b:First>
          </b:Person>
          <b:Person>
            <b:Last>Woodhams</b:Last>
            <b:First>C</b:First>
          </b:Person>
        </b:NameList>
      </b:Author>
      <b:BookAuthor>
        <b:NameList>
          <b:Person>
            <b:Last>Taylor</b:Last>
            <b:First>S</b:First>
          </b:Person>
          <b:Person>
            <b:Last>Woodhams</b:Last>
            <b:First>C</b:First>
          </b:Person>
        </b:NameList>
      </b:BookAuthor>
    </b:Author>
    <b:BookTitle>Human Resource Management: People and Organisations</b:BookTitle>
    <b:City>London</b:City>
    <b:Publisher>CIPD</b:Publisher>
    <b:RefOrder>27</b:RefOrder>
  </b:Source>
  <b:Source>
    <b:Tag>Emi18</b:Tag>
    <b:SourceType>InternetSite</b:SourceType>
    <b:Guid>{2C1BA321-F5BA-43E1-836A-E7F6E5327F4C}</b:Guid>
    <b:Author>
      <b:Author>
        <b:NameList>
          <b:Person>
            <b:Last>Wietrak</b:Last>
            <b:First>Emilia</b:First>
          </b:Person>
        </b:NameList>
      </b:Author>
    </b:Author>
    <b:Title>How to Reduces Gender Bias in Your Hiring Process</b:Title>
    <b:InternetSiteTitle>Science for Work</b:InternetSiteTitle>
    <b:Year>2018</b:Year>
    <b:Month>February</b:Month>
    <b:URL>https://scienceforwork.com/blog/reducing-gender-bias-hiring/</b:URL>
    <b:RefOrder>28</b:RefOrder>
  </b:Source>
  <b:Source>
    <b:Tag>Ste10</b:Tag>
    <b:SourceType>Book</b:SourceType>
    <b:Guid>{DEE85E40-66B0-4CCC-9DBE-F82FA95FF63A}</b:Guid>
    <b:Title>Resourcing and Talent Management (5th Ed)</b:Title>
    <b:Year>2010</b:Year>
    <b:City>London</b:City>
    <b:Publisher>CIPD</b:Publisher>
    <b:Author>
      <b:Author>
        <b:NameList>
          <b:Person>
            <b:Last>Taylor</b:Last>
            <b:First>Stephen</b:First>
          </b:Person>
        </b:NameList>
      </b:Author>
    </b:Author>
    <b:RefOrder>5</b:RefOrder>
  </b:Source>
  <b:Source>
    <b:Tag>And96</b:Tag>
    <b:SourceType>Book</b:SourceType>
    <b:Guid>{7B5DAE4F-96DF-4C81-9188-3943BF7E41E3}</b:Guid>
    <b:Author>
      <b:Author>
        <b:NameList>
          <b:Person>
            <b:Last>Anderson</b:Last>
            <b:First>N.</b:First>
            <b:Middle>and Shackleton, V.</b:Middle>
          </b:Person>
        </b:NameList>
      </b:Author>
    </b:Author>
    <b:Title>Successful Selection Interviewing</b:Title>
    <b:Year>1996</b:Year>
    <b:City>Oxford</b:City>
    <b:Publisher>Blackwell</b:Publisher>
    <b:RefOrder>29</b:RefOrder>
  </b:Source>
  <b:Source>
    <b:Tag>CIP09</b:Tag>
    <b:SourceType>Report</b:SourceType>
    <b:Guid>{5DBFD841-F920-4A02-B510-5A01E19DE651}</b:Guid>
    <b:Title>Recruitment, Retention and Turnover</b:Title>
    <b:Year>2009</b:Year>
    <b:City>London</b:City>
    <b:Publisher>CIPD</b:Publisher>
    <b:Author>
      <b:Author>
        <b:Corporate>CIPD</b:Corporate>
      </b:Author>
    </b:Author>
    <b:RefOrder>20</b:RefOrder>
  </b:Source>
  <b:Source>
    <b:Tag>Mat17</b:Tag>
    <b:SourceType>InternetSite</b:SourceType>
    <b:Guid>{CEE664D6-5026-43D9-9BFA-9B46CFFC461E}</b:Guid>
    <b:Author>
      <b:Author>
        <b:NameList>
          <b:Person>
            <b:Last>Taylor</b:Last>
            <b:First>Matthew</b:First>
          </b:Person>
        </b:NameList>
      </b:Author>
    </b:Author>
    <b:Title>Good Work: The Taylor Review of Modern Working Practices</b:Title>
    <b:InternetSiteTitle>Gov.UK</b:InternetSiteTitle>
    <b:Year>2017</b:Year>
    <b:Month>July</b:Month>
    <b:URL>https://assets.publishing.service.gov.uk/government/uploads/system/uploads/attachment_data/file/627671/good-work-taylor-review-modern-working-practices-rg.pdf</b:URL>
    <b:RefOrder>18</b:RefOrder>
  </b:Source>
  <b:Source>
    <b:Tag>HES18</b:Tag>
    <b:SourceType>InternetSite</b:SourceType>
    <b:Guid>{9317794C-EFD9-46CA-A6F5-FE7D0DE019CE}</b:Guid>
    <b:Title>Higher Education Student Statistics: UK, 2016/17 - Qualifications achieved</b:Title>
    <b:Year>2018</b:Year>
    <b:Month>January </b:Month>
    <b:Day>11</b:Day>
    <b:InternetSiteTitle>HESA</b:InternetSiteTitle>
    <b:URL>https://www.hesa.ac.uk/news/11-01-2018/sfr247-higher-education-student-statistics/qualifications</b:URL>
    <b:Author>
      <b:Author>
        <b:Corporate>HESA</b:Corporate>
      </b:Author>
    </b:Author>
    <b:RefOrder>19</b:RefOrder>
  </b:Source>
  <b:Source>
    <b:Tag>ACA5</b:Tag>
    <b:SourceType>InternetSite</b:SourceType>
    <b:Guid>{46B5A0F1-BB91-4190-9CAD-751DE00EA403}</b:Guid>
    <b:Author>
      <b:Author>
        <b:Corporate>ACAS</b:Corporate>
      </b:Author>
    </b:Author>
    <b:Title>Manage Staff Redundancies</b:Title>
    <b:InternetSiteTitle>ACAS</b:InternetSiteTitle>
    <b:URL>https://www.acas.org.uk/manage-staff-redundancies</b:URL>
    <b:RefOrder>22</b:RefOrder>
  </b:Source>
  <b:Source>
    <b:Tag>Kat19</b:Tag>
    <b:SourceType>Book</b:SourceType>
    <b:Guid>{AB211256-6FDB-47E0-8FC2-E7718E0DDE49}</b:Guid>
    <b:Title>Introduction to Employment Law: Fundamentals for HR and Business Students</b:Title>
    <b:Year>2019</b:Year>
    <b:Publisher>Kogan Page</b:Publisher>
    <b:City>London</b:City>
    <b:Author>
      <b:Author>
        <b:NameList>
          <b:Person>
            <b:Last>Daniels</b:Last>
            <b:First>Kathy</b:First>
          </b:Person>
        </b:NameList>
      </b:Author>
    </b:Author>
    <b:RefOrder>21</b:RefOrder>
  </b:Source>
  <b:Source>
    <b:Tag>Cla17</b:Tag>
    <b:SourceType>ArticleInAPeriodical</b:SourceType>
    <b:Guid>{E6C45255-6481-472F-B091-4FF916F01C61}</b:Guid>
    <b:Title>How to be an employer of choice in an increasingly competitive jobs market</b:Title>
    <b:Year>2017</b:Year>
    <b:Month>July</b:Month>
    <b:Day>10</b:Day>
    <b:PeriodicalTitle>Personnel Today</b:PeriodicalTitle>
    <b:Author>
      <b:Author>
        <b:NameList>
          <b:Person>
            <b:Last>McCartney</b:Last>
            <b:First>Claire</b:First>
          </b:Person>
        </b:NameList>
      </b:Author>
    </b:Author>
    <b:RefOrder>12</b:RefOrder>
  </b:Source>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13</b:RefOrder>
  </b:Source>
</b:Sources>
</file>

<file path=customXml/itemProps1.xml><?xml version="1.0" encoding="utf-8"?>
<ds:datastoreItem xmlns:ds="http://schemas.openxmlformats.org/officeDocument/2006/customXml" ds:itemID="{1E0674D9-9EAF-40A0-A5BE-B48A846E6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5069</Words>
  <Characters>28898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dc:creator>
  <cp:keywords/>
  <dc:description/>
  <cp:lastModifiedBy>Shelley Dony</cp:lastModifiedBy>
  <cp:revision>3</cp:revision>
  <dcterms:created xsi:type="dcterms:W3CDTF">2020-04-29T14:46:00Z</dcterms:created>
  <dcterms:modified xsi:type="dcterms:W3CDTF">2020-04-29T14:51:00Z</dcterms:modified>
</cp:coreProperties>
</file>