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11A4F" w14:textId="553CEBEA" w:rsidR="00790E8C" w:rsidRDefault="00790E8C" w:rsidP="00790E8C">
      <w:pPr>
        <w:pStyle w:val="Heading1"/>
        <w:tabs>
          <w:tab w:val="left" w:pos="1680"/>
        </w:tabs>
        <w:spacing w:line="480" w:lineRule="auto"/>
        <w:jc w:val="both"/>
        <w:rPr>
          <w:rFonts w:ascii="Times New Roman" w:hAnsi="Times New Roman"/>
          <w:sz w:val="28"/>
          <w:szCs w:val="28"/>
        </w:rPr>
      </w:pPr>
      <w:r>
        <w:rPr>
          <w:rFonts w:ascii="Times New Roman" w:eastAsia="TimesNewRomanPSMT" w:hAnsi="Times New Roman"/>
          <w:color w:val="000000" w:themeColor="text1"/>
          <w:sz w:val="28"/>
          <w:szCs w:val="28"/>
        </w:rPr>
        <w:t>STUDENT ID: 2029965</w:t>
      </w:r>
    </w:p>
    <w:p w14:paraId="13E7CCFE" w14:textId="77777777" w:rsidR="00C5563B" w:rsidRPr="00790E8C" w:rsidRDefault="00C5563B" w:rsidP="00790E8C">
      <w:pPr>
        <w:pStyle w:val="Heading1"/>
        <w:spacing w:line="480" w:lineRule="auto"/>
        <w:contextualSpacing/>
        <w:jc w:val="both"/>
        <w:rPr>
          <w:rFonts w:ascii="Times New Roman" w:hAnsi="Times New Roman"/>
          <w:b/>
          <w:kern w:val="36"/>
          <w:sz w:val="28"/>
          <w:szCs w:val="28"/>
        </w:rPr>
      </w:pPr>
    </w:p>
    <w:p w14:paraId="7E391DD7" w14:textId="77F65D43" w:rsidR="00446055" w:rsidRPr="00790E8C" w:rsidRDefault="00790E8C" w:rsidP="00790E8C">
      <w:pPr>
        <w:pStyle w:val="Heading1"/>
        <w:spacing w:line="480" w:lineRule="auto"/>
        <w:contextualSpacing/>
        <w:jc w:val="both"/>
        <w:rPr>
          <w:rFonts w:ascii="Times New Roman" w:hAnsi="Times New Roman"/>
          <w:b/>
          <w:kern w:val="36"/>
          <w:sz w:val="28"/>
          <w:szCs w:val="28"/>
        </w:rPr>
      </w:pPr>
      <w:r>
        <w:rPr>
          <w:rFonts w:ascii="Times New Roman" w:hAnsi="Times New Roman"/>
          <w:b/>
          <w:color w:val="000000"/>
          <w:sz w:val="28"/>
          <w:szCs w:val="28"/>
        </w:rPr>
        <w:t xml:space="preserve">                                  </w:t>
      </w:r>
      <w:r w:rsidR="000759A8" w:rsidRPr="00790E8C">
        <w:rPr>
          <w:rFonts w:ascii="Times New Roman" w:hAnsi="Times New Roman"/>
          <w:b/>
          <w:color w:val="000000"/>
          <w:sz w:val="28"/>
          <w:szCs w:val="28"/>
        </w:rPr>
        <w:t>COMMUNITY ENGAGEMENT PROJECT</w:t>
      </w:r>
    </w:p>
    <w:p w14:paraId="703AB35E" w14:textId="3469A19A" w:rsidR="00446055" w:rsidRPr="00790E8C" w:rsidRDefault="00790E8C" w:rsidP="00790E8C">
      <w:pPr>
        <w:spacing w:line="480" w:lineRule="auto"/>
        <w:jc w:val="both"/>
        <w:rPr>
          <w:rFonts w:ascii="Times New Roman" w:hAnsi="Times New Roman"/>
          <w:sz w:val="28"/>
          <w:szCs w:val="28"/>
        </w:rPr>
      </w:pPr>
      <w:r>
        <w:rPr>
          <w:rFonts w:ascii="Times New Roman" w:hAnsi="Times New Roman"/>
          <w:sz w:val="28"/>
          <w:szCs w:val="28"/>
        </w:rPr>
        <w:t xml:space="preserve">                                                       </w:t>
      </w:r>
      <w:r w:rsidR="00446055" w:rsidRPr="00790E8C">
        <w:rPr>
          <w:rFonts w:ascii="Times New Roman" w:hAnsi="Times New Roman"/>
          <w:sz w:val="28"/>
          <w:szCs w:val="28"/>
        </w:rPr>
        <w:t>Mihai Jicu</w:t>
      </w:r>
    </w:p>
    <w:p w14:paraId="7A78972E" w14:textId="4A93E722" w:rsidR="00446055" w:rsidRPr="00790E8C" w:rsidRDefault="00790E8C" w:rsidP="00790E8C">
      <w:pPr>
        <w:pStyle w:val="Heading1"/>
        <w:spacing w:before="0"/>
        <w:jc w:val="both"/>
        <w:textAlignment w:val="center"/>
        <w:rPr>
          <w:rFonts w:ascii="Times New Roman" w:hAnsi="Times New Roman"/>
          <w:sz w:val="28"/>
          <w:szCs w:val="28"/>
        </w:rPr>
      </w:pPr>
      <w:r>
        <w:rPr>
          <w:rFonts w:ascii="Times New Roman" w:eastAsiaTheme="minorHAnsi" w:hAnsi="Times New Roman"/>
          <w:color w:val="auto"/>
          <w:sz w:val="28"/>
          <w:szCs w:val="28"/>
        </w:rPr>
        <w:t xml:space="preserve">                                </w:t>
      </w:r>
      <w:r w:rsidR="00446055" w:rsidRPr="00790E8C">
        <w:rPr>
          <w:rFonts w:ascii="Times New Roman" w:eastAsiaTheme="minorHAnsi" w:hAnsi="Times New Roman"/>
          <w:color w:val="auto"/>
          <w:sz w:val="28"/>
          <w:szCs w:val="28"/>
        </w:rPr>
        <w:t>Community Engagement (LCBB4002)</w:t>
      </w:r>
    </w:p>
    <w:p w14:paraId="4CD94695" w14:textId="4CE5F499" w:rsidR="00790E8C" w:rsidRPr="00790E8C" w:rsidRDefault="00790E8C" w:rsidP="00790E8C">
      <w:pPr>
        <w:shd w:val="clear" w:color="auto" w:fill="FFFFFF" w:themeFill="background1"/>
        <w:jc w:val="both"/>
        <w:rPr>
          <w:rFonts w:ascii="Times New Roman" w:hAnsi="Times New Roman"/>
          <w:color w:val="000000" w:themeColor="text1"/>
          <w:sz w:val="28"/>
          <w:szCs w:val="28"/>
          <w:shd w:val="clear" w:color="auto" w:fill="FFFFFF" w:themeFill="background1"/>
          <w:lang w:val="en-GB" w:eastAsia="en-GB"/>
          <w14:shadow w14:blurRad="38100" w14:dist="19050" w14:dir="2700000" w14:sx="100000" w14:sy="100000" w14:kx="0" w14:ky="0" w14:algn="tl">
            <w14:schemeClr w14:val="dk1">
              <w14:alpha w14:val="60000"/>
            </w14:schemeClr>
          </w14:shadow>
          <w14:reflection w14:blurRad="0" w14:stA="32000" w14:stPos="0" w14:endA="0" w14:endPos="0" w14:dist="0" w14:dir="0" w14:fadeDir="0" w14:sx="0" w14:sy="0" w14:kx="0" w14:ky="0" w14:algn="b"/>
          <w14:textOutline w14:w="0" w14:cap="flat" w14:cmpd="sng" w14:algn="ctr">
            <w14:noFill/>
            <w14:prstDash w14:val="solid"/>
            <w14:round/>
          </w14:textOutline>
        </w:rPr>
      </w:pPr>
      <w:r w:rsidRPr="00790E8C">
        <w:rPr>
          <w:rFonts w:ascii="Times New Roman" w:hAnsi="Times New Roman"/>
          <w:color w:val="000000" w:themeColor="text1"/>
          <w:sz w:val="28"/>
          <w:szCs w:val="28"/>
          <w:shd w:val="clear" w:color="auto" w:fill="FFFFFF" w:themeFill="background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90E8C">
        <w:rPr>
          <w:rFonts w:ascii="Times New Roman" w:hAnsi="Times New Roman"/>
          <w:color w:val="000000" w:themeColor="text1"/>
          <w:sz w:val="32"/>
          <w:szCs w:val="32"/>
          <w:shd w:val="clear" w:color="auto" w:fill="FFFFFF" w:themeFill="background1"/>
          <w:lang w:val="en-GB" w:eastAsia="en-GB"/>
          <w14:shadow w14:blurRad="38100" w14:dist="19050" w14:dir="2700000" w14:sx="100000" w14:sy="100000" w14:kx="0" w14:ky="0" w14:algn="tl">
            <w14:schemeClr w14:val="dk1">
              <w14:alpha w14:val="60000"/>
            </w14:schemeClr>
          </w14:shadow>
          <w14:reflection w14:blurRad="0" w14:stA="100000" w14:stPos="0" w14:endA="0" w14:endPos="0" w14:dist="0" w14:dir="0" w14:fadeDir="0" w14:sx="0" w14:sy="0" w14:kx="0" w14:ky="0" w14:algn="b"/>
          <w14:textOutline w14:w="9525" w14:cap="flat" w14:cmpd="sng" w14:algn="ctr">
            <w14:solidFill>
              <w14:schemeClr w14:val="tx1"/>
            </w14:solidFill>
            <w14:prstDash w14:val="solid"/>
            <w14:round/>
          </w14:textOutline>
        </w:rPr>
        <w:t>Dr Molly Jack</w:t>
      </w:r>
    </w:p>
    <w:p w14:paraId="3E2928A8" w14:textId="433D7267" w:rsidR="00446055" w:rsidRPr="00790E8C" w:rsidRDefault="00790E8C" w:rsidP="00790E8C">
      <w:pPr>
        <w:shd w:val="clear" w:color="auto" w:fill="FFFFFF" w:themeFill="background1"/>
        <w:jc w:val="both"/>
        <w:rPr>
          <w:rFonts w:ascii="Times New Roman" w:hAnsi="Times New Roman"/>
          <w:sz w:val="28"/>
          <w:szCs w:val="28"/>
        </w:rPr>
      </w:pPr>
      <w:r>
        <w:rPr>
          <w:rFonts w:ascii="Times New Roman" w:hAnsi="Times New Roman"/>
          <w:color w:val="000000" w:themeColor="text1"/>
          <w:sz w:val="28"/>
          <w:szCs w:val="28"/>
          <w:shd w:val="clear" w:color="auto" w:fill="FFFFFF" w:themeFill="background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6055" w:rsidRPr="00790E8C">
        <w:rPr>
          <w:rFonts w:ascii="Times New Roman" w:hAnsi="Times New Roman"/>
          <w:color w:val="000000" w:themeColor="text1"/>
          <w:sz w:val="28"/>
          <w:szCs w:val="28"/>
        </w:rPr>
        <w:t>University of Wales Trinity Saint David</w:t>
      </w:r>
    </w:p>
    <w:p w14:paraId="22E771E4" w14:textId="1B5A5FA5" w:rsidR="00446055" w:rsidRPr="00790E8C" w:rsidRDefault="00790E8C" w:rsidP="00790E8C">
      <w:pPr>
        <w:spacing w:line="480" w:lineRule="auto"/>
        <w:jc w:val="both"/>
        <w:rPr>
          <w:rFonts w:ascii="Times New Roman" w:hAnsi="Times New Roman"/>
          <w:sz w:val="28"/>
          <w:szCs w:val="28"/>
        </w:rPr>
      </w:pPr>
      <w:r>
        <w:rPr>
          <w:rFonts w:ascii="Times New Roman" w:hAnsi="Times New Roman"/>
          <w:sz w:val="28"/>
          <w:szCs w:val="28"/>
        </w:rPr>
        <w:t xml:space="preserve">                                                     </w:t>
      </w:r>
      <w:r w:rsidR="00446055" w:rsidRPr="00790E8C">
        <w:rPr>
          <w:rFonts w:ascii="Times New Roman" w:hAnsi="Times New Roman"/>
          <w:sz w:val="28"/>
          <w:szCs w:val="28"/>
        </w:rPr>
        <w:t>London</w:t>
      </w:r>
    </w:p>
    <w:p w14:paraId="3D5B1FC0" w14:textId="1AD02760" w:rsidR="00446055" w:rsidRPr="00790E8C" w:rsidRDefault="00790E8C" w:rsidP="00790E8C">
      <w:pPr>
        <w:spacing w:line="480" w:lineRule="auto"/>
        <w:jc w:val="both"/>
        <w:rPr>
          <w:rFonts w:ascii="Times New Roman" w:hAnsi="Times New Roman"/>
          <w:sz w:val="28"/>
          <w:szCs w:val="28"/>
        </w:rPr>
      </w:pPr>
      <w:r>
        <w:rPr>
          <w:rFonts w:ascii="Times New Roman" w:hAnsi="Times New Roman"/>
          <w:sz w:val="28"/>
          <w:szCs w:val="28"/>
        </w:rPr>
        <w:t xml:space="preserve">                                            </w:t>
      </w:r>
      <w:r w:rsidR="00446055" w:rsidRPr="00790E8C">
        <w:rPr>
          <w:rFonts w:ascii="Times New Roman" w:hAnsi="Times New Roman"/>
          <w:sz w:val="28"/>
          <w:szCs w:val="28"/>
        </w:rPr>
        <w:t>Date :30/08/2021</w:t>
      </w:r>
    </w:p>
    <w:p w14:paraId="5BBB593B" w14:textId="77777777" w:rsidR="00446055" w:rsidRPr="00790E8C" w:rsidRDefault="00446055" w:rsidP="00790E8C">
      <w:pPr>
        <w:spacing w:line="480" w:lineRule="auto"/>
        <w:jc w:val="both"/>
        <w:rPr>
          <w:rFonts w:ascii="Times New Roman" w:hAnsi="Times New Roman"/>
          <w:sz w:val="28"/>
          <w:szCs w:val="28"/>
        </w:rPr>
      </w:pPr>
    </w:p>
    <w:p w14:paraId="0C2F5D12" w14:textId="77777777" w:rsidR="00C5563B" w:rsidRPr="00790E8C" w:rsidRDefault="00C5563B" w:rsidP="00790E8C">
      <w:pPr>
        <w:spacing w:line="480" w:lineRule="auto"/>
        <w:contextualSpacing/>
        <w:jc w:val="both"/>
        <w:rPr>
          <w:rFonts w:ascii="Times New Roman" w:eastAsia="Calibri" w:hAnsi="Times New Roman"/>
          <w:sz w:val="28"/>
          <w:szCs w:val="28"/>
        </w:rPr>
      </w:pPr>
    </w:p>
    <w:p w14:paraId="1012261A" w14:textId="77777777" w:rsidR="00C5563B" w:rsidRPr="00790E8C" w:rsidRDefault="00C5563B" w:rsidP="00790E8C">
      <w:pPr>
        <w:spacing w:line="480" w:lineRule="auto"/>
        <w:contextualSpacing/>
        <w:jc w:val="both"/>
        <w:rPr>
          <w:rFonts w:ascii="Times New Roman" w:eastAsia="Calibri" w:hAnsi="Times New Roman"/>
          <w:sz w:val="28"/>
          <w:szCs w:val="28"/>
        </w:rPr>
      </w:pPr>
    </w:p>
    <w:p w14:paraId="234C6D84" w14:textId="77777777" w:rsidR="00C5563B" w:rsidRPr="00790E8C" w:rsidRDefault="00C5563B" w:rsidP="00790E8C">
      <w:pPr>
        <w:spacing w:line="480" w:lineRule="auto"/>
        <w:contextualSpacing/>
        <w:jc w:val="both"/>
        <w:rPr>
          <w:rStyle w:val="16"/>
          <w:rFonts w:eastAsia="Calibri"/>
          <w:bCs w:val="0"/>
          <w:color w:val="0E101A"/>
          <w:sz w:val="28"/>
          <w:szCs w:val="28"/>
        </w:rPr>
      </w:pPr>
    </w:p>
    <w:p w14:paraId="46123207" w14:textId="77777777" w:rsidR="00C5563B" w:rsidRPr="00790E8C" w:rsidRDefault="00C5563B" w:rsidP="00790E8C">
      <w:pPr>
        <w:spacing w:line="480" w:lineRule="auto"/>
        <w:contextualSpacing/>
        <w:jc w:val="both"/>
        <w:rPr>
          <w:rStyle w:val="16"/>
          <w:rFonts w:eastAsia="Calibri"/>
          <w:bCs w:val="0"/>
          <w:color w:val="0E101A"/>
          <w:sz w:val="28"/>
          <w:szCs w:val="28"/>
        </w:rPr>
      </w:pPr>
    </w:p>
    <w:p w14:paraId="3DD3300E" w14:textId="6224471F" w:rsidR="00C5563B" w:rsidRPr="00790E8C" w:rsidRDefault="004661C0" w:rsidP="00790E8C">
      <w:pPr>
        <w:spacing w:before="0" w:beforeAutospacing="0" w:after="0" w:line="240" w:lineRule="auto"/>
        <w:jc w:val="both"/>
        <w:rPr>
          <w:rStyle w:val="16"/>
          <w:rFonts w:eastAsia="Calibri"/>
          <w:bCs w:val="0"/>
          <w:color w:val="0E101A"/>
          <w:sz w:val="28"/>
          <w:szCs w:val="28"/>
        </w:rPr>
      </w:pPr>
      <w:r w:rsidRPr="00790E8C">
        <w:rPr>
          <w:rStyle w:val="16"/>
          <w:rFonts w:eastAsia="Calibri"/>
          <w:bCs w:val="0"/>
          <w:color w:val="0E101A"/>
          <w:sz w:val="28"/>
          <w:szCs w:val="28"/>
        </w:rPr>
        <w:br w:type="page"/>
      </w:r>
    </w:p>
    <w:p w14:paraId="6B373031" w14:textId="5DAC972E" w:rsidR="00790E8C" w:rsidRDefault="00790E8C" w:rsidP="00790E8C">
      <w:pPr>
        <w:pStyle w:val="Heading1"/>
        <w:tabs>
          <w:tab w:val="left" w:pos="1680"/>
        </w:tabs>
        <w:spacing w:line="480" w:lineRule="auto"/>
        <w:jc w:val="both"/>
        <w:rPr>
          <w:rFonts w:ascii="Times New Roman" w:hAnsi="Times New Roman"/>
          <w:sz w:val="28"/>
          <w:szCs w:val="28"/>
        </w:rPr>
      </w:pPr>
      <w:r>
        <w:rPr>
          <w:rFonts w:ascii="Times New Roman" w:eastAsia="TimesNewRomanPSMT" w:hAnsi="Times New Roman"/>
          <w:color w:val="000000" w:themeColor="text1"/>
          <w:sz w:val="28"/>
          <w:szCs w:val="28"/>
        </w:rPr>
        <w:lastRenderedPageBreak/>
        <w:t>STUDENT ID: 2029965</w:t>
      </w:r>
    </w:p>
    <w:p w14:paraId="0D2894C5" w14:textId="4130A889" w:rsidR="00790E8C" w:rsidRDefault="00790E8C" w:rsidP="00790E8C">
      <w:pPr>
        <w:spacing w:before="0" w:beforeAutospacing="0" w:after="0" w:line="480" w:lineRule="auto"/>
        <w:contextualSpacing/>
        <w:jc w:val="both"/>
        <w:rPr>
          <w:rStyle w:val="16"/>
          <w:rFonts w:eastAsia="Calibri"/>
          <w:bCs w:val="0"/>
          <w:color w:val="0E101A"/>
          <w:sz w:val="28"/>
          <w:szCs w:val="28"/>
        </w:rPr>
      </w:pPr>
    </w:p>
    <w:p w14:paraId="331E226A" w14:textId="02BE6E09" w:rsidR="00C5563B" w:rsidRPr="00790E8C" w:rsidRDefault="000759A8" w:rsidP="00790E8C">
      <w:pPr>
        <w:spacing w:before="0" w:beforeAutospacing="0" w:after="0" w:line="480" w:lineRule="auto"/>
        <w:contextualSpacing/>
        <w:jc w:val="both"/>
        <w:rPr>
          <w:rStyle w:val="16"/>
          <w:rFonts w:eastAsia="Calibri"/>
          <w:bCs w:val="0"/>
          <w:color w:val="0E101A"/>
          <w:sz w:val="28"/>
          <w:szCs w:val="28"/>
        </w:rPr>
      </w:pPr>
      <w:r w:rsidRPr="00790E8C">
        <w:rPr>
          <w:rStyle w:val="16"/>
          <w:rFonts w:eastAsia="Calibri"/>
          <w:bCs w:val="0"/>
          <w:color w:val="0E101A"/>
          <w:sz w:val="28"/>
          <w:szCs w:val="28"/>
        </w:rPr>
        <w:t>Community Engagement Project</w:t>
      </w:r>
    </w:p>
    <w:p w14:paraId="261B11EE" w14:textId="77777777" w:rsidR="00C5563B" w:rsidRPr="00790E8C" w:rsidRDefault="000759A8" w:rsidP="00790E8C">
      <w:pPr>
        <w:spacing w:line="480" w:lineRule="auto"/>
        <w:contextualSpacing/>
        <w:jc w:val="both"/>
        <w:rPr>
          <w:rFonts w:ascii="Times New Roman" w:hAnsi="Times New Roman"/>
          <w:bCs/>
          <w:sz w:val="28"/>
          <w:szCs w:val="28"/>
        </w:rPr>
      </w:pPr>
      <w:r w:rsidRPr="00790E8C">
        <w:rPr>
          <w:rStyle w:val="16"/>
          <w:rFonts w:eastAsia="Calibri"/>
          <w:bCs w:val="0"/>
          <w:color w:val="0E101A"/>
          <w:sz w:val="28"/>
          <w:szCs w:val="28"/>
        </w:rPr>
        <w:t>Introduction</w:t>
      </w:r>
    </w:p>
    <w:p w14:paraId="778B8DA2" w14:textId="5E8FEFB6" w:rsidR="00C5563B" w:rsidRPr="00790E8C" w:rsidRDefault="000759A8" w:rsidP="00790E8C">
      <w:pPr>
        <w:pStyle w:val="NormalWeb"/>
        <w:spacing w:before="0" w:beforeAutospacing="0" w:after="0" w:afterAutospacing="0" w:line="480" w:lineRule="auto"/>
        <w:contextualSpacing/>
        <w:jc w:val="both"/>
        <w:rPr>
          <w:color w:val="0E101A"/>
          <w:sz w:val="28"/>
          <w:szCs w:val="28"/>
        </w:rPr>
      </w:pPr>
      <w:r w:rsidRPr="00790E8C">
        <w:rPr>
          <w:color w:val="0E101A"/>
          <w:sz w:val="28"/>
          <w:szCs w:val="28"/>
        </w:rPr>
        <w:t>Participating in the development of a project with a significant percentage of the community has several advantages. Successful involvement may assist in teaching and creating plans that are more tailored to the community's requirements, obtaining support from key stakeholders, and saving time and money by simplifying the plan's implementation.</w:t>
      </w:r>
      <w:r w:rsidR="004661C0" w:rsidRPr="00790E8C">
        <w:rPr>
          <w:color w:val="0E101A"/>
          <w:sz w:val="28"/>
          <w:szCs w:val="28"/>
        </w:rPr>
        <w:t xml:space="preserve"> </w:t>
      </w:r>
      <w:r w:rsidRPr="00790E8C">
        <w:rPr>
          <w:color w:val="0E101A"/>
          <w:sz w:val="28"/>
          <w:szCs w:val="28"/>
        </w:rPr>
        <w:t>To effectively engage the community, it is necessary to collect feedback from a wide variety of people and to gauge public opinion to influence decisions. Project teams may use some tried-and-true techniques to manage emotional stakeholders, including those from even the most difficult-to-reach groups, and request intellectual input to boost community engagement (Chow‐Thomas, 2020). Because public participation in project planning has never been straightforward, it is becoming increasingly challenging in various industries. Irritating public meetings with a low degree of participation or significant opposition from people or organizations are held by government bodies. While many planning organizations struggle with community participation, a handful has made considerable gains in this regard. Many reasons exist to be positive in today's world</w:t>
      </w:r>
      <w:r w:rsidR="004661C0" w:rsidRPr="00790E8C">
        <w:rPr>
          <w:color w:val="0E101A"/>
          <w:sz w:val="28"/>
          <w:szCs w:val="28"/>
        </w:rPr>
        <w:t xml:space="preserve"> </w:t>
      </w:r>
      <w:r w:rsidRPr="00790E8C">
        <w:rPr>
          <w:color w:val="0E101A"/>
          <w:sz w:val="28"/>
          <w:szCs w:val="28"/>
        </w:rPr>
        <w:t>(Gilchrist, 2009).</w:t>
      </w:r>
    </w:p>
    <w:p w14:paraId="3B03B3A1" w14:textId="52EC0BE9" w:rsidR="00790E8C" w:rsidRDefault="00790E8C" w:rsidP="00790E8C">
      <w:pPr>
        <w:pStyle w:val="Heading1"/>
        <w:tabs>
          <w:tab w:val="left" w:pos="1680"/>
        </w:tabs>
        <w:spacing w:line="480" w:lineRule="auto"/>
        <w:jc w:val="both"/>
        <w:rPr>
          <w:rFonts w:ascii="Times New Roman" w:hAnsi="Times New Roman"/>
          <w:sz w:val="28"/>
          <w:szCs w:val="28"/>
        </w:rPr>
      </w:pPr>
      <w:r>
        <w:rPr>
          <w:rFonts w:ascii="Times New Roman" w:eastAsia="TimesNewRomanPSMT" w:hAnsi="Times New Roman"/>
          <w:color w:val="000000" w:themeColor="text1"/>
          <w:sz w:val="28"/>
          <w:szCs w:val="28"/>
        </w:rPr>
        <w:lastRenderedPageBreak/>
        <w:t>STUDENT ID: 2029965</w:t>
      </w:r>
    </w:p>
    <w:p w14:paraId="018F0AEB" w14:textId="77777777" w:rsidR="00790E8C" w:rsidRDefault="00790E8C" w:rsidP="00790E8C">
      <w:pPr>
        <w:pStyle w:val="NormalWeb"/>
        <w:spacing w:before="0" w:beforeAutospacing="0" w:after="0" w:afterAutospacing="0" w:line="480" w:lineRule="auto"/>
        <w:ind w:firstLine="720"/>
        <w:contextualSpacing/>
        <w:jc w:val="both"/>
        <w:rPr>
          <w:color w:val="0E101A"/>
          <w:sz w:val="28"/>
          <w:szCs w:val="28"/>
        </w:rPr>
      </w:pPr>
    </w:p>
    <w:p w14:paraId="3FC56634" w14:textId="61868AFE" w:rsidR="00C5563B" w:rsidRPr="00790E8C" w:rsidRDefault="000759A8" w:rsidP="00790E8C">
      <w:pPr>
        <w:pStyle w:val="NormalWeb"/>
        <w:spacing w:before="0" w:beforeAutospacing="0" w:after="0" w:afterAutospacing="0" w:line="480" w:lineRule="auto"/>
        <w:ind w:firstLine="720"/>
        <w:contextualSpacing/>
        <w:jc w:val="both"/>
        <w:rPr>
          <w:color w:val="0E101A"/>
          <w:sz w:val="28"/>
          <w:szCs w:val="28"/>
        </w:rPr>
      </w:pPr>
      <w:proofErr w:type="gramStart"/>
      <w:r w:rsidRPr="00790E8C">
        <w:rPr>
          <w:color w:val="0E101A"/>
          <w:sz w:val="28"/>
          <w:szCs w:val="28"/>
        </w:rPr>
        <w:t>Particular local</w:t>
      </w:r>
      <w:proofErr w:type="gramEnd"/>
      <w:r w:rsidRPr="00790E8C">
        <w:rPr>
          <w:color w:val="0E101A"/>
          <w:sz w:val="28"/>
          <w:szCs w:val="28"/>
        </w:rPr>
        <w:t xml:space="preserve"> inhabitants should be involved in the development and selection of initiatives, and they should be asked to evaluate the project's constraints and opportunities</w:t>
      </w:r>
      <w:r w:rsidR="007C29F5" w:rsidRPr="00790E8C">
        <w:rPr>
          <w:color w:val="0E101A"/>
          <w:sz w:val="28"/>
          <w:szCs w:val="28"/>
        </w:rPr>
        <w:t xml:space="preserve"> (Creaney, Currie, Weedon and Helwig, 2020)</w:t>
      </w:r>
      <w:r w:rsidRPr="00790E8C">
        <w:rPr>
          <w:color w:val="0E101A"/>
          <w:sz w:val="28"/>
          <w:szCs w:val="28"/>
        </w:rPr>
        <w:t>. When a development project goes online, it is common for the target audience to be surprised. Techniques such as "participatory development" and "public participation" were implemented to ease the situation</w:t>
      </w:r>
      <w:r w:rsidR="004661C0" w:rsidRPr="00790E8C">
        <w:rPr>
          <w:color w:val="0E101A"/>
          <w:sz w:val="28"/>
          <w:szCs w:val="28"/>
        </w:rPr>
        <w:t xml:space="preserve"> </w:t>
      </w:r>
      <w:r w:rsidR="004661C0" w:rsidRPr="00790E8C">
        <w:rPr>
          <w:bCs/>
          <w:color w:val="0E101A"/>
          <w:sz w:val="28"/>
          <w:szCs w:val="28"/>
        </w:rPr>
        <w:t>(</w:t>
      </w:r>
      <w:r w:rsidRPr="00790E8C">
        <w:rPr>
          <w:color w:val="0E101A"/>
          <w:sz w:val="28"/>
          <w:szCs w:val="28"/>
        </w:rPr>
        <w:t xml:space="preserve">Chow‐Thomas, 2020). This time around, I'm thinking about two possibilities. The concept of "passive commitment" refers to notifying people about upcoming activities. Process-oriented in nature, the second approach, called "interactive engagement," is the focus of this article. The analysis is carried out in collaboration with participants, which results in creating community action plans at the local level. </w:t>
      </w:r>
      <w:proofErr w:type="gramStart"/>
      <w:r w:rsidRPr="00790E8C">
        <w:rPr>
          <w:color w:val="0E101A"/>
          <w:sz w:val="28"/>
          <w:szCs w:val="28"/>
        </w:rPr>
        <w:t>Both of them</w:t>
      </w:r>
      <w:proofErr w:type="gramEnd"/>
      <w:r w:rsidRPr="00790E8C">
        <w:rPr>
          <w:color w:val="0E101A"/>
          <w:sz w:val="28"/>
          <w:szCs w:val="28"/>
        </w:rPr>
        <w:t xml:space="preserve"> have other responsibilities.</w:t>
      </w:r>
    </w:p>
    <w:p w14:paraId="12EEB787" w14:textId="77777777" w:rsidR="00C5563B" w:rsidRPr="00790E8C" w:rsidRDefault="000759A8" w:rsidP="00790E8C">
      <w:pPr>
        <w:pStyle w:val="NormalWeb"/>
        <w:spacing w:line="480" w:lineRule="auto"/>
        <w:contextualSpacing/>
        <w:jc w:val="both"/>
        <w:rPr>
          <w:b/>
          <w:bCs/>
          <w:color w:val="0E101A"/>
          <w:sz w:val="28"/>
          <w:szCs w:val="28"/>
        </w:rPr>
      </w:pPr>
      <w:r w:rsidRPr="00790E8C">
        <w:rPr>
          <w:b/>
          <w:bCs/>
          <w:color w:val="0E101A"/>
          <w:sz w:val="28"/>
          <w:szCs w:val="28"/>
        </w:rPr>
        <w:t>Program/Project</w:t>
      </w:r>
    </w:p>
    <w:p w14:paraId="1E2F92DF" w14:textId="4491BE9D" w:rsidR="00790E8C" w:rsidRDefault="000759A8" w:rsidP="00790E8C">
      <w:pPr>
        <w:pStyle w:val="NormalWeb"/>
        <w:spacing w:line="480" w:lineRule="auto"/>
        <w:ind w:firstLine="720"/>
        <w:contextualSpacing/>
        <w:jc w:val="both"/>
        <w:rPr>
          <w:color w:val="0E101A"/>
          <w:sz w:val="28"/>
          <w:szCs w:val="28"/>
        </w:rPr>
      </w:pPr>
      <w:r w:rsidRPr="00790E8C">
        <w:rPr>
          <w:color w:val="0E101A"/>
          <w:sz w:val="28"/>
          <w:szCs w:val="28"/>
        </w:rPr>
        <w:t>The rural safe water supply strategy is changing as engineers work on this project, moving away from a supply-driven strategy and toward a demand-driven model that involves the community in water management. The engagement of the community is important to the long-term development and success of the organization (Chow‐Thomas, 2020). A variety of elements impact community</w:t>
      </w:r>
    </w:p>
    <w:p w14:paraId="14134E1A" w14:textId="264A6620" w:rsidR="00790E8C" w:rsidRPr="00790E8C" w:rsidRDefault="00790E8C" w:rsidP="00790E8C">
      <w:pPr>
        <w:pStyle w:val="Heading1"/>
        <w:tabs>
          <w:tab w:val="left" w:pos="1680"/>
        </w:tabs>
        <w:spacing w:line="480" w:lineRule="auto"/>
        <w:jc w:val="both"/>
        <w:rPr>
          <w:rFonts w:ascii="Times New Roman" w:hAnsi="Times New Roman"/>
          <w:sz w:val="28"/>
          <w:szCs w:val="28"/>
        </w:rPr>
      </w:pPr>
      <w:r>
        <w:rPr>
          <w:rFonts w:ascii="Times New Roman" w:eastAsia="TimesNewRomanPSMT" w:hAnsi="Times New Roman"/>
          <w:color w:val="000000" w:themeColor="text1"/>
          <w:sz w:val="28"/>
          <w:szCs w:val="28"/>
        </w:rPr>
        <w:lastRenderedPageBreak/>
        <w:t>STUDENT ID: 2029965</w:t>
      </w:r>
    </w:p>
    <w:p w14:paraId="6B037954" w14:textId="22222C89" w:rsidR="00C5563B" w:rsidRPr="00790E8C" w:rsidRDefault="000759A8" w:rsidP="00790E8C">
      <w:pPr>
        <w:pStyle w:val="NormalWeb"/>
        <w:spacing w:line="480" w:lineRule="auto"/>
        <w:ind w:firstLine="720"/>
        <w:contextualSpacing/>
        <w:jc w:val="both"/>
        <w:rPr>
          <w:color w:val="0E101A"/>
          <w:sz w:val="28"/>
          <w:szCs w:val="28"/>
        </w:rPr>
      </w:pPr>
      <w:r w:rsidRPr="00790E8C">
        <w:rPr>
          <w:color w:val="0E101A"/>
          <w:sz w:val="28"/>
          <w:szCs w:val="28"/>
        </w:rPr>
        <w:t>engagement, including the nature of the community, its leadership style, project ownership, project management approach, and incentives for community participation. Failure to satisfy one or more of these requirements may result in expulsion from the community (Gilchrist, 2009</w:t>
      </w:r>
      <w:r w:rsidR="004661C0" w:rsidRPr="00790E8C">
        <w:rPr>
          <w:color w:val="0E101A"/>
          <w:sz w:val="28"/>
          <w:szCs w:val="28"/>
        </w:rPr>
        <w:t>)</w:t>
      </w:r>
      <w:r w:rsidRPr="00790E8C">
        <w:rPr>
          <w:color w:val="0E101A"/>
          <w:sz w:val="28"/>
          <w:szCs w:val="28"/>
        </w:rPr>
        <w:t>. Community development as a long-term approach for poverty reduction is ensured via community empowerment, which equips communities with the ability to solve socioeconomic and sociological challenges on their initiative. The participation of the community is essential to the success of the program. This is due to the high demand for the water systems in the surrounding area. The phrase "participation" refers to the "engagement" of a local person in a particular effort. Engagement is comprised of five major components: identification, decision-making, planning, execution, and evaluation. Identification is the first step in the engagement process (Moon,2004). Although all recipients are participating, a water project in Havant Thicket, near Portsmouth, United Kingdom, is being pushed forward.</w:t>
      </w:r>
    </w:p>
    <w:p w14:paraId="7F5269B2" w14:textId="77777777" w:rsidR="00C5563B" w:rsidRPr="00790E8C" w:rsidRDefault="000759A8" w:rsidP="00790E8C">
      <w:pPr>
        <w:pStyle w:val="NormalWeb"/>
        <w:spacing w:line="480" w:lineRule="auto"/>
        <w:contextualSpacing/>
        <w:jc w:val="both"/>
        <w:rPr>
          <w:b/>
          <w:bCs/>
          <w:color w:val="0E101A"/>
          <w:sz w:val="28"/>
          <w:szCs w:val="28"/>
        </w:rPr>
      </w:pPr>
      <w:r w:rsidRPr="00790E8C">
        <w:rPr>
          <w:b/>
          <w:bCs/>
          <w:color w:val="0E101A"/>
          <w:sz w:val="28"/>
          <w:szCs w:val="28"/>
        </w:rPr>
        <w:t>Community Engagement Principles</w:t>
      </w:r>
    </w:p>
    <w:p w14:paraId="47AFAE5F" w14:textId="26928FD8" w:rsidR="00790E8C" w:rsidRDefault="000759A8" w:rsidP="00790E8C">
      <w:pPr>
        <w:pStyle w:val="NormalWeb"/>
        <w:spacing w:line="480" w:lineRule="auto"/>
        <w:contextualSpacing/>
        <w:jc w:val="both"/>
        <w:rPr>
          <w:color w:val="0E101A"/>
          <w:sz w:val="28"/>
          <w:szCs w:val="28"/>
        </w:rPr>
      </w:pPr>
      <w:r w:rsidRPr="00790E8C">
        <w:rPr>
          <w:color w:val="0E101A"/>
          <w:sz w:val="28"/>
          <w:szCs w:val="28"/>
        </w:rPr>
        <w:t>Having a strategy for community engagement is crucial since community involvement is critical for collecting finances and gaining the support necessary to achieve your objectives. A thriving, healthy, and equitable community requires the support of institutions and organizations committed to the same goals as the</w:t>
      </w:r>
    </w:p>
    <w:p w14:paraId="4A32EC7E" w14:textId="5FA51BF2" w:rsidR="00790E8C" w:rsidRPr="00790E8C" w:rsidRDefault="00790E8C" w:rsidP="00790E8C">
      <w:pPr>
        <w:pStyle w:val="Heading1"/>
        <w:tabs>
          <w:tab w:val="left" w:pos="1680"/>
        </w:tabs>
        <w:spacing w:line="480" w:lineRule="auto"/>
        <w:jc w:val="both"/>
        <w:rPr>
          <w:rFonts w:ascii="Times New Roman" w:hAnsi="Times New Roman"/>
          <w:sz w:val="28"/>
          <w:szCs w:val="28"/>
        </w:rPr>
      </w:pPr>
      <w:r>
        <w:rPr>
          <w:rFonts w:ascii="Times New Roman" w:eastAsia="TimesNewRomanPSMT" w:hAnsi="Times New Roman"/>
          <w:color w:val="000000" w:themeColor="text1"/>
          <w:sz w:val="28"/>
          <w:szCs w:val="28"/>
        </w:rPr>
        <w:lastRenderedPageBreak/>
        <w:t>STUDENT ID: 2029965</w:t>
      </w:r>
    </w:p>
    <w:p w14:paraId="17ADDE4F" w14:textId="39C15DA9" w:rsidR="00C5563B" w:rsidRPr="00790E8C" w:rsidRDefault="000759A8" w:rsidP="00790E8C">
      <w:pPr>
        <w:pStyle w:val="NormalWeb"/>
        <w:spacing w:line="480" w:lineRule="auto"/>
        <w:contextualSpacing/>
        <w:jc w:val="both"/>
        <w:rPr>
          <w:color w:val="0E101A"/>
          <w:sz w:val="28"/>
          <w:szCs w:val="28"/>
        </w:rPr>
      </w:pPr>
      <w:r w:rsidRPr="00790E8C">
        <w:rPr>
          <w:color w:val="0E101A"/>
          <w:sz w:val="28"/>
          <w:szCs w:val="28"/>
        </w:rPr>
        <w:t>community. A commitment is a method through which everyone gets a say in creating and implementing community involvement initiatives and programs (Chow‐Thomas, 2020). To choose which services to give, local governments rely on community organizations that have studied and engaged their respective regions. Participating citizens are more inclined to cherish decisions that bring the community together when they say how such services are provided. They begin to realize that they are a part of something much greater than themselves and that their actions impact the transformation process in which they are involved.</w:t>
      </w:r>
    </w:p>
    <w:p w14:paraId="04362DEE" w14:textId="77777777" w:rsidR="00C5563B" w:rsidRPr="00790E8C" w:rsidRDefault="000759A8" w:rsidP="00790E8C">
      <w:pPr>
        <w:pStyle w:val="NormalWeb"/>
        <w:spacing w:before="0" w:line="480" w:lineRule="auto"/>
        <w:contextualSpacing/>
        <w:jc w:val="both"/>
        <w:rPr>
          <w:b/>
          <w:bCs/>
          <w:color w:val="0E101A"/>
          <w:sz w:val="28"/>
          <w:szCs w:val="28"/>
        </w:rPr>
      </w:pPr>
      <w:r w:rsidRPr="00790E8C">
        <w:rPr>
          <w:b/>
          <w:bCs/>
          <w:color w:val="0E101A"/>
          <w:sz w:val="28"/>
          <w:szCs w:val="28"/>
        </w:rPr>
        <w:t>Standards</w:t>
      </w:r>
    </w:p>
    <w:p w14:paraId="2D8CC3E7" w14:textId="5C2E01E2" w:rsidR="00C5563B" w:rsidRPr="00790E8C" w:rsidRDefault="000759A8" w:rsidP="00790E8C">
      <w:pPr>
        <w:pStyle w:val="NormalWeb"/>
        <w:spacing w:before="0" w:line="480" w:lineRule="auto"/>
        <w:ind w:firstLine="720"/>
        <w:contextualSpacing/>
        <w:jc w:val="both"/>
        <w:rPr>
          <w:b/>
          <w:bCs/>
          <w:color w:val="0E101A"/>
          <w:sz w:val="28"/>
          <w:szCs w:val="28"/>
        </w:rPr>
      </w:pPr>
      <w:r w:rsidRPr="00790E8C">
        <w:rPr>
          <w:color w:val="0E101A"/>
          <w:sz w:val="28"/>
          <w:szCs w:val="28"/>
        </w:rPr>
        <w:t>When reviewing and approving project submissions, each company has its own set of regulations and criteria. Frequently, financial benefits are expressed in payback time, internal return rates, and reduced cash flow (Day, 2006). It is possible that additional business procedures, such as a standardized approach for presenting a business case and authorizing spending, may be necessary to complete capital expenditure projects successfully.</w:t>
      </w:r>
    </w:p>
    <w:p w14:paraId="0C44307D" w14:textId="77777777" w:rsidR="00C5563B" w:rsidRPr="00790E8C" w:rsidRDefault="000759A8" w:rsidP="00790E8C">
      <w:pPr>
        <w:pStyle w:val="NormalWeb"/>
        <w:spacing w:line="480" w:lineRule="auto"/>
        <w:contextualSpacing/>
        <w:jc w:val="both"/>
        <w:rPr>
          <w:color w:val="0E101A"/>
          <w:sz w:val="28"/>
          <w:szCs w:val="28"/>
        </w:rPr>
      </w:pPr>
      <w:r w:rsidRPr="00790E8C">
        <w:rPr>
          <w:b/>
          <w:bCs/>
          <w:color w:val="0E101A"/>
          <w:sz w:val="28"/>
          <w:szCs w:val="28"/>
        </w:rPr>
        <w:t>Benefits of stakeholder participation in the project</w:t>
      </w:r>
    </w:p>
    <w:p w14:paraId="5F048297" w14:textId="003D9295" w:rsidR="00790E8C" w:rsidRDefault="000759A8" w:rsidP="00790E8C">
      <w:pPr>
        <w:pStyle w:val="NormalWeb"/>
        <w:spacing w:before="0" w:beforeAutospacing="0" w:after="0" w:line="480" w:lineRule="auto"/>
        <w:contextualSpacing/>
        <w:jc w:val="both"/>
        <w:rPr>
          <w:color w:val="0E101A"/>
          <w:sz w:val="28"/>
          <w:szCs w:val="28"/>
        </w:rPr>
      </w:pPr>
      <w:r w:rsidRPr="00790E8C">
        <w:rPr>
          <w:color w:val="0E101A"/>
          <w:sz w:val="28"/>
          <w:szCs w:val="28"/>
        </w:rPr>
        <w:t>To ensure the long-term viability of water management systems, stakeholders must be involved in the process. The willingness to completely commit to efforts to accomplish this objective is still a source of skepticism. To</w:t>
      </w:r>
    </w:p>
    <w:p w14:paraId="2A6842C8" w14:textId="552CFCA0" w:rsidR="00790E8C" w:rsidRPr="00790E8C" w:rsidRDefault="00790E8C" w:rsidP="00790E8C">
      <w:pPr>
        <w:pStyle w:val="Heading1"/>
        <w:tabs>
          <w:tab w:val="left" w:pos="1680"/>
        </w:tabs>
        <w:spacing w:line="480" w:lineRule="auto"/>
        <w:jc w:val="both"/>
        <w:rPr>
          <w:rFonts w:ascii="Times New Roman" w:hAnsi="Times New Roman"/>
          <w:sz w:val="28"/>
          <w:szCs w:val="28"/>
        </w:rPr>
      </w:pPr>
      <w:r>
        <w:rPr>
          <w:rFonts w:ascii="Times New Roman" w:eastAsia="TimesNewRomanPSMT" w:hAnsi="Times New Roman"/>
          <w:color w:val="000000" w:themeColor="text1"/>
          <w:sz w:val="28"/>
          <w:szCs w:val="28"/>
        </w:rPr>
        <w:lastRenderedPageBreak/>
        <w:t>STUDENT ID: 2029965</w:t>
      </w:r>
    </w:p>
    <w:p w14:paraId="2F04EE66" w14:textId="4B12C6FA" w:rsidR="00C5563B" w:rsidRPr="00790E8C" w:rsidRDefault="000759A8" w:rsidP="00790E8C">
      <w:pPr>
        <w:pStyle w:val="NormalWeb"/>
        <w:spacing w:before="0" w:beforeAutospacing="0" w:after="0" w:line="480" w:lineRule="auto"/>
        <w:contextualSpacing/>
        <w:jc w:val="both"/>
        <w:rPr>
          <w:color w:val="0E101A"/>
          <w:sz w:val="28"/>
          <w:szCs w:val="28"/>
        </w:rPr>
      </w:pPr>
      <w:r w:rsidRPr="00790E8C">
        <w:rPr>
          <w:color w:val="0E101A"/>
          <w:sz w:val="28"/>
          <w:szCs w:val="28"/>
        </w:rPr>
        <w:t>encourage stakeholder engagement, it stresses that the issue is not one of water (</w:t>
      </w:r>
      <w:r w:rsidR="007C29F5" w:rsidRPr="00790E8C">
        <w:rPr>
          <w:color w:val="0E101A"/>
          <w:sz w:val="28"/>
          <w:szCs w:val="28"/>
        </w:rPr>
        <w:t>Potter et al., 2011</w:t>
      </w:r>
      <w:r w:rsidRPr="00790E8C">
        <w:rPr>
          <w:color w:val="0E101A"/>
          <w:sz w:val="28"/>
          <w:szCs w:val="28"/>
        </w:rPr>
        <w:t>). Recent initiatives in economics, agriculture, public health, the environment, entrepreneurship, and education should include participation from many participants. Although it is a sensitive subject, water managers need to maintain communication with their constituents. Some people must manage their water resources; for others, it is a wonderful benefit. Everyone, including humans and ecosystems, is reliant on water, which is utilized for a wide range of reasons, some of which are in direct competition with one another</w:t>
      </w:r>
      <w:r w:rsidR="00D51ECC" w:rsidRPr="00790E8C">
        <w:rPr>
          <w:color w:val="0E101A"/>
          <w:sz w:val="28"/>
          <w:szCs w:val="28"/>
        </w:rPr>
        <w:t xml:space="preserve"> (Kliskey et al., 2021)</w:t>
      </w:r>
      <w:r w:rsidRPr="00790E8C">
        <w:rPr>
          <w:color w:val="0E101A"/>
          <w:sz w:val="28"/>
          <w:szCs w:val="28"/>
        </w:rPr>
        <w:t xml:space="preserve">. As traditional approaches to water resource management encounter increasing restrictions, we may see an increase in the number of water-related issues in the future. IWM necessitates the integration of technology and scientific knowledge and the engagement of the </w:t>
      </w:r>
      <w:proofErr w:type="gramStart"/>
      <w:r w:rsidRPr="00790E8C">
        <w:rPr>
          <w:color w:val="0E101A"/>
          <w:sz w:val="28"/>
          <w:szCs w:val="28"/>
        </w:rPr>
        <w:t>general public</w:t>
      </w:r>
      <w:proofErr w:type="gramEnd"/>
      <w:r w:rsidRPr="00790E8C">
        <w:rPr>
          <w:color w:val="0E101A"/>
          <w:sz w:val="28"/>
          <w:szCs w:val="28"/>
        </w:rPr>
        <w:t xml:space="preserve"> (Gilchrist, 2009). The European Union's Directive places a strong emphasis on stakeholder participation in water management, which is essential to integrated planning.</w:t>
      </w:r>
    </w:p>
    <w:p w14:paraId="6B3A815D" w14:textId="009A593F" w:rsidR="00C5563B" w:rsidRPr="00790E8C" w:rsidRDefault="000759A8" w:rsidP="00790E8C">
      <w:pPr>
        <w:pStyle w:val="NormalWeb"/>
        <w:spacing w:before="0" w:beforeAutospacing="0" w:after="0" w:line="480" w:lineRule="auto"/>
        <w:ind w:firstLine="720"/>
        <w:contextualSpacing/>
        <w:jc w:val="both"/>
        <w:rPr>
          <w:color w:val="0E101A"/>
          <w:sz w:val="28"/>
          <w:szCs w:val="28"/>
        </w:rPr>
      </w:pPr>
      <w:r w:rsidRPr="00790E8C">
        <w:rPr>
          <w:color w:val="0E101A"/>
          <w:sz w:val="28"/>
          <w:szCs w:val="28"/>
        </w:rPr>
        <w:t xml:space="preserve">Catchment management plans must consider the needs, experiences, and interests of the people who live in the area. It is demonstrated in this resource how to include stakeholders in water management decisions </w:t>
      </w:r>
      <w:proofErr w:type="gramStart"/>
      <w:r w:rsidRPr="00790E8C">
        <w:rPr>
          <w:color w:val="0E101A"/>
          <w:sz w:val="28"/>
          <w:szCs w:val="28"/>
        </w:rPr>
        <w:t>through the use of</w:t>
      </w:r>
      <w:proofErr w:type="gramEnd"/>
      <w:r w:rsidRPr="00790E8C">
        <w:rPr>
          <w:color w:val="0E101A"/>
          <w:sz w:val="28"/>
          <w:szCs w:val="28"/>
        </w:rPr>
        <w:t xml:space="preserve"> stakeholder analysis</w:t>
      </w:r>
      <w:r w:rsidR="007C29F5" w:rsidRPr="00790E8C">
        <w:rPr>
          <w:color w:val="0E101A"/>
          <w:sz w:val="28"/>
          <w:szCs w:val="28"/>
        </w:rPr>
        <w:t xml:space="preserve"> (Potter et al., 2011)</w:t>
      </w:r>
      <w:r w:rsidRPr="00790E8C">
        <w:rPr>
          <w:color w:val="0E101A"/>
          <w:sz w:val="28"/>
          <w:szCs w:val="28"/>
        </w:rPr>
        <w:t>. To engage stakeholders in a water project from the beginning, this method was used from the beginning.</w:t>
      </w:r>
    </w:p>
    <w:p w14:paraId="3464153A" w14:textId="39E45D32" w:rsidR="00790E8C" w:rsidRPr="00790E8C" w:rsidRDefault="00790E8C" w:rsidP="00790E8C">
      <w:pPr>
        <w:pStyle w:val="Heading1"/>
        <w:tabs>
          <w:tab w:val="left" w:pos="1680"/>
        </w:tabs>
        <w:spacing w:line="480" w:lineRule="auto"/>
        <w:jc w:val="both"/>
        <w:rPr>
          <w:rFonts w:ascii="Times New Roman" w:hAnsi="Times New Roman"/>
          <w:sz w:val="28"/>
          <w:szCs w:val="28"/>
        </w:rPr>
      </w:pPr>
      <w:r>
        <w:rPr>
          <w:rFonts w:ascii="Times New Roman" w:eastAsia="TimesNewRomanPSMT" w:hAnsi="Times New Roman"/>
          <w:color w:val="000000" w:themeColor="text1"/>
          <w:sz w:val="28"/>
          <w:szCs w:val="28"/>
        </w:rPr>
        <w:lastRenderedPageBreak/>
        <w:t>STUDENT ID: 2029965</w:t>
      </w:r>
    </w:p>
    <w:p w14:paraId="3E81C379" w14:textId="243F887E" w:rsidR="00C5563B" w:rsidRPr="00790E8C" w:rsidRDefault="000759A8" w:rsidP="00790E8C">
      <w:pPr>
        <w:pStyle w:val="NormalWeb"/>
        <w:spacing w:before="0" w:beforeAutospacing="0" w:after="0" w:line="480" w:lineRule="auto"/>
        <w:ind w:firstLine="720"/>
        <w:contextualSpacing/>
        <w:jc w:val="both"/>
        <w:rPr>
          <w:color w:val="0E101A"/>
          <w:sz w:val="28"/>
          <w:szCs w:val="28"/>
        </w:rPr>
      </w:pPr>
      <w:r w:rsidRPr="00790E8C">
        <w:rPr>
          <w:color w:val="0E101A"/>
          <w:sz w:val="28"/>
          <w:szCs w:val="28"/>
        </w:rPr>
        <w:t>It is also possible that the power and influence will impact the success of a project. The term "power" refers to the "capacity" of stakeholders to impact the project's implementation</w:t>
      </w:r>
      <w:r w:rsidR="005C2641" w:rsidRPr="00790E8C">
        <w:rPr>
          <w:color w:val="0E101A"/>
          <w:sz w:val="28"/>
          <w:szCs w:val="28"/>
        </w:rPr>
        <w:t xml:space="preserve"> (Kliskey et al., 2021)</w:t>
      </w:r>
      <w:r w:rsidRPr="00790E8C">
        <w:rPr>
          <w:color w:val="0E101A"/>
          <w:sz w:val="28"/>
          <w:szCs w:val="28"/>
        </w:rPr>
        <w:t xml:space="preserve">. It is important to make use of electricity in addition to preserving and regulating its consumption. To begin, it is necessary to determine </w:t>
      </w:r>
      <w:proofErr w:type="gramStart"/>
      <w:r w:rsidRPr="00790E8C">
        <w:rPr>
          <w:color w:val="0E101A"/>
          <w:sz w:val="28"/>
          <w:szCs w:val="28"/>
        </w:rPr>
        <w:t>whether or not</w:t>
      </w:r>
      <w:proofErr w:type="gramEnd"/>
      <w:r w:rsidRPr="00790E8C">
        <w:rPr>
          <w:color w:val="0E101A"/>
          <w:sz w:val="28"/>
          <w:szCs w:val="28"/>
        </w:rPr>
        <w:t xml:space="preserve"> a stakeholder is capable of taking action and what plans and capabilities it currently holds (Day, 2006). Following a failure, it is important to assess if a shareholder has harmed the company's continued existence, if not on its extinction. Maintain and expand connections with important stakeholders and develop and execute ways for including them in the process.</w:t>
      </w:r>
    </w:p>
    <w:p w14:paraId="1334C802" w14:textId="3EBD75AE" w:rsidR="00C5563B" w:rsidRPr="00790E8C" w:rsidRDefault="000759A8" w:rsidP="00790E8C">
      <w:pPr>
        <w:pStyle w:val="NormalWeb"/>
        <w:spacing w:before="0" w:beforeAutospacing="0" w:after="0" w:line="480" w:lineRule="auto"/>
        <w:ind w:firstLine="720"/>
        <w:contextualSpacing/>
        <w:jc w:val="both"/>
        <w:rPr>
          <w:color w:val="0E101A"/>
          <w:sz w:val="28"/>
          <w:szCs w:val="28"/>
        </w:rPr>
      </w:pPr>
      <w:r w:rsidRPr="00790E8C">
        <w:rPr>
          <w:color w:val="0E101A"/>
          <w:sz w:val="28"/>
          <w:szCs w:val="28"/>
        </w:rPr>
        <w:t>All parties must work together to flourish and rule. It is necessary to develop a water allocation plan that considers the social and economic elements of water consumption to ensure that everyone has access to sufficient supplies</w:t>
      </w:r>
      <w:r w:rsidR="00D96598" w:rsidRPr="00790E8C">
        <w:rPr>
          <w:color w:val="0E101A"/>
          <w:sz w:val="28"/>
          <w:szCs w:val="28"/>
        </w:rPr>
        <w:t xml:space="preserve"> </w:t>
      </w:r>
      <w:r w:rsidRPr="00790E8C">
        <w:rPr>
          <w:color w:val="0E101A"/>
          <w:sz w:val="28"/>
          <w:szCs w:val="28"/>
        </w:rPr>
        <w:t xml:space="preserve">(Gilchrist, 2009). When it comes to bringing different industries together, we are very opposed to it. Several ministries are discussing the formation of inter-ministerial water councils. The Ministry of Planning or the Ministry of Finance </w:t>
      </w:r>
      <w:proofErr w:type="gramStart"/>
      <w:r w:rsidRPr="00790E8C">
        <w:rPr>
          <w:color w:val="0E101A"/>
          <w:sz w:val="28"/>
          <w:szCs w:val="28"/>
        </w:rPr>
        <w:t>is in charge of</w:t>
      </w:r>
      <w:proofErr w:type="gramEnd"/>
      <w:r w:rsidRPr="00790E8C">
        <w:rPr>
          <w:color w:val="0E101A"/>
          <w:sz w:val="28"/>
          <w:szCs w:val="28"/>
        </w:rPr>
        <w:t xml:space="preserve"> the organization (such as irrigation, which is the dominant sector in many cases). Nongovernmental organizations (NGOs) are encouraged to expand due to the councils, which bring together people, trade and professional organizations, and nongovernmental organizations (NGOs).</w:t>
      </w:r>
    </w:p>
    <w:p w14:paraId="05050922" w14:textId="08D80B94" w:rsidR="00790E8C" w:rsidRPr="00790E8C" w:rsidRDefault="00790E8C" w:rsidP="00790E8C">
      <w:pPr>
        <w:pStyle w:val="Heading1"/>
        <w:tabs>
          <w:tab w:val="left" w:pos="1680"/>
        </w:tabs>
        <w:spacing w:line="480" w:lineRule="auto"/>
        <w:jc w:val="both"/>
        <w:rPr>
          <w:rFonts w:ascii="Times New Roman" w:hAnsi="Times New Roman"/>
          <w:sz w:val="28"/>
          <w:szCs w:val="28"/>
        </w:rPr>
      </w:pPr>
      <w:r>
        <w:rPr>
          <w:rFonts w:ascii="Times New Roman" w:eastAsia="TimesNewRomanPSMT" w:hAnsi="Times New Roman"/>
          <w:color w:val="000000" w:themeColor="text1"/>
          <w:sz w:val="28"/>
          <w:szCs w:val="28"/>
        </w:rPr>
        <w:lastRenderedPageBreak/>
        <w:t>STUDENT ID: 2029965</w:t>
      </w:r>
    </w:p>
    <w:p w14:paraId="6AE9C067" w14:textId="1A8F42DE" w:rsidR="00C5563B" w:rsidRPr="00790E8C" w:rsidRDefault="000759A8" w:rsidP="00790E8C">
      <w:pPr>
        <w:pStyle w:val="NormalWeb"/>
        <w:spacing w:before="0" w:beforeAutospacing="0" w:after="0" w:line="480" w:lineRule="auto"/>
        <w:ind w:firstLine="720"/>
        <w:contextualSpacing/>
        <w:jc w:val="both"/>
        <w:rPr>
          <w:color w:val="0E101A"/>
          <w:sz w:val="28"/>
          <w:szCs w:val="28"/>
        </w:rPr>
      </w:pPr>
      <w:r w:rsidRPr="00790E8C">
        <w:rPr>
          <w:color w:val="0E101A"/>
          <w:sz w:val="28"/>
          <w:szCs w:val="28"/>
        </w:rPr>
        <w:t>Similarly, designed systems can be built at the river or drainage basin level. It is possible to utilize institutional analysis to examine the role and duties of nongovernmental organizations (NGOs) in the planning and implementing water resources, particularly during the strategy design phase of water resource evaluation. They must be invited to participate in this process because they participate in the development and execution of strategy. The assistance of resident associations and professional groups may be available.</w:t>
      </w:r>
    </w:p>
    <w:p w14:paraId="24871ACB" w14:textId="77777777" w:rsidR="00C5563B" w:rsidRPr="00790E8C" w:rsidRDefault="000759A8" w:rsidP="00790E8C">
      <w:pPr>
        <w:pStyle w:val="NormalWeb"/>
        <w:spacing w:before="0" w:line="480" w:lineRule="auto"/>
        <w:contextualSpacing/>
        <w:jc w:val="both"/>
        <w:rPr>
          <w:b/>
          <w:bCs/>
          <w:color w:val="0E101A"/>
          <w:sz w:val="28"/>
          <w:szCs w:val="28"/>
        </w:rPr>
      </w:pPr>
      <w:r w:rsidRPr="00790E8C">
        <w:rPr>
          <w:b/>
          <w:bCs/>
          <w:color w:val="0E101A"/>
          <w:sz w:val="28"/>
          <w:szCs w:val="28"/>
        </w:rPr>
        <w:t>Activist Organizations in Your Neighborhood</w:t>
      </w:r>
      <w:bookmarkStart w:id="0" w:name="_Toc78740120"/>
      <w:bookmarkEnd w:id="0"/>
    </w:p>
    <w:p w14:paraId="6E1B9C75" w14:textId="184CE105" w:rsidR="00C5563B" w:rsidRPr="00790E8C" w:rsidRDefault="000759A8" w:rsidP="00790E8C">
      <w:pPr>
        <w:pStyle w:val="NormalWeb"/>
        <w:spacing w:before="0" w:beforeAutospacing="0" w:after="0" w:line="480" w:lineRule="auto"/>
        <w:ind w:firstLine="720"/>
        <w:contextualSpacing/>
        <w:jc w:val="both"/>
        <w:rPr>
          <w:color w:val="0E101A"/>
          <w:sz w:val="28"/>
          <w:szCs w:val="28"/>
        </w:rPr>
      </w:pPr>
      <w:r w:rsidRPr="00790E8C">
        <w:rPr>
          <w:color w:val="0E101A"/>
          <w:sz w:val="28"/>
          <w:szCs w:val="28"/>
        </w:rPr>
        <w:t>Communities were involved in the planning, administration, and upkeep of water supply and sanitation infrastructure from the very beginning of the project. In the future, this will also be done in the same manner (Calderwood, 2019). Organizations that are both membership-based and non-member-based give possibilities for community involvement. According to the research, while community participation in the sector, plan creation, and administration are universally viewed as vital, they are often insufficient to meet gender complexity and concerns about equal treatment</w:t>
      </w:r>
      <w:r w:rsidR="007C29F5" w:rsidRPr="00790E8C">
        <w:rPr>
          <w:color w:val="0E101A"/>
          <w:sz w:val="28"/>
          <w:szCs w:val="28"/>
        </w:rPr>
        <w:t xml:space="preserve"> (Creaney et al., 2020)</w:t>
      </w:r>
      <w:r w:rsidRPr="00790E8C">
        <w:rPr>
          <w:color w:val="0E101A"/>
          <w:sz w:val="28"/>
          <w:szCs w:val="28"/>
        </w:rPr>
        <w:t>. The planning and management structure should consider community feedback and encourage you to get more active in the process overall.</w:t>
      </w:r>
    </w:p>
    <w:p w14:paraId="344E35FB" w14:textId="77777777" w:rsidR="00C5563B" w:rsidRPr="00790E8C" w:rsidRDefault="000759A8" w:rsidP="00790E8C">
      <w:pPr>
        <w:pStyle w:val="NormalWeb"/>
        <w:spacing w:before="0" w:line="480" w:lineRule="auto"/>
        <w:contextualSpacing/>
        <w:jc w:val="both"/>
        <w:rPr>
          <w:b/>
          <w:iCs/>
          <w:color w:val="0E101A"/>
          <w:sz w:val="28"/>
          <w:szCs w:val="28"/>
        </w:rPr>
      </w:pPr>
      <w:r w:rsidRPr="00790E8C">
        <w:rPr>
          <w:b/>
          <w:iCs/>
          <w:color w:val="0E101A"/>
          <w:sz w:val="28"/>
          <w:szCs w:val="28"/>
        </w:rPr>
        <w:t>Professional associations</w:t>
      </w:r>
    </w:p>
    <w:p w14:paraId="6CF3985B" w14:textId="6340DA05" w:rsidR="00790E8C" w:rsidRPr="00790E8C" w:rsidRDefault="00790E8C" w:rsidP="00790E8C">
      <w:pPr>
        <w:pStyle w:val="Heading1"/>
        <w:tabs>
          <w:tab w:val="left" w:pos="1680"/>
        </w:tabs>
        <w:spacing w:line="480" w:lineRule="auto"/>
        <w:jc w:val="both"/>
        <w:rPr>
          <w:rFonts w:ascii="Times New Roman" w:hAnsi="Times New Roman"/>
          <w:sz w:val="28"/>
          <w:szCs w:val="28"/>
        </w:rPr>
      </w:pPr>
      <w:r>
        <w:rPr>
          <w:rFonts w:ascii="Times New Roman" w:eastAsia="TimesNewRomanPSMT" w:hAnsi="Times New Roman"/>
          <w:color w:val="000000" w:themeColor="text1"/>
          <w:sz w:val="28"/>
          <w:szCs w:val="28"/>
        </w:rPr>
        <w:lastRenderedPageBreak/>
        <w:t>STUDENT ID: 2029965</w:t>
      </w:r>
    </w:p>
    <w:p w14:paraId="3779B33A" w14:textId="046334F7" w:rsidR="00C5563B" w:rsidRPr="00790E8C" w:rsidRDefault="000759A8" w:rsidP="00790E8C">
      <w:pPr>
        <w:pStyle w:val="NormalWeb"/>
        <w:spacing w:before="0" w:beforeAutospacing="0" w:after="0" w:line="480" w:lineRule="auto"/>
        <w:ind w:firstLine="720"/>
        <w:contextualSpacing/>
        <w:jc w:val="both"/>
        <w:rPr>
          <w:color w:val="0E101A"/>
          <w:sz w:val="28"/>
          <w:szCs w:val="28"/>
        </w:rPr>
      </w:pPr>
      <w:r w:rsidRPr="00790E8C">
        <w:rPr>
          <w:color w:val="0E101A"/>
          <w:sz w:val="28"/>
          <w:szCs w:val="28"/>
        </w:rPr>
        <w:t xml:space="preserve">For decades, nongovernmental organizations from all over the world have worked to enhance the water infrastructure of industrialized countries. They will help government agencies, consultancies, manufacturers, and industry carry out their responsibilities while also including the </w:t>
      </w:r>
      <w:proofErr w:type="gramStart"/>
      <w:r w:rsidRPr="00790E8C">
        <w:rPr>
          <w:color w:val="0E101A"/>
          <w:sz w:val="28"/>
          <w:szCs w:val="28"/>
        </w:rPr>
        <w:t>general public</w:t>
      </w:r>
      <w:proofErr w:type="gramEnd"/>
      <w:r w:rsidRPr="00790E8C">
        <w:rPr>
          <w:color w:val="0E101A"/>
          <w:sz w:val="28"/>
          <w:szCs w:val="28"/>
        </w:rPr>
        <w:t xml:space="preserve"> in the process.</w:t>
      </w:r>
    </w:p>
    <w:p w14:paraId="52DD9821" w14:textId="77777777" w:rsidR="00C5563B" w:rsidRPr="00790E8C" w:rsidRDefault="000759A8" w:rsidP="00790E8C">
      <w:pPr>
        <w:pStyle w:val="NormalWeb"/>
        <w:spacing w:before="0" w:line="480" w:lineRule="auto"/>
        <w:contextualSpacing/>
        <w:jc w:val="both"/>
        <w:rPr>
          <w:b/>
          <w:color w:val="0E101A"/>
          <w:sz w:val="28"/>
          <w:szCs w:val="28"/>
        </w:rPr>
      </w:pPr>
      <w:r w:rsidRPr="00790E8C">
        <w:rPr>
          <w:b/>
          <w:color w:val="0E101A"/>
          <w:sz w:val="28"/>
          <w:szCs w:val="28"/>
        </w:rPr>
        <w:t>Use of social media platforms to support the project</w:t>
      </w:r>
    </w:p>
    <w:p w14:paraId="1A21FE96" w14:textId="49F8E6EE" w:rsidR="00C5563B" w:rsidRPr="00790E8C" w:rsidRDefault="000759A8" w:rsidP="00790E8C">
      <w:pPr>
        <w:pStyle w:val="NormalWeb"/>
        <w:spacing w:before="0" w:beforeAutospacing="0" w:after="0" w:line="480" w:lineRule="auto"/>
        <w:contextualSpacing/>
        <w:jc w:val="both"/>
        <w:rPr>
          <w:color w:val="0E101A"/>
          <w:sz w:val="28"/>
          <w:szCs w:val="28"/>
        </w:rPr>
      </w:pPr>
      <w:r w:rsidRPr="00790E8C">
        <w:rPr>
          <w:color w:val="0E101A"/>
          <w:sz w:val="28"/>
          <w:szCs w:val="28"/>
        </w:rPr>
        <w:t xml:space="preserve">The promotion of water conservation efforts will be carried out by social marketing and behaviour professionals who will identify and contact potential consumers to provide them with information, tools, and monetary incentives. To raise awareness about water conservation, it was decided to launch a new campaign across several social media sites, including Twitter, Facebook, and Instagram. After that, the researchers performed a poll of the </w:t>
      </w:r>
      <w:proofErr w:type="gramStart"/>
      <w:r w:rsidRPr="00790E8C">
        <w:rPr>
          <w:color w:val="0E101A"/>
          <w:sz w:val="28"/>
          <w:szCs w:val="28"/>
        </w:rPr>
        <w:t>general public</w:t>
      </w:r>
      <w:proofErr w:type="gramEnd"/>
      <w:r w:rsidRPr="00790E8C">
        <w:rPr>
          <w:color w:val="0E101A"/>
          <w:sz w:val="28"/>
          <w:szCs w:val="28"/>
        </w:rPr>
        <w:t>. The entire team will develop a campaign to raise awareness of the looming water crisis and encourage people to adopt water-saving habits and practices</w:t>
      </w:r>
      <w:r w:rsidR="00D96598" w:rsidRPr="00790E8C">
        <w:rPr>
          <w:color w:val="0E101A"/>
          <w:sz w:val="28"/>
          <w:szCs w:val="28"/>
        </w:rPr>
        <w:t xml:space="preserve"> </w:t>
      </w:r>
      <w:r w:rsidRPr="00790E8C">
        <w:rPr>
          <w:color w:val="0E101A"/>
          <w:sz w:val="28"/>
          <w:szCs w:val="28"/>
        </w:rPr>
        <w:t xml:space="preserve">(Day, 2006). Increased attention to the global water problem can be achieved via the use of social media. The following are some techniques for achieving your objectives </w:t>
      </w:r>
      <w:proofErr w:type="gramStart"/>
      <w:r w:rsidRPr="00790E8C">
        <w:rPr>
          <w:color w:val="0E101A"/>
          <w:sz w:val="28"/>
          <w:szCs w:val="28"/>
        </w:rPr>
        <w:t>through the use of</w:t>
      </w:r>
      <w:proofErr w:type="gramEnd"/>
      <w:r w:rsidRPr="00790E8C">
        <w:rPr>
          <w:color w:val="0E101A"/>
          <w:sz w:val="28"/>
          <w:szCs w:val="28"/>
        </w:rPr>
        <w:t xml:space="preserve"> social media platforms</w:t>
      </w:r>
    </w:p>
    <w:p w14:paraId="253076BE" w14:textId="77777777" w:rsidR="00C5563B" w:rsidRPr="00790E8C" w:rsidRDefault="000759A8" w:rsidP="00790E8C">
      <w:pPr>
        <w:pStyle w:val="NormalWeb"/>
        <w:numPr>
          <w:ilvl w:val="0"/>
          <w:numId w:val="1"/>
        </w:numPr>
        <w:tabs>
          <w:tab w:val="clear" w:pos="420"/>
        </w:tabs>
        <w:spacing w:before="0" w:beforeAutospacing="0" w:after="0" w:line="480" w:lineRule="auto"/>
        <w:contextualSpacing/>
        <w:jc w:val="both"/>
        <w:rPr>
          <w:color w:val="0E101A"/>
          <w:sz w:val="28"/>
          <w:szCs w:val="28"/>
        </w:rPr>
      </w:pPr>
      <w:r w:rsidRPr="00790E8C">
        <w:rPr>
          <w:color w:val="0E101A"/>
          <w:sz w:val="28"/>
          <w:szCs w:val="28"/>
        </w:rPr>
        <w:t xml:space="preserve">Sensitize the </w:t>
      </w:r>
      <w:proofErr w:type="gramStart"/>
      <w:r w:rsidRPr="00790E8C">
        <w:rPr>
          <w:color w:val="0E101A"/>
          <w:sz w:val="28"/>
          <w:szCs w:val="28"/>
        </w:rPr>
        <w:t>general public</w:t>
      </w:r>
      <w:proofErr w:type="gramEnd"/>
      <w:r w:rsidRPr="00790E8C">
        <w:rPr>
          <w:color w:val="0E101A"/>
          <w:sz w:val="28"/>
          <w:szCs w:val="28"/>
        </w:rPr>
        <w:t xml:space="preserve"> to the imminent worldwide water crisis that is looming.</w:t>
      </w:r>
    </w:p>
    <w:p w14:paraId="59784EF4" w14:textId="77777777" w:rsidR="00790E8C" w:rsidRDefault="00790E8C" w:rsidP="00790E8C">
      <w:pPr>
        <w:pStyle w:val="NormalWeb"/>
        <w:tabs>
          <w:tab w:val="left" w:pos="420"/>
        </w:tabs>
        <w:spacing w:before="0" w:beforeAutospacing="0" w:after="0" w:line="480" w:lineRule="auto"/>
        <w:ind w:left="420"/>
        <w:contextualSpacing/>
        <w:jc w:val="both"/>
        <w:rPr>
          <w:color w:val="0E101A"/>
          <w:sz w:val="28"/>
          <w:szCs w:val="28"/>
        </w:rPr>
      </w:pPr>
    </w:p>
    <w:p w14:paraId="17133DC1" w14:textId="6CC00EA0" w:rsidR="00790E8C" w:rsidRPr="00790E8C" w:rsidRDefault="00790E8C" w:rsidP="00790E8C">
      <w:pPr>
        <w:pStyle w:val="Heading1"/>
        <w:tabs>
          <w:tab w:val="left" w:pos="1680"/>
        </w:tabs>
        <w:spacing w:line="480" w:lineRule="auto"/>
        <w:jc w:val="both"/>
        <w:rPr>
          <w:rFonts w:ascii="Times New Roman" w:hAnsi="Times New Roman"/>
          <w:sz w:val="28"/>
          <w:szCs w:val="28"/>
        </w:rPr>
      </w:pPr>
      <w:r>
        <w:rPr>
          <w:rFonts w:ascii="Times New Roman" w:eastAsia="TimesNewRomanPSMT" w:hAnsi="Times New Roman"/>
          <w:color w:val="000000" w:themeColor="text1"/>
          <w:sz w:val="28"/>
          <w:szCs w:val="28"/>
        </w:rPr>
        <w:lastRenderedPageBreak/>
        <w:t>STUDENT ID: 2029965</w:t>
      </w:r>
    </w:p>
    <w:p w14:paraId="4F481DFB" w14:textId="7779CF51" w:rsidR="00C5563B" w:rsidRPr="00790E8C" w:rsidRDefault="000759A8" w:rsidP="00790E8C">
      <w:pPr>
        <w:pStyle w:val="NormalWeb"/>
        <w:tabs>
          <w:tab w:val="left" w:pos="420"/>
        </w:tabs>
        <w:spacing w:before="0" w:beforeAutospacing="0" w:after="0" w:line="480" w:lineRule="auto"/>
        <w:ind w:left="420"/>
        <w:contextualSpacing/>
        <w:jc w:val="both"/>
        <w:rPr>
          <w:color w:val="0E101A"/>
          <w:sz w:val="28"/>
          <w:szCs w:val="28"/>
        </w:rPr>
      </w:pPr>
      <w:r w:rsidRPr="00790E8C">
        <w:rPr>
          <w:color w:val="0E101A"/>
          <w:sz w:val="28"/>
          <w:szCs w:val="28"/>
        </w:rPr>
        <w:t>Celebrities, activists, and influencers were asked to pass the word along to their friends and followers via text messages and e-mails sent to their addresses.</w:t>
      </w:r>
    </w:p>
    <w:p w14:paraId="1CB3008D" w14:textId="77777777" w:rsidR="00C5563B" w:rsidRPr="00790E8C" w:rsidRDefault="000759A8" w:rsidP="00790E8C">
      <w:pPr>
        <w:pStyle w:val="NormalWeb"/>
        <w:numPr>
          <w:ilvl w:val="0"/>
          <w:numId w:val="1"/>
        </w:numPr>
        <w:tabs>
          <w:tab w:val="clear" w:pos="420"/>
        </w:tabs>
        <w:spacing w:before="0" w:beforeAutospacing="0" w:after="0" w:line="480" w:lineRule="auto"/>
        <w:contextualSpacing/>
        <w:jc w:val="both"/>
        <w:rPr>
          <w:color w:val="0E101A"/>
          <w:sz w:val="28"/>
          <w:szCs w:val="28"/>
        </w:rPr>
      </w:pPr>
      <w:r w:rsidRPr="00790E8C">
        <w:rPr>
          <w:color w:val="0E101A"/>
          <w:sz w:val="28"/>
          <w:szCs w:val="28"/>
        </w:rPr>
        <w:t>To encourage and promote water-related hashtags in global water discussions by allowing and encouraging users to do so.</w:t>
      </w:r>
    </w:p>
    <w:p w14:paraId="1A28D6F3" w14:textId="77777777" w:rsidR="00C5563B" w:rsidRPr="00790E8C" w:rsidRDefault="000759A8" w:rsidP="00790E8C">
      <w:pPr>
        <w:pStyle w:val="NormalWeb"/>
        <w:numPr>
          <w:ilvl w:val="0"/>
          <w:numId w:val="1"/>
        </w:numPr>
        <w:tabs>
          <w:tab w:val="clear" w:pos="420"/>
        </w:tabs>
        <w:spacing w:before="0" w:beforeAutospacing="0" w:after="0" w:line="480" w:lineRule="auto"/>
        <w:contextualSpacing/>
        <w:jc w:val="both"/>
        <w:rPr>
          <w:color w:val="0E101A"/>
          <w:sz w:val="28"/>
          <w:szCs w:val="28"/>
        </w:rPr>
      </w:pPr>
      <w:r w:rsidRPr="00790E8C">
        <w:rPr>
          <w:color w:val="0E101A"/>
          <w:sz w:val="28"/>
          <w:szCs w:val="28"/>
        </w:rPr>
        <w:t>Make it known what folks may do to help prevent a water shortage.</w:t>
      </w:r>
    </w:p>
    <w:p w14:paraId="2BCAE4D2" w14:textId="1EFE0BFC" w:rsidR="00C5563B" w:rsidRPr="00790E8C" w:rsidRDefault="000759A8" w:rsidP="00790E8C">
      <w:pPr>
        <w:pStyle w:val="NormalWeb"/>
        <w:spacing w:before="0" w:beforeAutospacing="0" w:after="0" w:line="480" w:lineRule="auto"/>
        <w:contextualSpacing/>
        <w:jc w:val="both"/>
        <w:rPr>
          <w:color w:val="0E101A"/>
          <w:sz w:val="28"/>
          <w:szCs w:val="28"/>
        </w:rPr>
      </w:pPr>
      <w:r w:rsidRPr="00790E8C">
        <w:rPr>
          <w:color w:val="0E101A"/>
          <w:sz w:val="28"/>
          <w:szCs w:val="28"/>
        </w:rPr>
        <w:t>If you want to raise awareness, make sure that your message is clear and easily understood by everyone (Calderwood, 2019). The Best Writers Rating may be used online and offline by those who generate websites, such as bloggers. Water-related concerns may be followed on social media. Using social media, you can keep up to date on subjects such as safe drinking water supplies, the frequency of water-related illnesses, and even mortality. To keep you up to date on current happenings, some well-known accounts have been included.</w:t>
      </w:r>
    </w:p>
    <w:p w14:paraId="21B91D24" w14:textId="77777777" w:rsidR="00C5563B" w:rsidRPr="00790E8C" w:rsidRDefault="000759A8" w:rsidP="00790E8C">
      <w:pPr>
        <w:pStyle w:val="NormalWeb"/>
        <w:spacing w:before="0" w:line="480" w:lineRule="auto"/>
        <w:contextualSpacing/>
        <w:jc w:val="both"/>
        <w:rPr>
          <w:b/>
          <w:color w:val="0E101A"/>
          <w:sz w:val="28"/>
          <w:szCs w:val="28"/>
        </w:rPr>
      </w:pPr>
      <w:r w:rsidRPr="00790E8C">
        <w:rPr>
          <w:b/>
          <w:color w:val="0E101A"/>
          <w:sz w:val="28"/>
          <w:szCs w:val="28"/>
        </w:rPr>
        <w:t>Socio-cultural integration and multi-culturalism</w:t>
      </w:r>
    </w:p>
    <w:p w14:paraId="6F3B8C5E" w14:textId="1418450B" w:rsidR="00790E8C" w:rsidRDefault="000759A8" w:rsidP="00790E8C">
      <w:pPr>
        <w:pStyle w:val="NormalWeb"/>
        <w:spacing w:before="0" w:beforeAutospacing="0" w:after="0" w:line="480" w:lineRule="auto"/>
        <w:contextualSpacing/>
        <w:jc w:val="both"/>
        <w:rPr>
          <w:bCs/>
          <w:color w:val="0E101A"/>
          <w:sz w:val="28"/>
          <w:szCs w:val="28"/>
        </w:rPr>
      </w:pPr>
      <w:r w:rsidRPr="00790E8C">
        <w:rPr>
          <w:bCs/>
          <w:color w:val="0E101A"/>
          <w:sz w:val="28"/>
          <w:szCs w:val="28"/>
        </w:rPr>
        <w:t>To distinguish it from other scales, this one is referred to be multicultural ideology. A large majority of people believe that cultural variety is good to society and individuals and that it should be available to everyone (</w:t>
      </w:r>
      <w:r w:rsidR="007C29F5" w:rsidRPr="00790E8C">
        <w:rPr>
          <w:bCs/>
          <w:color w:val="0E101A"/>
          <w:sz w:val="28"/>
          <w:szCs w:val="28"/>
        </w:rPr>
        <w:t>that is</w:t>
      </w:r>
      <w:r w:rsidRPr="00790E8C">
        <w:rPr>
          <w:bCs/>
          <w:color w:val="0E101A"/>
          <w:sz w:val="28"/>
          <w:szCs w:val="28"/>
        </w:rPr>
        <w:t>., there is a high value on contact and participation). It is possible to identify traits that indicate a desire to modify one's cultural traditions to conform to the norms of other culture</w:t>
      </w:r>
      <w:r w:rsidR="00D96598" w:rsidRPr="00790E8C">
        <w:rPr>
          <w:bCs/>
          <w:color w:val="0E101A"/>
          <w:sz w:val="28"/>
          <w:szCs w:val="28"/>
        </w:rPr>
        <w:t xml:space="preserve"> </w:t>
      </w:r>
      <w:r w:rsidRPr="00790E8C">
        <w:rPr>
          <w:bCs/>
          <w:color w:val="0E101A"/>
          <w:sz w:val="28"/>
          <w:szCs w:val="28"/>
        </w:rPr>
        <w:t>(</w:t>
      </w:r>
      <w:r w:rsidRPr="00790E8C">
        <w:rPr>
          <w:color w:val="0E101A"/>
          <w:sz w:val="28"/>
          <w:szCs w:val="28"/>
        </w:rPr>
        <w:t>Chow‐Thomas, 2020)</w:t>
      </w:r>
      <w:r w:rsidRPr="00790E8C">
        <w:rPr>
          <w:bCs/>
          <w:color w:val="0E101A"/>
          <w:sz w:val="28"/>
          <w:szCs w:val="28"/>
        </w:rPr>
        <w:t>. Both sides of the tale were given, which is why people</w:t>
      </w:r>
    </w:p>
    <w:p w14:paraId="38E7DD4E" w14:textId="021D6B60" w:rsidR="00790E8C" w:rsidRPr="00790E8C" w:rsidRDefault="00790E8C" w:rsidP="00790E8C">
      <w:pPr>
        <w:pStyle w:val="Heading1"/>
        <w:tabs>
          <w:tab w:val="left" w:pos="1680"/>
        </w:tabs>
        <w:spacing w:line="480" w:lineRule="auto"/>
        <w:jc w:val="both"/>
        <w:rPr>
          <w:rFonts w:ascii="Times New Roman" w:hAnsi="Times New Roman"/>
          <w:sz w:val="28"/>
          <w:szCs w:val="28"/>
        </w:rPr>
      </w:pPr>
      <w:r>
        <w:rPr>
          <w:rFonts w:ascii="Times New Roman" w:eastAsia="TimesNewRomanPSMT" w:hAnsi="Times New Roman"/>
          <w:color w:val="000000" w:themeColor="text1"/>
          <w:sz w:val="28"/>
          <w:szCs w:val="28"/>
        </w:rPr>
        <w:lastRenderedPageBreak/>
        <w:t>STUDENT ID: 2029965</w:t>
      </w:r>
    </w:p>
    <w:p w14:paraId="559FA12E" w14:textId="5A84EF94" w:rsidR="00C5563B" w:rsidRPr="00790E8C" w:rsidRDefault="000759A8" w:rsidP="00790E8C">
      <w:pPr>
        <w:pStyle w:val="NormalWeb"/>
        <w:spacing w:before="0" w:beforeAutospacing="0" w:after="0" w:line="480" w:lineRule="auto"/>
        <w:contextualSpacing/>
        <w:jc w:val="both"/>
        <w:rPr>
          <w:bCs/>
          <w:color w:val="0E101A"/>
          <w:sz w:val="28"/>
          <w:szCs w:val="28"/>
        </w:rPr>
      </w:pPr>
      <w:r w:rsidRPr="00790E8C">
        <w:rPr>
          <w:bCs/>
          <w:color w:val="0E101A"/>
          <w:sz w:val="28"/>
          <w:szCs w:val="28"/>
        </w:rPr>
        <w:t xml:space="preserve">who cling to the traditions of their ethnic groups contribute to the betterment of the </w:t>
      </w:r>
      <w:proofErr w:type="gramStart"/>
      <w:r w:rsidRPr="00790E8C">
        <w:rPr>
          <w:bCs/>
          <w:color w:val="0E101A"/>
          <w:sz w:val="28"/>
          <w:szCs w:val="28"/>
        </w:rPr>
        <w:t>world.</w:t>
      </w:r>
      <w:proofErr w:type="gramEnd"/>
      <w:r w:rsidRPr="00790E8C">
        <w:rPr>
          <w:bCs/>
          <w:color w:val="0E101A"/>
          <w:sz w:val="28"/>
          <w:szCs w:val="28"/>
        </w:rPr>
        <w:t xml:space="preserve"> While other civilizations are being preserved, ethnic communities need to prioritize preserving their traditions over the preservation of other civilizations. In addition, the significance of variety in society, for instance, "A society with a diverse ethnic group is better prepared to deal with new issues as they arise". A community-wide open debate, priority determination, project design, and resource mobilization were all necessary to ensure this initiative's success. Growing access to water, power, </w:t>
      </w:r>
      <w:proofErr w:type="gramStart"/>
      <w:r w:rsidRPr="00790E8C">
        <w:rPr>
          <w:bCs/>
          <w:color w:val="0E101A"/>
          <w:sz w:val="28"/>
          <w:szCs w:val="28"/>
        </w:rPr>
        <w:t>education</w:t>
      </w:r>
      <w:proofErr w:type="gramEnd"/>
      <w:r w:rsidRPr="00790E8C">
        <w:rPr>
          <w:bCs/>
          <w:color w:val="0E101A"/>
          <w:sz w:val="28"/>
          <w:szCs w:val="28"/>
        </w:rPr>
        <w:t xml:space="preserve"> and economic opportunities on a global scale is a priority. Communities should agree on how to arrange elections in which community members must vote for one male and one female candidate for each position</w:t>
      </w:r>
      <w:r w:rsidRPr="00790E8C">
        <w:rPr>
          <w:color w:val="0E101A"/>
          <w:sz w:val="28"/>
          <w:szCs w:val="28"/>
        </w:rPr>
        <w:t xml:space="preserve"> (Calderwood, 2019)</w:t>
      </w:r>
      <w:r w:rsidRPr="00790E8C">
        <w:rPr>
          <w:bCs/>
          <w:color w:val="0E101A"/>
          <w:sz w:val="28"/>
          <w:szCs w:val="28"/>
        </w:rPr>
        <w:t>. Following their vote on the previous project or activity, community members could vote on a second project or activity.</w:t>
      </w:r>
    </w:p>
    <w:p w14:paraId="67F736E7" w14:textId="77777777" w:rsidR="00C5563B" w:rsidRPr="00790E8C" w:rsidRDefault="000759A8" w:rsidP="00790E8C">
      <w:pPr>
        <w:pStyle w:val="NormalWeb"/>
        <w:spacing w:before="0" w:beforeAutospacing="0" w:after="0" w:line="480" w:lineRule="auto"/>
        <w:contextualSpacing/>
        <w:jc w:val="both"/>
        <w:rPr>
          <w:bCs/>
          <w:color w:val="0E101A"/>
          <w:sz w:val="28"/>
          <w:szCs w:val="28"/>
        </w:rPr>
      </w:pPr>
      <w:r w:rsidRPr="00790E8C">
        <w:rPr>
          <w:b/>
          <w:bCs/>
          <w:color w:val="0E101A"/>
          <w:sz w:val="28"/>
          <w:szCs w:val="28"/>
        </w:rPr>
        <w:t>Conclusion</w:t>
      </w:r>
    </w:p>
    <w:p w14:paraId="2AD454A1" w14:textId="3DACF414" w:rsidR="00790E8C" w:rsidRDefault="000759A8" w:rsidP="00790E8C">
      <w:pPr>
        <w:pStyle w:val="NormalWeb"/>
        <w:spacing w:before="0" w:beforeAutospacing="0" w:after="0" w:line="480" w:lineRule="auto"/>
        <w:ind w:firstLine="720"/>
        <w:contextualSpacing/>
        <w:jc w:val="both"/>
        <w:rPr>
          <w:color w:val="0E101A"/>
          <w:sz w:val="28"/>
          <w:szCs w:val="28"/>
        </w:rPr>
      </w:pPr>
      <w:r w:rsidRPr="00790E8C">
        <w:rPr>
          <w:color w:val="0E101A"/>
          <w:sz w:val="28"/>
          <w:szCs w:val="28"/>
        </w:rPr>
        <w:t>Effective public participation necessitates the presence of a listening ear. A wide range of interactive technologies has been employed for the content to be valuable, relevant, and trustworthy. What went wrong, and what did we do to rectify the situation if this is the case? When setting project objectives, planners should consider the following factors: It is necessary to consider factors such as time, money, history, and leadership. In addition, the power of the public to</w:t>
      </w:r>
    </w:p>
    <w:p w14:paraId="03472F3A" w14:textId="2F1C7192" w:rsidR="00790E8C" w:rsidRPr="00790E8C" w:rsidRDefault="00790E8C" w:rsidP="00790E8C">
      <w:pPr>
        <w:pStyle w:val="Heading1"/>
        <w:tabs>
          <w:tab w:val="left" w:pos="1680"/>
        </w:tabs>
        <w:spacing w:line="480" w:lineRule="auto"/>
        <w:jc w:val="both"/>
        <w:rPr>
          <w:rFonts w:ascii="Times New Roman" w:hAnsi="Times New Roman"/>
          <w:sz w:val="28"/>
          <w:szCs w:val="28"/>
        </w:rPr>
      </w:pPr>
      <w:r>
        <w:rPr>
          <w:rFonts w:ascii="Times New Roman" w:eastAsia="TimesNewRomanPSMT" w:hAnsi="Times New Roman"/>
          <w:color w:val="000000" w:themeColor="text1"/>
          <w:sz w:val="28"/>
          <w:szCs w:val="28"/>
        </w:rPr>
        <w:lastRenderedPageBreak/>
        <w:t>STUDENT ID: 2029965</w:t>
      </w:r>
    </w:p>
    <w:p w14:paraId="120229EA" w14:textId="2EBF7DBB" w:rsidR="00C5563B" w:rsidRPr="00790E8C" w:rsidRDefault="000759A8" w:rsidP="00790E8C">
      <w:pPr>
        <w:pStyle w:val="NormalWeb"/>
        <w:spacing w:before="0" w:beforeAutospacing="0" w:after="0" w:line="480" w:lineRule="auto"/>
        <w:ind w:firstLine="720"/>
        <w:contextualSpacing/>
        <w:jc w:val="both"/>
        <w:rPr>
          <w:bCs/>
          <w:color w:val="0E101A"/>
          <w:sz w:val="28"/>
          <w:szCs w:val="28"/>
        </w:rPr>
      </w:pPr>
      <w:r w:rsidRPr="00790E8C">
        <w:rPr>
          <w:color w:val="0E101A"/>
          <w:sz w:val="28"/>
          <w:szCs w:val="28"/>
        </w:rPr>
        <w:t xml:space="preserve">influence the planning process is discussed in detail. Various means of informing the public can reach out to them in the lowest time possible. For a plan to be successful, it must first be demonstrated to upper-level management. The presentation "Taming Tactics" offered various viewpoints on the purpose of planning strategies and how to use them effectively. In the session, attendees were given a checklist of important items to consider while establishing procedures. Those responsible for planning should be pleased with their achievements </w:t>
      </w:r>
      <w:proofErr w:type="gramStart"/>
      <w:r w:rsidRPr="00790E8C">
        <w:rPr>
          <w:color w:val="0E101A"/>
          <w:sz w:val="28"/>
          <w:szCs w:val="28"/>
        </w:rPr>
        <w:t>as a consequence of</w:t>
      </w:r>
      <w:proofErr w:type="gramEnd"/>
      <w:r w:rsidRPr="00790E8C">
        <w:rPr>
          <w:color w:val="0E101A"/>
          <w:sz w:val="28"/>
          <w:szCs w:val="28"/>
        </w:rPr>
        <w:t xml:space="preserve"> a team effort. Collaboration with all stakeholders is a top focus for the organization. Planners need to understand the goals of the community they are working with. Not an individual undertaking, but a group effort is required for effective planning. Create and put into action new ideas for the future of the community. Everyone should be made to feel welcome and included in the process.</w:t>
      </w:r>
    </w:p>
    <w:p w14:paraId="780EC25B" w14:textId="77777777" w:rsidR="00C5563B" w:rsidRPr="00790E8C" w:rsidRDefault="00C5563B" w:rsidP="00790E8C">
      <w:pPr>
        <w:pStyle w:val="NormalWeb"/>
        <w:spacing w:before="0" w:beforeAutospacing="0" w:after="0" w:line="480" w:lineRule="auto"/>
        <w:contextualSpacing/>
        <w:jc w:val="both"/>
        <w:rPr>
          <w:color w:val="0E101A"/>
          <w:sz w:val="28"/>
          <w:szCs w:val="28"/>
        </w:rPr>
      </w:pPr>
    </w:p>
    <w:p w14:paraId="694320C8" w14:textId="77777777" w:rsidR="00C5563B" w:rsidRPr="00790E8C" w:rsidRDefault="00C5563B" w:rsidP="00790E8C">
      <w:pPr>
        <w:pStyle w:val="NormalWeb"/>
        <w:spacing w:before="0" w:beforeAutospacing="0" w:after="0" w:line="480" w:lineRule="auto"/>
        <w:contextualSpacing/>
        <w:jc w:val="both"/>
        <w:rPr>
          <w:color w:val="0E101A"/>
          <w:sz w:val="28"/>
          <w:szCs w:val="28"/>
        </w:rPr>
      </w:pPr>
    </w:p>
    <w:p w14:paraId="4F4D7F15" w14:textId="77777777" w:rsidR="00C5563B" w:rsidRPr="00790E8C" w:rsidRDefault="00C5563B" w:rsidP="00790E8C">
      <w:pPr>
        <w:pStyle w:val="NormalWeb"/>
        <w:spacing w:before="0" w:beforeAutospacing="0" w:after="0" w:line="480" w:lineRule="auto"/>
        <w:contextualSpacing/>
        <w:jc w:val="both"/>
        <w:rPr>
          <w:color w:val="0E101A"/>
          <w:sz w:val="28"/>
          <w:szCs w:val="28"/>
        </w:rPr>
      </w:pPr>
    </w:p>
    <w:p w14:paraId="6B112E14" w14:textId="77777777" w:rsidR="00C5563B" w:rsidRPr="00790E8C" w:rsidRDefault="00C5563B" w:rsidP="00790E8C">
      <w:pPr>
        <w:pStyle w:val="NormalWeb"/>
        <w:spacing w:before="0" w:beforeAutospacing="0" w:after="0" w:line="480" w:lineRule="auto"/>
        <w:contextualSpacing/>
        <w:jc w:val="both"/>
        <w:rPr>
          <w:color w:val="0E101A"/>
          <w:sz w:val="28"/>
          <w:szCs w:val="28"/>
        </w:rPr>
      </w:pPr>
    </w:p>
    <w:p w14:paraId="0D21B339" w14:textId="77777777" w:rsidR="00C5563B" w:rsidRPr="00790E8C" w:rsidRDefault="00C5563B" w:rsidP="00790E8C">
      <w:pPr>
        <w:pStyle w:val="NormalWeb"/>
        <w:spacing w:before="0" w:beforeAutospacing="0" w:after="0" w:line="480" w:lineRule="auto"/>
        <w:contextualSpacing/>
        <w:jc w:val="both"/>
        <w:rPr>
          <w:color w:val="0E101A"/>
          <w:sz w:val="28"/>
          <w:szCs w:val="28"/>
        </w:rPr>
      </w:pPr>
    </w:p>
    <w:p w14:paraId="60E55238" w14:textId="77777777" w:rsidR="00C5563B" w:rsidRPr="00790E8C" w:rsidRDefault="00C5563B" w:rsidP="00790E8C">
      <w:pPr>
        <w:pStyle w:val="NormalWeb"/>
        <w:spacing w:before="0" w:beforeAutospacing="0" w:after="0" w:line="480" w:lineRule="auto"/>
        <w:contextualSpacing/>
        <w:jc w:val="both"/>
        <w:rPr>
          <w:color w:val="0E101A"/>
          <w:sz w:val="28"/>
          <w:szCs w:val="28"/>
        </w:rPr>
      </w:pPr>
    </w:p>
    <w:p w14:paraId="34BCFE6E" w14:textId="66CB7B35" w:rsidR="00790E8C" w:rsidRDefault="00790E8C" w:rsidP="00790E8C">
      <w:pPr>
        <w:pStyle w:val="Heading1"/>
        <w:tabs>
          <w:tab w:val="left" w:pos="1680"/>
        </w:tabs>
        <w:spacing w:line="480" w:lineRule="auto"/>
        <w:jc w:val="both"/>
        <w:rPr>
          <w:rFonts w:ascii="Times New Roman" w:hAnsi="Times New Roman"/>
          <w:sz w:val="28"/>
          <w:szCs w:val="28"/>
        </w:rPr>
      </w:pPr>
      <w:r>
        <w:rPr>
          <w:rFonts w:ascii="Times New Roman" w:eastAsia="TimesNewRomanPSMT" w:hAnsi="Times New Roman"/>
          <w:color w:val="000000" w:themeColor="text1"/>
          <w:sz w:val="28"/>
          <w:szCs w:val="28"/>
        </w:rPr>
        <w:lastRenderedPageBreak/>
        <w:t>STUDENT ID: 2029965</w:t>
      </w:r>
    </w:p>
    <w:p w14:paraId="50D69D58" w14:textId="2742827D" w:rsidR="00790E8C" w:rsidRDefault="00790E8C" w:rsidP="00790E8C">
      <w:pPr>
        <w:spacing w:before="0" w:beforeAutospacing="0" w:after="0" w:line="240" w:lineRule="auto"/>
        <w:jc w:val="both"/>
        <w:rPr>
          <w:rFonts w:ascii="Times New Roman" w:hAnsi="Times New Roman"/>
          <w:b/>
          <w:bCs/>
          <w:color w:val="0E101A"/>
          <w:sz w:val="28"/>
          <w:szCs w:val="28"/>
        </w:rPr>
      </w:pPr>
    </w:p>
    <w:p w14:paraId="1ADEFF3D" w14:textId="3D94ADE8" w:rsidR="00C5563B" w:rsidRPr="00790E8C" w:rsidRDefault="000759A8" w:rsidP="00790E8C">
      <w:pPr>
        <w:spacing w:before="0" w:beforeAutospacing="0" w:after="0" w:line="240" w:lineRule="auto"/>
        <w:jc w:val="both"/>
        <w:rPr>
          <w:rFonts w:ascii="Times New Roman" w:hAnsi="Times New Roman"/>
          <w:b/>
          <w:bCs/>
          <w:color w:val="0E101A"/>
          <w:sz w:val="28"/>
          <w:szCs w:val="28"/>
        </w:rPr>
      </w:pPr>
      <w:r w:rsidRPr="00790E8C">
        <w:rPr>
          <w:rFonts w:ascii="Times New Roman" w:hAnsi="Times New Roman"/>
          <w:b/>
          <w:bCs/>
          <w:color w:val="0E101A"/>
          <w:sz w:val="28"/>
          <w:szCs w:val="28"/>
        </w:rPr>
        <w:t>Reference List</w:t>
      </w:r>
    </w:p>
    <w:p w14:paraId="07A88EA2" w14:textId="77777777" w:rsidR="00790E8C" w:rsidRDefault="00790E8C" w:rsidP="00790E8C">
      <w:pPr>
        <w:pStyle w:val="NormalWeb"/>
        <w:spacing w:before="0" w:beforeAutospacing="0" w:after="0" w:line="480" w:lineRule="auto"/>
        <w:ind w:left="720" w:hanging="720"/>
        <w:contextualSpacing/>
        <w:jc w:val="both"/>
        <w:rPr>
          <w:color w:val="0E101A"/>
          <w:sz w:val="28"/>
          <w:szCs w:val="28"/>
        </w:rPr>
      </w:pPr>
    </w:p>
    <w:p w14:paraId="77F294B5" w14:textId="62B2FD34" w:rsidR="00C5563B" w:rsidRPr="00790E8C" w:rsidRDefault="000759A8" w:rsidP="00790E8C">
      <w:pPr>
        <w:pStyle w:val="NormalWeb"/>
        <w:spacing w:before="0" w:beforeAutospacing="0" w:after="0" w:line="480" w:lineRule="auto"/>
        <w:ind w:left="720" w:hanging="720"/>
        <w:contextualSpacing/>
        <w:jc w:val="both"/>
        <w:rPr>
          <w:color w:val="0E101A"/>
          <w:sz w:val="28"/>
          <w:szCs w:val="28"/>
        </w:rPr>
      </w:pPr>
      <w:r w:rsidRPr="00790E8C">
        <w:rPr>
          <w:color w:val="0E101A"/>
          <w:sz w:val="28"/>
          <w:szCs w:val="28"/>
        </w:rPr>
        <w:t xml:space="preserve">Calderwood, J., 2019, October. ‘Homeless Monopoly’: Co-Creative Community Engagement Model for Transmedia Educational Game Design. In </w:t>
      </w:r>
      <w:r w:rsidRPr="00790E8C">
        <w:rPr>
          <w:i/>
          <w:iCs/>
          <w:color w:val="0E101A"/>
          <w:sz w:val="28"/>
          <w:szCs w:val="28"/>
        </w:rPr>
        <w:t>13th European Conference on Games Based Learning</w:t>
      </w:r>
      <w:r w:rsidRPr="00790E8C">
        <w:rPr>
          <w:color w:val="0E101A"/>
          <w:sz w:val="28"/>
          <w:szCs w:val="28"/>
        </w:rPr>
        <w:t xml:space="preserve"> (pp. 127-136). Academic Conferences International.</w:t>
      </w:r>
    </w:p>
    <w:p w14:paraId="303FE3E2" w14:textId="77777777" w:rsidR="00C5563B" w:rsidRPr="00790E8C" w:rsidRDefault="000759A8" w:rsidP="00790E8C">
      <w:pPr>
        <w:pStyle w:val="NormalWeb"/>
        <w:spacing w:before="0" w:beforeAutospacing="0" w:after="0" w:line="480" w:lineRule="auto"/>
        <w:ind w:left="720" w:hanging="720"/>
        <w:contextualSpacing/>
        <w:jc w:val="both"/>
        <w:rPr>
          <w:color w:val="0E101A"/>
          <w:sz w:val="28"/>
          <w:szCs w:val="28"/>
        </w:rPr>
      </w:pPr>
      <w:r w:rsidRPr="00790E8C">
        <w:rPr>
          <w:color w:val="0E101A"/>
          <w:sz w:val="28"/>
          <w:szCs w:val="28"/>
        </w:rPr>
        <w:t xml:space="preserve">Chow‐Thomas, A., 2020. Digital Literacy and Liberation Community Engagement. </w:t>
      </w:r>
      <w:r w:rsidRPr="00790E8C">
        <w:rPr>
          <w:i/>
          <w:iCs/>
          <w:color w:val="0E101A"/>
          <w:sz w:val="28"/>
          <w:szCs w:val="28"/>
        </w:rPr>
        <w:t>Curator: The Museum Journal</w:t>
      </w:r>
      <w:r w:rsidRPr="00790E8C">
        <w:rPr>
          <w:color w:val="0E101A"/>
          <w:sz w:val="28"/>
          <w:szCs w:val="28"/>
        </w:rPr>
        <w:t xml:space="preserve">, </w:t>
      </w:r>
      <w:r w:rsidRPr="00790E8C">
        <w:rPr>
          <w:i/>
          <w:iCs/>
          <w:color w:val="0E101A"/>
          <w:sz w:val="28"/>
          <w:szCs w:val="28"/>
        </w:rPr>
        <w:t>63</w:t>
      </w:r>
      <w:r w:rsidRPr="00790E8C">
        <w:rPr>
          <w:color w:val="0E101A"/>
          <w:sz w:val="28"/>
          <w:szCs w:val="28"/>
        </w:rPr>
        <w:t>(2), pp.265-274.</w:t>
      </w:r>
    </w:p>
    <w:p w14:paraId="1E161FF5" w14:textId="77777777" w:rsidR="00C5563B" w:rsidRPr="00790E8C" w:rsidRDefault="000759A8" w:rsidP="00790E8C">
      <w:pPr>
        <w:pStyle w:val="NormalWeb"/>
        <w:spacing w:before="0" w:beforeAutospacing="0" w:after="0" w:line="480" w:lineRule="auto"/>
        <w:ind w:left="720" w:hanging="720"/>
        <w:contextualSpacing/>
        <w:jc w:val="both"/>
        <w:rPr>
          <w:color w:val="0E101A"/>
          <w:sz w:val="28"/>
          <w:szCs w:val="28"/>
        </w:rPr>
      </w:pPr>
      <w:r w:rsidRPr="00790E8C">
        <w:rPr>
          <w:color w:val="0E101A"/>
          <w:sz w:val="28"/>
          <w:szCs w:val="28"/>
        </w:rPr>
        <w:t xml:space="preserve">Creaney, R., Currie, M., Weedon, P. and Helwig, K., 2020. Working with community researchers to enhance rural community engagement around Private Water Supplies: exploring the benefits and challenges. </w:t>
      </w:r>
      <w:r w:rsidRPr="00790E8C">
        <w:rPr>
          <w:i/>
          <w:iCs/>
          <w:color w:val="0E101A"/>
          <w:sz w:val="28"/>
          <w:szCs w:val="28"/>
        </w:rPr>
        <w:t>Qualitative Research</w:t>
      </w:r>
      <w:r w:rsidRPr="00790E8C">
        <w:rPr>
          <w:color w:val="0E101A"/>
          <w:sz w:val="28"/>
          <w:szCs w:val="28"/>
        </w:rPr>
        <w:t>, p.1468794120978883.</w:t>
      </w:r>
    </w:p>
    <w:p w14:paraId="51D4BF16" w14:textId="77777777" w:rsidR="00C5563B" w:rsidRPr="00790E8C" w:rsidRDefault="000759A8" w:rsidP="00790E8C">
      <w:pPr>
        <w:pStyle w:val="NormalWeb"/>
        <w:spacing w:before="0" w:beforeAutospacing="0" w:after="0" w:line="480" w:lineRule="auto"/>
        <w:ind w:left="720" w:hanging="720"/>
        <w:contextualSpacing/>
        <w:jc w:val="both"/>
        <w:rPr>
          <w:color w:val="0E101A"/>
          <w:sz w:val="28"/>
          <w:szCs w:val="28"/>
        </w:rPr>
      </w:pPr>
      <w:r w:rsidRPr="00790E8C">
        <w:rPr>
          <w:color w:val="0E101A"/>
          <w:sz w:val="28"/>
          <w:szCs w:val="28"/>
        </w:rPr>
        <w:t>Day, G., 2006. </w:t>
      </w:r>
      <w:r w:rsidRPr="00790E8C">
        <w:rPr>
          <w:i/>
          <w:iCs/>
          <w:color w:val="0E101A"/>
          <w:sz w:val="28"/>
          <w:szCs w:val="28"/>
        </w:rPr>
        <w:t>Community and Everyday Life</w:t>
      </w:r>
      <w:r w:rsidRPr="00790E8C">
        <w:rPr>
          <w:color w:val="0E101A"/>
          <w:sz w:val="28"/>
          <w:szCs w:val="28"/>
        </w:rPr>
        <w:t>. UK: Routledge.</w:t>
      </w:r>
    </w:p>
    <w:p w14:paraId="69B39AF6" w14:textId="77777777" w:rsidR="00C5563B" w:rsidRPr="00790E8C" w:rsidRDefault="000759A8" w:rsidP="00790E8C">
      <w:pPr>
        <w:pStyle w:val="NormalWeb"/>
        <w:spacing w:before="0" w:beforeAutospacing="0" w:after="0" w:line="480" w:lineRule="auto"/>
        <w:ind w:left="720" w:hanging="720"/>
        <w:contextualSpacing/>
        <w:jc w:val="both"/>
        <w:rPr>
          <w:color w:val="0E101A"/>
          <w:sz w:val="28"/>
          <w:szCs w:val="28"/>
        </w:rPr>
      </w:pPr>
      <w:r w:rsidRPr="00790E8C">
        <w:rPr>
          <w:color w:val="0E101A"/>
          <w:sz w:val="28"/>
          <w:szCs w:val="28"/>
        </w:rPr>
        <w:t>Gilchrist, A., 2009. The Well-Connected Community, a networking approach to Community Development. London: Policy Press PP.39-60</w:t>
      </w:r>
    </w:p>
    <w:p w14:paraId="5AA0DA62" w14:textId="0BE0757A" w:rsidR="00790E8C" w:rsidRDefault="000759A8" w:rsidP="00790E8C">
      <w:pPr>
        <w:pStyle w:val="NormalWeb"/>
        <w:spacing w:before="0" w:beforeAutospacing="0" w:after="0" w:line="480" w:lineRule="auto"/>
        <w:ind w:left="720" w:hanging="720"/>
        <w:contextualSpacing/>
        <w:jc w:val="both"/>
        <w:rPr>
          <w:color w:val="0E101A"/>
          <w:sz w:val="28"/>
          <w:szCs w:val="28"/>
        </w:rPr>
      </w:pPr>
      <w:r w:rsidRPr="00790E8C">
        <w:rPr>
          <w:color w:val="0E101A"/>
          <w:sz w:val="28"/>
          <w:szCs w:val="28"/>
        </w:rPr>
        <w:t>King, R., Hicks, J., Rassi, C., Shafique, M., Barua, D., Bhowmik, P., Das, M., Elsey, H., Questa, K., Feroze, F. and Hamade, P., 2020. A process for developing a sustainable and scalable approach to community engagement:</w:t>
      </w:r>
    </w:p>
    <w:p w14:paraId="1E6059CC" w14:textId="77777777" w:rsidR="00790E8C" w:rsidRDefault="00790E8C" w:rsidP="00790E8C">
      <w:pPr>
        <w:pStyle w:val="NormalWeb"/>
        <w:spacing w:before="0" w:beforeAutospacing="0" w:after="0" w:line="480" w:lineRule="auto"/>
        <w:ind w:left="720" w:hanging="720"/>
        <w:contextualSpacing/>
        <w:jc w:val="both"/>
        <w:rPr>
          <w:color w:val="0E101A"/>
          <w:sz w:val="28"/>
          <w:szCs w:val="28"/>
        </w:rPr>
      </w:pPr>
    </w:p>
    <w:p w14:paraId="4990D15C" w14:textId="3D0774C7" w:rsidR="00790E8C" w:rsidRPr="00790E8C" w:rsidRDefault="00790E8C" w:rsidP="00790E8C">
      <w:pPr>
        <w:pStyle w:val="Heading1"/>
        <w:tabs>
          <w:tab w:val="left" w:pos="1680"/>
        </w:tabs>
        <w:spacing w:line="480" w:lineRule="auto"/>
        <w:jc w:val="both"/>
        <w:rPr>
          <w:rFonts w:ascii="Times New Roman" w:hAnsi="Times New Roman"/>
          <w:sz w:val="28"/>
          <w:szCs w:val="28"/>
        </w:rPr>
      </w:pPr>
      <w:r>
        <w:rPr>
          <w:rFonts w:ascii="Times New Roman" w:eastAsia="TimesNewRomanPSMT" w:hAnsi="Times New Roman"/>
          <w:color w:val="000000" w:themeColor="text1"/>
          <w:sz w:val="28"/>
          <w:szCs w:val="28"/>
        </w:rPr>
        <w:lastRenderedPageBreak/>
        <w:t>STUDENT ID: 2029965</w:t>
      </w:r>
    </w:p>
    <w:p w14:paraId="5E4B56A7" w14:textId="7161A200" w:rsidR="00C5563B" w:rsidRPr="00790E8C" w:rsidRDefault="000759A8" w:rsidP="00790E8C">
      <w:pPr>
        <w:pStyle w:val="NormalWeb"/>
        <w:spacing w:before="0" w:beforeAutospacing="0" w:after="0" w:line="480" w:lineRule="auto"/>
        <w:ind w:left="720" w:hanging="720"/>
        <w:contextualSpacing/>
        <w:jc w:val="both"/>
        <w:rPr>
          <w:color w:val="0E101A"/>
          <w:sz w:val="28"/>
          <w:szCs w:val="28"/>
        </w:rPr>
      </w:pPr>
      <w:r w:rsidRPr="00790E8C">
        <w:rPr>
          <w:color w:val="0E101A"/>
          <w:sz w:val="28"/>
          <w:szCs w:val="28"/>
        </w:rPr>
        <w:t>community dialogue approach for addressing the drivers of antibiotic resistance in Bangladesh. </w:t>
      </w:r>
      <w:r w:rsidRPr="00790E8C">
        <w:rPr>
          <w:i/>
          <w:iCs/>
          <w:color w:val="0E101A"/>
          <w:sz w:val="28"/>
          <w:szCs w:val="28"/>
        </w:rPr>
        <w:t>BMC Public Health</w:t>
      </w:r>
      <w:r w:rsidRPr="00790E8C">
        <w:rPr>
          <w:color w:val="0E101A"/>
          <w:sz w:val="28"/>
          <w:szCs w:val="28"/>
        </w:rPr>
        <w:t>, </w:t>
      </w:r>
      <w:r w:rsidRPr="00790E8C">
        <w:rPr>
          <w:i/>
          <w:iCs/>
          <w:color w:val="0E101A"/>
          <w:sz w:val="28"/>
          <w:szCs w:val="28"/>
        </w:rPr>
        <w:t>20</w:t>
      </w:r>
      <w:r w:rsidRPr="00790E8C">
        <w:rPr>
          <w:color w:val="0E101A"/>
          <w:sz w:val="28"/>
          <w:szCs w:val="28"/>
        </w:rPr>
        <w:t>(1), pp.1-13.</w:t>
      </w:r>
    </w:p>
    <w:p w14:paraId="0B4820D5" w14:textId="77777777" w:rsidR="00C5563B" w:rsidRPr="00790E8C" w:rsidRDefault="000759A8" w:rsidP="00790E8C">
      <w:pPr>
        <w:pStyle w:val="NormalWeb"/>
        <w:spacing w:before="0" w:beforeAutospacing="0" w:after="0" w:line="480" w:lineRule="auto"/>
        <w:ind w:left="720" w:hanging="720"/>
        <w:contextualSpacing/>
        <w:jc w:val="both"/>
        <w:rPr>
          <w:color w:val="0E101A"/>
          <w:sz w:val="28"/>
          <w:szCs w:val="28"/>
        </w:rPr>
      </w:pPr>
      <w:r w:rsidRPr="00790E8C">
        <w:rPr>
          <w:color w:val="0E101A"/>
          <w:sz w:val="28"/>
          <w:szCs w:val="28"/>
        </w:rPr>
        <w:t xml:space="preserve">Kliskey, A., Williams, P., Griffith, D.L., Dale, V.H., Schelly, C., Marshall, A.M., Gagnon, V.S., Eaton, W.M. and Flores, K., 2021. Thinking big and thinking small: A conceptual framework for best practices in community and stakeholder engagement in food, energy, and water systems. </w:t>
      </w:r>
      <w:r w:rsidRPr="00790E8C">
        <w:rPr>
          <w:i/>
          <w:iCs/>
          <w:color w:val="0E101A"/>
          <w:sz w:val="28"/>
          <w:szCs w:val="28"/>
        </w:rPr>
        <w:t>Sustainability</w:t>
      </w:r>
      <w:r w:rsidRPr="00790E8C">
        <w:rPr>
          <w:color w:val="0E101A"/>
          <w:sz w:val="28"/>
          <w:szCs w:val="28"/>
        </w:rPr>
        <w:t xml:space="preserve">, </w:t>
      </w:r>
      <w:r w:rsidRPr="00790E8C">
        <w:rPr>
          <w:i/>
          <w:iCs/>
          <w:color w:val="0E101A"/>
          <w:sz w:val="28"/>
          <w:szCs w:val="28"/>
        </w:rPr>
        <w:t>13</w:t>
      </w:r>
      <w:r w:rsidRPr="00790E8C">
        <w:rPr>
          <w:color w:val="0E101A"/>
          <w:sz w:val="28"/>
          <w:szCs w:val="28"/>
        </w:rPr>
        <w:t>(4), p.2160.</w:t>
      </w:r>
    </w:p>
    <w:p w14:paraId="69204EE3" w14:textId="77777777" w:rsidR="00C5563B" w:rsidRPr="00790E8C" w:rsidRDefault="000759A8" w:rsidP="00790E8C">
      <w:pPr>
        <w:pStyle w:val="NormalWeb"/>
        <w:spacing w:before="0" w:beforeAutospacing="0" w:after="0" w:line="480" w:lineRule="auto"/>
        <w:ind w:left="720" w:hanging="720"/>
        <w:contextualSpacing/>
        <w:jc w:val="both"/>
        <w:rPr>
          <w:color w:val="0E101A"/>
          <w:sz w:val="28"/>
          <w:szCs w:val="28"/>
        </w:rPr>
      </w:pPr>
      <w:r w:rsidRPr="00790E8C">
        <w:rPr>
          <w:color w:val="0E101A"/>
          <w:sz w:val="28"/>
          <w:szCs w:val="28"/>
        </w:rPr>
        <w:t>Moon, J., 2004. </w:t>
      </w:r>
      <w:r w:rsidRPr="00790E8C">
        <w:rPr>
          <w:i/>
          <w:iCs/>
          <w:color w:val="0E101A"/>
          <w:sz w:val="28"/>
          <w:szCs w:val="28"/>
        </w:rPr>
        <w:t>A handbook of reflective practice and experiential learning: Theory and practice</w:t>
      </w:r>
      <w:r w:rsidRPr="00790E8C">
        <w:rPr>
          <w:color w:val="0E101A"/>
          <w:sz w:val="28"/>
          <w:szCs w:val="28"/>
        </w:rPr>
        <w:t>. UK: Routledge PP.20-39.</w:t>
      </w:r>
    </w:p>
    <w:p w14:paraId="177F4D8F" w14:textId="333CB9DD" w:rsidR="00C5563B" w:rsidRPr="00790E8C" w:rsidRDefault="000759A8" w:rsidP="00790E8C">
      <w:pPr>
        <w:pStyle w:val="NormalWeb"/>
        <w:spacing w:before="0" w:beforeAutospacing="0" w:after="0" w:line="480" w:lineRule="auto"/>
        <w:ind w:left="720" w:hanging="720"/>
        <w:contextualSpacing/>
        <w:jc w:val="both"/>
        <w:rPr>
          <w:color w:val="0E101A"/>
          <w:sz w:val="28"/>
          <w:szCs w:val="28"/>
        </w:rPr>
      </w:pPr>
      <w:r w:rsidRPr="00790E8C">
        <w:rPr>
          <w:color w:val="0E101A"/>
          <w:sz w:val="28"/>
          <w:szCs w:val="28"/>
        </w:rPr>
        <w:t>Potter, C., Newman, J., Munro, H.A. and Sandercock, L., 2011. Dealing with differences: dramas of mediating public disputes, by John Forester The role of ideas in political analysis: a portrait of contemporary debates, edited by Andreas Gofas and Colin Hay The well-connected community: a networking approach to community development by Alison Gilchrist The just city, by Susan S. Fainstein: New York, Oxford University Press, 2009, 240 pp., ISBN 978-0-19-538589-2 London, Routledge, 2009, 224 pp., ISBN 978–0–41–539156–6 2nd edn, Bristol, The Policy Press, 2009, 284 pp .</w:t>
      </w:r>
    </w:p>
    <w:p w14:paraId="09CF1A6E" w14:textId="6217DD9E" w:rsidR="00C5563B" w:rsidRPr="00790E8C" w:rsidRDefault="00C5563B" w:rsidP="00790E8C">
      <w:pPr>
        <w:pStyle w:val="NormalWeb"/>
        <w:spacing w:before="0" w:beforeAutospacing="0" w:after="0" w:afterAutospacing="0" w:line="480" w:lineRule="auto"/>
        <w:contextualSpacing/>
        <w:jc w:val="both"/>
        <w:rPr>
          <w:rFonts w:eastAsia="Calibri"/>
          <w:sz w:val="28"/>
          <w:szCs w:val="28"/>
        </w:rPr>
      </w:pPr>
    </w:p>
    <w:p w14:paraId="69359944" w14:textId="489DE2BF" w:rsidR="00C5563B" w:rsidRPr="00790E8C" w:rsidRDefault="00C5563B" w:rsidP="00790E8C">
      <w:pPr>
        <w:pStyle w:val="ListParagraph"/>
        <w:spacing w:line="480" w:lineRule="auto"/>
        <w:ind w:left="1440" w:hanging="720"/>
        <w:jc w:val="both"/>
        <w:rPr>
          <w:rFonts w:ascii="Times New Roman" w:eastAsia="Calibri" w:hAnsi="Times New Roman"/>
          <w:sz w:val="28"/>
          <w:szCs w:val="28"/>
        </w:rPr>
      </w:pPr>
    </w:p>
    <w:p w14:paraId="4845C575" w14:textId="6C1085E3" w:rsidR="00C5563B" w:rsidRPr="00790E8C" w:rsidRDefault="00C5563B" w:rsidP="00790E8C">
      <w:pPr>
        <w:pStyle w:val="ListParagraph"/>
        <w:spacing w:line="480" w:lineRule="auto"/>
        <w:ind w:left="1440" w:hanging="720"/>
        <w:jc w:val="both"/>
        <w:rPr>
          <w:rFonts w:ascii="Times New Roman" w:eastAsia="Calibri" w:hAnsi="Times New Roman"/>
          <w:sz w:val="28"/>
          <w:szCs w:val="28"/>
        </w:rPr>
      </w:pPr>
    </w:p>
    <w:p w14:paraId="37B4E7BB" w14:textId="50ED40C3" w:rsidR="00C5563B" w:rsidRPr="00790E8C" w:rsidRDefault="00C5563B" w:rsidP="00790E8C">
      <w:pPr>
        <w:pStyle w:val="ListParagraph"/>
        <w:spacing w:line="480" w:lineRule="auto"/>
        <w:ind w:left="1440" w:hanging="720"/>
        <w:jc w:val="both"/>
        <w:rPr>
          <w:rFonts w:ascii="Times New Roman" w:eastAsia="Calibri" w:hAnsi="Times New Roman"/>
          <w:sz w:val="28"/>
          <w:szCs w:val="28"/>
        </w:rPr>
      </w:pPr>
    </w:p>
    <w:p w14:paraId="322ABCB0" w14:textId="38DA56E0" w:rsidR="00C5563B" w:rsidRPr="00790E8C" w:rsidRDefault="00C5563B" w:rsidP="00790E8C">
      <w:pPr>
        <w:pStyle w:val="ListParagraph"/>
        <w:spacing w:line="480" w:lineRule="auto"/>
        <w:jc w:val="both"/>
        <w:rPr>
          <w:rFonts w:ascii="Times New Roman" w:eastAsia="Calibri" w:hAnsi="Times New Roman"/>
          <w:sz w:val="28"/>
          <w:szCs w:val="28"/>
        </w:rPr>
      </w:pPr>
    </w:p>
    <w:p w14:paraId="2C9577EB" w14:textId="2B43A7A4" w:rsidR="00C5563B" w:rsidRPr="00790E8C" w:rsidRDefault="00C5563B" w:rsidP="00790E8C">
      <w:pPr>
        <w:pStyle w:val="ListParagraph"/>
        <w:spacing w:line="480" w:lineRule="auto"/>
        <w:jc w:val="both"/>
        <w:rPr>
          <w:rFonts w:ascii="Times New Roman" w:eastAsia="Calibri" w:hAnsi="Times New Roman"/>
          <w:sz w:val="28"/>
          <w:szCs w:val="28"/>
        </w:rPr>
      </w:pPr>
    </w:p>
    <w:p w14:paraId="7D262CE3" w14:textId="5D83175E" w:rsidR="00C5563B" w:rsidRPr="00790E8C" w:rsidRDefault="00C5563B" w:rsidP="00790E8C">
      <w:pPr>
        <w:pStyle w:val="ListParagraph"/>
        <w:spacing w:line="480" w:lineRule="auto"/>
        <w:jc w:val="both"/>
        <w:rPr>
          <w:rFonts w:ascii="Times New Roman" w:eastAsia="Calibri" w:hAnsi="Times New Roman"/>
          <w:sz w:val="28"/>
          <w:szCs w:val="28"/>
        </w:rPr>
      </w:pPr>
    </w:p>
    <w:p w14:paraId="3C94FB59" w14:textId="0924545B" w:rsidR="00C5563B" w:rsidRPr="00790E8C" w:rsidRDefault="00C5563B" w:rsidP="00790E8C">
      <w:pPr>
        <w:pStyle w:val="ListParagraph"/>
        <w:spacing w:line="480" w:lineRule="auto"/>
        <w:jc w:val="both"/>
        <w:rPr>
          <w:rFonts w:ascii="Times New Roman" w:eastAsia="Calibri" w:hAnsi="Times New Roman"/>
          <w:sz w:val="28"/>
          <w:szCs w:val="28"/>
        </w:rPr>
      </w:pPr>
    </w:p>
    <w:p w14:paraId="3A7B5AFA" w14:textId="51C4ED6A" w:rsidR="00C5563B" w:rsidRPr="00790E8C" w:rsidRDefault="00C5563B" w:rsidP="00790E8C">
      <w:pPr>
        <w:pStyle w:val="ListParagraph"/>
        <w:spacing w:line="480" w:lineRule="auto"/>
        <w:jc w:val="both"/>
        <w:rPr>
          <w:rFonts w:ascii="Times New Roman" w:eastAsia="Calibri" w:hAnsi="Times New Roman"/>
          <w:sz w:val="28"/>
          <w:szCs w:val="28"/>
        </w:rPr>
      </w:pPr>
    </w:p>
    <w:p w14:paraId="295DF3E6" w14:textId="77777777" w:rsidR="00C5563B" w:rsidRPr="00790E8C" w:rsidRDefault="00C5563B" w:rsidP="00790E8C">
      <w:pPr>
        <w:spacing w:line="480" w:lineRule="auto"/>
        <w:contextualSpacing/>
        <w:jc w:val="both"/>
        <w:rPr>
          <w:rFonts w:ascii="Times New Roman" w:eastAsia="Calibri" w:hAnsi="Times New Roman"/>
          <w:color w:val="222222"/>
          <w:sz w:val="28"/>
          <w:szCs w:val="28"/>
          <w:shd w:val="clear" w:color="auto" w:fill="FFFFFF"/>
        </w:rPr>
      </w:pPr>
    </w:p>
    <w:sectPr w:rsidR="00C5563B" w:rsidRPr="00790E8C">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FFAD3" w14:textId="77777777" w:rsidR="002F0E44" w:rsidRDefault="002F0E44">
      <w:pPr>
        <w:spacing w:line="240" w:lineRule="auto"/>
      </w:pPr>
      <w:r>
        <w:separator/>
      </w:r>
    </w:p>
  </w:endnote>
  <w:endnote w:type="continuationSeparator" w:id="0">
    <w:p w14:paraId="0004AC28" w14:textId="77777777" w:rsidR="002F0E44" w:rsidRDefault="002F0E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20B0604020202020204"/>
    <w:charset w:val="00"/>
    <w:family w:val="roman"/>
    <w:pitch w:val="default"/>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5A583" w14:textId="77777777" w:rsidR="002F0E44" w:rsidRDefault="002F0E44">
      <w:pPr>
        <w:spacing w:before="0" w:after="0"/>
      </w:pPr>
      <w:r>
        <w:separator/>
      </w:r>
    </w:p>
  </w:footnote>
  <w:footnote w:type="continuationSeparator" w:id="0">
    <w:p w14:paraId="6478E413" w14:textId="77777777" w:rsidR="002F0E44" w:rsidRDefault="002F0E44">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4"/>
        <w:szCs w:val="24"/>
      </w:rPr>
      <w:id w:val="-1653440749"/>
    </w:sdtPr>
    <w:sdtEndPr/>
    <w:sdtContent>
      <w:p w14:paraId="577B7F69" w14:textId="77777777" w:rsidR="00C5563B" w:rsidRDefault="000759A8">
        <w:pPr>
          <w:pStyle w:val="Header"/>
          <w:jc w:val="right"/>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2</w:t>
        </w:r>
        <w:r>
          <w:rPr>
            <w:rFonts w:ascii="Times New Roman" w:hAnsi="Times New Roman"/>
            <w:sz w:val="24"/>
            <w:szCs w:val="24"/>
          </w:rPr>
          <w:fldChar w:fldCharType="end"/>
        </w:r>
      </w:p>
    </w:sdtContent>
  </w:sdt>
  <w:p w14:paraId="37D3B8D6" w14:textId="77777777" w:rsidR="00C5563B" w:rsidRDefault="00C556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443B6"/>
    <w:multiLevelType w:val="singleLevel"/>
    <w:tmpl w:val="223443B6"/>
    <w:lvl w:ilvl="0">
      <w:start w:val="1"/>
      <w:numFmt w:val="bullet"/>
      <w:lvlText w:val=""/>
      <w:lvlJc w:val="left"/>
      <w:pPr>
        <w:tabs>
          <w:tab w:val="left" w:pos="420"/>
        </w:tabs>
        <w:ind w:left="42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320"/>
    <w:rsid w:val="000479EE"/>
    <w:rsid w:val="000759A8"/>
    <w:rsid w:val="0016631F"/>
    <w:rsid w:val="001C2293"/>
    <w:rsid w:val="00263476"/>
    <w:rsid w:val="002D419F"/>
    <w:rsid w:val="002F0E44"/>
    <w:rsid w:val="003A0B60"/>
    <w:rsid w:val="003F1C2E"/>
    <w:rsid w:val="00437F0D"/>
    <w:rsid w:val="00446055"/>
    <w:rsid w:val="004661C0"/>
    <w:rsid w:val="00502177"/>
    <w:rsid w:val="005C2641"/>
    <w:rsid w:val="005D2320"/>
    <w:rsid w:val="006C463A"/>
    <w:rsid w:val="007729BA"/>
    <w:rsid w:val="00790E8C"/>
    <w:rsid w:val="007A6190"/>
    <w:rsid w:val="007B32B3"/>
    <w:rsid w:val="007C29F5"/>
    <w:rsid w:val="007F1C3B"/>
    <w:rsid w:val="008F2423"/>
    <w:rsid w:val="00A23F1B"/>
    <w:rsid w:val="00B16EFD"/>
    <w:rsid w:val="00B47EE1"/>
    <w:rsid w:val="00B77A44"/>
    <w:rsid w:val="00BA3C9B"/>
    <w:rsid w:val="00BC4CF1"/>
    <w:rsid w:val="00C5563B"/>
    <w:rsid w:val="00C6120C"/>
    <w:rsid w:val="00CE77D6"/>
    <w:rsid w:val="00CF6B6D"/>
    <w:rsid w:val="00D3284C"/>
    <w:rsid w:val="00D51ECC"/>
    <w:rsid w:val="00D96598"/>
    <w:rsid w:val="00DD3675"/>
    <w:rsid w:val="00E05944"/>
    <w:rsid w:val="00EC0956"/>
    <w:rsid w:val="00EE4332"/>
    <w:rsid w:val="00EF08EB"/>
    <w:rsid w:val="00F8268F"/>
    <w:rsid w:val="00FF097B"/>
    <w:rsid w:val="09496B91"/>
    <w:rsid w:val="09AE2254"/>
    <w:rsid w:val="0AA813A9"/>
    <w:rsid w:val="0FD557B0"/>
    <w:rsid w:val="10E44042"/>
    <w:rsid w:val="16922070"/>
    <w:rsid w:val="172D1CE1"/>
    <w:rsid w:val="1AA04F9F"/>
    <w:rsid w:val="24A32CDA"/>
    <w:rsid w:val="2C713BD0"/>
    <w:rsid w:val="2FCD513C"/>
    <w:rsid w:val="328C3E7A"/>
    <w:rsid w:val="3423146C"/>
    <w:rsid w:val="3635754F"/>
    <w:rsid w:val="3C104FD8"/>
    <w:rsid w:val="44645109"/>
    <w:rsid w:val="454D4205"/>
    <w:rsid w:val="47035A49"/>
    <w:rsid w:val="4BF20192"/>
    <w:rsid w:val="4D9038F7"/>
    <w:rsid w:val="5B9C062D"/>
    <w:rsid w:val="5F590A60"/>
    <w:rsid w:val="789C7F59"/>
    <w:rsid w:val="7BC510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A09B2"/>
  <w15:docId w15:val="{3A449571-C04E-E349-B080-2511F6311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00" w:beforeAutospacing="1" w:after="160" w:line="256" w:lineRule="auto"/>
    </w:pPr>
    <w:rPr>
      <w:rFonts w:ascii="Calibri" w:eastAsia="Times New Roman" w:hAnsi="Calibri" w:cs="Times New Roman"/>
      <w:sz w:val="22"/>
      <w:szCs w:val="22"/>
    </w:rPr>
  </w:style>
  <w:style w:type="paragraph" w:styleId="Heading1">
    <w:name w:val="heading 1"/>
    <w:basedOn w:val="Normal"/>
    <w:next w:val="Normal"/>
    <w:link w:val="Heading1Char"/>
    <w:uiPriority w:val="99"/>
    <w:qFormat/>
    <w:pPr>
      <w:keepNext/>
      <w:keepLines/>
      <w:widowControl w:val="0"/>
      <w:spacing w:before="240" w:beforeAutospacing="0" w:after="0"/>
      <w:outlineLvl w:val="0"/>
    </w:pPr>
    <w:rPr>
      <w:rFonts w:ascii="Calibri Light" w:eastAsia="SimSun" w:hAnsi="Calibri Light"/>
      <w:color w:val="2E75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before="0" w:after="0" w:line="240" w:lineRule="auto"/>
    </w:pPr>
  </w:style>
  <w:style w:type="paragraph" w:styleId="Header">
    <w:name w:val="header"/>
    <w:basedOn w:val="Normal"/>
    <w:link w:val="HeaderChar"/>
    <w:uiPriority w:val="99"/>
    <w:unhideWhenUsed/>
    <w:qFormat/>
    <w:pPr>
      <w:tabs>
        <w:tab w:val="center" w:pos="4680"/>
        <w:tab w:val="right" w:pos="9360"/>
      </w:tabs>
      <w:spacing w:before="0" w:after="0" w:line="240" w:lineRule="auto"/>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spacing w:after="100" w:afterAutospacing="1" w:line="240" w:lineRule="auto"/>
    </w:pPr>
    <w:rPr>
      <w:rFonts w:ascii="Times New Roman" w:hAnsi="Times New Roman"/>
      <w:sz w:val="24"/>
      <w:szCs w:val="24"/>
    </w:rPr>
  </w:style>
  <w:style w:type="paragraph" w:styleId="TOC1">
    <w:name w:val="toc 1"/>
    <w:basedOn w:val="Normal"/>
    <w:next w:val="Normal"/>
    <w:uiPriority w:val="39"/>
    <w:unhideWhenUsed/>
    <w:qFormat/>
    <w:pPr>
      <w:spacing w:after="100"/>
    </w:pPr>
  </w:style>
  <w:style w:type="character" w:customStyle="1" w:styleId="Heading1Char">
    <w:name w:val="Heading 1 Char"/>
    <w:basedOn w:val="DefaultParagraphFont"/>
    <w:link w:val="Heading1"/>
    <w:uiPriority w:val="99"/>
    <w:qFormat/>
    <w:rPr>
      <w:rFonts w:ascii="Calibri Light" w:eastAsia="SimSun" w:hAnsi="Calibri Light" w:cs="Times New Roman"/>
      <w:color w:val="2E75B5"/>
      <w:sz w:val="32"/>
      <w:szCs w:val="32"/>
    </w:rPr>
  </w:style>
  <w:style w:type="paragraph" w:customStyle="1" w:styleId="TOCHeading1">
    <w:name w:val="TOC Heading1"/>
    <w:basedOn w:val="Heading1"/>
    <w:next w:val="Normal"/>
    <w:uiPriority w:val="39"/>
    <w:qFormat/>
    <w:pPr>
      <w:outlineLvl w:val="9"/>
    </w:pPr>
  </w:style>
  <w:style w:type="paragraph" w:styleId="ListParagraph">
    <w:name w:val="List Paragraph"/>
    <w:basedOn w:val="Normal"/>
    <w:uiPriority w:val="99"/>
    <w:qFormat/>
    <w:pPr>
      <w:ind w:left="720"/>
      <w:contextualSpacing/>
    </w:pPr>
  </w:style>
  <w:style w:type="character" w:customStyle="1" w:styleId="15">
    <w:name w:val="15"/>
    <w:basedOn w:val="DefaultParagraphFont"/>
    <w:qFormat/>
    <w:rPr>
      <w:rFonts w:ascii="Times New Roman" w:hAnsi="Times New Roman" w:cs="Times New Roman" w:hint="default"/>
      <w:color w:val="0563C1"/>
      <w:u w:val="single"/>
    </w:rPr>
  </w:style>
  <w:style w:type="character" w:customStyle="1" w:styleId="16">
    <w:name w:val="16"/>
    <w:basedOn w:val="DefaultParagraphFont"/>
    <w:qFormat/>
    <w:rPr>
      <w:rFonts w:ascii="Times New Roman" w:hAnsi="Times New Roman" w:cs="Times New Roman" w:hint="default"/>
      <w:b/>
      <w:bCs/>
    </w:rPr>
  </w:style>
  <w:style w:type="character" w:customStyle="1" w:styleId="17">
    <w:name w:val="17"/>
    <w:basedOn w:val="DefaultParagraphFont"/>
    <w:qFormat/>
    <w:rPr>
      <w:rFonts w:ascii="Times New Roman" w:hAnsi="Times New Roman" w:cs="Times New Roman" w:hint="default"/>
      <w:i/>
      <w:iCs/>
    </w:rPr>
  </w:style>
  <w:style w:type="character" w:customStyle="1" w:styleId="HeaderChar">
    <w:name w:val="Header Char"/>
    <w:basedOn w:val="DefaultParagraphFont"/>
    <w:link w:val="Header"/>
    <w:uiPriority w:val="99"/>
    <w:qFormat/>
    <w:rPr>
      <w:rFonts w:ascii="Calibri" w:eastAsia="Times New Roman" w:hAnsi="Calibri" w:cs="Times New Roman"/>
    </w:rPr>
  </w:style>
  <w:style w:type="character" w:customStyle="1" w:styleId="FooterChar">
    <w:name w:val="Footer Char"/>
    <w:basedOn w:val="DefaultParagraphFont"/>
    <w:link w:val="Footer"/>
    <w:uiPriority w:val="99"/>
    <w:qFormat/>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7438">
      <w:bodyDiv w:val="1"/>
      <w:marLeft w:val="0"/>
      <w:marRight w:val="0"/>
      <w:marTop w:val="0"/>
      <w:marBottom w:val="0"/>
      <w:divBdr>
        <w:top w:val="none" w:sz="0" w:space="0" w:color="auto"/>
        <w:left w:val="none" w:sz="0" w:space="0" w:color="auto"/>
        <w:bottom w:val="none" w:sz="0" w:space="0" w:color="auto"/>
        <w:right w:val="none" w:sz="0" w:space="0" w:color="auto"/>
      </w:divBdr>
    </w:div>
    <w:div w:id="577711371">
      <w:bodyDiv w:val="1"/>
      <w:marLeft w:val="0"/>
      <w:marRight w:val="0"/>
      <w:marTop w:val="0"/>
      <w:marBottom w:val="0"/>
      <w:divBdr>
        <w:top w:val="none" w:sz="0" w:space="0" w:color="auto"/>
        <w:left w:val="none" w:sz="0" w:space="0" w:color="auto"/>
        <w:bottom w:val="none" w:sz="0" w:space="0" w:color="auto"/>
        <w:right w:val="none" w:sz="0" w:space="0" w:color="auto"/>
      </w:divBdr>
    </w:div>
    <w:div w:id="680399936">
      <w:bodyDiv w:val="1"/>
      <w:marLeft w:val="0"/>
      <w:marRight w:val="0"/>
      <w:marTop w:val="0"/>
      <w:marBottom w:val="0"/>
      <w:divBdr>
        <w:top w:val="none" w:sz="0" w:space="0" w:color="auto"/>
        <w:left w:val="none" w:sz="0" w:space="0" w:color="auto"/>
        <w:bottom w:val="none" w:sz="0" w:space="0" w:color="auto"/>
        <w:right w:val="none" w:sz="0" w:space="0" w:color="auto"/>
      </w:divBdr>
    </w:div>
    <w:div w:id="809327828">
      <w:bodyDiv w:val="1"/>
      <w:marLeft w:val="0"/>
      <w:marRight w:val="0"/>
      <w:marTop w:val="0"/>
      <w:marBottom w:val="0"/>
      <w:divBdr>
        <w:top w:val="none" w:sz="0" w:space="0" w:color="auto"/>
        <w:left w:val="none" w:sz="0" w:space="0" w:color="auto"/>
        <w:bottom w:val="none" w:sz="0" w:space="0" w:color="auto"/>
        <w:right w:val="none" w:sz="0" w:space="0" w:color="auto"/>
      </w:divBdr>
    </w:div>
    <w:div w:id="864752617">
      <w:bodyDiv w:val="1"/>
      <w:marLeft w:val="0"/>
      <w:marRight w:val="0"/>
      <w:marTop w:val="0"/>
      <w:marBottom w:val="0"/>
      <w:divBdr>
        <w:top w:val="none" w:sz="0" w:space="0" w:color="auto"/>
        <w:left w:val="none" w:sz="0" w:space="0" w:color="auto"/>
        <w:bottom w:val="none" w:sz="0" w:space="0" w:color="auto"/>
        <w:right w:val="none" w:sz="0" w:space="0" w:color="auto"/>
      </w:divBdr>
    </w:div>
    <w:div w:id="1116755399">
      <w:bodyDiv w:val="1"/>
      <w:marLeft w:val="0"/>
      <w:marRight w:val="0"/>
      <w:marTop w:val="0"/>
      <w:marBottom w:val="0"/>
      <w:divBdr>
        <w:top w:val="none" w:sz="0" w:space="0" w:color="auto"/>
        <w:left w:val="none" w:sz="0" w:space="0" w:color="auto"/>
        <w:bottom w:val="none" w:sz="0" w:space="0" w:color="auto"/>
        <w:right w:val="none" w:sz="0" w:space="0" w:color="auto"/>
      </w:divBdr>
    </w:div>
    <w:div w:id="1428042219">
      <w:bodyDiv w:val="1"/>
      <w:marLeft w:val="0"/>
      <w:marRight w:val="0"/>
      <w:marTop w:val="0"/>
      <w:marBottom w:val="0"/>
      <w:divBdr>
        <w:top w:val="none" w:sz="0" w:space="0" w:color="auto"/>
        <w:left w:val="none" w:sz="0" w:space="0" w:color="auto"/>
        <w:bottom w:val="none" w:sz="0" w:space="0" w:color="auto"/>
        <w:right w:val="none" w:sz="0" w:space="0" w:color="auto"/>
      </w:divBdr>
    </w:div>
    <w:div w:id="1638101513">
      <w:bodyDiv w:val="1"/>
      <w:marLeft w:val="0"/>
      <w:marRight w:val="0"/>
      <w:marTop w:val="0"/>
      <w:marBottom w:val="0"/>
      <w:divBdr>
        <w:top w:val="none" w:sz="0" w:space="0" w:color="auto"/>
        <w:left w:val="none" w:sz="0" w:space="0" w:color="auto"/>
        <w:bottom w:val="none" w:sz="0" w:space="0" w:color="auto"/>
        <w:right w:val="none" w:sz="0" w:space="0" w:color="auto"/>
      </w:divBdr>
    </w:div>
    <w:div w:id="1641619156">
      <w:bodyDiv w:val="1"/>
      <w:marLeft w:val="0"/>
      <w:marRight w:val="0"/>
      <w:marTop w:val="0"/>
      <w:marBottom w:val="0"/>
      <w:divBdr>
        <w:top w:val="none" w:sz="0" w:space="0" w:color="auto"/>
        <w:left w:val="none" w:sz="0" w:space="0" w:color="auto"/>
        <w:bottom w:val="none" w:sz="0" w:space="0" w:color="auto"/>
        <w:right w:val="none" w:sz="0" w:space="0" w:color="auto"/>
      </w:divBdr>
    </w:div>
    <w:div w:id="1888106477">
      <w:bodyDiv w:val="1"/>
      <w:marLeft w:val="0"/>
      <w:marRight w:val="0"/>
      <w:marTop w:val="0"/>
      <w:marBottom w:val="0"/>
      <w:divBdr>
        <w:top w:val="none" w:sz="0" w:space="0" w:color="auto"/>
        <w:left w:val="none" w:sz="0" w:space="0" w:color="auto"/>
        <w:bottom w:val="none" w:sz="0" w:space="0" w:color="auto"/>
        <w:right w:val="none" w:sz="0" w:space="0" w:color="auto"/>
      </w:divBdr>
    </w:div>
    <w:div w:id="1979070146">
      <w:bodyDiv w:val="1"/>
      <w:marLeft w:val="0"/>
      <w:marRight w:val="0"/>
      <w:marTop w:val="0"/>
      <w:marBottom w:val="0"/>
      <w:divBdr>
        <w:top w:val="none" w:sz="0" w:space="0" w:color="auto"/>
        <w:left w:val="none" w:sz="0" w:space="0" w:color="auto"/>
        <w:bottom w:val="none" w:sz="0" w:space="0" w:color="auto"/>
        <w:right w:val="none" w:sz="0" w:space="0" w:color="auto"/>
      </w:divBdr>
    </w:div>
    <w:div w:id="2068870065">
      <w:bodyDiv w:val="1"/>
      <w:marLeft w:val="0"/>
      <w:marRight w:val="0"/>
      <w:marTop w:val="0"/>
      <w:marBottom w:val="0"/>
      <w:divBdr>
        <w:top w:val="none" w:sz="0" w:space="0" w:color="auto"/>
        <w:left w:val="none" w:sz="0" w:space="0" w:color="auto"/>
        <w:bottom w:val="none" w:sz="0" w:space="0" w:color="auto"/>
        <w:right w:val="none" w:sz="0" w:space="0" w:color="auto"/>
      </w:divBdr>
    </w:div>
    <w:div w:id="2113435152">
      <w:bodyDiv w:val="1"/>
      <w:marLeft w:val="0"/>
      <w:marRight w:val="0"/>
      <w:marTop w:val="0"/>
      <w:marBottom w:val="0"/>
      <w:divBdr>
        <w:top w:val="none" w:sz="0" w:space="0" w:color="auto"/>
        <w:left w:val="none" w:sz="0" w:space="0" w:color="auto"/>
        <w:bottom w:val="none" w:sz="0" w:space="0" w:color="auto"/>
        <w:right w:val="none" w:sz="0" w:space="0" w:color="auto"/>
      </w:divBdr>
    </w:div>
    <w:div w:id="21346647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08602C-B1E5-480A-9A86-3B7E5FFF9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15</Pages>
  <Words>2632</Words>
  <Characters>15003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dc:creator>
  <cp:lastModifiedBy>michael jicu</cp:lastModifiedBy>
  <cp:revision>5</cp:revision>
  <dcterms:created xsi:type="dcterms:W3CDTF">2021-08-22T15:30:00Z</dcterms:created>
  <dcterms:modified xsi:type="dcterms:W3CDTF">2021-08-30T08:14:00Z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1033-11.2.0.10265</vt:lpwstr>
  </property>
  <property fmtid="{D5CDD505-2E9C-101B-9397-08002B2CF9AE}" pid="3" name="ICV">
    <vt:lpwstr>30B8768049B54591988DC2CEFE720698</vt:lpwstr>
  </property>
</Properties>
</file>