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BAB1B" w14:textId="165CB08C" w:rsidR="00EA30AE" w:rsidRPr="004F0982" w:rsidRDefault="00EA30AE" w:rsidP="004F0982">
      <w:pPr>
        <w:pStyle w:val="paragraph"/>
        <w:spacing w:line="480" w:lineRule="auto"/>
        <w:jc w:val="center"/>
        <w:textAlignment w:val="baseline"/>
        <w:rPr>
          <w:rStyle w:val="normaltextrun"/>
          <w:u w:val="single"/>
        </w:rPr>
      </w:pPr>
      <w:r w:rsidRPr="004F0982">
        <w:rPr>
          <w:rStyle w:val="normaltextrun"/>
          <w:u w:val="single"/>
        </w:rPr>
        <w:t>OAPA Reforms Assignment</w:t>
      </w:r>
    </w:p>
    <w:p w14:paraId="684A080C" w14:textId="36FE9F5C" w:rsidR="00EA30AE" w:rsidRPr="004F0982" w:rsidRDefault="00EA30AE" w:rsidP="004F0982">
      <w:pPr>
        <w:pStyle w:val="paragraph"/>
        <w:spacing w:line="480" w:lineRule="auto"/>
        <w:jc w:val="center"/>
        <w:textAlignment w:val="baseline"/>
        <w:rPr>
          <w:rStyle w:val="normaltextrun"/>
          <w:u w:val="single"/>
        </w:rPr>
      </w:pPr>
      <w:r w:rsidRPr="004F0982">
        <w:rPr>
          <w:rStyle w:val="normaltextrun"/>
          <w:u w:val="single"/>
        </w:rPr>
        <w:t>Faisal Shamsdin</w:t>
      </w:r>
    </w:p>
    <w:p w14:paraId="7D8FEC60" w14:textId="679FAEAE" w:rsidR="00A1470D" w:rsidRPr="004F0982" w:rsidRDefault="00A1470D" w:rsidP="004F0982">
      <w:pPr>
        <w:pStyle w:val="paragraph"/>
        <w:spacing w:line="480" w:lineRule="auto"/>
        <w:jc w:val="both"/>
        <w:textAlignment w:val="baseline"/>
      </w:pPr>
      <w:r w:rsidRPr="004F0982">
        <w:rPr>
          <w:rStyle w:val="normaltextrun"/>
        </w:rPr>
        <w:t>Non-fatal offences against the person entails a variety of offences in instances where an individual has been harmed but the harm has not led to his or her death (Rosen, 1999). A gradient scale of different offences exists which is based on the magnitude of harm that a victim is subjected to and level of intent that is shown by the accused. Offences against the person is majorly linked to the violation of the right to bodily integrity. It entails offences such as assault which refers to the apprehension of battery even in instances where none of it has yet occurred (</w:t>
      </w:r>
      <w:proofErr w:type="spellStart"/>
      <w:r w:rsidRPr="004F0982">
        <w:rPr>
          <w:rStyle w:val="normaltextrun"/>
        </w:rPr>
        <w:t>Charleton</w:t>
      </w:r>
      <w:proofErr w:type="spellEnd"/>
      <w:r w:rsidRPr="004F0982">
        <w:rPr>
          <w:rStyle w:val="normaltextrun"/>
        </w:rPr>
        <w:t>, 1992). It also includes battery which is touching of a person in an illegal manner (</w:t>
      </w:r>
      <w:proofErr w:type="spellStart"/>
      <w:r w:rsidRPr="004F0982">
        <w:rPr>
          <w:rStyle w:val="normaltextrun"/>
        </w:rPr>
        <w:t>Charleton</w:t>
      </w:r>
      <w:proofErr w:type="spellEnd"/>
      <w:r w:rsidRPr="004F0982">
        <w:rPr>
          <w:rStyle w:val="normaltextrun"/>
        </w:rPr>
        <w:t xml:space="preserve">, 1992). Assault occasioning actual bodily harm (ABH) refers to instances where the victim is subjected to injuries such as skin abrasions and bruising or actual cause of grievous bodily harm (Rosen, 1999). Another example of offence against the person is inflicting grievous bodily harm (GBH) which is </w:t>
      </w:r>
      <w:proofErr w:type="spellStart"/>
      <w:r w:rsidRPr="004F0982">
        <w:rPr>
          <w:rStyle w:val="normaltextrun"/>
        </w:rPr>
        <w:t>criminali</w:t>
      </w:r>
      <w:r w:rsidR="002D4C7D">
        <w:rPr>
          <w:rStyle w:val="normaltextrun"/>
        </w:rPr>
        <w:t>se</w:t>
      </w:r>
      <w:r w:rsidRPr="004F0982">
        <w:rPr>
          <w:rStyle w:val="normaltextrun"/>
        </w:rPr>
        <w:t>d</w:t>
      </w:r>
      <w:proofErr w:type="spellEnd"/>
      <w:r w:rsidRPr="004F0982">
        <w:rPr>
          <w:rStyle w:val="normaltextrun"/>
        </w:rPr>
        <w:t xml:space="preserve"> under section 20 of the Offences against the Person Act (Rosen, 1999). It states that this crime entails circumstances where any individual who maliciously and illegally inflicts any form of GBH on any individual or maliciously wounds with or without any use of any instrument or weapon. There have been various deliberations on the relevance of the Offences Against the Person Act in the current times. This essay will </w:t>
      </w:r>
      <w:proofErr w:type="spellStart"/>
      <w:r w:rsidR="002D4C7D">
        <w:rPr>
          <w:rStyle w:val="normaltextrun"/>
        </w:rPr>
        <w:t>criticallt</w:t>
      </w:r>
      <w:proofErr w:type="spellEnd"/>
      <w:r w:rsidR="002D4C7D">
        <w:rPr>
          <w:rStyle w:val="normaltextrun"/>
        </w:rPr>
        <w:t xml:space="preserve"> discuss t</w:t>
      </w:r>
      <w:r w:rsidRPr="004F0982">
        <w:rPr>
          <w:rStyle w:val="normaltextrun"/>
        </w:rPr>
        <w:t>he Act and the proposed reforms of the Act.</w:t>
      </w:r>
      <w:r w:rsidRPr="004F0982">
        <w:rPr>
          <w:rStyle w:val="eop"/>
        </w:rPr>
        <w:t> </w:t>
      </w:r>
    </w:p>
    <w:p w14:paraId="156C18A3" w14:textId="1B25E95A" w:rsidR="00A1470D" w:rsidRPr="004F0982" w:rsidRDefault="00A1470D" w:rsidP="004F0982">
      <w:pPr>
        <w:pStyle w:val="paragraph"/>
        <w:spacing w:line="480" w:lineRule="auto"/>
        <w:jc w:val="both"/>
        <w:textAlignment w:val="baseline"/>
      </w:pPr>
      <w:r w:rsidRPr="004F0982">
        <w:rPr>
          <w:rStyle w:val="normaltextrun"/>
        </w:rPr>
        <w:t>The following are some of the shortcomings of the Act: the language used in the Offences Against the Person Act is considered to be archaic and outdated (</w:t>
      </w:r>
      <w:proofErr w:type="spellStart"/>
      <w:r w:rsidRPr="004F0982">
        <w:rPr>
          <w:rStyle w:val="normaltextrun"/>
        </w:rPr>
        <w:t>Eugenicos</w:t>
      </w:r>
      <w:proofErr w:type="spellEnd"/>
      <w:r w:rsidRPr="004F0982">
        <w:rPr>
          <w:rStyle w:val="normaltextrun"/>
        </w:rPr>
        <w:t xml:space="preserve">, 2017). This law was enacted in 1861 hence the definitions used in the act </w:t>
      </w:r>
      <w:r w:rsidR="00206611" w:rsidRPr="004F0982">
        <w:rPr>
          <w:rStyle w:val="normaltextrun"/>
        </w:rPr>
        <w:t xml:space="preserve">are </w:t>
      </w:r>
      <w:r w:rsidRPr="004F0982">
        <w:rPr>
          <w:rStyle w:val="normaltextrun"/>
        </w:rPr>
        <w:t>old and not applicable. There are</w:t>
      </w:r>
      <w:r w:rsidR="002D4C7D">
        <w:rPr>
          <w:rStyle w:val="normaltextrun"/>
        </w:rPr>
        <w:t xml:space="preserve"> many </w:t>
      </w:r>
      <w:r w:rsidRPr="004F0982">
        <w:rPr>
          <w:rStyle w:val="normaltextrun"/>
        </w:rPr>
        <w:t xml:space="preserve">discrepancies on the meaning of malicious in line with non-fatal offences against a person. The word malicious refers to hatred or </w:t>
      </w:r>
      <w:r w:rsidR="00206611" w:rsidRPr="004F0982">
        <w:rPr>
          <w:rStyle w:val="normaltextrun"/>
        </w:rPr>
        <w:t>evil, however,</w:t>
      </w:r>
      <w:r w:rsidRPr="004F0982">
        <w:rPr>
          <w:rStyle w:val="normaltextrun"/>
        </w:rPr>
        <w:t xml:space="preserve"> legally the term malicious </w:t>
      </w:r>
      <w:r w:rsidRPr="004F0982">
        <w:rPr>
          <w:rStyle w:val="normaltextrun"/>
        </w:rPr>
        <w:lastRenderedPageBreak/>
        <w:t>refers to recklessness or intention</w:t>
      </w:r>
      <w:r w:rsidR="00206611" w:rsidRPr="004F0982">
        <w:rPr>
          <w:rStyle w:val="normaltextrun"/>
        </w:rPr>
        <w:t>al</w:t>
      </w:r>
      <w:r w:rsidR="004F0982" w:rsidRPr="004F0982">
        <w:rPr>
          <w:rStyle w:val="normaltextrun"/>
        </w:rPr>
        <w:t xml:space="preserve"> (E-law Resources)</w:t>
      </w:r>
      <w:r w:rsidRPr="004F0982">
        <w:rPr>
          <w:rStyle w:val="normaltextrun"/>
        </w:rPr>
        <w:t xml:space="preserve">. Also, there </w:t>
      </w:r>
      <w:r w:rsidR="00206611" w:rsidRPr="004F0982">
        <w:rPr>
          <w:rStyle w:val="normaltextrun"/>
        </w:rPr>
        <w:t>are f</w:t>
      </w:r>
      <w:r w:rsidRPr="004F0982">
        <w:rPr>
          <w:rStyle w:val="normaltextrun"/>
        </w:rPr>
        <w:t>urther discrepanc</w:t>
      </w:r>
      <w:r w:rsidR="002D4C7D">
        <w:rPr>
          <w:rStyle w:val="normaltextrun"/>
        </w:rPr>
        <w:t>ies</w:t>
      </w:r>
      <w:r w:rsidRPr="004F0982">
        <w:rPr>
          <w:rStyle w:val="normaltextrun"/>
        </w:rPr>
        <w:t xml:space="preserve"> in the meaning of the word “assault”. It is referred to as physical attack according to a lay person’s interpretation of the word. However, as a legal term there is no requirement of physical contact. Case</w:t>
      </w:r>
      <w:r w:rsidR="002D4C7D">
        <w:rPr>
          <w:rStyle w:val="normaltextrun"/>
        </w:rPr>
        <w:t>s</w:t>
      </w:r>
      <w:r w:rsidRPr="004F0982">
        <w:rPr>
          <w:rStyle w:val="normaltextrun"/>
        </w:rPr>
        <w:t xml:space="preserve"> such as </w:t>
      </w:r>
      <w:r w:rsidRPr="004F0982">
        <w:rPr>
          <w:rStyle w:val="normaltextrun"/>
          <w:i/>
          <w:iCs/>
        </w:rPr>
        <w:t xml:space="preserve">R v Ireland [1997] UKHL 34, R v Constanza [1997] Crim LR 576 and R v </w:t>
      </w:r>
      <w:proofErr w:type="spellStart"/>
      <w:r w:rsidRPr="004F0982">
        <w:rPr>
          <w:rStyle w:val="normaltextrun"/>
          <w:i/>
          <w:iCs/>
        </w:rPr>
        <w:t>Bustow</w:t>
      </w:r>
      <w:proofErr w:type="spellEnd"/>
      <w:r w:rsidRPr="004F0982">
        <w:rPr>
          <w:rStyle w:val="normaltextrun"/>
          <w:i/>
          <w:iCs/>
        </w:rPr>
        <w:t> [1997] UKHL 34</w:t>
      </w:r>
      <w:r w:rsidRPr="004F0982">
        <w:rPr>
          <w:rStyle w:val="normaltextrun"/>
        </w:rPr>
        <w:t xml:space="preserve"> include</w:t>
      </w:r>
      <w:r w:rsidR="002D4C7D">
        <w:rPr>
          <w:rStyle w:val="normaltextrun"/>
        </w:rPr>
        <w:t xml:space="preserve"> </w:t>
      </w:r>
      <w:r w:rsidRPr="004F0982">
        <w:rPr>
          <w:rStyle w:val="normaltextrun"/>
        </w:rPr>
        <w:t>psychiatric harm</w:t>
      </w:r>
      <w:r w:rsidR="00206611" w:rsidRPr="004F0982">
        <w:rPr>
          <w:rStyle w:val="normaltextrun"/>
        </w:rPr>
        <w:t xml:space="preserve"> </w:t>
      </w:r>
      <w:r w:rsidRPr="004F0982">
        <w:rPr>
          <w:rStyle w:val="normaltextrun"/>
        </w:rPr>
        <w:t>in the scope of</w:t>
      </w:r>
      <w:r w:rsidR="002D4C7D">
        <w:rPr>
          <w:rStyle w:val="normaltextrun"/>
        </w:rPr>
        <w:t xml:space="preserve"> the</w:t>
      </w:r>
      <w:r w:rsidRPr="004F0982">
        <w:rPr>
          <w:rStyle w:val="normaltextrun"/>
        </w:rPr>
        <w:t xml:space="preserve"> definition of bodily harm. However, this is not included on the OAPA 1861 as used under section 18, 20 and 47. The word inflict has posed difficulties in courts. It was required for it to be proof of battery or assault. In the case of </w:t>
      </w:r>
      <w:r w:rsidRPr="004F0982">
        <w:rPr>
          <w:rStyle w:val="normaltextrun"/>
          <w:i/>
          <w:iCs/>
        </w:rPr>
        <w:t>R v Wilson (1996) 2 Cr App Rep 241</w:t>
      </w:r>
      <w:r w:rsidRPr="004F0982">
        <w:rPr>
          <w:rStyle w:val="normaltextrun"/>
        </w:rPr>
        <w:t>,</w:t>
      </w:r>
      <w:r w:rsidR="002D4C7D">
        <w:rPr>
          <w:rStyle w:val="normaltextrun"/>
        </w:rPr>
        <w:t xml:space="preserve"> </w:t>
      </w:r>
      <w:r w:rsidRPr="004F0982">
        <w:rPr>
          <w:rStyle w:val="normaltextrun"/>
        </w:rPr>
        <w:t xml:space="preserve">to prove battery or assault, it was imperative to prove force application. However, in the case of </w:t>
      </w:r>
      <w:r w:rsidRPr="004F0982">
        <w:rPr>
          <w:rStyle w:val="normaltextrun"/>
          <w:i/>
          <w:iCs/>
        </w:rPr>
        <w:t>R v Martin [2001] EWCA Crim 2245</w:t>
      </w:r>
      <w:r w:rsidRPr="004F0982">
        <w:rPr>
          <w:rStyle w:val="normaltextrun"/>
        </w:rPr>
        <w:t xml:space="preserve">, the accused was held liable for the indirect application of force. For example, in the case of </w:t>
      </w:r>
      <w:r w:rsidRPr="004F0982">
        <w:rPr>
          <w:rStyle w:val="normaltextrun"/>
          <w:i/>
          <w:iCs/>
        </w:rPr>
        <w:t>R v Cunningham (1957) 2 QB 396</w:t>
      </w:r>
      <w:r w:rsidRPr="004F0982">
        <w:rPr>
          <w:rStyle w:val="normaltextrun"/>
        </w:rPr>
        <w:t>, CCA, the term maliciously has been construed to mean recklessness and not its actual definition that can create confusion between certain terms that are used in the Act.   </w:t>
      </w:r>
      <w:r w:rsidRPr="004F0982">
        <w:rPr>
          <w:rStyle w:val="eop"/>
        </w:rPr>
        <w:t> </w:t>
      </w:r>
    </w:p>
    <w:p w14:paraId="6EF9DF22" w14:textId="6297158E" w:rsidR="00A1470D" w:rsidRPr="004F0982" w:rsidRDefault="00206611" w:rsidP="004F0982">
      <w:pPr>
        <w:pStyle w:val="paragraph"/>
        <w:spacing w:line="480" w:lineRule="auto"/>
        <w:jc w:val="both"/>
        <w:textAlignment w:val="baseline"/>
      </w:pPr>
      <w:r w:rsidRPr="004F0982">
        <w:rPr>
          <w:rStyle w:val="normaltextrun"/>
        </w:rPr>
        <w:t>Th</w:t>
      </w:r>
      <w:r w:rsidR="00A1470D" w:rsidRPr="004F0982">
        <w:rPr>
          <w:rStyle w:val="normaltextrun"/>
        </w:rPr>
        <w:t xml:space="preserve">ere is no recognition of psychiatric injury which may be as a result </w:t>
      </w:r>
      <w:r w:rsidR="002D4C7D">
        <w:rPr>
          <w:rStyle w:val="normaltextrun"/>
        </w:rPr>
        <w:t xml:space="preserve">of fear </w:t>
      </w:r>
      <w:r w:rsidR="00A1470D" w:rsidRPr="004F0982">
        <w:rPr>
          <w:rStyle w:val="normaltextrun"/>
        </w:rPr>
        <w:t xml:space="preserve">or apprehension (Cowley, 1991). Through the development of jurisprudence pertaining to these offences, judges have given recognition of psychological injury through the use of medical knowledge that is advanced. This has been illustrated in the case of </w:t>
      </w:r>
      <w:r w:rsidR="00A1470D" w:rsidRPr="004F0982">
        <w:rPr>
          <w:rStyle w:val="normaltextrun"/>
          <w:i/>
          <w:iCs/>
        </w:rPr>
        <w:t>R v Ireland (1997) 3 WLR 534</w:t>
      </w:r>
      <w:r w:rsidR="00A1470D" w:rsidRPr="004F0982">
        <w:rPr>
          <w:rStyle w:val="normaltextrun"/>
        </w:rPr>
        <w:t xml:space="preserve">.  In the case of </w:t>
      </w:r>
      <w:r w:rsidR="00A1470D" w:rsidRPr="004F0982">
        <w:rPr>
          <w:rStyle w:val="normaltextrun"/>
          <w:i/>
          <w:iCs/>
        </w:rPr>
        <w:t xml:space="preserve">R v </w:t>
      </w:r>
      <w:proofErr w:type="spellStart"/>
      <w:r w:rsidR="00A1470D" w:rsidRPr="004F0982">
        <w:rPr>
          <w:rStyle w:val="normaltextrun"/>
          <w:i/>
          <w:iCs/>
        </w:rPr>
        <w:t>Bustow</w:t>
      </w:r>
      <w:proofErr w:type="spellEnd"/>
      <w:r w:rsidR="00A1470D" w:rsidRPr="004F0982">
        <w:rPr>
          <w:rStyle w:val="normaltextrun"/>
          <w:i/>
          <w:iCs/>
        </w:rPr>
        <w:t xml:space="preserve"> (1997) UKHL 34</w:t>
      </w:r>
      <w:r w:rsidR="00A1470D" w:rsidRPr="004F0982">
        <w:rPr>
          <w:rStyle w:val="normaltextrun"/>
        </w:rPr>
        <w:t>, the court stated that there was less likelihood of a Victorian legislator to put into consideration psychiatric illness. This depicted the non-reflection of the issues pertaining to mental health which has emerged within the society. In addition, this legislation uses language that many not be appli</w:t>
      </w:r>
      <w:r w:rsidR="002D4C7D">
        <w:rPr>
          <w:rStyle w:val="normaltextrun"/>
        </w:rPr>
        <w:t>cable</w:t>
      </w:r>
      <w:r w:rsidR="00A1470D" w:rsidRPr="004F0982">
        <w:rPr>
          <w:rStyle w:val="normaltextrun"/>
        </w:rPr>
        <w:t xml:space="preserve"> in current times. </w:t>
      </w:r>
      <w:r w:rsidR="00A1470D" w:rsidRPr="004F0982">
        <w:rPr>
          <w:rStyle w:val="eop"/>
        </w:rPr>
        <w:t> </w:t>
      </w:r>
    </w:p>
    <w:p w14:paraId="02F204DB" w14:textId="3F870CA2" w:rsidR="00A1470D" w:rsidRPr="004F0982" w:rsidRDefault="00A1470D" w:rsidP="004F0982">
      <w:pPr>
        <w:pStyle w:val="paragraph"/>
        <w:spacing w:line="480" w:lineRule="auto"/>
        <w:jc w:val="both"/>
        <w:textAlignment w:val="baseline"/>
      </w:pPr>
      <w:r w:rsidRPr="004F0982">
        <w:rPr>
          <w:rStyle w:val="normaltextrun"/>
        </w:rPr>
        <w:t>Also, the OAPA has an unclear and distorted hierarchy in terms of the offence listed under section</w:t>
      </w:r>
      <w:r w:rsidR="002D4C7D">
        <w:rPr>
          <w:rStyle w:val="normaltextrun"/>
        </w:rPr>
        <w:t>s</w:t>
      </w:r>
      <w:r w:rsidRPr="004F0982">
        <w:rPr>
          <w:rStyle w:val="normaltextrun"/>
        </w:rPr>
        <w:t xml:space="preserve"> 20 and 47 (Jefferson, 2012). The legislation is deemed to have a structure that is not </w:t>
      </w:r>
      <w:r w:rsidRPr="004F0982">
        <w:rPr>
          <w:rStyle w:val="normaltextrun"/>
        </w:rPr>
        <w:lastRenderedPageBreak/>
        <w:t xml:space="preserve">clear and not </w:t>
      </w:r>
      <w:r w:rsidR="00A11C4A" w:rsidRPr="004F0982">
        <w:rPr>
          <w:rStyle w:val="normaltextrun"/>
        </w:rPr>
        <w:t>organized</w:t>
      </w:r>
      <w:r w:rsidRPr="004F0982">
        <w:rPr>
          <w:rStyle w:val="normaltextrun"/>
        </w:rPr>
        <w:t xml:space="preserve">. For example, there is no clear definition </w:t>
      </w:r>
      <w:r w:rsidR="00206611" w:rsidRPr="004F0982">
        <w:rPr>
          <w:rStyle w:val="normaltextrun"/>
        </w:rPr>
        <w:t>of th</w:t>
      </w:r>
      <w:r w:rsidRPr="004F0982">
        <w:rPr>
          <w:rStyle w:val="normaltextrun"/>
        </w:rPr>
        <w:t xml:space="preserve">e meaning of battery or assault. In the case of </w:t>
      </w:r>
      <w:r w:rsidRPr="004F0982">
        <w:rPr>
          <w:rStyle w:val="normaltextrun"/>
          <w:i/>
          <w:iCs/>
        </w:rPr>
        <w:t>R v Lynsey (1995) 3 All ER 654</w:t>
      </w:r>
      <w:r w:rsidRPr="004F0982">
        <w:rPr>
          <w:rStyle w:val="normaltextrun"/>
        </w:rPr>
        <w:t>, there was</w:t>
      </w:r>
      <w:r w:rsidR="002D4C7D">
        <w:rPr>
          <w:rStyle w:val="normaltextrun"/>
        </w:rPr>
        <w:t xml:space="preserve"> </w:t>
      </w:r>
      <w:r w:rsidRPr="004F0982">
        <w:rPr>
          <w:rStyle w:val="normaltextrun"/>
        </w:rPr>
        <w:t xml:space="preserve">confusion between the definition of assault and battery. Section 20 states that any individual who maliciously and illegally wounds or inflicts any form of grievous bodily harm upon another individual with or without any instrument or weapon shall be found guilty of a </w:t>
      </w:r>
      <w:proofErr w:type="spellStart"/>
      <w:r w:rsidRPr="004F0982">
        <w:rPr>
          <w:rStyle w:val="normaltextrun"/>
        </w:rPr>
        <w:t>misdemeano</w:t>
      </w:r>
      <w:r w:rsidR="002D4C7D">
        <w:rPr>
          <w:rStyle w:val="normaltextrun"/>
        </w:rPr>
        <w:t>u</w:t>
      </w:r>
      <w:r w:rsidRPr="004F0982">
        <w:rPr>
          <w:rStyle w:val="normaltextrun"/>
        </w:rPr>
        <w:t>r</w:t>
      </w:r>
      <w:proofErr w:type="spellEnd"/>
      <w:r w:rsidRPr="004F0982">
        <w:rPr>
          <w:rStyle w:val="normaltextrun"/>
        </w:rPr>
        <w:t xml:space="preserve"> and liable to be put in penal servitude. Section 47 of the OAPA stipulates that any individual who assaults another person causing actual bodily harm will be held liable and be put in penal servitude. The two offences shared the same description of </w:t>
      </w:r>
      <w:proofErr w:type="spellStart"/>
      <w:r w:rsidRPr="004F0982">
        <w:rPr>
          <w:rStyle w:val="normaltextrun"/>
        </w:rPr>
        <w:t>mens</w:t>
      </w:r>
      <w:proofErr w:type="spellEnd"/>
      <w:r w:rsidRPr="004F0982">
        <w:rPr>
          <w:rStyle w:val="normaltextrun"/>
        </w:rPr>
        <w:t xml:space="preserve"> rea and the defendant </w:t>
      </w:r>
      <w:r w:rsidR="002D4C7D">
        <w:rPr>
          <w:rStyle w:val="normaltextrun"/>
        </w:rPr>
        <w:t>receives a</w:t>
      </w:r>
      <w:r w:rsidRPr="004F0982">
        <w:rPr>
          <w:rStyle w:val="normaltextrun"/>
        </w:rPr>
        <w:t xml:space="preserve"> maximum penalty of five years. However, section 20 is deemed to be a more serious offence. </w:t>
      </w:r>
      <w:proofErr w:type="spellStart"/>
      <w:r w:rsidR="00124DB4" w:rsidRPr="004F0982">
        <w:rPr>
          <w:rStyle w:val="normaltextrun"/>
        </w:rPr>
        <w:t>Eugenicos</w:t>
      </w:r>
      <w:proofErr w:type="spellEnd"/>
      <w:r w:rsidR="00124DB4" w:rsidRPr="004F0982">
        <w:rPr>
          <w:rStyle w:val="normaltextrun"/>
        </w:rPr>
        <w:t xml:space="preserve"> (2017) </w:t>
      </w:r>
      <w:r w:rsidRPr="004F0982">
        <w:rPr>
          <w:rStyle w:val="normaltextrun"/>
        </w:rPr>
        <w:t>noted that juries and judges occasionally deal with the inadequacies of the current laws as embedded o</w:t>
      </w:r>
      <w:r w:rsidR="00206611" w:rsidRPr="004F0982">
        <w:rPr>
          <w:rStyle w:val="normaltextrun"/>
        </w:rPr>
        <w:t xml:space="preserve">n </w:t>
      </w:r>
      <w:r w:rsidRPr="004F0982">
        <w:rPr>
          <w:rStyle w:val="normaltextrun"/>
        </w:rPr>
        <w:t>a statute</w:t>
      </w:r>
      <w:r w:rsidR="002D4C7D">
        <w:rPr>
          <w:rStyle w:val="normaltextrun"/>
        </w:rPr>
        <w:t xml:space="preserve"> that</w:t>
      </w:r>
      <w:r w:rsidRPr="004F0982">
        <w:rPr>
          <w:rStyle w:val="normaltextrun"/>
        </w:rPr>
        <w:t xml:space="preserve"> was enacted almost 154 years ago. The offences are not </w:t>
      </w:r>
      <w:proofErr w:type="spellStart"/>
      <w:r w:rsidR="00A11C4A" w:rsidRPr="004F0982">
        <w:rPr>
          <w:rStyle w:val="normaltextrun"/>
        </w:rPr>
        <w:t>organi</w:t>
      </w:r>
      <w:r w:rsidR="002D4C7D">
        <w:rPr>
          <w:rStyle w:val="normaltextrun"/>
        </w:rPr>
        <w:t>se</w:t>
      </w:r>
      <w:r w:rsidR="00A11C4A" w:rsidRPr="004F0982">
        <w:rPr>
          <w:rStyle w:val="normaltextrun"/>
        </w:rPr>
        <w:t>d</w:t>
      </w:r>
      <w:proofErr w:type="spellEnd"/>
      <w:r w:rsidRPr="004F0982">
        <w:rPr>
          <w:rStyle w:val="normaltextrun"/>
        </w:rPr>
        <w:t xml:space="preserve"> </w:t>
      </w:r>
      <w:r w:rsidR="002D4C7D">
        <w:rPr>
          <w:rStyle w:val="normaltextrun"/>
        </w:rPr>
        <w:t>logically</w:t>
      </w:r>
      <w:r w:rsidRPr="004F0982">
        <w:rPr>
          <w:rStyle w:val="normaltextrun"/>
        </w:rPr>
        <w:t>. In addition, there is no explicit difference between GBH and ABH. The jury has discretion to decide on what amounts to harm that is serious in nature. However, there is</w:t>
      </w:r>
      <w:r w:rsidR="002D4C7D">
        <w:rPr>
          <w:rStyle w:val="normaltextrun"/>
        </w:rPr>
        <w:t xml:space="preserve"> a</w:t>
      </w:r>
      <w:r w:rsidRPr="004F0982">
        <w:rPr>
          <w:rStyle w:val="normaltextrun"/>
        </w:rPr>
        <w:t xml:space="preserve"> lack of consistency </w:t>
      </w:r>
      <w:r w:rsidR="002D4C7D">
        <w:rPr>
          <w:rStyle w:val="normaltextrun"/>
        </w:rPr>
        <w:t xml:space="preserve">in </w:t>
      </w:r>
      <w:r w:rsidRPr="004F0982">
        <w:rPr>
          <w:rStyle w:val="normaltextrun"/>
        </w:rPr>
        <w:t>the juries’ opinions</w:t>
      </w:r>
      <w:r w:rsidR="002D4C7D">
        <w:rPr>
          <w:rStyle w:val="normaltextrun"/>
        </w:rPr>
        <w:t xml:space="preserve"> on</w:t>
      </w:r>
      <w:r w:rsidRPr="004F0982">
        <w:rPr>
          <w:rStyle w:val="normaltextrun"/>
        </w:rPr>
        <w:t xml:space="preserve"> this issue. GBH and ABH have various levels of the magnitude of injury. The GBH offence as captured under section 20 of the OAPA is </w:t>
      </w:r>
      <w:proofErr w:type="spellStart"/>
      <w:proofErr w:type="gramStart"/>
      <w:r w:rsidR="00A11C4A" w:rsidRPr="004F0982">
        <w:rPr>
          <w:rStyle w:val="normaltextrun"/>
        </w:rPr>
        <w:t>penali</w:t>
      </w:r>
      <w:r w:rsidR="002D4C7D">
        <w:rPr>
          <w:rStyle w:val="normaltextrun"/>
        </w:rPr>
        <w:t>se</w:t>
      </w:r>
      <w:r w:rsidR="00A11C4A" w:rsidRPr="004F0982">
        <w:rPr>
          <w:rStyle w:val="normaltextrun"/>
        </w:rPr>
        <w:t>d</w:t>
      </w:r>
      <w:proofErr w:type="spellEnd"/>
      <w:r w:rsidRPr="004F0982">
        <w:rPr>
          <w:rStyle w:val="normaltextrun"/>
        </w:rPr>
        <w:t xml:space="preserve"> </w:t>
      </w:r>
      <w:r w:rsidR="002D4C7D">
        <w:rPr>
          <w:rStyle w:val="normaltextrun"/>
        </w:rPr>
        <w:t xml:space="preserve"> similarly</w:t>
      </w:r>
      <w:proofErr w:type="gramEnd"/>
      <w:r w:rsidRPr="004F0982">
        <w:rPr>
          <w:rStyle w:val="normaltextrun"/>
        </w:rPr>
        <w:t xml:space="preserve"> as the ABH offence stated under section 47. However, the penalty for GBH can move from 5 years to life imprisonment for the offence listed under section 20 that can involve similar injury as an offence as captured under section 20</w:t>
      </w:r>
      <w:r w:rsidR="004F0982" w:rsidRPr="004F0982">
        <w:rPr>
          <w:rStyle w:val="normaltextrun"/>
        </w:rPr>
        <w:t xml:space="preserve"> (E-Law Resources)</w:t>
      </w:r>
      <w:r w:rsidRPr="004F0982">
        <w:rPr>
          <w:rStyle w:val="normaltextrun"/>
        </w:rPr>
        <w:t xml:space="preserve">. </w:t>
      </w:r>
      <w:r w:rsidRPr="004F0982">
        <w:rPr>
          <w:rStyle w:val="eop"/>
        </w:rPr>
        <w:t> </w:t>
      </w:r>
    </w:p>
    <w:p w14:paraId="19B0EF72" w14:textId="2518E86E" w:rsidR="00A1470D" w:rsidRPr="004F0982" w:rsidRDefault="00A1470D" w:rsidP="004F0982">
      <w:pPr>
        <w:pStyle w:val="paragraph"/>
        <w:spacing w:line="480" w:lineRule="auto"/>
        <w:jc w:val="both"/>
        <w:textAlignment w:val="baseline"/>
      </w:pPr>
      <w:r w:rsidRPr="004F0982">
        <w:rPr>
          <w:rStyle w:val="normaltextrun"/>
        </w:rPr>
        <w:t xml:space="preserve">According to the case of </w:t>
      </w:r>
      <w:r w:rsidRPr="004F0982">
        <w:rPr>
          <w:rStyle w:val="normaltextrun"/>
          <w:i/>
          <w:iCs/>
        </w:rPr>
        <w:t xml:space="preserve">Faulkner v </w:t>
      </w:r>
      <w:proofErr w:type="spellStart"/>
      <w:r w:rsidRPr="004F0982">
        <w:rPr>
          <w:rStyle w:val="normaltextrun"/>
          <w:i/>
          <w:iCs/>
        </w:rPr>
        <w:t>Tablot</w:t>
      </w:r>
      <w:proofErr w:type="spellEnd"/>
      <w:r w:rsidRPr="004F0982">
        <w:rPr>
          <w:rStyle w:val="normaltextrun"/>
          <w:i/>
          <w:iCs/>
        </w:rPr>
        <w:t xml:space="preserve"> [1981] 3 All ER 468,</w:t>
      </w:r>
      <w:r w:rsidRPr="004F0982">
        <w:rPr>
          <w:rStyle w:val="normaltextrun"/>
        </w:rPr>
        <w:t xml:space="preserve"> touching of another person without getting their consent amounts to batte</w:t>
      </w:r>
      <w:r w:rsidR="00206611" w:rsidRPr="004F0982">
        <w:rPr>
          <w:rStyle w:val="normaltextrun"/>
        </w:rPr>
        <w:t>ry</w:t>
      </w:r>
      <w:r w:rsidRPr="004F0982">
        <w:rPr>
          <w:rStyle w:val="normaltextrun"/>
        </w:rPr>
        <w:t>.</w:t>
      </w:r>
      <w:r w:rsidR="00206611" w:rsidRPr="004F0982">
        <w:rPr>
          <w:rStyle w:val="normaltextrun"/>
        </w:rPr>
        <w:t xml:space="preserve"> In contrast, </w:t>
      </w:r>
      <w:r w:rsidRPr="004F0982">
        <w:rPr>
          <w:rStyle w:val="normaltextrun"/>
        </w:rPr>
        <w:t>any form of injury or hurt that is likely to interfere with the victim’s comf</w:t>
      </w:r>
      <w:r w:rsidR="00206611" w:rsidRPr="004F0982">
        <w:rPr>
          <w:rStyle w:val="normaltextrun"/>
        </w:rPr>
        <w:t>o</w:t>
      </w:r>
      <w:r w:rsidRPr="004F0982">
        <w:rPr>
          <w:rStyle w:val="normaltextrun"/>
        </w:rPr>
        <w:t>rt is deemed to be actual bodily harm. There is little variation between these two forms of non-fatal offences against the person. Any individual found guilty of battery gets a penalty of 6 month</w:t>
      </w:r>
      <w:r w:rsidR="002D4C7D">
        <w:rPr>
          <w:rStyle w:val="normaltextrun"/>
        </w:rPr>
        <w:t>s</w:t>
      </w:r>
      <w:r w:rsidRPr="004F0982">
        <w:rPr>
          <w:rStyle w:val="normaltextrun"/>
        </w:rPr>
        <w:t xml:space="preserve"> while if he or she is guilty of ABH they will be imprisoned for 5 years. According to section 18 and 20 of the Actus Reus, it must be </w:t>
      </w:r>
      <w:r w:rsidRPr="004F0982">
        <w:rPr>
          <w:rStyle w:val="normaltextrun"/>
        </w:rPr>
        <w:lastRenderedPageBreak/>
        <w:t xml:space="preserve">proven that the accused caused grievous bodily harm. In the case of </w:t>
      </w:r>
      <w:r w:rsidRPr="004F0982">
        <w:rPr>
          <w:rStyle w:val="normaltextrun"/>
          <w:i/>
          <w:iCs/>
        </w:rPr>
        <w:t>DPP v Smith (1961) AC 290</w:t>
      </w:r>
      <w:r w:rsidRPr="004F0982">
        <w:rPr>
          <w:rStyle w:val="normaltextrun"/>
        </w:rPr>
        <w:t xml:space="preserve">, the meaning of grievous bodily harm means really serious harm </w:t>
      </w:r>
      <w:r w:rsidR="002D4C7D">
        <w:rPr>
          <w:rStyle w:val="normaltextrun"/>
        </w:rPr>
        <w:t>for example</w:t>
      </w:r>
      <w:r w:rsidRPr="004F0982">
        <w:rPr>
          <w:rStyle w:val="normaltextrun"/>
        </w:rPr>
        <w:t xml:space="preserve"> limbs that are broken, serious psychiatric injury and permanent loss and permanent loss of sensory function. In contrast, </w:t>
      </w:r>
      <w:r w:rsidR="002D4C7D">
        <w:rPr>
          <w:rStyle w:val="normaltextrun"/>
        </w:rPr>
        <w:t xml:space="preserve">in </w:t>
      </w:r>
      <w:r w:rsidRPr="004F0982">
        <w:rPr>
          <w:rStyle w:val="normaltextrun"/>
        </w:rPr>
        <w:t xml:space="preserve">the case of </w:t>
      </w:r>
      <w:r w:rsidRPr="004F0982">
        <w:rPr>
          <w:rStyle w:val="normaltextrun"/>
          <w:i/>
          <w:iCs/>
        </w:rPr>
        <w:t>JCC v Eisenhower (1983)</w:t>
      </w:r>
      <w:r w:rsidRPr="004F0982">
        <w:rPr>
          <w:rStyle w:val="normaltextrun"/>
        </w:rPr>
        <w:t xml:space="preserve"> the court held that wounding refers to a break</w:t>
      </w:r>
      <w:r w:rsidR="00206611" w:rsidRPr="004F0982">
        <w:rPr>
          <w:rStyle w:val="normaltextrun"/>
        </w:rPr>
        <w:t xml:space="preserve"> in the</w:t>
      </w:r>
      <w:r w:rsidRPr="004F0982">
        <w:rPr>
          <w:rStyle w:val="normaltextrun"/>
        </w:rPr>
        <w:t xml:space="preserve"> skin’s continuity. Therefore, a relatively minor</w:t>
      </w:r>
      <w:r w:rsidR="002D4C7D">
        <w:rPr>
          <w:rStyle w:val="normaltextrun"/>
        </w:rPr>
        <w:t xml:space="preserve"> cut</w:t>
      </w:r>
      <w:r w:rsidRPr="004F0982">
        <w:rPr>
          <w:rStyle w:val="normaltextrun"/>
        </w:rPr>
        <w:t xml:space="preserve"> can be deemed to be of the same magnitude </w:t>
      </w:r>
      <w:r w:rsidR="002D4C7D">
        <w:rPr>
          <w:rStyle w:val="normaltextrun"/>
        </w:rPr>
        <w:t xml:space="preserve">as </w:t>
      </w:r>
      <w:r w:rsidRPr="004F0982">
        <w:rPr>
          <w:rStyle w:val="normaltextrun"/>
        </w:rPr>
        <w:t>disfigurement or permanent disability. When the Act was formulated, viewing grievous bodily harm and wounding as being similar may have been perceived to be rational.</w:t>
      </w:r>
      <w:r w:rsidRPr="004F0982">
        <w:rPr>
          <w:rStyle w:val="eop"/>
        </w:rPr>
        <w:t> </w:t>
      </w:r>
    </w:p>
    <w:p w14:paraId="33DEB080" w14:textId="1145DACE" w:rsidR="00A1470D" w:rsidRPr="004F0982" w:rsidRDefault="00A1470D" w:rsidP="004F0982">
      <w:pPr>
        <w:pStyle w:val="paragraph"/>
        <w:spacing w:line="480" w:lineRule="auto"/>
        <w:jc w:val="both"/>
        <w:textAlignment w:val="baseline"/>
      </w:pPr>
      <w:r w:rsidRPr="004F0982">
        <w:rPr>
          <w:rStyle w:val="normaltextrun"/>
        </w:rPr>
        <w:t>Another criticism pertains to the offences’ effectiveness</w:t>
      </w:r>
      <w:sdt>
        <w:sdtPr>
          <w:rPr>
            <w:rStyle w:val="normaltextrun"/>
          </w:rPr>
          <w:id w:val="1636834254"/>
          <w:citation/>
        </w:sdtPr>
        <w:sdtEndPr>
          <w:rPr>
            <w:rStyle w:val="normaltextrun"/>
          </w:rPr>
        </w:sdtEndPr>
        <w:sdtContent>
          <w:r w:rsidR="004F0982" w:rsidRPr="004F0982">
            <w:rPr>
              <w:rStyle w:val="normaltextrun"/>
            </w:rPr>
            <w:fldChar w:fldCharType="begin"/>
          </w:r>
          <w:r w:rsidR="004F0982" w:rsidRPr="004F0982">
            <w:rPr>
              <w:rStyle w:val="normaltextrun"/>
            </w:rPr>
            <w:instrText xml:space="preserve"> CITATION Jos15 \l 1033 </w:instrText>
          </w:r>
          <w:r w:rsidR="004F0982" w:rsidRPr="004F0982">
            <w:rPr>
              <w:rStyle w:val="normaltextrun"/>
            </w:rPr>
            <w:fldChar w:fldCharType="separate"/>
          </w:r>
          <w:r w:rsidR="004F0982" w:rsidRPr="004F0982">
            <w:rPr>
              <w:rStyle w:val="normaltextrun"/>
              <w:noProof/>
            </w:rPr>
            <w:t xml:space="preserve"> </w:t>
          </w:r>
          <w:r w:rsidR="004F0982" w:rsidRPr="004F0982">
            <w:rPr>
              <w:noProof/>
            </w:rPr>
            <w:t>(Dowdall, 2015)</w:t>
          </w:r>
          <w:r w:rsidR="004F0982" w:rsidRPr="004F0982">
            <w:rPr>
              <w:rStyle w:val="normaltextrun"/>
            </w:rPr>
            <w:fldChar w:fldCharType="end"/>
          </w:r>
        </w:sdtContent>
      </w:sdt>
      <w:r w:rsidRPr="004F0982">
        <w:rPr>
          <w:rStyle w:val="normaltextrun"/>
        </w:rPr>
        <w:t>. Many of these offences are not report</w:t>
      </w:r>
      <w:r w:rsidR="00206611" w:rsidRPr="004F0982">
        <w:rPr>
          <w:rStyle w:val="normaltextrun"/>
        </w:rPr>
        <w:t>ed</w:t>
      </w:r>
      <w:r w:rsidRPr="004F0982">
        <w:rPr>
          <w:rStyle w:val="normaltextrun"/>
        </w:rPr>
        <w:t xml:space="preserve">. Despite some being reported, some may not </w:t>
      </w:r>
      <w:r w:rsidR="00206611" w:rsidRPr="004F0982">
        <w:rPr>
          <w:rStyle w:val="normaltextrun"/>
        </w:rPr>
        <w:t xml:space="preserve">be </w:t>
      </w:r>
      <w:r w:rsidRPr="004F0982">
        <w:rPr>
          <w:rStyle w:val="normaltextrun"/>
        </w:rPr>
        <w:t xml:space="preserve">prosecuted. This challenge is linked to cases of domestic violence. In many instances, the prosecutors are likely to charge an offence that is lesser </w:t>
      </w:r>
      <w:r w:rsidR="002D4C7D">
        <w:rPr>
          <w:rStyle w:val="normaltextrun"/>
        </w:rPr>
        <w:t xml:space="preserve">to secure </w:t>
      </w:r>
      <w:r w:rsidRPr="004F0982">
        <w:rPr>
          <w:rStyle w:val="normaltextrun"/>
        </w:rPr>
        <w:t>a conviction and plea bargaining is used frequently.</w:t>
      </w:r>
      <w:r w:rsidRPr="004F0982">
        <w:rPr>
          <w:rStyle w:val="eop"/>
        </w:rPr>
        <w:t> </w:t>
      </w:r>
    </w:p>
    <w:p w14:paraId="0125DEF1" w14:textId="4AB9C65B" w:rsidR="00A1470D" w:rsidRPr="004F0982" w:rsidRDefault="00A1470D" w:rsidP="004F0982">
      <w:pPr>
        <w:pStyle w:val="paragraph"/>
        <w:spacing w:line="480" w:lineRule="auto"/>
        <w:jc w:val="both"/>
        <w:textAlignment w:val="baseline"/>
      </w:pPr>
      <w:r w:rsidRPr="004F0982">
        <w:rPr>
          <w:rStyle w:val="normaltextrun"/>
        </w:rPr>
        <w:t>The correspondence principle is that the recklessness or intent should correspond to the actus reus elements (Gardner, 1994). The aim of this principle is</w:t>
      </w:r>
      <w:r w:rsidR="002D4C7D">
        <w:rPr>
          <w:rStyle w:val="normaltextrun"/>
        </w:rPr>
        <w:t xml:space="preserve"> to prevent </w:t>
      </w:r>
      <w:r w:rsidRPr="004F0982">
        <w:rPr>
          <w:rStyle w:val="normaltextrun"/>
        </w:rPr>
        <w:t>the accused’s unfair labelling who does not foresee or does not intend the actus reus elements. For instance, it will be unfair, under the correspondence principle, to charge a defendant with murder if his or her intention was to cause grievous bodily harm. This principle is satisfied in the instance of GBH with the intent to inflict GBH which is contrary to section 18 which states that the accused must have intent on matters based on the element of actus reus. Section 47 and 20 of the OAPA are deemed to be in contravention of the correspondence principle. Under section 47, the accused should be reckless or have the intent</w:t>
      </w:r>
      <w:r w:rsidR="002D4C7D">
        <w:rPr>
          <w:rStyle w:val="normaltextrun"/>
        </w:rPr>
        <w:t>ion</w:t>
      </w:r>
      <w:r w:rsidRPr="004F0982">
        <w:rPr>
          <w:rStyle w:val="normaltextrun"/>
        </w:rPr>
        <w:t xml:space="preserve"> of committing an assault or battery. On the other hand, section 30 requires that defendant have intent or to be reckless about some </w:t>
      </w:r>
      <w:r w:rsidRPr="004F0982">
        <w:rPr>
          <w:rStyle w:val="normaltextrun"/>
        </w:rPr>
        <w:lastRenderedPageBreak/>
        <w:t>harm. For courts that adhere to the correspondence principle, the Offences Against the Person can be perceived to be unjust and difficult.</w:t>
      </w:r>
    </w:p>
    <w:p w14:paraId="39A78B40" w14:textId="502760D2" w:rsidR="00A1470D" w:rsidRPr="004F0982" w:rsidRDefault="00A1470D" w:rsidP="004F0982">
      <w:pPr>
        <w:pStyle w:val="paragraph"/>
        <w:spacing w:line="480" w:lineRule="auto"/>
        <w:jc w:val="both"/>
        <w:textAlignment w:val="baseline"/>
      </w:pPr>
      <w:r w:rsidRPr="004F0982">
        <w:rPr>
          <w:rStyle w:val="normaltextrun"/>
        </w:rPr>
        <w:t xml:space="preserve">There have been proposals on reforming </w:t>
      </w:r>
      <w:r w:rsidR="00206611" w:rsidRPr="004F0982">
        <w:rPr>
          <w:rStyle w:val="normaltextrun"/>
        </w:rPr>
        <w:t>t</w:t>
      </w:r>
      <w:r w:rsidRPr="004F0982">
        <w:rPr>
          <w:rStyle w:val="normaltextrun"/>
        </w:rPr>
        <w:t xml:space="preserve">he Act. The Home Office has published a consultation paper titled “Violence: Reforming the Offences against the Person Act” which contains the 1998 Draft Bill. The offences embedded in the Bill are indicated in </w:t>
      </w:r>
      <w:r w:rsidR="002D4C7D">
        <w:rPr>
          <w:rStyle w:val="normaltextrun"/>
        </w:rPr>
        <w:t xml:space="preserve">logical </w:t>
      </w:r>
      <w:r w:rsidRPr="004F0982">
        <w:rPr>
          <w:rStyle w:val="normaltextrun"/>
        </w:rPr>
        <w:t>and in plain English (</w:t>
      </w:r>
      <w:proofErr w:type="spellStart"/>
      <w:r w:rsidRPr="004F0982">
        <w:rPr>
          <w:rStyle w:val="normaltextrun"/>
        </w:rPr>
        <w:t>Tabbush</w:t>
      </w:r>
      <w:proofErr w:type="spellEnd"/>
      <w:r w:rsidRPr="004F0982">
        <w:rPr>
          <w:rStyle w:val="normaltextrun"/>
        </w:rPr>
        <w:t xml:space="preserve">, 2014). All the proposals of the law reforms, both the Home Office’s 1998 Draft Bill together with the Criminal Law Revision Committee’s Report 1980 propose a hierarchy of the offences. It introduces offences such as recklessly causing serious injury, intentionally causing serious injury and recklessly or intentionally causing injury. Regardless of the clarity that is seen on this bill, there </w:t>
      </w:r>
      <w:r w:rsidR="002D4C7D">
        <w:rPr>
          <w:rStyle w:val="normaltextrun"/>
        </w:rPr>
        <w:t xml:space="preserve">has </w:t>
      </w:r>
      <w:r w:rsidRPr="004F0982">
        <w:rPr>
          <w:rStyle w:val="normaltextrun"/>
        </w:rPr>
        <w:t>been criticism that the Act is not progressive in its introduction</w:t>
      </w:r>
      <w:r w:rsidR="004F0982" w:rsidRPr="004F0982">
        <w:rPr>
          <w:rStyle w:val="normaltextrun"/>
        </w:rPr>
        <w:t xml:space="preserve"> hence there would not be any improvement of the law</w:t>
      </w:r>
      <w:r w:rsidRPr="004F0982">
        <w:rPr>
          <w:rStyle w:val="normaltextrun"/>
        </w:rPr>
        <w:t xml:space="preserve">. </w:t>
      </w:r>
      <w:r w:rsidRPr="004F0982">
        <w:rPr>
          <w:rStyle w:val="eop"/>
        </w:rPr>
        <w:t> </w:t>
      </w:r>
    </w:p>
    <w:p w14:paraId="6B95E410" w14:textId="2FB8A095" w:rsidR="00A1470D" w:rsidRPr="004F0982" w:rsidRDefault="00A1470D" w:rsidP="004F0982">
      <w:pPr>
        <w:pStyle w:val="paragraph"/>
        <w:spacing w:line="480" w:lineRule="auto"/>
        <w:jc w:val="both"/>
        <w:textAlignment w:val="baseline"/>
      </w:pPr>
      <w:r w:rsidRPr="004F0982">
        <w:rPr>
          <w:rStyle w:val="normaltextrun"/>
        </w:rPr>
        <w:t>The 2014 – 2015 scoping paper has captured the offences scheme that was proposed by the 1998 draft bill whose enactment has never occurred</w:t>
      </w:r>
      <w:sdt>
        <w:sdtPr>
          <w:rPr>
            <w:rStyle w:val="normaltextrun"/>
          </w:rPr>
          <w:id w:val="-1880926666"/>
          <w:citation/>
        </w:sdtPr>
        <w:sdtEndPr>
          <w:rPr>
            <w:rStyle w:val="normaltextrun"/>
          </w:rPr>
        </w:sdtEndPr>
        <w:sdtContent>
          <w:r w:rsidR="004F0982" w:rsidRPr="004F0982">
            <w:rPr>
              <w:rStyle w:val="normaltextrun"/>
            </w:rPr>
            <w:fldChar w:fldCharType="begin"/>
          </w:r>
          <w:r w:rsidR="004F0982" w:rsidRPr="004F0982">
            <w:rPr>
              <w:rStyle w:val="normaltextrun"/>
            </w:rPr>
            <w:instrText xml:space="preserve"> CITATION Jos15 \l 1033 </w:instrText>
          </w:r>
          <w:r w:rsidR="004F0982" w:rsidRPr="004F0982">
            <w:rPr>
              <w:rStyle w:val="normaltextrun"/>
            </w:rPr>
            <w:fldChar w:fldCharType="separate"/>
          </w:r>
          <w:r w:rsidR="004F0982" w:rsidRPr="004F0982">
            <w:rPr>
              <w:rStyle w:val="normaltextrun"/>
              <w:noProof/>
            </w:rPr>
            <w:t xml:space="preserve"> </w:t>
          </w:r>
          <w:r w:rsidR="004F0982" w:rsidRPr="004F0982">
            <w:rPr>
              <w:noProof/>
            </w:rPr>
            <w:t>(Dowdall, 2015)</w:t>
          </w:r>
          <w:r w:rsidR="004F0982" w:rsidRPr="004F0982">
            <w:rPr>
              <w:rStyle w:val="normaltextrun"/>
            </w:rPr>
            <w:fldChar w:fldCharType="end"/>
          </w:r>
        </w:sdtContent>
      </w:sdt>
      <w:r w:rsidRPr="004F0982">
        <w:rPr>
          <w:rStyle w:val="normaltextrun"/>
        </w:rPr>
        <w:t xml:space="preserve">. Some of the main proposals are </w:t>
      </w:r>
      <w:r w:rsidR="002D4C7D">
        <w:rPr>
          <w:rStyle w:val="normaltextrun"/>
        </w:rPr>
        <w:t xml:space="preserve">the </w:t>
      </w:r>
      <w:r w:rsidRPr="004F0982">
        <w:rPr>
          <w:rStyle w:val="normaltextrun"/>
        </w:rPr>
        <w:t>repeal of the Offences Against the Person Act. There is a proposal on a new structure of the offences scheme. First, an individual who is found guilty of an offence of intentionally causing serious injury to another person should be punished by being given life imprisonment</w:t>
      </w:r>
      <w:sdt>
        <w:sdtPr>
          <w:rPr>
            <w:rStyle w:val="normaltextrun"/>
          </w:rPr>
          <w:id w:val="66158060"/>
          <w:citation/>
        </w:sdtPr>
        <w:sdtEndPr>
          <w:rPr>
            <w:rStyle w:val="normaltextrun"/>
          </w:rPr>
        </w:sdtEndPr>
        <w:sdtContent>
          <w:r w:rsidR="004F0982" w:rsidRPr="004F0982">
            <w:rPr>
              <w:rStyle w:val="normaltextrun"/>
            </w:rPr>
            <w:fldChar w:fldCharType="begin"/>
          </w:r>
          <w:r w:rsidR="004F0982" w:rsidRPr="004F0982">
            <w:rPr>
              <w:rStyle w:val="normaltextrun"/>
            </w:rPr>
            <w:instrText xml:space="preserve"> CITATION Jos15 \l 1033 </w:instrText>
          </w:r>
          <w:r w:rsidR="004F0982" w:rsidRPr="004F0982">
            <w:rPr>
              <w:rStyle w:val="normaltextrun"/>
            </w:rPr>
            <w:fldChar w:fldCharType="separate"/>
          </w:r>
          <w:r w:rsidR="004F0982" w:rsidRPr="004F0982">
            <w:rPr>
              <w:rStyle w:val="normaltextrun"/>
              <w:noProof/>
            </w:rPr>
            <w:t xml:space="preserve"> </w:t>
          </w:r>
          <w:r w:rsidR="004F0982" w:rsidRPr="004F0982">
            <w:rPr>
              <w:noProof/>
            </w:rPr>
            <w:t>(Dowdall, 2015)</w:t>
          </w:r>
          <w:r w:rsidR="004F0982" w:rsidRPr="004F0982">
            <w:rPr>
              <w:rStyle w:val="normaltextrun"/>
            </w:rPr>
            <w:fldChar w:fldCharType="end"/>
          </w:r>
        </w:sdtContent>
      </w:sdt>
      <w:r w:rsidRPr="004F0982">
        <w:rPr>
          <w:rStyle w:val="normaltextrun"/>
        </w:rPr>
        <w:t>. Second, a person who is found guilty of an offence of causing serious injury to another in a reckless manner is punishable by being imprisoned for seven years. Third, an individual who is guilty of an offence that he or she either recklessly or intentionally causes injury to another should receive five years imprisonment</w:t>
      </w:r>
      <w:sdt>
        <w:sdtPr>
          <w:rPr>
            <w:rStyle w:val="normaltextrun"/>
          </w:rPr>
          <w:id w:val="357635938"/>
          <w:citation/>
        </w:sdtPr>
        <w:sdtEndPr>
          <w:rPr>
            <w:rStyle w:val="normaltextrun"/>
          </w:rPr>
        </w:sdtEndPr>
        <w:sdtContent>
          <w:r w:rsidR="004F0982" w:rsidRPr="004F0982">
            <w:rPr>
              <w:rStyle w:val="normaltextrun"/>
            </w:rPr>
            <w:fldChar w:fldCharType="begin"/>
          </w:r>
          <w:r w:rsidR="004F0982" w:rsidRPr="004F0982">
            <w:rPr>
              <w:rStyle w:val="normaltextrun"/>
            </w:rPr>
            <w:instrText xml:space="preserve"> CITATION Jos15 \l 1033 </w:instrText>
          </w:r>
          <w:r w:rsidR="004F0982" w:rsidRPr="004F0982">
            <w:rPr>
              <w:rStyle w:val="normaltextrun"/>
            </w:rPr>
            <w:fldChar w:fldCharType="separate"/>
          </w:r>
          <w:r w:rsidR="004F0982" w:rsidRPr="004F0982">
            <w:rPr>
              <w:rStyle w:val="normaltextrun"/>
              <w:noProof/>
            </w:rPr>
            <w:t xml:space="preserve"> </w:t>
          </w:r>
          <w:r w:rsidR="004F0982" w:rsidRPr="004F0982">
            <w:rPr>
              <w:noProof/>
            </w:rPr>
            <w:t>(Dowdall, 2015)</w:t>
          </w:r>
          <w:r w:rsidR="004F0982" w:rsidRPr="004F0982">
            <w:rPr>
              <w:rStyle w:val="normaltextrun"/>
            </w:rPr>
            <w:fldChar w:fldCharType="end"/>
          </w:r>
        </w:sdtContent>
      </w:sdt>
      <w:r w:rsidRPr="004F0982">
        <w:rPr>
          <w:rStyle w:val="normaltextrun"/>
        </w:rPr>
        <w:t>. Lastly, it is proposed that an individual is considered to be guilty of an offence in instances where he or she recklessly or intentionally applies force or has impact of another person’s body</w:t>
      </w:r>
      <w:sdt>
        <w:sdtPr>
          <w:rPr>
            <w:rStyle w:val="normaltextrun"/>
          </w:rPr>
          <w:id w:val="650792943"/>
          <w:citation/>
        </w:sdtPr>
        <w:sdtEndPr>
          <w:rPr>
            <w:rStyle w:val="normaltextrun"/>
          </w:rPr>
        </w:sdtEndPr>
        <w:sdtContent>
          <w:r w:rsidR="004F0982" w:rsidRPr="004F0982">
            <w:rPr>
              <w:rStyle w:val="normaltextrun"/>
            </w:rPr>
            <w:fldChar w:fldCharType="begin"/>
          </w:r>
          <w:r w:rsidR="004F0982" w:rsidRPr="004F0982">
            <w:rPr>
              <w:rStyle w:val="normaltextrun"/>
            </w:rPr>
            <w:instrText xml:space="preserve"> CITATION Jos15 \l 1033 </w:instrText>
          </w:r>
          <w:r w:rsidR="004F0982" w:rsidRPr="004F0982">
            <w:rPr>
              <w:rStyle w:val="normaltextrun"/>
            </w:rPr>
            <w:fldChar w:fldCharType="separate"/>
          </w:r>
          <w:r w:rsidR="004F0982" w:rsidRPr="004F0982">
            <w:rPr>
              <w:rStyle w:val="normaltextrun"/>
              <w:noProof/>
            </w:rPr>
            <w:t xml:space="preserve"> </w:t>
          </w:r>
          <w:r w:rsidR="004F0982" w:rsidRPr="004F0982">
            <w:rPr>
              <w:noProof/>
            </w:rPr>
            <w:t>(Dowdall, 2015)</w:t>
          </w:r>
          <w:r w:rsidR="004F0982" w:rsidRPr="004F0982">
            <w:rPr>
              <w:rStyle w:val="normaltextrun"/>
            </w:rPr>
            <w:fldChar w:fldCharType="end"/>
          </w:r>
        </w:sdtContent>
      </w:sdt>
      <w:r w:rsidRPr="004F0982">
        <w:rPr>
          <w:rStyle w:val="normaltextrun"/>
        </w:rPr>
        <w:t xml:space="preserve">. This also applies in instances where the individual recklessly or intentionally causes an individual to be apprehensive of such impact or force </w:t>
      </w:r>
      <w:r w:rsidR="002D4C7D">
        <w:rPr>
          <w:rStyle w:val="normaltextrun"/>
        </w:rPr>
        <w:t xml:space="preserve">is </w:t>
      </w:r>
      <w:r w:rsidRPr="004F0982">
        <w:rPr>
          <w:rStyle w:val="normaltextrun"/>
        </w:rPr>
        <w:t xml:space="preserve">imminent. </w:t>
      </w:r>
      <w:r w:rsidRPr="004F0982">
        <w:rPr>
          <w:rStyle w:val="normaltextrun"/>
        </w:rPr>
        <w:lastRenderedPageBreak/>
        <w:t xml:space="preserve">The punishment of this offence is either being imprisoned for six months or a fine that does not exceed 5,000 euros. The offences listed are in accordance with the correspondence principle apart from the third offence. In addition, the language is simple and the scheme that has been proposed </w:t>
      </w:r>
      <w:r w:rsidR="002D4C7D">
        <w:rPr>
          <w:rStyle w:val="normaltextrun"/>
        </w:rPr>
        <w:t xml:space="preserve">has </w:t>
      </w:r>
      <w:r w:rsidRPr="004F0982">
        <w:rPr>
          <w:rStyle w:val="normaltextrun"/>
        </w:rPr>
        <w:t xml:space="preserve">detailed definitions </w:t>
      </w:r>
      <w:r w:rsidR="002D4C7D">
        <w:rPr>
          <w:rStyle w:val="normaltextrun"/>
        </w:rPr>
        <w:t>of</w:t>
      </w:r>
      <w:r w:rsidRPr="004F0982">
        <w:rPr>
          <w:rStyle w:val="normaltextrun"/>
        </w:rPr>
        <w:t xml:space="preserve"> the</w:t>
      </w:r>
      <w:r w:rsidR="002D4C7D">
        <w:rPr>
          <w:rStyle w:val="normaltextrun"/>
        </w:rPr>
        <w:t xml:space="preserve"> meanings</w:t>
      </w:r>
      <w:r w:rsidRPr="004F0982">
        <w:rPr>
          <w:rStyle w:val="normaltextrun"/>
        </w:rPr>
        <w:t xml:space="preserve"> of recklessness, intention and injury (this is inclusive of both mental and physical injury). </w:t>
      </w:r>
      <w:r w:rsidRPr="004F0982">
        <w:rPr>
          <w:rStyle w:val="eop"/>
        </w:rPr>
        <w:t> </w:t>
      </w:r>
    </w:p>
    <w:p w14:paraId="705B18D2" w14:textId="410076BC" w:rsidR="00A1470D" w:rsidRPr="004F0982" w:rsidRDefault="00A1470D" w:rsidP="004F0982">
      <w:pPr>
        <w:pStyle w:val="paragraph"/>
        <w:spacing w:line="480" w:lineRule="auto"/>
        <w:jc w:val="both"/>
        <w:textAlignment w:val="baseline"/>
      </w:pPr>
      <w:r w:rsidRPr="004F0982">
        <w:rPr>
          <w:rStyle w:val="normaltextrun"/>
        </w:rPr>
        <w:t>There has been a lot of criticism on the proposals of</w:t>
      </w:r>
      <w:r w:rsidR="002D4C7D">
        <w:rPr>
          <w:rStyle w:val="normaltextrun"/>
        </w:rPr>
        <w:t xml:space="preserve"> the</w:t>
      </w:r>
      <w:r w:rsidRPr="004F0982">
        <w:rPr>
          <w:rStyle w:val="normaltextrun"/>
        </w:rPr>
        <w:t xml:space="preserve"> 2014 – 2015 scoping paper</w:t>
      </w:r>
      <w:sdt>
        <w:sdtPr>
          <w:rPr>
            <w:rStyle w:val="normaltextrun"/>
          </w:rPr>
          <w:id w:val="1294339315"/>
          <w:citation/>
        </w:sdtPr>
        <w:sdtEndPr>
          <w:rPr>
            <w:rStyle w:val="normaltextrun"/>
          </w:rPr>
        </w:sdtEndPr>
        <w:sdtContent>
          <w:r w:rsidR="004F0982" w:rsidRPr="004F0982">
            <w:rPr>
              <w:rStyle w:val="normaltextrun"/>
            </w:rPr>
            <w:fldChar w:fldCharType="begin"/>
          </w:r>
          <w:r w:rsidR="004F0982" w:rsidRPr="004F0982">
            <w:rPr>
              <w:rStyle w:val="normaltextrun"/>
            </w:rPr>
            <w:instrText xml:space="preserve"> CITATION Jos15 \l 1033 </w:instrText>
          </w:r>
          <w:r w:rsidR="004F0982" w:rsidRPr="004F0982">
            <w:rPr>
              <w:rStyle w:val="normaltextrun"/>
            </w:rPr>
            <w:fldChar w:fldCharType="separate"/>
          </w:r>
          <w:r w:rsidR="004F0982" w:rsidRPr="004F0982">
            <w:rPr>
              <w:rStyle w:val="normaltextrun"/>
              <w:noProof/>
            </w:rPr>
            <w:t xml:space="preserve"> </w:t>
          </w:r>
          <w:r w:rsidR="004F0982" w:rsidRPr="004F0982">
            <w:rPr>
              <w:noProof/>
            </w:rPr>
            <w:t>(Dowdall, 2015)</w:t>
          </w:r>
          <w:r w:rsidR="004F0982" w:rsidRPr="004F0982">
            <w:rPr>
              <w:rStyle w:val="normaltextrun"/>
            </w:rPr>
            <w:fldChar w:fldCharType="end"/>
          </w:r>
        </w:sdtContent>
      </w:sdt>
      <w:r w:rsidRPr="004F0982">
        <w:rPr>
          <w:rStyle w:val="normaltextrun"/>
        </w:rPr>
        <w:t xml:space="preserve">. </w:t>
      </w:r>
      <w:r w:rsidR="004F0982" w:rsidRPr="004F0982">
        <w:rPr>
          <w:rStyle w:val="normaltextrun"/>
        </w:rPr>
        <w:t xml:space="preserve"> </w:t>
      </w:r>
      <w:r w:rsidR="007769AB">
        <w:rPr>
          <w:rStyle w:val="normaltextrun"/>
        </w:rPr>
        <w:t>One of the shortcomings of the proposal is</w:t>
      </w:r>
      <w:r w:rsidR="007769AB" w:rsidRPr="004F0982">
        <w:rPr>
          <w:rStyle w:val="normaltextrun"/>
        </w:rPr>
        <w:t xml:space="preserve"> the simple language that has been used</w:t>
      </w:r>
      <w:r w:rsidR="007769AB">
        <w:rPr>
          <w:rStyle w:val="normaltextrun"/>
        </w:rPr>
        <w:t xml:space="preserve">. It </w:t>
      </w:r>
      <w:r w:rsidR="007769AB" w:rsidRPr="004F0982">
        <w:rPr>
          <w:rStyle w:val="normaltextrun"/>
        </w:rPr>
        <w:t>give</w:t>
      </w:r>
      <w:r w:rsidR="007769AB">
        <w:rPr>
          <w:rStyle w:val="normaltextrun"/>
        </w:rPr>
        <w:t>s</w:t>
      </w:r>
      <w:r w:rsidR="007769AB" w:rsidRPr="004F0982">
        <w:rPr>
          <w:rStyle w:val="normaltextrun"/>
        </w:rPr>
        <w:t xml:space="preserve"> a lot of room for discretion in the prosecution. </w:t>
      </w:r>
      <w:r w:rsidRPr="004F0982">
        <w:rPr>
          <w:rStyle w:val="normaltextrun"/>
        </w:rPr>
        <w:t xml:space="preserve">There has been a proposal for legislation that gives a precise definition of harm that has been done to a victim. This statute is likely to </w:t>
      </w:r>
      <w:r w:rsidR="007769AB">
        <w:rPr>
          <w:rStyle w:val="normaltextrun"/>
        </w:rPr>
        <w:t xml:space="preserve">conform </w:t>
      </w:r>
      <w:r w:rsidRPr="004F0982">
        <w:rPr>
          <w:rStyle w:val="normaltextrun"/>
        </w:rPr>
        <w:t xml:space="preserve">with the fair labelling principle through </w:t>
      </w:r>
      <w:r w:rsidR="007769AB">
        <w:rPr>
          <w:rStyle w:val="normaltextrun"/>
        </w:rPr>
        <w:t>defining</w:t>
      </w:r>
      <w:r w:rsidRPr="004F0982">
        <w:rPr>
          <w:rStyle w:val="normaltextrun"/>
        </w:rPr>
        <w:t xml:space="preserve"> the crime that the victim has been subjected to as this will help the offender to know what he or she is being accused </w:t>
      </w:r>
      <w:r w:rsidR="007769AB">
        <w:rPr>
          <w:rStyle w:val="normaltextrun"/>
        </w:rPr>
        <w:t xml:space="preserve">of </w:t>
      </w:r>
      <w:r w:rsidRPr="004F0982">
        <w:rPr>
          <w:rStyle w:val="normaltextrun"/>
        </w:rPr>
        <w:t xml:space="preserve">and the rationale behind their punishment. However, this proposal has been </w:t>
      </w:r>
      <w:proofErr w:type="spellStart"/>
      <w:r w:rsidR="00A11C4A" w:rsidRPr="004F0982">
        <w:rPr>
          <w:rStyle w:val="normaltextrun"/>
        </w:rPr>
        <w:t>critici</w:t>
      </w:r>
      <w:r w:rsidR="002D4C7D">
        <w:rPr>
          <w:rStyle w:val="normaltextrun"/>
        </w:rPr>
        <w:t>se</w:t>
      </w:r>
      <w:r w:rsidR="00A11C4A" w:rsidRPr="004F0982">
        <w:rPr>
          <w:rStyle w:val="normaltextrun"/>
        </w:rPr>
        <w:t>d</w:t>
      </w:r>
      <w:proofErr w:type="spellEnd"/>
      <w:r w:rsidRPr="004F0982">
        <w:rPr>
          <w:rStyle w:val="normaltextrun"/>
        </w:rPr>
        <w:t xml:space="preserve"> as it is likely to lead to an increase in the number of appeals by offenders on their conviction because they h</w:t>
      </w:r>
      <w:r w:rsidR="002D4C7D">
        <w:rPr>
          <w:rStyle w:val="normaltextrun"/>
        </w:rPr>
        <w:t>ave</w:t>
      </w:r>
      <w:r w:rsidRPr="004F0982">
        <w:rPr>
          <w:rStyle w:val="normaltextrun"/>
        </w:rPr>
        <w:t xml:space="preserve"> not been charged with an incorrect assault</w:t>
      </w:r>
      <w:sdt>
        <w:sdtPr>
          <w:rPr>
            <w:rStyle w:val="normaltextrun"/>
          </w:rPr>
          <w:id w:val="758177541"/>
          <w:citation/>
        </w:sdtPr>
        <w:sdtEndPr>
          <w:rPr>
            <w:rStyle w:val="normaltextrun"/>
          </w:rPr>
        </w:sdtEndPr>
        <w:sdtContent>
          <w:r w:rsidR="004F0982" w:rsidRPr="004F0982">
            <w:rPr>
              <w:rStyle w:val="normaltextrun"/>
            </w:rPr>
            <w:fldChar w:fldCharType="begin"/>
          </w:r>
          <w:r w:rsidR="004F0982" w:rsidRPr="004F0982">
            <w:rPr>
              <w:rStyle w:val="normaltextrun"/>
            </w:rPr>
            <w:instrText xml:space="preserve"> CITATION Jos15 \l 1033 </w:instrText>
          </w:r>
          <w:r w:rsidR="004F0982" w:rsidRPr="004F0982">
            <w:rPr>
              <w:rStyle w:val="normaltextrun"/>
            </w:rPr>
            <w:fldChar w:fldCharType="separate"/>
          </w:r>
          <w:r w:rsidR="004F0982" w:rsidRPr="004F0982">
            <w:rPr>
              <w:rStyle w:val="normaltextrun"/>
              <w:noProof/>
            </w:rPr>
            <w:t xml:space="preserve"> </w:t>
          </w:r>
          <w:r w:rsidR="004F0982" w:rsidRPr="004F0982">
            <w:rPr>
              <w:noProof/>
            </w:rPr>
            <w:t>(Dowdall, 2015)</w:t>
          </w:r>
          <w:r w:rsidR="004F0982" w:rsidRPr="004F0982">
            <w:rPr>
              <w:rStyle w:val="normaltextrun"/>
            </w:rPr>
            <w:fldChar w:fldCharType="end"/>
          </w:r>
        </w:sdtContent>
      </w:sdt>
      <w:r w:rsidRPr="004F0982">
        <w:rPr>
          <w:rStyle w:val="normaltextrun"/>
        </w:rPr>
        <w:t>. Based on the increased emphasis on courts efficiency, this is likely to increase the burden on the criminal justice system that is currently being witnessed.</w:t>
      </w:r>
      <w:r w:rsidRPr="004F0982">
        <w:rPr>
          <w:rStyle w:val="eop"/>
        </w:rPr>
        <w:t> </w:t>
      </w:r>
    </w:p>
    <w:p w14:paraId="71D4166A" w14:textId="083B54AB" w:rsidR="00A1470D" w:rsidRPr="004F0982" w:rsidRDefault="002D4C7D" w:rsidP="004F0982">
      <w:pPr>
        <w:pStyle w:val="paragraph"/>
        <w:spacing w:line="480" w:lineRule="auto"/>
        <w:jc w:val="both"/>
        <w:textAlignment w:val="baseline"/>
      </w:pPr>
      <w:proofErr w:type="spellStart"/>
      <w:r>
        <w:rPr>
          <w:rStyle w:val="normaltextrun"/>
        </w:rPr>
        <w:t>The</w:t>
      </w:r>
      <w:r w:rsidR="00A1470D" w:rsidRPr="004F0982">
        <w:rPr>
          <w:rStyle w:val="normaltextrun"/>
        </w:rPr>
        <w:t>Offences</w:t>
      </w:r>
      <w:proofErr w:type="spellEnd"/>
      <w:r w:rsidR="00A1470D" w:rsidRPr="004F0982">
        <w:rPr>
          <w:rStyle w:val="normaltextrun"/>
        </w:rPr>
        <w:t xml:space="preserve"> Against the Person Act </w:t>
      </w:r>
      <w:r>
        <w:rPr>
          <w:rStyle w:val="normaltextrun"/>
        </w:rPr>
        <w:t xml:space="preserve">must </w:t>
      </w:r>
      <w:r w:rsidR="00A1470D" w:rsidRPr="004F0982">
        <w:rPr>
          <w:rStyle w:val="normaltextrun"/>
        </w:rPr>
        <w:t xml:space="preserve">be up to date with the current societal dynamics </w:t>
      </w:r>
      <w:r>
        <w:rPr>
          <w:rStyle w:val="normaltextrun"/>
        </w:rPr>
        <w:t xml:space="preserve">for </w:t>
      </w:r>
      <w:r w:rsidR="00A1470D" w:rsidRPr="004F0982">
        <w:rPr>
          <w:rStyle w:val="normaltextrun"/>
        </w:rPr>
        <w:t xml:space="preserve">it to be responsive. There is </w:t>
      </w:r>
      <w:r>
        <w:rPr>
          <w:rStyle w:val="normaltextrun"/>
        </w:rPr>
        <w:t xml:space="preserve">a </w:t>
      </w:r>
      <w:r w:rsidR="00A1470D" w:rsidRPr="004F0982">
        <w:rPr>
          <w:rStyle w:val="normaltextrun"/>
        </w:rPr>
        <w:t>need for reformed language,</w:t>
      </w:r>
      <w:r>
        <w:rPr>
          <w:rStyle w:val="normaltextrun"/>
        </w:rPr>
        <w:t xml:space="preserve"> a</w:t>
      </w:r>
      <w:r w:rsidR="00A1470D" w:rsidRPr="004F0982">
        <w:rPr>
          <w:rStyle w:val="normaltextrun"/>
        </w:rPr>
        <w:t xml:space="preserve"> proper hierarchy of crimes, clarity of the terms used in the Act and clear and distinction of the different offences.</w:t>
      </w:r>
      <w:r w:rsidR="00A1470D" w:rsidRPr="004F0982">
        <w:rPr>
          <w:rStyle w:val="eop"/>
        </w:rPr>
        <w:t> </w:t>
      </w:r>
    </w:p>
    <w:p w14:paraId="706CD086" w14:textId="77777777" w:rsidR="00A1470D" w:rsidRPr="004F0982" w:rsidRDefault="00A1470D" w:rsidP="004F0982">
      <w:pPr>
        <w:pStyle w:val="paragraph"/>
        <w:spacing w:line="480" w:lineRule="auto"/>
        <w:jc w:val="both"/>
        <w:textAlignment w:val="baseline"/>
        <w:rPr>
          <w:b/>
          <w:bCs/>
        </w:rPr>
      </w:pPr>
      <w:r w:rsidRPr="004F0982">
        <w:rPr>
          <w:rStyle w:val="normaltextrun"/>
          <w:b/>
          <w:bCs/>
        </w:rPr>
        <w:t>References</w:t>
      </w:r>
      <w:r w:rsidRPr="004F0982">
        <w:rPr>
          <w:rStyle w:val="eop"/>
          <w:b/>
          <w:bCs/>
        </w:rPr>
        <w:t> </w:t>
      </w:r>
    </w:p>
    <w:p w14:paraId="198893CD" w14:textId="77777777" w:rsidR="00A1470D" w:rsidRPr="004F0982" w:rsidRDefault="00A1470D" w:rsidP="004F0982">
      <w:pPr>
        <w:pStyle w:val="paragraph"/>
        <w:spacing w:line="480" w:lineRule="auto"/>
        <w:jc w:val="both"/>
        <w:textAlignment w:val="baseline"/>
        <w:rPr>
          <w:b/>
          <w:bCs/>
        </w:rPr>
      </w:pPr>
      <w:r w:rsidRPr="004F0982">
        <w:rPr>
          <w:rStyle w:val="normaltextrun"/>
          <w:b/>
          <w:bCs/>
        </w:rPr>
        <w:t>Legislation</w:t>
      </w:r>
      <w:r w:rsidRPr="004F0982">
        <w:rPr>
          <w:rStyle w:val="eop"/>
          <w:b/>
          <w:bCs/>
        </w:rPr>
        <w:t> </w:t>
      </w:r>
    </w:p>
    <w:p w14:paraId="279AE156" w14:textId="6AF9AA41" w:rsidR="00A1470D" w:rsidRPr="004F0982" w:rsidRDefault="00A1470D" w:rsidP="004F0982">
      <w:pPr>
        <w:pStyle w:val="paragraph"/>
        <w:spacing w:line="480" w:lineRule="auto"/>
        <w:jc w:val="both"/>
        <w:textAlignment w:val="baseline"/>
      </w:pPr>
      <w:r w:rsidRPr="004F0982">
        <w:rPr>
          <w:rStyle w:val="normaltextrun"/>
        </w:rPr>
        <w:t>Offences Against the Person Act</w:t>
      </w:r>
      <w:r w:rsidRPr="004F0982">
        <w:rPr>
          <w:rStyle w:val="eop"/>
        </w:rPr>
        <w:t> </w:t>
      </w:r>
      <w:r w:rsidR="004F0982" w:rsidRPr="004F0982">
        <w:rPr>
          <w:rStyle w:val="eop"/>
        </w:rPr>
        <w:t>1861.</w:t>
      </w:r>
    </w:p>
    <w:p w14:paraId="7BC36D1E" w14:textId="77777777" w:rsidR="00A1470D" w:rsidRPr="004F0982" w:rsidRDefault="00A1470D" w:rsidP="004F0982">
      <w:pPr>
        <w:pStyle w:val="paragraph"/>
        <w:spacing w:line="480" w:lineRule="auto"/>
        <w:jc w:val="both"/>
        <w:textAlignment w:val="baseline"/>
        <w:rPr>
          <w:b/>
          <w:bCs/>
        </w:rPr>
      </w:pPr>
      <w:r w:rsidRPr="004F0982">
        <w:rPr>
          <w:rStyle w:val="normaltextrun"/>
          <w:b/>
          <w:bCs/>
        </w:rPr>
        <w:lastRenderedPageBreak/>
        <w:t>Case law</w:t>
      </w:r>
      <w:r w:rsidRPr="004F0982">
        <w:rPr>
          <w:rStyle w:val="eop"/>
          <w:b/>
          <w:bCs/>
        </w:rPr>
        <w:t> </w:t>
      </w:r>
    </w:p>
    <w:p w14:paraId="133DFFAD" w14:textId="77777777" w:rsidR="00A1470D" w:rsidRPr="004F0982" w:rsidRDefault="00A1470D" w:rsidP="004F0982">
      <w:pPr>
        <w:pStyle w:val="paragraph"/>
        <w:spacing w:line="480" w:lineRule="auto"/>
        <w:jc w:val="both"/>
        <w:textAlignment w:val="baseline"/>
      </w:pPr>
      <w:r w:rsidRPr="004F0982">
        <w:rPr>
          <w:rStyle w:val="normaltextrun"/>
        </w:rPr>
        <w:t>DPP v Smith (1961) AC 290</w:t>
      </w:r>
      <w:r w:rsidRPr="004F0982">
        <w:rPr>
          <w:rStyle w:val="eop"/>
        </w:rPr>
        <w:t> </w:t>
      </w:r>
    </w:p>
    <w:p w14:paraId="4C86595A" w14:textId="77777777" w:rsidR="00A1470D" w:rsidRPr="004F0982" w:rsidRDefault="00A1470D" w:rsidP="004F0982">
      <w:pPr>
        <w:pStyle w:val="paragraph"/>
        <w:spacing w:line="480" w:lineRule="auto"/>
        <w:jc w:val="both"/>
        <w:textAlignment w:val="baseline"/>
      </w:pPr>
      <w:r w:rsidRPr="004F0982">
        <w:rPr>
          <w:rStyle w:val="normaltextrun"/>
        </w:rPr>
        <w:t xml:space="preserve">Faulkner v </w:t>
      </w:r>
      <w:proofErr w:type="spellStart"/>
      <w:r w:rsidRPr="004F0982">
        <w:rPr>
          <w:rStyle w:val="normaltextrun"/>
        </w:rPr>
        <w:t>Tablot</w:t>
      </w:r>
      <w:proofErr w:type="spellEnd"/>
      <w:r w:rsidRPr="004F0982">
        <w:rPr>
          <w:rStyle w:val="normaltextrun"/>
        </w:rPr>
        <w:t xml:space="preserve"> [1981] 3 All ER 468</w:t>
      </w:r>
      <w:r w:rsidRPr="004F0982">
        <w:rPr>
          <w:rStyle w:val="eop"/>
        </w:rPr>
        <w:t> </w:t>
      </w:r>
    </w:p>
    <w:p w14:paraId="591EB2CD" w14:textId="77777777" w:rsidR="00A1470D" w:rsidRPr="004F0982" w:rsidRDefault="00A1470D" w:rsidP="004F0982">
      <w:pPr>
        <w:pStyle w:val="paragraph"/>
        <w:spacing w:line="480" w:lineRule="auto"/>
        <w:jc w:val="both"/>
        <w:textAlignment w:val="baseline"/>
      </w:pPr>
      <w:r w:rsidRPr="004F0982">
        <w:rPr>
          <w:rStyle w:val="normaltextrun"/>
        </w:rPr>
        <w:t xml:space="preserve">JCC v Eisenhower (1983) </w:t>
      </w:r>
      <w:r w:rsidRPr="004F0982">
        <w:rPr>
          <w:rStyle w:val="eop"/>
        </w:rPr>
        <w:t> </w:t>
      </w:r>
    </w:p>
    <w:p w14:paraId="09BE4BE7" w14:textId="77777777" w:rsidR="00A1470D" w:rsidRPr="004F0982" w:rsidRDefault="00A1470D" w:rsidP="004F0982">
      <w:pPr>
        <w:pStyle w:val="paragraph"/>
        <w:spacing w:line="480" w:lineRule="auto"/>
        <w:jc w:val="both"/>
        <w:textAlignment w:val="baseline"/>
      </w:pPr>
      <w:r w:rsidRPr="004F0982">
        <w:rPr>
          <w:rStyle w:val="normaltextrun"/>
        </w:rPr>
        <w:t xml:space="preserve">R v </w:t>
      </w:r>
      <w:proofErr w:type="spellStart"/>
      <w:r w:rsidRPr="004F0982">
        <w:rPr>
          <w:rStyle w:val="normaltextrun"/>
        </w:rPr>
        <w:t>Bustow</w:t>
      </w:r>
      <w:proofErr w:type="spellEnd"/>
      <w:r w:rsidRPr="004F0982">
        <w:rPr>
          <w:rStyle w:val="normaltextrun"/>
        </w:rPr>
        <w:t> [1997] UKHL 34</w:t>
      </w:r>
      <w:r w:rsidRPr="004F0982">
        <w:rPr>
          <w:rStyle w:val="eop"/>
        </w:rPr>
        <w:t> </w:t>
      </w:r>
    </w:p>
    <w:p w14:paraId="64727FD5" w14:textId="77777777" w:rsidR="00A1470D" w:rsidRPr="004F0982" w:rsidRDefault="00A1470D" w:rsidP="004F0982">
      <w:pPr>
        <w:pStyle w:val="paragraph"/>
        <w:spacing w:line="480" w:lineRule="auto"/>
        <w:jc w:val="both"/>
        <w:textAlignment w:val="baseline"/>
      </w:pPr>
      <w:r w:rsidRPr="004F0982">
        <w:rPr>
          <w:rStyle w:val="normaltextrun"/>
        </w:rPr>
        <w:t xml:space="preserve">R v Constanza [1997] Crim LR 576 </w:t>
      </w:r>
      <w:r w:rsidRPr="004F0982">
        <w:rPr>
          <w:rStyle w:val="eop"/>
        </w:rPr>
        <w:t> </w:t>
      </w:r>
    </w:p>
    <w:p w14:paraId="179F00F2" w14:textId="77777777" w:rsidR="00A1470D" w:rsidRPr="004F0982" w:rsidRDefault="00A1470D" w:rsidP="004F0982">
      <w:pPr>
        <w:pStyle w:val="paragraph"/>
        <w:spacing w:line="480" w:lineRule="auto"/>
        <w:jc w:val="both"/>
        <w:textAlignment w:val="baseline"/>
      </w:pPr>
      <w:r w:rsidRPr="004F0982">
        <w:rPr>
          <w:rStyle w:val="normaltextrun"/>
        </w:rPr>
        <w:t>R v Cunningham (1957) 2 QB 396</w:t>
      </w:r>
      <w:r w:rsidRPr="004F0982">
        <w:rPr>
          <w:rStyle w:val="eop"/>
        </w:rPr>
        <w:t> </w:t>
      </w:r>
    </w:p>
    <w:p w14:paraId="49F41356" w14:textId="77777777" w:rsidR="00A1470D" w:rsidRPr="004F0982" w:rsidRDefault="00A1470D" w:rsidP="004F0982">
      <w:pPr>
        <w:pStyle w:val="paragraph"/>
        <w:spacing w:line="480" w:lineRule="auto"/>
        <w:jc w:val="both"/>
        <w:textAlignment w:val="baseline"/>
      </w:pPr>
      <w:r w:rsidRPr="004F0982">
        <w:rPr>
          <w:rStyle w:val="normaltextrun"/>
        </w:rPr>
        <w:t>R v Ireland [1997] UKHL 34,</w:t>
      </w:r>
      <w:r w:rsidRPr="004F0982">
        <w:rPr>
          <w:rStyle w:val="eop"/>
        </w:rPr>
        <w:t> </w:t>
      </w:r>
    </w:p>
    <w:p w14:paraId="3396B8C3" w14:textId="77777777" w:rsidR="00A1470D" w:rsidRPr="004F0982" w:rsidRDefault="00A1470D" w:rsidP="004F0982">
      <w:pPr>
        <w:pStyle w:val="paragraph"/>
        <w:spacing w:line="480" w:lineRule="auto"/>
        <w:jc w:val="both"/>
        <w:textAlignment w:val="baseline"/>
      </w:pPr>
      <w:r w:rsidRPr="004F0982">
        <w:rPr>
          <w:rStyle w:val="normaltextrun"/>
        </w:rPr>
        <w:t>R v Lynsey (1995) 3 All ER 654</w:t>
      </w:r>
      <w:r w:rsidRPr="004F0982">
        <w:rPr>
          <w:rStyle w:val="eop"/>
        </w:rPr>
        <w:t> </w:t>
      </w:r>
    </w:p>
    <w:p w14:paraId="383AE79C" w14:textId="77777777" w:rsidR="00A1470D" w:rsidRPr="004F0982" w:rsidRDefault="00A1470D" w:rsidP="004F0982">
      <w:pPr>
        <w:pStyle w:val="paragraph"/>
        <w:spacing w:line="480" w:lineRule="auto"/>
        <w:jc w:val="both"/>
        <w:textAlignment w:val="baseline"/>
      </w:pPr>
      <w:r w:rsidRPr="004F0982">
        <w:rPr>
          <w:rStyle w:val="normaltextrun"/>
        </w:rPr>
        <w:t>R v Martin [2001] EWCA Crim 2245</w:t>
      </w:r>
      <w:r w:rsidRPr="004F0982">
        <w:rPr>
          <w:rStyle w:val="eop"/>
        </w:rPr>
        <w:t> </w:t>
      </w:r>
    </w:p>
    <w:p w14:paraId="46D40C2F" w14:textId="77777777" w:rsidR="00A1470D" w:rsidRPr="004F0982" w:rsidRDefault="00A1470D" w:rsidP="004F0982">
      <w:pPr>
        <w:pStyle w:val="paragraph"/>
        <w:spacing w:line="480" w:lineRule="auto"/>
        <w:jc w:val="both"/>
        <w:textAlignment w:val="baseline"/>
      </w:pPr>
      <w:r w:rsidRPr="004F0982">
        <w:rPr>
          <w:rStyle w:val="normaltextrun"/>
        </w:rPr>
        <w:t>R v Wilson (1996) 2 Cr App Rep 241</w:t>
      </w:r>
      <w:r w:rsidRPr="004F0982">
        <w:rPr>
          <w:rStyle w:val="eop"/>
        </w:rPr>
        <w:t> </w:t>
      </w:r>
    </w:p>
    <w:p w14:paraId="4FE44FF9" w14:textId="77777777" w:rsidR="00A1470D" w:rsidRPr="004F0982" w:rsidRDefault="00A1470D" w:rsidP="004F0982">
      <w:pPr>
        <w:pStyle w:val="paragraph"/>
        <w:spacing w:line="480" w:lineRule="auto"/>
        <w:jc w:val="both"/>
        <w:textAlignment w:val="baseline"/>
      </w:pPr>
      <w:r w:rsidRPr="004F0982">
        <w:rPr>
          <w:rStyle w:val="normaltextrun"/>
          <w:i/>
          <w:iCs/>
        </w:rPr>
        <w:t>R v Martin [2001] EWCA Crim 2245</w:t>
      </w:r>
      <w:r w:rsidRPr="004F0982">
        <w:rPr>
          <w:rStyle w:val="eop"/>
        </w:rPr>
        <w:t> </w:t>
      </w:r>
    </w:p>
    <w:p w14:paraId="04DCE8B0" w14:textId="77777777" w:rsidR="00A1470D" w:rsidRPr="004F0982" w:rsidRDefault="00A1470D" w:rsidP="004F0982">
      <w:pPr>
        <w:pStyle w:val="paragraph"/>
        <w:spacing w:line="480" w:lineRule="auto"/>
        <w:jc w:val="both"/>
        <w:textAlignment w:val="baseline"/>
        <w:rPr>
          <w:b/>
          <w:bCs/>
        </w:rPr>
      </w:pPr>
      <w:r w:rsidRPr="004F0982">
        <w:rPr>
          <w:rStyle w:val="normaltextrun"/>
          <w:b/>
          <w:bCs/>
        </w:rPr>
        <w:t>Journals</w:t>
      </w:r>
      <w:r w:rsidRPr="004F0982">
        <w:rPr>
          <w:rStyle w:val="eop"/>
          <w:b/>
          <w:bCs/>
        </w:rPr>
        <w:t> </w:t>
      </w:r>
    </w:p>
    <w:p w14:paraId="29D76AA0" w14:textId="77777777" w:rsidR="00A1470D" w:rsidRPr="004F0982" w:rsidRDefault="00A1470D" w:rsidP="004F0982">
      <w:pPr>
        <w:pStyle w:val="paragraph"/>
        <w:spacing w:line="480" w:lineRule="auto"/>
        <w:jc w:val="both"/>
        <w:textAlignment w:val="baseline"/>
      </w:pPr>
      <w:proofErr w:type="spellStart"/>
      <w:r w:rsidRPr="004F0982">
        <w:rPr>
          <w:rStyle w:val="normaltextrun"/>
        </w:rPr>
        <w:t>Charleton</w:t>
      </w:r>
      <w:proofErr w:type="spellEnd"/>
      <w:r w:rsidRPr="004F0982">
        <w:rPr>
          <w:rStyle w:val="normaltextrun"/>
        </w:rPr>
        <w:t xml:space="preserve">, P., 1992. Offences against the person. </w:t>
      </w:r>
      <w:r w:rsidRPr="004F0982">
        <w:rPr>
          <w:rStyle w:val="normaltextrun"/>
          <w:i/>
          <w:iCs/>
        </w:rPr>
        <w:t>Round Hall Press.</w:t>
      </w:r>
      <w:r w:rsidRPr="004F0982">
        <w:rPr>
          <w:rStyle w:val="eop"/>
        </w:rPr>
        <w:t> </w:t>
      </w:r>
    </w:p>
    <w:p w14:paraId="482248ED" w14:textId="00A72290" w:rsidR="00A1470D" w:rsidRPr="004F0982" w:rsidRDefault="00A1470D" w:rsidP="004F0982">
      <w:pPr>
        <w:pStyle w:val="paragraph"/>
        <w:spacing w:line="480" w:lineRule="auto"/>
        <w:jc w:val="both"/>
        <w:textAlignment w:val="baseline"/>
        <w:rPr>
          <w:rStyle w:val="eop"/>
        </w:rPr>
      </w:pPr>
      <w:r w:rsidRPr="004F0982">
        <w:rPr>
          <w:rStyle w:val="normaltextrun"/>
        </w:rPr>
        <w:t xml:space="preserve">Cowley, D., 1991. The Mental Element in Non-Fatal Offences against the Person. </w:t>
      </w:r>
      <w:r w:rsidRPr="004F0982">
        <w:rPr>
          <w:rStyle w:val="normaltextrun"/>
          <w:i/>
          <w:iCs/>
        </w:rPr>
        <w:t xml:space="preserve">The Journal of Criminal Law, </w:t>
      </w:r>
      <w:r w:rsidRPr="004F0982">
        <w:rPr>
          <w:rStyle w:val="normaltextrun"/>
        </w:rPr>
        <w:t>55(2), pp. 216-220.</w:t>
      </w:r>
      <w:r w:rsidRPr="004F0982">
        <w:rPr>
          <w:rStyle w:val="eop"/>
        </w:rPr>
        <w:t> </w:t>
      </w:r>
    </w:p>
    <w:sdt>
      <w:sdtPr>
        <w:rPr>
          <w:rFonts w:ascii="Times New Roman" w:hAnsi="Times New Roman" w:cs="Times New Roman"/>
          <w:sz w:val="24"/>
          <w:szCs w:val="24"/>
        </w:rPr>
        <w:id w:val="-573587230"/>
        <w:bibliography/>
      </w:sdtPr>
      <w:sdtEndPr/>
      <w:sdtContent>
        <w:p w14:paraId="52F82E7E" w14:textId="6EF0B3FF" w:rsidR="004F0982" w:rsidRPr="004F0982" w:rsidRDefault="004F0982" w:rsidP="004F0982">
          <w:pPr>
            <w:pStyle w:val="Bibliography"/>
            <w:spacing w:line="480" w:lineRule="auto"/>
            <w:jc w:val="both"/>
            <w:rPr>
              <w:rFonts w:ascii="Times New Roman" w:hAnsi="Times New Roman" w:cs="Times New Roman"/>
              <w:noProof/>
              <w:sz w:val="24"/>
              <w:szCs w:val="24"/>
            </w:rPr>
          </w:pPr>
          <w:r w:rsidRPr="004F0982">
            <w:rPr>
              <w:rFonts w:ascii="Times New Roman" w:hAnsi="Times New Roman" w:cs="Times New Roman"/>
              <w:sz w:val="24"/>
              <w:szCs w:val="24"/>
            </w:rPr>
            <w:fldChar w:fldCharType="begin"/>
          </w:r>
          <w:r w:rsidRPr="004F0982">
            <w:rPr>
              <w:rFonts w:ascii="Times New Roman" w:hAnsi="Times New Roman" w:cs="Times New Roman"/>
              <w:sz w:val="24"/>
              <w:szCs w:val="24"/>
            </w:rPr>
            <w:instrText xml:space="preserve"> BIBLIOGRAPHY </w:instrText>
          </w:r>
          <w:r w:rsidRPr="004F0982">
            <w:rPr>
              <w:rFonts w:ascii="Times New Roman" w:hAnsi="Times New Roman" w:cs="Times New Roman"/>
              <w:sz w:val="24"/>
              <w:szCs w:val="24"/>
            </w:rPr>
            <w:fldChar w:fldCharType="separate"/>
          </w:r>
          <w:r w:rsidRPr="004F0982">
            <w:rPr>
              <w:rFonts w:ascii="Times New Roman" w:hAnsi="Times New Roman" w:cs="Times New Roman"/>
              <w:noProof/>
              <w:sz w:val="24"/>
              <w:szCs w:val="24"/>
            </w:rPr>
            <w:t xml:space="preserve">Dowdall, J., 2015. </w:t>
          </w:r>
          <w:r w:rsidRPr="004F0982">
            <w:rPr>
              <w:rFonts w:ascii="Times New Roman" w:hAnsi="Times New Roman" w:cs="Times New Roman"/>
              <w:i/>
              <w:iCs/>
              <w:noProof/>
              <w:sz w:val="24"/>
              <w:szCs w:val="24"/>
            </w:rPr>
            <w:t xml:space="preserve">Offences Against The Person: Options for Reform. </w:t>
          </w:r>
          <w:r w:rsidRPr="004F0982">
            <w:rPr>
              <w:rFonts w:ascii="Times New Roman" w:hAnsi="Times New Roman" w:cs="Times New Roman"/>
              <w:noProof/>
              <w:sz w:val="24"/>
              <w:szCs w:val="24"/>
            </w:rPr>
            <w:t xml:space="preserve">[Online] </w:t>
          </w:r>
          <w:r w:rsidRPr="004F0982">
            <w:rPr>
              <w:rFonts w:ascii="Times New Roman" w:hAnsi="Times New Roman" w:cs="Times New Roman"/>
              <w:noProof/>
              <w:sz w:val="24"/>
              <w:szCs w:val="24"/>
            </w:rPr>
            <w:br/>
            <w:t xml:space="preserve">Available at: </w:t>
          </w:r>
          <w:r w:rsidRPr="004F0982">
            <w:rPr>
              <w:rFonts w:ascii="Times New Roman" w:hAnsi="Times New Roman" w:cs="Times New Roman"/>
              <w:noProof/>
              <w:sz w:val="24"/>
              <w:szCs w:val="24"/>
              <w:u w:val="single"/>
            </w:rPr>
            <w:t>http://www.keepcalmtalklaw.co.uk/offences-against-the-person-options-for-reform/</w:t>
          </w:r>
          <w:r w:rsidRPr="004F0982">
            <w:rPr>
              <w:rFonts w:ascii="Times New Roman" w:hAnsi="Times New Roman" w:cs="Times New Roman"/>
              <w:noProof/>
              <w:sz w:val="24"/>
              <w:szCs w:val="24"/>
            </w:rPr>
            <w:t xml:space="preserve"> [Accessed 7 July 2021].</w:t>
          </w:r>
        </w:p>
        <w:p w14:paraId="161C8B47" w14:textId="77777777" w:rsidR="004F0982" w:rsidRPr="004F0982" w:rsidRDefault="004F0982" w:rsidP="004F0982">
          <w:pPr>
            <w:spacing w:line="480" w:lineRule="auto"/>
            <w:jc w:val="both"/>
            <w:rPr>
              <w:rFonts w:ascii="Times New Roman" w:hAnsi="Times New Roman" w:cs="Times New Roman"/>
              <w:sz w:val="24"/>
              <w:szCs w:val="24"/>
            </w:rPr>
          </w:pPr>
          <w:r w:rsidRPr="004F0982">
            <w:rPr>
              <w:rFonts w:ascii="Times New Roman" w:hAnsi="Times New Roman" w:cs="Times New Roman"/>
              <w:noProof/>
              <w:sz w:val="24"/>
              <w:szCs w:val="24"/>
            </w:rPr>
            <w:fldChar w:fldCharType="end"/>
          </w:r>
        </w:p>
      </w:sdtContent>
    </w:sdt>
    <w:p w14:paraId="26E5A503" w14:textId="606C8AFE" w:rsidR="004F0982" w:rsidRPr="004F0982" w:rsidRDefault="004F0982" w:rsidP="004F0982">
      <w:pPr>
        <w:pStyle w:val="paragraph"/>
        <w:spacing w:line="480" w:lineRule="auto"/>
        <w:jc w:val="both"/>
        <w:textAlignment w:val="baseline"/>
      </w:pPr>
      <w:r w:rsidRPr="004F0982">
        <w:t>E-Law Resources,</w:t>
      </w:r>
      <w:r w:rsidRPr="004F0982">
        <w:rPr>
          <w:rFonts w:eastAsiaTheme="minorHAnsi"/>
          <w:shd w:val="clear" w:color="auto" w:fill="FFFFFF"/>
        </w:rPr>
        <w:t xml:space="preserve"> </w:t>
      </w:r>
      <w:r w:rsidRPr="004F0982">
        <w:t xml:space="preserve">Non-fatal offences against the person – Criticisms. (Online) Available at: </w:t>
      </w:r>
      <w:hyperlink r:id="rId7" w:history="1">
        <w:r w:rsidRPr="004F0982">
          <w:rPr>
            <w:rStyle w:val="Hyperlink"/>
            <w:color w:val="auto"/>
          </w:rPr>
          <w:t>http://www.e-lawresources.co.uk/Non-Fatal-Offences-Against-the-Person---Criticisms.php</w:t>
        </w:r>
      </w:hyperlink>
      <w:r w:rsidRPr="004F0982">
        <w:t xml:space="preserve"> (Accessed 7 July 2021).</w:t>
      </w:r>
    </w:p>
    <w:p w14:paraId="66548CE7" w14:textId="77777777" w:rsidR="00A1470D" w:rsidRPr="004F0982" w:rsidRDefault="00A1470D" w:rsidP="004F0982">
      <w:pPr>
        <w:pStyle w:val="paragraph"/>
        <w:spacing w:line="480" w:lineRule="auto"/>
        <w:jc w:val="both"/>
        <w:textAlignment w:val="baseline"/>
      </w:pPr>
      <w:proofErr w:type="spellStart"/>
      <w:r w:rsidRPr="004F0982">
        <w:rPr>
          <w:rStyle w:val="normaltextrun"/>
        </w:rPr>
        <w:t>Eugenicos</w:t>
      </w:r>
      <w:proofErr w:type="spellEnd"/>
      <w:r w:rsidRPr="004F0982">
        <w:rPr>
          <w:rStyle w:val="normaltextrun"/>
        </w:rPr>
        <w:t xml:space="preserve">, A. M., 2017. Should we reform the Offences Against the Person Act 1861? </w:t>
      </w:r>
      <w:r w:rsidRPr="004F0982">
        <w:rPr>
          <w:rStyle w:val="normaltextrun"/>
          <w:i/>
          <w:iCs/>
        </w:rPr>
        <w:t xml:space="preserve">The Journal of Criminal Law, </w:t>
      </w:r>
      <w:r w:rsidRPr="004F0982">
        <w:rPr>
          <w:rStyle w:val="normaltextrun"/>
        </w:rPr>
        <w:t>81(1), pp. 26-32.</w:t>
      </w:r>
      <w:r w:rsidRPr="004F0982">
        <w:rPr>
          <w:rStyle w:val="eop"/>
        </w:rPr>
        <w:t> </w:t>
      </w:r>
    </w:p>
    <w:p w14:paraId="54AE6DD5" w14:textId="77777777" w:rsidR="00A1470D" w:rsidRPr="004F0982" w:rsidRDefault="00A1470D" w:rsidP="004F0982">
      <w:pPr>
        <w:pStyle w:val="paragraph"/>
        <w:spacing w:line="480" w:lineRule="auto"/>
        <w:jc w:val="both"/>
        <w:textAlignment w:val="baseline"/>
      </w:pPr>
      <w:r w:rsidRPr="004F0982">
        <w:rPr>
          <w:rStyle w:val="normaltextrun"/>
        </w:rPr>
        <w:t xml:space="preserve">Gardner, J., 1994. Rationality and the Rule of Law in Offences Against the Person. </w:t>
      </w:r>
      <w:r w:rsidRPr="004F0982">
        <w:rPr>
          <w:rStyle w:val="normaltextrun"/>
          <w:i/>
          <w:iCs/>
        </w:rPr>
        <w:t xml:space="preserve">Cambridge Law Journal, </w:t>
      </w:r>
      <w:r w:rsidRPr="004F0982">
        <w:rPr>
          <w:rStyle w:val="normaltextrun"/>
        </w:rPr>
        <w:t>Volume 53, pp. 503-5011.</w:t>
      </w:r>
      <w:r w:rsidRPr="004F0982">
        <w:rPr>
          <w:rStyle w:val="eop"/>
        </w:rPr>
        <w:t> </w:t>
      </w:r>
    </w:p>
    <w:p w14:paraId="42B85E25" w14:textId="77777777" w:rsidR="00A1470D" w:rsidRPr="004F0982" w:rsidRDefault="00A1470D" w:rsidP="004F0982">
      <w:pPr>
        <w:pStyle w:val="paragraph"/>
        <w:spacing w:line="480" w:lineRule="auto"/>
        <w:jc w:val="both"/>
        <w:textAlignment w:val="baseline"/>
      </w:pPr>
      <w:r w:rsidRPr="004F0982">
        <w:rPr>
          <w:rStyle w:val="normaltextrun"/>
        </w:rPr>
        <w:t xml:space="preserve">Jefferson, M., 2012. Offences Against the Person: Into the 21st Century. </w:t>
      </w:r>
      <w:r w:rsidRPr="004F0982">
        <w:rPr>
          <w:rStyle w:val="normaltextrun"/>
          <w:i/>
          <w:iCs/>
        </w:rPr>
        <w:t xml:space="preserve">The Journal of Criminal Law, </w:t>
      </w:r>
      <w:r w:rsidRPr="004F0982">
        <w:rPr>
          <w:rStyle w:val="normaltextrun"/>
        </w:rPr>
        <w:t>76(6), pp. 472 - 492.</w:t>
      </w:r>
      <w:r w:rsidRPr="004F0982">
        <w:rPr>
          <w:rStyle w:val="eop"/>
        </w:rPr>
        <w:t> </w:t>
      </w:r>
    </w:p>
    <w:p w14:paraId="36007C25" w14:textId="77777777" w:rsidR="00A1470D" w:rsidRPr="004F0982" w:rsidRDefault="00A1470D" w:rsidP="004F0982">
      <w:pPr>
        <w:pStyle w:val="paragraph"/>
        <w:spacing w:line="480" w:lineRule="auto"/>
        <w:jc w:val="both"/>
        <w:textAlignment w:val="baseline"/>
      </w:pPr>
      <w:r w:rsidRPr="004F0982">
        <w:rPr>
          <w:rStyle w:val="normaltextrun"/>
        </w:rPr>
        <w:t xml:space="preserve">Rosen, E., 1999. </w:t>
      </w:r>
      <w:r w:rsidRPr="004F0982">
        <w:rPr>
          <w:rStyle w:val="normaltextrun"/>
          <w:i/>
          <w:iCs/>
        </w:rPr>
        <w:t xml:space="preserve">Offences against the person. </w:t>
      </w:r>
      <w:r w:rsidRPr="004F0982">
        <w:rPr>
          <w:rStyle w:val="normaltextrun"/>
        </w:rPr>
        <w:t>Routledge.</w:t>
      </w:r>
      <w:r w:rsidRPr="004F0982">
        <w:rPr>
          <w:rStyle w:val="eop"/>
        </w:rPr>
        <w:t> </w:t>
      </w:r>
    </w:p>
    <w:p w14:paraId="4BA774F4" w14:textId="5ABD7AA1" w:rsidR="00A1470D" w:rsidRPr="004F0982" w:rsidRDefault="00A1470D" w:rsidP="004F0982">
      <w:pPr>
        <w:pStyle w:val="paragraph"/>
        <w:spacing w:line="480" w:lineRule="auto"/>
        <w:jc w:val="both"/>
        <w:textAlignment w:val="baseline"/>
        <w:rPr>
          <w:rStyle w:val="eop"/>
        </w:rPr>
      </w:pPr>
      <w:proofErr w:type="spellStart"/>
      <w:r w:rsidRPr="004F0982">
        <w:rPr>
          <w:rStyle w:val="normaltextrun"/>
        </w:rPr>
        <w:t>Tabbush</w:t>
      </w:r>
      <w:proofErr w:type="spellEnd"/>
      <w:r w:rsidRPr="004F0982">
        <w:rPr>
          <w:rStyle w:val="normaltextrun"/>
        </w:rPr>
        <w:t xml:space="preserve">, S., 2014. Reform of Offences Against the Person. </w:t>
      </w:r>
      <w:r w:rsidRPr="004F0982">
        <w:rPr>
          <w:rStyle w:val="normaltextrun"/>
          <w:i/>
          <w:iCs/>
        </w:rPr>
        <w:t>Criminal Law and Justice Weekly.</w:t>
      </w:r>
      <w:r w:rsidRPr="004F0982">
        <w:rPr>
          <w:rStyle w:val="eop"/>
        </w:rPr>
        <w:t> </w:t>
      </w:r>
    </w:p>
    <w:sdt>
      <w:sdtPr>
        <w:rPr>
          <w:rFonts w:ascii="Times New Roman" w:eastAsiaTheme="minorHAnsi" w:hAnsi="Times New Roman" w:cs="Times New Roman"/>
          <w:color w:val="auto"/>
          <w:sz w:val="24"/>
          <w:szCs w:val="24"/>
        </w:rPr>
        <w:id w:val="-1165238767"/>
        <w:docPartObj>
          <w:docPartGallery w:val="Bibliographies"/>
          <w:docPartUnique/>
        </w:docPartObj>
      </w:sdtPr>
      <w:sdtEndPr/>
      <w:sdtContent>
        <w:p w14:paraId="5C20B82D" w14:textId="600D7DFC" w:rsidR="004F0982" w:rsidRPr="004F0982" w:rsidRDefault="004F0982" w:rsidP="004F0982">
          <w:pPr>
            <w:pStyle w:val="Heading1"/>
            <w:spacing w:line="480" w:lineRule="auto"/>
            <w:jc w:val="both"/>
            <w:rPr>
              <w:rFonts w:ascii="Times New Roman" w:hAnsi="Times New Roman" w:cs="Times New Roman"/>
              <w:color w:val="auto"/>
              <w:sz w:val="24"/>
              <w:szCs w:val="24"/>
            </w:rPr>
          </w:pPr>
        </w:p>
        <w:p w14:paraId="6E467401" w14:textId="794B7D29" w:rsidR="004F0982" w:rsidRPr="004F0982" w:rsidRDefault="00737CA0" w:rsidP="004F0982">
          <w:pPr>
            <w:spacing w:line="480" w:lineRule="auto"/>
            <w:jc w:val="both"/>
            <w:rPr>
              <w:rFonts w:ascii="Times New Roman" w:hAnsi="Times New Roman" w:cs="Times New Roman"/>
              <w:sz w:val="24"/>
              <w:szCs w:val="24"/>
            </w:rPr>
          </w:pPr>
        </w:p>
      </w:sdtContent>
    </w:sdt>
    <w:p w14:paraId="32164775" w14:textId="77777777" w:rsidR="004F0982" w:rsidRPr="004F0982" w:rsidRDefault="004F0982" w:rsidP="004F0982">
      <w:pPr>
        <w:pStyle w:val="paragraph"/>
        <w:spacing w:line="480" w:lineRule="auto"/>
        <w:jc w:val="both"/>
        <w:textAlignment w:val="baseline"/>
      </w:pPr>
    </w:p>
    <w:p w14:paraId="1947C8AE" w14:textId="46629E79" w:rsidR="00A11D01" w:rsidRPr="004F0982" w:rsidRDefault="00A1470D" w:rsidP="00737CA0">
      <w:pPr>
        <w:pStyle w:val="paragraph"/>
        <w:spacing w:line="480" w:lineRule="auto"/>
        <w:jc w:val="both"/>
        <w:textAlignment w:val="baseline"/>
      </w:pPr>
      <w:r w:rsidRPr="004F0982">
        <w:rPr>
          <w:rStyle w:val="normaltextrun"/>
        </w:rPr>
        <w:t> </w:t>
      </w:r>
      <w:r w:rsidRPr="004F0982">
        <w:rPr>
          <w:rStyle w:val="eop"/>
        </w:rPr>
        <w:t> </w:t>
      </w:r>
    </w:p>
    <w:sectPr w:rsidR="00A11D01" w:rsidRPr="004F098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19770" w14:textId="77777777" w:rsidR="0004783E" w:rsidRDefault="0004783E" w:rsidP="006B3F3B">
      <w:pPr>
        <w:spacing w:after="0" w:line="240" w:lineRule="auto"/>
      </w:pPr>
      <w:r>
        <w:separator/>
      </w:r>
    </w:p>
  </w:endnote>
  <w:endnote w:type="continuationSeparator" w:id="0">
    <w:p w14:paraId="0326BF4A" w14:textId="77777777" w:rsidR="0004783E" w:rsidRDefault="0004783E" w:rsidP="006B3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6339B" w14:textId="77777777" w:rsidR="006B3F3B" w:rsidRDefault="006B3F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A15C8" w14:textId="77777777" w:rsidR="006B3F3B" w:rsidRDefault="006B3F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025B9" w14:textId="77777777" w:rsidR="006B3F3B" w:rsidRDefault="006B3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DF147" w14:textId="77777777" w:rsidR="0004783E" w:rsidRDefault="0004783E" w:rsidP="006B3F3B">
      <w:pPr>
        <w:spacing w:after="0" w:line="240" w:lineRule="auto"/>
      </w:pPr>
      <w:r>
        <w:separator/>
      </w:r>
    </w:p>
  </w:footnote>
  <w:footnote w:type="continuationSeparator" w:id="0">
    <w:p w14:paraId="40768079" w14:textId="77777777" w:rsidR="0004783E" w:rsidRDefault="0004783E" w:rsidP="006B3F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5A674" w14:textId="77777777" w:rsidR="006B3F3B" w:rsidRDefault="006B3F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6FDE3" w14:textId="77777777" w:rsidR="006B3F3B" w:rsidRDefault="006B3F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46BFD" w14:textId="77777777" w:rsidR="006B3F3B" w:rsidRDefault="006B3F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QztLQwsTS3MDY2NDNW0lEKTi0uzszPAykwqgUAHS0HkiwAAAA="/>
  </w:docVars>
  <w:rsids>
    <w:rsidRoot w:val="00A1470D"/>
    <w:rsid w:val="00020285"/>
    <w:rsid w:val="0004783E"/>
    <w:rsid w:val="00124DB4"/>
    <w:rsid w:val="00201793"/>
    <w:rsid w:val="00206611"/>
    <w:rsid w:val="002C14BA"/>
    <w:rsid w:val="002D4C7D"/>
    <w:rsid w:val="004071DC"/>
    <w:rsid w:val="004F0982"/>
    <w:rsid w:val="005B050A"/>
    <w:rsid w:val="006B3F3B"/>
    <w:rsid w:val="00737CA0"/>
    <w:rsid w:val="007769AB"/>
    <w:rsid w:val="00926417"/>
    <w:rsid w:val="00964181"/>
    <w:rsid w:val="00A11C4A"/>
    <w:rsid w:val="00A11D01"/>
    <w:rsid w:val="00A1470D"/>
    <w:rsid w:val="00CE264D"/>
    <w:rsid w:val="00D723F2"/>
    <w:rsid w:val="00D85CB1"/>
    <w:rsid w:val="00DD0576"/>
    <w:rsid w:val="00DE75C2"/>
    <w:rsid w:val="00EA30AE"/>
    <w:rsid w:val="00ED04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CAC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70D"/>
  </w:style>
  <w:style w:type="paragraph" w:styleId="Heading1">
    <w:name w:val="heading 1"/>
    <w:basedOn w:val="Normal"/>
    <w:next w:val="Normal"/>
    <w:link w:val="Heading1Char"/>
    <w:uiPriority w:val="9"/>
    <w:qFormat/>
    <w:rsid w:val="00A147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70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1470D"/>
  </w:style>
  <w:style w:type="paragraph" w:customStyle="1" w:styleId="paragraph">
    <w:name w:val="paragraph"/>
    <w:basedOn w:val="Normal"/>
    <w:rsid w:val="00A147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A1470D"/>
  </w:style>
  <w:style w:type="character" w:customStyle="1" w:styleId="eop">
    <w:name w:val="eop"/>
    <w:basedOn w:val="DefaultParagraphFont"/>
    <w:rsid w:val="00A1470D"/>
  </w:style>
  <w:style w:type="paragraph" w:styleId="Header">
    <w:name w:val="header"/>
    <w:basedOn w:val="Normal"/>
    <w:link w:val="HeaderChar"/>
    <w:uiPriority w:val="99"/>
    <w:unhideWhenUsed/>
    <w:rsid w:val="006B3F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F3B"/>
  </w:style>
  <w:style w:type="paragraph" w:styleId="Footer">
    <w:name w:val="footer"/>
    <w:basedOn w:val="Normal"/>
    <w:link w:val="FooterChar"/>
    <w:uiPriority w:val="99"/>
    <w:unhideWhenUsed/>
    <w:rsid w:val="006B3F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F3B"/>
  </w:style>
  <w:style w:type="character" w:styleId="CommentReference">
    <w:name w:val="annotation reference"/>
    <w:basedOn w:val="DefaultParagraphFont"/>
    <w:uiPriority w:val="99"/>
    <w:semiHidden/>
    <w:unhideWhenUsed/>
    <w:rsid w:val="00ED042E"/>
    <w:rPr>
      <w:sz w:val="16"/>
      <w:szCs w:val="16"/>
    </w:rPr>
  </w:style>
  <w:style w:type="paragraph" w:styleId="CommentText">
    <w:name w:val="annotation text"/>
    <w:basedOn w:val="Normal"/>
    <w:link w:val="CommentTextChar"/>
    <w:uiPriority w:val="99"/>
    <w:semiHidden/>
    <w:unhideWhenUsed/>
    <w:rsid w:val="00ED042E"/>
    <w:pPr>
      <w:spacing w:line="240" w:lineRule="auto"/>
    </w:pPr>
    <w:rPr>
      <w:sz w:val="20"/>
      <w:szCs w:val="20"/>
    </w:rPr>
  </w:style>
  <w:style w:type="character" w:customStyle="1" w:styleId="CommentTextChar">
    <w:name w:val="Comment Text Char"/>
    <w:basedOn w:val="DefaultParagraphFont"/>
    <w:link w:val="CommentText"/>
    <w:uiPriority w:val="99"/>
    <w:semiHidden/>
    <w:rsid w:val="00ED042E"/>
    <w:rPr>
      <w:sz w:val="20"/>
      <w:szCs w:val="20"/>
    </w:rPr>
  </w:style>
  <w:style w:type="paragraph" w:styleId="CommentSubject">
    <w:name w:val="annotation subject"/>
    <w:basedOn w:val="CommentText"/>
    <w:next w:val="CommentText"/>
    <w:link w:val="CommentSubjectChar"/>
    <w:uiPriority w:val="99"/>
    <w:semiHidden/>
    <w:unhideWhenUsed/>
    <w:rsid w:val="00ED042E"/>
    <w:rPr>
      <w:b/>
      <w:bCs/>
    </w:rPr>
  </w:style>
  <w:style w:type="character" w:customStyle="1" w:styleId="CommentSubjectChar">
    <w:name w:val="Comment Subject Char"/>
    <w:basedOn w:val="CommentTextChar"/>
    <w:link w:val="CommentSubject"/>
    <w:uiPriority w:val="99"/>
    <w:semiHidden/>
    <w:rsid w:val="00ED042E"/>
    <w:rPr>
      <w:b/>
      <w:bCs/>
      <w:sz w:val="20"/>
      <w:szCs w:val="20"/>
    </w:rPr>
  </w:style>
  <w:style w:type="paragraph" w:styleId="BalloonText">
    <w:name w:val="Balloon Text"/>
    <w:basedOn w:val="Normal"/>
    <w:link w:val="BalloonTextChar"/>
    <w:uiPriority w:val="99"/>
    <w:semiHidden/>
    <w:unhideWhenUsed/>
    <w:rsid w:val="002066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611"/>
    <w:rPr>
      <w:rFonts w:ascii="Segoe UI" w:hAnsi="Segoe UI" w:cs="Segoe UI"/>
      <w:sz w:val="18"/>
      <w:szCs w:val="18"/>
    </w:rPr>
  </w:style>
  <w:style w:type="character" w:styleId="Hyperlink">
    <w:name w:val="Hyperlink"/>
    <w:basedOn w:val="DefaultParagraphFont"/>
    <w:uiPriority w:val="99"/>
    <w:unhideWhenUsed/>
    <w:rsid w:val="004F0982"/>
    <w:rPr>
      <w:color w:val="0563C1" w:themeColor="hyperlink"/>
      <w:u w:val="single"/>
    </w:rPr>
  </w:style>
  <w:style w:type="character" w:customStyle="1" w:styleId="UnresolvedMention1">
    <w:name w:val="Unresolved Mention1"/>
    <w:basedOn w:val="DefaultParagraphFont"/>
    <w:uiPriority w:val="99"/>
    <w:semiHidden/>
    <w:unhideWhenUsed/>
    <w:rsid w:val="004F09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827795">
      <w:bodyDiv w:val="1"/>
      <w:marLeft w:val="0"/>
      <w:marRight w:val="0"/>
      <w:marTop w:val="0"/>
      <w:marBottom w:val="0"/>
      <w:divBdr>
        <w:top w:val="none" w:sz="0" w:space="0" w:color="auto"/>
        <w:left w:val="none" w:sz="0" w:space="0" w:color="auto"/>
        <w:bottom w:val="none" w:sz="0" w:space="0" w:color="auto"/>
        <w:right w:val="none" w:sz="0" w:space="0" w:color="auto"/>
      </w:divBdr>
    </w:div>
    <w:div w:id="534579150">
      <w:bodyDiv w:val="1"/>
      <w:marLeft w:val="0"/>
      <w:marRight w:val="0"/>
      <w:marTop w:val="0"/>
      <w:marBottom w:val="0"/>
      <w:divBdr>
        <w:top w:val="none" w:sz="0" w:space="0" w:color="auto"/>
        <w:left w:val="none" w:sz="0" w:space="0" w:color="auto"/>
        <w:bottom w:val="none" w:sz="0" w:space="0" w:color="auto"/>
        <w:right w:val="none" w:sz="0" w:space="0" w:color="auto"/>
      </w:divBdr>
    </w:div>
    <w:div w:id="595093038">
      <w:bodyDiv w:val="1"/>
      <w:marLeft w:val="0"/>
      <w:marRight w:val="0"/>
      <w:marTop w:val="0"/>
      <w:marBottom w:val="0"/>
      <w:divBdr>
        <w:top w:val="none" w:sz="0" w:space="0" w:color="auto"/>
        <w:left w:val="none" w:sz="0" w:space="0" w:color="auto"/>
        <w:bottom w:val="none" w:sz="0" w:space="0" w:color="auto"/>
        <w:right w:val="none" w:sz="0" w:space="0" w:color="auto"/>
      </w:divBdr>
      <w:divsChild>
        <w:div w:id="1153906464">
          <w:marLeft w:val="0"/>
          <w:marRight w:val="0"/>
          <w:marTop w:val="0"/>
          <w:marBottom w:val="0"/>
          <w:divBdr>
            <w:top w:val="none" w:sz="0" w:space="0" w:color="auto"/>
            <w:left w:val="none" w:sz="0" w:space="0" w:color="auto"/>
            <w:bottom w:val="none" w:sz="0" w:space="0" w:color="auto"/>
            <w:right w:val="none" w:sz="0" w:space="0" w:color="auto"/>
          </w:divBdr>
        </w:div>
        <w:div w:id="1837961439">
          <w:marLeft w:val="0"/>
          <w:marRight w:val="0"/>
          <w:marTop w:val="0"/>
          <w:marBottom w:val="0"/>
          <w:divBdr>
            <w:top w:val="none" w:sz="0" w:space="0" w:color="auto"/>
            <w:left w:val="none" w:sz="0" w:space="0" w:color="auto"/>
            <w:bottom w:val="none" w:sz="0" w:space="0" w:color="auto"/>
            <w:right w:val="none" w:sz="0" w:space="0" w:color="auto"/>
          </w:divBdr>
        </w:div>
        <w:div w:id="1222327734">
          <w:marLeft w:val="0"/>
          <w:marRight w:val="0"/>
          <w:marTop w:val="0"/>
          <w:marBottom w:val="0"/>
          <w:divBdr>
            <w:top w:val="none" w:sz="0" w:space="0" w:color="auto"/>
            <w:left w:val="none" w:sz="0" w:space="0" w:color="auto"/>
            <w:bottom w:val="none" w:sz="0" w:space="0" w:color="auto"/>
            <w:right w:val="none" w:sz="0" w:space="0" w:color="auto"/>
          </w:divBdr>
        </w:div>
        <w:div w:id="76555763">
          <w:marLeft w:val="0"/>
          <w:marRight w:val="0"/>
          <w:marTop w:val="0"/>
          <w:marBottom w:val="0"/>
          <w:divBdr>
            <w:top w:val="none" w:sz="0" w:space="0" w:color="auto"/>
            <w:left w:val="none" w:sz="0" w:space="0" w:color="auto"/>
            <w:bottom w:val="none" w:sz="0" w:space="0" w:color="auto"/>
            <w:right w:val="none" w:sz="0" w:space="0" w:color="auto"/>
          </w:divBdr>
        </w:div>
        <w:div w:id="1695425705">
          <w:marLeft w:val="0"/>
          <w:marRight w:val="0"/>
          <w:marTop w:val="0"/>
          <w:marBottom w:val="0"/>
          <w:divBdr>
            <w:top w:val="none" w:sz="0" w:space="0" w:color="auto"/>
            <w:left w:val="none" w:sz="0" w:space="0" w:color="auto"/>
            <w:bottom w:val="none" w:sz="0" w:space="0" w:color="auto"/>
            <w:right w:val="none" w:sz="0" w:space="0" w:color="auto"/>
          </w:divBdr>
        </w:div>
        <w:div w:id="109327424">
          <w:marLeft w:val="0"/>
          <w:marRight w:val="0"/>
          <w:marTop w:val="0"/>
          <w:marBottom w:val="0"/>
          <w:divBdr>
            <w:top w:val="none" w:sz="0" w:space="0" w:color="auto"/>
            <w:left w:val="none" w:sz="0" w:space="0" w:color="auto"/>
            <w:bottom w:val="none" w:sz="0" w:space="0" w:color="auto"/>
            <w:right w:val="none" w:sz="0" w:space="0" w:color="auto"/>
          </w:divBdr>
        </w:div>
        <w:div w:id="560752432">
          <w:marLeft w:val="0"/>
          <w:marRight w:val="0"/>
          <w:marTop w:val="0"/>
          <w:marBottom w:val="0"/>
          <w:divBdr>
            <w:top w:val="none" w:sz="0" w:space="0" w:color="auto"/>
            <w:left w:val="none" w:sz="0" w:space="0" w:color="auto"/>
            <w:bottom w:val="none" w:sz="0" w:space="0" w:color="auto"/>
            <w:right w:val="none" w:sz="0" w:space="0" w:color="auto"/>
          </w:divBdr>
        </w:div>
        <w:div w:id="1425687599">
          <w:marLeft w:val="0"/>
          <w:marRight w:val="0"/>
          <w:marTop w:val="0"/>
          <w:marBottom w:val="0"/>
          <w:divBdr>
            <w:top w:val="none" w:sz="0" w:space="0" w:color="auto"/>
            <w:left w:val="none" w:sz="0" w:space="0" w:color="auto"/>
            <w:bottom w:val="none" w:sz="0" w:space="0" w:color="auto"/>
            <w:right w:val="none" w:sz="0" w:space="0" w:color="auto"/>
          </w:divBdr>
        </w:div>
        <w:div w:id="1666787465">
          <w:marLeft w:val="0"/>
          <w:marRight w:val="0"/>
          <w:marTop w:val="0"/>
          <w:marBottom w:val="0"/>
          <w:divBdr>
            <w:top w:val="none" w:sz="0" w:space="0" w:color="auto"/>
            <w:left w:val="none" w:sz="0" w:space="0" w:color="auto"/>
            <w:bottom w:val="none" w:sz="0" w:space="0" w:color="auto"/>
            <w:right w:val="none" w:sz="0" w:space="0" w:color="auto"/>
          </w:divBdr>
        </w:div>
        <w:div w:id="494226414">
          <w:marLeft w:val="0"/>
          <w:marRight w:val="0"/>
          <w:marTop w:val="0"/>
          <w:marBottom w:val="0"/>
          <w:divBdr>
            <w:top w:val="none" w:sz="0" w:space="0" w:color="auto"/>
            <w:left w:val="none" w:sz="0" w:space="0" w:color="auto"/>
            <w:bottom w:val="none" w:sz="0" w:space="0" w:color="auto"/>
            <w:right w:val="none" w:sz="0" w:space="0" w:color="auto"/>
          </w:divBdr>
        </w:div>
        <w:div w:id="449710646">
          <w:marLeft w:val="0"/>
          <w:marRight w:val="0"/>
          <w:marTop w:val="0"/>
          <w:marBottom w:val="0"/>
          <w:divBdr>
            <w:top w:val="none" w:sz="0" w:space="0" w:color="auto"/>
            <w:left w:val="none" w:sz="0" w:space="0" w:color="auto"/>
            <w:bottom w:val="none" w:sz="0" w:space="0" w:color="auto"/>
            <w:right w:val="none" w:sz="0" w:space="0" w:color="auto"/>
          </w:divBdr>
        </w:div>
        <w:div w:id="1094396607">
          <w:marLeft w:val="0"/>
          <w:marRight w:val="0"/>
          <w:marTop w:val="0"/>
          <w:marBottom w:val="0"/>
          <w:divBdr>
            <w:top w:val="none" w:sz="0" w:space="0" w:color="auto"/>
            <w:left w:val="none" w:sz="0" w:space="0" w:color="auto"/>
            <w:bottom w:val="none" w:sz="0" w:space="0" w:color="auto"/>
            <w:right w:val="none" w:sz="0" w:space="0" w:color="auto"/>
          </w:divBdr>
        </w:div>
        <w:div w:id="61874914">
          <w:marLeft w:val="0"/>
          <w:marRight w:val="0"/>
          <w:marTop w:val="0"/>
          <w:marBottom w:val="0"/>
          <w:divBdr>
            <w:top w:val="none" w:sz="0" w:space="0" w:color="auto"/>
            <w:left w:val="none" w:sz="0" w:space="0" w:color="auto"/>
            <w:bottom w:val="none" w:sz="0" w:space="0" w:color="auto"/>
            <w:right w:val="none" w:sz="0" w:space="0" w:color="auto"/>
          </w:divBdr>
        </w:div>
        <w:div w:id="1012419123">
          <w:marLeft w:val="0"/>
          <w:marRight w:val="0"/>
          <w:marTop w:val="0"/>
          <w:marBottom w:val="0"/>
          <w:divBdr>
            <w:top w:val="none" w:sz="0" w:space="0" w:color="auto"/>
            <w:left w:val="none" w:sz="0" w:space="0" w:color="auto"/>
            <w:bottom w:val="none" w:sz="0" w:space="0" w:color="auto"/>
            <w:right w:val="none" w:sz="0" w:space="0" w:color="auto"/>
          </w:divBdr>
        </w:div>
        <w:div w:id="657881650">
          <w:marLeft w:val="0"/>
          <w:marRight w:val="0"/>
          <w:marTop w:val="0"/>
          <w:marBottom w:val="0"/>
          <w:divBdr>
            <w:top w:val="none" w:sz="0" w:space="0" w:color="auto"/>
            <w:left w:val="none" w:sz="0" w:space="0" w:color="auto"/>
            <w:bottom w:val="none" w:sz="0" w:space="0" w:color="auto"/>
            <w:right w:val="none" w:sz="0" w:space="0" w:color="auto"/>
          </w:divBdr>
        </w:div>
        <w:div w:id="258871381">
          <w:marLeft w:val="0"/>
          <w:marRight w:val="0"/>
          <w:marTop w:val="0"/>
          <w:marBottom w:val="0"/>
          <w:divBdr>
            <w:top w:val="none" w:sz="0" w:space="0" w:color="auto"/>
            <w:left w:val="none" w:sz="0" w:space="0" w:color="auto"/>
            <w:bottom w:val="none" w:sz="0" w:space="0" w:color="auto"/>
            <w:right w:val="none" w:sz="0" w:space="0" w:color="auto"/>
          </w:divBdr>
        </w:div>
        <w:div w:id="590240231">
          <w:marLeft w:val="0"/>
          <w:marRight w:val="0"/>
          <w:marTop w:val="0"/>
          <w:marBottom w:val="0"/>
          <w:divBdr>
            <w:top w:val="none" w:sz="0" w:space="0" w:color="auto"/>
            <w:left w:val="none" w:sz="0" w:space="0" w:color="auto"/>
            <w:bottom w:val="none" w:sz="0" w:space="0" w:color="auto"/>
            <w:right w:val="none" w:sz="0" w:space="0" w:color="auto"/>
          </w:divBdr>
        </w:div>
        <w:div w:id="374085353">
          <w:marLeft w:val="0"/>
          <w:marRight w:val="0"/>
          <w:marTop w:val="0"/>
          <w:marBottom w:val="0"/>
          <w:divBdr>
            <w:top w:val="none" w:sz="0" w:space="0" w:color="auto"/>
            <w:left w:val="none" w:sz="0" w:space="0" w:color="auto"/>
            <w:bottom w:val="none" w:sz="0" w:space="0" w:color="auto"/>
            <w:right w:val="none" w:sz="0" w:space="0" w:color="auto"/>
          </w:divBdr>
        </w:div>
        <w:div w:id="2038775033">
          <w:marLeft w:val="0"/>
          <w:marRight w:val="0"/>
          <w:marTop w:val="0"/>
          <w:marBottom w:val="0"/>
          <w:divBdr>
            <w:top w:val="none" w:sz="0" w:space="0" w:color="auto"/>
            <w:left w:val="none" w:sz="0" w:space="0" w:color="auto"/>
            <w:bottom w:val="none" w:sz="0" w:space="0" w:color="auto"/>
            <w:right w:val="none" w:sz="0" w:space="0" w:color="auto"/>
          </w:divBdr>
        </w:div>
        <w:div w:id="859784181">
          <w:marLeft w:val="0"/>
          <w:marRight w:val="0"/>
          <w:marTop w:val="0"/>
          <w:marBottom w:val="0"/>
          <w:divBdr>
            <w:top w:val="none" w:sz="0" w:space="0" w:color="auto"/>
            <w:left w:val="none" w:sz="0" w:space="0" w:color="auto"/>
            <w:bottom w:val="none" w:sz="0" w:space="0" w:color="auto"/>
            <w:right w:val="none" w:sz="0" w:space="0" w:color="auto"/>
          </w:divBdr>
        </w:div>
        <w:div w:id="668338380">
          <w:marLeft w:val="0"/>
          <w:marRight w:val="0"/>
          <w:marTop w:val="0"/>
          <w:marBottom w:val="0"/>
          <w:divBdr>
            <w:top w:val="none" w:sz="0" w:space="0" w:color="auto"/>
            <w:left w:val="none" w:sz="0" w:space="0" w:color="auto"/>
            <w:bottom w:val="none" w:sz="0" w:space="0" w:color="auto"/>
            <w:right w:val="none" w:sz="0" w:space="0" w:color="auto"/>
          </w:divBdr>
        </w:div>
        <w:div w:id="1967465836">
          <w:marLeft w:val="0"/>
          <w:marRight w:val="0"/>
          <w:marTop w:val="0"/>
          <w:marBottom w:val="0"/>
          <w:divBdr>
            <w:top w:val="none" w:sz="0" w:space="0" w:color="auto"/>
            <w:left w:val="none" w:sz="0" w:space="0" w:color="auto"/>
            <w:bottom w:val="none" w:sz="0" w:space="0" w:color="auto"/>
            <w:right w:val="none" w:sz="0" w:space="0" w:color="auto"/>
          </w:divBdr>
        </w:div>
        <w:div w:id="592668312">
          <w:marLeft w:val="0"/>
          <w:marRight w:val="0"/>
          <w:marTop w:val="0"/>
          <w:marBottom w:val="0"/>
          <w:divBdr>
            <w:top w:val="none" w:sz="0" w:space="0" w:color="auto"/>
            <w:left w:val="none" w:sz="0" w:space="0" w:color="auto"/>
            <w:bottom w:val="none" w:sz="0" w:space="0" w:color="auto"/>
            <w:right w:val="none" w:sz="0" w:space="0" w:color="auto"/>
          </w:divBdr>
        </w:div>
        <w:div w:id="206449506">
          <w:marLeft w:val="0"/>
          <w:marRight w:val="0"/>
          <w:marTop w:val="0"/>
          <w:marBottom w:val="0"/>
          <w:divBdr>
            <w:top w:val="none" w:sz="0" w:space="0" w:color="auto"/>
            <w:left w:val="none" w:sz="0" w:space="0" w:color="auto"/>
            <w:bottom w:val="none" w:sz="0" w:space="0" w:color="auto"/>
            <w:right w:val="none" w:sz="0" w:space="0" w:color="auto"/>
          </w:divBdr>
        </w:div>
        <w:div w:id="1910652106">
          <w:marLeft w:val="0"/>
          <w:marRight w:val="0"/>
          <w:marTop w:val="0"/>
          <w:marBottom w:val="0"/>
          <w:divBdr>
            <w:top w:val="none" w:sz="0" w:space="0" w:color="auto"/>
            <w:left w:val="none" w:sz="0" w:space="0" w:color="auto"/>
            <w:bottom w:val="none" w:sz="0" w:space="0" w:color="auto"/>
            <w:right w:val="none" w:sz="0" w:space="0" w:color="auto"/>
          </w:divBdr>
        </w:div>
        <w:div w:id="412509670">
          <w:marLeft w:val="0"/>
          <w:marRight w:val="0"/>
          <w:marTop w:val="0"/>
          <w:marBottom w:val="0"/>
          <w:divBdr>
            <w:top w:val="none" w:sz="0" w:space="0" w:color="auto"/>
            <w:left w:val="none" w:sz="0" w:space="0" w:color="auto"/>
            <w:bottom w:val="none" w:sz="0" w:space="0" w:color="auto"/>
            <w:right w:val="none" w:sz="0" w:space="0" w:color="auto"/>
          </w:divBdr>
        </w:div>
        <w:div w:id="1005085093">
          <w:marLeft w:val="0"/>
          <w:marRight w:val="0"/>
          <w:marTop w:val="0"/>
          <w:marBottom w:val="0"/>
          <w:divBdr>
            <w:top w:val="none" w:sz="0" w:space="0" w:color="auto"/>
            <w:left w:val="none" w:sz="0" w:space="0" w:color="auto"/>
            <w:bottom w:val="none" w:sz="0" w:space="0" w:color="auto"/>
            <w:right w:val="none" w:sz="0" w:space="0" w:color="auto"/>
          </w:divBdr>
        </w:div>
        <w:div w:id="257326152">
          <w:marLeft w:val="0"/>
          <w:marRight w:val="0"/>
          <w:marTop w:val="0"/>
          <w:marBottom w:val="0"/>
          <w:divBdr>
            <w:top w:val="none" w:sz="0" w:space="0" w:color="auto"/>
            <w:left w:val="none" w:sz="0" w:space="0" w:color="auto"/>
            <w:bottom w:val="none" w:sz="0" w:space="0" w:color="auto"/>
            <w:right w:val="none" w:sz="0" w:space="0" w:color="auto"/>
          </w:divBdr>
        </w:div>
        <w:div w:id="263613630">
          <w:marLeft w:val="0"/>
          <w:marRight w:val="0"/>
          <w:marTop w:val="0"/>
          <w:marBottom w:val="0"/>
          <w:divBdr>
            <w:top w:val="none" w:sz="0" w:space="0" w:color="auto"/>
            <w:left w:val="none" w:sz="0" w:space="0" w:color="auto"/>
            <w:bottom w:val="none" w:sz="0" w:space="0" w:color="auto"/>
            <w:right w:val="none" w:sz="0" w:space="0" w:color="auto"/>
          </w:divBdr>
        </w:div>
        <w:div w:id="1317756983">
          <w:marLeft w:val="0"/>
          <w:marRight w:val="0"/>
          <w:marTop w:val="0"/>
          <w:marBottom w:val="0"/>
          <w:divBdr>
            <w:top w:val="none" w:sz="0" w:space="0" w:color="auto"/>
            <w:left w:val="none" w:sz="0" w:space="0" w:color="auto"/>
            <w:bottom w:val="none" w:sz="0" w:space="0" w:color="auto"/>
            <w:right w:val="none" w:sz="0" w:space="0" w:color="auto"/>
          </w:divBdr>
        </w:div>
        <w:div w:id="878467546">
          <w:marLeft w:val="0"/>
          <w:marRight w:val="0"/>
          <w:marTop w:val="0"/>
          <w:marBottom w:val="0"/>
          <w:divBdr>
            <w:top w:val="none" w:sz="0" w:space="0" w:color="auto"/>
            <w:left w:val="none" w:sz="0" w:space="0" w:color="auto"/>
            <w:bottom w:val="none" w:sz="0" w:space="0" w:color="auto"/>
            <w:right w:val="none" w:sz="0" w:space="0" w:color="auto"/>
          </w:divBdr>
        </w:div>
        <w:div w:id="293875843">
          <w:marLeft w:val="0"/>
          <w:marRight w:val="0"/>
          <w:marTop w:val="0"/>
          <w:marBottom w:val="0"/>
          <w:divBdr>
            <w:top w:val="none" w:sz="0" w:space="0" w:color="auto"/>
            <w:left w:val="none" w:sz="0" w:space="0" w:color="auto"/>
            <w:bottom w:val="none" w:sz="0" w:space="0" w:color="auto"/>
            <w:right w:val="none" w:sz="0" w:space="0" w:color="auto"/>
          </w:divBdr>
        </w:div>
        <w:div w:id="735855076">
          <w:marLeft w:val="0"/>
          <w:marRight w:val="0"/>
          <w:marTop w:val="0"/>
          <w:marBottom w:val="0"/>
          <w:divBdr>
            <w:top w:val="none" w:sz="0" w:space="0" w:color="auto"/>
            <w:left w:val="none" w:sz="0" w:space="0" w:color="auto"/>
            <w:bottom w:val="none" w:sz="0" w:space="0" w:color="auto"/>
            <w:right w:val="none" w:sz="0" w:space="0" w:color="auto"/>
          </w:divBdr>
        </w:div>
        <w:div w:id="1800950358">
          <w:marLeft w:val="0"/>
          <w:marRight w:val="0"/>
          <w:marTop w:val="0"/>
          <w:marBottom w:val="0"/>
          <w:divBdr>
            <w:top w:val="none" w:sz="0" w:space="0" w:color="auto"/>
            <w:left w:val="none" w:sz="0" w:space="0" w:color="auto"/>
            <w:bottom w:val="none" w:sz="0" w:space="0" w:color="auto"/>
            <w:right w:val="none" w:sz="0" w:space="0" w:color="auto"/>
          </w:divBdr>
        </w:div>
        <w:div w:id="1497376769">
          <w:marLeft w:val="0"/>
          <w:marRight w:val="0"/>
          <w:marTop w:val="0"/>
          <w:marBottom w:val="0"/>
          <w:divBdr>
            <w:top w:val="none" w:sz="0" w:space="0" w:color="auto"/>
            <w:left w:val="none" w:sz="0" w:space="0" w:color="auto"/>
            <w:bottom w:val="none" w:sz="0" w:space="0" w:color="auto"/>
            <w:right w:val="none" w:sz="0" w:space="0" w:color="auto"/>
          </w:divBdr>
        </w:div>
        <w:div w:id="1293294364">
          <w:marLeft w:val="0"/>
          <w:marRight w:val="0"/>
          <w:marTop w:val="0"/>
          <w:marBottom w:val="0"/>
          <w:divBdr>
            <w:top w:val="none" w:sz="0" w:space="0" w:color="auto"/>
            <w:left w:val="none" w:sz="0" w:space="0" w:color="auto"/>
            <w:bottom w:val="none" w:sz="0" w:space="0" w:color="auto"/>
            <w:right w:val="none" w:sz="0" w:space="0" w:color="auto"/>
          </w:divBdr>
        </w:div>
        <w:div w:id="325331189">
          <w:marLeft w:val="0"/>
          <w:marRight w:val="0"/>
          <w:marTop w:val="0"/>
          <w:marBottom w:val="0"/>
          <w:divBdr>
            <w:top w:val="none" w:sz="0" w:space="0" w:color="auto"/>
            <w:left w:val="none" w:sz="0" w:space="0" w:color="auto"/>
            <w:bottom w:val="none" w:sz="0" w:space="0" w:color="auto"/>
            <w:right w:val="none" w:sz="0" w:space="0" w:color="auto"/>
          </w:divBdr>
        </w:div>
        <w:div w:id="1621917329">
          <w:marLeft w:val="0"/>
          <w:marRight w:val="0"/>
          <w:marTop w:val="0"/>
          <w:marBottom w:val="0"/>
          <w:divBdr>
            <w:top w:val="none" w:sz="0" w:space="0" w:color="auto"/>
            <w:left w:val="none" w:sz="0" w:space="0" w:color="auto"/>
            <w:bottom w:val="none" w:sz="0" w:space="0" w:color="auto"/>
            <w:right w:val="none" w:sz="0" w:space="0" w:color="auto"/>
          </w:divBdr>
        </w:div>
        <w:div w:id="967736757">
          <w:marLeft w:val="0"/>
          <w:marRight w:val="0"/>
          <w:marTop w:val="0"/>
          <w:marBottom w:val="0"/>
          <w:divBdr>
            <w:top w:val="none" w:sz="0" w:space="0" w:color="auto"/>
            <w:left w:val="none" w:sz="0" w:space="0" w:color="auto"/>
            <w:bottom w:val="none" w:sz="0" w:space="0" w:color="auto"/>
            <w:right w:val="none" w:sz="0" w:space="0" w:color="auto"/>
          </w:divBdr>
        </w:div>
      </w:divsChild>
    </w:div>
    <w:div w:id="698237162">
      <w:bodyDiv w:val="1"/>
      <w:marLeft w:val="0"/>
      <w:marRight w:val="0"/>
      <w:marTop w:val="0"/>
      <w:marBottom w:val="0"/>
      <w:divBdr>
        <w:top w:val="none" w:sz="0" w:space="0" w:color="auto"/>
        <w:left w:val="none" w:sz="0" w:space="0" w:color="auto"/>
        <w:bottom w:val="none" w:sz="0" w:space="0" w:color="auto"/>
        <w:right w:val="none" w:sz="0" w:space="0" w:color="auto"/>
      </w:divBdr>
    </w:div>
    <w:div w:id="1037003866">
      <w:bodyDiv w:val="1"/>
      <w:marLeft w:val="0"/>
      <w:marRight w:val="0"/>
      <w:marTop w:val="0"/>
      <w:marBottom w:val="0"/>
      <w:divBdr>
        <w:top w:val="none" w:sz="0" w:space="0" w:color="auto"/>
        <w:left w:val="none" w:sz="0" w:space="0" w:color="auto"/>
        <w:bottom w:val="none" w:sz="0" w:space="0" w:color="auto"/>
        <w:right w:val="none" w:sz="0" w:space="0" w:color="auto"/>
      </w:divBdr>
    </w:div>
    <w:div w:id="1257327152">
      <w:bodyDiv w:val="1"/>
      <w:marLeft w:val="0"/>
      <w:marRight w:val="0"/>
      <w:marTop w:val="0"/>
      <w:marBottom w:val="0"/>
      <w:divBdr>
        <w:top w:val="none" w:sz="0" w:space="0" w:color="auto"/>
        <w:left w:val="none" w:sz="0" w:space="0" w:color="auto"/>
        <w:bottom w:val="none" w:sz="0" w:space="0" w:color="auto"/>
        <w:right w:val="none" w:sz="0" w:space="0" w:color="auto"/>
      </w:divBdr>
    </w:div>
    <w:div w:id="1715234990">
      <w:bodyDiv w:val="1"/>
      <w:marLeft w:val="0"/>
      <w:marRight w:val="0"/>
      <w:marTop w:val="0"/>
      <w:marBottom w:val="0"/>
      <w:divBdr>
        <w:top w:val="none" w:sz="0" w:space="0" w:color="auto"/>
        <w:left w:val="none" w:sz="0" w:space="0" w:color="auto"/>
        <w:bottom w:val="none" w:sz="0" w:space="0" w:color="auto"/>
        <w:right w:val="none" w:sz="0" w:space="0" w:color="auto"/>
      </w:divBdr>
    </w:div>
    <w:div w:id="1814249065">
      <w:bodyDiv w:val="1"/>
      <w:marLeft w:val="0"/>
      <w:marRight w:val="0"/>
      <w:marTop w:val="0"/>
      <w:marBottom w:val="0"/>
      <w:divBdr>
        <w:top w:val="none" w:sz="0" w:space="0" w:color="auto"/>
        <w:left w:val="none" w:sz="0" w:space="0" w:color="auto"/>
        <w:bottom w:val="none" w:sz="0" w:space="0" w:color="auto"/>
        <w:right w:val="none" w:sz="0" w:space="0" w:color="auto"/>
      </w:divBdr>
    </w:div>
    <w:div w:id="205554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e-lawresources.co.uk/Non-Fatal-Offences-Against-the-Person---Criticisms.php"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Jos15</b:Tag>
    <b:SourceType>InternetSite</b:SourceType>
    <b:Guid>{1347E2DD-478F-4C32-AE52-89DFB6F27F08}</b:Guid>
    <b:Title>Offences Against The Person: Options for Reform</b:Title>
    <b:Year>2015</b:Year>
    <b:Author>
      <b:Author>
        <b:NameList>
          <b:Person>
            <b:Last>Dowdall</b:Last>
            <b:First>Josh</b:First>
          </b:Person>
        </b:NameList>
      </b:Author>
    </b:Author>
    <b:YearAccessed>2021</b:YearAccessed>
    <b:MonthAccessed>July</b:MonthAccessed>
    <b:DayAccessed>7</b:DayAccessed>
    <b:URL>http://www.keepcalmtalklaw.co.uk/offences-against-the-person-options-for-reform/</b:URL>
    <b:RefOrder>1</b:RefOrder>
  </b:Source>
</b:Sources>
</file>

<file path=customXml/itemProps1.xml><?xml version="1.0" encoding="utf-8"?>
<ds:datastoreItem xmlns:ds="http://schemas.openxmlformats.org/officeDocument/2006/customXml" ds:itemID="{D8DDED9D-92B3-4488-ADE6-E3D6AFD4B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2082</Words>
  <Characters>11869</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2021-07-19T10:19:00Z</dcterms:created>
  <dcterms:modified xsi:type="dcterms:W3CDTF">2021-07-19T10:19:00Z</dcterms:modified>
</cp:coreProperties>
</file>