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F9BD88" w14:textId="7575188A" w:rsidR="00D11299" w:rsidRPr="00232805" w:rsidRDefault="00D11299" w:rsidP="00D11299">
      <w:pPr>
        <w:pStyle w:val="NormalWeb"/>
        <w:jc w:val="center"/>
        <w:rPr>
          <w:rFonts w:ascii="Aparajita" w:hAnsi="Aparajita" w:cs="Aparajita"/>
          <w:b/>
          <w:bCs/>
          <w:sz w:val="36"/>
          <w:szCs w:val="36"/>
        </w:rPr>
      </w:pPr>
      <w:r w:rsidRPr="00232805">
        <w:rPr>
          <w:rFonts w:ascii="Aparajita" w:hAnsi="Aparajita" w:cs="Aparajita"/>
          <w:b/>
          <w:bCs/>
          <w:sz w:val="36"/>
          <w:szCs w:val="36"/>
        </w:rPr>
        <w:t xml:space="preserve">Dumitru Cojocariu </w:t>
      </w:r>
    </w:p>
    <w:p w14:paraId="09E8C1F5" w14:textId="41659365" w:rsidR="00D11299" w:rsidRPr="00232805" w:rsidRDefault="00D11299" w:rsidP="00D11299">
      <w:pPr>
        <w:pStyle w:val="NormalWeb"/>
        <w:jc w:val="center"/>
        <w:rPr>
          <w:rFonts w:ascii="Aparajita" w:hAnsi="Aparajita" w:cs="Aparajita"/>
          <w:b/>
          <w:bCs/>
          <w:sz w:val="36"/>
          <w:szCs w:val="36"/>
        </w:rPr>
      </w:pPr>
      <w:r w:rsidRPr="00232805">
        <w:rPr>
          <w:rFonts w:ascii="Aparajita" w:hAnsi="Aparajita" w:cs="Aparajita"/>
          <w:b/>
          <w:bCs/>
          <w:sz w:val="36"/>
          <w:szCs w:val="36"/>
        </w:rPr>
        <w:t>BMGM5003</w:t>
      </w:r>
    </w:p>
    <w:p w14:paraId="5AF5A3AE" w14:textId="77777777" w:rsidR="00D11299" w:rsidRPr="00232805" w:rsidRDefault="00D11299" w:rsidP="00D11299">
      <w:pPr>
        <w:pStyle w:val="NormalWeb"/>
        <w:rPr>
          <w:rFonts w:ascii="Aparajita" w:hAnsi="Aparajita" w:cs="Aparajita"/>
          <w:sz w:val="36"/>
          <w:szCs w:val="36"/>
        </w:rPr>
      </w:pPr>
    </w:p>
    <w:p w14:paraId="620D9DCE" w14:textId="59E901C4" w:rsidR="00D11299" w:rsidRPr="00232805" w:rsidRDefault="00D11299" w:rsidP="00D11299">
      <w:pPr>
        <w:pStyle w:val="NormalWeb"/>
        <w:jc w:val="center"/>
        <w:rPr>
          <w:rFonts w:ascii="Aparajita" w:hAnsi="Aparajita" w:cs="Aparajita"/>
          <w:b/>
          <w:bCs/>
          <w:sz w:val="36"/>
          <w:szCs w:val="36"/>
        </w:rPr>
      </w:pPr>
      <w:r w:rsidRPr="00232805">
        <w:rPr>
          <w:rFonts w:ascii="Aparajita" w:hAnsi="Aparajita" w:cs="Aparajita"/>
          <w:b/>
          <w:bCs/>
          <w:sz w:val="36"/>
          <w:szCs w:val="36"/>
        </w:rPr>
        <w:t>Professional Portfolio: Self-reflective Practice in Hospitality</w:t>
      </w:r>
    </w:p>
    <w:p w14:paraId="3FF64400" w14:textId="77777777" w:rsidR="00D11299" w:rsidRDefault="00D11299" w:rsidP="00D11299">
      <w:pPr>
        <w:pStyle w:val="NormalWeb"/>
        <w:rPr>
          <w:b/>
          <w:bCs/>
        </w:rPr>
      </w:pPr>
    </w:p>
    <w:p w14:paraId="1B4FA646" w14:textId="77777777" w:rsidR="00D11299" w:rsidRDefault="00D11299" w:rsidP="00D11299">
      <w:pPr>
        <w:pStyle w:val="NormalWeb"/>
        <w:rPr>
          <w:b/>
          <w:bCs/>
        </w:rPr>
      </w:pPr>
    </w:p>
    <w:p w14:paraId="3F6BE50B" w14:textId="659B8BD0" w:rsidR="00D11299" w:rsidRPr="00232805" w:rsidRDefault="00D11299" w:rsidP="00D11299">
      <w:pPr>
        <w:pStyle w:val="NormalWeb"/>
        <w:rPr>
          <w:rFonts w:ascii="Aparajita" w:hAnsi="Aparajita" w:cs="Aparajita"/>
          <w:b/>
          <w:bCs/>
          <w:sz w:val="28"/>
          <w:szCs w:val="28"/>
        </w:rPr>
      </w:pPr>
      <w:r w:rsidRPr="00232805">
        <w:rPr>
          <w:rFonts w:ascii="Aparajita" w:hAnsi="Aparajita" w:cs="Aparajita"/>
          <w:b/>
          <w:bCs/>
          <w:sz w:val="28"/>
          <w:szCs w:val="28"/>
        </w:rPr>
        <w:t xml:space="preserve">Introduction </w:t>
      </w:r>
    </w:p>
    <w:p w14:paraId="293E9E7B" w14:textId="7C2F8352"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This portfolio considers my development as a student during my industry placement within the hospitality industry, with consideration to my customer service, knowledge of wine and working as part of a team. The objective is to reflect on Gibbs’ (1988) Reflective Cycle to give a critical analysis of my learning to what I experienced, what went well, and what could have been done differently. By keeping a record of my journey, I hope to become better at customer service and become more knowledgeable about wine and to improve my performance working with a team in a fast-paced environment. This process is consistent with Kolb’s (1984) experiential learning cycle, which highlights learning via reflection on experience. The portfolio will act as a device to encapsulate my learning to date and plan for a career in the field of hospitality management, where excellent communication and product awareness are paramount. Reflecting critically, I hope to connect my theory to practice by actively learning about my placement experiences and what I believe it means to be a teacher. This portfolio will also benefit my career aspirations by displaying transferable skills such as adaptability and emotional intelligence that are required for leadership in the hospitality industry. Through an exploration of academic theory and industry practice, I will illustrate how reflection as practice enhances performance development, thus equipping me for future industry challenges.</w:t>
      </w:r>
    </w:p>
    <w:p w14:paraId="62529319" w14:textId="7158BEB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References:</w:t>
      </w:r>
    </w:p>
    <w:p w14:paraId="14E20BB0"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Gibbs, G. (1988). Learning by Doing: A Guide to Teaching and Learning Methods. Oxford: Further Education Unit; 2012.</w:t>
      </w:r>
    </w:p>
    <w:p w14:paraId="3EE71E1A"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Kolb, D. A. (1984). Experiential Learning: Experience as the Source of Learning and Development Englewood Cliffs, NJ: Prentice-Hall; 2008.</w:t>
      </w:r>
    </w:p>
    <w:p w14:paraId="437AAA01" w14:textId="06E11A94" w:rsidR="00D11299" w:rsidRPr="00232805" w:rsidRDefault="00D11299" w:rsidP="00D11299">
      <w:pPr>
        <w:pStyle w:val="NormalWeb"/>
        <w:rPr>
          <w:rFonts w:ascii="Aparajita" w:hAnsi="Aparajita" w:cs="Aparajita"/>
          <w:b/>
          <w:bCs/>
          <w:sz w:val="28"/>
          <w:szCs w:val="28"/>
        </w:rPr>
      </w:pPr>
      <w:r w:rsidRPr="00232805">
        <w:rPr>
          <w:rFonts w:ascii="Aparajita" w:hAnsi="Aparajita" w:cs="Aparajita"/>
          <w:b/>
          <w:bCs/>
          <w:sz w:val="28"/>
          <w:szCs w:val="28"/>
        </w:rPr>
        <w:t xml:space="preserve">First Impressions </w:t>
      </w:r>
    </w:p>
    <w:p w14:paraId="53D8CB0B" w14:textId="3798ADD2"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 xml:space="preserve">The early contact with customers at my first posting made me take a critical look at customer service. The “7 seconds” rule, in which first impressions are developed in 7 seconds (Mehrabian, </w:t>
      </w:r>
      <w:r w:rsidRPr="00232805">
        <w:rPr>
          <w:rFonts w:ascii="Aparajita" w:hAnsi="Aparajita" w:cs="Aparajita"/>
          <w:sz w:val="28"/>
          <w:szCs w:val="28"/>
        </w:rPr>
        <w:lastRenderedPageBreak/>
        <w:t>1971), fitted my experiences: I felt that in 7 seconds I could tell if the student was interested in me or not. For example, greeting customers with eye contact and a smile would create a positive tone and advance the service experience for them. Yet I do remember when nervousness had me greet someone too quickly and a customer felt I was not receptive. This had a negative effect on their initial contentment, which was reflected in their rather half-hearted engagement during the meal.</w:t>
      </w:r>
    </w:p>
    <w:p w14:paraId="3EF2474D"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It was Mehrabian’s (1971) communication model that emphasised the significant role that non-verbal cues (55% of communication), body language, and tone played in these conversations that helped me make sense of these conversations. I discovered how to position my body and voice to communicate assurance and amiability. Industry standards, including service blueprinting (Bitner, 1990), acknowledge the importance of physical evidence such as a professionally dressed representative and a clean facility for influencing customer perceptions. Considering Gibbs’ (1988) reflective cycle, I assessed this experience: initially nervous (feelings), but customer feedback made clear the importance of maintaining (evaluation). I now focus on being prepared before my shift to boost my confidence (action plan).</w:t>
      </w:r>
    </w:p>
    <w:p w14:paraId="6FA63ACC"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A busy night also came to mind where I was able to control the first impression of a large party by quickly bringing menus and making small talk for about five minutes until they decided. This was consistent with the Zeithaml et al. (2020) service quality model, which recognises responsiveness as the primary dimension. Upon these occasions, I have learned the necessity of mixing efficiency with warmth to satisfy customer demand.</w:t>
      </w:r>
    </w:p>
    <w:p w14:paraId="572A9E8B" w14:textId="45C5BD2D"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References:</w:t>
      </w:r>
    </w:p>
    <w:p w14:paraId="19110CD8"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Bitner, M. J. (1990). ‘Perceptions of Service Encounters: The Impact of Physical Surroundings and Employee Responses’. Journal of Marketing, 54(2), 69–82.</w:t>
      </w:r>
    </w:p>
    <w:p w14:paraId="3E2685D9"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Mehrabian, A. (1971). Silent Messages. Belmont, CA: Wadsworth.</w:t>
      </w:r>
    </w:p>
    <w:p w14:paraId="66E9A554"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Zeithaml, V. A., Bitner, M. J., &amp; Gremler, D. D. (2020). Services Marketing: Integrating Customer Focus Across the Firm, 7th ed. New York: McGraw-Hill.</w:t>
      </w:r>
    </w:p>
    <w:p w14:paraId="2C787D01"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Gibbs, G. (1988). Learning by Doing: A Handbook for Teaching and Learning. Oxford: Further Education Unit.</w:t>
      </w:r>
    </w:p>
    <w:p w14:paraId="25606203" w14:textId="4366472F" w:rsidR="00D11299" w:rsidRPr="00232805" w:rsidRDefault="00D11299" w:rsidP="00D11299">
      <w:pPr>
        <w:pStyle w:val="NormalWeb"/>
        <w:rPr>
          <w:rFonts w:ascii="Aparajita" w:hAnsi="Aparajita" w:cs="Aparajita"/>
          <w:b/>
          <w:bCs/>
          <w:sz w:val="28"/>
          <w:szCs w:val="28"/>
        </w:rPr>
      </w:pPr>
      <w:r w:rsidRPr="00232805">
        <w:rPr>
          <w:rFonts w:ascii="Aparajita" w:hAnsi="Aparajita" w:cs="Aparajita"/>
          <w:b/>
          <w:bCs/>
          <w:sz w:val="28"/>
          <w:szCs w:val="28"/>
        </w:rPr>
        <w:t xml:space="preserve">Wine Knowledge </w:t>
      </w:r>
    </w:p>
    <w:p w14:paraId="7D9CCDF9"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 xml:space="preserve">I learned a lot about wine through staff training, self-study, and on-the-job training. At first, my wine vocabulary was non-existent, but all the tastings and studying the WSET Level 2 wine textbook helped me understand more about grape varieties, regions and what to eat with my wine. For instance, suggesting a Sauvignon Blanc to a customer ordering a seafood dish and getting a "thanks, great choice" from them will make me quite happy about my recommendation. Kolb’s (1984) experiential learning cycle provided a framework for this process: concrete experience </w:t>
      </w:r>
      <w:r w:rsidRPr="00232805">
        <w:rPr>
          <w:rFonts w:ascii="Aparajita" w:hAnsi="Aparajita" w:cs="Aparajita"/>
          <w:sz w:val="28"/>
          <w:szCs w:val="28"/>
        </w:rPr>
        <w:lastRenderedPageBreak/>
        <w:t>(tasting) led to reflective observation (recording how customers react to the product), abstract conceptualisation (theoretical understanding of wine) and active experimentation (putting knowledge into practice in service).</w:t>
      </w:r>
    </w:p>
    <w:p w14:paraId="0396D534" w14:textId="6219EF0F"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 xml:space="preserve">The wine list at the restaurant was extensive, although it was considered overwhelming for the newbie patrons. I noticed a few people getting lost in the jargon. I recommend streamlining the descriptions and giving some food pairing suggestions, putting across professionally through new menus or teaching of staff; as per </w:t>
      </w:r>
      <w:proofErr w:type="spellStart"/>
      <w:r w:rsidRPr="00232805">
        <w:rPr>
          <w:rFonts w:ascii="Aparajita" w:hAnsi="Aparajita" w:cs="Aparajita"/>
          <w:sz w:val="28"/>
          <w:szCs w:val="28"/>
        </w:rPr>
        <w:t>Sayburn</w:t>
      </w:r>
      <w:proofErr w:type="spellEnd"/>
      <w:r w:rsidRPr="00232805">
        <w:rPr>
          <w:rFonts w:ascii="Aparajita" w:hAnsi="Aparajita" w:cs="Aparajita"/>
          <w:sz w:val="28"/>
          <w:szCs w:val="28"/>
        </w:rPr>
        <w:t xml:space="preserve"> (2020). This is consistent with the theory of hotel product knowledge, which pays special attention to the need for clear communication in delivering the customer experience (Zeithaml et al., 2020). He laid it on thick, but customer feedback reflected that my confidence in explaining wines had indeed been growing, and while I may have moved a bit faster while describing complex reds, I have since, as more than one taster had suggested, slowed it down.</w:t>
      </w:r>
    </w:p>
    <w:p w14:paraId="4C7DD63A"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I have chosen to reflect on a critical incidence involving misinformation about a wine vintage, the consequence of which resulted in a dissatisfied customer (description) using Gibbs’ (1988) model. I was embarrassed (feelings) but saw the mistake as a lack of knowledge (evaluation). Now I double-check before shifts (action plan). This reinforced the need for precision in the wine service guidelines.</w:t>
      </w:r>
    </w:p>
    <w:p w14:paraId="12903A9A" w14:textId="30F5647F" w:rsidR="00D11299" w:rsidRPr="00232805" w:rsidRDefault="00232805" w:rsidP="00D11299">
      <w:pPr>
        <w:pStyle w:val="NormalWeb"/>
        <w:rPr>
          <w:rFonts w:ascii="Aparajita" w:hAnsi="Aparajita" w:cs="Aparajita"/>
          <w:sz w:val="28"/>
          <w:szCs w:val="28"/>
        </w:rPr>
      </w:pPr>
      <w:r w:rsidRPr="00232805">
        <w:rPr>
          <w:rFonts w:ascii="Aparajita" w:hAnsi="Aparajita" w:cs="Aparajita"/>
          <w:sz w:val="28"/>
          <w:szCs w:val="28"/>
        </w:rPr>
        <w:t>References:</w:t>
      </w:r>
    </w:p>
    <w:p w14:paraId="4224DD05"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Kolb, D. A. (1984). Experience and Education Englewood Cliffs, NJ: Prentice Hall.</w:t>
      </w:r>
    </w:p>
    <w:p w14:paraId="1B3FCFB3" w14:textId="77777777" w:rsidR="00D11299" w:rsidRPr="00232805" w:rsidRDefault="00D11299" w:rsidP="00D11299">
      <w:pPr>
        <w:pStyle w:val="NormalWeb"/>
        <w:rPr>
          <w:rFonts w:ascii="Aparajita" w:hAnsi="Aparajita" w:cs="Aparajita"/>
          <w:sz w:val="28"/>
          <w:szCs w:val="28"/>
        </w:rPr>
      </w:pPr>
      <w:proofErr w:type="spellStart"/>
      <w:r w:rsidRPr="00232805">
        <w:rPr>
          <w:rFonts w:ascii="Aparajita" w:hAnsi="Aparajita" w:cs="Aparajita"/>
          <w:sz w:val="28"/>
          <w:szCs w:val="28"/>
        </w:rPr>
        <w:t>Sayburn</w:t>
      </w:r>
      <w:proofErr w:type="spellEnd"/>
      <w:r w:rsidRPr="00232805">
        <w:rPr>
          <w:rFonts w:ascii="Aparajita" w:hAnsi="Aparajita" w:cs="Aparajita"/>
          <w:sz w:val="28"/>
          <w:szCs w:val="28"/>
        </w:rPr>
        <w:t>, R. (2020). Careers in Wine and Wine Courses: A Comprehensive Guide to Wine Studies and your Wine Job. London: Court of Master Sommeliers; 2008.</w:t>
      </w:r>
    </w:p>
    <w:p w14:paraId="7A0FD96B"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Zeithaml, V. A., Bitner, M. J., &amp; Gremler, D. D. (2020). Services Marketing: Integrating Customer Focus Throughout the Firm. 7th ed. New York: McGraw-Hill.</w:t>
      </w:r>
    </w:p>
    <w:p w14:paraId="4D14E471"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Gibbs, G. (1988). Learning as You Go: A Customised Guide to Classroom and Education Methods. Oxford: Further Education Unit; 2012.</w:t>
      </w:r>
    </w:p>
    <w:p w14:paraId="358CA595" w14:textId="619F4E99" w:rsidR="00D11299" w:rsidRPr="00232805" w:rsidRDefault="00D11299" w:rsidP="00D11299">
      <w:pPr>
        <w:pStyle w:val="NormalWeb"/>
        <w:rPr>
          <w:rFonts w:ascii="Aparajita" w:hAnsi="Aparajita" w:cs="Aparajita"/>
          <w:b/>
          <w:bCs/>
          <w:sz w:val="28"/>
          <w:szCs w:val="28"/>
        </w:rPr>
      </w:pPr>
      <w:r w:rsidRPr="00232805">
        <w:rPr>
          <w:rFonts w:ascii="Aparajita" w:hAnsi="Aparajita" w:cs="Aparajita"/>
          <w:b/>
          <w:bCs/>
          <w:sz w:val="28"/>
          <w:szCs w:val="28"/>
        </w:rPr>
        <w:t xml:space="preserve">Customer Communication Skills </w:t>
      </w:r>
    </w:p>
    <w:p w14:paraId="6FB9197F" w14:textId="40864DE6"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 xml:space="preserve">During the placement, my customer-facing communication was greatly improved. I </w:t>
      </w:r>
      <w:r w:rsidR="00232805" w:rsidRPr="00232805">
        <w:rPr>
          <w:rFonts w:ascii="Aparajita" w:hAnsi="Aparajita" w:cs="Aparajita"/>
          <w:sz w:val="28"/>
          <w:szCs w:val="28"/>
        </w:rPr>
        <w:t>must</w:t>
      </w:r>
      <w:r w:rsidRPr="00232805">
        <w:rPr>
          <w:rFonts w:ascii="Aparajita" w:hAnsi="Aparajita" w:cs="Aparajita"/>
          <w:sz w:val="28"/>
          <w:szCs w:val="28"/>
        </w:rPr>
        <w:t xml:space="preserve"> admit, in the beginning, I had a hard time with active listening and sometimes simply wanted to tell my side of the story, forgetting all about what the customer was really looking for. One key moment came when he defused a complaint about an order that had been delayed—by empathising, apologising and offering a free dessert. The expression of gratitude from the customer reinforced the significance of emotional intelligence (Goleman, 1995). Following Mehrabian’s (1971) communication model of accentuating non-verbal signals, I employed open body language and a slow speaking rate to establish customer trust.</w:t>
      </w:r>
    </w:p>
    <w:p w14:paraId="2B140B35" w14:textId="56902315"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lastRenderedPageBreak/>
        <w:t xml:space="preserve">In another case, it was the influence of a colleague’s upselling strategy. I noticed that they were being friendly, but still professional, so I followed their example and now I’m selling lots of </w:t>
      </w:r>
      <w:r w:rsidR="00232805" w:rsidRPr="00232805">
        <w:rPr>
          <w:rFonts w:ascii="Aparajita" w:hAnsi="Aparajita" w:cs="Aparajita"/>
          <w:sz w:val="28"/>
          <w:szCs w:val="28"/>
        </w:rPr>
        <w:t>wine,</w:t>
      </w:r>
      <w:r w:rsidRPr="00232805">
        <w:rPr>
          <w:rFonts w:ascii="Aparajita" w:hAnsi="Aparajita" w:cs="Aparajita"/>
          <w:sz w:val="28"/>
          <w:szCs w:val="28"/>
        </w:rPr>
        <w:t xml:space="preserve"> and my team has given me excellent feedback! The Transactional Model of Communication (</w:t>
      </w:r>
      <w:proofErr w:type="spellStart"/>
      <w:r w:rsidRPr="00232805">
        <w:rPr>
          <w:rFonts w:ascii="Aparajita" w:hAnsi="Aparajita" w:cs="Aparajita"/>
          <w:sz w:val="28"/>
          <w:szCs w:val="28"/>
        </w:rPr>
        <w:t>Barnlund</w:t>
      </w:r>
      <w:proofErr w:type="spellEnd"/>
      <w:r w:rsidRPr="00232805">
        <w:rPr>
          <w:rFonts w:ascii="Aparajita" w:hAnsi="Aparajita" w:cs="Aparajita"/>
          <w:sz w:val="28"/>
          <w:szCs w:val="28"/>
        </w:rPr>
        <w:t>, 1970) allowed me to see communication as a two-way process, encouraging me to ask open-ended questions to obtain a clearer understanding of customers’ wishes. Such as, “What flavours do you like?” resulted in customised advice and increased satisfaction.</w:t>
      </w:r>
    </w:p>
    <w:p w14:paraId="3AFEC3A6" w14:textId="5831622E"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I applied Gibbs’ (1988) model of reflection-description to a particular incident where a client perceived that they were being ignored whilst I was multi-tasking. Reaction: I was angry (response</w:t>
      </w:r>
      <w:proofErr w:type="gramStart"/>
      <w:r w:rsidRPr="00232805">
        <w:rPr>
          <w:rFonts w:ascii="Aparajita" w:hAnsi="Aparajita" w:cs="Aparajita"/>
          <w:sz w:val="28"/>
          <w:szCs w:val="28"/>
        </w:rPr>
        <w:t>)</w:t>
      </w:r>
      <w:proofErr w:type="gramEnd"/>
      <w:r w:rsidRPr="00232805">
        <w:rPr>
          <w:rFonts w:ascii="Aparajita" w:hAnsi="Aparajita" w:cs="Aparajita"/>
          <w:sz w:val="28"/>
          <w:szCs w:val="28"/>
        </w:rPr>
        <w:t xml:space="preserve"> but I understood that active listening was key (interpretation). One of my customers at a time, now (action plan). Team appraisals observed that my confidence is improving although I still </w:t>
      </w:r>
      <w:r w:rsidR="00232805" w:rsidRPr="00232805">
        <w:rPr>
          <w:rFonts w:ascii="Aparajita" w:hAnsi="Aparajita" w:cs="Aparajita"/>
          <w:sz w:val="28"/>
          <w:szCs w:val="28"/>
        </w:rPr>
        <w:t>must</w:t>
      </w:r>
      <w:r w:rsidRPr="00232805">
        <w:rPr>
          <w:rFonts w:ascii="Aparajita" w:hAnsi="Aparajita" w:cs="Aparajita"/>
          <w:sz w:val="28"/>
          <w:szCs w:val="28"/>
        </w:rPr>
        <w:t xml:space="preserve"> work on becoming </w:t>
      </w:r>
      <w:r w:rsidR="00232805" w:rsidRPr="00232805">
        <w:rPr>
          <w:rFonts w:ascii="Aparajita" w:hAnsi="Aparajita" w:cs="Aparajita"/>
          <w:sz w:val="28"/>
          <w:szCs w:val="28"/>
        </w:rPr>
        <w:t>clearer</w:t>
      </w:r>
      <w:r w:rsidRPr="00232805">
        <w:rPr>
          <w:rFonts w:ascii="Aparajita" w:hAnsi="Aparajita" w:cs="Aparajita"/>
          <w:sz w:val="28"/>
          <w:szCs w:val="28"/>
        </w:rPr>
        <w:t xml:space="preserve"> under pressure.</w:t>
      </w:r>
    </w:p>
    <w:p w14:paraId="22FA928B" w14:textId="77777777" w:rsidR="00232805" w:rsidRPr="00232805" w:rsidRDefault="00232805" w:rsidP="00D11299">
      <w:pPr>
        <w:pStyle w:val="NormalWeb"/>
        <w:rPr>
          <w:rFonts w:ascii="Aparajita" w:hAnsi="Aparajita" w:cs="Aparajita"/>
          <w:sz w:val="28"/>
          <w:szCs w:val="28"/>
        </w:rPr>
      </w:pPr>
    </w:p>
    <w:p w14:paraId="56A28494" w14:textId="77777777" w:rsidR="00232805" w:rsidRPr="00232805" w:rsidRDefault="00232805" w:rsidP="00D11299">
      <w:pPr>
        <w:pStyle w:val="NormalWeb"/>
        <w:rPr>
          <w:rFonts w:ascii="Aparajita" w:hAnsi="Aparajita" w:cs="Aparajita"/>
          <w:sz w:val="28"/>
          <w:szCs w:val="28"/>
        </w:rPr>
      </w:pPr>
    </w:p>
    <w:p w14:paraId="5AA49783" w14:textId="01D4AAA1"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References</w:t>
      </w:r>
      <w:r w:rsidR="00232805" w:rsidRPr="00232805">
        <w:rPr>
          <w:rFonts w:ascii="Aparajita" w:hAnsi="Aparajita" w:cs="Aparajita"/>
          <w:sz w:val="28"/>
          <w:szCs w:val="28"/>
        </w:rPr>
        <w:t>:</w:t>
      </w:r>
    </w:p>
    <w:p w14:paraId="59ACD8E4" w14:textId="77777777" w:rsidR="00232805" w:rsidRPr="00232805" w:rsidRDefault="00232805" w:rsidP="00D11299">
      <w:pPr>
        <w:pStyle w:val="NormalWeb"/>
        <w:rPr>
          <w:rFonts w:ascii="Aparajita" w:hAnsi="Aparajita" w:cs="Aparajita"/>
          <w:sz w:val="28"/>
          <w:szCs w:val="28"/>
        </w:rPr>
      </w:pPr>
    </w:p>
    <w:p w14:paraId="77555F1E"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Goleman, D. (1995). Emotional Intelligence: Why It Can Matter More Than IQ (New York: Bantam Books).</w:t>
      </w:r>
    </w:p>
    <w:p w14:paraId="212EFCA2"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Mehrabian, A. (1971). Silent Messages. Belmont, CA: Wadsworth.</w:t>
      </w:r>
    </w:p>
    <w:p w14:paraId="229E9AB6" w14:textId="77777777" w:rsidR="00D11299" w:rsidRPr="00232805" w:rsidRDefault="00D11299" w:rsidP="00D11299">
      <w:pPr>
        <w:pStyle w:val="NormalWeb"/>
        <w:rPr>
          <w:rFonts w:ascii="Aparajita" w:hAnsi="Aparajita" w:cs="Aparajita"/>
          <w:sz w:val="28"/>
          <w:szCs w:val="28"/>
        </w:rPr>
      </w:pPr>
      <w:proofErr w:type="spellStart"/>
      <w:r w:rsidRPr="00232805">
        <w:rPr>
          <w:rFonts w:ascii="Aparajita" w:hAnsi="Aparajita" w:cs="Aparajita"/>
          <w:sz w:val="28"/>
          <w:szCs w:val="28"/>
        </w:rPr>
        <w:t>Barnlund</w:t>
      </w:r>
      <w:proofErr w:type="spellEnd"/>
      <w:r w:rsidRPr="00232805">
        <w:rPr>
          <w:rFonts w:ascii="Aparajita" w:hAnsi="Aparajita" w:cs="Aparajita"/>
          <w:sz w:val="28"/>
          <w:szCs w:val="28"/>
        </w:rPr>
        <w:t>, D. C. (1970). ‘A Transactional Model of Communication. In the Foundations of Communication Theory. New York: Harper &amp; Row.</w:t>
      </w:r>
    </w:p>
    <w:p w14:paraId="39A1F303"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Gibbs, G. (1988). Education by Doing: Sourcebook Sourced from Sources by All Sources Used for the Stimulation of Transformative Educational Confrontation. Oxford: Further Education Unit; 2012.</w:t>
      </w:r>
    </w:p>
    <w:p w14:paraId="6474ED2D" w14:textId="77777777" w:rsidR="00232805" w:rsidRPr="00232805" w:rsidRDefault="00232805" w:rsidP="00D11299">
      <w:pPr>
        <w:pStyle w:val="NormalWeb"/>
        <w:rPr>
          <w:rFonts w:ascii="Aparajita" w:hAnsi="Aparajita" w:cs="Aparajita"/>
          <w:sz w:val="28"/>
          <w:szCs w:val="28"/>
        </w:rPr>
      </w:pPr>
    </w:p>
    <w:p w14:paraId="14F48B17" w14:textId="4161EAAE" w:rsidR="00D11299" w:rsidRPr="00232805" w:rsidRDefault="00D11299" w:rsidP="00D11299">
      <w:pPr>
        <w:pStyle w:val="NormalWeb"/>
        <w:rPr>
          <w:rFonts w:ascii="Aparajita" w:hAnsi="Aparajita" w:cs="Aparajita"/>
          <w:b/>
          <w:bCs/>
          <w:sz w:val="28"/>
          <w:szCs w:val="28"/>
        </w:rPr>
      </w:pPr>
      <w:r w:rsidRPr="00232805">
        <w:rPr>
          <w:rFonts w:ascii="Aparajita" w:hAnsi="Aparajita" w:cs="Aparajita"/>
          <w:b/>
          <w:bCs/>
          <w:sz w:val="28"/>
          <w:szCs w:val="28"/>
        </w:rPr>
        <w:t>Summary Reflection</w:t>
      </w:r>
    </w:p>
    <w:p w14:paraId="0488B266" w14:textId="60F37FD0"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 xml:space="preserve">The placement changed my professional outlook and defied my presumptions of hospitality. I expected glitz and </w:t>
      </w:r>
      <w:r w:rsidR="00232805" w:rsidRPr="00232805">
        <w:rPr>
          <w:rFonts w:ascii="Aparajita" w:hAnsi="Aparajita" w:cs="Aparajita"/>
          <w:sz w:val="28"/>
          <w:szCs w:val="28"/>
        </w:rPr>
        <w:t>glamour but</w:t>
      </w:r>
      <w:r w:rsidRPr="00232805">
        <w:rPr>
          <w:rFonts w:ascii="Aparajita" w:hAnsi="Aparajita" w:cs="Aparajita"/>
          <w:sz w:val="28"/>
          <w:szCs w:val="28"/>
        </w:rPr>
        <w:t xml:space="preserve"> found high-stakes crises that required gumption. A defining moment was a particularly rough shift during which I had failed to properly rank the tables, resulting in long waits and unhappy guests. Looking through Brookfield’s (1995) four lenses, I considered this in terms of my lens (overwhelmed), feedback from colleagues (indicative of my lack of organisation), and theoretical (Zeithaml et al. service quality difference), and customers’ responses to (dissatisfaction). This reflected on me the fact that I needed to manage my time better.</w:t>
      </w:r>
    </w:p>
    <w:p w14:paraId="0B3099A5" w14:textId="50D1BD53"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lastRenderedPageBreak/>
        <w:t xml:space="preserve">On the positive side, I was excellent at developing long-term relationships with customers and building loyalty. But there are times in the day when I know I could handle things better, and that I would approach with learning to respond according to mindfulness techniques. Schön’s (1983) model of the reflective practitioner controlled me where I reflected in action, making snap decisions </w:t>
      </w:r>
      <w:r w:rsidR="00232805" w:rsidRPr="00232805">
        <w:rPr>
          <w:rFonts w:ascii="Aparajita" w:hAnsi="Aparajita" w:cs="Aparajita"/>
          <w:sz w:val="28"/>
          <w:szCs w:val="28"/>
        </w:rPr>
        <w:t>halfway</w:t>
      </w:r>
      <w:r w:rsidRPr="00232805">
        <w:rPr>
          <w:rFonts w:ascii="Aparajita" w:hAnsi="Aparajita" w:cs="Aparajita"/>
          <w:sz w:val="28"/>
          <w:szCs w:val="28"/>
        </w:rPr>
        <w:t xml:space="preserve"> through the shift as to what needed to be the top priority. While I had anticipated never having problems and so </w:t>
      </w:r>
      <w:r w:rsidR="00232805" w:rsidRPr="00232805">
        <w:rPr>
          <w:rFonts w:ascii="Aparajita" w:hAnsi="Aparajita" w:cs="Aparajita"/>
          <w:sz w:val="28"/>
          <w:szCs w:val="28"/>
        </w:rPr>
        <w:t>far,</w:t>
      </w:r>
      <w:r w:rsidRPr="00232805">
        <w:rPr>
          <w:rFonts w:ascii="Aparajita" w:hAnsi="Aparajita" w:cs="Aparajita"/>
          <w:sz w:val="28"/>
          <w:szCs w:val="28"/>
        </w:rPr>
        <w:t xml:space="preserve"> we have not, the unforeseen can and does happen in the industry, and it is teaching me flexibility.</w:t>
      </w:r>
    </w:p>
    <w:p w14:paraId="62831752" w14:textId="396F2CF5"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 xml:space="preserve">I reflected on a mismanagement incident using Gibbs’ (1988) model: I felt quite stressed </w:t>
      </w:r>
      <w:r w:rsidR="00232805" w:rsidRPr="00232805">
        <w:rPr>
          <w:rFonts w:ascii="Aparajita" w:hAnsi="Aparajita" w:cs="Aparajita"/>
          <w:sz w:val="28"/>
          <w:szCs w:val="28"/>
        </w:rPr>
        <w:t>(feelings</w:t>
      </w:r>
      <w:r w:rsidRPr="00232805">
        <w:rPr>
          <w:rFonts w:ascii="Aparajita" w:hAnsi="Aparajita" w:cs="Aparajita"/>
          <w:sz w:val="28"/>
          <w:szCs w:val="28"/>
        </w:rPr>
        <w:t xml:space="preserve">), but it pinpointed a lack of preparedness </w:t>
      </w:r>
      <w:r w:rsidR="00232805" w:rsidRPr="00232805">
        <w:rPr>
          <w:rFonts w:ascii="Aparajita" w:hAnsi="Aparajita" w:cs="Aparajita"/>
          <w:sz w:val="28"/>
          <w:szCs w:val="28"/>
        </w:rPr>
        <w:t>(analysis</w:t>
      </w:r>
      <w:r w:rsidRPr="00232805">
        <w:rPr>
          <w:rFonts w:ascii="Aparajita" w:hAnsi="Aparajita" w:cs="Aparajita"/>
          <w:sz w:val="28"/>
          <w:szCs w:val="28"/>
        </w:rPr>
        <w:t>). I use pre-shift checklists (action plan) compared to checklists as a post-operation tool. I learned the value of teamwork and customer-focused work, which led me to define what I am today.</w:t>
      </w:r>
    </w:p>
    <w:p w14:paraId="5A229076" w14:textId="0D9C233D"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References</w:t>
      </w:r>
      <w:r w:rsidR="00232805" w:rsidRPr="00232805">
        <w:rPr>
          <w:rFonts w:ascii="Aparajita" w:hAnsi="Aparajita" w:cs="Aparajita"/>
          <w:sz w:val="28"/>
          <w:szCs w:val="28"/>
        </w:rPr>
        <w:t>:</w:t>
      </w:r>
    </w:p>
    <w:p w14:paraId="7B0CD961"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Brookfield, S. D. (1995). Becoming a Critically Reflective Teacher, San Francisco: Jossey-Bass.</w:t>
      </w:r>
    </w:p>
    <w:p w14:paraId="36FC4843"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Schön, D. A. (1983). The Reflective Practitioner: How Professionals Think in Action (New York: Basic Books).</w:t>
      </w:r>
    </w:p>
    <w:p w14:paraId="076D0D15"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Zeithaml, V. A., Bitner, M. J., &amp; Gremler, D. D. (2020). Services Marketing: Integrating Customer Focus Across the Firm. 7th ed. New York: McGraw-Hill.</w:t>
      </w:r>
    </w:p>
    <w:p w14:paraId="7D9B90D4"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Gibbs, G. (1988). Learning by Doing: A guide to teaching and learning methods. Oxford: Further Education Unit; 2012.</w:t>
      </w:r>
    </w:p>
    <w:p w14:paraId="66C5ECAD" w14:textId="410864EC" w:rsidR="00D11299" w:rsidRPr="00232805" w:rsidRDefault="00D11299" w:rsidP="00D11299">
      <w:pPr>
        <w:pStyle w:val="NormalWeb"/>
        <w:rPr>
          <w:rFonts w:ascii="Aparajita" w:hAnsi="Aparajita" w:cs="Aparajita"/>
          <w:sz w:val="28"/>
          <w:szCs w:val="28"/>
        </w:rPr>
      </w:pPr>
      <w:r w:rsidRPr="00232805">
        <w:rPr>
          <w:rFonts w:ascii="Aparajita" w:hAnsi="Aparajita" w:cs="Aparajita"/>
          <w:b/>
          <w:bCs/>
          <w:sz w:val="28"/>
          <w:szCs w:val="28"/>
        </w:rPr>
        <w:t>Leading the Way to the Future</w:t>
      </w:r>
      <w:r w:rsidRPr="00232805">
        <w:rPr>
          <w:rFonts w:ascii="Aparajita" w:hAnsi="Aparajita" w:cs="Aparajita"/>
          <w:sz w:val="28"/>
          <w:szCs w:val="28"/>
        </w:rPr>
        <w:t xml:space="preserve"> </w:t>
      </w:r>
    </w:p>
    <w:p w14:paraId="521584C9" w14:textId="030183A5"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 xml:space="preserve">This placement made me focus on my goal, which is to become a restaurant manager where I can use my enhanced skills in communication, wine knowledge and working as a team. Super’s (1980) career theory emphasises the match of career skills to the career stage, and this experience has reinforced my readiness for supervision. My complaint management and wine recommendation skills will help keep the customers happy, which is a primary managerial task. However, I still </w:t>
      </w:r>
      <w:r w:rsidR="00232805" w:rsidRPr="00232805">
        <w:rPr>
          <w:rFonts w:ascii="Aparajita" w:hAnsi="Aparajita" w:cs="Aparajita"/>
          <w:sz w:val="28"/>
          <w:szCs w:val="28"/>
        </w:rPr>
        <w:t>must</w:t>
      </w:r>
      <w:r w:rsidRPr="00232805">
        <w:rPr>
          <w:rFonts w:ascii="Aparajita" w:hAnsi="Aparajita" w:cs="Aparajita"/>
          <w:sz w:val="28"/>
          <w:szCs w:val="28"/>
        </w:rPr>
        <w:t xml:space="preserve"> work on this bad stress management and bad management as a leader, which I plan to fix through taking a course on hospitality management and leadership coach programmes.</w:t>
      </w:r>
    </w:p>
    <w:p w14:paraId="1E93E7FE" w14:textId="3CE14D83"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 xml:space="preserve">The posting trained me in resoluteness and flexibility, which is </w:t>
      </w:r>
      <w:r w:rsidR="00232805" w:rsidRPr="00232805">
        <w:rPr>
          <w:rFonts w:ascii="Aparajita" w:hAnsi="Aparajita" w:cs="Aparajita"/>
          <w:sz w:val="28"/>
          <w:szCs w:val="28"/>
        </w:rPr>
        <w:t>chief</w:t>
      </w:r>
      <w:r w:rsidRPr="00232805">
        <w:rPr>
          <w:rFonts w:ascii="Aparajita" w:hAnsi="Aparajita" w:cs="Aparajita"/>
          <w:sz w:val="28"/>
          <w:szCs w:val="28"/>
        </w:rPr>
        <w:t xml:space="preserve"> from a changeful food and drink economy. Holland’s (1997) career theory proposes personality-role matching, which applies to my social and enterprising characteristics (Alignment to outer face). I feel better prepared for both; however, I see the need for further instruction in financial management and staff training techniques. Industry projections (e.g., Deloitte, 2023) anticipate a trend towards experiential dining, which motivated me to obtain certifications such as WSET Level 3 to further leverage my experience.</w:t>
      </w:r>
    </w:p>
    <w:p w14:paraId="2B37AE00"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lastRenderedPageBreak/>
        <w:t>Applying Gibbs’ (1988) model, I considered my ambitions as a career (objectives). I have a sense of drive (feelings) but deficiencies within leadership (analysis). I would look for assistant manager positions to practice my learning (action plan). This work placement has given me a very solid foundation for a successful career in the hospitality industry."</w:t>
      </w:r>
    </w:p>
    <w:p w14:paraId="121B0EB8" w14:textId="2A676A1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References</w:t>
      </w:r>
      <w:r w:rsidR="00232805" w:rsidRPr="00232805">
        <w:rPr>
          <w:rFonts w:ascii="Aparajita" w:hAnsi="Aparajita" w:cs="Aparajita"/>
          <w:sz w:val="28"/>
          <w:szCs w:val="28"/>
        </w:rPr>
        <w:t>:</w:t>
      </w:r>
    </w:p>
    <w:p w14:paraId="33105EB8"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Super, D. E. (1980). A Lifespan, Life-Space Approach to Career Development Journal of Vocational Behaviour, 16(3), 282–298.</w:t>
      </w:r>
    </w:p>
    <w:p w14:paraId="160E8353"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Holland, J. L. (1997). Making career decisions: A theory of vocational personalities and work environments. 3rd ed. Odessa, FL: Psychological Assessment Resources.</w:t>
      </w:r>
    </w:p>
    <w:p w14:paraId="45D0CFC2"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Deloitte (2023). Hospitality Industry Trends 2023. London: Deloitte.</w:t>
      </w:r>
    </w:p>
    <w:p w14:paraId="76BF1FB0"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Gibbs, G. (1988). Learning by Doing: A Handbook on Teaching and Learning Methods. Oxford: Further Education Unit; 2012.</w:t>
      </w:r>
    </w:p>
    <w:p w14:paraId="1D2F9774" w14:textId="5C5DC37A" w:rsidR="00D11299" w:rsidRPr="00232805" w:rsidRDefault="00D11299" w:rsidP="00D11299">
      <w:pPr>
        <w:pStyle w:val="NormalWeb"/>
        <w:rPr>
          <w:rFonts w:ascii="Aparajita" w:hAnsi="Aparajita" w:cs="Aparajita"/>
          <w:b/>
          <w:bCs/>
          <w:sz w:val="28"/>
          <w:szCs w:val="28"/>
        </w:rPr>
      </w:pPr>
      <w:r w:rsidRPr="00232805">
        <w:rPr>
          <w:rFonts w:ascii="Aparajita" w:hAnsi="Aparajita" w:cs="Aparajita"/>
          <w:b/>
          <w:bCs/>
          <w:sz w:val="28"/>
          <w:szCs w:val="28"/>
        </w:rPr>
        <w:t xml:space="preserve">Conclusion </w:t>
      </w:r>
    </w:p>
    <w:p w14:paraId="45D20200"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These are my portfolio pieces that hearten my ability to communicate to the customers, have wine knowledge, and show my experience of reflection on my placement at hospitality. Conclusions include the significance of first impressions, the need to get the product knowledge right and the effectiveness of empathic communication, all of which are framed by theories such as Mehrabian’s (1971) communication model and Kolb’s (1984) experiential learning cycle. They have developed my customer service skills and team working/module results, such as critical reflection and professional career preparedness.</w:t>
      </w:r>
    </w:p>
    <w:p w14:paraId="24A39112"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The placement defied my preconceptions and highlighted the demands and rewards of the industry. Mishandling a hectic shift taught me resilience and time management, while receiving customer compliments bolstered my confidence. Applying reflective theories such as the Gibbs (1988) and Brookfield (1995) lenses, I improved upon areas such as stress and developed action plans. I hope to apply that lesson and use those talents towards a position in restaurant management. I also hope to obtain additional training and certifications. Folio of evidence This portfolio shows that I am eager to learn and develop and is an asset for my future career in the hospitality industry.</w:t>
      </w:r>
    </w:p>
    <w:p w14:paraId="32011590" w14:textId="14211855"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References</w:t>
      </w:r>
      <w:r w:rsidR="00232805" w:rsidRPr="00232805">
        <w:rPr>
          <w:rFonts w:ascii="Aparajita" w:hAnsi="Aparajita" w:cs="Aparajita"/>
          <w:sz w:val="28"/>
          <w:szCs w:val="28"/>
        </w:rPr>
        <w:t>:</w:t>
      </w:r>
    </w:p>
    <w:p w14:paraId="6EA50DBA"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Mehrabian, A. (1971). Silent Messages. Belmont, CA: Wadsworth.</w:t>
      </w:r>
    </w:p>
    <w:p w14:paraId="4D0C7F4C"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Kolb, D. A. (1984). Learning by Doing: Experience as the Source of Learning and Development Englewood Cliffs, NJ: Prentice-Hall; 2008.</w:t>
      </w:r>
    </w:p>
    <w:p w14:paraId="737C61A5"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lastRenderedPageBreak/>
        <w:t>Gibbs, G. (1988). Learning by Doing: A Manual for Teaching and Learning activities. Oxford: Further Education Unit; 2012.</w:t>
      </w:r>
    </w:p>
    <w:p w14:paraId="05BAEB62" w14:textId="77777777" w:rsidR="00D11299" w:rsidRPr="00232805" w:rsidRDefault="00D11299" w:rsidP="00D11299">
      <w:pPr>
        <w:pStyle w:val="NormalWeb"/>
        <w:rPr>
          <w:rFonts w:ascii="Aparajita" w:hAnsi="Aparajita" w:cs="Aparajita"/>
          <w:sz w:val="28"/>
          <w:szCs w:val="28"/>
        </w:rPr>
      </w:pPr>
      <w:r w:rsidRPr="00232805">
        <w:rPr>
          <w:rFonts w:ascii="Aparajita" w:hAnsi="Aparajita" w:cs="Aparajita"/>
          <w:sz w:val="28"/>
          <w:szCs w:val="28"/>
        </w:rPr>
        <w:t>Brookfield, S. D. (1995). Becoming a Critically Reflective Teacher. San Francisco: Jossey-Bass.</w:t>
      </w:r>
    </w:p>
    <w:p w14:paraId="7B70BF66" w14:textId="13CD2E75" w:rsidR="00232805" w:rsidRPr="00232805" w:rsidRDefault="00D11299" w:rsidP="00232805">
      <w:pPr>
        <w:pStyle w:val="NormalWeb"/>
        <w:rPr>
          <w:rFonts w:ascii="Aparajita" w:hAnsi="Aparajita" w:cs="Aparajita"/>
          <w:b/>
          <w:bCs/>
          <w:sz w:val="28"/>
          <w:szCs w:val="28"/>
        </w:rPr>
      </w:pPr>
      <w:r w:rsidRPr="00232805">
        <w:rPr>
          <w:rFonts w:ascii="Aparajita" w:hAnsi="Aparajita" w:cs="Aparajita"/>
          <w:b/>
          <w:bCs/>
          <w:sz w:val="28"/>
          <w:szCs w:val="28"/>
        </w:rPr>
        <w:t>Reference List</w:t>
      </w:r>
      <w:r w:rsidR="00232805" w:rsidRPr="00232805">
        <w:rPr>
          <w:rFonts w:ascii="Aparajita" w:hAnsi="Aparajita" w:cs="Aparajita"/>
          <w:b/>
          <w:bCs/>
          <w:sz w:val="28"/>
          <w:szCs w:val="28"/>
        </w:rPr>
        <w:t>:</w:t>
      </w:r>
    </w:p>
    <w:p w14:paraId="2F6BA5D1" w14:textId="4DA55D56" w:rsidR="00232805" w:rsidRPr="00232805" w:rsidRDefault="00232805" w:rsidP="00232805">
      <w:pPr>
        <w:spacing w:before="100" w:beforeAutospacing="1" w:after="100" w:afterAutospacing="1" w:line="240" w:lineRule="auto"/>
        <w:rPr>
          <w:rFonts w:ascii="Aparajita" w:eastAsia="Times New Roman" w:hAnsi="Aparajita" w:cs="Aparajita"/>
          <w:kern w:val="0"/>
          <w:sz w:val="28"/>
          <w:szCs w:val="28"/>
          <w:lang w:eastAsia="en-GB"/>
          <w14:ligatures w14:val="none"/>
        </w:rPr>
      </w:pPr>
      <w:proofErr w:type="spellStart"/>
      <w:r w:rsidRPr="00232805">
        <w:rPr>
          <w:rFonts w:ascii="Aparajita" w:eastAsia="Times New Roman" w:hAnsi="Aparajita" w:cs="Aparajita"/>
          <w:kern w:val="0"/>
          <w:sz w:val="28"/>
          <w:szCs w:val="28"/>
          <w:lang w:eastAsia="en-GB"/>
          <w14:ligatures w14:val="none"/>
        </w:rPr>
        <w:t>Barnlund</w:t>
      </w:r>
      <w:proofErr w:type="spellEnd"/>
      <w:r w:rsidRPr="00232805">
        <w:rPr>
          <w:rFonts w:ascii="Aparajita" w:eastAsia="Times New Roman" w:hAnsi="Aparajita" w:cs="Aparajita"/>
          <w:kern w:val="0"/>
          <w:sz w:val="28"/>
          <w:szCs w:val="28"/>
          <w:lang w:eastAsia="en-GB"/>
          <w14:ligatures w14:val="none"/>
        </w:rPr>
        <w:t xml:space="preserve">, D. C. (1970). ‘A Transactional Model of Communication.’ In </w:t>
      </w:r>
      <w:r w:rsidRPr="00232805">
        <w:rPr>
          <w:rFonts w:ascii="Aparajita" w:eastAsia="Times New Roman" w:hAnsi="Aparajita" w:cs="Aparajita"/>
          <w:i/>
          <w:iCs/>
          <w:kern w:val="0"/>
          <w:sz w:val="28"/>
          <w:szCs w:val="28"/>
          <w:lang w:eastAsia="en-GB"/>
          <w14:ligatures w14:val="none"/>
        </w:rPr>
        <w:t>Foundations of Communication Theory</w:t>
      </w:r>
      <w:r w:rsidRPr="00232805">
        <w:rPr>
          <w:rFonts w:ascii="Aparajita" w:eastAsia="Times New Roman" w:hAnsi="Aparajita" w:cs="Aparajita"/>
          <w:kern w:val="0"/>
          <w:sz w:val="28"/>
          <w:szCs w:val="28"/>
          <w:lang w:eastAsia="en-GB"/>
          <w14:ligatures w14:val="none"/>
        </w:rPr>
        <w:t>. New York: Harper &amp; Row.</w:t>
      </w:r>
      <w:r w:rsidRPr="00232805">
        <w:rPr>
          <w:rFonts w:ascii="Aparajita" w:eastAsia="Times New Roman" w:hAnsi="Aparajita" w:cs="Aparajita"/>
          <w:kern w:val="0"/>
          <w:sz w:val="28"/>
          <w:szCs w:val="28"/>
          <w:lang w:eastAsia="en-GB"/>
          <w14:ligatures w14:val="none"/>
        </w:rPr>
        <w:br/>
        <w:t xml:space="preserve">Bitner, M. J. (1990). ‘Evaluating Service Encounters: The Effects of Physical Surroundings and Employee Responses.’ </w:t>
      </w:r>
      <w:r w:rsidRPr="00232805">
        <w:rPr>
          <w:rFonts w:ascii="Aparajita" w:eastAsia="Times New Roman" w:hAnsi="Aparajita" w:cs="Aparajita"/>
          <w:i/>
          <w:iCs/>
          <w:kern w:val="0"/>
          <w:sz w:val="28"/>
          <w:szCs w:val="28"/>
          <w:lang w:eastAsia="en-GB"/>
          <w14:ligatures w14:val="none"/>
        </w:rPr>
        <w:t>Journal of Marketing</w:t>
      </w:r>
      <w:r w:rsidRPr="00232805">
        <w:rPr>
          <w:rFonts w:ascii="Aparajita" w:eastAsia="Times New Roman" w:hAnsi="Aparajita" w:cs="Aparajita"/>
          <w:kern w:val="0"/>
          <w:sz w:val="28"/>
          <w:szCs w:val="28"/>
          <w:lang w:eastAsia="en-GB"/>
          <w14:ligatures w14:val="none"/>
        </w:rPr>
        <w:t>, 54(2), pp. 69–82.</w:t>
      </w:r>
      <w:r w:rsidRPr="00232805">
        <w:rPr>
          <w:rFonts w:ascii="Aparajita" w:eastAsia="Times New Roman" w:hAnsi="Aparajita" w:cs="Aparajita"/>
          <w:kern w:val="0"/>
          <w:sz w:val="28"/>
          <w:szCs w:val="28"/>
          <w:lang w:eastAsia="en-GB"/>
          <w14:ligatures w14:val="none"/>
        </w:rPr>
        <w:br/>
        <w:t xml:space="preserve">Brookfield, S. D. (1995). </w:t>
      </w:r>
      <w:r w:rsidRPr="00232805">
        <w:rPr>
          <w:rFonts w:ascii="Aparajita" w:eastAsia="Times New Roman" w:hAnsi="Aparajita" w:cs="Aparajita"/>
          <w:i/>
          <w:iCs/>
          <w:kern w:val="0"/>
          <w:sz w:val="28"/>
          <w:szCs w:val="28"/>
          <w:lang w:eastAsia="en-GB"/>
          <w14:ligatures w14:val="none"/>
        </w:rPr>
        <w:t>Becoming a Critically Reflective Teacher</w:t>
      </w:r>
      <w:r w:rsidRPr="00232805">
        <w:rPr>
          <w:rFonts w:ascii="Aparajita" w:eastAsia="Times New Roman" w:hAnsi="Aparajita" w:cs="Aparajita"/>
          <w:kern w:val="0"/>
          <w:sz w:val="28"/>
          <w:szCs w:val="28"/>
          <w:lang w:eastAsia="en-GB"/>
          <w14:ligatures w14:val="none"/>
        </w:rPr>
        <w:t>. San Francisco: Jossey-Bass.</w:t>
      </w:r>
      <w:r w:rsidRPr="00232805">
        <w:rPr>
          <w:rFonts w:ascii="Aparajita" w:eastAsia="Times New Roman" w:hAnsi="Aparajita" w:cs="Aparajita"/>
          <w:kern w:val="0"/>
          <w:sz w:val="28"/>
          <w:szCs w:val="28"/>
          <w:lang w:eastAsia="en-GB"/>
          <w14:ligatures w14:val="none"/>
        </w:rPr>
        <w:br/>
        <w:t xml:space="preserve">Deloitte (2023). </w:t>
      </w:r>
      <w:r w:rsidRPr="00232805">
        <w:rPr>
          <w:rFonts w:ascii="Aparajita" w:eastAsia="Times New Roman" w:hAnsi="Aparajita" w:cs="Aparajita"/>
          <w:i/>
          <w:iCs/>
          <w:kern w:val="0"/>
          <w:sz w:val="28"/>
          <w:szCs w:val="28"/>
          <w:lang w:eastAsia="en-GB"/>
          <w14:ligatures w14:val="none"/>
        </w:rPr>
        <w:t>Hospitality Industry Trends 2023</w:t>
      </w:r>
      <w:r w:rsidRPr="00232805">
        <w:rPr>
          <w:rFonts w:ascii="Aparajita" w:eastAsia="Times New Roman" w:hAnsi="Aparajita" w:cs="Aparajita"/>
          <w:kern w:val="0"/>
          <w:sz w:val="28"/>
          <w:szCs w:val="28"/>
          <w:lang w:eastAsia="en-GB"/>
          <w14:ligatures w14:val="none"/>
        </w:rPr>
        <w:t>. London: Deloitte.</w:t>
      </w:r>
      <w:r w:rsidRPr="00232805">
        <w:rPr>
          <w:rFonts w:ascii="Aparajita" w:eastAsia="Times New Roman" w:hAnsi="Aparajita" w:cs="Aparajita"/>
          <w:kern w:val="0"/>
          <w:sz w:val="28"/>
          <w:szCs w:val="28"/>
          <w:lang w:eastAsia="en-GB"/>
          <w14:ligatures w14:val="none"/>
        </w:rPr>
        <w:br/>
        <w:t xml:space="preserve">Gibbs, G. (1988). </w:t>
      </w:r>
      <w:r w:rsidRPr="00232805">
        <w:rPr>
          <w:rFonts w:ascii="Aparajita" w:eastAsia="Times New Roman" w:hAnsi="Aparajita" w:cs="Aparajita"/>
          <w:i/>
          <w:iCs/>
          <w:kern w:val="0"/>
          <w:sz w:val="28"/>
          <w:szCs w:val="28"/>
          <w:lang w:eastAsia="en-GB"/>
          <w14:ligatures w14:val="none"/>
        </w:rPr>
        <w:t>Learning by Doing: A Guide to Teaching and Learning Methods</w:t>
      </w:r>
      <w:r w:rsidRPr="00232805">
        <w:rPr>
          <w:rFonts w:ascii="Aparajita" w:eastAsia="Times New Roman" w:hAnsi="Aparajita" w:cs="Aparajita"/>
          <w:kern w:val="0"/>
          <w:sz w:val="28"/>
          <w:szCs w:val="28"/>
          <w:lang w:eastAsia="en-GB"/>
          <w14:ligatures w14:val="none"/>
        </w:rPr>
        <w:t>. Oxford: Further Education Unit.</w:t>
      </w:r>
      <w:r w:rsidRPr="00232805">
        <w:rPr>
          <w:rFonts w:ascii="Aparajita" w:eastAsia="Times New Roman" w:hAnsi="Aparajita" w:cs="Aparajita"/>
          <w:kern w:val="0"/>
          <w:sz w:val="28"/>
          <w:szCs w:val="28"/>
          <w:lang w:eastAsia="en-GB"/>
          <w14:ligatures w14:val="none"/>
        </w:rPr>
        <w:br/>
        <w:t xml:space="preserve">Goleman, D. (1995). </w:t>
      </w:r>
      <w:r w:rsidRPr="00232805">
        <w:rPr>
          <w:rFonts w:ascii="Aparajita" w:eastAsia="Times New Roman" w:hAnsi="Aparajita" w:cs="Aparajita"/>
          <w:i/>
          <w:iCs/>
          <w:kern w:val="0"/>
          <w:sz w:val="28"/>
          <w:szCs w:val="28"/>
          <w:lang w:eastAsia="en-GB"/>
          <w14:ligatures w14:val="none"/>
        </w:rPr>
        <w:t>Emotional Intelligence: Why It Can Matter More Than IQ</w:t>
      </w:r>
      <w:r w:rsidRPr="00232805">
        <w:rPr>
          <w:rFonts w:ascii="Aparajita" w:eastAsia="Times New Roman" w:hAnsi="Aparajita" w:cs="Aparajita"/>
          <w:kern w:val="0"/>
          <w:sz w:val="28"/>
          <w:szCs w:val="28"/>
          <w:lang w:eastAsia="en-GB"/>
          <w14:ligatures w14:val="none"/>
        </w:rPr>
        <w:t>. New York: Bantam Books.</w:t>
      </w:r>
      <w:r w:rsidRPr="00232805">
        <w:rPr>
          <w:rFonts w:ascii="Aparajita" w:eastAsia="Times New Roman" w:hAnsi="Aparajita" w:cs="Aparajita"/>
          <w:kern w:val="0"/>
          <w:sz w:val="28"/>
          <w:szCs w:val="28"/>
          <w:lang w:eastAsia="en-GB"/>
          <w14:ligatures w14:val="none"/>
        </w:rPr>
        <w:br/>
        <w:t xml:space="preserve">Holland, J. L. (1997). </w:t>
      </w:r>
      <w:r w:rsidRPr="00232805">
        <w:rPr>
          <w:rFonts w:ascii="Aparajita" w:eastAsia="Times New Roman" w:hAnsi="Aparajita" w:cs="Aparajita"/>
          <w:i/>
          <w:iCs/>
          <w:kern w:val="0"/>
          <w:sz w:val="28"/>
          <w:szCs w:val="28"/>
          <w:lang w:eastAsia="en-GB"/>
          <w14:ligatures w14:val="none"/>
        </w:rPr>
        <w:t>Making Vocational Choices: A Theory of Vocational Personalities and Work Environments</w:t>
      </w:r>
      <w:r w:rsidRPr="00232805">
        <w:rPr>
          <w:rFonts w:ascii="Aparajita" w:eastAsia="Times New Roman" w:hAnsi="Aparajita" w:cs="Aparajita"/>
          <w:kern w:val="0"/>
          <w:sz w:val="28"/>
          <w:szCs w:val="28"/>
          <w:lang w:eastAsia="en-GB"/>
          <w14:ligatures w14:val="none"/>
        </w:rPr>
        <w:t>. 3rd ed. Odessa, FL: Psychological Assessment Resources.</w:t>
      </w:r>
      <w:r w:rsidRPr="00232805">
        <w:rPr>
          <w:rFonts w:ascii="Aparajita" w:eastAsia="Times New Roman" w:hAnsi="Aparajita" w:cs="Aparajita"/>
          <w:kern w:val="0"/>
          <w:sz w:val="28"/>
          <w:szCs w:val="28"/>
          <w:lang w:eastAsia="en-GB"/>
          <w14:ligatures w14:val="none"/>
        </w:rPr>
        <w:br/>
        <w:t xml:space="preserve">Kolb, D. A. (1984). </w:t>
      </w:r>
      <w:r w:rsidRPr="00232805">
        <w:rPr>
          <w:rFonts w:ascii="Aparajita" w:eastAsia="Times New Roman" w:hAnsi="Aparajita" w:cs="Aparajita"/>
          <w:i/>
          <w:iCs/>
          <w:kern w:val="0"/>
          <w:sz w:val="28"/>
          <w:szCs w:val="28"/>
          <w:lang w:eastAsia="en-GB"/>
          <w14:ligatures w14:val="none"/>
        </w:rPr>
        <w:t>Experiential Learning: Experience as the Source of Learning and Development</w:t>
      </w:r>
      <w:r w:rsidRPr="00232805">
        <w:rPr>
          <w:rFonts w:ascii="Aparajita" w:eastAsia="Times New Roman" w:hAnsi="Aparajita" w:cs="Aparajita"/>
          <w:kern w:val="0"/>
          <w:sz w:val="28"/>
          <w:szCs w:val="28"/>
          <w:lang w:eastAsia="en-GB"/>
          <w14:ligatures w14:val="none"/>
        </w:rPr>
        <w:t>. Englewood Cliffs, NJ: Prentice-Hall.</w:t>
      </w:r>
      <w:r w:rsidRPr="00232805">
        <w:rPr>
          <w:rFonts w:ascii="Aparajita" w:eastAsia="Times New Roman" w:hAnsi="Aparajita" w:cs="Aparajita"/>
          <w:kern w:val="0"/>
          <w:sz w:val="28"/>
          <w:szCs w:val="28"/>
          <w:lang w:eastAsia="en-GB"/>
          <w14:ligatures w14:val="none"/>
        </w:rPr>
        <w:br/>
        <w:t xml:space="preserve">Mehrabian, A. (1971). </w:t>
      </w:r>
      <w:r w:rsidRPr="00232805">
        <w:rPr>
          <w:rFonts w:ascii="Aparajita" w:eastAsia="Times New Roman" w:hAnsi="Aparajita" w:cs="Aparajita"/>
          <w:i/>
          <w:iCs/>
          <w:kern w:val="0"/>
          <w:sz w:val="28"/>
          <w:szCs w:val="28"/>
          <w:lang w:eastAsia="en-GB"/>
          <w14:ligatures w14:val="none"/>
        </w:rPr>
        <w:t>Silent Messages</w:t>
      </w:r>
      <w:r w:rsidRPr="00232805">
        <w:rPr>
          <w:rFonts w:ascii="Aparajita" w:eastAsia="Times New Roman" w:hAnsi="Aparajita" w:cs="Aparajita"/>
          <w:kern w:val="0"/>
          <w:sz w:val="28"/>
          <w:szCs w:val="28"/>
          <w:lang w:eastAsia="en-GB"/>
          <w14:ligatures w14:val="none"/>
        </w:rPr>
        <w:t>. Belmont, CA: Wadsworth.</w:t>
      </w:r>
      <w:r w:rsidRPr="00232805">
        <w:rPr>
          <w:rFonts w:ascii="Aparajita" w:eastAsia="Times New Roman" w:hAnsi="Aparajita" w:cs="Aparajita"/>
          <w:kern w:val="0"/>
          <w:sz w:val="28"/>
          <w:szCs w:val="28"/>
          <w:lang w:eastAsia="en-GB"/>
          <w14:ligatures w14:val="none"/>
        </w:rPr>
        <w:br/>
      </w:r>
      <w:proofErr w:type="spellStart"/>
      <w:r w:rsidRPr="00232805">
        <w:rPr>
          <w:rFonts w:ascii="Aparajita" w:eastAsia="Times New Roman" w:hAnsi="Aparajita" w:cs="Aparajita"/>
          <w:kern w:val="0"/>
          <w:sz w:val="28"/>
          <w:szCs w:val="28"/>
          <w:lang w:eastAsia="en-GB"/>
          <w14:ligatures w14:val="none"/>
        </w:rPr>
        <w:t>Sayburn</w:t>
      </w:r>
      <w:proofErr w:type="spellEnd"/>
      <w:r w:rsidRPr="00232805">
        <w:rPr>
          <w:rFonts w:ascii="Aparajita" w:eastAsia="Times New Roman" w:hAnsi="Aparajita" w:cs="Aparajita"/>
          <w:kern w:val="0"/>
          <w:sz w:val="28"/>
          <w:szCs w:val="28"/>
          <w:lang w:eastAsia="en-GB"/>
          <w14:ligatures w14:val="none"/>
        </w:rPr>
        <w:t xml:space="preserve">, R. (2020). </w:t>
      </w:r>
      <w:r w:rsidRPr="00232805">
        <w:rPr>
          <w:rFonts w:ascii="Aparajita" w:eastAsia="Times New Roman" w:hAnsi="Aparajita" w:cs="Aparajita"/>
          <w:i/>
          <w:iCs/>
          <w:kern w:val="0"/>
          <w:sz w:val="28"/>
          <w:szCs w:val="28"/>
          <w:lang w:eastAsia="en-GB"/>
          <w14:ligatures w14:val="none"/>
        </w:rPr>
        <w:t>Wine Education: A Guide for Professionals</w:t>
      </w:r>
      <w:r w:rsidRPr="00232805">
        <w:rPr>
          <w:rFonts w:ascii="Aparajita" w:eastAsia="Times New Roman" w:hAnsi="Aparajita" w:cs="Aparajita"/>
          <w:kern w:val="0"/>
          <w:sz w:val="28"/>
          <w:szCs w:val="28"/>
          <w:lang w:eastAsia="en-GB"/>
          <w14:ligatures w14:val="none"/>
        </w:rPr>
        <w:t>. London: Court of Master Sommeliers.</w:t>
      </w:r>
      <w:r w:rsidRPr="00232805">
        <w:rPr>
          <w:rFonts w:ascii="Aparajita" w:eastAsia="Times New Roman" w:hAnsi="Aparajita" w:cs="Aparajita"/>
          <w:kern w:val="0"/>
          <w:sz w:val="28"/>
          <w:szCs w:val="28"/>
          <w:lang w:eastAsia="en-GB"/>
          <w14:ligatures w14:val="none"/>
        </w:rPr>
        <w:br/>
        <w:t xml:space="preserve">Schön, D. A. (1983). </w:t>
      </w:r>
      <w:r w:rsidRPr="00232805">
        <w:rPr>
          <w:rFonts w:ascii="Aparajita" w:eastAsia="Times New Roman" w:hAnsi="Aparajita" w:cs="Aparajita"/>
          <w:i/>
          <w:iCs/>
          <w:kern w:val="0"/>
          <w:sz w:val="28"/>
          <w:szCs w:val="28"/>
          <w:lang w:eastAsia="en-GB"/>
          <w14:ligatures w14:val="none"/>
        </w:rPr>
        <w:t>The Reflective Practitioner: How Professionals Think in Action</w:t>
      </w:r>
      <w:r w:rsidRPr="00232805">
        <w:rPr>
          <w:rFonts w:ascii="Aparajita" w:eastAsia="Times New Roman" w:hAnsi="Aparajita" w:cs="Aparajita"/>
          <w:kern w:val="0"/>
          <w:sz w:val="28"/>
          <w:szCs w:val="28"/>
          <w:lang w:eastAsia="en-GB"/>
          <w14:ligatures w14:val="none"/>
        </w:rPr>
        <w:t>. New York: Basic Books.</w:t>
      </w:r>
      <w:r w:rsidRPr="00232805">
        <w:rPr>
          <w:rFonts w:ascii="Aparajita" w:eastAsia="Times New Roman" w:hAnsi="Aparajita" w:cs="Aparajita"/>
          <w:kern w:val="0"/>
          <w:sz w:val="28"/>
          <w:szCs w:val="28"/>
          <w:lang w:eastAsia="en-GB"/>
          <w14:ligatures w14:val="none"/>
        </w:rPr>
        <w:br/>
        <w:t xml:space="preserve">Super, D. E. (1980). ‘A Lifespan, Life-Space Approach to Career Development.’ </w:t>
      </w:r>
      <w:r w:rsidRPr="00232805">
        <w:rPr>
          <w:rFonts w:ascii="Aparajita" w:eastAsia="Times New Roman" w:hAnsi="Aparajita" w:cs="Aparajita"/>
          <w:i/>
          <w:iCs/>
          <w:kern w:val="0"/>
          <w:sz w:val="28"/>
          <w:szCs w:val="28"/>
          <w:lang w:eastAsia="en-GB"/>
          <w14:ligatures w14:val="none"/>
        </w:rPr>
        <w:t xml:space="preserve">Journal of Vocational </w:t>
      </w:r>
      <w:proofErr w:type="spellStart"/>
      <w:r w:rsidRPr="00232805">
        <w:rPr>
          <w:rFonts w:ascii="Aparajita" w:eastAsia="Times New Roman" w:hAnsi="Aparajita" w:cs="Aparajita"/>
          <w:i/>
          <w:iCs/>
          <w:kern w:val="0"/>
          <w:sz w:val="28"/>
          <w:szCs w:val="28"/>
          <w:lang w:eastAsia="en-GB"/>
          <w14:ligatures w14:val="none"/>
        </w:rPr>
        <w:t>Behavior</w:t>
      </w:r>
      <w:proofErr w:type="spellEnd"/>
      <w:r w:rsidRPr="00232805">
        <w:rPr>
          <w:rFonts w:ascii="Aparajita" w:eastAsia="Times New Roman" w:hAnsi="Aparajita" w:cs="Aparajita"/>
          <w:kern w:val="0"/>
          <w:sz w:val="28"/>
          <w:szCs w:val="28"/>
          <w:lang w:eastAsia="en-GB"/>
          <w14:ligatures w14:val="none"/>
        </w:rPr>
        <w:t>, 16(3), pp. 282–298.</w:t>
      </w:r>
      <w:r w:rsidRPr="00232805">
        <w:rPr>
          <w:rFonts w:ascii="Aparajita" w:eastAsia="Times New Roman" w:hAnsi="Aparajita" w:cs="Aparajita"/>
          <w:kern w:val="0"/>
          <w:sz w:val="28"/>
          <w:szCs w:val="28"/>
          <w:lang w:eastAsia="en-GB"/>
          <w14:ligatures w14:val="none"/>
        </w:rPr>
        <w:br/>
        <w:t xml:space="preserve">Zeithaml, V. A., Bitner, M. J., and Gremler, D. D. (2020). </w:t>
      </w:r>
      <w:r w:rsidRPr="00232805">
        <w:rPr>
          <w:rFonts w:ascii="Aparajita" w:eastAsia="Times New Roman" w:hAnsi="Aparajita" w:cs="Aparajita"/>
          <w:i/>
          <w:iCs/>
          <w:kern w:val="0"/>
          <w:sz w:val="28"/>
          <w:szCs w:val="28"/>
          <w:lang w:eastAsia="en-GB"/>
          <w14:ligatures w14:val="none"/>
        </w:rPr>
        <w:t>Services Marketing: Integrating Customer Focus Across the Firm</w:t>
      </w:r>
      <w:r w:rsidRPr="00232805">
        <w:rPr>
          <w:rFonts w:ascii="Aparajita" w:eastAsia="Times New Roman" w:hAnsi="Aparajita" w:cs="Aparajita"/>
          <w:kern w:val="0"/>
          <w:sz w:val="28"/>
          <w:szCs w:val="28"/>
          <w:lang w:eastAsia="en-GB"/>
          <w14:ligatures w14:val="none"/>
        </w:rPr>
        <w:t>. 7th ed. New York: McGraw-Hill.</w:t>
      </w:r>
    </w:p>
    <w:p w14:paraId="3DEB3FEF" w14:textId="77777777" w:rsidR="002F7919" w:rsidRPr="00232805" w:rsidRDefault="002F7919">
      <w:pPr>
        <w:rPr>
          <w:rFonts w:ascii="Aparajita" w:hAnsi="Aparajita" w:cs="Aparajita"/>
          <w:sz w:val="28"/>
          <w:szCs w:val="28"/>
        </w:rPr>
      </w:pPr>
    </w:p>
    <w:sectPr w:rsidR="002F7919" w:rsidRPr="002328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9D3CCF" w14:textId="77777777" w:rsidR="006B7BAC" w:rsidRDefault="006B7BAC" w:rsidP="00C02B4F">
      <w:pPr>
        <w:spacing w:after="0" w:line="240" w:lineRule="auto"/>
      </w:pPr>
      <w:r>
        <w:separator/>
      </w:r>
    </w:p>
  </w:endnote>
  <w:endnote w:type="continuationSeparator" w:id="0">
    <w:p w14:paraId="7B709DF0" w14:textId="77777777" w:rsidR="006B7BAC" w:rsidRDefault="006B7BAC" w:rsidP="00C02B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arajita">
    <w:charset w:val="00"/>
    <w:family w:val="roman"/>
    <w:pitch w:val="variable"/>
    <w:sig w:usb0="00008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FEF2CA" w14:textId="77777777" w:rsidR="006B7BAC" w:rsidRDefault="006B7BAC" w:rsidP="00C02B4F">
      <w:pPr>
        <w:spacing w:after="0" w:line="240" w:lineRule="auto"/>
      </w:pPr>
      <w:r>
        <w:separator/>
      </w:r>
    </w:p>
  </w:footnote>
  <w:footnote w:type="continuationSeparator" w:id="0">
    <w:p w14:paraId="55D09A23" w14:textId="77777777" w:rsidR="006B7BAC" w:rsidRDefault="006B7BAC" w:rsidP="00C02B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299"/>
    <w:rsid w:val="00232805"/>
    <w:rsid w:val="002F7919"/>
    <w:rsid w:val="006B7BAC"/>
    <w:rsid w:val="00A61756"/>
    <w:rsid w:val="00C02B4F"/>
    <w:rsid w:val="00C224D2"/>
    <w:rsid w:val="00D11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622F8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2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12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12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12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12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12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12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12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12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2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12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12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12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12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12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12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12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1299"/>
    <w:rPr>
      <w:rFonts w:eastAsiaTheme="majorEastAsia" w:cstheme="majorBidi"/>
      <w:color w:val="272727" w:themeColor="text1" w:themeTint="D8"/>
    </w:rPr>
  </w:style>
  <w:style w:type="paragraph" w:styleId="Title">
    <w:name w:val="Title"/>
    <w:basedOn w:val="Normal"/>
    <w:next w:val="Normal"/>
    <w:link w:val="TitleChar"/>
    <w:uiPriority w:val="10"/>
    <w:qFormat/>
    <w:rsid w:val="00D112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12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12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12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1299"/>
    <w:pPr>
      <w:spacing w:before="160"/>
      <w:jc w:val="center"/>
    </w:pPr>
    <w:rPr>
      <w:i/>
      <w:iCs/>
      <w:color w:val="404040" w:themeColor="text1" w:themeTint="BF"/>
    </w:rPr>
  </w:style>
  <w:style w:type="character" w:customStyle="1" w:styleId="QuoteChar">
    <w:name w:val="Quote Char"/>
    <w:basedOn w:val="DefaultParagraphFont"/>
    <w:link w:val="Quote"/>
    <w:uiPriority w:val="29"/>
    <w:rsid w:val="00D11299"/>
    <w:rPr>
      <w:i/>
      <w:iCs/>
      <w:color w:val="404040" w:themeColor="text1" w:themeTint="BF"/>
    </w:rPr>
  </w:style>
  <w:style w:type="paragraph" w:styleId="ListParagraph">
    <w:name w:val="List Paragraph"/>
    <w:basedOn w:val="Normal"/>
    <w:uiPriority w:val="34"/>
    <w:qFormat/>
    <w:rsid w:val="00D11299"/>
    <w:pPr>
      <w:ind w:left="720"/>
      <w:contextualSpacing/>
    </w:pPr>
  </w:style>
  <w:style w:type="character" w:styleId="IntenseEmphasis">
    <w:name w:val="Intense Emphasis"/>
    <w:basedOn w:val="DefaultParagraphFont"/>
    <w:uiPriority w:val="21"/>
    <w:qFormat/>
    <w:rsid w:val="00D11299"/>
    <w:rPr>
      <w:i/>
      <w:iCs/>
      <w:color w:val="0F4761" w:themeColor="accent1" w:themeShade="BF"/>
    </w:rPr>
  </w:style>
  <w:style w:type="paragraph" w:styleId="IntenseQuote">
    <w:name w:val="Intense Quote"/>
    <w:basedOn w:val="Normal"/>
    <w:next w:val="Normal"/>
    <w:link w:val="IntenseQuoteChar"/>
    <w:uiPriority w:val="30"/>
    <w:qFormat/>
    <w:rsid w:val="00D112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1299"/>
    <w:rPr>
      <w:i/>
      <w:iCs/>
      <w:color w:val="0F4761" w:themeColor="accent1" w:themeShade="BF"/>
    </w:rPr>
  </w:style>
  <w:style w:type="character" w:styleId="IntenseReference">
    <w:name w:val="Intense Reference"/>
    <w:basedOn w:val="DefaultParagraphFont"/>
    <w:uiPriority w:val="32"/>
    <w:qFormat/>
    <w:rsid w:val="00D11299"/>
    <w:rPr>
      <w:b/>
      <w:bCs/>
      <w:smallCaps/>
      <w:color w:val="0F4761" w:themeColor="accent1" w:themeShade="BF"/>
      <w:spacing w:val="5"/>
    </w:rPr>
  </w:style>
  <w:style w:type="paragraph" w:styleId="NormalWeb">
    <w:name w:val="Normal (Web)"/>
    <w:basedOn w:val="Normal"/>
    <w:uiPriority w:val="99"/>
    <w:unhideWhenUsed/>
    <w:rsid w:val="00D1129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C02B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B4F"/>
  </w:style>
  <w:style w:type="paragraph" w:styleId="Footer">
    <w:name w:val="footer"/>
    <w:basedOn w:val="Normal"/>
    <w:link w:val="FooterChar"/>
    <w:uiPriority w:val="99"/>
    <w:unhideWhenUsed/>
    <w:rsid w:val="00C02B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B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330100">
      <w:bodyDiv w:val="1"/>
      <w:marLeft w:val="0"/>
      <w:marRight w:val="0"/>
      <w:marTop w:val="0"/>
      <w:marBottom w:val="0"/>
      <w:divBdr>
        <w:top w:val="none" w:sz="0" w:space="0" w:color="auto"/>
        <w:left w:val="none" w:sz="0" w:space="0" w:color="auto"/>
        <w:bottom w:val="none" w:sz="0" w:space="0" w:color="auto"/>
        <w:right w:val="none" w:sz="0" w:space="0" w:color="auto"/>
      </w:divBdr>
    </w:div>
    <w:div w:id="2009481813">
      <w:bodyDiv w:val="1"/>
      <w:marLeft w:val="0"/>
      <w:marRight w:val="0"/>
      <w:marTop w:val="0"/>
      <w:marBottom w:val="0"/>
      <w:divBdr>
        <w:top w:val="none" w:sz="0" w:space="0" w:color="auto"/>
        <w:left w:val="none" w:sz="0" w:space="0" w:color="auto"/>
        <w:bottom w:val="none" w:sz="0" w:space="0" w:color="auto"/>
        <w:right w:val="none" w:sz="0" w:space="0" w:color="auto"/>
      </w:divBdr>
    </w:div>
    <w:div w:id="2137479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2467</Words>
  <Characters>14064</Characters>
  <Application>Microsoft Office Word</Application>
  <DocSecurity>0</DocSecurity>
  <Lines>117</Lines>
  <Paragraphs>32</Paragraphs>
  <ScaleCrop>false</ScaleCrop>
  <Company/>
  <LinksUpToDate>false</LinksUpToDate>
  <CharactersWithSpaces>16499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2025-07-17T10:54:00Z</dcterms:created>
  <dcterms:modified xsi:type="dcterms:W3CDTF">2025-07-17T10:54:00Z</dcterms:modified>
</cp:coreProperties>
</file>