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2">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3">
      <w:pPr>
        <w:spacing w:after="120" w:before="120" w:line="360" w:lineRule="auto"/>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4">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Developing Leadership and Management</w:t>
      </w:r>
    </w:p>
    <w:p w:rsidR="00000000" w:rsidDel="00000000" w:rsidP="00000000" w:rsidRDefault="00000000" w:rsidRPr="00000000" w14:paraId="00000005">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Fonts w:ascii="Times New Roman" w:cs="Times New Roman" w:eastAsia="Times New Roman" w:hAnsi="Times New Roman"/>
          <w:b w:val="1"/>
          <w:color w:val="000000"/>
          <w:sz w:val="32"/>
          <w:szCs w:val="32"/>
          <w:rtl w:val="0"/>
        </w:rPr>
        <w:t xml:space="preserve">BMBM5012 Principles and Concepts of Finance</w:t>
      </w:r>
    </w:p>
    <w:p w:rsidR="00000000" w:rsidDel="00000000" w:rsidP="00000000" w:rsidRDefault="00000000" w:rsidRPr="00000000" w14:paraId="00000006">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7">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8">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9">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A">
      <w:pPr>
        <w:spacing w:after="120" w:before="120" w:line="360" w:lineRule="auto"/>
        <w:jc w:val="center"/>
        <w:rPr>
          <w:rFonts w:ascii="Times New Roman" w:cs="Times New Roman" w:eastAsia="Times New Roman" w:hAnsi="Times New Roman"/>
          <w:b w:val="1"/>
          <w:color w:val="000000"/>
          <w:sz w:val="32"/>
          <w:szCs w:val="32"/>
        </w:rPr>
      </w:pPr>
      <w:r w:rsidDel="00000000" w:rsidR="00000000" w:rsidRPr="00000000">
        <w:rPr>
          <w:rtl w:val="0"/>
        </w:rPr>
      </w:r>
    </w:p>
    <w:p w:rsidR="00000000" w:rsidDel="00000000" w:rsidP="00000000" w:rsidRDefault="00000000" w:rsidRPr="00000000" w14:paraId="0000000B">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Student Name: Samariteanca Alina Drosu</w:t>
      </w:r>
    </w:p>
    <w:p w:rsidR="00000000" w:rsidDel="00000000" w:rsidP="00000000" w:rsidRDefault="00000000" w:rsidRPr="00000000" w14:paraId="0000000C">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Student ID: 2234615</w:t>
      </w:r>
    </w:p>
    <w:p w:rsidR="00000000" w:rsidDel="00000000" w:rsidP="00000000" w:rsidRDefault="00000000" w:rsidRPr="00000000" w14:paraId="0000000D">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tl w:val="0"/>
        </w:rPr>
      </w:r>
    </w:p>
    <w:p w:rsidR="00000000" w:rsidDel="00000000" w:rsidP="00000000" w:rsidRDefault="00000000" w:rsidRPr="00000000" w14:paraId="0000000E">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0F">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Executive Summary</w:t>
      </w:r>
    </w:p>
    <w:p w:rsidR="00000000" w:rsidDel="00000000" w:rsidP="00000000" w:rsidRDefault="00000000" w:rsidRPr="00000000" w14:paraId="0000001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potential loopholes of traditional budgeting have been underlined in this study highlighting issues such as inflexibility, time-consumption, slow response time, rigidity, and many others. Moreover, Blue Thread Ltd has been suggested to use zero-based budgeting or activity-based budgeting instead of the traditional budgeting system to foster operational effectiveness. Communication is important for budget and unexpected support to management by motivating employees. For effective performance evaluation techniques budgeting approach supports top management in achieving realistic and clear goals to maintain suitable accounting methods. The cash budget technique helps to manage effective resource allocation techniques while six months budget for the company demonstrate cash inflows and outflows to calculate closing cash balance. Preparation of cash budget need identify potential cash shortages gives a better understanding address cash flow delays and keep finances under control.     </w:t>
      </w:r>
    </w:p>
    <w:p w:rsidR="00000000" w:rsidDel="00000000" w:rsidP="00000000" w:rsidRDefault="00000000" w:rsidRPr="00000000" w14:paraId="00000011">
      <w:pPr>
        <w:spacing w:after="120" w:before="120" w:line="360" w:lineRule="auto"/>
        <w:rPr>
          <w:rFonts w:ascii="Times New Roman" w:cs="Times New Roman" w:eastAsia="Times New Roman" w:hAnsi="Times New Roman"/>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r w:rsidDel="00000000" w:rsidR="00000000" w:rsidRPr="00000000">
            <w:fldChar w:fldCharType="begin"/>
            <w:instrText xml:space="preserve"> TOC \h \u \z \t "Heading 1,1,Heading 2,2,Heading 3,3,"</w:instrText>
            <w:fldChar w:fldCharType="separate"/>
          </w:r>
          <w:hyperlink w:anchor="_sx1vkfe72db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Introduction</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1q7cg5fhn8k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Main Analysis</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fjs9vtcmwboo">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a) Budget</w:t>
              <w:tab/>
              <w:t xml:space="preserve">4</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5zc96sk60cp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b) Problems with calculations and the way to address them</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it7wg3yinze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c) Budget and budgetary control within an organisation</w:t>
              <w:tab/>
              <w:t xml:space="preserve">11</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22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jsxgvbvls102">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d) Critical evaluation of Traditional Approach to budgeting in the context of a rapidly changing business environment</w:t>
              <w:tab/>
              <w:t xml:space="preserve">13</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oxf1w3nn75q">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Conclusion</w:t>
              <w:tab/>
              <w:t xml:space="preserve">16</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20" w:before="12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rPr>
          </w:pPr>
          <w:hyperlink w:anchor="_5okuusvtx0py">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rtl w:val="0"/>
              </w:rPr>
              <w:t xml:space="preserve">Reference list</w:t>
              <w:tab/>
              <w:t xml:space="preserve">17</w:t>
            </w:r>
          </w:hyperlink>
          <w:r w:rsidDel="00000000" w:rsidR="00000000" w:rsidRPr="00000000">
            <w:rPr>
              <w:rtl w:val="0"/>
            </w:rPr>
          </w:r>
        </w:p>
        <w:p w:rsidR="00000000" w:rsidDel="00000000" w:rsidP="00000000" w:rsidRDefault="00000000" w:rsidRPr="00000000" w14:paraId="0000001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b w:val="1"/>
          <w:color w:val="000000"/>
          <w:sz w:val="24"/>
          <w:szCs w:val="24"/>
          <w:rtl w:val="0"/>
        </w:rPr>
        <w:t xml:space="preserve"> </w:t>
      </w:r>
    </w:p>
    <w:p w:rsidR="00000000" w:rsidDel="00000000" w:rsidP="00000000" w:rsidRDefault="00000000" w:rsidRPr="00000000" w14:paraId="0000001D">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spacing w:after="120" w:before="120" w:lineRule="auto"/>
        <w:rPr>
          <w:color w:val="000000"/>
        </w:rPr>
      </w:pPr>
      <w:bookmarkStart w:colFirst="0" w:colLast="0" w:name="_sx1vkfe72dbg" w:id="0"/>
      <w:bookmarkEnd w:id="0"/>
      <w:r w:rsidDel="00000000" w:rsidR="00000000" w:rsidRPr="00000000">
        <w:rPr>
          <w:color w:val="000000"/>
          <w:rtl w:val="0"/>
        </w:rPr>
        <w:t xml:space="preserve">Introduction   </w:t>
      </w:r>
    </w:p>
    <w:p w:rsidR="00000000" w:rsidDel="00000000" w:rsidP="00000000" w:rsidRDefault="00000000" w:rsidRPr="00000000" w14:paraId="0000001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cash budget is a financial tool that forecasts a business’s cash inflows and outflows over a specific time to ensure sufficient funds are available to reduce long-term business obligations. The primary aim of the study is to analyse the current financial performance of Blue Thread Ltd by preparing a stock budget, cash budget, and budget profit and loss account by addressing the primary problems within the business. The key components of budgeting techniques are to analyse current spending and income by demonstrating cash inflows and outflows and make necessary arrangements by outlining loans of credit (Drury, 2021). Additionally, to reduce liquidity problems and complexity in cash management organisations improve cash flow management to achieve maximum investment return to a financial year, helping to attract numerous investors in the business. A business might use cash flow management to determine and cover payroll expenses, utilities, and rent and compute preliminary capital expenditure.      </w:t>
      </w:r>
    </w:p>
    <w:p w:rsidR="00000000" w:rsidDel="00000000" w:rsidP="00000000" w:rsidRDefault="00000000" w:rsidRPr="00000000" w14:paraId="00000020">
      <w:pPr>
        <w:pStyle w:val="Heading1"/>
        <w:spacing w:after="120" w:before="120" w:lineRule="auto"/>
        <w:rPr>
          <w:color w:val="000000"/>
        </w:rPr>
      </w:pPr>
      <w:bookmarkStart w:colFirst="0" w:colLast="0" w:name="_1q7cg5fhn8k4" w:id="1"/>
      <w:bookmarkEnd w:id="1"/>
      <w:r w:rsidDel="00000000" w:rsidR="00000000" w:rsidRPr="00000000">
        <w:rPr>
          <w:color w:val="000000"/>
          <w:rtl w:val="0"/>
        </w:rPr>
        <w:t xml:space="preserve">Main Analysis    </w:t>
      </w:r>
    </w:p>
    <w:p w:rsidR="00000000" w:rsidDel="00000000" w:rsidP="00000000" w:rsidRDefault="00000000" w:rsidRPr="00000000" w14:paraId="00000021">
      <w:pPr>
        <w:pStyle w:val="Heading2"/>
        <w:spacing w:after="120" w:before="120" w:lineRule="auto"/>
        <w:rPr>
          <w:color w:val="000000"/>
        </w:rPr>
      </w:pPr>
      <w:bookmarkStart w:colFirst="0" w:colLast="0" w:name="_fjs9vtcmwboo" w:id="2"/>
      <w:bookmarkEnd w:id="2"/>
      <w:r w:rsidDel="00000000" w:rsidR="00000000" w:rsidRPr="00000000">
        <w:rPr>
          <w:color w:val="000000"/>
          <w:rtl w:val="0"/>
        </w:rPr>
        <w:t xml:space="preserve">a) Budget       </w:t>
      </w:r>
    </w:p>
    <w:p w:rsidR="00000000" w:rsidDel="00000000" w:rsidP="00000000" w:rsidRDefault="00000000" w:rsidRPr="00000000" w14:paraId="00000022">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Assumptions for Budget Preparation</w:t>
      </w:r>
    </w:p>
    <w:p w:rsidR="00000000" w:rsidDel="00000000" w:rsidP="00000000" w:rsidRDefault="00000000" w:rsidRPr="00000000" w14:paraId="0000002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Opening overdraft on June 1: -£25.000</w:t>
      </w:r>
    </w:p>
    <w:p w:rsidR="00000000" w:rsidDel="00000000" w:rsidP="00000000" w:rsidRDefault="00000000" w:rsidRPr="00000000" w14:paraId="0000002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Minimum stock level: £40.000</w:t>
      </w:r>
    </w:p>
    <w:p w:rsidR="00000000" w:rsidDel="00000000" w:rsidP="00000000" w:rsidRDefault="00000000" w:rsidRPr="00000000" w14:paraId="0000002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Gross profit margin: 35%</w:t>
      </w:r>
    </w:p>
    <w:p w:rsidR="00000000" w:rsidDel="00000000" w:rsidP="00000000" w:rsidRDefault="00000000" w:rsidRPr="00000000" w14:paraId="0000002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Credit card payments: 30% of sales, 3% fee</w:t>
      </w:r>
    </w:p>
    <w:p w:rsidR="00000000" w:rsidDel="00000000" w:rsidP="00000000" w:rsidRDefault="00000000" w:rsidRPr="00000000" w14:paraId="0000002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One month credit on stock purchases</w:t>
      </w:r>
    </w:p>
    <w:p w:rsidR="00000000" w:rsidDel="00000000" w:rsidP="00000000" w:rsidRDefault="00000000" w:rsidRPr="00000000" w14:paraId="0000002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Administration expenses are paid immediately</w:t>
      </w:r>
    </w:p>
    <w:p w:rsidR="00000000" w:rsidDel="00000000" w:rsidP="00000000" w:rsidRDefault="00000000" w:rsidRPr="00000000" w14:paraId="0000002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Depreciation is charged at £6000 per month </w:t>
      </w:r>
    </w:p>
    <w:p w:rsidR="00000000" w:rsidDel="00000000" w:rsidP="00000000" w:rsidRDefault="00000000" w:rsidRPr="00000000" w14:paraId="0000002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Selling expenses are paid in the following month</w:t>
      </w:r>
    </w:p>
    <w:p w:rsidR="00000000" w:rsidDel="00000000" w:rsidP="00000000" w:rsidRDefault="00000000" w:rsidRPr="00000000" w14:paraId="0000002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Loan repayment: £4000 monthly (£1000 interest, £3000 principal)</w:t>
      </w:r>
    </w:p>
    <w:p w:rsidR="00000000" w:rsidDel="00000000" w:rsidP="00000000" w:rsidRDefault="00000000" w:rsidRPr="00000000" w14:paraId="0000002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Tax and refurbishment costs are taken as provided </w:t>
      </w:r>
    </w:p>
    <w:p w:rsidR="00000000" w:rsidDel="00000000" w:rsidP="00000000" w:rsidRDefault="00000000" w:rsidRPr="00000000" w14:paraId="0000002D">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1. Stock Budget and Cash Budget     </w:t>
      </w:r>
    </w:p>
    <w:p w:rsidR="00000000" w:rsidDel="00000000" w:rsidP="00000000" w:rsidRDefault="00000000" w:rsidRPr="00000000" w14:paraId="0000002E">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1: Stock Budget for Blue Thread Ltd</w:t>
      </w:r>
    </w:p>
    <w:tbl>
      <w:tblPr>
        <w:tblStyle w:val="Table1"/>
        <w:tblW w:w="8970.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1260"/>
        <w:gridCol w:w="1740"/>
        <w:gridCol w:w="1260"/>
        <w:gridCol w:w="3075"/>
        <w:gridCol w:w="1635"/>
        <w:tblGridChange w:id="0">
          <w:tblGrid>
            <w:gridCol w:w="1260"/>
            <w:gridCol w:w="1740"/>
            <w:gridCol w:w="1260"/>
            <w:gridCol w:w="3075"/>
            <w:gridCol w:w="1635"/>
          </w:tblGrid>
        </w:tblGridChange>
      </w:tblGrid>
      <w:tr>
        <w:trPr>
          <w:cantSplit w:val="0"/>
          <w:trHeight w:val="375" w:hRule="atLeast"/>
          <w:tblHeader w:val="0"/>
        </w:trPr>
        <w:tc>
          <w:tcPr>
            <w:gridSpan w:val="5"/>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2F">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Stock Budget (June-November)</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4">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Months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5">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Opening Stock</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6">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Purchases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7">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Cost of Sales (65% of Sales)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8">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Closing Stock</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9">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A">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B">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C">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D">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June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3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July</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156</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August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136.5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137.5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September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137.5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4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160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154.5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October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154.5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149.5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November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162.5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5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252.5</w:t>
            </w:r>
          </w:p>
        </w:tc>
      </w:tr>
    </w:tbl>
    <w:p w:rsidR="00000000" w:rsidDel="00000000" w:rsidP="00000000" w:rsidRDefault="00000000" w:rsidRPr="00000000" w14:paraId="0000005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context of the stock budget demonstrates effective financial planning and helps feasible decision-making to avoid complexity. Effective financial planning helps to identify complexities and align with investment decisions to achieve long-term financial goals and objectives (Seal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2018). The stock budget calculated for Blue Thread Ltd from June to November (six months) by incorporating opening stock, purchases closing stock and cost of sales which is almost 65% of sales volume. For the six months opening stock is calculated as £40.000 for June and almost £205 has been calculated for the last month (November). </w:t>
      </w:r>
    </w:p>
    <w:p w:rsidR="00000000" w:rsidDel="00000000" w:rsidP="00000000" w:rsidRDefault="00000000" w:rsidRPr="00000000" w14:paraId="0000005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stock budget is considered an effective tool for efficiently managing investment decisions to manage income and expenses. As opined by Horner (2020), individual investors determine investment decisions to maximise primary return to achieve targeted goals. Informed decision-making helps to manage major difficulties by allocating a specific portion of the stock portfolio and investing in an effective financial situation to get maximum return. The cost of sales for the company is given as 65% of sales revenue while opening month COGS are calculated as £130.000 respectively. The purchase value given by the company is £150.000 respectively while closing stock is calculated by opening stock, purchases, and cost of sales for the given period.      </w:t>
      </w:r>
    </w:p>
    <w:p w:rsidR="00000000" w:rsidDel="00000000" w:rsidP="00000000" w:rsidRDefault="00000000" w:rsidRPr="00000000" w14:paraId="0000005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stock budget helps investors identify the maximum returns for a specific period to achieve effective investment goals. A stock budget sets investment goals by defining investment allocations to manage and track performance by adjusting business requirements to manage a specific amount of stock purchasing (Kolitz, 2017). For September cost of sales calculated as £143.000 while the sales value considered as almost £230.000 respectively. The purchase rate is also given as £150.000 for the first month (June) and the closing balance is calculated as the opening balance closing balance of the cost of sales to track effective financial resources.              </w:t>
      </w:r>
    </w:p>
    <w:p w:rsidR="00000000" w:rsidDel="00000000" w:rsidP="00000000" w:rsidRDefault="00000000" w:rsidRPr="00000000" w14:paraId="0000005F">
      <w:pPr>
        <w:spacing w:after="120" w:before="12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2: Cash Budget for Blue Thread Ltd</w:t>
      </w:r>
      <w:r w:rsidDel="00000000" w:rsidR="00000000" w:rsidRPr="00000000">
        <w:rPr>
          <w:rtl w:val="0"/>
        </w:rPr>
      </w:r>
    </w:p>
    <w:tbl>
      <w:tblPr>
        <w:tblStyle w:val="Table2"/>
        <w:tblW w:w="886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2565"/>
        <w:gridCol w:w="765"/>
        <w:gridCol w:w="885"/>
        <w:gridCol w:w="960"/>
        <w:gridCol w:w="1335"/>
        <w:gridCol w:w="1065"/>
        <w:gridCol w:w="1290"/>
        <w:tblGridChange w:id="0">
          <w:tblGrid>
            <w:gridCol w:w="2565"/>
            <w:gridCol w:w="765"/>
            <w:gridCol w:w="885"/>
            <w:gridCol w:w="960"/>
            <w:gridCol w:w="1335"/>
            <w:gridCol w:w="1065"/>
            <w:gridCol w:w="1290"/>
          </w:tblGrid>
        </w:tblGridChange>
      </w:tblGrid>
      <w:tr>
        <w:trPr>
          <w:cantSplit w:val="0"/>
          <w:trHeight w:val="375" w:hRule="atLeast"/>
          <w:tblHeader w:val="0"/>
        </w:trPr>
        <w:tc>
          <w:tcPr>
            <w:gridSpan w:val="7"/>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60">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Cash Budget (June-November)</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7">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Months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8">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June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9">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July</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A">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August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B">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September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C">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October</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D">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November</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E">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6F">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0">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1">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2">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3">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4">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£000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5">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Cash Inflows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 Income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240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7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250</w:t>
            </w:r>
          </w:p>
        </w:tc>
      </w:tr>
      <w:tr>
        <w:trPr>
          <w:cantSplit w:val="0"/>
          <w:trHeight w:val="73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Credit Card Fee (3% of 30% Sales)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2.16</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1.89</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2.07</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Net Sales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198.2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237.84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208.11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218.02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8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227.93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247.75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1">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 Cash Inflows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198.2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237.84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208.11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218.02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227.93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247.75</w:t>
            </w:r>
          </w:p>
        </w:tc>
      </w:tr>
      <w:tr>
        <w:trPr>
          <w:cantSplit w:val="0"/>
          <w:trHeight w:val="73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Purchases (1 month credit)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170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180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160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9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Admin Expenses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26</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27</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28</w:t>
            </w:r>
          </w:p>
        </w:tc>
      </w:tr>
      <w:tr>
        <w:trPr>
          <w:cantSplit w:val="0"/>
          <w:trHeight w:val="73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Selling Expenses (1 month delay)</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7</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Tax Payments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A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Interest Payments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Loan Principal</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B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0C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Store Refurbishment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12</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 </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9">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Total Outflows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214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194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245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200</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C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238</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0">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Cash Flows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43.84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-36.89</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-9.98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27.93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9.75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tcPr>
          <w:p w:rsidR="00000000" w:rsidDel="00000000" w:rsidP="00000000" w:rsidRDefault="00000000" w:rsidRPr="00000000" w14:paraId="000000D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Opening Balance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-33.85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-43.83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-15.9</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E">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Closing Balance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D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-40.8</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3.04</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-33.85</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-43.83</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-15.9</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-6.15</w:t>
            </w:r>
          </w:p>
        </w:tc>
      </w:tr>
    </w:tbl>
    <w:p w:rsidR="00000000" w:rsidDel="00000000" w:rsidP="00000000" w:rsidRDefault="00000000" w:rsidRPr="00000000" w14:paraId="000000E5">
      <w:pPr>
        <w:spacing w:after="120" w:before="120" w:line="36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E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cash budget determines cash flow flexibility and indicates efficient resource usage by calculating the beginning cash balance to a specific time. The cash budget also prepared from June to November while sales income considered as £200.000 while credit sales were calculated as 3% of 30% sales. As opined by </w:t>
      </w:r>
      <w:r w:rsidDel="00000000" w:rsidR="00000000" w:rsidRPr="00000000">
        <w:rPr>
          <w:rFonts w:ascii="Times New Roman" w:cs="Times New Roman" w:eastAsia="Times New Roman" w:hAnsi="Times New Roman"/>
          <w:color w:val="000000"/>
          <w:sz w:val="24"/>
          <w:szCs w:val="24"/>
          <w:highlight w:val="white"/>
          <w:rtl w:val="0"/>
        </w:rPr>
        <w:t xml:space="preserve">Udoh (2022),</w:t>
      </w:r>
      <w:r w:rsidDel="00000000" w:rsidR="00000000" w:rsidRPr="00000000">
        <w:rPr>
          <w:rFonts w:ascii="Times New Roman" w:cs="Times New Roman" w:eastAsia="Times New Roman" w:hAnsi="Times New Roman"/>
          <w:color w:val="000000"/>
          <w:sz w:val="24"/>
          <w:szCs w:val="24"/>
          <w:rtl w:val="0"/>
        </w:rPr>
        <w:t xml:space="preserve"> the cash budget represents total cash inflows and outflows to calculate the closing cash balance for the suggested period. Total cash inflows were calculated by including sales income and credit sales while purchase credit for the 1 month as £170.000 respectively for June. </w:t>
      </w:r>
    </w:p>
    <w:p w:rsidR="00000000" w:rsidDel="00000000" w:rsidP="00000000" w:rsidRDefault="00000000" w:rsidRPr="00000000" w14:paraId="000000E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delay of 1 month noticed by selling expenses while loan principals and store refurbishment were included in calculating total cash outflows. Unfavourable balance calculated by net cash flows from June to September and favourable balance incorporated by October and November. The closing balance also incorporates net cash flows and the opening balance as all balances are negatively calculated except July. The potential cash budget helps to manage business expenses to make financial inclusion for better decision-making (Adjei-Boateng, 2022). </w:t>
      </w:r>
    </w:p>
    <w:p w:rsidR="00000000" w:rsidDel="00000000" w:rsidP="00000000" w:rsidRDefault="00000000" w:rsidRPr="00000000" w14:paraId="000000E8">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2. Budgeted Profit &amp; Loss Account</w:t>
      </w:r>
    </w:p>
    <w:p w:rsidR="00000000" w:rsidDel="00000000" w:rsidP="00000000" w:rsidRDefault="00000000" w:rsidRPr="00000000" w14:paraId="000000E9">
      <w:pPr>
        <w:spacing w:after="120" w:before="120" w:line="360" w:lineRule="auto"/>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Table 3: Budgeted Profit and Loss Account for Blue Thread Ltd</w:t>
      </w:r>
      <w:r w:rsidDel="00000000" w:rsidR="00000000" w:rsidRPr="00000000">
        <w:rPr>
          <w:rtl w:val="0"/>
        </w:rPr>
      </w:r>
    </w:p>
    <w:tbl>
      <w:tblPr>
        <w:tblStyle w:val="Table3"/>
        <w:tblW w:w="8895.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7125"/>
        <w:gridCol w:w="1770"/>
        <w:tblGridChange w:id="0">
          <w:tblGrid>
            <w:gridCol w:w="7125"/>
            <w:gridCol w:w="1770"/>
          </w:tblGrid>
        </w:tblGridChange>
      </w:tblGrid>
      <w:tr>
        <w:trPr>
          <w:cantSplit w:val="0"/>
          <w:trHeight w:val="375" w:hRule="atLeast"/>
          <w:tblHeader w:val="0"/>
        </w:trPr>
        <w:tc>
          <w:tcPr>
            <w:gridSpan w:val="2"/>
            <w:tcBorders>
              <w:top w:color="000000" w:space="0" w:sz="6" w:val="single"/>
              <w:left w:color="000000" w:space="0" w:sz="6" w:val="single"/>
              <w:bottom w:color="000000" w:space="0" w:sz="6" w:val="single"/>
              <w:right w:color="000000" w:space="0" w:sz="6" w:val="single"/>
            </w:tcBorders>
            <w:tcMar>
              <w:top w:w="0.0" w:type="dxa"/>
              <w:left w:w="100.0" w:type="dxa"/>
              <w:bottom w:w="0.0" w:type="dxa"/>
              <w:right w:w="100.0" w:type="dxa"/>
            </w:tcMar>
            <w:vAlign w:val="bottom"/>
          </w:tcPr>
          <w:p w:rsidR="00000000" w:rsidDel="00000000" w:rsidP="00000000" w:rsidRDefault="00000000" w:rsidRPr="00000000" w14:paraId="000000EA">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Budgeted Profit and Loss Account</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C">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Description</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D">
            <w:pPr>
              <w:spacing w:after="120" w:before="120" w:line="360" w:lineRule="auto"/>
              <w:jc w:val="center"/>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Amount (£000)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Sales Income</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E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1350</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Cost of Sales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877.5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2">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Gross Profit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472.5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Admin Expenses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153</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Selling Expenses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41</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Depreciation</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36</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Interest Payments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6</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C">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Profit Before Tax</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236.5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Tax Payments</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0F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15</w:t>
            </w:r>
          </w:p>
        </w:tc>
      </w:tr>
      <w:tr>
        <w:trPr>
          <w:cantSplit w:val="0"/>
          <w:trHeight w:val="375" w:hRule="atLeast"/>
          <w:tblHeader w:val="0"/>
        </w:trPr>
        <w:tc>
          <w:tcPr>
            <w:tcBorders>
              <w:top w:color="000000" w:space="0" w:sz="0" w:val="nil"/>
              <w:left w:color="000000" w:space="0" w:sz="6" w:val="single"/>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100">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Net Profit</w:t>
            </w:r>
          </w:p>
        </w:tc>
        <w:tc>
          <w:tcPr>
            <w:tcBorders>
              <w:top w:color="000000" w:space="0" w:sz="0" w:val="nil"/>
              <w:left w:color="000000" w:space="0" w:sz="0" w:val="nil"/>
              <w:bottom w:color="000000" w:space="0" w:sz="6" w:val="single"/>
              <w:right w:color="000000" w:space="0" w:sz="6" w:val="single"/>
            </w:tcBorders>
            <w:shd w:fill="auto" w:val="clear"/>
            <w:tcMar>
              <w:top w:w="0.0" w:type="dxa"/>
              <w:left w:w="100.0" w:type="dxa"/>
              <w:bottom w:w="0.0" w:type="dxa"/>
              <w:right w:w="100.0" w:type="dxa"/>
            </w:tcMar>
            <w:vAlign w:val="bottom"/>
          </w:tcPr>
          <w:p w:rsidR="00000000" w:rsidDel="00000000" w:rsidP="00000000" w:rsidRDefault="00000000" w:rsidRPr="00000000" w14:paraId="0000010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221.5</w:t>
            </w:r>
          </w:p>
        </w:tc>
      </w:tr>
    </w:tbl>
    <w:p w:rsidR="00000000" w:rsidDel="00000000" w:rsidP="00000000" w:rsidRDefault="00000000" w:rsidRPr="00000000" w14:paraId="0000010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budgeted profit and loss account comprehends budgeted income expenses and effective financial projections to outline company income and expenses during a specific period. A budgeted income statement is considered an effective key component to the ultimate identification of net income or loss for the specific quarter to effectively allocate business resources for emergency funds. A profit budget makes strategic planning to achieve planned financial goals through effective performance measurement techniques (Baker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2023). The sales income and cost of sales are necessary to calculate the gross profit margin as £473.000 as sales income minus the cost of sales.  </w:t>
      </w:r>
    </w:p>
    <w:p w:rsidR="00000000" w:rsidDel="00000000" w:rsidP="00000000" w:rsidRDefault="00000000" w:rsidRPr="00000000" w14:paraId="0000010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net profit before tax is calculated as £273.000 and tax payments also demonstrate as £15.000 while the net profit has been calculated as £222.000. Effective financial reporting financial reporting relies on profit and loss budgets to assess a company’s current financial health. In order to, reviewing strategic plan helps to align with the entire performance and find out current trend patterns to estimate the cost (Skrok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2020). Subtracting expenditure is crucial to calculate profitability from revenue to arrive at net income for a business. A P&amp;L budget statement adjustment and review of financial performance regularly identify the actual changing position of the current market.                 </w:t>
      </w:r>
    </w:p>
    <w:p w:rsidR="00000000" w:rsidDel="00000000" w:rsidP="00000000" w:rsidRDefault="00000000" w:rsidRPr="00000000" w14:paraId="00000104">
      <w:pPr>
        <w:pStyle w:val="Heading2"/>
        <w:spacing w:after="120" w:before="120" w:lineRule="auto"/>
        <w:rPr>
          <w:color w:val="000000"/>
        </w:rPr>
      </w:pPr>
      <w:bookmarkStart w:colFirst="0" w:colLast="0" w:name="_5zc96sk60cp2" w:id="3"/>
      <w:bookmarkEnd w:id="3"/>
      <w:r w:rsidDel="00000000" w:rsidR="00000000" w:rsidRPr="00000000">
        <w:rPr>
          <w:color w:val="000000"/>
          <w:rtl w:val="0"/>
        </w:rPr>
        <w:t xml:space="preserve">b) Problems with calculations and the way to address them  </w:t>
      </w:r>
    </w:p>
    <w:p w:rsidR="00000000" w:rsidDel="00000000" w:rsidP="00000000" w:rsidRDefault="00000000" w:rsidRPr="00000000" w14:paraId="00000105">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Overestimating inflows</w:t>
      </w:r>
    </w:p>
    <w:p w:rsidR="00000000" w:rsidDel="00000000" w:rsidP="00000000" w:rsidRDefault="00000000" w:rsidRPr="00000000" w14:paraId="0000010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Unrealistic expectations and a cash shortage are considered major problems faced during the calculation and unrealistic expectations incorporate over-committing resources. A cash budget helps to improve future investment decisions but that sometimes difficult to identify the primary problems of a forecasted cash budget and that does not incorporate long-term business ability. The overestimated cash inflows are indicated by missed opportunities, overspending, and incorporating potential cash shortages that create cash shortfall at the end of the financial year (Okeke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2024). Overestimate cash inflow incorporates profitability minimisation and overcoming resources can set a realistic problem in business.             </w:t>
      </w:r>
    </w:p>
    <w:p w:rsidR="00000000" w:rsidDel="00000000" w:rsidP="00000000" w:rsidRDefault="00000000" w:rsidRPr="00000000" w14:paraId="00000107">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Dependence on accurate estimates</w:t>
      </w:r>
    </w:p>
    <w:p w:rsidR="00000000" w:rsidDel="00000000" w:rsidP="00000000" w:rsidRDefault="00000000" w:rsidRPr="00000000" w14:paraId="0000010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Inaccurate projections led by the poor financial decision-making process and that includes potential cash shortage in business. The calculated budget relies on forecasting future cash payments and receipts both are inherently estimates. The negative impact on business performance demonstrated by overestimated sales, missed opportunities and underestimated expenses that reduce potential growth opportunities and lead to inaccurate estimation (Musiega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2023). The complexity of sales projections does not accurately predict current market trends and lower promotional activity and seasonality can negatively impact organisational challenges.      </w:t>
      </w:r>
    </w:p>
    <w:p w:rsidR="00000000" w:rsidDel="00000000" w:rsidP="00000000" w:rsidRDefault="00000000" w:rsidRPr="00000000" w14:paraId="00000109">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Does not allow unexpected circumstances </w:t>
      </w:r>
    </w:p>
    <w:p w:rsidR="00000000" w:rsidDel="00000000" w:rsidP="00000000" w:rsidRDefault="00000000" w:rsidRPr="00000000" w14:paraId="0000010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calculated cash budget only incorporates financial considerations and unforeseen outcomes can be incorporated for the nonfinancial circumstances while the calculated budget does not incorporate unexpected events. The negative opening balance incorporates inefficient operational performance and primary opportunity to prepare in advance. As stated by </w:t>
      </w:r>
      <w:r w:rsidDel="00000000" w:rsidR="00000000" w:rsidRPr="00000000">
        <w:rPr>
          <w:rFonts w:ascii="Times New Roman" w:cs="Times New Roman" w:eastAsia="Times New Roman" w:hAnsi="Times New Roman"/>
          <w:color w:val="000000"/>
          <w:sz w:val="24"/>
          <w:szCs w:val="24"/>
          <w:highlight w:val="white"/>
          <w:rtl w:val="0"/>
        </w:rPr>
        <w:t xml:space="preserve">Scannell and Tawiah (2024),</w:t>
      </w:r>
      <w:r w:rsidDel="00000000" w:rsidR="00000000" w:rsidRPr="00000000">
        <w:rPr>
          <w:rFonts w:ascii="Times New Roman" w:cs="Times New Roman" w:eastAsia="Times New Roman" w:hAnsi="Times New Roman"/>
          <w:color w:val="000000"/>
          <w:sz w:val="24"/>
          <w:szCs w:val="24"/>
          <w:rtl w:val="0"/>
        </w:rPr>
        <w:t xml:space="preserve"> the anticipated, unforeseen budget did not anticipate unexpected situations including unplanned circumstances and does not deal with negative circumstances. On the other hand, during the calculation of the budgeted profit and loss account it does not incorporate non-cash items such as amortisation or unrealised losses and gains         </w:t>
      </w:r>
    </w:p>
    <w:p w:rsidR="00000000" w:rsidDel="00000000" w:rsidP="00000000" w:rsidRDefault="00000000" w:rsidRPr="00000000" w14:paraId="0000010B">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Prediction based estimation</w:t>
      </w:r>
    </w:p>
    <w:p w:rsidR="00000000" w:rsidDel="00000000" w:rsidP="00000000" w:rsidRDefault="00000000" w:rsidRPr="00000000" w14:paraId="0000010C">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budget could be flexible but a budget depends on accurate estimates or the provided data to create cash r receipts or payments. During the calculation, manual focus and selecting accurate forecast methods are considered major challenges while limited data aggregation incorporates team conflict and creates absolute uncertainty. As cited by </w:t>
      </w:r>
      <w:r w:rsidDel="00000000" w:rsidR="00000000" w:rsidRPr="00000000">
        <w:rPr>
          <w:rFonts w:ascii="Times New Roman" w:cs="Times New Roman" w:eastAsia="Times New Roman" w:hAnsi="Times New Roman"/>
          <w:color w:val="000000"/>
          <w:sz w:val="24"/>
          <w:szCs w:val="24"/>
          <w:highlight w:val="white"/>
          <w:rtl w:val="0"/>
        </w:rPr>
        <w:t xml:space="preserve">Robert </w:t>
      </w:r>
      <w:r w:rsidDel="00000000" w:rsidR="00000000" w:rsidRPr="00000000">
        <w:rPr>
          <w:rFonts w:ascii="Times New Roman" w:cs="Times New Roman" w:eastAsia="Times New Roman" w:hAnsi="Times New Roman"/>
          <w:i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(2023),</w:t>
      </w:r>
      <w:r w:rsidDel="00000000" w:rsidR="00000000" w:rsidRPr="00000000">
        <w:rPr>
          <w:rFonts w:ascii="Times New Roman" w:cs="Times New Roman" w:eastAsia="Times New Roman" w:hAnsi="Times New Roman"/>
          <w:color w:val="000000"/>
          <w:sz w:val="24"/>
          <w:szCs w:val="24"/>
          <w:rtl w:val="0"/>
        </w:rPr>
        <w:t xml:space="preserve"> inaccurate budget estimations impact effort, money and demand that incorporate limited encouragement to the consensus and many difficulties occur due to decreasing sales demand. Identification of long-term interest rates leading to the liquidity trap and the calculation not judging for liquidity that makes inaccurate predictions in a specific period.     </w:t>
      </w:r>
      <w:r w:rsidDel="00000000" w:rsidR="00000000" w:rsidRPr="00000000">
        <w:rPr>
          <w:rFonts w:ascii="Times New Roman" w:cs="Times New Roman" w:eastAsia="Times New Roman" w:hAnsi="Times New Roman"/>
          <w:b w:val="1"/>
          <w:i w:val="1"/>
          <w:color w:val="000000"/>
          <w:sz w:val="24"/>
          <w:szCs w:val="24"/>
          <w:rtl w:val="0"/>
        </w:rPr>
        <w:t xml:space="preserve"> </w:t>
      </w:r>
    </w:p>
    <w:p w:rsidR="00000000" w:rsidDel="00000000" w:rsidP="00000000" w:rsidRDefault="00000000" w:rsidRPr="00000000" w14:paraId="0000010D">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Services on credit </w:t>
      </w:r>
    </w:p>
    <w:p w:rsidR="00000000" w:rsidDel="00000000" w:rsidP="00000000" w:rsidRDefault="00000000" w:rsidRPr="00000000" w14:paraId="0000010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Blue Thread Ltd gives services on credit and Blue Thread Ltd is to maintain minimum stock level to achieve targeted gross profit. The company offers numerous services on credit leading to available cash shortfall in a financial year and customers don’t pay easily which leads to delays in the cash collection of cash inflows. The imbalance in cash flow management incorporates the goods sold on credit potentially leading to a cash shortfall (</w:t>
      </w:r>
      <w:r w:rsidDel="00000000" w:rsidR="00000000" w:rsidRPr="00000000">
        <w:rPr>
          <w:rFonts w:ascii="Times New Roman" w:cs="Times New Roman" w:eastAsia="Times New Roman" w:hAnsi="Times New Roman"/>
          <w:color w:val="000000"/>
          <w:sz w:val="24"/>
          <w:szCs w:val="24"/>
          <w:highlight w:val="white"/>
          <w:rtl w:val="0"/>
        </w:rPr>
        <w:t xml:space="preserve">Revsine </w:t>
      </w:r>
      <w:r w:rsidDel="00000000" w:rsidR="00000000" w:rsidRPr="00000000">
        <w:rPr>
          <w:rFonts w:ascii="Times New Roman" w:cs="Times New Roman" w:eastAsia="Times New Roman" w:hAnsi="Times New Roman"/>
          <w:i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2021)</w:t>
      </w:r>
      <w:r w:rsidDel="00000000" w:rsidR="00000000" w:rsidRPr="00000000">
        <w:rPr>
          <w:rFonts w:ascii="Times New Roman" w:cs="Times New Roman" w:eastAsia="Times New Roman" w:hAnsi="Times New Roman"/>
          <w:color w:val="000000"/>
          <w:sz w:val="24"/>
          <w:szCs w:val="24"/>
          <w:rtl w:val="0"/>
        </w:rPr>
        <w:t xml:space="preserve">. Cash shortfall directly impacts budgeting while delayed cash inflow does not meet potential financial requirements at a specific time. Negotiating with the payment terms is considered an effective mitigation strategy to proactively pursue overdue payments (Van Daalen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2022).      </w:t>
      </w:r>
    </w:p>
    <w:p w:rsidR="00000000" w:rsidDel="00000000" w:rsidP="00000000" w:rsidRDefault="00000000" w:rsidRPr="00000000" w14:paraId="0000010F">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Unpredictable market condition </w:t>
      </w:r>
    </w:p>
    <w:p w:rsidR="00000000" w:rsidDel="00000000" w:rsidP="00000000" w:rsidRDefault="00000000" w:rsidRPr="00000000" w14:paraId="0000011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Unpredictable market conditions involve inaccurate sales projections that do not accurately monitor cash flow problems, due to missed opportunities incorporated in Blue Thread Ltd. Inaccurate sales projections do not incorporate accurate sales prediction, and primary cash shortage is included in the company due to unforeseen expenses are incorporated. As cited by </w:t>
      </w:r>
      <w:r w:rsidDel="00000000" w:rsidR="00000000" w:rsidRPr="00000000">
        <w:rPr>
          <w:rFonts w:ascii="Times New Roman" w:cs="Times New Roman" w:eastAsia="Times New Roman" w:hAnsi="Times New Roman"/>
          <w:color w:val="000000"/>
          <w:sz w:val="24"/>
          <w:szCs w:val="24"/>
          <w:highlight w:val="white"/>
          <w:rtl w:val="0"/>
        </w:rPr>
        <w:t xml:space="preserve">Azevedo </w:t>
      </w:r>
      <w:r w:rsidDel="00000000" w:rsidR="00000000" w:rsidRPr="00000000">
        <w:rPr>
          <w:rFonts w:ascii="Times New Roman" w:cs="Times New Roman" w:eastAsia="Times New Roman" w:hAnsi="Times New Roman"/>
          <w:i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(2024),</w:t>
      </w:r>
      <w:r w:rsidDel="00000000" w:rsidR="00000000" w:rsidRPr="00000000">
        <w:rPr>
          <w:rFonts w:ascii="Times New Roman" w:cs="Times New Roman" w:eastAsia="Times New Roman" w:hAnsi="Times New Roman"/>
          <w:color w:val="000000"/>
          <w:sz w:val="24"/>
          <w:szCs w:val="24"/>
          <w:rtl w:val="0"/>
        </w:rPr>
        <w:t xml:space="preserve"> fluctuations in market demand also include fluctuating financial factors affecting future profitability along with purchasing power. In order to manage cash flow gaps that lead to missed payments and affect seasonal demand patterns create financial uncertainties. The scenario and sensitivity analysis considered as best solutions that effectively manage seasonal demand by informed decision-making (</w:t>
      </w:r>
      <w:r w:rsidDel="00000000" w:rsidR="00000000" w:rsidRPr="00000000">
        <w:rPr>
          <w:rFonts w:ascii="Times New Roman" w:cs="Times New Roman" w:eastAsia="Times New Roman" w:hAnsi="Times New Roman"/>
          <w:color w:val="000000"/>
          <w:sz w:val="24"/>
          <w:szCs w:val="24"/>
          <w:highlight w:val="white"/>
          <w:rtl w:val="0"/>
        </w:rPr>
        <w:t xml:space="preserve">Fridson and Alvarez, 2022)</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11">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Actions to be taken to address complexities </w:t>
      </w:r>
    </w:p>
    <w:p w:rsidR="00000000" w:rsidDel="00000000" w:rsidP="00000000" w:rsidRDefault="00000000" w:rsidRPr="00000000" w14:paraId="0000011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Decrease overspending and create an </w:t>
      </w:r>
      <w:r w:rsidDel="00000000" w:rsidR="00000000" w:rsidRPr="00000000">
        <w:rPr>
          <w:rFonts w:ascii="Times New Roman" w:cs="Times New Roman" w:eastAsia="Times New Roman" w:hAnsi="Times New Roman"/>
          <w:i w:val="1"/>
          <w:color w:val="000000"/>
          <w:sz w:val="24"/>
          <w:szCs w:val="24"/>
          <w:rtl w:val="0"/>
        </w:rPr>
        <w:t xml:space="preserve">additional revenue stream</w:t>
      </w:r>
      <w:r w:rsidDel="00000000" w:rsidR="00000000" w:rsidRPr="00000000">
        <w:rPr>
          <w:rFonts w:ascii="Times New Roman" w:cs="Times New Roman" w:eastAsia="Times New Roman" w:hAnsi="Times New Roman"/>
          <w:color w:val="000000"/>
          <w:sz w:val="24"/>
          <w:szCs w:val="24"/>
          <w:rtl w:val="0"/>
        </w:rPr>
        <w:t xml:space="preserve"> managing inventory level in business. By considering raising prices for the business effectively managed by </w:t>
      </w:r>
      <w:r w:rsidDel="00000000" w:rsidR="00000000" w:rsidRPr="00000000">
        <w:rPr>
          <w:rFonts w:ascii="Times New Roman" w:cs="Times New Roman" w:eastAsia="Times New Roman" w:hAnsi="Times New Roman"/>
          <w:i w:val="1"/>
          <w:color w:val="000000"/>
          <w:sz w:val="24"/>
          <w:szCs w:val="24"/>
          <w:rtl w:val="0"/>
        </w:rPr>
        <w:t xml:space="preserve">offering discounts to increase cash flow</w:t>
      </w:r>
      <w:r w:rsidDel="00000000" w:rsidR="00000000" w:rsidRPr="00000000">
        <w:rPr>
          <w:rFonts w:ascii="Times New Roman" w:cs="Times New Roman" w:eastAsia="Times New Roman" w:hAnsi="Times New Roman"/>
          <w:color w:val="000000"/>
          <w:sz w:val="24"/>
          <w:szCs w:val="24"/>
          <w:rtl w:val="0"/>
        </w:rPr>
        <w:t xml:space="preserve"> in a financial year. In order to manage cash flow efficiently Blue Thread Ltd needs to </w:t>
      </w:r>
      <w:r w:rsidDel="00000000" w:rsidR="00000000" w:rsidRPr="00000000">
        <w:rPr>
          <w:rFonts w:ascii="Times New Roman" w:cs="Times New Roman" w:eastAsia="Times New Roman" w:hAnsi="Times New Roman"/>
          <w:i w:val="1"/>
          <w:color w:val="000000"/>
          <w:sz w:val="24"/>
          <w:szCs w:val="24"/>
          <w:rtl w:val="0"/>
        </w:rPr>
        <w:t xml:space="preserve">reduce credit sales</w:t>
      </w:r>
      <w:r w:rsidDel="00000000" w:rsidR="00000000" w:rsidRPr="00000000">
        <w:rPr>
          <w:rFonts w:ascii="Times New Roman" w:cs="Times New Roman" w:eastAsia="Times New Roman" w:hAnsi="Times New Roman"/>
          <w:color w:val="000000"/>
          <w:sz w:val="24"/>
          <w:szCs w:val="24"/>
          <w:rtl w:val="0"/>
        </w:rPr>
        <w:t xml:space="preserve"> to effectively handle inventory management along with the creditors' payment terms. </w:t>
      </w:r>
      <w:r w:rsidDel="00000000" w:rsidR="00000000" w:rsidRPr="00000000">
        <w:rPr>
          <w:rFonts w:ascii="Times New Roman" w:cs="Times New Roman" w:eastAsia="Times New Roman" w:hAnsi="Times New Roman"/>
          <w:i w:val="1"/>
          <w:color w:val="000000"/>
          <w:sz w:val="24"/>
          <w:szCs w:val="24"/>
          <w:rtl w:val="0"/>
        </w:rPr>
        <w:t xml:space="preserve">Maintaining and making effective budget plans</w:t>
      </w:r>
      <w:r w:rsidDel="00000000" w:rsidR="00000000" w:rsidRPr="00000000">
        <w:rPr>
          <w:rFonts w:ascii="Times New Roman" w:cs="Times New Roman" w:eastAsia="Times New Roman" w:hAnsi="Times New Roman"/>
          <w:color w:val="000000"/>
          <w:sz w:val="24"/>
          <w:szCs w:val="24"/>
          <w:rtl w:val="0"/>
        </w:rPr>
        <w:t xml:space="preserve"> creates innovative strategies to maintain healthy financial outcomes and track expenses to positively support organisational strategy (Gitter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2022). A complex budget can be managed and reduce future variances to match actual business costs used by the flexible budget options.                </w:t>
      </w:r>
    </w:p>
    <w:p w:rsidR="00000000" w:rsidDel="00000000" w:rsidP="00000000" w:rsidRDefault="00000000" w:rsidRPr="00000000" w14:paraId="00000113">
      <w:pPr>
        <w:pStyle w:val="Heading2"/>
        <w:spacing w:after="120" w:before="120" w:lineRule="auto"/>
        <w:rPr>
          <w:color w:val="000000"/>
        </w:rPr>
      </w:pPr>
      <w:bookmarkStart w:colFirst="0" w:colLast="0" w:name="_it7wg3yinzey" w:id="4"/>
      <w:bookmarkEnd w:id="4"/>
      <w:r w:rsidDel="00000000" w:rsidR="00000000" w:rsidRPr="00000000">
        <w:rPr>
          <w:color w:val="000000"/>
          <w:rtl w:val="0"/>
        </w:rPr>
        <w:t xml:space="preserve"> c) Budget and budgetary control within an organisation </w:t>
      </w:r>
    </w:p>
    <w:p w:rsidR="00000000" w:rsidDel="00000000" w:rsidP="00000000" w:rsidRDefault="00000000" w:rsidRPr="00000000" w14:paraId="0000011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 planned and well-structured budgeting approach focuses on the company goals and can incorporate short-term and long-term decision-making processes. As a suitable and efficient accounting system, a budget provides effective performance related to the current business and eliminates several complexities by facilitating effective planning. A budget plan specified with the future period along with the other financial terms and budget expresses management’s expectations to identify income and expenditure to represent cash flows. As critically examined by the Chartered Institute of Management Accountants (CIMA) a budget discloses the quantitative expression of a plan to define a particular time by incorporating income expenses to calculate net cash flows for the suggested period (</w:t>
      </w:r>
      <w:r w:rsidDel="00000000" w:rsidR="00000000" w:rsidRPr="00000000">
        <w:rPr>
          <w:rFonts w:ascii="Times New Roman" w:cs="Times New Roman" w:eastAsia="Times New Roman" w:hAnsi="Times New Roman"/>
          <w:color w:val="000000"/>
          <w:sz w:val="24"/>
          <w:szCs w:val="24"/>
          <w:highlight w:val="white"/>
          <w:rtl w:val="0"/>
        </w:rPr>
        <w:t xml:space="preserve">Schroeder </w:t>
      </w:r>
      <w:r w:rsidDel="00000000" w:rsidR="00000000" w:rsidRPr="00000000">
        <w:rPr>
          <w:rFonts w:ascii="Times New Roman" w:cs="Times New Roman" w:eastAsia="Times New Roman" w:hAnsi="Times New Roman"/>
          <w:i w:val="1"/>
          <w:color w:val="000000"/>
          <w:sz w:val="24"/>
          <w:szCs w:val="24"/>
          <w:highlight w:val="white"/>
          <w:rtl w:val="0"/>
        </w:rPr>
        <w:t xml:space="preserve">et al. </w:t>
      </w:r>
      <w:r w:rsidDel="00000000" w:rsidR="00000000" w:rsidRPr="00000000">
        <w:rPr>
          <w:rFonts w:ascii="Times New Roman" w:cs="Times New Roman" w:eastAsia="Times New Roman" w:hAnsi="Times New Roman"/>
          <w:color w:val="000000"/>
          <w:sz w:val="24"/>
          <w:szCs w:val="24"/>
          <w:highlight w:val="white"/>
          <w:rtl w:val="0"/>
        </w:rPr>
        <w:t xml:space="preserve">2022)</w:t>
      </w:r>
      <w:r w:rsidDel="00000000" w:rsidR="00000000" w:rsidRPr="00000000">
        <w:rPr>
          <w:rFonts w:ascii="Times New Roman" w:cs="Times New Roman" w:eastAsia="Times New Roman" w:hAnsi="Times New Roman"/>
          <w:color w:val="000000"/>
          <w:sz w:val="24"/>
          <w:szCs w:val="24"/>
          <w:rtl w:val="0"/>
        </w:rPr>
        <w:t xml:space="preserve">. The budget indicates revenues and costs to be effective for investment decisions and identifies various parts of the operations. The budget is a profit planning and maintains the standard performance of the business to achieve targeted profit and reduce unnecessary expenditure (Vuong, 2023). Several budgeting types are used by the organisations such as operating budget, master budget, static budget, cash budget, labour budget, and production budget to demonstrate and highlight expenses and revenue for a specific period. </w:t>
      </w:r>
    </w:p>
    <w:p w:rsidR="00000000" w:rsidDel="00000000" w:rsidP="00000000" w:rsidRDefault="00000000" w:rsidRPr="00000000" w14:paraId="00000115">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Realistic budget             </w:t>
      </w:r>
    </w:p>
    <w:p w:rsidR="00000000" w:rsidDel="00000000" w:rsidP="00000000" w:rsidRDefault="00000000" w:rsidRPr="00000000" w14:paraId="0000011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Budgeting and budgetary control a successful financial tool that evaluate an organisation’s needs and management takes necessary actions to improve organisational performance. A realistic budget determines monthly income and expenses and suggesting bringing home money after taxes and other deductions by incorporating different sources of income. Continuous monitoring of financial analysis managers take corrective actions and improve operational efficiency to calculate incomes (Michelon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2020). There are several steps to create a successful budget approach the </w:t>
      </w:r>
      <w:r w:rsidDel="00000000" w:rsidR="00000000" w:rsidRPr="00000000">
        <w:rPr>
          <w:rFonts w:ascii="Times New Roman" w:cs="Times New Roman" w:eastAsia="Times New Roman" w:hAnsi="Times New Roman"/>
          <w:i w:val="1"/>
          <w:color w:val="000000"/>
          <w:sz w:val="24"/>
          <w:szCs w:val="24"/>
          <w:rtl w:val="0"/>
        </w:rPr>
        <w:t xml:space="preserve">first step is to calculate net income</w:t>
      </w:r>
      <w:r w:rsidDel="00000000" w:rsidR="00000000" w:rsidRPr="00000000">
        <w:rPr>
          <w:rFonts w:ascii="Times New Roman" w:cs="Times New Roman" w:eastAsia="Times New Roman" w:hAnsi="Times New Roman"/>
          <w:color w:val="000000"/>
          <w:sz w:val="24"/>
          <w:szCs w:val="24"/>
          <w:rtl w:val="0"/>
        </w:rPr>
        <w:t xml:space="preserve"> and comprehend the money coming for each month incorporating salary and any additional resources of income or funds coming to the business regularly. The </w:t>
      </w:r>
      <w:r w:rsidDel="00000000" w:rsidR="00000000" w:rsidRPr="00000000">
        <w:rPr>
          <w:rFonts w:ascii="Times New Roman" w:cs="Times New Roman" w:eastAsia="Times New Roman" w:hAnsi="Times New Roman"/>
          <w:i w:val="1"/>
          <w:color w:val="000000"/>
          <w:sz w:val="24"/>
          <w:szCs w:val="24"/>
          <w:rtl w:val="0"/>
        </w:rPr>
        <w:t xml:space="preserve">second step is to monitor expenses </w:t>
      </w:r>
      <w:r w:rsidDel="00000000" w:rsidR="00000000" w:rsidRPr="00000000">
        <w:rPr>
          <w:rFonts w:ascii="Times New Roman" w:cs="Times New Roman" w:eastAsia="Times New Roman" w:hAnsi="Times New Roman"/>
          <w:color w:val="000000"/>
          <w:sz w:val="24"/>
          <w:szCs w:val="24"/>
          <w:rtl w:val="0"/>
        </w:rPr>
        <w:t xml:space="preserve">considered a successful business strategy to reduce unnecessary costs by incorporating grocery bills and entertainment or other expenditures related to the outgoing business money. Additionally, creating a successful business organisation helps to identify and cut down unnecessary business expenses and enhance business profitability to maintain long-term business growth. The </w:t>
      </w:r>
      <w:r w:rsidDel="00000000" w:rsidR="00000000" w:rsidRPr="00000000">
        <w:rPr>
          <w:rFonts w:ascii="Times New Roman" w:cs="Times New Roman" w:eastAsia="Times New Roman" w:hAnsi="Times New Roman"/>
          <w:i w:val="1"/>
          <w:color w:val="000000"/>
          <w:sz w:val="24"/>
          <w:szCs w:val="24"/>
          <w:rtl w:val="0"/>
        </w:rPr>
        <w:t xml:space="preserve">third step is to set financial goals </w:t>
      </w:r>
      <w:r w:rsidDel="00000000" w:rsidR="00000000" w:rsidRPr="00000000">
        <w:rPr>
          <w:rFonts w:ascii="Times New Roman" w:cs="Times New Roman" w:eastAsia="Times New Roman" w:hAnsi="Times New Roman"/>
          <w:color w:val="000000"/>
          <w:sz w:val="24"/>
          <w:szCs w:val="24"/>
          <w:rtl w:val="0"/>
        </w:rPr>
        <w:t xml:space="preserve">to efficiently access debt management techniques and build an emergency fund by reducing unnecessary spending to keep businesses motivated. Examples of financial goals are paying off debt, saving for retirement, building an emergency fund to feel financially secure and managing unexpected expenses.    </w:t>
      </w:r>
      <w:r w:rsidDel="00000000" w:rsidR="00000000" w:rsidRPr="00000000">
        <w:rPr>
          <w:rFonts w:ascii="Times New Roman" w:cs="Times New Roman" w:eastAsia="Times New Roman" w:hAnsi="Times New Roman"/>
          <w:i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117">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Flexible and responsiveness </w:t>
      </w:r>
    </w:p>
    <w:p w:rsidR="00000000" w:rsidDel="00000000" w:rsidP="00000000" w:rsidRDefault="00000000" w:rsidRPr="00000000" w14:paraId="0000011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Flexible budget options create a dynamic financial plan to adjust to the changing environment and manage the current changing environment. In order to adopt flexibility in complex business environments a flexible budget find out market fluctuations and demonstrates further improvement strategy to manage and continue modifications and adjustments. There are some key features of the budgeting approach such as real-time adjustment, adaptability, and flexibility to improve the decision-making process (Morgan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2022). The benefits of budgeting techniques enhance responsiveness and flexible budget planning always stay competitive and identify an agile dynamic market to navigate uncertainties and seize the maximum opportunity. Additionally, to support better resources in business a flexible budget always supports and prioritises spending and incorporates cost-cutting techniques to prioritise the decision-making process. A better cost control strategy is always maintained by effective budgeting techniques and managing costs more effectively. In order to improve performance management techniques managed by the flexible budgeting options and incorporate budgeted amount by identifying areas of further improvement. A successful business condition is maintained by the organisation and starts a fixed expense by creating spending variances in a specific time. A static budget helps to describe current business performance and adjust the company’s financial activity to establish company creates.               </w:t>
      </w:r>
    </w:p>
    <w:p w:rsidR="00000000" w:rsidDel="00000000" w:rsidP="00000000" w:rsidRDefault="00000000" w:rsidRPr="00000000" w14:paraId="00000119">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Employee participation and commitments </w:t>
      </w:r>
    </w:p>
    <w:p w:rsidR="00000000" w:rsidDel="00000000" w:rsidP="00000000" w:rsidRDefault="00000000" w:rsidRPr="00000000" w14:paraId="0000011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Involving individual employees in business in a budgeting process also known as participative budgeting techniques effectively enhances employee commitment to motivate them and foster better decision making. A more detailed explanation is needed to enhance employee commitment and that impact on company performance (Manley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2022). During the introduction of the new system, management is required to consider budget implications by incorporating initial cost, resource allocation and ongoing business expenses to make the project more viable and align with the effective organisational goals. A progressive budget theory associated with the employee or citizens demand and make financial analysis to maintain reproduction and growth. In order to make effective budgeting control in business helps better decision-making plans and employees engaged by the ownership control and introducing the effective process to a better understanding of economic growth based on the requirements. The presented theoretical model minimises cost and gives a better understanding of maintaining financial needs and making employee engagement for long-term succession (</w:t>
      </w:r>
      <w:r w:rsidDel="00000000" w:rsidR="00000000" w:rsidRPr="00000000">
        <w:rPr>
          <w:rFonts w:ascii="Times New Roman" w:cs="Times New Roman" w:eastAsia="Times New Roman" w:hAnsi="Times New Roman"/>
          <w:color w:val="000000"/>
          <w:sz w:val="24"/>
          <w:szCs w:val="24"/>
          <w:highlight w:val="white"/>
          <w:rtl w:val="0"/>
        </w:rPr>
        <w:t xml:space="preserve">Engels and Elphick-Pooley, 2022)</w:t>
      </w:r>
      <w:r w:rsidDel="00000000" w:rsidR="00000000" w:rsidRPr="00000000">
        <w:rPr>
          <w:rFonts w:ascii="Times New Roman" w:cs="Times New Roman" w:eastAsia="Times New Roman" w:hAnsi="Times New Roman"/>
          <w:color w:val="000000"/>
          <w:sz w:val="24"/>
          <w:szCs w:val="24"/>
          <w:rtl w:val="0"/>
        </w:rPr>
        <w:t xml:space="preserve">. The team building activity, employee assistance program, training and development of a budget, and budgetary control approach are considered internal communication tools that are more effective in creating wellness programs. The budgeting process helps to make better decision-making to find out and eliminate complex situations by enhancing effective communication strategy.   </w:t>
      </w:r>
    </w:p>
    <w:p w:rsidR="00000000" w:rsidDel="00000000" w:rsidP="00000000" w:rsidRDefault="00000000" w:rsidRPr="00000000" w14:paraId="0000011B">
      <w:pPr>
        <w:spacing w:after="120" w:before="120" w:line="360" w:lineRule="auto"/>
        <w:jc w:val="both"/>
        <w:rPr>
          <w:rFonts w:ascii="Times New Roman" w:cs="Times New Roman" w:eastAsia="Times New Roman" w:hAnsi="Times New Roman"/>
          <w:b w:val="1"/>
          <w:color w:val="000000"/>
          <w:sz w:val="24"/>
          <w:szCs w:val="24"/>
        </w:rPr>
      </w:pPr>
      <w:r w:rsidDel="00000000" w:rsidR="00000000" w:rsidRPr="00000000">
        <w:rPr>
          <w:rFonts w:ascii="Times New Roman" w:cs="Times New Roman" w:eastAsia="Times New Roman" w:hAnsi="Times New Roman"/>
          <w:b w:val="1"/>
          <w:color w:val="000000"/>
          <w:sz w:val="24"/>
          <w:szCs w:val="24"/>
          <w:rtl w:val="0"/>
        </w:rPr>
        <w:t xml:space="preserve">Behavioural considerations </w:t>
      </w:r>
    </w:p>
    <w:p w:rsidR="00000000" w:rsidDel="00000000" w:rsidP="00000000" w:rsidRDefault="00000000" w:rsidRPr="00000000" w14:paraId="0000011C">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Budgetary slack </w:t>
      </w:r>
    </w:p>
    <w:p w:rsidR="00000000" w:rsidDel="00000000" w:rsidP="00000000" w:rsidRDefault="00000000" w:rsidRPr="00000000" w14:paraId="0000011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Budgetary slack refers method of overestimating budgets and underestimating revenues to make the target easier to achieve or create a surplus. The potential consequences are reduced efficiency, slack needs to lead to overspending and inefficient resource allocation. Due to performance representation false impressions have been included that affect the company’s financial health.     </w:t>
      </w:r>
    </w:p>
    <w:p w:rsidR="00000000" w:rsidDel="00000000" w:rsidP="00000000" w:rsidRDefault="00000000" w:rsidRPr="00000000" w14:paraId="0000011E">
      <w:pPr>
        <w:spacing w:after="120" w:before="120" w:line="360" w:lineRule="auto"/>
        <w:jc w:val="both"/>
        <w:rPr>
          <w:rFonts w:ascii="Times New Roman" w:cs="Times New Roman" w:eastAsia="Times New Roman" w:hAnsi="Times New Roman"/>
          <w:b w:val="1"/>
          <w:i w:val="1"/>
          <w:color w:val="000000"/>
          <w:sz w:val="24"/>
          <w:szCs w:val="24"/>
        </w:rPr>
      </w:pPr>
      <w:r w:rsidDel="00000000" w:rsidR="00000000" w:rsidRPr="00000000">
        <w:rPr>
          <w:rFonts w:ascii="Times New Roman" w:cs="Times New Roman" w:eastAsia="Times New Roman" w:hAnsi="Times New Roman"/>
          <w:b w:val="1"/>
          <w:i w:val="1"/>
          <w:color w:val="000000"/>
          <w:sz w:val="24"/>
          <w:szCs w:val="24"/>
          <w:rtl w:val="0"/>
        </w:rPr>
        <w:t xml:space="preserve">Resilience to budgeting </w:t>
      </w:r>
    </w:p>
    <w:p w:rsidR="00000000" w:rsidDel="00000000" w:rsidP="00000000" w:rsidRDefault="00000000" w:rsidRPr="00000000" w14:paraId="0000011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common technique incorporates building economic flexibility to describe unexpected events that could positively or negatively impact income or expenditure. There are numerous key strategies to create budget resilience such as proactively monitoring income and expenses and setting realistic goals by prioritising primary expenses.          </w:t>
      </w:r>
    </w:p>
    <w:p w:rsidR="00000000" w:rsidDel="00000000" w:rsidP="00000000" w:rsidRDefault="00000000" w:rsidRPr="00000000" w14:paraId="00000120">
      <w:pPr>
        <w:pStyle w:val="Heading2"/>
        <w:spacing w:after="120" w:before="120" w:lineRule="auto"/>
        <w:rPr>
          <w:color w:val="000000"/>
        </w:rPr>
      </w:pPr>
      <w:bookmarkStart w:colFirst="0" w:colLast="0" w:name="_jsxgvbvls102" w:id="5"/>
      <w:bookmarkEnd w:id="5"/>
      <w:r w:rsidDel="00000000" w:rsidR="00000000" w:rsidRPr="00000000">
        <w:rPr>
          <w:color w:val="000000"/>
          <w:rtl w:val="0"/>
        </w:rPr>
        <w:t xml:space="preserve">d) Critical evaluation of Traditional Approach to budgeting in the context of a rapidly changing business environment  </w:t>
      </w:r>
    </w:p>
    <w:p w:rsidR="00000000" w:rsidDel="00000000" w:rsidP="00000000" w:rsidRDefault="00000000" w:rsidRPr="00000000" w14:paraId="0000012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 the business landscape, Traditional Budgeting includes the construction of financial objectives depending on the historical data about the organisational performance and the estimated trends and patterns of future market activities (Okeke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2024). It is mainly a systematic procedure that encompasses the allocation of the available resources, setting financial goals, and measurement of the ongoing financial performance of the specific organisation. This approach is also known as the top-down approach in which the budgeting process is prepared by the addition of incremental amounts to the budget of the previous year. It includes the adjustments for inflation along with planned escalation in sales as well as cost price. This approach includes some budgeting techniques such as incremental budgeting, participative budgeting, rolling budgeting, and strategic budgeting for businesses. </w:t>
      </w:r>
    </w:p>
    <w:p w:rsidR="00000000" w:rsidDel="00000000" w:rsidP="00000000" w:rsidRDefault="00000000" w:rsidRPr="00000000" w14:paraId="0000012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Incremental Budgeting:</w:t>
      </w:r>
      <w:r w:rsidDel="00000000" w:rsidR="00000000" w:rsidRPr="00000000">
        <w:rPr>
          <w:rFonts w:ascii="Times New Roman" w:cs="Times New Roman" w:eastAsia="Times New Roman" w:hAnsi="Times New Roman"/>
          <w:color w:val="000000"/>
          <w:sz w:val="24"/>
          <w:szCs w:val="24"/>
          <w:rtl w:val="0"/>
        </w:rPr>
        <w:t xml:space="preserve"> In financial practices, incremental budgeting refers to the process of constructing a new budget through the adjustments of the budget of the previous year (Accaglobal, 2025). This budgeting process assumes that the revenue and expenditures remain the same throughout the budget preparation process, the only adjustment occurs due to the change in inflation rate and growth perspectives. The implementation of this budgeting process is quick and simple, however as it depends on the historical data, the created budget can hold some discrepancies. The construction of this budget is ineffective including unnecessary spending and also unable to identify the alterations of the objectives of the organisation as well as the external factors which failed to streamline the cost reduction process and foster organisational improvement. The participative budgeting process encompasses different levels of management within the preparation technique for budget within a significantly time-consuming in nature. The wider level of employee participation leads to the higher cost of labour associated with the budget-making procedure.  </w:t>
      </w:r>
    </w:p>
    <w:p w:rsidR="00000000" w:rsidDel="00000000" w:rsidP="00000000" w:rsidRDefault="00000000" w:rsidRPr="00000000" w14:paraId="0000012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Participative Budgeting: </w:t>
      </w:r>
      <w:r w:rsidDel="00000000" w:rsidR="00000000" w:rsidRPr="00000000">
        <w:rPr>
          <w:rFonts w:ascii="Times New Roman" w:cs="Times New Roman" w:eastAsia="Times New Roman" w:hAnsi="Times New Roman"/>
          <w:color w:val="000000"/>
          <w:sz w:val="24"/>
          <w:szCs w:val="24"/>
          <w:rtl w:val="0"/>
        </w:rPr>
        <w:t xml:space="preserve">The participative budgeting process involves all the budget holders within the budget procedure that allows the more interconnectivity and overturned approach (Corporatefinanceinstitute, 2024). In the present market environment, the above budgeting process is subject to issues such as ineffective conservation results, the requirement of excessive time, increasing cost of labour, lack of careful and comprehensive management  </w:t>
      </w:r>
    </w:p>
    <w:p w:rsidR="00000000" w:rsidDel="00000000" w:rsidP="00000000" w:rsidRDefault="00000000" w:rsidRPr="00000000" w14:paraId="0000012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Strategic Budgeting:</w:t>
      </w:r>
      <w:r w:rsidDel="00000000" w:rsidR="00000000" w:rsidRPr="00000000">
        <w:rPr>
          <w:rFonts w:ascii="Times New Roman" w:cs="Times New Roman" w:eastAsia="Times New Roman" w:hAnsi="Times New Roman"/>
          <w:color w:val="000000"/>
          <w:sz w:val="24"/>
          <w:szCs w:val="24"/>
          <w:rtl w:val="0"/>
        </w:rPr>
        <w:t xml:space="preserve"> This budget is aligned with financial planning by highlighting the long-term objectives and strategies of the organisation (Indeed, 2024). The changing business terrain makes it challenging for the company to forecast future revenues along with expenditures in an accurate manner. Extreme dependence on inaccurate and outdated data leads to ineffective forecasting leading to misallocation of the available resources. </w:t>
      </w:r>
    </w:p>
    <w:p w:rsidR="00000000" w:rsidDel="00000000" w:rsidP="00000000" w:rsidRDefault="00000000" w:rsidRPr="00000000" w14:paraId="0000012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i w:val="1"/>
          <w:color w:val="000000"/>
          <w:sz w:val="24"/>
          <w:szCs w:val="24"/>
          <w:rtl w:val="0"/>
        </w:rPr>
        <w:t xml:space="preserve">Rolling Budget: </w:t>
      </w:r>
      <w:r w:rsidDel="00000000" w:rsidR="00000000" w:rsidRPr="00000000">
        <w:rPr>
          <w:rFonts w:ascii="Times New Roman" w:cs="Times New Roman" w:eastAsia="Times New Roman" w:hAnsi="Times New Roman"/>
          <w:color w:val="000000"/>
          <w:sz w:val="24"/>
          <w:szCs w:val="24"/>
          <w:rtl w:val="0"/>
        </w:rPr>
        <w:t xml:space="preserve">The rolling budget is considered the embracing tool to include continuous updates and revise the total budget throughout the financial year which allows frequent adjustments in the budget process (Accaglobal, 2025). The current issues such as an increase in the demand for resources and extensive time and over-adjustment make this process vulnerable to reflect proper’s budgeting insights. This budget requires continuous updates which is resource-intensive and also time-consuming. This continuous revision required a substantial grip on the emerging software and analytical tool that added more cost for the organisation associated with training and skill development initiations.              </w:t>
      </w:r>
    </w:p>
    <w:p w:rsidR="00000000" w:rsidDel="00000000" w:rsidP="00000000" w:rsidRDefault="00000000" w:rsidRPr="00000000" w14:paraId="0000012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Traditional budgeting faces distinct issues such as follows:</w:t>
      </w:r>
    </w:p>
    <w:p w:rsidR="00000000" w:rsidDel="00000000" w:rsidP="00000000" w:rsidRDefault="00000000" w:rsidRPr="00000000" w14:paraId="0000012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Inaccuracy in the forecasting process:</w:t>
      </w:r>
      <w:r w:rsidDel="00000000" w:rsidR="00000000" w:rsidRPr="00000000">
        <w:rPr>
          <w:rFonts w:ascii="Times New Roman" w:cs="Times New Roman" w:eastAsia="Times New Roman" w:hAnsi="Times New Roman"/>
          <w:color w:val="000000"/>
          <w:sz w:val="24"/>
          <w:szCs w:val="24"/>
          <w:rtl w:val="0"/>
        </w:rPr>
        <w:t xml:space="preserve"> The traditional budget process substantially depends on the historical and previous year’s data which leads to the potential inaccuracy in the forecasting process. The prior performance is not reliable for measuring future performance within the dynamic, fast-moving, and ever-evolving marketplace.    </w:t>
      </w:r>
    </w:p>
    <w:p w:rsidR="00000000" w:rsidDel="00000000" w:rsidP="00000000" w:rsidRDefault="00000000" w:rsidRPr="00000000" w14:paraId="0000012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Inflexibility and rigidity:</w:t>
      </w:r>
      <w:r w:rsidDel="00000000" w:rsidR="00000000" w:rsidRPr="00000000">
        <w:rPr>
          <w:rFonts w:ascii="Times New Roman" w:cs="Times New Roman" w:eastAsia="Times New Roman" w:hAnsi="Times New Roman"/>
          <w:color w:val="000000"/>
          <w:sz w:val="24"/>
          <w:szCs w:val="24"/>
          <w:rtl w:val="0"/>
        </w:rPr>
        <w:t xml:space="preserve"> Inflexibility is one of the key backlogs of the traditional budgeting process which limits the adjustment power of a company leading to restrictions in adapting to the continuous market changes. Moreover, this budget process is characterised as rigid with the ongoing upgradation that makes it difficult for the organisations to embrace new technologies, new market alterations, and make adjustments with unpredicted occurrence (Drury, 2021).</w:t>
      </w:r>
    </w:p>
    <w:p w:rsidR="00000000" w:rsidDel="00000000" w:rsidP="00000000" w:rsidRDefault="00000000" w:rsidRPr="00000000" w14:paraId="0000012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Negligence of agility:</w:t>
      </w:r>
      <w:r w:rsidDel="00000000" w:rsidR="00000000" w:rsidRPr="00000000">
        <w:rPr>
          <w:rFonts w:ascii="Times New Roman" w:cs="Times New Roman" w:eastAsia="Times New Roman" w:hAnsi="Times New Roman"/>
          <w:color w:val="000000"/>
          <w:sz w:val="24"/>
          <w:szCs w:val="24"/>
          <w:rtl w:val="0"/>
        </w:rPr>
        <w:t xml:space="preserve"> In the preparation of the traditional budgeting process, the entire emphasis is given to the prior performance and compliance with the budget which makes the company restricted to nurturing adaptability and innovation. This decreases the possibility of organisational growth for the organisations like Blue Thread Ltd. within the increasingly changing business environment.   </w:t>
      </w:r>
    </w:p>
    <w:p w:rsidR="00000000" w:rsidDel="00000000" w:rsidP="00000000" w:rsidRDefault="00000000" w:rsidRPr="00000000" w14:paraId="0000012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Slow response time:</w:t>
      </w:r>
      <w:r w:rsidDel="00000000" w:rsidR="00000000" w:rsidRPr="00000000">
        <w:rPr>
          <w:rFonts w:ascii="Times New Roman" w:cs="Times New Roman" w:eastAsia="Times New Roman" w:hAnsi="Times New Roman"/>
          <w:color w:val="000000"/>
          <w:sz w:val="24"/>
          <w:szCs w:val="24"/>
          <w:rtl w:val="0"/>
        </w:rPr>
        <w:t xml:space="preserve"> The time-consuming nature of this budgeting process paved the way for dwindling the responsive time. This restricts the organisational ability to respond quickly to any type of unexpected events such as market shifts, demand alteration, changes in current value, inflation, or any type of economic downturn (Matějka </w:t>
      </w:r>
      <w:r w:rsidDel="00000000" w:rsidR="00000000" w:rsidRPr="00000000">
        <w:rPr>
          <w:rFonts w:ascii="Times New Roman" w:cs="Times New Roman" w:eastAsia="Times New Roman" w:hAnsi="Times New Roman"/>
          <w:i w:val="1"/>
          <w:color w:val="000000"/>
          <w:sz w:val="24"/>
          <w:szCs w:val="24"/>
          <w:rtl w:val="0"/>
        </w:rPr>
        <w:t xml:space="preserve">et al. </w:t>
      </w:r>
      <w:r w:rsidDel="00000000" w:rsidR="00000000" w:rsidRPr="00000000">
        <w:rPr>
          <w:rFonts w:ascii="Times New Roman" w:cs="Times New Roman" w:eastAsia="Times New Roman" w:hAnsi="Times New Roman"/>
          <w:color w:val="000000"/>
          <w:sz w:val="24"/>
          <w:szCs w:val="24"/>
          <w:rtl w:val="0"/>
        </w:rPr>
        <w:t xml:space="preserve">2021).  </w:t>
      </w:r>
    </w:p>
    <w:p w:rsidR="00000000" w:rsidDel="00000000" w:rsidP="00000000" w:rsidRDefault="00000000" w:rsidRPr="00000000" w14:paraId="0000012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Time consumption:</w:t>
      </w:r>
      <w:r w:rsidDel="00000000" w:rsidR="00000000" w:rsidRPr="00000000">
        <w:rPr>
          <w:rFonts w:ascii="Times New Roman" w:cs="Times New Roman" w:eastAsia="Times New Roman" w:hAnsi="Times New Roman"/>
          <w:color w:val="000000"/>
          <w:sz w:val="24"/>
          <w:szCs w:val="24"/>
          <w:rtl w:val="0"/>
        </w:rPr>
        <w:t xml:space="preserve"> The designing and preparation of the traditional budgeting process is substantially time-consuming as well as resource-intensive underscoring the need for significant resources and substantial managerial time.  </w:t>
      </w:r>
    </w:p>
    <w:p w:rsidR="00000000" w:rsidDel="00000000" w:rsidP="00000000" w:rsidRDefault="00000000" w:rsidRPr="00000000" w14:paraId="0000012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u w:val="single"/>
          <w:rtl w:val="0"/>
        </w:rPr>
        <w:t xml:space="preserve">Lack of coextensive information:</w:t>
      </w:r>
      <w:r w:rsidDel="00000000" w:rsidR="00000000" w:rsidRPr="00000000">
        <w:rPr>
          <w:rFonts w:ascii="Times New Roman" w:cs="Times New Roman" w:eastAsia="Times New Roman" w:hAnsi="Times New Roman"/>
          <w:color w:val="000000"/>
          <w:sz w:val="24"/>
          <w:szCs w:val="24"/>
          <w:rtl w:val="0"/>
        </w:rPr>
        <w:t xml:space="preserve"> This budgeting process is extensively dependent on lengthy and inflexible data that is static. This makes it challenging for organisation to take strategic measures and make informed decisions in real-time phenomena.        </w:t>
      </w:r>
    </w:p>
    <w:p w:rsidR="00000000" w:rsidDel="00000000" w:rsidP="00000000" w:rsidRDefault="00000000" w:rsidRPr="00000000" w14:paraId="0000012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As the business alters rapidly,</w:t>
      </w:r>
      <w:r w:rsidDel="00000000" w:rsidR="00000000" w:rsidRPr="00000000">
        <w:rPr>
          <w:rFonts w:ascii="Times New Roman" w:cs="Times New Roman" w:eastAsia="Times New Roman" w:hAnsi="Times New Roman"/>
          <w:b w:val="1"/>
          <w:color w:val="000000"/>
          <w:sz w:val="24"/>
          <w:szCs w:val="24"/>
          <w:rtl w:val="0"/>
        </w:rPr>
        <w:t xml:space="preserve"> </w:t>
      </w:r>
      <w:r w:rsidDel="00000000" w:rsidR="00000000" w:rsidRPr="00000000">
        <w:rPr>
          <w:rFonts w:ascii="Times New Roman" w:cs="Times New Roman" w:eastAsia="Times New Roman" w:hAnsi="Times New Roman"/>
          <w:color w:val="000000"/>
          <w:sz w:val="24"/>
          <w:szCs w:val="24"/>
          <w:rtl w:val="0"/>
        </w:rPr>
        <w:t xml:space="preserve">the traditional budgeting approach becomes relevant for contemporary companies like Blue Thread Ltd. The traditional approach of budgeting generally encompasses inflexible annual cycles and historical data which restricts the ability of Blue Thread Ltd. to adapt to the new market changes and technological advancements. </w:t>
      </w:r>
    </w:p>
    <w:p w:rsidR="00000000" w:rsidDel="00000000" w:rsidP="00000000" w:rsidRDefault="00000000" w:rsidRPr="00000000" w14:paraId="0000012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Despite using the traditional budgeting approach, fast-moving companies can use emerging budgeting processes such as Zero-Based Budgeting (ZBB) or Activity-Based Budgeting (ABB). Incorporation of the ZBB helps Blue Thread Ltd. in increasing operational effectiveness through accelerating the promotion of cost-effectiveness, improvement of effective resource allocation process, and strategic alignment. This technique contributes to the expedition of practices like planned spending, enhancement of operational effectiveness, allocation of the available resources effectively, and avoiding the issues of budget inflation (IBM, 2025). The activity-based Budgeting is also recognised as a useful budgeting technique that allows organisations to cut costs in unnecessary areas and improve overall operational effectiveness (Corporatefinanceinstitute, 2024). Successful implementation of the ABB method helps Blue Thread Ltd. in making cost-effective analysis, predicting the cost base efficiently leading to better cost control, improvement of decision-making, and improvement in the operational effectiveness of the concerned company.       </w:t>
      </w:r>
    </w:p>
    <w:p w:rsidR="00000000" w:rsidDel="00000000" w:rsidP="00000000" w:rsidRDefault="00000000" w:rsidRPr="00000000" w14:paraId="0000012F">
      <w:pPr>
        <w:pStyle w:val="Heading1"/>
        <w:spacing w:after="120" w:before="120" w:lineRule="auto"/>
        <w:rPr>
          <w:color w:val="000000"/>
        </w:rPr>
      </w:pPr>
      <w:bookmarkStart w:colFirst="0" w:colLast="0" w:name="_oxf1w3nn75q" w:id="6"/>
      <w:bookmarkEnd w:id="6"/>
      <w:r w:rsidDel="00000000" w:rsidR="00000000" w:rsidRPr="00000000">
        <w:rPr>
          <w:color w:val="000000"/>
          <w:rtl w:val="0"/>
        </w:rPr>
        <w:t xml:space="preserve">Conclusion    </w:t>
      </w:r>
    </w:p>
    <w:p w:rsidR="00000000" w:rsidDel="00000000" w:rsidP="00000000" w:rsidRDefault="00000000" w:rsidRPr="00000000" w14:paraId="0000013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Based on the above context a cash budget represents overspending that represent by reviewing financial plans to create better budgeting techniques. In order to, Blue Thread Ltd determine income and expenses by the cash budget and directors decided to review financial plans for the six months by incorporating sales, purchase of stock and other variable expenses. By involving cost and revenue a budget-making process demonstrates financial performance by using appropriate methods and strategies to interpret adequate financial statements. Successful completion demonstrates a critical understanding of cash budgets to encourage and develop an ability to perform feasible financial management within the business context. Budgetary control is a system to control a firm’s financial activity and reduce unnecessary business costs while management may decide to survive the competition. The budgets are calculated for each department and analyse the way to reach maximum profitability by controllable responsibility. Budgets are making short-term financial plans to encounter difficulties by numerous departments towards reaching targeted goals by arranging primary solutions or creating stopgap arrangements. </w:t>
      </w:r>
      <w:r w:rsidDel="00000000" w:rsidR="00000000" w:rsidRPr="00000000">
        <w:br w:type="page"/>
      </w:r>
      <w:r w:rsidDel="00000000" w:rsidR="00000000" w:rsidRPr="00000000">
        <w:rPr>
          <w:rtl w:val="0"/>
        </w:rPr>
      </w:r>
    </w:p>
    <w:p w:rsidR="00000000" w:rsidDel="00000000" w:rsidP="00000000" w:rsidRDefault="00000000" w:rsidRPr="00000000" w14:paraId="00000131">
      <w:pPr>
        <w:pStyle w:val="Heading1"/>
        <w:spacing w:after="120" w:before="120" w:lineRule="auto"/>
        <w:rPr>
          <w:color w:val="000000"/>
        </w:rPr>
      </w:pPr>
      <w:bookmarkStart w:colFirst="0" w:colLast="0" w:name="_5okuusvtx0py" w:id="7"/>
      <w:bookmarkEnd w:id="7"/>
      <w:r w:rsidDel="00000000" w:rsidR="00000000" w:rsidRPr="00000000">
        <w:rPr>
          <w:color w:val="000000"/>
          <w:rtl w:val="0"/>
        </w:rPr>
        <w:t xml:space="preserve">Reference list </w:t>
      </w:r>
    </w:p>
    <w:p w:rsidR="00000000" w:rsidDel="00000000" w:rsidP="00000000" w:rsidRDefault="00000000" w:rsidRPr="00000000" w14:paraId="0000013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Accaglobal (2025) </w:t>
      </w:r>
      <w:r w:rsidDel="00000000" w:rsidR="00000000" w:rsidRPr="00000000">
        <w:rPr>
          <w:rFonts w:ascii="Times New Roman" w:cs="Times New Roman" w:eastAsia="Times New Roman" w:hAnsi="Times New Roman"/>
          <w:i w:val="1"/>
          <w:color w:val="000000"/>
          <w:sz w:val="24"/>
          <w:szCs w:val="24"/>
          <w:rtl w:val="0"/>
        </w:rPr>
        <w:t xml:space="preserve">All about budgeting – part 2.</w:t>
      </w:r>
      <w:r w:rsidDel="00000000" w:rsidR="00000000" w:rsidRPr="00000000">
        <w:rPr>
          <w:rFonts w:ascii="Times New Roman" w:cs="Times New Roman" w:eastAsia="Times New Roman" w:hAnsi="Times New Roman"/>
          <w:color w:val="000000"/>
          <w:sz w:val="24"/>
          <w:szCs w:val="24"/>
          <w:rtl w:val="0"/>
        </w:rPr>
        <w:t xml:space="preserve"> Available at:</w:t>
      </w:r>
      <w:hyperlink r:id="rId6">
        <w:r w:rsidDel="00000000" w:rsidR="00000000" w:rsidRPr="00000000">
          <w:rPr>
            <w:rFonts w:ascii="Times New Roman" w:cs="Times New Roman" w:eastAsia="Times New Roman" w:hAnsi="Times New Roman"/>
            <w:color w:val="000000"/>
            <w:sz w:val="24"/>
            <w:szCs w:val="24"/>
            <w:rtl w:val="0"/>
          </w:rPr>
          <w:t xml:space="preserve"> https://www.accaglobal.com/in/en/student/exam-support-resources/fundamentals-exams-study-resources/f5/technicalarticles/budgeting2.html#:~:text=A%20solution%20to%20this%20problem,to%20replace%20the%20expired%20period</w:t>
        </w:r>
      </w:hyperlink>
      <w:r w:rsidDel="00000000" w:rsidR="00000000" w:rsidRPr="00000000">
        <w:rPr>
          <w:rFonts w:ascii="Times New Roman" w:cs="Times New Roman" w:eastAsia="Times New Roman" w:hAnsi="Times New Roman"/>
          <w:color w:val="000000"/>
          <w:sz w:val="24"/>
          <w:szCs w:val="24"/>
          <w:rtl w:val="0"/>
        </w:rPr>
        <w:t xml:space="preserve">. [Accessed on: March 19th, 2025]</w:t>
      </w:r>
    </w:p>
    <w:p w:rsidR="00000000" w:rsidDel="00000000" w:rsidP="00000000" w:rsidRDefault="00000000" w:rsidRPr="00000000" w14:paraId="0000013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Accaglobal (2025) </w:t>
      </w:r>
      <w:r w:rsidDel="00000000" w:rsidR="00000000" w:rsidRPr="00000000">
        <w:rPr>
          <w:rFonts w:ascii="Times New Roman" w:cs="Times New Roman" w:eastAsia="Times New Roman" w:hAnsi="Times New Roman"/>
          <w:i w:val="1"/>
          <w:color w:val="000000"/>
          <w:sz w:val="24"/>
          <w:szCs w:val="24"/>
          <w:rtl w:val="0"/>
        </w:rPr>
        <w:t xml:space="preserve">Comparing budgeting techniques (Incremental v ZBB)</w:t>
      </w:r>
      <w:r w:rsidDel="00000000" w:rsidR="00000000" w:rsidRPr="00000000">
        <w:rPr>
          <w:rFonts w:ascii="Times New Roman" w:cs="Times New Roman" w:eastAsia="Times New Roman" w:hAnsi="Times New Roman"/>
          <w:color w:val="000000"/>
          <w:sz w:val="24"/>
          <w:szCs w:val="24"/>
          <w:rtl w:val="0"/>
        </w:rPr>
        <w:t xml:space="preserve">. Available at:</w:t>
      </w:r>
      <w:hyperlink r:id="rId7">
        <w:r w:rsidDel="00000000" w:rsidR="00000000" w:rsidRPr="00000000">
          <w:rPr>
            <w:rFonts w:ascii="Times New Roman" w:cs="Times New Roman" w:eastAsia="Times New Roman" w:hAnsi="Times New Roman"/>
            <w:color w:val="000000"/>
            <w:sz w:val="24"/>
            <w:szCs w:val="24"/>
            <w:rtl w:val="0"/>
          </w:rPr>
          <w:t xml:space="preserve"> https://www.accaglobal.com/gb/en/student/exam-support-resources/fundamentals-exams-study-resources/f5/technical-articles/comparing-budgeting-techniques.html#:~:text=Incremental%20budgeting,an%20increase%20of%20some%20kind</w:t>
        </w:r>
      </w:hyperlink>
      <w:r w:rsidDel="00000000" w:rsidR="00000000" w:rsidRPr="00000000">
        <w:rPr>
          <w:rFonts w:ascii="Times New Roman" w:cs="Times New Roman" w:eastAsia="Times New Roman" w:hAnsi="Times New Roman"/>
          <w:color w:val="000000"/>
          <w:sz w:val="24"/>
          <w:szCs w:val="24"/>
          <w:rtl w:val="0"/>
        </w:rPr>
        <w:t xml:space="preserve">. [Accessed on: March 19th, 2025]</w:t>
      </w:r>
    </w:p>
    <w:p w:rsidR="00000000" w:rsidDel="00000000" w:rsidP="00000000" w:rsidRDefault="00000000" w:rsidRPr="00000000" w14:paraId="00000134">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Adjei-Boateng, E.S. (2022) ‘A literature review on management practices among small and medium-sized enterprises’, </w:t>
      </w:r>
      <w:r w:rsidDel="00000000" w:rsidR="00000000" w:rsidRPr="00000000">
        <w:rPr>
          <w:rFonts w:ascii="Times New Roman" w:cs="Times New Roman" w:eastAsia="Times New Roman" w:hAnsi="Times New Roman"/>
          <w:i w:val="1"/>
          <w:color w:val="000000"/>
          <w:sz w:val="24"/>
          <w:szCs w:val="24"/>
          <w:rtl w:val="0"/>
        </w:rPr>
        <w:t xml:space="preserve">economics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pp. 1-23. Available at:</w:t>
      </w:r>
      <w:hyperlink r:id="rId8">
        <w:r w:rsidDel="00000000" w:rsidR="00000000" w:rsidRPr="00000000">
          <w:rPr>
            <w:rFonts w:ascii="Times New Roman" w:cs="Times New Roman" w:eastAsia="Times New Roman" w:hAnsi="Times New Roman"/>
            <w:color w:val="000000"/>
            <w:sz w:val="24"/>
            <w:szCs w:val="24"/>
            <w:rtl w:val="0"/>
          </w:rPr>
          <w:t xml:space="preserve"> https://scholarindexing.com/uploads/files/mhqyloi8102sbrv.pdf</w:t>
        </w:r>
      </w:hyperlink>
      <w:r w:rsidDel="00000000" w:rsidR="00000000" w:rsidRPr="00000000">
        <w:rPr>
          <w:rtl w:val="0"/>
        </w:rPr>
      </w:r>
    </w:p>
    <w:p w:rsidR="00000000" w:rsidDel="00000000" w:rsidP="00000000" w:rsidRDefault="00000000" w:rsidRPr="00000000" w14:paraId="0000013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Azevedo, R.R.D., Varela, P.S. and Suzart, J.A.D.S. (2024) ‘Emerging complexities in public accounting and budgeting’, </w:t>
      </w:r>
      <w:r w:rsidDel="00000000" w:rsidR="00000000" w:rsidRPr="00000000">
        <w:rPr>
          <w:rFonts w:ascii="Times New Roman" w:cs="Times New Roman" w:eastAsia="Times New Roman" w:hAnsi="Times New Roman"/>
          <w:i w:val="1"/>
          <w:color w:val="000000"/>
          <w:sz w:val="24"/>
          <w:szCs w:val="24"/>
          <w:highlight w:val="white"/>
          <w:rtl w:val="0"/>
        </w:rPr>
        <w:t xml:space="preserve">Reflections for a research agenda.</w:t>
      </w:r>
      <w:r w:rsidDel="00000000" w:rsidR="00000000" w:rsidRPr="00000000">
        <w:rPr>
          <w:rFonts w:ascii="Times New Roman" w:cs="Times New Roman" w:eastAsia="Times New Roman" w:hAnsi="Times New Roman"/>
          <w:color w:val="000000"/>
          <w:sz w:val="24"/>
          <w:szCs w:val="24"/>
          <w:highlight w:val="white"/>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 35</w:t>
      </w:r>
      <w:r w:rsidDel="00000000" w:rsidR="00000000" w:rsidRPr="00000000">
        <w:rPr>
          <w:rFonts w:ascii="Times New Roman" w:cs="Times New Roman" w:eastAsia="Times New Roman" w:hAnsi="Times New Roman"/>
          <w:color w:val="000000"/>
          <w:sz w:val="24"/>
          <w:szCs w:val="24"/>
          <w:rtl w:val="0"/>
        </w:rPr>
        <w:t xml:space="preserve">(96), p.e9047. Available at:</w:t>
      </w:r>
      <w:hyperlink r:id="rId9">
        <w:r w:rsidDel="00000000" w:rsidR="00000000" w:rsidRPr="00000000">
          <w:rPr>
            <w:rFonts w:ascii="Times New Roman" w:cs="Times New Roman" w:eastAsia="Times New Roman" w:hAnsi="Times New Roman"/>
            <w:color w:val="000000"/>
            <w:sz w:val="24"/>
            <w:szCs w:val="24"/>
            <w:rtl w:val="0"/>
          </w:rPr>
          <w:t xml:space="preserve"> https://www.scielo.br/j/rcf/a/ybJ9FPZynDScCkPVCxBvBMh/?format=pdf&amp;lang=en</w:t>
        </w:r>
      </w:hyperlink>
      <w:r w:rsidDel="00000000" w:rsidR="00000000" w:rsidRPr="00000000">
        <w:rPr>
          <w:rtl w:val="0"/>
        </w:rPr>
      </w:r>
    </w:p>
    <w:p w:rsidR="00000000" w:rsidDel="00000000" w:rsidP="00000000" w:rsidRDefault="00000000" w:rsidRPr="00000000" w14:paraId="0000013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Baker, H.K., Filbeck, G. and Barkley, T. (2023) ‘Working Capital Management: An Overview’, </w:t>
      </w:r>
      <w:r w:rsidDel="00000000" w:rsidR="00000000" w:rsidRPr="00000000">
        <w:rPr>
          <w:rFonts w:ascii="Times New Roman" w:cs="Times New Roman" w:eastAsia="Times New Roman" w:hAnsi="Times New Roman"/>
          <w:i w:val="1"/>
          <w:color w:val="000000"/>
          <w:sz w:val="24"/>
          <w:szCs w:val="24"/>
          <w:rtl w:val="0"/>
        </w:rPr>
        <w:t xml:space="preserve">Working Capital Management: Concepts And Strategies</w:t>
      </w:r>
      <w:r w:rsidDel="00000000" w:rsidR="00000000" w:rsidRPr="00000000">
        <w:rPr>
          <w:rFonts w:ascii="Times New Roman" w:cs="Times New Roman" w:eastAsia="Times New Roman" w:hAnsi="Times New Roman"/>
          <w:color w:val="000000"/>
          <w:sz w:val="24"/>
          <w:szCs w:val="24"/>
          <w:rtl w:val="0"/>
        </w:rPr>
        <w:t xml:space="preserve">, pp. 3-19. Available at:</w:t>
      </w:r>
      <w:hyperlink r:id="rId10">
        <w:r w:rsidDel="00000000" w:rsidR="00000000" w:rsidRPr="00000000">
          <w:rPr>
            <w:rFonts w:ascii="Times New Roman" w:cs="Times New Roman" w:eastAsia="Times New Roman" w:hAnsi="Times New Roman"/>
            <w:color w:val="000000"/>
            <w:sz w:val="24"/>
            <w:szCs w:val="24"/>
            <w:rtl w:val="0"/>
          </w:rPr>
          <w:t xml:space="preserve"> https://www.worldscientific.com/doi/pdf/10.1142/9789811259661_0001</w:t>
        </w:r>
      </w:hyperlink>
      <w:r w:rsidDel="00000000" w:rsidR="00000000" w:rsidRPr="00000000">
        <w:rPr>
          <w:rtl w:val="0"/>
        </w:rPr>
      </w:r>
    </w:p>
    <w:p w:rsidR="00000000" w:rsidDel="00000000" w:rsidP="00000000" w:rsidRDefault="00000000" w:rsidRPr="00000000" w14:paraId="00000137">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Corporatefinanceinstitute (2024) </w:t>
      </w:r>
      <w:r w:rsidDel="00000000" w:rsidR="00000000" w:rsidRPr="00000000">
        <w:rPr>
          <w:rFonts w:ascii="Times New Roman" w:cs="Times New Roman" w:eastAsia="Times New Roman" w:hAnsi="Times New Roman"/>
          <w:i w:val="1"/>
          <w:color w:val="000000"/>
          <w:sz w:val="24"/>
          <w:szCs w:val="24"/>
          <w:rtl w:val="0"/>
        </w:rPr>
        <w:t xml:space="preserve">Activity-Based Budgeting. </w:t>
      </w:r>
      <w:r w:rsidDel="00000000" w:rsidR="00000000" w:rsidRPr="00000000">
        <w:rPr>
          <w:rFonts w:ascii="Times New Roman" w:cs="Times New Roman" w:eastAsia="Times New Roman" w:hAnsi="Times New Roman"/>
          <w:color w:val="000000"/>
          <w:sz w:val="24"/>
          <w:szCs w:val="24"/>
          <w:rtl w:val="0"/>
        </w:rPr>
        <w:t xml:space="preserve">Available at:</w:t>
      </w:r>
      <w:hyperlink r:id="rId11">
        <w:r w:rsidDel="00000000" w:rsidR="00000000" w:rsidRPr="00000000">
          <w:rPr>
            <w:rFonts w:ascii="Times New Roman" w:cs="Times New Roman" w:eastAsia="Times New Roman" w:hAnsi="Times New Roman"/>
            <w:color w:val="000000"/>
            <w:sz w:val="24"/>
            <w:szCs w:val="24"/>
            <w:rtl w:val="0"/>
          </w:rPr>
          <w:t xml:space="preserve"> https://corporatefinanceinstitute.com/resources/fpa/activity-based-budgeting/</w:t>
        </w:r>
      </w:hyperlink>
      <w:r w:rsidDel="00000000" w:rsidR="00000000" w:rsidRPr="00000000">
        <w:rPr>
          <w:rFonts w:ascii="Times New Roman" w:cs="Times New Roman" w:eastAsia="Times New Roman" w:hAnsi="Times New Roman"/>
          <w:color w:val="000000"/>
          <w:sz w:val="24"/>
          <w:szCs w:val="24"/>
          <w:rtl w:val="0"/>
        </w:rPr>
        <w:t xml:space="preserve">. [Accessed on: March 19th, 2025] </w:t>
      </w:r>
    </w:p>
    <w:p w:rsidR="00000000" w:rsidDel="00000000" w:rsidP="00000000" w:rsidRDefault="00000000" w:rsidRPr="00000000" w14:paraId="00000138">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Corporatefinanceinstitute (2024) </w:t>
      </w:r>
      <w:r w:rsidDel="00000000" w:rsidR="00000000" w:rsidRPr="00000000">
        <w:rPr>
          <w:rFonts w:ascii="Times New Roman" w:cs="Times New Roman" w:eastAsia="Times New Roman" w:hAnsi="Times New Roman"/>
          <w:i w:val="1"/>
          <w:color w:val="000000"/>
          <w:sz w:val="24"/>
          <w:szCs w:val="24"/>
          <w:rtl w:val="0"/>
        </w:rPr>
        <w:t xml:space="preserve">Participative Budgeting</w:t>
      </w:r>
      <w:r w:rsidDel="00000000" w:rsidR="00000000" w:rsidRPr="00000000">
        <w:rPr>
          <w:rFonts w:ascii="Times New Roman" w:cs="Times New Roman" w:eastAsia="Times New Roman" w:hAnsi="Times New Roman"/>
          <w:color w:val="000000"/>
          <w:sz w:val="24"/>
          <w:szCs w:val="24"/>
          <w:rtl w:val="0"/>
        </w:rPr>
        <w:t xml:space="preserve">. Available at:</w:t>
      </w:r>
      <w:hyperlink r:id="rId12">
        <w:r w:rsidDel="00000000" w:rsidR="00000000" w:rsidRPr="00000000">
          <w:rPr>
            <w:rFonts w:ascii="Times New Roman" w:cs="Times New Roman" w:eastAsia="Times New Roman" w:hAnsi="Times New Roman"/>
            <w:color w:val="000000"/>
            <w:sz w:val="24"/>
            <w:szCs w:val="24"/>
            <w:rtl w:val="0"/>
          </w:rPr>
          <w:t xml:space="preserve"> https://corporatefinanceinstitute.com/resources/fpa/participative-budgeting/</w:t>
        </w:r>
      </w:hyperlink>
      <w:r w:rsidDel="00000000" w:rsidR="00000000" w:rsidRPr="00000000">
        <w:rPr>
          <w:rFonts w:ascii="Times New Roman" w:cs="Times New Roman" w:eastAsia="Times New Roman" w:hAnsi="Times New Roman"/>
          <w:color w:val="000000"/>
          <w:sz w:val="24"/>
          <w:szCs w:val="24"/>
          <w:rtl w:val="0"/>
        </w:rPr>
        <w:t xml:space="preserve">. [Accessed on: March 19th, 2025]</w:t>
      </w:r>
    </w:p>
    <w:p w:rsidR="00000000" w:rsidDel="00000000" w:rsidP="00000000" w:rsidRDefault="00000000" w:rsidRPr="00000000" w14:paraId="0000013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Drury, C. (2021) </w:t>
      </w:r>
      <w:r w:rsidDel="00000000" w:rsidR="00000000" w:rsidRPr="00000000">
        <w:rPr>
          <w:rFonts w:ascii="Times New Roman" w:cs="Times New Roman" w:eastAsia="Times New Roman" w:hAnsi="Times New Roman"/>
          <w:i w:val="1"/>
          <w:color w:val="000000"/>
          <w:sz w:val="24"/>
          <w:szCs w:val="24"/>
          <w:rtl w:val="0"/>
        </w:rPr>
        <w:t xml:space="preserve">Management and Cost Accounting</w:t>
      </w:r>
      <w:r w:rsidDel="00000000" w:rsidR="00000000" w:rsidRPr="00000000">
        <w:rPr>
          <w:rFonts w:ascii="Times New Roman" w:cs="Times New Roman" w:eastAsia="Times New Roman" w:hAnsi="Times New Roman"/>
          <w:color w:val="000000"/>
          <w:sz w:val="24"/>
          <w:szCs w:val="24"/>
          <w:rtl w:val="0"/>
        </w:rPr>
        <w:t xml:space="preserve">, (Eleventh Edition), London: Prentice Hall.</w:t>
      </w:r>
    </w:p>
    <w:p w:rsidR="00000000" w:rsidDel="00000000" w:rsidP="00000000" w:rsidRDefault="00000000" w:rsidRPr="00000000" w14:paraId="0000013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Engels, D. and Elphick-Pooley, T. (2022) ‘The potential of conditional cash transfers for the control of neglected tropical diseases’, </w:t>
      </w:r>
      <w:r w:rsidDel="00000000" w:rsidR="00000000" w:rsidRPr="00000000">
        <w:rPr>
          <w:rFonts w:ascii="Times New Roman" w:cs="Times New Roman" w:eastAsia="Times New Roman" w:hAnsi="Times New Roman"/>
          <w:i w:val="1"/>
          <w:color w:val="000000"/>
          <w:sz w:val="24"/>
          <w:szCs w:val="24"/>
          <w:rtl w:val="0"/>
        </w:rPr>
        <w:t xml:space="preserve">The Lancet Global Health</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10</w:t>
      </w:r>
      <w:r w:rsidDel="00000000" w:rsidR="00000000" w:rsidRPr="00000000">
        <w:rPr>
          <w:rFonts w:ascii="Times New Roman" w:cs="Times New Roman" w:eastAsia="Times New Roman" w:hAnsi="Times New Roman"/>
          <w:color w:val="000000"/>
          <w:sz w:val="24"/>
          <w:szCs w:val="24"/>
          <w:rtl w:val="0"/>
        </w:rPr>
        <w:t xml:space="preserve">(5), pp. 588-e589. Available at:</w:t>
      </w:r>
      <w:hyperlink r:id="rId13">
        <w:r w:rsidDel="00000000" w:rsidR="00000000" w:rsidRPr="00000000">
          <w:rPr>
            <w:rFonts w:ascii="Times New Roman" w:cs="Times New Roman" w:eastAsia="Times New Roman" w:hAnsi="Times New Roman"/>
            <w:color w:val="000000"/>
            <w:sz w:val="24"/>
            <w:szCs w:val="24"/>
            <w:rtl w:val="0"/>
          </w:rPr>
          <w:t xml:space="preserve"> https://www.thelancet.com/pdfs/journals/langlo/PIIS2214-109X(22)00115-2.pdf</w:t>
        </w:r>
      </w:hyperlink>
      <w:r w:rsidDel="00000000" w:rsidR="00000000" w:rsidRPr="00000000">
        <w:rPr>
          <w:rtl w:val="0"/>
        </w:rPr>
      </w:r>
    </w:p>
    <w:p w:rsidR="00000000" w:rsidDel="00000000" w:rsidP="00000000" w:rsidRDefault="00000000" w:rsidRPr="00000000" w14:paraId="0000013B">
      <w:pPr>
        <w:spacing w:after="120" w:before="12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Fridson, M.S. and Alvarez, F. (2022) </w:t>
      </w:r>
      <w:r w:rsidDel="00000000" w:rsidR="00000000" w:rsidRPr="00000000">
        <w:rPr>
          <w:rFonts w:ascii="Times New Roman" w:cs="Times New Roman" w:eastAsia="Times New Roman" w:hAnsi="Times New Roman"/>
          <w:i w:val="1"/>
          <w:color w:val="000000"/>
          <w:sz w:val="24"/>
          <w:szCs w:val="24"/>
          <w:highlight w:val="white"/>
          <w:rtl w:val="0"/>
        </w:rPr>
        <w:t xml:space="preserve">Financial statement analysis: a practitioner's guide</w:t>
      </w:r>
      <w:r w:rsidDel="00000000" w:rsidR="00000000" w:rsidRPr="00000000">
        <w:rPr>
          <w:rFonts w:ascii="Times New Roman" w:cs="Times New Roman" w:eastAsia="Times New Roman" w:hAnsi="Times New Roman"/>
          <w:color w:val="000000"/>
          <w:sz w:val="24"/>
          <w:szCs w:val="24"/>
          <w:highlight w:val="white"/>
          <w:rtl w:val="0"/>
        </w:rPr>
        <w:t xml:space="preserve">. John Wiley &amp; Sons.</w:t>
      </w:r>
    </w:p>
    <w:p w:rsidR="00000000" w:rsidDel="00000000" w:rsidP="00000000" w:rsidRDefault="00000000" w:rsidRPr="00000000" w14:paraId="0000013C">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Gitter, S.R., Manley, J., Bernstein, J. and Winters, P. (2022) ‘Do agricultural support and cash transfer programmes improve nutritional status’, </w:t>
      </w:r>
      <w:r w:rsidDel="00000000" w:rsidR="00000000" w:rsidRPr="00000000">
        <w:rPr>
          <w:rFonts w:ascii="Times New Roman" w:cs="Times New Roman" w:eastAsia="Times New Roman" w:hAnsi="Times New Roman"/>
          <w:i w:val="1"/>
          <w:color w:val="000000"/>
          <w:sz w:val="24"/>
          <w:szCs w:val="24"/>
          <w:rtl w:val="0"/>
        </w:rPr>
        <w:t xml:space="preserve">Journal of International Development</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34</w:t>
      </w:r>
      <w:r w:rsidDel="00000000" w:rsidR="00000000" w:rsidRPr="00000000">
        <w:rPr>
          <w:rFonts w:ascii="Times New Roman" w:cs="Times New Roman" w:eastAsia="Times New Roman" w:hAnsi="Times New Roman"/>
          <w:color w:val="000000"/>
          <w:sz w:val="24"/>
          <w:szCs w:val="24"/>
          <w:rtl w:val="0"/>
        </w:rPr>
        <w:t xml:space="preserve">(1), pp. 203-235. Available at:</w:t>
      </w:r>
      <w:hyperlink r:id="rId14">
        <w:r w:rsidDel="00000000" w:rsidR="00000000" w:rsidRPr="00000000">
          <w:rPr>
            <w:rFonts w:ascii="Times New Roman" w:cs="Times New Roman" w:eastAsia="Times New Roman" w:hAnsi="Times New Roman"/>
            <w:color w:val="000000"/>
            <w:sz w:val="24"/>
            <w:szCs w:val="24"/>
            <w:rtl w:val="0"/>
          </w:rPr>
          <w:t xml:space="preserve"> https://onlinelibrary.wiley.com/doi/am-pdf/10.1002/jid.3590</w:t>
        </w:r>
      </w:hyperlink>
      <w:r w:rsidDel="00000000" w:rsidR="00000000" w:rsidRPr="00000000">
        <w:rPr>
          <w:rtl w:val="0"/>
        </w:rPr>
      </w:r>
    </w:p>
    <w:p w:rsidR="00000000" w:rsidDel="00000000" w:rsidP="00000000" w:rsidRDefault="00000000" w:rsidRPr="00000000" w14:paraId="0000013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Horner, D. (2020), </w:t>
      </w:r>
      <w:r w:rsidDel="00000000" w:rsidR="00000000" w:rsidRPr="00000000">
        <w:rPr>
          <w:rFonts w:ascii="Times New Roman" w:cs="Times New Roman" w:eastAsia="Times New Roman" w:hAnsi="Times New Roman"/>
          <w:i w:val="1"/>
          <w:color w:val="000000"/>
          <w:sz w:val="24"/>
          <w:szCs w:val="24"/>
          <w:rtl w:val="0"/>
        </w:rPr>
        <w:t xml:space="preserve">Accounting for Non Accountants</w:t>
      </w:r>
      <w:r w:rsidDel="00000000" w:rsidR="00000000" w:rsidRPr="00000000">
        <w:rPr>
          <w:rFonts w:ascii="Times New Roman" w:cs="Times New Roman" w:eastAsia="Times New Roman" w:hAnsi="Times New Roman"/>
          <w:color w:val="000000"/>
          <w:sz w:val="24"/>
          <w:szCs w:val="24"/>
          <w:rtl w:val="0"/>
        </w:rPr>
        <w:t xml:space="preserve">, (Twelfth Edition), London; Kogan Press.</w:t>
      </w:r>
    </w:p>
    <w:p w:rsidR="00000000" w:rsidDel="00000000" w:rsidP="00000000" w:rsidRDefault="00000000" w:rsidRPr="00000000" w14:paraId="0000013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IBM (2025) </w:t>
      </w:r>
      <w:r w:rsidDel="00000000" w:rsidR="00000000" w:rsidRPr="00000000">
        <w:rPr>
          <w:rFonts w:ascii="Times New Roman" w:cs="Times New Roman" w:eastAsia="Times New Roman" w:hAnsi="Times New Roman"/>
          <w:i w:val="1"/>
          <w:color w:val="000000"/>
          <w:sz w:val="24"/>
          <w:szCs w:val="24"/>
          <w:rtl w:val="0"/>
        </w:rPr>
        <w:t xml:space="preserve">What is zero-based budgeting?</w:t>
      </w:r>
      <w:r w:rsidDel="00000000" w:rsidR="00000000" w:rsidRPr="00000000">
        <w:rPr>
          <w:rFonts w:ascii="Times New Roman" w:cs="Times New Roman" w:eastAsia="Times New Roman" w:hAnsi="Times New Roman"/>
          <w:color w:val="000000"/>
          <w:sz w:val="24"/>
          <w:szCs w:val="24"/>
          <w:rtl w:val="0"/>
        </w:rPr>
        <w:t xml:space="preserve"> Available at:</w:t>
      </w:r>
      <w:hyperlink r:id="rId15">
        <w:r w:rsidDel="00000000" w:rsidR="00000000" w:rsidRPr="00000000">
          <w:rPr>
            <w:rFonts w:ascii="Times New Roman" w:cs="Times New Roman" w:eastAsia="Times New Roman" w:hAnsi="Times New Roman"/>
            <w:color w:val="000000"/>
            <w:sz w:val="24"/>
            <w:szCs w:val="24"/>
            <w:rtl w:val="0"/>
          </w:rPr>
          <w:t xml:space="preserve"> https://www.ibm.com/think/topics/zero-based-budgeting</w:t>
        </w:r>
      </w:hyperlink>
      <w:r w:rsidDel="00000000" w:rsidR="00000000" w:rsidRPr="00000000">
        <w:rPr>
          <w:rFonts w:ascii="Times New Roman" w:cs="Times New Roman" w:eastAsia="Times New Roman" w:hAnsi="Times New Roman"/>
          <w:color w:val="000000"/>
          <w:sz w:val="24"/>
          <w:szCs w:val="24"/>
          <w:rtl w:val="0"/>
        </w:rPr>
        <w:t xml:space="preserve">. [Accessed on: March 19th, 2025]  </w:t>
      </w:r>
    </w:p>
    <w:p w:rsidR="00000000" w:rsidDel="00000000" w:rsidP="00000000" w:rsidRDefault="00000000" w:rsidRPr="00000000" w14:paraId="0000013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Indeed (2025) </w:t>
      </w:r>
      <w:r w:rsidDel="00000000" w:rsidR="00000000" w:rsidRPr="00000000">
        <w:rPr>
          <w:rFonts w:ascii="Times New Roman" w:cs="Times New Roman" w:eastAsia="Times New Roman" w:hAnsi="Times New Roman"/>
          <w:i w:val="1"/>
          <w:color w:val="000000"/>
          <w:sz w:val="24"/>
          <w:szCs w:val="24"/>
          <w:rtl w:val="0"/>
        </w:rPr>
        <w:t xml:space="preserve">What Is a Strategic Budget? Plus Types and How To Create One</w:t>
      </w:r>
      <w:r w:rsidDel="00000000" w:rsidR="00000000" w:rsidRPr="00000000">
        <w:rPr>
          <w:rFonts w:ascii="Times New Roman" w:cs="Times New Roman" w:eastAsia="Times New Roman" w:hAnsi="Times New Roman"/>
          <w:color w:val="000000"/>
          <w:sz w:val="24"/>
          <w:szCs w:val="24"/>
          <w:rtl w:val="0"/>
        </w:rPr>
        <w:t xml:space="preserve">.</w:t>
      </w:r>
      <w:hyperlink r:id="rId16">
        <w:r w:rsidDel="00000000" w:rsidR="00000000" w:rsidRPr="00000000">
          <w:rPr>
            <w:rFonts w:ascii="Times New Roman" w:cs="Times New Roman" w:eastAsia="Times New Roman" w:hAnsi="Times New Roman"/>
            <w:color w:val="000000"/>
            <w:sz w:val="24"/>
            <w:szCs w:val="24"/>
            <w:rtl w:val="0"/>
          </w:rPr>
          <w:t xml:space="preserve"> https://www.indeed.com/career-advice/career-development/strategic-budget</w:t>
        </w:r>
      </w:hyperlink>
      <w:r w:rsidDel="00000000" w:rsidR="00000000" w:rsidRPr="00000000">
        <w:rPr>
          <w:rFonts w:ascii="Times New Roman" w:cs="Times New Roman" w:eastAsia="Times New Roman" w:hAnsi="Times New Roman"/>
          <w:color w:val="000000"/>
          <w:sz w:val="24"/>
          <w:szCs w:val="24"/>
          <w:rtl w:val="0"/>
        </w:rPr>
        <w:t xml:space="preserve">. [Accessed on: March 19th, 2025]</w:t>
      </w:r>
    </w:p>
    <w:p w:rsidR="00000000" w:rsidDel="00000000" w:rsidP="00000000" w:rsidRDefault="00000000" w:rsidRPr="00000000" w14:paraId="00000140">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Kolitz, D. (2017) </w:t>
      </w:r>
      <w:r w:rsidDel="00000000" w:rsidR="00000000" w:rsidRPr="00000000">
        <w:rPr>
          <w:rFonts w:ascii="Times New Roman" w:cs="Times New Roman" w:eastAsia="Times New Roman" w:hAnsi="Times New Roman"/>
          <w:i w:val="1"/>
          <w:color w:val="000000"/>
          <w:sz w:val="24"/>
          <w:szCs w:val="24"/>
          <w:rtl w:val="0"/>
        </w:rPr>
        <w:t xml:space="preserve">Financial Accounting – A Concepts-based Introduction</w:t>
      </w:r>
      <w:r w:rsidDel="00000000" w:rsidR="00000000" w:rsidRPr="00000000">
        <w:rPr>
          <w:rFonts w:ascii="Times New Roman" w:cs="Times New Roman" w:eastAsia="Times New Roman" w:hAnsi="Times New Roman"/>
          <w:color w:val="000000"/>
          <w:sz w:val="24"/>
          <w:szCs w:val="24"/>
          <w:rtl w:val="0"/>
        </w:rPr>
        <w:t xml:space="preserve">, Oxon: Routledge</w:t>
      </w:r>
    </w:p>
    <w:p w:rsidR="00000000" w:rsidDel="00000000" w:rsidP="00000000" w:rsidRDefault="00000000" w:rsidRPr="00000000" w14:paraId="00000141">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Manley, J., Alderman, H. and Gentilini, U. (2022) ‘More evidence on cash transfers and child nutritional outcomes: a systematic review and meta-analysis’, </w:t>
      </w:r>
      <w:r w:rsidDel="00000000" w:rsidR="00000000" w:rsidRPr="00000000">
        <w:rPr>
          <w:rFonts w:ascii="Times New Roman" w:cs="Times New Roman" w:eastAsia="Times New Roman" w:hAnsi="Times New Roman"/>
          <w:i w:val="1"/>
          <w:color w:val="000000"/>
          <w:sz w:val="24"/>
          <w:szCs w:val="24"/>
          <w:rtl w:val="0"/>
        </w:rPr>
        <w:t xml:space="preserve">BMJ global health</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(4), pp. 008233. Available at:</w:t>
      </w:r>
      <w:hyperlink r:id="rId17">
        <w:r w:rsidDel="00000000" w:rsidR="00000000" w:rsidRPr="00000000">
          <w:rPr>
            <w:rFonts w:ascii="Times New Roman" w:cs="Times New Roman" w:eastAsia="Times New Roman" w:hAnsi="Times New Roman"/>
            <w:color w:val="000000"/>
            <w:sz w:val="24"/>
            <w:szCs w:val="24"/>
            <w:rtl w:val="0"/>
          </w:rPr>
          <w:t xml:space="preserve"> https://gh.bmj.com/content/bmjgh/7/4/e008233.full.pdf</w:t>
        </w:r>
      </w:hyperlink>
      <w:r w:rsidDel="00000000" w:rsidR="00000000" w:rsidRPr="00000000">
        <w:rPr>
          <w:rtl w:val="0"/>
        </w:rPr>
      </w:r>
    </w:p>
    <w:p w:rsidR="00000000" w:rsidDel="00000000" w:rsidP="00000000" w:rsidRDefault="00000000" w:rsidRPr="00000000" w14:paraId="00000142">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Matějka, M., Merchant, K.A. and O'Grady, W. (2021) ‘An empirical investigation of beyond budgeting practices’, </w:t>
      </w:r>
      <w:r w:rsidDel="00000000" w:rsidR="00000000" w:rsidRPr="00000000">
        <w:rPr>
          <w:rFonts w:ascii="Times New Roman" w:cs="Times New Roman" w:eastAsia="Times New Roman" w:hAnsi="Times New Roman"/>
          <w:i w:val="1"/>
          <w:color w:val="000000"/>
          <w:sz w:val="24"/>
          <w:szCs w:val="24"/>
          <w:rtl w:val="0"/>
        </w:rPr>
        <w:t xml:space="preserve">Journal of Management Accounting Research</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33</w:t>
      </w:r>
      <w:r w:rsidDel="00000000" w:rsidR="00000000" w:rsidRPr="00000000">
        <w:rPr>
          <w:rFonts w:ascii="Times New Roman" w:cs="Times New Roman" w:eastAsia="Times New Roman" w:hAnsi="Times New Roman"/>
          <w:color w:val="000000"/>
          <w:sz w:val="24"/>
          <w:szCs w:val="24"/>
          <w:rtl w:val="0"/>
        </w:rPr>
        <w:t xml:space="preserve">(2), pp. 167-189. Available at:</w:t>
      </w:r>
      <w:hyperlink r:id="rId18">
        <w:r w:rsidDel="00000000" w:rsidR="00000000" w:rsidRPr="00000000">
          <w:rPr>
            <w:rFonts w:ascii="Times New Roman" w:cs="Times New Roman" w:eastAsia="Times New Roman" w:hAnsi="Times New Roman"/>
            <w:color w:val="000000"/>
            <w:sz w:val="24"/>
            <w:szCs w:val="24"/>
            <w:rtl w:val="0"/>
          </w:rPr>
          <w:t xml:space="preserve"> https://publications.aaahq.org/jmar/article-abstract/33/2/167/490</w:t>
        </w:r>
      </w:hyperlink>
      <w:r w:rsidDel="00000000" w:rsidR="00000000" w:rsidRPr="00000000">
        <w:rPr>
          <w:rtl w:val="0"/>
        </w:rPr>
      </w:r>
    </w:p>
    <w:p w:rsidR="00000000" w:rsidDel="00000000" w:rsidP="00000000" w:rsidRDefault="00000000" w:rsidRPr="00000000" w14:paraId="00000143">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Michelon, P.D.S., Lunkes, R.J. and Bornia, A.C. (2020) ‘Capital budgeting: a systematic review of the literature. </w:t>
      </w:r>
      <w:r w:rsidDel="00000000" w:rsidR="00000000" w:rsidRPr="00000000">
        <w:rPr>
          <w:rFonts w:ascii="Times New Roman" w:cs="Times New Roman" w:eastAsia="Times New Roman" w:hAnsi="Times New Roman"/>
          <w:i w:val="1"/>
          <w:color w:val="000000"/>
          <w:sz w:val="24"/>
          <w:szCs w:val="24"/>
          <w:rtl w:val="0"/>
        </w:rPr>
        <w:t xml:space="preserve">Production</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30</w:t>
      </w:r>
      <w:r w:rsidDel="00000000" w:rsidR="00000000" w:rsidRPr="00000000">
        <w:rPr>
          <w:rFonts w:ascii="Times New Roman" w:cs="Times New Roman" w:eastAsia="Times New Roman" w:hAnsi="Times New Roman"/>
          <w:color w:val="000000"/>
          <w:sz w:val="24"/>
          <w:szCs w:val="24"/>
          <w:rtl w:val="0"/>
        </w:rPr>
        <w:t xml:space="preserve">, pp. 20190020. Available at:</w:t>
      </w:r>
      <w:hyperlink r:id="rId19">
        <w:r w:rsidDel="00000000" w:rsidR="00000000" w:rsidRPr="00000000">
          <w:rPr>
            <w:rFonts w:ascii="Times New Roman" w:cs="Times New Roman" w:eastAsia="Times New Roman" w:hAnsi="Times New Roman"/>
            <w:color w:val="000000"/>
            <w:sz w:val="24"/>
            <w:szCs w:val="24"/>
            <w:rtl w:val="0"/>
          </w:rPr>
          <w:t xml:space="preserve"> https://www.scielo.br/j/prod/a/hmG8LRqDCcjVvKT7BHLKyhG/?format=pdf&amp;lang=en</w:t>
        </w:r>
      </w:hyperlink>
      <w:r w:rsidDel="00000000" w:rsidR="00000000" w:rsidRPr="00000000">
        <w:rPr>
          <w:rtl w:val="0"/>
        </w:rPr>
      </w:r>
    </w:p>
    <w:p w:rsidR="00000000" w:rsidDel="00000000" w:rsidP="00000000" w:rsidRDefault="00000000" w:rsidRPr="00000000" w14:paraId="00000144">
      <w:pPr>
        <w:spacing w:after="120" w:before="12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Morgan, K., Callan, P., Mark, A., Niewolny, K., Nartea, T., Scott, K., Hilleary, J., Li, Y. and Bovay, J. (2022) </w:t>
      </w:r>
      <w:r w:rsidDel="00000000" w:rsidR="00000000" w:rsidRPr="00000000">
        <w:rPr>
          <w:rFonts w:ascii="Times New Roman" w:cs="Times New Roman" w:eastAsia="Times New Roman" w:hAnsi="Times New Roman"/>
          <w:i w:val="1"/>
          <w:color w:val="000000"/>
          <w:sz w:val="24"/>
          <w:szCs w:val="24"/>
          <w:highlight w:val="white"/>
          <w:rtl w:val="0"/>
        </w:rPr>
        <w:t xml:space="preserve">Farm Financial Risk Management Series Part I: Overview of Financial Systems for New and Beginning Farmers</w:t>
      </w:r>
      <w:r w:rsidDel="00000000" w:rsidR="00000000" w:rsidRPr="00000000">
        <w:rPr>
          <w:rFonts w:ascii="Times New Roman" w:cs="Times New Roman" w:eastAsia="Times New Roman" w:hAnsi="Times New Roman"/>
          <w:color w:val="000000"/>
          <w:sz w:val="24"/>
          <w:szCs w:val="24"/>
          <w:highlight w:val="white"/>
          <w:rtl w:val="0"/>
        </w:rPr>
        <w:t xml:space="preserve">. Available at:</w:t>
      </w:r>
      <w:hyperlink r:id="rId20">
        <w:r w:rsidDel="00000000" w:rsidR="00000000" w:rsidRPr="00000000">
          <w:rPr>
            <w:rFonts w:ascii="Times New Roman" w:cs="Times New Roman" w:eastAsia="Times New Roman" w:hAnsi="Times New Roman"/>
            <w:color w:val="000000"/>
            <w:sz w:val="24"/>
            <w:szCs w:val="24"/>
            <w:highlight w:val="white"/>
            <w:rtl w:val="0"/>
          </w:rPr>
          <w:t xml:space="preserve"> https://vtechworks.lib.vt.edu/bitstreams/8d643943-ba3d-47d6-add8-a3cfe29cce12/download</w:t>
        </w:r>
      </w:hyperlink>
      <w:r w:rsidDel="00000000" w:rsidR="00000000" w:rsidRPr="00000000">
        <w:rPr>
          <w:rtl w:val="0"/>
        </w:rPr>
      </w:r>
    </w:p>
    <w:p w:rsidR="00000000" w:rsidDel="00000000" w:rsidP="00000000" w:rsidRDefault="00000000" w:rsidRPr="00000000" w14:paraId="00000145">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Musiega, A., Tsofa, B., Nyawira, L., Njuguna, R.G., Munywoki, J., Hanson, K., Mulwa, A., Molyneux, S., Maina, I., Normand, C. and Jemutai, J. (2023) ‘Examining the influence of budget execution processes on the efficiency of county health systems’, </w:t>
      </w:r>
      <w:r w:rsidDel="00000000" w:rsidR="00000000" w:rsidRPr="00000000">
        <w:rPr>
          <w:rFonts w:ascii="Times New Roman" w:cs="Times New Roman" w:eastAsia="Times New Roman" w:hAnsi="Times New Roman"/>
          <w:i w:val="1"/>
          <w:color w:val="000000"/>
          <w:sz w:val="24"/>
          <w:szCs w:val="24"/>
          <w:rtl w:val="0"/>
        </w:rPr>
        <w:t xml:space="preserve">Health policy and planning</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38</w:t>
      </w:r>
      <w:r w:rsidDel="00000000" w:rsidR="00000000" w:rsidRPr="00000000">
        <w:rPr>
          <w:rFonts w:ascii="Times New Roman" w:cs="Times New Roman" w:eastAsia="Times New Roman" w:hAnsi="Times New Roman"/>
          <w:color w:val="000000"/>
          <w:sz w:val="24"/>
          <w:szCs w:val="24"/>
          <w:rtl w:val="0"/>
        </w:rPr>
        <w:t xml:space="preserve">(3), pp. 351-362. Available at:</w:t>
      </w:r>
      <w:hyperlink r:id="rId21">
        <w:r w:rsidDel="00000000" w:rsidR="00000000" w:rsidRPr="00000000">
          <w:rPr>
            <w:rFonts w:ascii="Times New Roman" w:cs="Times New Roman" w:eastAsia="Times New Roman" w:hAnsi="Times New Roman"/>
            <w:color w:val="000000"/>
            <w:sz w:val="24"/>
            <w:szCs w:val="24"/>
            <w:rtl w:val="0"/>
          </w:rPr>
          <w:t xml:space="preserve"> https://academic.oup.com/heapol/article-pdf/38/3/351/50854791/czac098.pdf</w:t>
        </w:r>
      </w:hyperlink>
      <w:r w:rsidDel="00000000" w:rsidR="00000000" w:rsidRPr="00000000">
        <w:rPr>
          <w:rtl w:val="0"/>
        </w:rPr>
      </w:r>
    </w:p>
    <w:p w:rsidR="00000000" w:rsidDel="00000000" w:rsidP="00000000" w:rsidRDefault="00000000" w:rsidRPr="00000000" w14:paraId="00000146">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Okeke, N.I., Bakare, O.A. and Achumie, G.O. (2024) ‘Forecasting financial stability in SMEs: A comprehensive analysis of strategic budgeting and revenue management’, </w:t>
      </w:r>
      <w:r w:rsidDel="00000000" w:rsidR="00000000" w:rsidRPr="00000000">
        <w:rPr>
          <w:rFonts w:ascii="Times New Roman" w:cs="Times New Roman" w:eastAsia="Times New Roman" w:hAnsi="Times New Roman"/>
          <w:i w:val="1"/>
          <w:color w:val="000000"/>
          <w:sz w:val="24"/>
          <w:szCs w:val="24"/>
          <w:rtl w:val="0"/>
        </w:rPr>
        <w:t xml:space="preserve">Open Access Research Journal of Multidisciplinary Studies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8</w:t>
      </w:r>
      <w:r w:rsidDel="00000000" w:rsidR="00000000" w:rsidRPr="00000000">
        <w:rPr>
          <w:rFonts w:ascii="Times New Roman" w:cs="Times New Roman" w:eastAsia="Times New Roman" w:hAnsi="Times New Roman"/>
          <w:color w:val="000000"/>
          <w:sz w:val="24"/>
          <w:szCs w:val="24"/>
          <w:rtl w:val="0"/>
        </w:rPr>
        <w:t xml:space="preserve">(1), pp. 139-149. Available at:</w:t>
      </w:r>
      <w:hyperlink r:id="rId22">
        <w:r w:rsidDel="00000000" w:rsidR="00000000" w:rsidRPr="00000000">
          <w:rPr>
            <w:rFonts w:ascii="Times New Roman" w:cs="Times New Roman" w:eastAsia="Times New Roman" w:hAnsi="Times New Roman"/>
            <w:color w:val="000000"/>
            <w:sz w:val="24"/>
            <w:szCs w:val="24"/>
            <w:rtl w:val="0"/>
          </w:rPr>
          <w:t xml:space="preserve"> https://www.researchgate.net/profile/Njideka-Okeke/publication/384543440_Forecasting_financial_stability_in_SMEs_A_comprehensive_analysis_of_strategic_budgeting_and_revenue_management/links/673bc9b6b94c451c11607070/Forecasting-financial-stability-in-SMEs-A-comprehensive-analysis-of-strategic-budgeting-and-revenue-management.pdf</w:t>
        </w:r>
      </w:hyperlink>
      <w:r w:rsidDel="00000000" w:rsidR="00000000" w:rsidRPr="00000000">
        <w:rPr>
          <w:rtl w:val="0"/>
        </w:rPr>
      </w:r>
    </w:p>
    <w:p w:rsidR="00000000" w:rsidDel="00000000" w:rsidP="00000000" w:rsidRDefault="00000000" w:rsidRPr="00000000" w14:paraId="00000147">
      <w:pPr>
        <w:spacing w:after="120" w:before="12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Revsine, L., Collins, D.W. and Johnson, W.B. (2021) </w:t>
      </w:r>
      <w:r w:rsidDel="00000000" w:rsidR="00000000" w:rsidRPr="00000000">
        <w:rPr>
          <w:rFonts w:ascii="Times New Roman" w:cs="Times New Roman" w:eastAsia="Times New Roman" w:hAnsi="Times New Roman"/>
          <w:i w:val="1"/>
          <w:color w:val="000000"/>
          <w:sz w:val="24"/>
          <w:szCs w:val="24"/>
          <w:highlight w:val="white"/>
          <w:rtl w:val="0"/>
        </w:rPr>
        <w:t xml:space="preserve">Financial reporting &amp; analysis</w:t>
      </w:r>
      <w:r w:rsidDel="00000000" w:rsidR="00000000" w:rsidRPr="00000000">
        <w:rPr>
          <w:rFonts w:ascii="Times New Roman" w:cs="Times New Roman" w:eastAsia="Times New Roman" w:hAnsi="Times New Roman"/>
          <w:color w:val="000000"/>
          <w:sz w:val="24"/>
          <w:szCs w:val="24"/>
          <w:highlight w:val="white"/>
          <w:rtl w:val="0"/>
        </w:rPr>
        <w:t xml:space="preserve">. McGraw-Hill.</w:t>
      </w:r>
    </w:p>
    <w:p w:rsidR="00000000" w:rsidDel="00000000" w:rsidP="00000000" w:rsidRDefault="00000000" w:rsidRPr="00000000" w14:paraId="00000148">
      <w:pPr>
        <w:spacing w:after="120" w:before="12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Robert, C.H., Jennifer, L.K. and Todd, M. (2023) </w:t>
      </w:r>
      <w:r w:rsidDel="00000000" w:rsidR="00000000" w:rsidRPr="00000000">
        <w:rPr>
          <w:rFonts w:ascii="Times New Roman" w:cs="Times New Roman" w:eastAsia="Times New Roman" w:hAnsi="Times New Roman"/>
          <w:i w:val="1"/>
          <w:color w:val="000000"/>
          <w:sz w:val="24"/>
          <w:szCs w:val="24"/>
          <w:highlight w:val="white"/>
          <w:rtl w:val="0"/>
        </w:rPr>
        <w:t xml:space="preserve">Analysis for financial management</w:t>
      </w:r>
      <w:r w:rsidDel="00000000" w:rsidR="00000000" w:rsidRPr="00000000">
        <w:rPr>
          <w:rFonts w:ascii="Times New Roman" w:cs="Times New Roman" w:eastAsia="Times New Roman" w:hAnsi="Times New Roman"/>
          <w:color w:val="000000"/>
          <w:sz w:val="24"/>
          <w:szCs w:val="24"/>
          <w:highlight w:val="white"/>
          <w:rtl w:val="0"/>
        </w:rPr>
        <w:t xml:space="preserve">. McGraw-Hill Education.</w:t>
      </w:r>
    </w:p>
    <w:p w:rsidR="00000000" w:rsidDel="00000000" w:rsidP="00000000" w:rsidRDefault="00000000" w:rsidRPr="00000000" w14:paraId="00000149">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Scannell, S. and Tawiah, V. (2024) ‘A thematic literature review on international public sector accounting standards (IPSAS)’, </w:t>
      </w:r>
      <w:r w:rsidDel="00000000" w:rsidR="00000000" w:rsidRPr="00000000">
        <w:rPr>
          <w:rFonts w:ascii="Times New Roman" w:cs="Times New Roman" w:eastAsia="Times New Roman" w:hAnsi="Times New Roman"/>
          <w:i w:val="1"/>
          <w:color w:val="000000"/>
          <w:sz w:val="24"/>
          <w:szCs w:val="24"/>
          <w:rtl w:val="0"/>
        </w:rPr>
        <w:t xml:space="preserve">Public Organization Review</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24</w:t>
      </w:r>
      <w:r w:rsidDel="00000000" w:rsidR="00000000" w:rsidRPr="00000000">
        <w:rPr>
          <w:rFonts w:ascii="Times New Roman" w:cs="Times New Roman" w:eastAsia="Times New Roman" w:hAnsi="Times New Roman"/>
          <w:color w:val="000000"/>
          <w:sz w:val="24"/>
          <w:szCs w:val="24"/>
          <w:rtl w:val="0"/>
        </w:rPr>
        <w:t xml:space="preserve">(3), pp. 1053-1075. Available at:</w:t>
      </w:r>
      <w:hyperlink r:id="rId23">
        <w:r w:rsidDel="00000000" w:rsidR="00000000" w:rsidRPr="00000000">
          <w:rPr>
            <w:rFonts w:ascii="Times New Roman" w:cs="Times New Roman" w:eastAsia="Times New Roman" w:hAnsi="Times New Roman"/>
            <w:color w:val="000000"/>
            <w:sz w:val="24"/>
            <w:szCs w:val="24"/>
            <w:rtl w:val="0"/>
          </w:rPr>
          <w:t xml:space="preserve"> https://link.springer.com/content/pdf/10.1007/s11115-024-00773-1.pdf</w:t>
        </w:r>
      </w:hyperlink>
      <w:r w:rsidDel="00000000" w:rsidR="00000000" w:rsidRPr="00000000">
        <w:rPr>
          <w:rtl w:val="0"/>
        </w:rPr>
      </w:r>
    </w:p>
    <w:p w:rsidR="00000000" w:rsidDel="00000000" w:rsidP="00000000" w:rsidRDefault="00000000" w:rsidRPr="00000000" w14:paraId="0000014A">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Schroeder, R.G., Clark, M.W. and Cathey, J.M. (2022) </w:t>
      </w:r>
      <w:r w:rsidDel="00000000" w:rsidR="00000000" w:rsidRPr="00000000">
        <w:rPr>
          <w:rFonts w:ascii="Times New Roman" w:cs="Times New Roman" w:eastAsia="Times New Roman" w:hAnsi="Times New Roman"/>
          <w:i w:val="1"/>
          <w:color w:val="000000"/>
          <w:sz w:val="24"/>
          <w:szCs w:val="24"/>
          <w:highlight w:val="white"/>
          <w:rtl w:val="0"/>
        </w:rPr>
        <w:t xml:space="preserve">Financial accounting theory and analysis: text and cases</w:t>
      </w:r>
      <w:r w:rsidDel="00000000" w:rsidR="00000000" w:rsidRPr="00000000">
        <w:rPr>
          <w:rFonts w:ascii="Times New Roman" w:cs="Times New Roman" w:eastAsia="Times New Roman" w:hAnsi="Times New Roman"/>
          <w:color w:val="000000"/>
          <w:sz w:val="24"/>
          <w:szCs w:val="24"/>
          <w:highlight w:val="white"/>
          <w:rtl w:val="0"/>
        </w:rPr>
        <w:t xml:space="preserve">. John Wiley &amp; Sons.</w:t>
      </w:r>
      <w:r w:rsidDel="00000000" w:rsidR="00000000" w:rsidRPr="00000000">
        <w:rPr>
          <w:rtl w:val="0"/>
        </w:rPr>
      </w:r>
    </w:p>
    <w:p w:rsidR="00000000" w:rsidDel="00000000" w:rsidP="00000000" w:rsidRDefault="00000000" w:rsidRPr="00000000" w14:paraId="0000014B">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Seal, W., Garrison, R.H, and Noreen, E. (2018) </w:t>
      </w:r>
      <w:r w:rsidDel="00000000" w:rsidR="00000000" w:rsidRPr="00000000">
        <w:rPr>
          <w:rFonts w:ascii="Times New Roman" w:cs="Times New Roman" w:eastAsia="Times New Roman" w:hAnsi="Times New Roman"/>
          <w:i w:val="1"/>
          <w:color w:val="000000"/>
          <w:sz w:val="24"/>
          <w:szCs w:val="24"/>
          <w:rtl w:val="0"/>
        </w:rPr>
        <w:t xml:space="preserve">Management Accounting</w:t>
      </w:r>
      <w:r w:rsidDel="00000000" w:rsidR="00000000" w:rsidRPr="00000000">
        <w:rPr>
          <w:rFonts w:ascii="Times New Roman" w:cs="Times New Roman" w:eastAsia="Times New Roman" w:hAnsi="Times New Roman"/>
          <w:color w:val="000000"/>
          <w:sz w:val="24"/>
          <w:szCs w:val="24"/>
          <w:rtl w:val="0"/>
        </w:rPr>
        <w:t xml:space="preserve">, (Sixth Edition), UK: McGraw Hill</w:t>
      </w:r>
    </w:p>
    <w:p w:rsidR="00000000" w:rsidDel="00000000" w:rsidP="00000000" w:rsidRDefault="00000000" w:rsidRPr="00000000" w14:paraId="0000014C">
      <w:pPr>
        <w:spacing w:after="120" w:before="120"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Skrok, E., Gąska, J., Hołda, P. and Koehler-Geib, F. (2020) </w:t>
      </w:r>
      <w:r w:rsidDel="00000000" w:rsidR="00000000" w:rsidRPr="00000000">
        <w:rPr>
          <w:rFonts w:ascii="Times New Roman" w:cs="Times New Roman" w:eastAsia="Times New Roman" w:hAnsi="Times New Roman"/>
          <w:i w:val="1"/>
          <w:color w:val="000000"/>
          <w:sz w:val="24"/>
          <w:szCs w:val="24"/>
          <w:highlight w:val="white"/>
          <w:rtl w:val="0"/>
        </w:rPr>
        <w:t xml:space="preserve">Having or Complying with Fiscal Rules?: Insights for Small Countries in LAC</w:t>
      </w:r>
      <w:r w:rsidDel="00000000" w:rsidR="00000000" w:rsidRPr="00000000">
        <w:rPr>
          <w:rFonts w:ascii="Times New Roman" w:cs="Times New Roman" w:eastAsia="Times New Roman" w:hAnsi="Times New Roman"/>
          <w:color w:val="000000"/>
          <w:sz w:val="24"/>
          <w:szCs w:val="24"/>
          <w:highlight w:val="white"/>
          <w:rtl w:val="0"/>
        </w:rPr>
        <w:t xml:space="preserve">. Available at:</w:t>
      </w:r>
      <w:hyperlink r:id="rId24">
        <w:r w:rsidDel="00000000" w:rsidR="00000000" w:rsidRPr="00000000">
          <w:rPr>
            <w:rFonts w:ascii="Times New Roman" w:cs="Times New Roman" w:eastAsia="Times New Roman" w:hAnsi="Times New Roman"/>
            <w:color w:val="000000"/>
            <w:sz w:val="24"/>
            <w:szCs w:val="24"/>
            <w:highlight w:val="white"/>
            <w:rtl w:val="0"/>
          </w:rPr>
          <w:t xml:space="preserve"> https://documents1.worldbank.org/curated/en/713471597692712343/pdf/Having-or-Complying-with-Fiscal-Rules-Insights-for-Small-Countries-in-LAC.pdf</w:t>
        </w:r>
      </w:hyperlink>
      <w:r w:rsidDel="00000000" w:rsidR="00000000" w:rsidRPr="00000000">
        <w:rPr>
          <w:rtl w:val="0"/>
        </w:rPr>
      </w:r>
    </w:p>
    <w:p w:rsidR="00000000" w:rsidDel="00000000" w:rsidP="00000000" w:rsidRDefault="00000000" w:rsidRPr="00000000" w14:paraId="0000014D">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Udoh, S. (2022) ‘Review of financial management in private firms: Unlocking the cash management model’, </w:t>
      </w:r>
      <w:r w:rsidDel="00000000" w:rsidR="00000000" w:rsidRPr="00000000">
        <w:rPr>
          <w:rFonts w:ascii="Times New Roman" w:cs="Times New Roman" w:eastAsia="Times New Roman" w:hAnsi="Times New Roman"/>
          <w:i w:val="1"/>
          <w:color w:val="000000"/>
          <w:sz w:val="24"/>
          <w:szCs w:val="24"/>
          <w:rtl w:val="0"/>
        </w:rPr>
        <w:t xml:space="preserve">International Journal of Entrepreneurial Knowledge</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10</w:t>
      </w:r>
      <w:r w:rsidDel="00000000" w:rsidR="00000000" w:rsidRPr="00000000">
        <w:rPr>
          <w:rFonts w:ascii="Times New Roman" w:cs="Times New Roman" w:eastAsia="Times New Roman" w:hAnsi="Times New Roman"/>
          <w:color w:val="000000"/>
          <w:sz w:val="24"/>
          <w:szCs w:val="24"/>
          <w:rtl w:val="0"/>
        </w:rPr>
        <w:t xml:space="preserve">(2), pp. 95-106. Available at:</w:t>
      </w:r>
      <w:hyperlink r:id="rId25">
        <w:r w:rsidDel="00000000" w:rsidR="00000000" w:rsidRPr="00000000">
          <w:rPr>
            <w:rFonts w:ascii="Times New Roman" w:cs="Times New Roman" w:eastAsia="Times New Roman" w:hAnsi="Times New Roman"/>
            <w:color w:val="000000"/>
            <w:sz w:val="24"/>
            <w:szCs w:val="24"/>
            <w:rtl w:val="0"/>
          </w:rPr>
          <w:t xml:space="preserve"> https://www.ijek.org/index.php/IJEK/article/download/172/145</w:t>
        </w:r>
      </w:hyperlink>
      <w:r w:rsidDel="00000000" w:rsidR="00000000" w:rsidRPr="00000000">
        <w:rPr>
          <w:rtl w:val="0"/>
        </w:rPr>
      </w:r>
    </w:p>
    <w:p w:rsidR="00000000" w:rsidDel="00000000" w:rsidP="00000000" w:rsidRDefault="00000000" w:rsidRPr="00000000" w14:paraId="0000014E">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Van Daalen, K.R., Dada, S., James, R., Ashworth, H.C., Khorsand, P., Lim, J., Mooney, C., Khankan, Y., Essar, M.Y., Kuhn, I. and Juillard, H. (2022) ‘Impact of conditional and unconditional cash transfers on health outcomes and use of health services in humanitarian settings: a mixed-methods systematic review’, </w:t>
      </w:r>
      <w:r w:rsidDel="00000000" w:rsidR="00000000" w:rsidRPr="00000000">
        <w:rPr>
          <w:rFonts w:ascii="Times New Roman" w:cs="Times New Roman" w:eastAsia="Times New Roman" w:hAnsi="Times New Roman"/>
          <w:i w:val="1"/>
          <w:color w:val="000000"/>
          <w:sz w:val="24"/>
          <w:szCs w:val="24"/>
          <w:rtl w:val="0"/>
        </w:rPr>
        <w:t xml:space="preserve">BMJ Global Health</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7</w:t>
      </w:r>
      <w:r w:rsidDel="00000000" w:rsidR="00000000" w:rsidRPr="00000000">
        <w:rPr>
          <w:rFonts w:ascii="Times New Roman" w:cs="Times New Roman" w:eastAsia="Times New Roman" w:hAnsi="Times New Roman"/>
          <w:color w:val="000000"/>
          <w:sz w:val="24"/>
          <w:szCs w:val="24"/>
          <w:rtl w:val="0"/>
        </w:rPr>
        <w:t xml:space="preserve">(1), pp. 007902. Available at:</w:t>
      </w:r>
      <w:hyperlink r:id="rId26">
        <w:r w:rsidDel="00000000" w:rsidR="00000000" w:rsidRPr="00000000">
          <w:rPr>
            <w:rFonts w:ascii="Times New Roman" w:cs="Times New Roman" w:eastAsia="Times New Roman" w:hAnsi="Times New Roman"/>
            <w:color w:val="000000"/>
            <w:sz w:val="24"/>
            <w:szCs w:val="24"/>
            <w:rtl w:val="0"/>
          </w:rPr>
          <w:t xml:space="preserve"> https://gh.bmj.com/content/bmjgh/7/1/e007902.full.pdf</w:t>
        </w:r>
      </w:hyperlink>
      <w:r w:rsidDel="00000000" w:rsidR="00000000" w:rsidRPr="00000000">
        <w:rPr>
          <w:rtl w:val="0"/>
        </w:rPr>
      </w:r>
    </w:p>
    <w:p w:rsidR="00000000" w:rsidDel="00000000" w:rsidP="00000000" w:rsidRDefault="00000000" w:rsidRPr="00000000" w14:paraId="0000014F">
      <w:pPr>
        <w:spacing w:after="120" w:before="120"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highlight w:val="white"/>
          <w:rtl w:val="0"/>
        </w:rPr>
        <w:t xml:space="preserve">Vuong, T.K. (2023) ‘The State of Art in the Effective Budget Process for Small and Medium-Sized Enterprises’, </w:t>
      </w:r>
      <w:r w:rsidDel="00000000" w:rsidR="00000000" w:rsidRPr="00000000">
        <w:rPr>
          <w:rFonts w:ascii="Times New Roman" w:cs="Times New Roman" w:eastAsia="Times New Roman" w:hAnsi="Times New Roman"/>
          <w:i w:val="1"/>
          <w:color w:val="000000"/>
          <w:sz w:val="24"/>
          <w:szCs w:val="24"/>
          <w:rtl w:val="0"/>
        </w:rPr>
        <w:t xml:space="preserve">International Journal of Economics and Financial Issues</w:t>
      </w:r>
      <w:r w:rsidDel="00000000" w:rsidR="00000000" w:rsidRPr="00000000">
        <w:rPr>
          <w:rFonts w:ascii="Times New Roman" w:cs="Times New Roman" w:eastAsia="Times New Roman" w:hAnsi="Times New Roman"/>
          <w:color w:val="000000"/>
          <w:sz w:val="24"/>
          <w:szCs w:val="24"/>
          <w:rtl w:val="0"/>
        </w:rPr>
        <w:t xml:space="preserve">, </w:t>
      </w:r>
      <w:r w:rsidDel="00000000" w:rsidR="00000000" w:rsidRPr="00000000">
        <w:rPr>
          <w:rFonts w:ascii="Times New Roman" w:cs="Times New Roman" w:eastAsia="Times New Roman" w:hAnsi="Times New Roman"/>
          <w:i w:val="1"/>
          <w:color w:val="000000"/>
          <w:sz w:val="24"/>
          <w:szCs w:val="24"/>
          <w:rtl w:val="0"/>
        </w:rPr>
        <w:t xml:space="preserve">13</w:t>
      </w:r>
      <w:r w:rsidDel="00000000" w:rsidR="00000000" w:rsidRPr="00000000">
        <w:rPr>
          <w:rFonts w:ascii="Times New Roman" w:cs="Times New Roman" w:eastAsia="Times New Roman" w:hAnsi="Times New Roman"/>
          <w:color w:val="000000"/>
          <w:sz w:val="24"/>
          <w:szCs w:val="24"/>
          <w:rtl w:val="0"/>
        </w:rPr>
        <w:t xml:space="preserve">(4), pp. 66-72. Available at:</w:t>
      </w:r>
      <w:hyperlink r:id="rId27">
        <w:r w:rsidDel="00000000" w:rsidR="00000000" w:rsidRPr="00000000">
          <w:rPr>
            <w:rFonts w:ascii="Times New Roman" w:cs="Times New Roman" w:eastAsia="Times New Roman" w:hAnsi="Times New Roman"/>
            <w:color w:val="000000"/>
            <w:sz w:val="24"/>
            <w:szCs w:val="24"/>
            <w:rtl w:val="0"/>
          </w:rPr>
          <w:t xml:space="preserve"> https://econjournals.net.tr/index.php/ijefi/article/download/14490/7358</w:t>
        </w:r>
      </w:hyperlink>
      <w:r w:rsidDel="00000000" w:rsidR="00000000" w:rsidRPr="00000000">
        <w:rPr>
          <w:rtl w:val="0"/>
        </w:rPr>
      </w:r>
    </w:p>
    <w:sectPr>
      <w:footerReference r:id="rId28" w:type="default"/>
      <w:pgSz w:h="16839" w:w="11907"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5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2">
    <w:name w:val="heading 2"/>
    <w:basedOn w:val="Normal"/>
    <w:next w:val="Normal"/>
    <w:pPr>
      <w:keepNext w:val="1"/>
      <w:keepLines w:val="1"/>
      <w:spacing w:line="360" w:lineRule="auto"/>
      <w:jc w:val="both"/>
    </w:pPr>
    <w:rPr>
      <w:rFonts w:ascii="Times New Roman" w:cs="Times New Roman" w:eastAsia="Times New Roman" w:hAnsi="Times New Roman"/>
      <w:b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vtechworks.lib.vt.edu/bitstreams/8d643943-ba3d-47d6-add8-a3cfe29cce12/download" TargetMode="External"/><Relationship Id="rId22" Type="http://schemas.openxmlformats.org/officeDocument/2006/relationships/hyperlink" Target="https://www.researchgate.net/profile/Njideka-Okeke/publication/384543440_Forecasting_financial_stability_in_SMEs_A_comprehensive_analysis_of_strategic_budgeting_and_revenue_management/links/673bc9b6b94c451c11607070/Forecasting-financial-stability-in-SMEs-A-comprehensive-analysis-of-strategic-budgeting-and-revenue-management.pdf" TargetMode="External"/><Relationship Id="rId21" Type="http://schemas.openxmlformats.org/officeDocument/2006/relationships/hyperlink" Target="https://academic.oup.com/heapol/article-pdf/38/3/351/50854791/czac098.pdf" TargetMode="External"/><Relationship Id="rId24" Type="http://schemas.openxmlformats.org/officeDocument/2006/relationships/hyperlink" Target="https://documents1.worldbank.org/curated/en/713471597692712343/pdf/Having-or-Complying-with-Fiscal-Rules-Insights-for-Small-Countries-in-LAC.pdf" TargetMode="External"/><Relationship Id="rId23" Type="http://schemas.openxmlformats.org/officeDocument/2006/relationships/hyperlink" Target="https://link.springer.com/content/pdf/10.1007/s11115-024-00773-1.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scielo.br/j/rcf/a/ybJ9FPZynDScCkPVCxBvBMh/?format=pdf&amp;lang=en" TargetMode="External"/><Relationship Id="rId26" Type="http://schemas.openxmlformats.org/officeDocument/2006/relationships/hyperlink" Target="https://gh.bmj.com/content/bmjgh/7/1/e007902.full.pdf" TargetMode="External"/><Relationship Id="rId25" Type="http://schemas.openxmlformats.org/officeDocument/2006/relationships/hyperlink" Target="https://www.ijek.org/index.php/IJEK/article/download/172/145" TargetMode="External"/><Relationship Id="rId28" Type="http://schemas.openxmlformats.org/officeDocument/2006/relationships/footer" Target="footer1.xml"/><Relationship Id="rId27" Type="http://schemas.openxmlformats.org/officeDocument/2006/relationships/hyperlink" Target="https://econjournals.net.tr/index.php/ijefi/article/download/14490/7358" TargetMode="External"/><Relationship Id="rId5" Type="http://schemas.openxmlformats.org/officeDocument/2006/relationships/styles" Target="styles.xml"/><Relationship Id="rId6" Type="http://schemas.openxmlformats.org/officeDocument/2006/relationships/hyperlink" Target="https://www.accaglobal.com/in/en/student/exam-support-resources/fundamentals-exams-study-resources/f5/technicalarticles/budgeting2.html#:~:text=A%20solution%20to%20this%20problem,to%20replace%20the%20expired%20period" TargetMode="External"/><Relationship Id="rId7" Type="http://schemas.openxmlformats.org/officeDocument/2006/relationships/hyperlink" Target="https://www.accaglobal.com/gb/en/student/exam-support-resources/fundamentals-exams-study-resources/f5/technical-articles/comparing-budgeting-techniques.html#:~:text=Incremental%20budgeting,an%20increase%20of%20some%20kind" TargetMode="External"/><Relationship Id="rId8" Type="http://schemas.openxmlformats.org/officeDocument/2006/relationships/hyperlink" Target="https://scholarindexing.com/uploads/files/mhqyloi8102sbrv.pdf" TargetMode="External"/><Relationship Id="rId11" Type="http://schemas.openxmlformats.org/officeDocument/2006/relationships/hyperlink" Target="https://corporatefinanceinstitute.com/resources/fpa/activity-based-budgeting/" TargetMode="External"/><Relationship Id="rId10" Type="http://schemas.openxmlformats.org/officeDocument/2006/relationships/hyperlink" Target="https://www.worldscientific.com/doi/pdf/10.1142/9789811259661_0001" TargetMode="External"/><Relationship Id="rId13" Type="http://schemas.openxmlformats.org/officeDocument/2006/relationships/hyperlink" Target="https://www.thelancet.com/pdfs/journals/langlo/PIIS2214-109X(22)00115-2.pdf" TargetMode="External"/><Relationship Id="rId12" Type="http://schemas.openxmlformats.org/officeDocument/2006/relationships/hyperlink" Target="https://corporatefinanceinstitute.com/resources/fpa/participative-budgeting/" TargetMode="External"/><Relationship Id="rId15" Type="http://schemas.openxmlformats.org/officeDocument/2006/relationships/hyperlink" Target="https://www.ibm.com/think/topics/zero-based-budgeting" TargetMode="External"/><Relationship Id="rId14" Type="http://schemas.openxmlformats.org/officeDocument/2006/relationships/hyperlink" Target="https://onlinelibrary.wiley.com/doi/am-pdf/10.1002/jid.3590" TargetMode="External"/><Relationship Id="rId17" Type="http://schemas.openxmlformats.org/officeDocument/2006/relationships/hyperlink" Target="https://gh.bmj.com/content/bmjgh/7/4/e008233.full.pdf" TargetMode="External"/><Relationship Id="rId16" Type="http://schemas.openxmlformats.org/officeDocument/2006/relationships/hyperlink" Target="https://www.indeed.com/career-advice/career-development/strategic-budget" TargetMode="External"/><Relationship Id="rId19" Type="http://schemas.openxmlformats.org/officeDocument/2006/relationships/hyperlink" Target="https://www.scielo.br/j/prod/a/hmG8LRqDCcjVvKT7BHLKyhG/?format=pdf&amp;lang=en" TargetMode="External"/><Relationship Id="rId18" Type="http://schemas.openxmlformats.org/officeDocument/2006/relationships/hyperlink" Target="https://publications.aaahq.org/jmar/article-abstract/33/2/167/4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