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0FC75915" w14:textId="3F462236" w:rsidR="00995444" w:rsidRPr="00995444" w:rsidRDefault="000B6688" w:rsidP="000B66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0B6688">
        <w:rPr>
          <w:rFonts w:eastAsia="Arial Unicode MS" w:cs="Arial"/>
          <w:b/>
          <w:sz w:val="56"/>
          <w:szCs w:val="56"/>
        </w:rPr>
        <w:lastRenderedPageBreak/>
        <w:t>What are the barriers to delivering culturally competent end-of-life care to ethnic minority communities in the UK?</w:t>
      </w:r>
    </w:p>
    <w:p w14:paraId="50EF1F62" w14:textId="7AA12225" w:rsidR="00633562"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Name</w:t>
      </w:r>
      <w:r w:rsidR="00633562">
        <w:rPr>
          <w:rFonts w:eastAsia="Arial Unicode MS" w:cs="Arial"/>
          <w:b/>
          <w:sz w:val="56"/>
          <w:szCs w:val="56"/>
        </w:rPr>
        <w:t>: Samrina Choudhry</w:t>
      </w:r>
    </w:p>
    <w:p w14:paraId="6DB122B7" w14:textId="33F36FFC"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Student</w:t>
      </w:r>
      <w:r>
        <w:rPr>
          <w:rFonts w:eastAsia="Arial Unicode MS" w:cs="Arial"/>
          <w:b/>
          <w:sz w:val="56"/>
          <w:szCs w:val="56"/>
        </w:rPr>
        <w:t xml:space="preserve"> </w:t>
      </w:r>
      <w:r w:rsidRPr="00995444">
        <w:rPr>
          <w:rFonts w:eastAsia="Arial Unicode MS" w:cs="Arial"/>
          <w:b/>
          <w:sz w:val="56"/>
          <w:szCs w:val="56"/>
        </w:rPr>
        <w:t>Number</w:t>
      </w:r>
      <w:r w:rsidR="00633562">
        <w:rPr>
          <w:rFonts w:eastAsia="Arial Unicode MS" w:cs="Arial"/>
          <w:b/>
          <w:sz w:val="56"/>
          <w:szCs w:val="56"/>
        </w:rPr>
        <w:t>: 2220771</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4B645C3E"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2B66983D"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FBFCCF4" w14:textId="77777777" w:rsidR="00633562" w:rsidRDefault="00633562"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F4A849F" w14:textId="19EB3793"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proofErr w:type="gramStart"/>
      <w:r w:rsidRPr="00995444">
        <w:rPr>
          <w:rFonts w:ascii="Aptos" w:hAnsi="Aptos" w:cs="Arial"/>
          <w:color w:val="333333"/>
          <w:sz w:val="22"/>
          <w:szCs w:val="22"/>
        </w:rPr>
        <w:t>example</w:t>
      </w:r>
      <w:proofErr w:type="gramEnd"/>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68249928" w14:textId="79EE4A8B"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proofErr w:type="gramStart"/>
      <w:r w:rsidRPr="0025020C">
        <w:rPr>
          <w:rFonts w:eastAsia="Arial Unicode MS" w:cs="Arial"/>
        </w:rPr>
        <w:t>complete</w:t>
      </w:r>
      <w:r w:rsidR="00CE620E" w:rsidRPr="0025020C">
        <w:rPr>
          <w:rFonts w:eastAsia="Arial Unicode MS" w:cs="Arial"/>
        </w:rPr>
        <w:t>, yet</w:t>
      </w:r>
      <w:proofErr w:type="gramEnd"/>
      <w:r w:rsidR="00CE620E" w:rsidRPr="0025020C">
        <w:rPr>
          <w:rFonts w:eastAsia="Arial Unicode MS" w:cs="Arial"/>
        </w:rPr>
        <w:t xml:space="preserve">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50BF5" w:rsidRDefault="00730C3C" w:rsidP="00EF6341">
      <w:pPr>
        <w:pStyle w:val="Heading1"/>
        <w:spacing w:line="360" w:lineRule="auto"/>
        <w:ind w:left="0"/>
        <w:rPr>
          <w:rFonts w:ascii="Aptos" w:hAnsi="Aptos"/>
          <w:b w:val="0"/>
          <w:u w:val="single"/>
        </w:rPr>
      </w:pPr>
      <w:r w:rsidRPr="00E50BF5">
        <w:rPr>
          <w:rFonts w:ascii="Aptos" w:hAnsi="Aptos"/>
          <w:u w:val="single"/>
        </w:rPr>
        <w:lastRenderedPageBreak/>
        <w:t>CHAPTER 1: Introduction (1</w:t>
      </w:r>
      <w:r w:rsidR="00EF6341" w:rsidRPr="00E50BF5">
        <w:rPr>
          <w:rFonts w:ascii="Aptos" w:hAnsi="Aptos"/>
          <w:u w:val="single"/>
        </w:rPr>
        <w:t>,</w:t>
      </w:r>
      <w:r w:rsidRPr="00E50BF5">
        <w:rPr>
          <w:rFonts w:ascii="Aptos" w:hAnsi="Aptos"/>
          <w:u w:val="single"/>
        </w:rPr>
        <w:t>000 words approx.)</w:t>
      </w:r>
    </w:p>
    <w:p w14:paraId="69941E5D" w14:textId="77777777" w:rsidR="00EF6341" w:rsidRPr="00EF6341" w:rsidRDefault="00EF6341" w:rsidP="00EF6341">
      <w:pPr>
        <w:pStyle w:val="BodyText"/>
        <w:spacing w:line="360" w:lineRule="auto"/>
        <w:rPr>
          <w:rFonts w:ascii="Aptos" w:hAnsi="Aptos"/>
        </w:rPr>
      </w:pPr>
    </w:p>
    <w:p w14:paraId="7EB24CC9" w14:textId="121275A0"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 xml:space="preserve">1.1 Introduction </w:t>
      </w:r>
    </w:p>
    <w:p w14:paraId="788D766B" w14:textId="751860A0" w:rsidR="00E50BF5" w:rsidRPr="00E50BF5" w:rsidRDefault="00E50BF5" w:rsidP="00E50BF5">
      <w:pPr>
        <w:pStyle w:val="paragraph"/>
        <w:spacing w:after="0" w:afterAutospacing="0" w:line="360" w:lineRule="auto"/>
        <w:textAlignment w:val="baseline"/>
        <w:rPr>
          <w:rFonts w:ascii="Arial" w:hAnsi="Arial" w:cs="Arial"/>
          <w:sz w:val="22"/>
          <w:szCs w:val="22"/>
        </w:rPr>
      </w:pPr>
      <w:r w:rsidRPr="00E50BF5">
        <w:rPr>
          <w:rFonts w:ascii="Arial" w:hAnsi="Arial" w:cs="Arial"/>
          <w:sz w:val="22"/>
          <w:szCs w:val="22"/>
        </w:rPr>
        <w:t>The delivery of end-of-life (EOL) care is a fundamental component of health and social care practice, grounded in principles of dignity, compassion, and person-centred support. However, in multicultural societies such as the UK, there is growing concern that current EOL care models often fail to meet the cultural and spiritual needs of ethnic minority communities (</w:t>
      </w:r>
      <w:proofErr w:type="spellStart"/>
      <w:r w:rsidRPr="00E50BF5">
        <w:rPr>
          <w:rFonts w:ascii="Arial" w:hAnsi="Arial" w:cs="Arial"/>
          <w:sz w:val="22"/>
          <w:szCs w:val="22"/>
        </w:rPr>
        <w:t>Calanzani</w:t>
      </w:r>
      <w:proofErr w:type="spellEnd"/>
      <w:r w:rsidRPr="00E50BF5">
        <w:rPr>
          <w:rFonts w:ascii="Arial" w:hAnsi="Arial" w:cs="Arial"/>
          <w:sz w:val="22"/>
          <w:szCs w:val="22"/>
        </w:rPr>
        <w:t>, Koffman and Higginson, 2013). As the UK population becomes increasingly diverse, the importance of culturally competent care has become a central issue in both policy and practice. Research has shown that individuals from minority ethnic backgrounds face multiple barriers to accessing equitable EOL services, including language difficulties, lack of culturally aware practitioners, institutional bias, and inadequate service adaptation (Koffman et al., 2008; Marie Curie, 20</w:t>
      </w:r>
      <w:r w:rsidR="00D82F0B">
        <w:rPr>
          <w:rFonts w:ascii="Arial" w:hAnsi="Arial" w:cs="Arial"/>
          <w:sz w:val="22"/>
          <w:szCs w:val="22"/>
        </w:rPr>
        <w:t>19</w:t>
      </w:r>
      <w:r w:rsidRPr="00E50BF5">
        <w:rPr>
          <w:rFonts w:ascii="Arial" w:hAnsi="Arial" w:cs="Arial"/>
          <w:sz w:val="22"/>
          <w:szCs w:val="22"/>
        </w:rPr>
        <w:t>). These disparities not only impact the quality of care received but may also exacerbate health inequalities at a critical life stage.</w:t>
      </w:r>
    </w:p>
    <w:p w14:paraId="0DBCD632" w14:textId="77777777" w:rsidR="00E50BF5" w:rsidRDefault="00E50BF5" w:rsidP="00E50BF5">
      <w:pPr>
        <w:pStyle w:val="paragraph"/>
        <w:spacing w:before="0" w:beforeAutospacing="0" w:after="0" w:afterAutospacing="0" w:line="360" w:lineRule="auto"/>
        <w:textAlignment w:val="baseline"/>
        <w:rPr>
          <w:rFonts w:ascii="Arial" w:hAnsi="Arial" w:cs="Arial"/>
          <w:sz w:val="22"/>
          <w:szCs w:val="22"/>
        </w:rPr>
      </w:pPr>
    </w:p>
    <w:p w14:paraId="1FA15220" w14:textId="36F9F61C" w:rsidR="00E50BF5" w:rsidRPr="00E50BF5" w:rsidRDefault="000B6688" w:rsidP="00E50BF5">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This dissertation aims</w:t>
      </w:r>
      <w:r w:rsidR="00E50BF5" w:rsidRPr="00E50BF5">
        <w:rPr>
          <w:rFonts w:ascii="Arial" w:hAnsi="Arial" w:cs="Arial"/>
          <w:sz w:val="22"/>
          <w:szCs w:val="22"/>
        </w:rPr>
        <w:t xml:space="preserve"> to explore the barriers to delivering culturally competent end-of-life care to ethnic minority communities in the UK. By examining </w:t>
      </w:r>
      <w:r>
        <w:rPr>
          <w:rFonts w:ascii="Arial" w:hAnsi="Arial" w:cs="Arial"/>
          <w:sz w:val="22"/>
          <w:szCs w:val="22"/>
        </w:rPr>
        <w:t>structural</w:t>
      </w:r>
      <w:r w:rsidR="00E50BF5" w:rsidRPr="00E50BF5">
        <w:rPr>
          <w:rFonts w:ascii="Arial" w:hAnsi="Arial" w:cs="Arial"/>
          <w:sz w:val="22"/>
          <w:szCs w:val="22"/>
        </w:rPr>
        <w:t xml:space="preserve">, communicative, and cultural challenges, the research </w:t>
      </w:r>
      <w:r>
        <w:rPr>
          <w:rFonts w:ascii="Arial" w:hAnsi="Arial" w:cs="Arial"/>
          <w:sz w:val="22"/>
          <w:szCs w:val="22"/>
        </w:rPr>
        <w:t>aims to highlight gaps in service provision and contribute to the development of improved practice and policy</w:t>
      </w:r>
      <w:r w:rsidR="00E50BF5" w:rsidRPr="00E50BF5">
        <w:rPr>
          <w:rFonts w:ascii="Arial" w:hAnsi="Arial" w:cs="Arial"/>
          <w:sz w:val="22"/>
          <w:szCs w:val="22"/>
        </w:rPr>
        <w:t>. It is anticipated that the findings will provide valuable insights for healthcare professionals, service managers, and policymakers seeking to deliver more inclusive and equitable palliative care. In doing so, the dissertation aspires to promote social justice and support the transformation of EOL care into a service that respects and reflects the diverse needs of all individuals.</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501BF4"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7D8ACD3D" w14:textId="18577696"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To ensure clarity and consistency throughout this dissertation, it is essential to define the key terms and concepts underpinning the research. The term “end-of-life care” (EOL care) refers to the support provided to individuals in the final stages of life, focusing on physical comfort, emotional well</w:t>
      </w:r>
      <w:r>
        <w:rPr>
          <w:rStyle w:val="normaltextrun"/>
          <w:rFonts w:ascii="Arial" w:hAnsi="Arial" w:cs="Arial"/>
          <w:sz w:val="22"/>
          <w:szCs w:val="22"/>
        </w:rPr>
        <w:t>-</w:t>
      </w:r>
      <w:r w:rsidRPr="00D82F0B">
        <w:rPr>
          <w:rStyle w:val="normaltextrun"/>
          <w:rFonts w:ascii="Arial" w:hAnsi="Arial" w:cs="Arial"/>
          <w:sz w:val="22"/>
          <w:szCs w:val="22"/>
        </w:rPr>
        <w:t>being, and the preservation of dignity (NICE, 20</w:t>
      </w:r>
      <w:r>
        <w:rPr>
          <w:rStyle w:val="normaltextrun"/>
          <w:rFonts w:ascii="Arial" w:hAnsi="Arial" w:cs="Arial"/>
          <w:sz w:val="22"/>
          <w:szCs w:val="22"/>
        </w:rPr>
        <w:t>21</w:t>
      </w:r>
      <w:r w:rsidRPr="00D82F0B">
        <w:rPr>
          <w:rStyle w:val="normaltextrun"/>
          <w:rFonts w:ascii="Arial" w:hAnsi="Arial" w:cs="Arial"/>
          <w:sz w:val="22"/>
          <w:szCs w:val="22"/>
        </w:rPr>
        <w:t xml:space="preserve">). EOL care may </w:t>
      </w:r>
      <w:r>
        <w:rPr>
          <w:rStyle w:val="normaltextrun"/>
          <w:rFonts w:ascii="Arial" w:hAnsi="Arial" w:cs="Arial"/>
          <w:sz w:val="22"/>
          <w:szCs w:val="22"/>
        </w:rPr>
        <w:t>occur</w:t>
      </w:r>
      <w:r w:rsidRPr="00D82F0B">
        <w:rPr>
          <w:rStyle w:val="normaltextrun"/>
          <w:rFonts w:ascii="Arial" w:hAnsi="Arial" w:cs="Arial"/>
          <w:sz w:val="22"/>
          <w:szCs w:val="22"/>
        </w:rPr>
        <w:t xml:space="preserve"> in hospitals, hospices, care homes, or individuals’ homes, and is often guided by palliative care principles.</w:t>
      </w:r>
    </w:p>
    <w:p w14:paraId="3930D1C6" w14:textId="2087AC2B"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 xml:space="preserve">Cultural competence is central to this study and is defined as the ability of health and social care professionals to provide care that is respectful of, and responsive to, the cultural and </w:t>
      </w:r>
      <w:r w:rsidRPr="00D82F0B">
        <w:rPr>
          <w:rStyle w:val="normaltextrun"/>
          <w:rFonts w:ascii="Arial" w:hAnsi="Arial" w:cs="Arial"/>
          <w:sz w:val="22"/>
          <w:szCs w:val="22"/>
        </w:rPr>
        <w:lastRenderedPageBreak/>
        <w:t xml:space="preserve">linguistic needs of service users (Papadopoulos, 2006). This involves awareness of one's own cultural worldview, knowledge of </w:t>
      </w:r>
      <w:r w:rsidR="005F27B6" w:rsidRPr="00D82F0B">
        <w:rPr>
          <w:rStyle w:val="normaltextrun"/>
          <w:rFonts w:ascii="Arial" w:hAnsi="Arial" w:cs="Arial"/>
          <w:sz w:val="22"/>
          <w:szCs w:val="22"/>
        </w:rPr>
        <w:t>diverse cultural</w:t>
      </w:r>
      <w:r w:rsidRPr="00D82F0B">
        <w:rPr>
          <w:rStyle w:val="normaltextrun"/>
          <w:rFonts w:ascii="Arial" w:hAnsi="Arial" w:cs="Arial"/>
          <w:sz w:val="22"/>
          <w:szCs w:val="22"/>
        </w:rPr>
        <w:t xml:space="preserve"> practices, and cross-cultural communication skills. Cultural competence is widely regarded as a key strategy in reducing health disparities (Betancourt et al., 2003).</w:t>
      </w:r>
    </w:p>
    <w:p w14:paraId="2B0CD4F4" w14:textId="63E5E5D0"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The phrase “ethnic minority communities” in this context refers to UK residents who identify with non-White British backgrounds, including but not limited to Black African, Black Caribbean, South Asian, Chinese, and mixed heritage groups (ONS, 202</w:t>
      </w:r>
      <w:r w:rsidR="00DC19FE">
        <w:rPr>
          <w:rStyle w:val="normaltextrun"/>
          <w:rFonts w:ascii="Arial" w:hAnsi="Arial" w:cs="Arial"/>
          <w:sz w:val="22"/>
          <w:szCs w:val="22"/>
        </w:rPr>
        <w:t>2</w:t>
      </w:r>
      <w:r w:rsidRPr="00D82F0B">
        <w:rPr>
          <w:rStyle w:val="normaltextrun"/>
          <w:rFonts w:ascii="Arial" w:hAnsi="Arial" w:cs="Arial"/>
          <w:sz w:val="22"/>
          <w:szCs w:val="22"/>
        </w:rPr>
        <w:t>). This dissertation acknowledges that ethnic minorities are not a homogeneous group and may have distinct religious, cultural, and linguistic needs.</w:t>
      </w:r>
    </w:p>
    <w:p w14:paraId="422624B6" w14:textId="77777777" w:rsidR="00D82F0B" w:rsidRPr="00D82F0B" w:rsidRDefault="00D82F0B" w:rsidP="00D82F0B">
      <w:pPr>
        <w:pStyle w:val="paragraph"/>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Acronyms and abbreviations used include:</w:t>
      </w:r>
    </w:p>
    <w:p w14:paraId="3D6090AB" w14:textId="77777777" w:rsid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EOL: End-of-Life</w:t>
      </w:r>
    </w:p>
    <w:p w14:paraId="4F118E43" w14:textId="543982ED" w:rsidR="00D82F0B" w:rsidRP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NHS: National Health Service</w:t>
      </w:r>
    </w:p>
    <w:p w14:paraId="563F5F53" w14:textId="77777777" w:rsid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ICS: Integrated Care Systems</w:t>
      </w:r>
    </w:p>
    <w:p w14:paraId="483585D6" w14:textId="70144F9E" w:rsidR="00D82F0B" w:rsidRPr="00D82F0B" w:rsidRDefault="00D82F0B" w:rsidP="00D82F0B">
      <w:pPr>
        <w:pStyle w:val="paragraph"/>
        <w:numPr>
          <w:ilvl w:val="0"/>
          <w:numId w:val="107"/>
        </w:numPr>
        <w:spacing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BAME (no longer preferred, but sometimes used in policy): Black, Asian and Minority Ethnic</w:t>
      </w:r>
    </w:p>
    <w:p w14:paraId="3F1C6752" w14:textId="13708A1E" w:rsidR="00D82F0B" w:rsidRPr="00D82F0B" w:rsidRDefault="00D82F0B" w:rsidP="00D82F0B">
      <w:pPr>
        <w:pStyle w:val="paragraph"/>
        <w:spacing w:before="0" w:beforeAutospacing="0" w:after="0" w:afterAutospacing="0" w:line="360" w:lineRule="auto"/>
        <w:textAlignment w:val="baseline"/>
        <w:rPr>
          <w:rStyle w:val="normaltextrun"/>
          <w:rFonts w:ascii="Arial" w:hAnsi="Arial" w:cs="Arial"/>
          <w:sz w:val="22"/>
          <w:szCs w:val="22"/>
        </w:rPr>
      </w:pPr>
      <w:r w:rsidRPr="00D82F0B">
        <w:rPr>
          <w:rStyle w:val="normaltextrun"/>
          <w:rFonts w:ascii="Arial" w:hAnsi="Arial" w:cs="Arial"/>
          <w:sz w:val="22"/>
          <w:szCs w:val="22"/>
        </w:rPr>
        <w:t>Each of these terms will be used consistently to support a clear understanding of the subject matter.</w:t>
      </w:r>
    </w:p>
    <w:p w14:paraId="4BC66D2F" w14:textId="5869A78B" w:rsidR="00BD2909" w:rsidRPr="00BD2909" w:rsidRDefault="00BD2909" w:rsidP="00D82F0B">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165773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4AC55AB9" w14:textId="77777777" w:rsidR="00F3390B" w:rsidRDefault="00F3390B" w:rsidP="00F3390B">
      <w:pPr>
        <w:pStyle w:val="paragraph"/>
        <w:spacing w:after="0" w:afterAutospacing="0" w:line="360" w:lineRule="auto"/>
        <w:textAlignment w:val="baseline"/>
        <w:rPr>
          <w:rFonts w:ascii="Arial" w:hAnsi="Arial" w:cs="Arial"/>
          <w:sz w:val="22"/>
          <w:szCs w:val="22"/>
        </w:rPr>
      </w:pPr>
      <w:r w:rsidRPr="00F3390B">
        <w:rPr>
          <w:rFonts w:ascii="Arial" w:hAnsi="Arial" w:cs="Arial"/>
          <w:sz w:val="22"/>
          <w:szCs w:val="22"/>
        </w:rPr>
        <w:t>The decision to explore barriers to culturally competent end-of-life care in the UK stems from a growing recognition of persistent health inequalities experienced by ethnic minority communities, particularly during the final stages of life. Despite national commitments to equality, evidence suggests that ethnic minority patients often receive inadequate or inappropriate care at end of life due to cultural misunderstandings, institutional bias, or language barriers (</w:t>
      </w:r>
      <w:proofErr w:type="spellStart"/>
      <w:r w:rsidRPr="00F3390B">
        <w:rPr>
          <w:rFonts w:ascii="Arial" w:hAnsi="Arial" w:cs="Arial"/>
          <w:sz w:val="22"/>
          <w:szCs w:val="22"/>
        </w:rPr>
        <w:t>Calanzani</w:t>
      </w:r>
      <w:proofErr w:type="spellEnd"/>
      <w:r w:rsidRPr="00F3390B">
        <w:rPr>
          <w:rFonts w:ascii="Arial" w:hAnsi="Arial" w:cs="Arial"/>
          <w:sz w:val="22"/>
          <w:szCs w:val="22"/>
        </w:rPr>
        <w:t>, Koffman and Higginson, 2013). This topic is not only socially significant but professionally relevant, as delivering equitable care is a central pillar of the NHS Long Term Plan (NHS England, 2019).</w:t>
      </w:r>
    </w:p>
    <w:p w14:paraId="2146887A" w14:textId="4A1FB356" w:rsidR="00F3390B" w:rsidRPr="00F3390B" w:rsidRDefault="00F3390B" w:rsidP="00F3390B">
      <w:pPr>
        <w:pStyle w:val="paragraph"/>
        <w:spacing w:after="0" w:afterAutospacing="0" w:line="360" w:lineRule="auto"/>
        <w:textAlignment w:val="baseline"/>
        <w:rPr>
          <w:rFonts w:ascii="Arial" w:hAnsi="Arial" w:cs="Arial"/>
          <w:sz w:val="22"/>
          <w:szCs w:val="22"/>
        </w:rPr>
      </w:pPr>
      <w:r w:rsidRPr="00F3390B">
        <w:rPr>
          <w:rFonts w:ascii="Arial" w:hAnsi="Arial" w:cs="Arial"/>
          <w:sz w:val="22"/>
          <w:szCs w:val="22"/>
        </w:rPr>
        <w:t>Recent literature acknowledges the need for more inclusive palliative care models; however, much of the research has been broad, with limited exploration of the lived experiences and preferences of specific communities (Marie Curie, 20</w:t>
      </w:r>
      <w:r w:rsidR="003F4644">
        <w:rPr>
          <w:rFonts w:ascii="Arial" w:hAnsi="Arial" w:cs="Arial"/>
          <w:sz w:val="22"/>
          <w:szCs w:val="22"/>
        </w:rPr>
        <w:t>19</w:t>
      </w:r>
      <w:r w:rsidRPr="00F3390B">
        <w:rPr>
          <w:rFonts w:ascii="Arial" w:hAnsi="Arial" w:cs="Arial"/>
          <w:sz w:val="22"/>
          <w:szCs w:val="22"/>
        </w:rPr>
        <w:t xml:space="preserve">). For instance, Gunaratnam (2013) argues that minority patients often feel excluded from mainstream services, while existing care frameworks may not reflect their religious or spiritual values. Although some studies have addressed cultural competence in nursing and social work, few have offered a </w:t>
      </w:r>
      <w:r w:rsidRPr="00F3390B">
        <w:rPr>
          <w:rFonts w:ascii="Arial" w:hAnsi="Arial" w:cs="Arial"/>
          <w:sz w:val="22"/>
          <w:szCs w:val="22"/>
        </w:rPr>
        <w:lastRenderedPageBreak/>
        <w:t>systematic analysis of how barriers manifest in practice, or how services can be adapted to meet diverse needs (Papadopoulos, 2006).</w:t>
      </w:r>
    </w:p>
    <w:p w14:paraId="0C00FAAD" w14:textId="77777777" w:rsidR="00F3390B" w:rsidRDefault="00F3390B" w:rsidP="00F3390B">
      <w:pPr>
        <w:pStyle w:val="paragraph"/>
        <w:spacing w:before="0" w:beforeAutospacing="0" w:after="0" w:afterAutospacing="0" w:line="360" w:lineRule="auto"/>
        <w:textAlignment w:val="baseline"/>
        <w:rPr>
          <w:rFonts w:ascii="Arial" w:hAnsi="Arial" w:cs="Arial"/>
          <w:sz w:val="22"/>
          <w:szCs w:val="22"/>
        </w:rPr>
      </w:pPr>
    </w:p>
    <w:p w14:paraId="4B39AF29" w14:textId="64A2CBA5" w:rsidR="00F3390B" w:rsidRDefault="00F3390B" w:rsidP="00F3390B">
      <w:pPr>
        <w:pStyle w:val="paragraph"/>
        <w:spacing w:before="0" w:beforeAutospacing="0" w:after="0" w:afterAutospacing="0" w:line="360" w:lineRule="auto"/>
        <w:textAlignment w:val="baseline"/>
        <w:rPr>
          <w:rFonts w:ascii="Arial" w:hAnsi="Arial" w:cs="Arial"/>
          <w:sz w:val="22"/>
          <w:szCs w:val="22"/>
        </w:rPr>
      </w:pPr>
      <w:r w:rsidRPr="00F3390B">
        <w:rPr>
          <w:rFonts w:ascii="Arial" w:hAnsi="Arial" w:cs="Arial"/>
          <w:sz w:val="22"/>
          <w:szCs w:val="22"/>
        </w:rPr>
        <w:t xml:space="preserve">This dissertation sets out to address this gap by critically analysing the structural, communicative, and cultural challenges that limit access to quality EOL care. The findings will inform future practice by highlighting the need for culturally sensitive training, inclusive </w:t>
      </w:r>
      <w:proofErr w:type="gramStart"/>
      <w:r w:rsidR="000B6688">
        <w:rPr>
          <w:rFonts w:ascii="Arial" w:hAnsi="Arial" w:cs="Arial"/>
          <w:sz w:val="22"/>
          <w:szCs w:val="22"/>
        </w:rPr>
        <w:t>policy-making</w:t>
      </w:r>
      <w:proofErr w:type="gramEnd"/>
      <w:r w:rsidR="000B6688">
        <w:rPr>
          <w:rFonts w:ascii="Arial" w:hAnsi="Arial" w:cs="Arial"/>
          <w:sz w:val="22"/>
          <w:szCs w:val="22"/>
        </w:rPr>
        <w:t>, and patient-centred</w:t>
      </w:r>
      <w:r w:rsidRPr="00F3390B">
        <w:rPr>
          <w:rFonts w:ascii="Arial" w:hAnsi="Arial" w:cs="Arial"/>
          <w:sz w:val="22"/>
          <w:szCs w:val="22"/>
        </w:rPr>
        <w:t xml:space="preserve"> service redesign</w:t>
      </w:r>
      <w:r w:rsidR="000B6688">
        <w:rPr>
          <w:rFonts w:ascii="Arial" w:hAnsi="Arial" w:cs="Arial"/>
          <w:sz w:val="22"/>
          <w:szCs w:val="22"/>
        </w:rPr>
        <w:t xml:space="preserve">, </w:t>
      </w:r>
      <w:r w:rsidRPr="00F3390B">
        <w:rPr>
          <w:rFonts w:ascii="Arial" w:hAnsi="Arial" w:cs="Arial"/>
          <w:sz w:val="22"/>
          <w:szCs w:val="22"/>
        </w:rPr>
        <w:t>thereby contributing to a fairer and more compassionate health and social care system.</w:t>
      </w:r>
    </w:p>
    <w:p w14:paraId="036241E0" w14:textId="77777777" w:rsidR="006E76BF" w:rsidRPr="00F3390B" w:rsidRDefault="006E76BF" w:rsidP="00F3390B">
      <w:pPr>
        <w:pStyle w:val="paragraph"/>
        <w:spacing w:before="0" w:beforeAutospacing="0" w:after="0" w:afterAutospacing="0" w:line="360" w:lineRule="auto"/>
        <w:textAlignment w:val="baseline"/>
        <w:rPr>
          <w:rFonts w:ascii="Arial" w:hAnsi="Arial" w:cs="Arial"/>
          <w:sz w:val="22"/>
          <w:szCs w:val="22"/>
        </w:rPr>
      </w:pPr>
    </w:p>
    <w:p w14:paraId="4BA38E43" w14:textId="77777777" w:rsidR="00E26110" w:rsidRPr="00652890" w:rsidRDefault="00BD2909" w:rsidP="00BD2909">
      <w:pPr>
        <w:pStyle w:val="paragraph"/>
        <w:spacing w:before="0" w:beforeAutospacing="0" w:after="0" w:afterAutospacing="0" w:line="360" w:lineRule="auto"/>
        <w:textAlignment w:val="baseline"/>
        <w:rPr>
          <w:rFonts w:ascii="Arial" w:hAnsi="Arial" w:cs="Arial"/>
          <w:color w:val="0F4761"/>
          <w:sz w:val="16"/>
          <w:szCs w:val="16"/>
          <w:u w:val="single"/>
        </w:rPr>
      </w:pPr>
      <w:r w:rsidRPr="00652890">
        <w:rPr>
          <w:rStyle w:val="normaltextrun"/>
          <w:rFonts w:ascii="Arial" w:hAnsi="Arial" w:cs="Arial"/>
          <w:color w:val="0F4761"/>
          <w:u w:val="single"/>
        </w:rPr>
        <w:t>1.4 Aim and Objectives (250 words approx.)</w:t>
      </w:r>
      <w:r w:rsidRPr="00652890">
        <w:rPr>
          <w:rStyle w:val="eop"/>
          <w:rFonts w:ascii="Arial" w:hAnsi="Arial" w:cs="Arial"/>
          <w:color w:val="0F4761"/>
          <w:u w:val="single"/>
        </w:rPr>
        <w:t> </w:t>
      </w:r>
    </w:p>
    <w:p w14:paraId="6F8550F9" w14:textId="77777777" w:rsidR="00E26110" w:rsidRDefault="00E26110" w:rsidP="00BD2909">
      <w:pPr>
        <w:pStyle w:val="paragraph"/>
        <w:spacing w:before="0" w:beforeAutospacing="0" w:after="0" w:afterAutospacing="0" w:line="360" w:lineRule="auto"/>
        <w:textAlignment w:val="baseline"/>
        <w:rPr>
          <w:rFonts w:ascii="Aptos" w:hAnsi="Aptos" w:cs="Segoe UI"/>
          <w:color w:val="0F4761"/>
          <w:sz w:val="16"/>
          <w:szCs w:val="16"/>
        </w:rPr>
      </w:pPr>
    </w:p>
    <w:p w14:paraId="7FA3F3C5" w14:textId="5C9587BD" w:rsidR="00BD2909" w:rsidRPr="00E26110" w:rsidRDefault="00BD2909" w:rsidP="00BD2909">
      <w:pPr>
        <w:pStyle w:val="paragraph"/>
        <w:spacing w:before="0" w:beforeAutospacing="0" w:after="0" w:afterAutospacing="0" w:line="360" w:lineRule="auto"/>
        <w:textAlignment w:val="baseline"/>
        <w:rPr>
          <w:rStyle w:val="eop"/>
          <w:rFonts w:ascii="Aptos" w:hAnsi="Aptos" w:cs="Segoe UI"/>
          <w:color w:val="0F4761"/>
          <w:sz w:val="16"/>
          <w:szCs w:val="16"/>
        </w:rPr>
      </w:pPr>
      <w:r w:rsidRPr="00BD2909">
        <w:rPr>
          <w:rStyle w:val="eop"/>
          <w:rFonts w:ascii="Aptos" w:hAnsi="Aptos" w:cs="Arial"/>
          <w:sz w:val="22"/>
          <w:szCs w:val="22"/>
        </w:rPr>
        <w:t> </w:t>
      </w:r>
      <w:r w:rsidR="00E130D1" w:rsidRPr="00E130D1">
        <w:rPr>
          <w:rStyle w:val="eop"/>
          <w:rFonts w:ascii="Arial" w:hAnsi="Arial" w:cs="Arial"/>
          <w:sz w:val="22"/>
          <w:szCs w:val="22"/>
        </w:rPr>
        <w:t xml:space="preserve">The </w:t>
      </w:r>
      <w:r w:rsidR="00E130D1">
        <w:rPr>
          <w:rStyle w:val="eop"/>
          <w:rFonts w:ascii="Arial" w:hAnsi="Arial" w:cs="Arial"/>
          <w:sz w:val="22"/>
          <w:szCs w:val="22"/>
        </w:rPr>
        <w:t>underlying</w:t>
      </w:r>
      <w:r w:rsidR="00E130D1" w:rsidRPr="00E130D1">
        <w:rPr>
          <w:rStyle w:val="eop"/>
          <w:rFonts w:ascii="Arial" w:hAnsi="Arial" w:cs="Arial"/>
          <w:sz w:val="22"/>
          <w:szCs w:val="22"/>
        </w:rPr>
        <w:t xml:space="preserve"> aim of this research is to explore the barriers to delivering culturally competent end-of-life (EOL) care to ethnic minority communities within the UK. This study is grounded in the recognition that, despite existing policy frameworks promoting equality and personalised care, significant disparities remain in how ethnic minority groups experience EOL services (</w:t>
      </w:r>
      <w:proofErr w:type="spellStart"/>
      <w:r w:rsidR="00E130D1" w:rsidRPr="00E130D1">
        <w:rPr>
          <w:rStyle w:val="eop"/>
          <w:rFonts w:ascii="Arial" w:hAnsi="Arial" w:cs="Arial"/>
          <w:sz w:val="22"/>
          <w:szCs w:val="22"/>
        </w:rPr>
        <w:t>Calanzani</w:t>
      </w:r>
      <w:proofErr w:type="spellEnd"/>
      <w:r w:rsidR="00E130D1" w:rsidRPr="00E130D1">
        <w:rPr>
          <w:rStyle w:val="eop"/>
          <w:rFonts w:ascii="Arial" w:hAnsi="Arial" w:cs="Arial"/>
          <w:sz w:val="22"/>
          <w:szCs w:val="22"/>
        </w:rPr>
        <w:t>, Koffman and Higginson, 2013). The research aims to build upon previous work by identifying key challenges at both systemic and practice levels, ultimately contributing to the development of more inclusive care strategies. By addressing this issue, the study seeks to support policy advancement, enhance practitioner training, and promote culturally safe EOL care practices</w:t>
      </w:r>
      <w:r w:rsidR="00E130D1" w:rsidRPr="00E130D1">
        <w:rPr>
          <w:rStyle w:val="eop"/>
          <w:rFonts w:ascii="Aptos" w:hAnsi="Aptos" w:cs="Arial"/>
          <w:sz w:val="22"/>
          <w:szCs w:val="22"/>
        </w:rPr>
        <w:t>.</w:t>
      </w:r>
    </w:p>
    <w:p w14:paraId="1AE2EFB9" w14:textId="77777777" w:rsidR="00E130D1" w:rsidRPr="00E130D1" w:rsidRDefault="00E130D1" w:rsidP="00E130D1">
      <w:pPr>
        <w:pStyle w:val="paragraph"/>
        <w:spacing w:after="0"/>
        <w:textAlignment w:val="baseline"/>
        <w:rPr>
          <w:rStyle w:val="eop"/>
          <w:rFonts w:ascii="Arial" w:hAnsi="Arial" w:cs="Arial"/>
          <w:sz w:val="22"/>
          <w:szCs w:val="22"/>
        </w:rPr>
      </w:pPr>
      <w:r w:rsidRPr="00E130D1">
        <w:rPr>
          <w:rStyle w:val="eop"/>
          <w:rFonts w:ascii="Arial" w:hAnsi="Arial" w:cs="Arial"/>
          <w:sz w:val="22"/>
          <w:szCs w:val="22"/>
        </w:rPr>
        <w:t>To guide the research, the following SMART objectives have been formulated:</w:t>
      </w:r>
    </w:p>
    <w:p w14:paraId="70650F68" w14:textId="7123B900"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1</w:t>
      </w:r>
      <w:r>
        <w:rPr>
          <w:rStyle w:val="eop"/>
          <w:rFonts w:ascii="Arial" w:hAnsi="Arial" w:cs="Arial"/>
          <w:sz w:val="22"/>
          <w:szCs w:val="22"/>
        </w:rPr>
        <w:t xml:space="preserve">: </w:t>
      </w:r>
      <w:r w:rsidRPr="00E130D1">
        <w:rPr>
          <w:rStyle w:val="eop"/>
          <w:rFonts w:ascii="Arial" w:hAnsi="Arial" w:cs="Arial"/>
          <w:b/>
          <w:bCs/>
          <w:sz w:val="22"/>
          <w:szCs w:val="22"/>
        </w:rPr>
        <w:t>Specific &amp; Measurable:</w:t>
      </w:r>
      <w:r w:rsidRPr="00E130D1">
        <w:rPr>
          <w:rStyle w:val="eop"/>
          <w:rFonts w:ascii="Arial" w:hAnsi="Arial" w:cs="Arial"/>
          <w:sz w:val="22"/>
          <w:szCs w:val="22"/>
        </w:rPr>
        <w:t xml:space="preserve"> Define and examine the concept of culturally competent care within UK end-of-life services, with a focus on its application to ethnic minority communities (Papadopoulos, 2006).</w:t>
      </w:r>
    </w:p>
    <w:p w14:paraId="3EDC6032" w14:textId="26B7167C"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2</w:t>
      </w:r>
      <w:r>
        <w:rPr>
          <w:rStyle w:val="eop"/>
          <w:rFonts w:ascii="Arial" w:hAnsi="Arial" w:cs="Arial"/>
          <w:sz w:val="22"/>
          <w:szCs w:val="22"/>
        </w:rPr>
        <w:t xml:space="preserve">: </w:t>
      </w:r>
      <w:r w:rsidRPr="00E130D1">
        <w:rPr>
          <w:rStyle w:val="eop"/>
          <w:rFonts w:ascii="Arial" w:hAnsi="Arial" w:cs="Arial"/>
          <w:b/>
          <w:bCs/>
          <w:sz w:val="22"/>
          <w:szCs w:val="22"/>
        </w:rPr>
        <w:t>Achievable:</w:t>
      </w:r>
      <w:r w:rsidRPr="00E130D1">
        <w:rPr>
          <w:rStyle w:val="eop"/>
          <w:rFonts w:ascii="Arial" w:hAnsi="Arial" w:cs="Arial"/>
          <w:sz w:val="22"/>
          <w:szCs w:val="22"/>
        </w:rPr>
        <w:t xml:space="preserve"> Analyse the structural, institutional, and communication-related barriers that hinder the delivery of culturally appropriate EOL care (Koffman et al., 2008).</w:t>
      </w:r>
    </w:p>
    <w:p w14:paraId="214EF3BB" w14:textId="562080AB" w:rsidR="00E130D1" w:rsidRPr="00E130D1" w:rsidRDefault="00E130D1" w:rsidP="00E130D1">
      <w:pPr>
        <w:pStyle w:val="paragraph"/>
        <w:numPr>
          <w:ilvl w:val="0"/>
          <w:numId w:val="109"/>
        </w:numPr>
        <w:spacing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3</w:t>
      </w:r>
      <w:r>
        <w:rPr>
          <w:rStyle w:val="eop"/>
          <w:rFonts w:ascii="Arial" w:hAnsi="Arial" w:cs="Arial"/>
          <w:sz w:val="22"/>
          <w:szCs w:val="22"/>
        </w:rPr>
        <w:t xml:space="preserve">: </w:t>
      </w:r>
      <w:r w:rsidRPr="00E130D1">
        <w:rPr>
          <w:rStyle w:val="eop"/>
          <w:rFonts w:ascii="Arial" w:hAnsi="Arial" w:cs="Arial"/>
          <w:b/>
          <w:bCs/>
          <w:sz w:val="22"/>
          <w:szCs w:val="22"/>
        </w:rPr>
        <w:t>Relevant:</w:t>
      </w:r>
      <w:r w:rsidRPr="00E130D1">
        <w:rPr>
          <w:rStyle w:val="eop"/>
          <w:rFonts w:ascii="Arial" w:hAnsi="Arial" w:cs="Arial"/>
          <w:sz w:val="22"/>
          <w:szCs w:val="22"/>
        </w:rPr>
        <w:t xml:space="preserve"> Evaluate how current UK policies and professional practices address cultural </w:t>
      </w:r>
      <w:r w:rsidR="000B6688" w:rsidRPr="00E130D1">
        <w:rPr>
          <w:rStyle w:val="eop"/>
          <w:rFonts w:ascii="Arial" w:hAnsi="Arial" w:cs="Arial"/>
          <w:sz w:val="22"/>
          <w:szCs w:val="22"/>
        </w:rPr>
        <w:t>diversity and</w:t>
      </w:r>
      <w:r w:rsidRPr="00E130D1">
        <w:rPr>
          <w:rStyle w:val="eop"/>
          <w:rFonts w:ascii="Arial" w:hAnsi="Arial" w:cs="Arial"/>
          <w:sz w:val="22"/>
          <w:szCs w:val="22"/>
        </w:rPr>
        <w:t xml:space="preserve"> assess how national strategies such as The King’s Fund’s inclusion agenda shape access to care (Marie Curie, 2019; The King’s Fund, 2021).</w:t>
      </w:r>
    </w:p>
    <w:p w14:paraId="21177842" w14:textId="4B7292E9" w:rsidR="00E130D1" w:rsidRPr="00E130D1" w:rsidRDefault="00E130D1" w:rsidP="00E130D1">
      <w:pPr>
        <w:pStyle w:val="paragraph"/>
        <w:numPr>
          <w:ilvl w:val="0"/>
          <w:numId w:val="109"/>
        </w:numPr>
        <w:spacing w:before="0" w:beforeAutospacing="0" w:after="0" w:afterAutospacing="0" w:line="360" w:lineRule="auto"/>
        <w:ind w:left="714" w:hanging="357"/>
        <w:textAlignment w:val="baseline"/>
        <w:rPr>
          <w:rStyle w:val="eop"/>
          <w:rFonts w:ascii="Arial" w:hAnsi="Arial" w:cs="Arial"/>
          <w:sz w:val="22"/>
          <w:szCs w:val="22"/>
        </w:rPr>
      </w:pPr>
      <w:r w:rsidRPr="00E130D1">
        <w:rPr>
          <w:rStyle w:val="eop"/>
          <w:rFonts w:ascii="Arial" w:hAnsi="Arial" w:cs="Arial"/>
          <w:sz w:val="22"/>
          <w:szCs w:val="22"/>
        </w:rPr>
        <w:t>Objective 4</w:t>
      </w:r>
      <w:r>
        <w:rPr>
          <w:rStyle w:val="eop"/>
          <w:rFonts w:ascii="Arial" w:hAnsi="Arial" w:cs="Arial"/>
          <w:sz w:val="22"/>
          <w:szCs w:val="22"/>
        </w:rPr>
        <w:t xml:space="preserve">: </w:t>
      </w:r>
      <w:r w:rsidRPr="00E130D1">
        <w:rPr>
          <w:rStyle w:val="eop"/>
          <w:rFonts w:ascii="Arial" w:hAnsi="Arial" w:cs="Arial"/>
          <w:b/>
          <w:bCs/>
          <w:sz w:val="22"/>
          <w:szCs w:val="22"/>
        </w:rPr>
        <w:t>Time-bound:</w:t>
      </w:r>
      <w:r w:rsidRPr="00E130D1">
        <w:rPr>
          <w:rStyle w:val="eop"/>
          <w:rFonts w:ascii="Arial" w:hAnsi="Arial" w:cs="Arial"/>
          <w:sz w:val="22"/>
          <w:szCs w:val="22"/>
        </w:rPr>
        <w:t xml:space="preserve"> Provide evidence-based recommendations for improving culturally competent care in EOL services, drawing on recent UK literature and policy within the academic timeframe (Public Health England, 2019).</w:t>
      </w:r>
    </w:p>
    <w:p w14:paraId="28A1CEB0" w14:textId="77777777" w:rsidR="00E130D1" w:rsidRDefault="00E130D1" w:rsidP="00BD2909">
      <w:pPr>
        <w:pStyle w:val="paragraph"/>
        <w:spacing w:before="0" w:beforeAutospacing="0" w:after="0" w:afterAutospacing="0" w:line="360" w:lineRule="auto"/>
        <w:textAlignment w:val="baseline"/>
        <w:rPr>
          <w:rStyle w:val="eop"/>
          <w:rFonts w:ascii="Aptos" w:hAnsi="Aptos" w:cs="Arial"/>
          <w:sz w:val="22"/>
          <w:szCs w:val="22"/>
        </w:rPr>
      </w:pPr>
    </w:p>
    <w:p w14:paraId="555DC0DE" w14:textId="77777777" w:rsidR="00E130D1" w:rsidRPr="00BD2909" w:rsidRDefault="00E130D1" w:rsidP="00BD2909">
      <w:pPr>
        <w:pStyle w:val="paragraph"/>
        <w:spacing w:before="0" w:beforeAutospacing="0" w:after="0" w:afterAutospacing="0" w:line="360" w:lineRule="auto"/>
        <w:textAlignment w:val="baseline"/>
        <w:rPr>
          <w:rFonts w:ascii="Aptos" w:hAnsi="Aptos" w:cs="Segoe UI"/>
          <w:sz w:val="16"/>
          <w:szCs w:val="16"/>
        </w:rPr>
      </w:pPr>
    </w:p>
    <w:p w14:paraId="4FCBBEC2" w14:textId="4C5EB2D0" w:rsidR="00BD2909" w:rsidRPr="002961EB"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w:t>
      </w:r>
      <w:r w:rsidR="00B9486E">
        <w:rPr>
          <w:rStyle w:val="normaltextrun"/>
          <w:rFonts w:ascii="Aptos" w:hAnsi="Aptos" w:cs="Arial"/>
          <w:color w:val="0F4761"/>
        </w:rPr>
        <w:t xml:space="preserve">5 </w:t>
      </w:r>
      <w:r w:rsidRPr="002961EB">
        <w:rPr>
          <w:rStyle w:val="normaltextrun"/>
          <w:rFonts w:ascii="Aptos" w:hAnsi="Aptos" w:cs="Arial"/>
          <w:color w:val="0F4761"/>
        </w:rPr>
        <w:t>Conclusion (150 words approx.)</w:t>
      </w:r>
      <w:r w:rsidRPr="002961EB">
        <w:rPr>
          <w:rStyle w:val="eop"/>
          <w:rFonts w:ascii="Aptos" w:hAnsi="Aptos" w:cs="Arial"/>
          <w:color w:val="0F4761"/>
        </w:rPr>
        <w:t> </w:t>
      </w:r>
    </w:p>
    <w:p w14:paraId="3A092CD9" w14:textId="2B613937" w:rsidR="00CE1304" w:rsidRPr="00CE1304" w:rsidRDefault="00CE1304" w:rsidP="00CE1304">
      <w:pPr>
        <w:pStyle w:val="paragraph"/>
        <w:spacing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This chapter has introduced the central focus of the dissertation</w:t>
      </w:r>
      <w:r>
        <w:rPr>
          <w:rStyle w:val="eop"/>
          <w:rFonts w:ascii="Arial" w:hAnsi="Arial" w:cs="Arial"/>
          <w:sz w:val="22"/>
          <w:szCs w:val="22"/>
        </w:rPr>
        <w:t xml:space="preserve"> by </w:t>
      </w:r>
      <w:r w:rsidRPr="00CE1304">
        <w:rPr>
          <w:rStyle w:val="eop"/>
          <w:rFonts w:ascii="Arial" w:hAnsi="Arial" w:cs="Arial"/>
          <w:sz w:val="22"/>
          <w:szCs w:val="22"/>
        </w:rPr>
        <w:t>exploring the barriers to delivering culturally competent end-of-life (EOL) care to ethnic minority communities in the UK. The discussion began by outlining the relevance of EOL care within the broader health and social care context, emphasising the increasing importance of culturally responsive practice in a diverse society. Key terminology was defined to ensure conceptual clarity, and the rationale for the research was justified through an examination of current inequalities, gaps in service provision, and the limited attention given to the lived experiences of minority groups. The overarching aim and four SMART objectives were presented, highlighting the intention to generate practical, evidence-based recommendations for inclusive care.</w:t>
      </w:r>
    </w:p>
    <w:p w14:paraId="5DF5504E" w14:textId="77777777" w:rsidR="00CE1304" w:rsidRPr="00CE1304" w:rsidRDefault="00CE1304" w:rsidP="00CE1304">
      <w:pPr>
        <w:pStyle w:val="paragraph"/>
        <w:spacing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This study is timely and significant, given the pressing need to ensure that all individuals receive dignified and culturally appropriate support at the end of life. The research contributes not only to academic discourse but also to the ongoing development of socially just health and social care practice.</w:t>
      </w:r>
    </w:p>
    <w:p w14:paraId="31574B0E" w14:textId="77777777" w:rsidR="00CE1304" w:rsidRDefault="00CE1304" w:rsidP="00CE1304">
      <w:pPr>
        <w:pStyle w:val="paragraph"/>
        <w:spacing w:before="0" w:beforeAutospacing="0" w:after="0" w:afterAutospacing="0" w:line="360" w:lineRule="auto"/>
        <w:textAlignment w:val="baseline"/>
        <w:rPr>
          <w:rStyle w:val="eop"/>
          <w:rFonts w:ascii="Arial" w:hAnsi="Arial" w:cs="Arial"/>
          <w:sz w:val="22"/>
          <w:szCs w:val="22"/>
        </w:rPr>
      </w:pPr>
    </w:p>
    <w:p w14:paraId="034ABA9B" w14:textId="6292B5DA" w:rsidR="00BD2909" w:rsidRPr="00CE1304" w:rsidRDefault="00CE1304" w:rsidP="00CE1304">
      <w:pPr>
        <w:pStyle w:val="paragraph"/>
        <w:spacing w:before="0" w:beforeAutospacing="0" w:after="0" w:afterAutospacing="0" w:line="360" w:lineRule="auto"/>
        <w:textAlignment w:val="baseline"/>
        <w:rPr>
          <w:rStyle w:val="eop"/>
          <w:rFonts w:ascii="Arial" w:hAnsi="Arial" w:cs="Arial"/>
          <w:sz w:val="22"/>
          <w:szCs w:val="22"/>
        </w:rPr>
      </w:pPr>
      <w:r w:rsidRPr="00CE1304">
        <w:rPr>
          <w:rStyle w:val="eop"/>
          <w:rFonts w:ascii="Arial" w:hAnsi="Arial" w:cs="Arial"/>
          <w:sz w:val="22"/>
          <w:szCs w:val="22"/>
        </w:rPr>
        <w:t>The following chapter (Chapter 2) will provide an in-depth background and contextual analysis of the research topic. It will explore the historical, theoretical, and policy developments related to cultural competence and palliative care, drawing on national and international perspectives. This foundation will inform the subsequent thematic analysis and guide the critical discussion of findings in later chapters.</w:t>
      </w:r>
    </w:p>
    <w:p w14:paraId="6244CA48" w14:textId="77777777" w:rsidR="00CE1304" w:rsidRPr="00CE1304" w:rsidRDefault="00CE1304" w:rsidP="00CE1304">
      <w:pPr>
        <w:pStyle w:val="paragraph"/>
        <w:spacing w:before="0" w:beforeAutospacing="0" w:after="0" w:afterAutospacing="0" w:line="360" w:lineRule="auto"/>
        <w:textAlignment w:val="baseline"/>
        <w:rPr>
          <w:rFonts w:ascii="Arial" w:hAnsi="Arial" w:cs="Arial"/>
          <w:sz w:val="16"/>
          <w:szCs w:val="16"/>
        </w:rPr>
      </w:pPr>
    </w:p>
    <w:p w14:paraId="115C9163" w14:textId="77777777" w:rsidR="00730C3C" w:rsidRDefault="00730C3C"/>
    <w:p w14:paraId="47D34B52" w14:textId="22D09622"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306843FC" w14:textId="77777777" w:rsidR="00CE1304" w:rsidRDefault="00CE1304" w:rsidP="000D0641">
      <w:pPr>
        <w:pStyle w:val="Heading1"/>
        <w:ind w:left="0"/>
        <w:rPr>
          <w:rFonts w:ascii="Aptos" w:hAnsi="Aptos"/>
        </w:rPr>
      </w:pPr>
    </w:p>
    <w:p w14:paraId="76D5BA82" w14:textId="77777777" w:rsidR="00CE1304" w:rsidRDefault="00CE1304" w:rsidP="000D0641">
      <w:pPr>
        <w:pStyle w:val="Heading1"/>
        <w:ind w:left="0"/>
        <w:rPr>
          <w:rFonts w:ascii="Aptos" w:hAnsi="Aptos"/>
        </w:rPr>
      </w:pPr>
    </w:p>
    <w:p w14:paraId="2284525E" w14:textId="77777777" w:rsidR="00CE1304" w:rsidRDefault="00CE1304" w:rsidP="000D0641">
      <w:pPr>
        <w:pStyle w:val="Heading1"/>
        <w:ind w:left="0"/>
        <w:rPr>
          <w:rFonts w:ascii="Aptos" w:hAnsi="Aptos"/>
        </w:rPr>
      </w:pPr>
    </w:p>
    <w:p w14:paraId="7E93E7CC" w14:textId="77777777" w:rsidR="00CE1304" w:rsidRDefault="00CE1304" w:rsidP="000D0641">
      <w:pPr>
        <w:pStyle w:val="Heading1"/>
        <w:ind w:left="0"/>
        <w:rPr>
          <w:rFonts w:ascii="Aptos" w:hAnsi="Aptos"/>
        </w:rPr>
      </w:pPr>
    </w:p>
    <w:p w14:paraId="33D4B98F" w14:textId="424F7DA5" w:rsidR="000D0641" w:rsidRPr="000D0641" w:rsidRDefault="000D0641" w:rsidP="000D0641">
      <w:pPr>
        <w:pStyle w:val="Heading1"/>
        <w:ind w:left="0"/>
        <w:rPr>
          <w:rFonts w:ascii="Aptos" w:hAnsi="Aptos"/>
        </w:rPr>
      </w:pPr>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7B994F37" w14:textId="77777777" w:rsidR="000B6688" w:rsidRDefault="00BD2909" w:rsidP="000B6688">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2E7FE5A2" w:rsidR="00BD2909" w:rsidRPr="000B6688" w:rsidRDefault="00BD2909" w:rsidP="000B6688">
      <w:pPr>
        <w:pStyle w:val="paragraph"/>
        <w:spacing w:before="0" w:beforeAutospacing="0" w:after="0" w:afterAutospacing="0"/>
        <w:textAlignment w:val="baseline"/>
        <w:rPr>
          <w:rFonts w:ascii="Segoe UI" w:hAnsi="Segoe UI" w:cs="Segoe UI"/>
          <w:color w:val="0F4761"/>
          <w:sz w:val="18"/>
          <w:szCs w:val="18"/>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21C36DD5" w14:textId="77777777" w:rsidR="00EF5751" w:rsidRDefault="00BD2909" w:rsidP="00EF5751">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5B2DF5D" w14:textId="72C2444F" w:rsidR="00EF5751" w:rsidRPr="00EF5751" w:rsidRDefault="00EF5751" w:rsidP="00EF5751">
      <w:pPr>
        <w:pStyle w:val="paragraph"/>
        <w:spacing w:before="0" w:beforeAutospacing="0" w:after="0" w:afterAutospacing="0" w:line="360" w:lineRule="auto"/>
        <w:textAlignment w:val="baseline"/>
        <w:rPr>
          <w:rStyle w:val="normaltextrun"/>
          <w:rFonts w:ascii="Aptos" w:hAnsi="Aptos" w:cs="Segoe UI"/>
          <w:sz w:val="16"/>
          <w:szCs w:val="16"/>
        </w:rPr>
      </w:pPr>
      <w:r w:rsidRPr="00EF5751">
        <w:rPr>
          <w:rStyle w:val="normaltextrun"/>
          <w:rFonts w:ascii="Arial" w:hAnsi="Arial" w:cs="Arial"/>
          <w:sz w:val="22"/>
          <w:szCs w:val="22"/>
        </w:rPr>
        <w:t>The purpose of this chapter is to provide a comprehensive background and contextual framework for understanding the barriers to delivering culturally competent end-of-life (EOL) care to ethnic minority communities in the UK. Establishing this foundation is essential, as it allows for a deeper appreciation of the historical, theoretical, and policy-based factors that continue to influence health and social care practice in multicultural settings (Papadopoulos, 2006).</w:t>
      </w:r>
    </w:p>
    <w:p w14:paraId="0F0AB985" w14:textId="719BEBD3" w:rsidR="00EF5751" w:rsidRPr="00EF5751" w:rsidRDefault="00EF5751" w:rsidP="00EF5751">
      <w:pPr>
        <w:pStyle w:val="paragraph"/>
        <w:spacing w:after="0" w:afterAutospacing="0" w:line="360" w:lineRule="auto"/>
        <w:textAlignment w:val="baseline"/>
        <w:rPr>
          <w:rStyle w:val="normaltextrun"/>
          <w:rFonts w:ascii="Arial" w:hAnsi="Arial" w:cs="Arial"/>
          <w:sz w:val="22"/>
          <w:szCs w:val="22"/>
        </w:rPr>
      </w:pPr>
      <w:r w:rsidRPr="00EF5751">
        <w:rPr>
          <w:rStyle w:val="normaltextrun"/>
          <w:rFonts w:ascii="Arial" w:hAnsi="Arial" w:cs="Arial"/>
          <w:sz w:val="22"/>
          <w:szCs w:val="22"/>
        </w:rPr>
        <w:t>To begin with, the chapter outlines the historical development of cultural competence within the UK health and social care system. It then introduces key theoretical perspectives that have shaped current understanding and application of culturally appropriate care, particularly in palliative and EOL services. In addition, national and international approaches to cultural competence will be explored to provide comparative insights. Particular attention is given to the UK’s demographic changes, NHS policy developments, and the growing demand for inclusive service delivery (NHS England, 2019).</w:t>
      </w:r>
    </w:p>
    <w:p w14:paraId="503B3353" w14:textId="77777777" w:rsidR="00EF5751" w:rsidRDefault="00EF5751" w:rsidP="00EF5751">
      <w:pPr>
        <w:pStyle w:val="paragraph"/>
        <w:spacing w:before="0" w:beforeAutospacing="0" w:after="0" w:afterAutospacing="0" w:line="360" w:lineRule="auto"/>
        <w:textAlignment w:val="baseline"/>
        <w:rPr>
          <w:rStyle w:val="normaltextrun"/>
          <w:rFonts w:ascii="Arial" w:hAnsi="Arial" w:cs="Arial"/>
          <w:sz w:val="22"/>
          <w:szCs w:val="22"/>
        </w:rPr>
      </w:pPr>
    </w:p>
    <w:p w14:paraId="1CB98EA1" w14:textId="3A2FA0DE" w:rsidR="00EF5751" w:rsidRPr="00EF5751" w:rsidRDefault="00EF5751" w:rsidP="00EF5751">
      <w:pPr>
        <w:pStyle w:val="paragraph"/>
        <w:spacing w:before="0" w:beforeAutospacing="0" w:after="0" w:afterAutospacing="0" w:line="360" w:lineRule="auto"/>
        <w:textAlignment w:val="baseline"/>
        <w:rPr>
          <w:rStyle w:val="normaltextrun"/>
          <w:rFonts w:ascii="Arial" w:hAnsi="Arial" w:cs="Arial"/>
          <w:sz w:val="22"/>
          <w:szCs w:val="22"/>
        </w:rPr>
      </w:pPr>
      <w:r w:rsidRPr="00EF5751">
        <w:rPr>
          <w:rStyle w:val="normaltextrun"/>
          <w:rFonts w:ascii="Arial" w:hAnsi="Arial" w:cs="Arial"/>
          <w:sz w:val="22"/>
          <w:szCs w:val="22"/>
        </w:rPr>
        <w:t>By situating the topic within a wider context, this chapter aims to critically engage with the structures and ideologies that underpin current practice. This approach supports a more nuanced and evidence-based exploration of the barriers identified in later chapters. Ultimately, this chapter seeks to demonstrate that delivering culturally competent care is not simply a matter of personal sensitivity, but a systemic and ethical necessity for equitable EOL support.</w:t>
      </w:r>
    </w:p>
    <w:p w14:paraId="6FC393DC" w14:textId="611A0014" w:rsidR="00EF5751" w:rsidRPr="00EF5751" w:rsidRDefault="00EF5751" w:rsidP="00F44833">
      <w:pPr>
        <w:pStyle w:val="paragraph"/>
        <w:spacing w:before="0" w:beforeAutospacing="0" w:after="0" w:afterAutospacing="0" w:line="360" w:lineRule="auto"/>
        <w:textAlignment w:val="baseline"/>
        <w:rPr>
          <w:rStyle w:val="normaltextrun"/>
          <w:rFonts w:ascii="Arial" w:hAnsi="Arial" w:cs="Arial"/>
          <w:sz w:val="22"/>
          <w:szCs w:val="22"/>
        </w:rPr>
      </w:pPr>
    </w:p>
    <w:p w14:paraId="1E87A1ED" w14:textId="77777777" w:rsidR="00EF5751" w:rsidRPr="000B6688" w:rsidRDefault="00EF5751" w:rsidP="00F44833">
      <w:pPr>
        <w:pStyle w:val="paragraph"/>
        <w:spacing w:before="0" w:beforeAutospacing="0" w:after="0" w:afterAutospacing="0" w:line="360" w:lineRule="auto"/>
        <w:textAlignment w:val="baseline"/>
        <w:rPr>
          <w:rStyle w:val="normaltextrun"/>
          <w:rFonts w:ascii="Arial" w:hAnsi="Arial" w:cs="Arial"/>
          <w:color w:val="0F4761"/>
          <w:sz w:val="22"/>
          <w:szCs w:val="22"/>
        </w:rPr>
      </w:pPr>
    </w:p>
    <w:p w14:paraId="0AAAB744" w14:textId="4380E93E"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2E37E5C8" w14:textId="3176FD47" w:rsidR="009F6397" w:rsidRDefault="009F6397" w:rsidP="009F6397">
      <w:pPr>
        <w:pStyle w:val="paragraph"/>
        <w:spacing w:before="0" w:beforeAutospacing="0" w:after="0" w:afterAutospacing="0" w:line="360" w:lineRule="auto"/>
        <w:textAlignment w:val="baseline"/>
        <w:rPr>
          <w:rStyle w:val="eop"/>
          <w:rFonts w:ascii="Aptos" w:eastAsia="Calibri Light" w:hAnsi="Aptos" w:cs="Arial"/>
          <w:sz w:val="22"/>
          <w:szCs w:val="22"/>
        </w:rPr>
      </w:pPr>
      <w:r w:rsidRPr="009F6397">
        <w:rPr>
          <w:rStyle w:val="eop"/>
          <w:rFonts w:ascii="Arial" w:eastAsia="Calibri Light" w:hAnsi="Arial" w:cs="Arial"/>
          <w:sz w:val="22"/>
          <w:szCs w:val="22"/>
        </w:rPr>
        <w:t>The concept of end-of-life (EOL) care has evolved significantly over the past century, shaped by changing societal attitudes, medical advancements, and growing recognition of the psychosocial and cultural dimensions of dying. Historically, death was a family and community event, often occurring at home. However, with the medicalisation of death in the 20th century, dying increasingly became a hospital-based experience, often dominated by clinical rather than compassionate care (Clark, 2016). This shift highlighted the need for a more person-centred and holistic approach, giving rise to the modern hospice and palliative care movements</w:t>
      </w:r>
      <w:r w:rsidRPr="009F6397">
        <w:rPr>
          <w:rStyle w:val="eop"/>
          <w:rFonts w:ascii="Aptos" w:eastAsia="Calibri Light" w:hAnsi="Aptos" w:cs="Arial"/>
          <w:sz w:val="22"/>
          <w:szCs w:val="22"/>
        </w:rPr>
        <w:t>.</w:t>
      </w:r>
    </w:p>
    <w:p w14:paraId="40A428B3"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430238CE" w14:textId="005EEDFF" w:rsidR="009F6397" w:rsidRDefault="009F6397"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9F6397">
        <w:rPr>
          <w:rStyle w:val="eop"/>
          <w:rFonts w:ascii="Arial" w:eastAsia="Calibri Light" w:hAnsi="Arial" w:cs="Arial"/>
          <w:sz w:val="22"/>
          <w:szCs w:val="22"/>
        </w:rPr>
        <w:t>A pivotal figure in this transformation was Dame Cicely Saunders, who founded St Christopher’s Hospice in 1967. Her work integrated physical, emotional, and spiritual care and introduced the concept of “total pain</w:t>
      </w:r>
      <w:r w:rsidR="00B109D0" w:rsidRPr="009F6397">
        <w:rPr>
          <w:rStyle w:val="eop"/>
          <w:rFonts w:ascii="Arial" w:eastAsia="Calibri Light" w:hAnsi="Arial" w:cs="Arial"/>
          <w:sz w:val="22"/>
          <w:szCs w:val="22"/>
        </w:rPr>
        <w:t>,”</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recognising that suffering at the end of life is multidimensional</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(Rhodes, 2017</w:t>
      </w:r>
      <w:r>
        <w:rPr>
          <w:rStyle w:val="eop"/>
          <w:rFonts w:ascii="Arial" w:eastAsia="Calibri Light" w:hAnsi="Arial" w:cs="Arial"/>
          <w:sz w:val="22"/>
          <w:szCs w:val="22"/>
        </w:rPr>
        <w:t xml:space="preserve">; </w:t>
      </w:r>
      <w:r w:rsidRPr="009F6397">
        <w:rPr>
          <w:rStyle w:val="eop"/>
          <w:rFonts w:ascii="Arial" w:eastAsia="Calibri Light" w:hAnsi="Arial" w:cs="Arial"/>
          <w:sz w:val="22"/>
          <w:szCs w:val="22"/>
        </w:rPr>
        <w:t>Saunders, 2001). Saunders’ influence helped establish palliative care as a recognised medical speciality and laid the groundwork for contemporary EOL care globally (Clark, 2007).</w:t>
      </w:r>
    </w:p>
    <w:p w14:paraId="275F4A41"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58C8C451" w14:textId="3F07C00B" w:rsidR="00C06ACE" w:rsidRDefault="00C06ACE"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06ACE">
        <w:rPr>
          <w:rStyle w:val="eop"/>
          <w:rFonts w:ascii="Arial" w:eastAsia="Calibri Light" w:hAnsi="Arial" w:cs="Arial"/>
          <w:sz w:val="22"/>
          <w:szCs w:val="22"/>
        </w:rPr>
        <w:t>Another key milestone was the publication of the Calman-Hine Report (1995), which emphasised equitable access to high-quality cancer and palliative care across all regions of the UK</w:t>
      </w:r>
      <w:r w:rsidR="006450A5">
        <w:rPr>
          <w:rStyle w:val="eop"/>
          <w:rFonts w:ascii="Arial" w:eastAsia="Calibri Light" w:hAnsi="Arial" w:cs="Arial"/>
          <w:sz w:val="22"/>
          <w:szCs w:val="22"/>
        </w:rPr>
        <w:t xml:space="preserve"> </w:t>
      </w:r>
      <w:r w:rsidR="006450A5" w:rsidRPr="006450A5">
        <w:rPr>
          <w:rStyle w:val="eop"/>
          <w:rFonts w:ascii="Arial" w:eastAsia="Calibri Light" w:hAnsi="Arial" w:cs="Arial"/>
          <w:sz w:val="22"/>
          <w:szCs w:val="22"/>
        </w:rPr>
        <w:t>(Haward, 2006)</w:t>
      </w:r>
      <w:r w:rsidR="006450A5">
        <w:rPr>
          <w:rStyle w:val="eop"/>
          <w:rFonts w:ascii="Arial" w:eastAsia="Calibri Light" w:hAnsi="Arial" w:cs="Arial"/>
          <w:sz w:val="22"/>
          <w:szCs w:val="22"/>
        </w:rPr>
        <w:t>.</w:t>
      </w:r>
      <w:r w:rsidRPr="00C06ACE">
        <w:rPr>
          <w:rStyle w:val="eop"/>
          <w:rFonts w:ascii="Arial" w:eastAsia="Calibri Light" w:hAnsi="Arial" w:cs="Arial"/>
          <w:sz w:val="22"/>
          <w:szCs w:val="22"/>
        </w:rPr>
        <w:t xml:space="preserve"> This was followed by national strategies</w:t>
      </w:r>
      <w:r w:rsidR="00CB27A6">
        <w:rPr>
          <w:rStyle w:val="eop"/>
          <w:rFonts w:ascii="Arial" w:eastAsia="Calibri Light" w:hAnsi="Arial" w:cs="Arial"/>
          <w:sz w:val="22"/>
          <w:szCs w:val="22"/>
        </w:rPr>
        <w:t>,</w:t>
      </w:r>
      <w:r w:rsidRPr="00C06ACE">
        <w:rPr>
          <w:rStyle w:val="eop"/>
          <w:rFonts w:ascii="Arial" w:eastAsia="Calibri Light" w:hAnsi="Arial" w:cs="Arial"/>
          <w:sz w:val="22"/>
          <w:szCs w:val="22"/>
        </w:rPr>
        <w:t xml:space="preserve"> including the </w:t>
      </w:r>
      <w:r w:rsidR="00CB27A6" w:rsidRPr="00C06ACE">
        <w:rPr>
          <w:rStyle w:val="eop"/>
          <w:rFonts w:ascii="Arial" w:eastAsia="Calibri Light" w:hAnsi="Arial" w:cs="Arial"/>
          <w:sz w:val="22"/>
          <w:szCs w:val="22"/>
        </w:rPr>
        <w:t>End-of-Life</w:t>
      </w:r>
      <w:r w:rsidRPr="00C06ACE">
        <w:rPr>
          <w:rStyle w:val="eop"/>
          <w:rFonts w:ascii="Arial" w:eastAsia="Calibri Light" w:hAnsi="Arial" w:cs="Arial"/>
          <w:sz w:val="22"/>
          <w:szCs w:val="22"/>
        </w:rPr>
        <w:t xml:space="preserve"> Care Strategy </w:t>
      </w:r>
      <w:r w:rsidR="00CB27A6" w:rsidRPr="00CB27A6">
        <w:rPr>
          <w:rStyle w:val="eop"/>
          <w:rFonts w:ascii="Arial" w:eastAsia="Calibri Light" w:hAnsi="Arial" w:cs="Arial"/>
          <w:sz w:val="22"/>
          <w:szCs w:val="22"/>
        </w:rPr>
        <w:t xml:space="preserve"> (Department of Health, 2008)</w:t>
      </w:r>
      <w:r w:rsidRPr="00C06ACE">
        <w:rPr>
          <w:rStyle w:val="eop"/>
          <w:rFonts w:ascii="Arial" w:eastAsia="Calibri Light" w:hAnsi="Arial" w:cs="Arial"/>
          <w:sz w:val="22"/>
          <w:szCs w:val="22"/>
        </w:rPr>
        <w:t>, which promoted the importance of patient choice, dignity, and culturally appropriate services. These policy efforts underscored the state's responsibility in ensuring inclusive care, particularly for underserved populations.</w:t>
      </w:r>
    </w:p>
    <w:p w14:paraId="482E9B47"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782970BA" w14:textId="0E11491D"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B27A6">
        <w:rPr>
          <w:rStyle w:val="eop"/>
          <w:rFonts w:ascii="Arial" w:eastAsia="Calibri Light" w:hAnsi="Arial" w:cs="Arial"/>
          <w:sz w:val="22"/>
          <w:szCs w:val="22"/>
        </w:rPr>
        <w:t>Despite these advances, it was not until the early 2000s that discussions about cultural competence became more prominent in UK health discourse. The work of Papadopoulos (2006) was instrumental in conceptualising transcultural health and social care, advocating for the integration of cultural awareness into professional training. Her model emphasised the dynamic nature of cultural identity and its impact on service delivery. This approach has since informed both education and policy frameworks across health and social care sectors (Papadopoulos, 2018).</w:t>
      </w:r>
    </w:p>
    <w:p w14:paraId="628F2662"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79513468" w14:textId="240CEB38"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sidRPr="00CB27A6">
        <w:rPr>
          <w:rStyle w:val="eop"/>
          <w:rFonts w:ascii="Arial" w:eastAsia="Calibri Light" w:hAnsi="Arial" w:cs="Arial"/>
          <w:sz w:val="22"/>
          <w:szCs w:val="22"/>
        </w:rPr>
        <w:t>Organisations such as Marie Curie and Hospice UK have also played crucial roles in highlighting cultural inequalities in EOL care. Marie Curie’s 2013 report on ethnic minority access to palliative care revealed persistent barriers such as language, stigma, and mistrust in services (</w:t>
      </w:r>
      <w:proofErr w:type="spellStart"/>
      <w:r w:rsidRPr="00CB27A6">
        <w:rPr>
          <w:rStyle w:val="eop"/>
          <w:rFonts w:ascii="Arial" w:eastAsia="Calibri Light" w:hAnsi="Arial" w:cs="Arial"/>
          <w:sz w:val="22"/>
          <w:szCs w:val="22"/>
        </w:rPr>
        <w:t>Calanzani</w:t>
      </w:r>
      <w:proofErr w:type="spellEnd"/>
      <w:r w:rsidRPr="00CB27A6">
        <w:rPr>
          <w:rStyle w:val="eop"/>
          <w:rFonts w:ascii="Arial" w:eastAsia="Calibri Light" w:hAnsi="Arial" w:cs="Arial"/>
          <w:sz w:val="22"/>
          <w:szCs w:val="22"/>
        </w:rPr>
        <w:t>, Koffman</w:t>
      </w:r>
      <w:r w:rsidR="00B8126D">
        <w:rPr>
          <w:rStyle w:val="eop"/>
          <w:rFonts w:ascii="Arial" w:eastAsia="Calibri Light" w:hAnsi="Arial" w:cs="Arial"/>
          <w:sz w:val="22"/>
          <w:szCs w:val="22"/>
        </w:rPr>
        <w:t>,</w:t>
      </w:r>
      <w:r w:rsidRPr="00CB27A6">
        <w:rPr>
          <w:rStyle w:val="eop"/>
          <w:rFonts w:ascii="Arial" w:eastAsia="Calibri Light" w:hAnsi="Arial" w:cs="Arial"/>
          <w:sz w:val="22"/>
          <w:szCs w:val="22"/>
        </w:rPr>
        <w:t xml:space="preserve"> and Higginson, 2013). These findings continue to influence service design and training across hospices and NHS trusts.</w:t>
      </w:r>
    </w:p>
    <w:p w14:paraId="5AC8E08D" w14:textId="77777777" w:rsidR="00CB27A6"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p>
    <w:p w14:paraId="3A6D3C32" w14:textId="28BB16AD" w:rsidR="00CB27A6" w:rsidRPr="009F6397" w:rsidRDefault="00CB27A6" w:rsidP="009F6397">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T</w:t>
      </w:r>
      <w:r w:rsidRPr="00CB27A6">
        <w:rPr>
          <w:rStyle w:val="eop"/>
          <w:rFonts w:ascii="Arial" w:eastAsia="Calibri Light" w:hAnsi="Arial" w:cs="Arial"/>
          <w:sz w:val="22"/>
          <w:szCs w:val="22"/>
        </w:rPr>
        <w:t>he development of EOL care in the UK reflects a gradual shift from institutional to holistic, person-centred models. Nevertheless, the integration of cultural competence remains incomplete, highlighting the need for continued research and reform. As this chapter demonstrates, both pioneering individuals and advocacy organisations have significantly shaped the evolution of this topic, although challenges persist in ensuring equitable care for all communities.</w:t>
      </w:r>
    </w:p>
    <w:p w14:paraId="4D42201B" w14:textId="3594F2EB" w:rsidR="00BD2909" w:rsidRPr="00F44833" w:rsidRDefault="00BD2909" w:rsidP="009F6397">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2.3 Theoretical Background (500 words approx.)</w:t>
      </w:r>
      <w:r w:rsidRPr="00F44833">
        <w:rPr>
          <w:rStyle w:val="eop"/>
          <w:rFonts w:ascii="Aptos" w:eastAsia="Calibri Light" w:hAnsi="Aptos" w:cs="Arial"/>
          <w:color w:val="0F4761"/>
        </w:rPr>
        <w:t> </w:t>
      </w:r>
    </w:p>
    <w:p w14:paraId="1787DF7C" w14:textId="1E25F11D" w:rsidR="00BD2909" w:rsidRPr="00E26110" w:rsidRDefault="00A95479" w:rsidP="00F44833">
      <w:pPr>
        <w:pStyle w:val="paragraph"/>
        <w:spacing w:before="0" w:beforeAutospacing="0" w:after="0" w:afterAutospacing="0" w:line="360" w:lineRule="auto"/>
        <w:textAlignment w:val="baseline"/>
        <w:rPr>
          <w:rStyle w:val="eop"/>
          <w:rFonts w:ascii="Aptos" w:hAnsi="Aptos" w:cs="Segoe UI"/>
          <w:sz w:val="16"/>
          <w:szCs w:val="16"/>
        </w:rPr>
      </w:pPr>
      <w:r w:rsidRPr="00A95479">
        <w:rPr>
          <w:rStyle w:val="eop"/>
          <w:rFonts w:ascii="Arial" w:eastAsia="Calibri Light" w:hAnsi="Arial" w:cs="Arial"/>
          <w:sz w:val="22"/>
          <w:szCs w:val="22"/>
        </w:rPr>
        <w:t>This chapter draws on three key theoretical models that underpin the study of culturally competent end-of-life (EOL) care: Leininger’s Culture Care Theory, Campinha-Bacote’s Cultural Competence Model, and Papadopoulos’ Framework. These models provide essential frameworks for understanding how cultural awareness, sensitivity, and responsiveness can be developed and applied in healthcare practice</w:t>
      </w:r>
      <w:r w:rsidR="001A002A">
        <w:rPr>
          <w:rStyle w:val="eop"/>
          <w:rFonts w:ascii="Arial" w:eastAsia="Calibri Light" w:hAnsi="Arial" w:cs="Arial"/>
          <w:sz w:val="22"/>
          <w:szCs w:val="22"/>
        </w:rPr>
        <w:t xml:space="preserve"> </w:t>
      </w:r>
      <w:r w:rsidR="001A002A" w:rsidRPr="001A002A">
        <w:rPr>
          <w:rStyle w:val="eop"/>
          <w:rFonts w:ascii="Arial" w:eastAsia="Calibri Light" w:hAnsi="Arial" w:cs="Arial"/>
          <w:sz w:val="22"/>
          <w:szCs w:val="22"/>
        </w:rPr>
        <w:t>(NHS England, 2019)</w:t>
      </w:r>
      <w:r w:rsidR="001A002A">
        <w:rPr>
          <w:rStyle w:val="eop"/>
          <w:rFonts w:ascii="Arial" w:eastAsia="Calibri Light" w:hAnsi="Arial" w:cs="Arial"/>
          <w:sz w:val="22"/>
          <w:szCs w:val="22"/>
        </w:rPr>
        <w:t>.</w:t>
      </w:r>
    </w:p>
    <w:p w14:paraId="165CC773" w14:textId="77777777" w:rsidR="00A95479" w:rsidRPr="00A95479" w:rsidRDefault="00A95479" w:rsidP="00A95479">
      <w:pPr>
        <w:pStyle w:val="paragraph"/>
        <w:spacing w:after="0"/>
        <w:textAlignment w:val="baseline"/>
        <w:rPr>
          <w:rStyle w:val="eop"/>
          <w:rFonts w:ascii="Arial" w:eastAsia="Calibri Light" w:hAnsi="Arial" w:cs="Arial"/>
          <w:b/>
          <w:bCs/>
          <w:sz w:val="22"/>
          <w:szCs w:val="22"/>
        </w:rPr>
      </w:pPr>
      <w:r w:rsidRPr="00A95479">
        <w:rPr>
          <w:rStyle w:val="eop"/>
          <w:rFonts w:ascii="Arial" w:eastAsia="Calibri Light" w:hAnsi="Arial" w:cs="Arial"/>
          <w:b/>
          <w:bCs/>
          <w:sz w:val="22"/>
          <w:szCs w:val="22"/>
        </w:rPr>
        <w:t>Key Theories and Concepts</w:t>
      </w:r>
    </w:p>
    <w:p w14:paraId="5A0C9655" w14:textId="005C4B44" w:rsidR="00A95479" w:rsidRDefault="00A95479"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A95479">
        <w:rPr>
          <w:rStyle w:val="eop"/>
          <w:rFonts w:ascii="Arial" w:eastAsia="Calibri Light" w:hAnsi="Arial" w:cs="Arial"/>
          <w:sz w:val="22"/>
          <w:szCs w:val="22"/>
        </w:rPr>
        <w:t>Leininger’s Culture Care Theory is widely regarded as one of the foundational models in transcultural nursing. Developed in the 1970s, it posits that culturally congruent care occurs when health practices align with individuals’ cultural values, beliefs, and lifeways (Leininger and McFarland, 2002). Central to this model is the Sunrise Enabler, which illustrates how factors such as religion, kinship, education, and economic status influence care preferences.</w:t>
      </w:r>
    </w:p>
    <w:p w14:paraId="40FD57F1" w14:textId="3FD4FDC8" w:rsidR="00A95479" w:rsidRDefault="00A95479"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A95479">
        <w:rPr>
          <w:rStyle w:val="eop"/>
          <w:rFonts w:ascii="Arial" w:eastAsia="Calibri Light" w:hAnsi="Arial" w:cs="Arial"/>
          <w:sz w:val="22"/>
          <w:szCs w:val="22"/>
        </w:rPr>
        <w:t>Campinha-Bacote (2002) introduced a process-oriented model titled “The Process of Cultural Competence in the Delivery of Healthcare Services”, which consists of five interrelated constructs: cultural awareness, knowledge, skill, encounters, and desire. This model emphasises that cultural competence is a continuous journey, rather than an endpoint.</w:t>
      </w:r>
    </w:p>
    <w:p w14:paraId="7A192794" w14:textId="77777777" w:rsidR="00B9486E" w:rsidRDefault="00B9486E" w:rsidP="00A95479">
      <w:pPr>
        <w:pStyle w:val="paragraph"/>
        <w:spacing w:before="0" w:beforeAutospacing="0" w:after="0" w:afterAutospacing="0" w:line="360" w:lineRule="auto"/>
        <w:textAlignment w:val="baseline"/>
        <w:rPr>
          <w:rStyle w:val="eop"/>
          <w:rFonts w:ascii="Arial" w:eastAsia="Calibri Light" w:hAnsi="Arial" w:cs="Arial"/>
          <w:sz w:val="22"/>
          <w:szCs w:val="22"/>
        </w:rPr>
      </w:pPr>
    </w:p>
    <w:p w14:paraId="602AEC37" w14:textId="309FB616" w:rsidR="00CC5461" w:rsidRPr="00A95479" w:rsidRDefault="00D4667E" w:rsidP="00A95479">
      <w:pPr>
        <w:pStyle w:val="paragraph"/>
        <w:spacing w:before="0" w:beforeAutospacing="0" w:after="0" w:afterAutospacing="0" w:line="360" w:lineRule="auto"/>
        <w:textAlignment w:val="baseline"/>
        <w:rPr>
          <w:rStyle w:val="eop"/>
          <w:rFonts w:ascii="Arial" w:eastAsia="Calibri Light" w:hAnsi="Arial" w:cs="Arial"/>
          <w:sz w:val="22"/>
          <w:szCs w:val="22"/>
        </w:rPr>
      </w:pPr>
      <w:r w:rsidRPr="00D4667E">
        <w:rPr>
          <w:rStyle w:val="eop"/>
          <w:rFonts w:ascii="Arial" w:eastAsia="Calibri Light" w:hAnsi="Arial" w:cs="Arial"/>
          <w:sz w:val="22"/>
          <w:szCs w:val="22"/>
        </w:rPr>
        <w:t>The Papadopoulos, Tilki and Taylor Model (PTT) (200</w:t>
      </w:r>
      <w:r>
        <w:rPr>
          <w:rStyle w:val="eop"/>
          <w:rFonts w:ascii="Arial" w:eastAsia="Calibri Light" w:hAnsi="Arial" w:cs="Arial"/>
          <w:sz w:val="22"/>
          <w:szCs w:val="22"/>
        </w:rPr>
        <w:t>3</w:t>
      </w:r>
      <w:r w:rsidRPr="00D4667E">
        <w:rPr>
          <w:rStyle w:val="eop"/>
          <w:rFonts w:ascii="Arial" w:eastAsia="Calibri Light" w:hAnsi="Arial" w:cs="Arial"/>
          <w:sz w:val="22"/>
          <w:szCs w:val="22"/>
        </w:rPr>
        <w:t>) focuses on developing culturally competent practitioners through four stages: cultural awareness, cultural knowledge, cultural sensitivity, and cultural competence. Papadopoulos’ framework is particularly relevant to UK health and social care, as it aligns with the needs of an increasingly diverse population and addresses professional values and ethics.</w:t>
      </w:r>
    </w:p>
    <w:p w14:paraId="141B0037" w14:textId="77777777" w:rsidR="00D4667E" w:rsidRPr="00D4667E" w:rsidRDefault="00D4667E" w:rsidP="00D4667E">
      <w:pPr>
        <w:pStyle w:val="paragraph"/>
        <w:spacing w:after="0"/>
        <w:textAlignment w:val="baseline"/>
        <w:rPr>
          <w:rStyle w:val="eop"/>
          <w:rFonts w:ascii="Arial" w:eastAsia="Calibri Light" w:hAnsi="Arial" w:cs="Arial"/>
          <w:b/>
          <w:bCs/>
          <w:sz w:val="22"/>
          <w:szCs w:val="22"/>
        </w:rPr>
      </w:pPr>
      <w:r w:rsidRPr="00D4667E">
        <w:rPr>
          <w:rStyle w:val="eop"/>
          <w:rFonts w:ascii="Arial" w:eastAsia="Calibri Light" w:hAnsi="Arial" w:cs="Arial"/>
          <w:b/>
          <w:bCs/>
          <w:sz w:val="22"/>
          <w:szCs w:val="22"/>
        </w:rPr>
        <w:t>Application of Theories</w:t>
      </w:r>
    </w:p>
    <w:p w14:paraId="7B6F6A9E" w14:textId="6C1A7B6F" w:rsidR="00B8126D" w:rsidRDefault="00D4667E"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D4667E">
        <w:rPr>
          <w:rStyle w:val="eop"/>
          <w:rFonts w:ascii="Arial" w:eastAsia="Calibri Light" w:hAnsi="Arial" w:cs="Arial"/>
          <w:sz w:val="22"/>
          <w:szCs w:val="22"/>
        </w:rPr>
        <w:t xml:space="preserve">Leininger’s model has been applied in various qualitative studies that explore EOL decision-making among culturally diverse patients. For instance, </w:t>
      </w:r>
      <w:r w:rsidR="00B640F2" w:rsidRPr="00B640F2">
        <w:rPr>
          <w:rStyle w:val="eop"/>
          <w:rFonts w:ascii="Arial" w:eastAsia="Calibri Light" w:hAnsi="Arial" w:cs="Arial"/>
          <w:sz w:val="22"/>
          <w:szCs w:val="22"/>
        </w:rPr>
        <w:t>McFarland and Wehbe-</w:t>
      </w:r>
      <w:proofErr w:type="spellStart"/>
      <w:r w:rsidR="00B640F2" w:rsidRPr="00B640F2">
        <w:rPr>
          <w:rStyle w:val="eop"/>
          <w:rFonts w:ascii="Arial" w:eastAsia="Calibri Light" w:hAnsi="Arial" w:cs="Arial"/>
          <w:sz w:val="22"/>
          <w:szCs w:val="22"/>
        </w:rPr>
        <w:t>Alamah</w:t>
      </w:r>
      <w:proofErr w:type="spellEnd"/>
      <w:r w:rsidR="00B640F2" w:rsidRPr="00B640F2">
        <w:rPr>
          <w:rStyle w:val="eop"/>
          <w:rFonts w:ascii="Arial" w:eastAsia="Calibri Light" w:hAnsi="Arial" w:cs="Arial"/>
          <w:sz w:val="22"/>
          <w:szCs w:val="22"/>
        </w:rPr>
        <w:t xml:space="preserve"> </w:t>
      </w:r>
      <w:r w:rsidR="00B640F2">
        <w:rPr>
          <w:rStyle w:val="eop"/>
          <w:rFonts w:ascii="Arial" w:eastAsia="Calibri Light" w:hAnsi="Arial" w:cs="Arial"/>
          <w:sz w:val="22"/>
          <w:szCs w:val="22"/>
        </w:rPr>
        <w:t>(</w:t>
      </w:r>
      <w:r w:rsidR="00B640F2" w:rsidRPr="00B640F2">
        <w:rPr>
          <w:rStyle w:val="eop"/>
          <w:rFonts w:ascii="Arial" w:eastAsia="Calibri Light" w:hAnsi="Arial" w:cs="Arial"/>
          <w:sz w:val="22"/>
          <w:szCs w:val="22"/>
        </w:rPr>
        <w:t>2020</w:t>
      </w:r>
      <w:r w:rsidR="00B640F2">
        <w:rPr>
          <w:rStyle w:val="eop"/>
          <w:rFonts w:ascii="Arial" w:eastAsia="Calibri Light" w:hAnsi="Arial" w:cs="Arial"/>
          <w:sz w:val="22"/>
          <w:szCs w:val="22"/>
        </w:rPr>
        <w:t xml:space="preserve">) </w:t>
      </w:r>
      <w:r w:rsidRPr="00D4667E">
        <w:rPr>
          <w:rStyle w:val="eop"/>
          <w:rFonts w:ascii="Arial" w:eastAsia="Calibri Light" w:hAnsi="Arial" w:cs="Arial"/>
          <w:sz w:val="22"/>
          <w:szCs w:val="22"/>
        </w:rPr>
        <w:t>used the theory to explore preferences around death rituals in South Asian communities, highlighting the importance of religious practices and family involvement.</w:t>
      </w:r>
    </w:p>
    <w:p w14:paraId="74839F00" w14:textId="77777777" w:rsidR="001A002A" w:rsidRDefault="001A002A" w:rsidP="00D4667E">
      <w:pPr>
        <w:pStyle w:val="paragraph"/>
        <w:spacing w:before="0" w:beforeAutospacing="0" w:after="0" w:afterAutospacing="0" w:line="360" w:lineRule="auto"/>
        <w:textAlignment w:val="baseline"/>
        <w:rPr>
          <w:rStyle w:val="eop"/>
          <w:rFonts w:ascii="Arial" w:eastAsia="Calibri Light" w:hAnsi="Arial" w:cs="Arial"/>
          <w:sz w:val="22"/>
          <w:szCs w:val="22"/>
        </w:rPr>
      </w:pPr>
    </w:p>
    <w:p w14:paraId="7ED9BA2F" w14:textId="77777777" w:rsidR="00B9486E" w:rsidRDefault="001A002A"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1A002A">
        <w:rPr>
          <w:rStyle w:val="eop"/>
          <w:rFonts w:ascii="Arial" w:eastAsia="Calibri Light" w:hAnsi="Arial" w:cs="Arial"/>
          <w:sz w:val="22"/>
          <w:szCs w:val="22"/>
        </w:rPr>
        <w:t xml:space="preserve">Campinha-Bacote’s framework is often applied in healthcare training programmes. Horvat et al. (2014) conducted a systematic review showing that interventions based on this model improve practitioner confidence and reduce cross-cultural misunderstandings. Similarly, </w:t>
      </w:r>
      <w:proofErr w:type="spellStart"/>
      <w:r w:rsidRPr="001A002A">
        <w:rPr>
          <w:rStyle w:val="eop"/>
          <w:rFonts w:ascii="Arial" w:eastAsia="Calibri Light" w:hAnsi="Arial" w:cs="Arial"/>
          <w:sz w:val="22"/>
          <w:szCs w:val="22"/>
        </w:rPr>
        <w:t>Bhui</w:t>
      </w:r>
      <w:proofErr w:type="spellEnd"/>
      <w:r w:rsidRPr="001A002A">
        <w:rPr>
          <w:rStyle w:val="eop"/>
          <w:rFonts w:ascii="Arial" w:eastAsia="Calibri Light" w:hAnsi="Arial" w:cs="Arial"/>
          <w:sz w:val="22"/>
          <w:szCs w:val="22"/>
        </w:rPr>
        <w:t xml:space="preserve"> et al. (2007) used the model to assess cultural competence in mental health settings, finding that cultural encounters were vital for developing empathy and reflective practice.</w:t>
      </w:r>
    </w:p>
    <w:p w14:paraId="27507BE8" w14:textId="39F81F68" w:rsidR="007D5F63" w:rsidRDefault="007D5F63" w:rsidP="00D4667E">
      <w:pPr>
        <w:pStyle w:val="paragraph"/>
        <w:spacing w:before="0" w:beforeAutospacing="0" w:after="0" w:afterAutospacing="0" w:line="360" w:lineRule="auto"/>
        <w:textAlignment w:val="baseline"/>
        <w:rPr>
          <w:rStyle w:val="eop"/>
          <w:rFonts w:ascii="Arial" w:eastAsia="Calibri Light" w:hAnsi="Arial" w:cs="Arial"/>
          <w:sz w:val="22"/>
          <w:szCs w:val="22"/>
        </w:rPr>
      </w:pPr>
      <w:r w:rsidRPr="007D5F63">
        <w:rPr>
          <w:rStyle w:val="eop"/>
          <w:rFonts w:ascii="Arial" w:eastAsia="Calibri Light" w:hAnsi="Arial" w:cs="Arial"/>
          <w:sz w:val="22"/>
          <w:szCs w:val="22"/>
        </w:rPr>
        <w:lastRenderedPageBreak/>
        <w:t xml:space="preserve">Papadopoulos’ model has been implemented in UK nursing education and policy development. Edge and </w:t>
      </w:r>
      <w:proofErr w:type="spellStart"/>
      <w:r w:rsidRPr="007D5F63">
        <w:rPr>
          <w:rStyle w:val="eop"/>
          <w:rFonts w:ascii="Arial" w:eastAsia="Calibri Light" w:hAnsi="Arial" w:cs="Arial"/>
          <w:sz w:val="22"/>
          <w:szCs w:val="22"/>
        </w:rPr>
        <w:t>MacKian</w:t>
      </w:r>
      <w:proofErr w:type="spellEnd"/>
      <w:r w:rsidRPr="007D5F63">
        <w:rPr>
          <w:rStyle w:val="eop"/>
          <w:rFonts w:ascii="Arial" w:eastAsia="Calibri Light" w:hAnsi="Arial" w:cs="Arial"/>
          <w:sz w:val="22"/>
          <w:szCs w:val="22"/>
        </w:rPr>
        <w:t xml:space="preserve"> (2010) employed the framework to explore why African-Caribbean individuals access palliative care services less frequently, finding that a lack of cultural sensitivity undermined trust in services. Moreover, Papadopoulos’ later work (2018) integrates compassion into cultural competence, promoting emotionally attuned care alongside technical skill.</w:t>
      </w:r>
    </w:p>
    <w:p w14:paraId="65CF0B82" w14:textId="77777777" w:rsidR="007D5F63" w:rsidRPr="007D5F63" w:rsidRDefault="007D5F63" w:rsidP="007D5F63">
      <w:pPr>
        <w:pStyle w:val="paragraph"/>
        <w:spacing w:after="0"/>
        <w:textAlignment w:val="baseline"/>
        <w:rPr>
          <w:rStyle w:val="eop"/>
          <w:rFonts w:ascii="Arial" w:eastAsia="Calibri Light" w:hAnsi="Arial" w:cs="Arial"/>
          <w:b/>
          <w:bCs/>
          <w:sz w:val="22"/>
          <w:szCs w:val="22"/>
        </w:rPr>
      </w:pPr>
      <w:r w:rsidRPr="007D5F63">
        <w:rPr>
          <w:rStyle w:val="eop"/>
          <w:rFonts w:ascii="Arial" w:eastAsia="Calibri Light" w:hAnsi="Arial" w:cs="Arial"/>
          <w:b/>
          <w:bCs/>
          <w:sz w:val="22"/>
          <w:szCs w:val="22"/>
        </w:rPr>
        <w:t>Critical Evaluation</w:t>
      </w:r>
    </w:p>
    <w:p w14:paraId="2FF7F113" w14:textId="52F956FD" w:rsidR="007D5F63" w:rsidRDefault="007D5F63"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7D5F63">
        <w:rPr>
          <w:rStyle w:val="eop"/>
          <w:rFonts w:ascii="Arial" w:eastAsia="Calibri Light" w:hAnsi="Arial" w:cs="Arial"/>
          <w:sz w:val="22"/>
          <w:szCs w:val="22"/>
        </w:rPr>
        <w:t>Each theory offers valuable insight into the complexities of delivering culturally competent care. Leininger’s theory was pioneering and remains influential, yet it has been critiqued for being too idealistic and not sufficiently accounting for structural inequalities or institutional racism (Narayanasamy, 2003). Furthermore, the model focuses primarily on nursing, limiting its direct applicability in multidisciplinary contexts.</w:t>
      </w:r>
    </w:p>
    <w:p w14:paraId="0BDC50FE" w14:textId="21CD979A"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2C7D9A">
        <w:rPr>
          <w:rStyle w:val="eop"/>
          <w:rFonts w:ascii="Arial" w:eastAsia="Calibri Light" w:hAnsi="Arial" w:cs="Arial"/>
          <w:sz w:val="22"/>
          <w:szCs w:val="22"/>
        </w:rPr>
        <w:t xml:space="preserve">Campinha-Bacote’s model is praised for its simplicity and emphasis on continuous learning. However, critics argue that its linear structure may oversimplify the dynamic nature of cultural identity (Curtis, </w:t>
      </w:r>
      <w:proofErr w:type="spellStart"/>
      <w:r w:rsidRPr="002C7D9A">
        <w:rPr>
          <w:rStyle w:val="eop"/>
          <w:rFonts w:ascii="Arial" w:eastAsia="Calibri Light" w:hAnsi="Arial" w:cs="Arial"/>
          <w:sz w:val="22"/>
          <w:szCs w:val="22"/>
        </w:rPr>
        <w:t>Dreachslin</w:t>
      </w:r>
      <w:proofErr w:type="spellEnd"/>
      <w:r w:rsidRPr="002C7D9A">
        <w:rPr>
          <w:rStyle w:val="eop"/>
          <w:rFonts w:ascii="Arial" w:eastAsia="Calibri Light" w:hAnsi="Arial" w:cs="Arial"/>
          <w:sz w:val="22"/>
          <w:szCs w:val="22"/>
        </w:rPr>
        <w:t xml:space="preserve"> and </w:t>
      </w:r>
      <w:proofErr w:type="spellStart"/>
      <w:r w:rsidRPr="002C7D9A">
        <w:rPr>
          <w:rStyle w:val="eop"/>
          <w:rFonts w:ascii="Arial" w:eastAsia="Calibri Light" w:hAnsi="Arial" w:cs="Arial"/>
          <w:sz w:val="22"/>
          <w:szCs w:val="22"/>
        </w:rPr>
        <w:t>Sinioris</w:t>
      </w:r>
      <w:proofErr w:type="spellEnd"/>
      <w:r w:rsidRPr="002C7D9A">
        <w:rPr>
          <w:rStyle w:val="eop"/>
          <w:rFonts w:ascii="Arial" w:eastAsia="Calibri Light" w:hAnsi="Arial" w:cs="Arial"/>
          <w:sz w:val="22"/>
          <w:szCs w:val="22"/>
        </w:rPr>
        <w:t xml:space="preserve">, 2007). It also assumes that cultural desire exists among all professionals, which may not be the case in settings with implicit bias or </w:t>
      </w:r>
      <w:r>
        <w:rPr>
          <w:rStyle w:val="eop"/>
          <w:rFonts w:ascii="Arial" w:eastAsia="Calibri Light" w:hAnsi="Arial" w:cs="Arial"/>
          <w:sz w:val="22"/>
          <w:szCs w:val="22"/>
        </w:rPr>
        <w:t xml:space="preserve">a </w:t>
      </w:r>
      <w:r w:rsidRPr="002C7D9A">
        <w:rPr>
          <w:rStyle w:val="eop"/>
          <w:rFonts w:ascii="Arial" w:eastAsia="Calibri Light" w:hAnsi="Arial" w:cs="Arial"/>
          <w:sz w:val="22"/>
          <w:szCs w:val="22"/>
        </w:rPr>
        <w:t>lack of diversity training.</w:t>
      </w:r>
    </w:p>
    <w:p w14:paraId="0EE1D6CE" w14:textId="77777777"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p>
    <w:p w14:paraId="0B8693DC" w14:textId="06F135ED" w:rsidR="002C7D9A" w:rsidRDefault="002C7D9A" w:rsidP="007D5F63">
      <w:pPr>
        <w:pStyle w:val="paragraph"/>
        <w:spacing w:before="0" w:beforeAutospacing="0" w:after="0" w:afterAutospacing="0" w:line="360" w:lineRule="auto"/>
        <w:textAlignment w:val="baseline"/>
        <w:rPr>
          <w:rStyle w:val="eop"/>
          <w:rFonts w:ascii="Arial" w:eastAsia="Calibri Light" w:hAnsi="Arial" w:cs="Arial"/>
          <w:sz w:val="22"/>
          <w:szCs w:val="22"/>
        </w:rPr>
      </w:pPr>
      <w:r w:rsidRPr="002C7D9A">
        <w:rPr>
          <w:rStyle w:val="eop"/>
          <w:rFonts w:ascii="Arial" w:eastAsia="Calibri Light" w:hAnsi="Arial" w:cs="Arial"/>
          <w:sz w:val="22"/>
          <w:szCs w:val="22"/>
        </w:rPr>
        <w:t>Papadopoulos’ framework is particularly suited to the UK context, addressing cultural, ethical, and structural issues. Nonetheless, the model is sometimes seen as too focused on individual practitioners, without fully addressing systemic barriers such as underrepresentation, discriminatory policy, or unequal resource allocation (</w:t>
      </w:r>
      <w:proofErr w:type="spellStart"/>
      <w:r w:rsidRPr="002C7D9A">
        <w:rPr>
          <w:rStyle w:val="eop"/>
          <w:rFonts w:ascii="Arial" w:eastAsia="Calibri Light" w:hAnsi="Arial" w:cs="Arial"/>
          <w:sz w:val="22"/>
          <w:szCs w:val="22"/>
        </w:rPr>
        <w:t>Nazroo</w:t>
      </w:r>
      <w:proofErr w:type="spellEnd"/>
      <w:r w:rsidRPr="002C7D9A">
        <w:rPr>
          <w:rStyle w:val="eop"/>
          <w:rFonts w:ascii="Arial" w:eastAsia="Calibri Light" w:hAnsi="Arial" w:cs="Arial"/>
          <w:sz w:val="22"/>
          <w:szCs w:val="22"/>
        </w:rPr>
        <w:t xml:space="preserve">, </w:t>
      </w:r>
      <w:proofErr w:type="spellStart"/>
      <w:r w:rsidRPr="002C7D9A">
        <w:rPr>
          <w:rStyle w:val="eop"/>
          <w:rFonts w:ascii="Arial" w:eastAsia="Calibri Light" w:hAnsi="Arial" w:cs="Arial"/>
          <w:sz w:val="22"/>
          <w:szCs w:val="22"/>
        </w:rPr>
        <w:t>Bhui</w:t>
      </w:r>
      <w:proofErr w:type="spellEnd"/>
      <w:r w:rsidRPr="002C7D9A">
        <w:rPr>
          <w:rStyle w:val="eop"/>
          <w:rFonts w:ascii="Arial" w:eastAsia="Calibri Light" w:hAnsi="Arial" w:cs="Arial"/>
          <w:sz w:val="22"/>
          <w:szCs w:val="22"/>
        </w:rPr>
        <w:t xml:space="preserve"> and Rhodes, 20</w:t>
      </w:r>
      <w:r>
        <w:rPr>
          <w:rStyle w:val="eop"/>
          <w:rFonts w:ascii="Arial" w:eastAsia="Calibri Light" w:hAnsi="Arial" w:cs="Arial"/>
          <w:sz w:val="22"/>
          <w:szCs w:val="22"/>
        </w:rPr>
        <w:t>19</w:t>
      </w:r>
      <w:r w:rsidRPr="002C7D9A">
        <w:rPr>
          <w:rStyle w:val="eop"/>
          <w:rFonts w:ascii="Arial" w:eastAsia="Calibri Light" w:hAnsi="Arial" w:cs="Arial"/>
          <w:sz w:val="22"/>
          <w:szCs w:val="22"/>
        </w:rPr>
        <w:t>).</w:t>
      </w:r>
    </w:p>
    <w:p w14:paraId="392FEA9D" w14:textId="77777777" w:rsidR="002C7D9A" w:rsidRDefault="002C7D9A" w:rsidP="002C7D9A">
      <w:pPr>
        <w:rPr>
          <w:rStyle w:val="eop"/>
          <w:rFonts w:ascii="Arial" w:eastAsia="Calibri Light" w:hAnsi="Arial" w:cs="Arial"/>
          <w:kern w:val="0"/>
          <w14:ligatures w14:val="none"/>
        </w:rPr>
      </w:pPr>
    </w:p>
    <w:p w14:paraId="0A59F645" w14:textId="41216517" w:rsidR="002C7D9A" w:rsidRPr="002C7D9A" w:rsidRDefault="002C7D9A" w:rsidP="002C7D9A">
      <w:pPr>
        <w:rPr>
          <w:rStyle w:val="eop"/>
          <w:rFonts w:ascii="Arial" w:eastAsia="Calibri Light" w:hAnsi="Arial" w:cs="Arial"/>
          <w:kern w:val="0"/>
          <w14:ligatures w14:val="none"/>
        </w:rPr>
      </w:pPr>
      <w:r>
        <w:rPr>
          <w:rStyle w:val="eop"/>
          <w:rFonts w:ascii="Arial" w:eastAsia="Calibri Light" w:hAnsi="Arial" w:cs="Arial"/>
          <w:kern w:val="0"/>
          <w14:ligatures w14:val="none"/>
        </w:rPr>
        <w:t>T</w:t>
      </w:r>
      <w:r w:rsidRPr="002C7D9A">
        <w:rPr>
          <w:rStyle w:val="eop"/>
          <w:rFonts w:ascii="Arial" w:eastAsia="Calibri Light" w:hAnsi="Arial" w:cs="Arial"/>
          <w:kern w:val="0"/>
          <w14:ligatures w14:val="none"/>
        </w:rPr>
        <w:t>hese three models collectively offer a multi-layered understanding of cultural competence in EOL care. By integrating patient-centred care principles with awareness of structural barriers, they serve as useful lenses through which to examine the gaps in culturally competent service provision. Despite their limitations, they provide the theoretical depth necessary to support meaningful change in practice.</w:t>
      </w:r>
    </w:p>
    <w:p w14:paraId="295A0A48" w14:textId="77777777" w:rsidR="00B8126D" w:rsidRPr="00F44833" w:rsidRDefault="00B8126D" w:rsidP="00F44833">
      <w:pPr>
        <w:pStyle w:val="paragraph"/>
        <w:spacing w:before="0" w:beforeAutospacing="0" w:after="0" w:afterAutospacing="0" w:line="360" w:lineRule="auto"/>
        <w:textAlignment w:val="baseline"/>
        <w:rPr>
          <w:rFonts w:ascii="Aptos" w:hAnsi="Aptos" w:cs="Segoe UI"/>
          <w:sz w:val="16"/>
          <w:szCs w:val="16"/>
        </w:rPr>
      </w:pP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10E539C2" w:rsidR="00BD2909" w:rsidRDefault="000B7F30" w:rsidP="00F44833">
      <w:pPr>
        <w:pStyle w:val="paragraph"/>
        <w:spacing w:before="0" w:beforeAutospacing="0" w:after="0" w:afterAutospacing="0" w:line="360" w:lineRule="auto"/>
        <w:textAlignment w:val="baseline"/>
        <w:rPr>
          <w:rStyle w:val="eop"/>
          <w:rFonts w:ascii="Arial" w:eastAsia="Calibri Light" w:hAnsi="Arial" w:cs="Arial"/>
          <w:sz w:val="22"/>
          <w:szCs w:val="22"/>
        </w:rPr>
      </w:pPr>
      <w:r w:rsidRPr="000B7F30">
        <w:rPr>
          <w:rStyle w:val="eop"/>
          <w:rFonts w:ascii="Arial" w:eastAsia="Calibri Light" w:hAnsi="Arial" w:cs="Arial"/>
          <w:sz w:val="22"/>
          <w:szCs w:val="22"/>
        </w:rPr>
        <w:t xml:space="preserve">The delivery of culturally competent end-of-life (EOL) care is increasingly recognised as a global imperative, particularly in nations with growing multicultural populations. While the UK continues to address disparities in service access and provision, other countries have developed distinct strategies to embed cultural sensitivity within palliative care systems. This </w:t>
      </w:r>
      <w:r w:rsidRPr="000B7F30">
        <w:rPr>
          <w:rStyle w:val="eop"/>
          <w:rFonts w:ascii="Arial" w:eastAsia="Calibri Light" w:hAnsi="Arial" w:cs="Arial"/>
          <w:sz w:val="22"/>
          <w:szCs w:val="22"/>
        </w:rPr>
        <w:lastRenderedPageBreak/>
        <w:t>section examines international approaches, offering comparative insight into both policy and practice.</w:t>
      </w:r>
    </w:p>
    <w:p w14:paraId="562B6797" w14:textId="77777777" w:rsidR="00FA4762" w:rsidRDefault="00FA4762" w:rsidP="00F44833">
      <w:pPr>
        <w:pStyle w:val="paragraph"/>
        <w:spacing w:before="0" w:beforeAutospacing="0" w:after="0" w:afterAutospacing="0" w:line="360" w:lineRule="auto"/>
        <w:textAlignment w:val="baseline"/>
        <w:rPr>
          <w:rStyle w:val="eop"/>
          <w:rFonts w:ascii="Arial" w:eastAsia="Calibri Light" w:hAnsi="Arial" w:cs="Arial"/>
          <w:sz w:val="22"/>
          <w:szCs w:val="22"/>
        </w:rPr>
      </w:pPr>
    </w:p>
    <w:p w14:paraId="1AA4545C" w14:textId="50BE3226" w:rsidR="000B7F30" w:rsidRDefault="000B7F30" w:rsidP="00F44833">
      <w:pPr>
        <w:pStyle w:val="paragraph"/>
        <w:spacing w:before="0" w:beforeAutospacing="0" w:after="0" w:afterAutospacing="0" w:line="360" w:lineRule="auto"/>
        <w:textAlignment w:val="baseline"/>
        <w:rPr>
          <w:rFonts w:ascii="Arial" w:hAnsi="Arial" w:cs="Arial"/>
          <w:sz w:val="22"/>
          <w:szCs w:val="22"/>
        </w:rPr>
      </w:pPr>
      <w:r w:rsidRPr="000B7F30">
        <w:rPr>
          <w:rFonts w:ascii="Arial" w:hAnsi="Arial" w:cs="Arial"/>
          <w:sz w:val="22"/>
          <w:szCs w:val="22"/>
        </w:rPr>
        <w:t>In Canada, culturally appropriate EOL care has become a national priority, particularly following the legalisation of Medical Assistance in Dying (</w:t>
      </w:r>
      <w:proofErr w:type="spellStart"/>
      <w:r w:rsidRPr="000B7F30">
        <w:rPr>
          <w:rFonts w:ascii="Arial" w:hAnsi="Arial" w:cs="Arial"/>
          <w:sz w:val="22"/>
          <w:szCs w:val="22"/>
        </w:rPr>
        <w:t>MAiD</w:t>
      </w:r>
      <w:proofErr w:type="spellEnd"/>
      <w:r w:rsidRPr="000B7F30">
        <w:rPr>
          <w:rFonts w:ascii="Arial" w:hAnsi="Arial" w:cs="Arial"/>
          <w:sz w:val="22"/>
          <w:szCs w:val="22"/>
        </w:rPr>
        <w:t>) in 2016</w:t>
      </w:r>
      <w:r>
        <w:rPr>
          <w:rFonts w:ascii="Arial" w:hAnsi="Arial" w:cs="Arial"/>
          <w:sz w:val="22"/>
          <w:szCs w:val="22"/>
        </w:rPr>
        <w:t xml:space="preserve"> </w:t>
      </w:r>
      <w:r w:rsidRPr="000B7F30">
        <w:rPr>
          <w:rFonts w:ascii="Arial" w:hAnsi="Arial" w:cs="Arial"/>
          <w:sz w:val="22"/>
          <w:szCs w:val="22"/>
        </w:rPr>
        <w:t>(Dignity in Dying, 2024)</w:t>
      </w:r>
      <w:r>
        <w:rPr>
          <w:rFonts w:ascii="Arial" w:hAnsi="Arial" w:cs="Arial"/>
          <w:sz w:val="22"/>
          <w:szCs w:val="22"/>
        </w:rPr>
        <w:t xml:space="preserve">. </w:t>
      </w:r>
      <w:r w:rsidRPr="000B7F30">
        <w:rPr>
          <w:rFonts w:ascii="Arial" w:hAnsi="Arial" w:cs="Arial"/>
          <w:sz w:val="22"/>
          <w:szCs w:val="22"/>
        </w:rPr>
        <w:t>The Canadian Hospice Palliative Care Association (CHPCA) emphasises culturally safe care as a core component of its guidelines, particularly for Indigenous and immigrant populations (CHPCA, 2020). A key initiative is the “Living My Culture” project, which documents diverse community perspectives on death, helping professionals deliver care that honours patient</w:t>
      </w:r>
      <w:r w:rsidR="00FA4762">
        <w:rPr>
          <w:rFonts w:ascii="Arial" w:hAnsi="Arial" w:cs="Arial"/>
          <w:sz w:val="22"/>
          <w:szCs w:val="22"/>
        </w:rPr>
        <w:t>s</w:t>
      </w:r>
      <w:r w:rsidRPr="000B7F30">
        <w:rPr>
          <w:rFonts w:ascii="Arial" w:hAnsi="Arial" w:cs="Arial"/>
          <w:sz w:val="22"/>
          <w:szCs w:val="22"/>
        </w:rPr>
        <w:t xml:space="preserve"> cultural values (Health Canada, 201</w:t>
      </w:r>
      <w:r w:rsidR="002C7B85">
        <w:rPr>
          <w:rFonts w:ascii="Arial" w:hAnsi="Arial" w:cs="Arial"/>
          <w:sz w:val="22"/>
          <w:szCs w:val="22"/>
        </w:rPr>
        <w:t xml:space="preserve">8; </w:t>
      </w:r>
      <w:r w:rsidR="00BC133A" w:rsidRPr="00BC133A">
        <w:rPr>
          <w:rFonts w:ascii="Arial" w:hAnsi="Arial" w:cs="Arial"/>
          <w:sz w:val="22"/>
          <w:szCs w:val="22"/>
        </w:rPr>
        <w:t>Livingmyculture.ca, 2016)</w:t>
      </w:r>
      <w:r w:rsidR="002C7B85">
        <w:rPr>
          <w:rFonts w:ascii="Arial" w:hAnsi="Arial" w:cs="Arial"/>
          <w:sz w:val="22"/>
          <w:szCs w:val="22"/>
        </w:rPr>
        <w:t>.</w:t>
      </w:r>
    </w:p>
    <w:p w14:paraId="363522B6" w14:textId="77777777" w:rsidR="00FA4762" w:rsidRDefault="00FA4762" w:rsidP="00F44833">
      <w:pPr>
        <w:pStyle w:val="paragraph"/>
        <w:spacing w:before="0" w:beforeAutospacing="0" w:after="0" w:afterAutospacing="0" w:line="360" w:lineRule="auto"/>
        <w:textAlignment w:val="baseline"/>
        <w:rPr>
          <w:rFonts w:ascii="Arial" w:hAnsi="Arial" w:cs="Arial"/>
          <w:sz w:val="22"/>
          <w:szCs w:val="22"/>
        </w:rPr>
      </w:pPr>
    </w:p>
    <w:p w14:paraId="4AE9056F" w14:textId="26A74EBA" w:rsidR="00FA4762" w:rsidRDefault="00FA4762" w:rsidP="00F44833">
      <w:pPr>
        <w:pStyle w:val="paragraph"/>
        <w:spacing w:before="0" w:beforeAutospacing="0" w:after="0" w:afterAutospacing="0" w:line="360" w:lineRule="auto"/>
        <w:textAlignment w:val="baseline"/>
        <w:rPr>
          <w:rFonts w:ascii="Arial" w:hAnsi="Arial" w:cs="Arial"/>
          <w:sz w:val="22"/>
          <w:szCs w:val="22"/>
        </w:rPr>
      </w:pPr>
      <w:r w:rsidRPr="00FA4762">
        <w:rPr>
          <w:rFonts w:ascii="Arial" w:hAnsi="Arial" w:cs="Arial"/>
          <w:sz w:val="22"/>
          <w:szCs w:val="22"/>
        </w:rPr>
        <w:t>Similarly, Australia has introduced the “Palliative Care for Culturally and Linguistically Diverse (CALD) Communities” framework</w:t>
      </w:r>
      <w:r w:rsidR="00271034">
        <w:rPr>
          <w:rFonts w:ascii="Arial" w:hAnsi="Arial" w:cs="Arial"/>
          <w:sz w:val="22"/>
          <w:szCs w:val="22"/>
        </w:rPr>
        <w:t xml:space="preserve"> </w:t>
      </w:r>
      <w:r w:rsidR="00271034" w:rsidRPr="00271034">
        <w:rPr>
          <w:rFonts w:ascii="Arial" w:hAnsi="Arial" w:cs="Arial"/>
          <w:sz w:val="22"/>
          <w:szCs w:val="22"/>
        </w:rPr>
        <w:t>(Palliative Care SA, 2023)</w:t>
      </w:r>
      <w:r w:rsidR="00271034">
        <w:rPr>
          <w:rFonts w:ascii="Arial" w:hAnsi="Arial" w:cs="Arial"/>
          <w:sz w:val="22"/>
          <w:szCs w:val="22"/>
        </w:rPr>
        <w:t>.</w:t>
      </w:r>
      <w:r w:rsidRPr="00FA4762">
        <w:rPr>
          <w:rFonts w:ascii="Arial" w:hAnsi="Arial" w:cs="Arial"/>
          <w:sz w:val="22"/>
          <w:szCs w:val="22"/>
        </w:rPr>
        <w:t xml:space="preserve"> This model prioritises interpreter access, culturally appropriate communication, and family-centred decision-making (PCA, 201</w:t>
      </w:r>
      <w:r>
        <w:rPr>
          <w:rFonts w:ascii="Arial" w:hAnsi="Arial" w:cs="Arial"/>
          <w:sz w:val="22"/>
          <w:szCs w:val="22"/>
        </w:rPr>
        <w:t>8</w:t>
      </w:r>
      <w:r w:rsidRPr="00FA4762">
        <w:rPr>
          <w:rFonts w:ascii="Arial" w:hAnsi="Arial" w:cs="Arial"/>
          <w:sz w:val="22"/>
          <w:szCs w:val="22"/>
        </w:rPr>
        <w:t xml:space="preserve">). Despite this, research suggests that gaps persist, particularly in rural areas where service accessibility remains a challenge for migrant communities </w:t>
      </w:r>
      <w:r w:rsidR="00271034" w:rsidRPr="00271034">
        <w:rPr>
          <w:rFonts w:ascii="Arial" w:hAnsi="Arial" w:cs="Arial"/>
          <w:sz w:val="22"/>
          <w:szCs w:val="22"/>
        </w:rPr>
        <w:t>(Vella, White and Livingston, 2022)</w:t>
      </w:r>
      <w:r w:rsidR="00271034">
        <w:rPr>
          <w:rFonts w:ascii="Arial" w:hAnsi="Arial" w:cs="Arial"/>
          <w:sz w:val="22"/>
          <w:szCs w:val="22"/>
        </w:rPr>
        <w:t>.</w:t>
      </w:r>
    </w:p>
    <w:p w14:paraId="1ADC4D12" w14:textId="77777777" w:rsidR="00452D7A" w:rsidRDefault="00452D7A" w:rsidP="00F44833">
      <w:pPr>
        <w:pStyle w:val="paragraph"/>
        <w:spacing w:before="0" w:beforeAutospacing="0" w:after="0" w:afterAutospacing="0" w:line="360" w:lineRule="auto"/>
        <w:textAlignment w:val="baseline"/>
        <w:rPr>
          <w:rFonts w:ascii="Arial" w:hAnsi="Arial" w:cs="Arial"/>
          <w:sz w:val="22"/>
          <w:szCs w:val="22"/>
        </w:rPr>
      </w:pPr>
    </w:p>
    <w:p w14:paraId="64E1C81A" w14:textId="629C6E6A" w:rsidR="00452D7A" w:rsidRDefault="00452D7A" w:rsidP="00F44833">
      <w:pPr>
        <w:pStyle w:val="paragraph"/>
        <w:spacing w:before="0" w:beforeAutospacing="0" w:after="0" w:afterAutospacing="0" w:line="360" w:lineRule="auto"/>
        <w:textAlignment w:val="baseline"/>
        <w:rPr>
          <w:rFonts w:ascii="Arial" w:hAnsi="Arial" w:cs="Arial"/>
          <w:sz w:val="22"/>
          <w:szCs w:val="22"/>
        </w:rPr>
      </w:pPr>
      <w:r w:rsidRPr="00452D7A">
        <w:rPr>
          <w:rFonts w:ascii="Arial" w:hAnsi="Arial" w:cs="Arial"/>
          <w:sz w:val="22"/>
          <w:szCs w:val="22"/>
        </w:rPr>
        <w:t>In contrast, the Netherlands offers a secular, liberal approach to EOL care, including legalised euthanasia. Although this framework reflects autonomy and choice, it has sparked debate regarding its cultural applicability, particularly for communities whose spiritual beliefs prohibit assisted dying (</w:t>
      </w:r>
      <w:proofErr w:type="spellStart"/>
      <w:r w:rsidRPr="00452D7A">
        <w:rPr>
          <w:rFonts w:ascii="Arial" w:hAnsi="Arial" w:cs="Arial"/>
          <w:sz w:val="22"/>
          <w:szCs w:val="22"/>
        </w:rPr>
        <w:t>Rietjens</w:t>
      </w:r>
      <w:proofErr w:type="spellEnd"/>
      <w:r w:rsidRPr="00452D7A">
        <w:rPr>
          <w:rFonts w:ascii="Arial" w:hAnsi="Arial" w:cs="Arial"/>
          <w:sz w:val="22"/>
          <w:szCs w:val="22"/>
        </w:rPr>
        <w:t xml:space="preserve"> et al., 20</w:t>
      </w:r>
      <w:r>
        <w:rPr>
          <w:rFonts w:ascii="Arial" w:hAnsi="Arial" w:cs="Arial"/>
          <w:sz w:val="22"/>
          <w:szCs w:val="22"/>
        </w:rPr>
        <w:t>09</w:t>
      </w:r>
      <w:r w:rsidRPr="00452D7A">
        <w:rPr>
          <w:rFonts w:ascii="Arial" w:hAnsi="Arial" w:cs="Arial"/>
          <w:sz w:val="22"/>
          <w:szCs w:val="22"/>
        </w:rPr>
        <w:t>). The Dutch experience highlights how broader societal values can influence policy but may unintentionally marginalise minority groups.</w:t>
      </w:r>
    </w:p>
    <w:p w14:paraId="6AE549C5" w14:textId="77777777" w:rsidR="00FA4762" w:rsidRDefault="00FA4762" w:rsidP="00F44833">
      <w:pPr>
        <w:pStyle w:val="paragraph"/>
        <w:spacing w:before="0" w:beforeAutospacing="0" w:after="0" w:afterAutospacing="0" w:line="360" w:lineRule="auto"/>
        <w:textAlignment w:val="baseline"/>
        <w:rPr>
          <w:rFonts w:ascii="Arial" w:hAnsi="Arial" w:cs="Arial"/>
          <w:sz w:val="22"/>
          <w:szCs w:val="22"/>
        </w:rPr>
      </w:pPr>
    </w:p>
    <w:p w14:paraId="23C2A9CE" w14:textId="26EEB765" w:rsidR="00FA4762" w:rsidRDefault="00452D7A" w:rsidP="00F44833">
      <w:pPr>
        <w:pStyle w:val="paragraph"/>
        <w:spacing w:before="0" w:beforeAutospacing="0" w:after="0" w:afterAutospacing="0" w:line="360" w:lineRule="auto"/>
        <w:textAlignment w:val="baseline"/>
        <w:rPr>
          <w:rFonts w:ascii="Arial" w:hAnsi="Arial" w:cs="Arial"/>
          <w:sz w:val="22"/>
          <w:szCs w:val="22"/>
        </w:rPr>
      </w:pPr>
      <w:r w:rsidRPr="00452D7A">
        <w:rPr>
          <w:rFonts w:ascii="Arial" w:hAnsi="Arial" w:cs="Arial"/>
          <w:sz w:val="22"/>
          <w:szCs w:val="22"/>
        </w:rPr>
        <w:t>A more integrative model is observed in New Zealand, where Māori health perspectives are embedded within mainstream palliative care</w:t>
      </w:r>
      <w:r>
        <w:rPr>
          <w:rFonts w:ascii="Arial" w:hAnsi="Arial" w:cs="Arial"/>
          <w:sz w:val="22"/>
          <w:szCs w:val="22"/>
        </w:rPr>
        <w:t xml:space="preserve"> </w:t>
      </w:r>
      <w:r w:rsidRPr="00452D7A">
        <w:rPr>
          <w:rFonts w:ascii="Arial" w:hAnsi="Arial" w:cs="Arial"/>
          <w:sz w:val="22"/>
          <w:szCs w:val="22"/>
        </w:rPr>
        <w:t>(Ministry of Health, 2024)</w:t>
      </w:r>
      <w:r>
        <w:rPr>
          <w:rFonts w:ascii="Arial" w:hAnsi="Arial" w:cs="Arial"/>
          <w:sz w:val="22"/>
          <w:szCs w:val="22"/>
        </w:rPr>
        <w:t xml:space="preserve">. </w:t>
      </w:r>
      <w:r w:rsidRPr="00452D7A">
        <w:rPr>
          <w:rFonts w:ascii="Arial" w:hAnsi="Arial" w:cs="Arial"/>
          <w:sz w:val="22"/>
          <w:szCs w:val="22"/>
        </w:rPr>
        <w:t>The Whānau Ora approach emphasises collective wellbeing, cultural identity, and spiritual care, reflecting a genuinely bicultural strategy (Ministry of Health, 201</w:t>
      </w:r>
      <w:r w:rsidR="00FB2DD0">
        <w:rPr>
          <w:rFonts w:ascii="Arial" w:hAnsi="Arial" w:cs="Arial"/>
          <w:sz w:val="22"/>
          <w:szCs w:val="22"/>
        </w:rPr>
        <w:t>1</w:t>
      </w:r>
      <w:r w:rsidRPr="00452D7A">
        <w:rPr>
          <w:rFonts w:ascii="Arial" w:hAnsi="Arial" w:cs="Arial"/>
          <w:sz w:val="22"/>
          <w:szCs w:val="22"/>
        </w:rPr>
        <w:t xml:space="preserve">). While praised for its inclusivity, critics note that implementation varies across health districts, revealing inconsistency in practice </w:t>
      </w:r>
      <w:r w:rsidR="00FB2DD0" w:rsidRPr="00FB2DD0">
        <w:rPr>
          <w:rFonts w:ascii="Arial" w:hAnsi="Arial" w:cs="Arial"/>
          <w:sz w:val="22"/>
          <w:szCs w:val="22"/>
        </w:rPr>
        <w:t>(Rhiannon Mihi Jones et al., 2023)</w:t>
      </w:r>
      <w:r w:rsidR="00FB2DD0">
        <w:rPr>
          <w:rFonts w:ascii="Arial" w:hAnsi="Arial" w:cs="Arial"/>
          <w:sz w:val="22"/>
          <w:szCs w:val="22"/>
        </w:rPr>
        <w:t>.</w:t>
      </w:r>
    </w:p>
    <w:p w14:paraId="78B567C4" w14:textId="77777777" w:rsidR="00FB2DD0" w:rsidRDefault="00FB2DD0" w:rsidP="00F44833">
      <w:pPr>
        <w:pStyle w:val="paragraph"/>
        <w:spacing w:before="0" w:beforeAutospacing="0" w:after="0" w:afterAutospacing="0" w:line="360" w:lineRule="auto"/>
        <w:textAlignment w:val="baseline"/>
        <w:rPr>
          <w:rFonts w:ascii="Arial" w:hAnsi="Arial" w:cs="Arial"/>
          <w:sz w:val="22"/>
          <w:szCs w:val="22"/>
        </w:rPr>
      </w:pPr>
    </w:p>
    <w:p w14:paraId="514A3B8F" w14:textId="03281055" w:rsidR="00FB2DD0" w:rsidRDefault="00FB2DD0" w:rsidP="00F44833">
      <w:pPr>
        <w:pStyle w:val="paragraph"/>
        <w:spacing w:before="0" w:beforeAutospacing="0" w:after="0" w:afterAutospacing="0" w:line="360" w:lineRule="auto"/>
        <w:textAlignment w:val="baseline"/>
        <w:rPr>
          <w:rFonts w:ascii="Arial" w:hAnsi="Arial" w:cs="Arial"/>
          <w:sz w:val="22"/>
          <w:szCs w:val="22"/>
        </w:rPr>
      </w:pPr>
      <w:r w:rsidRPr="00FB2DD0">
        <w:rPr>
          <w:rFonts w:ascii="Arial" w:hAnsi="Arial" w:cs="Arial"/>
          <w:sz w:val="22"/>
          <w:szCs w:val="22"/>
        </w:rPr>
        <w:t>Globally, organisations such as the World Health Organi</w:t>
      </w:r>
      <w:r w:rsidR="00815474">
        <w:rPr>
          <w:rFonts w:ascii="Arial" w:hAnsi="Arial" w:cs="Arial"/>
          <w:sz w:val="22"/>
          <w:szCs w:val="22"/>
        </w:rPr>
        <w:t>s</w:t>
      </w:r>
      <w:r w:rsidRPr="00FB2DD0">
        <w:rPr>
          <w:rFonts w:ascii="Arial" w:hAnsi="Arial" w:cs="Arial"/>
          <w:sz w:val="22"/>
          <w:szCs w:val="22"/>
        </w:rPr>
        <w:t>ation (WHO) have promoted culturally appropriate palliative care as a human right. The WHO’s 2014 resolution called on member states to integrate palliative care into national health systems, with explicit attention to cultural dimensions (WHO, 20</w:t>
      </w:r>
      <w:r w:rsidR="00667FC5">
        <w:rPr>
          <w:rFonts w:ascii="Arial" w:hAnsi="Arial" w:cs="Arial"/>
          <w:sz w:val="22"/>
          <w:szCs w:val="22"/>
        </w:rPr>
        <w:t>23</w:t>
      </w:r>
      <w:r w:rsidRPr="00FB2DD0">
        <w:rPr>
          <w:rFonts w:ascii="Arial" w:hAnsi="Arial" w:cs="Arial"/>
          <w:sz w:val="22"/>
          <w:szCs w:val="22"/>
        </w:rPr>
        <w:t>).</w:t>
      </w:r>
    </w:p>
    <w:p w14:paraId="5C478779" w14:textId="77777777" w:rsidR="00667FC5" w:rsidRDefault="00667FC5" w:rsidP="00F44833">
      <w:pPr>
        <w:pStyle w:val="paragraph"/>
        <w:spacing w:before="0" w:beforeAutospacing="0" w:after="0" w:afterAutospacing="0" w:line="360" w:lineRule="auto"/>
        <w:textAlignment w:val="baseline"/>
        <w:rPr>
          <w:rFonts w:ascii="Arial" w:hAnsi="Arial" w:cs="Arial"/>
          <w:sz w:val="22"/>
          <w:szCs w:val="22"/>
        </w:rPr>
      </w:pPr>
    </w:p>
    <w:p w14:paraId="0D0C348F" w14:textId="251BE4DC" w:rsidR="00667FC5" w:rsidRPr="000B7F30" w:rsidRDefault="00667FC5" w:rsidP="00F44833">
      <w:pPr>
        <w:pStyle w:val="paragraph"/>
        <w:spacing w:before="0" w:beforeAutospacing="0" w:after="0" w:afterAutospacing="0" w:line="360" w:lineRule="auto"/>
        <w:textAlignment w:val="baseline"/>
        <w:rPr>
          <w:rFonts w:ascii="Arial" w:hAnsi="Arial" w:cs="Arial"/>
          <w:sz w:val="22"/>
          <w:szCs w:val="22"/>
        </w:rPr>
      </w:pPr>
      <w:r w:rsidRPr="00667FC5">
        <w:rPr>
          <w:rFonts w:ascii="Arial" w:hAnsi="Arial" w:cs="Arial"/>
          <w:sz w:val="22"/>
          <w:szCs w:val="22"/>
        </w:rPr>
        <w:lastRenderedPageBreak/>
        <w:t>In summary, while international models differ based on legal, cultural, and political contexts, common themes emerge: the need for inclusive communication, culturally specific education, and active engagement with minority communities. These global practices provide valuable insight and offer transferable lessons that may guide improvements within the UK system.</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27EF4EE8" w:rsidR="00BD2909" w:rsidRPr="002C5AC8" w:rsidRDefault="002C5AC8" w:rsidP="00F44833">
      <w:pPr>
        <w:pStyle w:val="paragraph"/>
        <w:spacing w:before="0" w:beforeAutospacing="0" w:after="0" w:afterAutospacing="0" w:line="360" w:lineRule="auto"/>
        <w:textAlignment w:val="baseline"/>
        <w:rPr>
          <w:rFonts w:ascii="Arial" w:hAnsi="Arial" w:cs="Arial"/>
          <w:sz w:val="16"/>
          <w:szCs w:val="16"/>
        </w:rPr>
      </w:pPr>
      <w:r w:rsidRPr="002C5AC8">
        <w:rPr>
          <w:rStyle w:val="eop"/>
          <w:rFonts w:ascii="Arial" w:eastAsia="Calibri Light" w:hAnsi="Arial" w:cs="Arial"/>
          <w:sz w:val="22"/>
          <w:szCs w:val="22"/>
        </w:rPr>
        <w:t>In the United Kingdom, the delivery of end-of-life (EOL) care is shaped by core values of dignity, respect, and person-centredness. However, concerns have grown over the extent to which these principles are applied equitably to individuals from ethnic minority communities. While the NHS and its partners have introduced inclusive frameworks, evidence consistently shows that cultural competence remains underdeveloped across many services (</w:t>
      </w:r>
      <w:proofErr w:type="spellStart"/>
      <w:r w:rsidRPr="002C5AC8">
        <w:rPr>
          <w:rStyle w:val="eop"/>
          <w:rFonts w:ascii="Arial" w:eastAsia="Calibri Light" w:hAnsi="Arial" w:cs="Arial"/>
          <w:sz w:val="22"/>
          <w:szCs w:val="22"/>
        </w:rPr>
        <w:t>Calanzani</w:t>
      </w:r>
      <w:proofErr w:type="spellEnd"/>
      <w:r w:rsidRPr="002C5AC8">
        <w:rPr>
          <w:rStyle w:val="eop"/>
          <w:rFonts w:ascii="Arial" w:eastAsia="Calibri Light" w:hAnsi="Arial" w:cs="Arial"/>
          <w:sz w:val="22"/>
          <w:szCs w:val="22"/>
        </w:rPr>
        <w:t>, Koffman and Higginson, 2013).</w:t>
      </w:r>
      <w:r w:rsidR="00BD2909" w:rsidRPr="002C5AC8">
        <w:rPr>
          <w:rStyle w:val="eop"/>
          <w:rFonts w:ascii="Arial" w:eastAsia="Calibri Light" w:hAnsi="Arial" w:cs="Arial"/>
          <w:sz w:val="22"/>
          <w:szCs w:val="22"/>
        </w:rPr>
        <w:t> </w:t>
      </w:r>
    </w:p>
    <w:p w14:paraId="43C822F5" w14:textId="77777777" w:rsidR="002C5AC8" w:rsidRDefault="002C5AC8" w:rsidP="002C5AC8">
      <w:pPr>
        <w:pStyle w:val="paragraph"/>
        <w:spacing w:before="0" w:beforeAutospacing="0" w:after="0" w:afterAutospacing="0" w:line="360" w:lineRule="auto"/>
        <w:textAlignment w:val="baseline"/>
        <w:rPr>
          <w:rStyle w:val="eop"/>
          <w:rFonts w:ascii="Aptos" w:eastAsia="Calibri Light" w:hAnsi="Aptos" w:cs="Arial"/>
          <w:sz w:val="22"/>
          <w:szCs w:val="22"/>
        </w:rPr>
      </w:pPr>
    </w:p>
    <w:p w14:paraId="791D66C4" w14:textId="524DD547" w:rsidR="002C5AC8" w:rsidRDefault="002C5AC8"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2C5AC8">
        <w:rPr>
          <w:rStyle w:val="eop"/>
          <w:rFonts w:ascii="Arial" w:eastAsia="Calibri Light" w:hAnsi="Arial" w:cs="Arial"/>
          <w:sz w:val="22"/>
          <w:szCs w:val="22"/>
        </w:rPr>
        <w:t>At a national level, the NHS Long Term Plan (2019) explicitly acknowledges the need to reduce health inequalities, calling for personalised care models that reflect the diverse backgrounds of patients. Similarly, the Core20PLUS5 strategy highlights ethnic minority communities as a priority population experiencing unequal access to quality care, including at end-of-life stages (NHS England, 202</w:t>
      </w:r>
      <w:r w:rsidR="00993255">
        <w:rPr>
          <w:rStyle w:val="eop"/>
          <w:rFonts w:ascii="Arial" w:eastAsia="Calibri Light" w:hAnsi="Arial" w:cs="Arial"/>
          <w:sz w:val="22"/>
          <w:szCs w:val="22"/>
        </w:rPr>
        <w:t>1</w:t>
      </w:r>
      <w:r w:rsidRPr="002C5AC8">
        <w:rPr>
          <w:rStyle w:val="eop"/>
          <w:rFonts w:ascii="Arial" w:eastAsia="Calibri Light" w:hAnsi="Arial" w:cs="Arial"/>
          <w:sz w:val="22"/>
          <w:szCs w:val="22"/>
        </w:rPr>
        <w:t xml:space="preserve">). The National Palliative and End of Life Care Partnership also </w:t>
      </w:r>
      <w:r w:rsidR="008B3432" w:rsidRPr="002C5AC8">
        <w:rPr>
          <w:rStyle w:val="eop"/>
          <w:rFonts w:ascii="Arial" w:eastAsia="Calibri Light" w:hAnsi="Arial" w:cs="Arial"/>
          <w:sz w:val="22"/>
          <w:szCs w:val="22"/>
        </w:rPr>
        <w:t>emphasise</w:t>
      </w:r>
      <w:r w:rsidRPr="002C5AC8">
        <w:rPr>
          <w:rStyle w:val="eop"/>
          <w:rFonts w:ascii="Arial" w:eastAsia="Calibri Light" w:hAnsi="Arial" w:cs="Arial"/>
          <w:sz w:val="22"/>
          <w:szCs w:val="22"/>
        </w:rPr>
        <w:t xml:space="preserve"> the right to culturally appropriate EOL care, advocating for co-designed services with local communities</w:t>
      </w:r>
      <w:r w:rsidR="00B2400D">
        <w:rPr>
          <w:rStyle w:val="eop"/>
          <w:rFonts w:ascii="Arial" w:eastAsia="Calibri Light" w:hAnsi="Arial" w:cs="Arial"/>
          <w:sz w:val="22"/>
          <w:szCs w:val="22"/>
        </w:rPr>
        <w:t xml:space="preserve"> </w:t>
      </w:r>
      <w:r w:rsidR="00B2400D" w:rsidRPr="00B2400D">
        <w:rPr>
          <w:rStyle w:val="eop"/>
          <w:rFonts w:ascii="Arial" w:eastAsia="Calibri Light" w:hAnsi="Arial" w:cs="Arial"/>
          <w:sz w:val="22"/>
          <w:szCs w:val="22"/>
        </w:rPr>
        <w:t>(Borgstrom, Jordan and Henry, 2023)</w:t>
      </w:r>
      <w:r w:rsidR="00B2400D">
        <w:rPr>
          <w:rStyle w:val="eop"/>
          <w:rFonts w:ascii="Arial" w:eastAsia="Calibri Light" w:hAnsi="Arial" w:cs="Arial"/>
          <w:sz w:val="22"/>
          <w:szCs w:val="22"/>
        </w:rPr>
        <w:t>.</w:t>
      </w:r>
    </w:p>
    <w:p w14:paraId="25EABFC6" w14:textId="77777777" w:rsidR="00B2400D" w:rsidRDefault="00B2400D"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5D76FF33" w14:textId="396B669B" w:rsidR="00B2400D" w:rsidRDefault="00B2400D"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B2400D">
        <w:rPr>
          <w:rStyle w:val="eop"/>
          <w:rFonts w:ascii="Arial" w:eastAsia="Calibri Light" w:hAnsi="Arial" w:cs="Arial"/>
          <w:sz w:val="22"/>
          <w:szCs w:val="22"/>
        </w:rPr>
        <w:t>Despite these commitments, implementation has been inconsistent. The Care Quality Commission (CQC</w:t>
      </w:r>
      <w:r>
        <w:rPr>
          <w:rStyle w:val="eop"/>
          <w:rFonts w:ascii="Arial" w:eastAsia="Calibri Light" w:hAnsi="Arial" w:cs="Arial"/>
          <w:sz w:val="22"/>
          <w:szCs w:val="22"/>
        </w:rPr>
        <w:t>,</w:t>
      </w:r>
      <w:r w:rsidRPr="00B2400D">
        <w:rPr>
          <w:rStyle w:val="eop"/>
          <w:rFonts w:ascii="Arial" w:eastAsia="Calibri Light" w:hAnsi="Arial" w:cs="Arial"/>
          <w:sz w:val="22"/>
          <w:szCs w:val="22"/>
        </w:rPr>
        <w:t>202</w:t>
      </w:r>
      <w:r>
        <w:rPr>
          <w:rStyle w:val="eop"/>
          <w:rFonts w:ascii="Arial" w:eastAsia="Calibri Light" w:hAnsi="Arial" w:cs="Arial"/>
          <w:sz w:val="22"/>
          <w:szCs w:val="22"/>
        </w:rPr>
        <w:t>3</w:t>
      </w:r>
      <w:r w:rsidRPr="00B2400D">
        <w:rPr>
          <w:rStyle w:val="eop"/>
          <w:rFonts w:ascii="Arial" w:eastAsia="Calibri Light" w:hAnsi="Arial" w:cs="Arial"/>
          <w:sz w:val="22"/>
          <w:szCs w:val="22"/>
        </w:rPr>
        <w:t>) reports that many palliative care providers still lack diversity in their workforce and fail to offer language support or staff training in cultural awareness. Furthermore, the NICE Quality Standard QS13 on EOL care (NICE, 20</w:t>
      </w:r>
      <w:r>
        <w:rPr>
          <w:rStyle w:val="eop"/>
          <w:rFonts w:ascii="Arial" w:eastAsia="Calibri Light" w:hAnsi="Arial" w:cs="Arial"/>
          <w:sz w:val="22"/>
          <w:szCs w:val="22"/>
        </w:rPr>
        <w:t>2</w:t>
      </w:r>
      <w:r w:rsidRPr="00B2400D">
        <w:rPr>
          <w:rStyle w:val="eop"/>
          <w:rFonts w:ascii="Arial" w:eastAsia="Calibri Light" w:hAnsi="Arial" w:cs="Arial"/>
          <w:sz w:val="22"/>
          <w:szCs w:val="22"/>
        </w:rPr>
        <w:t>1) encourages professionals to consider religious and cultural preferences but stops short of mandating training or service-level reforms.</w:t>
      </w:r>
    </w:p>
    <w:p w14:paraId="754C924B" w14:textId="77777777" w:rsidR="00A56780" w:rsidRDefault="00A56780"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1B97F074" w14:textId="4AEE3239" w:rsidR="00A56780" w:rsidRDefault="00A56780"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A56780">
        <w:rPr>
          <w:rStyle w:val="eop"/>
          <w:rFonts w:ascii="Arial" w:eastAsia="Calibri Light" w:hAnsi="Arial" w:cs="Arial"/>
          <w:sz w:val="22"/>
          <w:szCs w:val="22"/>
        </w:rPr>
        <w:t xml:space="preserve">At the policy level, the Equality Act 2010 </w:t>
      </w:r>
      <w:r>
        <w:rPr>
          <w:rStyle w:val="eop"/>
          <w:rFonts w:ascii="Arial" w:eastAsia="Calibri Light" w:hAnsi="Arial" w:cs="Arial"/>
          <w:sz w:val="22"/>
          <w:szCs w:val="22"/>
        </w:rPr>
        <w:t>provides the legal framework for addressing</w:t>
      </w:r>
      <w:r w:rsidRPr="00A56780">
        <w:rPr>
          <w:rStyle w:val="eop"/>
          <w:rFonts w:ascii="Arial" w:eastAsia="Calibri Light" w:hAnsi="Arial" w:cs="Arial"/>
          <w:sz w:val="22"/>
          <w:szCs w:val="22"/>
        </w:rPr>
        <w:t xml:space="preserve"> discrimination in health and social care</w:t>
      </w:r>
      <w:r w:rsidR="005E7C2A">
        <w:rPr>
          <w:rStyle w:val="eop"/>
          <w:rFonts w:ascii="Arial" w:eastAsia="Calibri Light" w:hAnsi="Arial" w:cs="Arial"/>
          <w:sz w:val="22"/>
          <w:szCs w:val="22"/>
        </w:rPr>
        <w:t xml:space="preserve"> </w:t>
      </w:r>
      <w:r w:rsidR="005E7C2A" w:rsidRPr="005E7C2A">
        <w:rPr>
          <w:rStyle w:val="eop"/>
          <w:rFonts w:ascii="Arial" w:eastAsia="Calibri Light" w:hAnsi="Arial" w:cs="Arial"/>
          <w:sz w:val="22"/>
          <w:szCs w:val="22"/>
        </w:rPr>
        <w:t>(Gov.UK, 2015)</w:t>
      </w:r>
      <w:r w:rsidR="005E7C2A">
        <w:rPr>
          <w:rStyle w:val="eop"/>
          <w:rFonts w:ascii="Arial" w:eastAsia="Calibri Light" w:hAnsi="Arial" w:cs="Arial"/>
          <w:sz w:val="22"/>
          <w:szCs w:val="22"/>
        </w:rPr>
        <w:t>.</w:t>
      </w:r>
      <w:r w:rsidRPr="00A56780">
        <w:rPr>
          <w:rStyle w:val="eop"/>
          <w:rFonts w:ascii="Arial" w:eastAsia="Calibri Light" w:hAnsi="Arial" w:cs="Arial"/>
          <w:sz w:val="22"/>
          <w:szCs w:val="22"/>
        </w:rPr>
        <w:t xml:space="preserve"> It </w:t>
      </w:r>
      <w:r>
        <w:rPr>
          <w:rStyle w:val="eop"/>
          <w:rFonts w:ascii="Arial" w:eastAsia="Calibri Light" w:hAnsi="Arial" w:cs="Arial"/>
          <w:sz w:val="22"/>
          <w:szCs w:val="22"/>
        </w:rPr>
        <w:t>requires public services to consider the needs of individuals from diverse racial, religious, and linguistic backgrounds</w:t>
      </w:r>
      <w:r w:rsidRPr="00A56780">
        <w:rPr>
          <w:rStyle w:val="eop"/>
          <w:rFonts w:ascii="Arial" w:eastAsia="Calibri Light" w:hAnsi="Arial" w:cs="Arial"/>
          <w:sz w:val="22"/>
          <w:szCs w:val="22"/>
        </w:rPr>
        <w:t xml:space="preserve"> under the Public Sector Equality Duty</w:t>
      </w:r>
      <w:r>
        <w:rPr>
          <w:rStyle w:val="eop"/>
          <w:rFonts w:ascii="Arial" w:eastAsia="Calibri Light" w:hAnsi="Arial" w:cs="Arial"/>
          <w:sz w:val="22"/>
          <w:szCs w:val="22"/>
        </w:rPr>
        <w:t xml:space="preserve"> </w:t>
      </w:r>
      <w:r w:rsidRPr="00A56780">
        <w:rPr>
          <w:rStyle w:val="eop"/>
          <w:rFonts w:ascii="Arial" w:eastAsia="Calibri Light" w:hAnsi="Arial" w:cs="Arial"/>
          <w:sz w:val="22"/>
          <w:szCs w:val="22"/>
        </w:rPr>
        <w:t xml:space="preserve">(Health, 2025). However, while the legal framework is robust, its practical application often depends on organisational priorities and resources (Bécares, 2015). For example, smaller hospice providers may lack the infrastructure to </w:t>
      </w:r>
      <w:r w:rsidRPr="00A56780">
        <w:rPr>
          <w:rStyle w:val="eop"/>
          <w:rFonts w:ascii="Arial" w:eastAsia="Calibri Light" w:hAnsi="Arial" w:cs="Arial"/>
          <w:sz w:val="22"/>
          <w:szCs w:val="22"/>
        </w:rPr>
        <w:lastRenderedPageBreak/>
        <w:t>deliver culturally tailored care, relying instead on generic approaches that do not meet the nuanced needs of diverse populations (Hospice UK, 202</w:t>
      </w:r>
      <w:r w:rsidR="00E00D41">
        <w:rPr>
          <w:rStyle w:val="eop"/>
          <w:rFonts w:ascii="Arial" w:eastAsia="Calibri Light" w:hAnsi="Arial" w:cs="Arial"/>
          <w:sz w:val="22"/>
          <w:szCs w:val="22"/>
        </w:rPr>
        <w:t>4</w:t>
      </w:r>
      <w:r w:rsidRPr="00A56780">
        <w:rPr>
          <w:rStyle w:val="eop"/>
          <w:rFonts w:ascii="Arial" w:eastAsia="Calibri Light" w:hAnsi="Arial" w:cs="Arial"/>
          <w:sz w:val="22"/>
          <w:szCs w:val="22"/>
        </w:rPr>
        <w:t>).</w:t>
      </w:r>
    </w:p>
    <w:p w14:paraId="1E7D2DB6" w14:textId="7777777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591CD4FB" w14:textId="0396ACC5"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E00D41">
        <w:rPr>
          <w:rStyle w:val="eop"/>
          <w:rFonts w:ascii="Arial" w:eastAsia="Calibri Light" w:hAnsi="Arial" w:cs="Arial"/>
          <w:sz w:val="22"/>
          <w:szCs w:val="22"/>
        </w:rPr>
        <w:t xml:space="preserve">Locally, there is growing interest in addressing these gaps. Some Integrated Care Systems (ICSs) have introduced community engagement strategies to better understand cultural barriers to EOL care. For instance, in Greater Manchester, the "Equal Access to Hospice Care" initiative partners with mosques and South Asian community groups to provide culturally appropriate information and support </w:t>
      </w:r>
      <w:r w:rsidRPr="00410981">
        <w:rPr>
          <w:rStyle w:val="eop"/>
          <w:rFonts w:ascii="Arial" w:eastAsia="Calibri Light" w:hAnsi="Arial" w:cs="Arial"/>
          <w:sz w:val="22"/>
          <w:szCs w:val="22"/>
          <w:highlight w:val="yellow"/>
        </w:rPr>
        <w:t>(GMHSCP,nd).</w:t>
      </w:r>
      <w:r w:rsidRPr="00E00D41">
        <w:rPr>
          <w:rStyle w:val="eop"/>
          <w:rFonts w:ascii="Arial" w:eastAsia="Calibri Light" w:hAnsi="Arial" w:cs="Arial"/>
          <w:sz w:val="22"/>
          <w:szCs w:val="22"/>
        </w:rPr>
        <w:t xml:space="preserve"> Similarly, </w:t>
      </w:r>
      <w:r w:rsidR="00344CE2" w:rsidRPr="00E00D41">
        <w:rPr>
          <w:rStyle w:val="eop"/>
          <w:rFonts w:ascii="Arial" w:eastAsia="Calibri Light" w:hAnsi="Arial" w:cs="Arial"/>
          <w:sz w:val="22"/>
          <w:szCs w:val="22"/>
        </w:rPr>
        <w:t>South</w:t>
      </w:r>
      <w:r w:rsidR="00344CE2">
        <w:rPr>
          <w:rStyle w:val="eop"/>
          <w:rFonts w:ascii="Arial" w:eastAsia="Calibri Light" w:hAnsi="Arial" w:cs="Arial"/>
          <w:sz w:val="22"/>
          <w:szCs w:val="22"/>
        </w:rPr>
        <w:t>east</w:t>
      </w:r>
      <w:r w:rsidRPr="00E00D41">
        <w:rPr>
          <w:rStyle w:val="eop"/>
          <w:rFonts w:ascii="Arial" w:eastAsia="Calibri Light" w:hAnsi="Arial" w:cs="Arial"/>
          <w:sz w:val="22"/>
          <w:szCs w:val="22"/>
        </w:rPr>
        <w:t xml:space="preserve"> London ICS has piloted training programmes for staff on how to meet the spiritual and cultural needs of Black and African-Caribbean patients </w:t>
      </w:r>
      <w:r w:rsidRPr="00410981">
        <w:rPr>
          <w:rStyle w:val="eop"/>
          <w:rFonts w:ascii="Arial" w:eastAsia="Calibri Light" w:hAnsi="Arial" w:cs="Arial"/>
          <w:sz w:val="22"/>
          <w:szCs w:val="22"/>
          <w:highlight w:val="yellow"/>
        </w:rPr>
        <w:t>(SEL ICS, nd).</w:t>
      </w:r>
      <w:r w:rsidRPr="00E00D41">
        <w:rPr>
          <w:rStyle w:val="eop"/>
          <w:rFonts w:ascii="Arial" w:eastAsia="Calibri Light" w:hAnsi="Arial" w:cs="Arial"/>
          <w:sz w:val="22"/>
          <w:szCs w:val="22"/>
        </w:rPr>
        <w:t xml:space="preserve"> These examples highlight that while national policy provides direction, local innovation plays a vital role in shaping culturally competent care.</w:t>
      </w:r>
    </w:p>
    <w:p w14:paraId="1F3C68BB" w14:textId="7777777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3FBAFAF7" w14:textId="14510D47" w:rsidR="00E00D41" w:rsidRDefault="00E00D41"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sidRPr="00E00D41">
        <w:rPr>
          <w:rStyle w:val="eop"/>
          <w:rFonts w:ascii="Arial" w:eastAsia="Calibri Light" w:hAnsi="Arial" w:cs="Arial"/>
          <w:sz w:val="22"/>
          <w:szCs w:val="22"/>
        </w:rPr>
        <w:t>However, regional disparities remain. In rural areas or those with limited ethnic diversity, services may lack experience or resources to engage meaningfully with cultural needs (Public Health England, 2018). This variation underscores the importance of national oversight and funding mechanisms to ensure consistent practice across settings.</w:t>
      </w:r>
    </w:p>
    <w:p w14:paraId="697CDC93" w14:textId="77777777" w:rsidR="00044CE2" w:rsidRDefault="00044CE2" w:rsidP="002C5AC8">
      <w:pPr>
        <w:pStyle w:val="paragraph"/>
        <w:spacing w:before="0" w:beforeAutospacing="0" w:after="0" w:afterAutospacing="0" w:line="360" w:lineRule="auto"/>
        <w:textAlignment w:val="baseline"/>
        <w:rPr>
          <w:rStyle w:val="eop"/>
          <w:rFonts w:ascii="Arial" w:eastAsia="Calibri Light" w:hAnsi="Arial" w:cs="Arial"/>
          <w:sz w:val="22"/>
          <w:szCs w:val="22"/>
        </w:rPr>
      </w:pPr>
    </w:p>
    <w:p w14:paraId="4B825F57" w14:textId="05136FF4" w:rsidR="00044CE2" w:rsidRPr="002C5AC8" w:rsidRDefault="00044CE2" w:rsidP="002C5AC8">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sz w:val="22"/>
          <w:szCs w:val="22"/>
        </w:rPr>
        <w:t>T</w:t>
      </w:r>
      <w:r w:rsidRPr="00044CE2">
        <w:rPr>
          <w:rStyle w:val="eop"/>
          <w:rFonts w:ascii="Arial" w:eastAsia="Calibri Light" w:hAnsi="Arial" w:cs="Arial"/>
          <w:sz w:val="22"/>
          <w:szCs w:val="22"/>
        </w:rPr>
        <w:t>he UK has made important policy commitments toward delivering culturally competent EOL care. Nevertheless, translating national policy into local practice remains uneven. Continued investment, workforce training, and community collaboration are necessary to address these disparities and ensure that all individuals, regardless of background, receive care that honours their cultural identity.</w:t>
      </w:r>
    </w:p>
    <w:p w14:paraId="2C025237" w14:textId="77777777" w:rsidR="002C5AC8" w:rsidRPr="00F44833" w:rsidRDefault="002C5AC8" w:rsidP="002C5AC8">
      <w:pPr>
        <w:pStyle w:val="paragraph"/>
        <w:spacing w:before="0" w:beforeAutospacing="0" w:after="0" w:afterAutospacing="0" w:line="360" w:lineRule="auto"/>
        <w:textAlignment w:val="baseline"/>
        <w:rPr>
          <w:rFonts w:ascii="Aptos" w:hAnsi="Aptos" w:cs="Segoe UI"/>
          <w:sz w:val="16"/>
          <w:szCs w:val="16"/>
        </w:rPr>
      </w:pP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742DD703" w14:textId="052AA66D" w:rsidR="002C512A" w:rsidRPr="002C512A" w:rsidRDefault="002C512A" w:rsidP="002C512A">
      <w:pPr>
        <w:pStyle w:val="paragraph"/>
        <w:spacing w:after="0" w:afterAutospacing="0" w:line="360" w:lineRule="auto"/>
        <w:textAlignment w:val="baseline"/>
        <w:rPr>
          <w:rStyle w:val="eop"/>
          <w:rFonts w:ascii="Arial" w:eastAsia="Calibri Light" w:hAnsi="Arial" w:cs="Arial"/>
          <w:sz w:val="22"/>
          <w:szCs w:val="22"/>
        </w:rPr>
      </w:pPr>
      <w:r w:rsidRPr="002C512A">
        <w:rPr>
          <w:rStyle w:val="eop"/>
          <w:rFonts w:ascii="Arial" w:eastAsia="Calibri Light" w:hAnsi="Arial" w:cs="Arial"/>
          <w:sz w:val="22"/>
          <w:szCs w:val="22"/>
        </w:rPr>
        <w:t>This chapter has provided a critical overview of the contextual foundations necessary to understand the barriers to culturally competent end-of-life (EOL) care for ethnic minority communities in the UK. The key areas explored include:</w:t>
      </w:r>
    </w:p>
    <w:p w14:paraId="6607ED87" w14:textId="77777777"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Historical Context:</w:t>
      </w:r>
      <w:r w:rsidRPr="002C512A">
        <w:rPr>
          <w:rStyle w:val="eop"/>
          <w:rFonts w:ascii="Arial" w:eastAsia="Calibri Light" w:hAnsi="Arial" w:cs="Arial"/>
          <w:sz w:val="22"/>
          <w:szCs w:val="22"/>
        </w:rPr>
        <w:t xml:space="preserve"> Highlighted how EOL care evolved from medicalised models to person-centred approaches, influenced by key figures such as Dame Cicely Saunders.</w:t>
      </w:r>
    </w:p>
    <w:p w14:paraId="29DB5793" w14:textId="77777777"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Theoretical Background:</w:t>
      </w:r>
      <w:r w:rsidRPr="002C512A">
        <w:rPr>
          <w:rStyle w:val="eop"/>
          <w:rFonts w:ascii="Arial" w:eastAsia="Calibri Light" w:hAnsi="Arial" w:cs="Arial"/>
          <w:sz w:val="22"/>
          <w:szCs w:val="22"/>
        </w:rPr>
        <w:t xml:space="preserve"> Discussed core models by Leininger, Campinha-Bacote, and Papadopoulos, evaluating their relevance and limitations in current practice.</w:t>
      </w:r>
    </w:p>
    <w:p w14:paraId="62128228" w14:textId="77777777" w:rsid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lastRenderedPageBreak/>
        <w:t>International Context:</w:t>
      </w:r>
      <w:r w:rsidRPr="002C512A">
        <w:rPr>
          <w:rStyle w:val="eop"/>
          <w:rFonts w:ascii="Arial" w:eastAsia="Calibri Light" w:hAnsi="Arial" w:cs="Arial"/>
          <w:sz w:val="22"/>
          <w:szCs w:val="22"/>
        </w:rPr>
        <w:t xml:space="preserve"> Compared global practices from countries like Canada, Australia, and New Zealand, identifying both transferable strategies and cultural challenges.</w:t>
      </w:r>
    </w:p>
    <w:p w14:paraId="7F6529C9" w14:textId="78BF6855" w:rsidR="002C512A" w:rsidRPr="002C512A" w:rsidRDefault="002C512A" w:rsidP="002C512A">
      <w:pPr>
        <w:pStyle w:val="paragraph"/>
        <w:numPr>
          <w:ilvl w:val="0"/>
          <w:numId w:val="110"/>
        </w:numPr>
        <w:spacing w:after="0" w:afterAutospacing="0" w:line="360" w:lineRule="auto"/>
        <w:textAlignment w:val="baseline"/>
        <w:rPr>
          <w:rStyle w:val="eop"/>
          <w:rFonts w:ascii="Arial" w:eastAsia="Calibri Light" w:hAnsi="Arial" w:cs="Arial"/>
          <w:sz w:val="22"/>
          <w:szCs w:val="22"/>
        </w:rPr>
      </w:pPr>
      <w:r w:rsidRPr="00D82E3D">
        <w:rPr>
          <w:rStyle w:val="eop"/>
          <w:rFonts w:ascii="Arial" w:eastAsia="Calibri Light" w:hAnsi="Arial" w:cs="Arial"/>
          <w:b/>
          <w:bCs/>
          <w:sz w:val="22"/>
          <w:szCs w:val="22"/>
        </w:rPr>
        <w:t>UK Policy and Practice:</w:t>
      </w:r>
      <w:r w:rsidRPr="002C512A">
        <w:rPr>
          <w:rStyle w:val="eop"/>
          <w:rFonts w:ascii="Arial" w:eastAsia="Calibri Light" w:hAnsi="Arial" w:cs="Arial"/>
          <w:sz w:val="22"/>
          <w:szCs w:val="22"/>
        </w:rPr>
        <w:t xml:space="preserve"> Reviewed national policies such as the NHS Long Term Plan and Core20PLUS5, alongside local initiatives, to reveal both progress and ongoing disparities in service delivery.</w:t>
      </w:r>
    </w:p>
    <w:p w14:paraId="2B3185DE" w14:textId="77777777" w:rsidR="002C512A" w:rsidRDefault="002C512A" w:rsidP="00D82E3D">
      <w:pPr>
        <w:pStyle w:val="paragraph"/>
        <w:spacing w:after="0" w:afterAutospacing="0" w:line="360" w:lineRule="auto"/>
        <w:textAlignment w:val="baseline"/>
        <w:rPr>
          <w:rStyle w:val="eop"/>
          <w:rFonts w:ascii="Arial" w:eastAsia="Calibri Light" w:hAnsi="Arial" w:cs="Arial"/>
          <w:sz w:val="22"/>
          <w:szCs w:val="22"/>
        </w:rPr>
      </w:pPr>
      <w:r w:rsidRPr="002C512A">
        <w:rPr>
          <w:rStyle w:val="eop"/>
          <w:rFonts w:ascii="Arial" w:eastAsia="Calibri Light" w:hAnsi="Arial" w:cs="Arial"/>
          <w:sz w:val="22"/>
          <w:szCs w:val="22"/>
        </w:rPr>
        <w:t>These sections collectively demonstrate that while the foundation for culturally competent care exists, real-world implementation remains uneven and complex.</w:t>
      </w:r>
    </w:p>
    <w:p w14:paraId="1DB8B49B" w14:textId="77777777" w:rsidR="005B2175" w:rsidRDefault="005B2175" w:rsidP="00D82E3D">
      <w:pPr>
        <w:pStyle w:val="paragraph"/>
        <w:spacing w:before="0" w:beforeAutospacing="0" w:after="0" w:afterAutospacing="0" w:line="360" w:lineRule="auto"/>
        <w:textAlignment w:val="baseline"/>
        <w:rPr>
          <w:rStyle w:val="eop"/>
          <w:rFonts w:ascii="Arial" w:eastAsia="Calibri Light" w:hAnsi="Arial" w:cs="Arial"/>
          <w:sz w:val="22"/>
          <w:szCs w:val="22"/>
        </w:rPr>
      </w:pPr>
    </w:p>
    <w:p w14:paraId="1CD397E1" w14:textId="3FAAFD00" w:rsidR="00BD2909" w:rsidRPr="002C512A" w:rsidRDefault="002C512A" w:rsidP="00D82E3D">
      <w:pPr>
        <w:pStyle w:val="paragraph"/>
        <w:spacing w:before="0" w:beforeAutospacing="0" w:after="0" w:afterAutospacing="0" w:line="360" w:lineRule="auto"/>
        <w:textAlignment w:val="baseline"/>
        <w:rPr>
          <w:rFonts w:ascii="Arial" w:hAnsi="Arial" w:cs="Arial"/>
          <w:sz w:val="16"/>
          <w:szCs w:val="16"/>
        </w:rPr>
      </w:pPr>
      <w:r w:rsidRPr="002C512A">
        <w:rPr>
          <w:rStyle w:val="eop"/>
          <w:rFonts w:ascii="Arial" w:eastAsia="Calibri Light" w:hAnsi="Arial" w:cs="Arial"/>
          <w:sz w:val="22"/>
          <w:szCs w:val="22"/>
        </w:rPr>
        <w:t>Looking ahead, the next chapter will present the methodological approach used in this study. The insights from this background will shape the selection of sources, the development of inclusion criteria, and the thematic analysis of relevant literature. This will ensure that the research is both grounded in existing knowledge and capable of addressing key gaps in culturally competent EOL care delivery.</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5A7AB555" w14:textId="1457057D" w:rsidR="003A66FD" w:rsidRDefault="003A66FD" w:rsidP="00E40B0D">
      <w:pPr>
        <w:pStyle w:val="Heading2"/>
        <w:rPr>
          <w:rFonts w:ascii="Arial" w:hAnsi="Arial" w:cs="Arial"/>
          <w:u w:val="single"/>
        </w:rPr>
      </w:pPr>
    </w:p>
    <w:p w14:paraId="27865DB4" w14:textId="374DDD3A" w:rsidR="00A424B1" w:rsidRPr="00187BD5" w:rsidRDefault="00A424B1" w:rsidP="00A424B1">
      <w:pPr>
        <w:rPr>
          <w:rFonts w:ascii="Arial" w:hAnsi="Arial" w:cs="Arial"/>
          <w:b/>
          <w:bCs/>
          <w:u w:val="single"/>
        </w:rPr>
      </w:pPr>
      <w:r w:rsidRPr="00187BD5">
        <w:rPr>
          <w:rFonts w:ascii="Arial" w:hAnsi="Arial" w:cs="Arial"/>
          <w:b/>
          <w:bCs/>
          <w:u w:val="single"/>
        </w:rPr>
        <w:t>3.1</w:t>
      </w:r>
      <w:r w:rsidR="00187BD5" w:rsidRPr="00187BD5">
        <w:rPr>
          <w:rFonts w:ascii="Arial" w:hAnsi="Arial" w:cs="Arial"/>
          <w:b/>
          <w:bCs/>
          <w:u w:val="single"/>
        </w:rPr>
        <w:t xml:space="preserve"> Introduction</w:t>
      </w:r>
    </w:p>
    <w:p w14:paraId="12EDC25C" w14:textId="2F5D0A72" w:rsidR="005B3EDE" w:rsidRPr="00A424B1" w:rsidRDefault="005B3EDE" w:rsidP="005B3EDE">
      <w:pPr>
        <w:pStyle w:val="NormalWeb"/>
        <w:spacing w:line="360" w:lineRule="auto"/>
        <w:rPr>
          <w:rStyle w:val="Strong"/>
          <w:rFonts w:ascii="Arial" w:eastAsia="Calibri Light" w:hAnsi="Arial" w:cs="Arial"/>
          <w:sz w:val="22"/>
          <w:szCs w:val="22"/>
        </w:rPr>
      </w:pPr>
      <w:r w:rsidRPr="00A424B1">
        <w:rPr>
          <w:rStyle w:val="Strong"/>
          <w:rFonts w:ascii="Arial" w:eastAsia="Calibri Light" w:hAnsi="Arial" w:cs="Arial"/>
          <w:sz w:val="22"/>
          <w:szCs w:val="22"/>
        </w:rPr>
        <w:t>Purpose of the Chapter:</w:t>
      </w:r>
    </w:p>
    <w:p w14:paraId="2CBFA9C9" w14:textId="44203A72" w:rsidR="008763BF" w:rsidRPr="008763BF" w:rsidRDefault="008763BF" w:rsidP="005B3EDE">
      <w:pPr>
        <w:pStyle w:val="NormalWeb"/>
        <w:spacing w:line="360" w:lineRule="auto"/>
        <w:rPr>
          <w:rFonts w:ascii="Arial" w:hAnsi="Arial" w:cs="Arial"/>
          <w:sz w:val="22"/>
          <w:szCs w:val="22"/>
        </w:rPr>
      </w:pPr>
      <w:r w:rsidRPr="008763BF">
        <w:rPr>
          <w:rFonts w:ascii="Arial" w:hAnsi="Arial" w:cs="Arial"/>
          <w:sz w:val="22"/>
          <w:szCs w:val="22"/>
        </w:rPr>
        <w:t>The purpose of this chapter is to outline the methodological approach used to conduct this dissertation. A desk-based, literature-based design was employed, drawing on secondary data from academic journals, policy documents, and organisational reports (Aveyard, 201</w:t>
      </w:r>
      <w:r>
        <w:rPr>
          <w:rFonts w:ascii="Arial" w:hAnsi="Arial" w:cs="Arial"/>
          <w:sz w:val="22"/>
          <w:szCs w:val="22"/>
        </w:rPr>
        <w:t>8</w:t>
      </w:r>
      <w:r w:rsidRPr="008763BF">
        <w:rPr>
          <w:rFonts w:ascii="Arial" w:hAnsi="Arial" w:cs="Arial"/>
          <w:sz w:val="22"/>
          <w:szCs w:val="22"/>
        </w:rPr>
        <w:t>). While the academic methodology poster provided a visual summary of this process, this chapter expands each section in greater detail to ensure clarity and transparency (Booth, Sutton and Papaioannou, 2016).</w:t>
      </w:r>
    </w:p>
    <w:p w14:paraId="6521A89B" w14:textId="55D646FF" w:rsidR="005B3EDE" w:rsidRPr="00A424B1" w:rsidRDefault="005B3EDE" w:rsidP="005B3EDE">
      <w:pPr>
        <w:pStyle w:val="NormalWeb"/>
        <w:spacing w:line="360" w:lineRule="auto"/>
        <w:rPr>
          <w:rStyle w:val="Strong"/>
          <w:rFonts w:ascii="Arial" w:eastAsia="Calibri Light" w:hAnsi="Arial" w:cs="Arial"/>
          <w:sz w:val="22"/>
          <w:szCs w:val="22"/>
        </w:rPr>
      </w:pPr>
      <w:r w:rsidRPr="00A424B1">
        <w:rPr>
          <w:rStyle w:val="Strong"/>
          <w:rFonts w:ascii="Arial" w:eastAsia="Calibri Light" w:hAnsi="Arial" w:cs="Arial"/>
          <w:sz w:val="22"/>
          <w:szCs w:val="22"/>
        </w:rPr>
        <w:t>Connection to the Dissertation:</w:t>
      </w:r>
    </w:p>
    <w:p w14:paraId="239B1981" w14:textId="5A335BD9" w:rsidR="008763BF" w:rsidRDefault="008763BF" w:rsidP="000A1BA2">
      <w:pPr>
        <w:pStyle w:val="NormalWeb"/>
        <w:spacing w:line="360" w:lineRule="auto"/>
        <w:rPr>
          <w:rFonts w:ascii="Arial" w:hAnsi="Arial" w:cs="Arial"/>
          <w:sz w:val="22"/>
          <w:szCs w:val="22"/>
        </w:rPr>
      </w:pPr>
      <w:r w:rsidRPr="008763BF">
        <w:rPr>
          <w:rFonts w:ascii="Arial" w:hAnsi="Arial" w:cs="Arial"/>
          <w:sz w:val="22"/>
          <w:szCs w:val="22"/>
        </w:rPr>
        <w:t>The methods discussed here are fundamental in identifying and critically analysing reliable sources. This process underpins the thematic findings presented in Chapter 4, ensuring they are grounded in robust and validated evidence (Hart, 2018).</w:t>
      </w:r>
    </w:p>
    <w:p w14:paraId="4E076450" w14:textId="77777777" w:rsidR="00E300C8" w:rsidRDefault="00187BD5" w:rsidP="00E300C8">
      <w:pPr>
        <w:pStyle w:val="NormalWeb"/>
        <w:spacing w:line="360" w:lineRule="auto"/>
        <w:rPr>
          <w:rFonts w:ascii="Arial" w:hAnsi="Arial" w:cs="Arial"/>
          <w:b/>
          <w:bCs/>
          <w:sz w:val="22"/>
          <w:szCs w:val="22"/>
          <w:u w:val="single"/>
        </w:rPr>
      </w:pPr>
      <w:r w:rsidRPr="00E300C8">
        <w:rPr>
          <w:rFonts w:ascii="Arial" w:hAnsi="Arial" w:cs="Arial"/>
          <w:b/>
          <w:bCs/>
          <w:sz w:val="22"/>
          <w:szCs w:val="22"/>
          <w:u w:val="single"/>
        </w:rPr>
        <w:t>3.2 – Search Strategy</w:t>
      </w:r>
    </w:p>
    <w:p w14:paraId="379B4F9F" w14:textId="15138ECE" w:rsidR="005B3EDE" w:rsidRPr="00E300C8" w:rsidRDefault="005B3EDE" w:rsidP="00E300C8">
      <w:pPr>
        <w:pStyle w:val="NormalWeb"/>
        <w:spacing w:line="360" w:lineRule="auto"/>
        <w:rPr>
          <w:rFonts w:ascii="Arial" w:hAnsi="Arial" w:cs="Arial"/>
          <w:b/>
          <w:bCs/>
          <w:sz w:val="22"/>
          <w:szCs w:val="22"/>
          <w:u w:val="single"/>
        </w:rPr>
      </w:pPr>
      <w:r w:rsidRPr="00E300C8">
        <w:rPr>
          <w:rFonts w:ascii="Arial" w:hAnsi="Arial" w:cs="Arial"/>
          <w:b/>
          <w:bCs/>
          <w:sz w:val="22"/>
          <w:szCs w:val="22"/>
        </w:rPr>
        <w:t>Developing Keywords:</w:t>
      </w:r>
    </w:p>
    <w:p w14:paraId="4FD1B381" w14:textId="0C95C612" w:rsidR="00145767" w:rsidRPr="00E300C8" w:rsidRDefault="00145767" w:rsidP="00B575E2">
      <w:pPr>
        <w:rPr>
          <w:rFonts w:ascii="Arial" w:hAnsi="Arial" w:cs="Arial"/>
        </w:rPr>
      </w:pPr>
      <w:r w:rsidRPr="00E300C8">
        <w:rPr>
          <w:rFonts w:ascii="Arial" w:hAnsi="Arial" w:cs="Arial"/>
        </w:rPr>
        <w:t>Keywords were drawn directly from the research title, such as “end-of-life care,” “cultural competence,” and “ethnic minority communities.” Synonyms including “palliative care,” “transcultural nursing,” and “health inequalities” were also incorporated to broaden coverage (Hart, 2018).</w:t>
      </w:r>
    </w:p>
    <w:p w14:paraId="5BED73AF" w14:textId="6501E74E" w:rsidR="005B3EDE" w:rsidRPr="00E300C8" w:rsidRDefault="005B3EDE" w:rsidP="00B575E2">
      <w:pPr>
        <w:rPr>
          <w:rFonts w:ascii="Arial" w:hAnsi="Arial" w:cs="Arial"/>
        </w:rPr>
      </w:pPr>
      <w:r w:rsidRPr="00E300C8">
        <w:rPr>
          <w:rFonts w:ascii="Arial" w:hAnsi="Arial" w:cs="Arial"/>
          <w:b/>
          <w:bCs/>
        </w:rPr>
        <w:t>Boolean Operators:</w:t>
      </w:r>
    </w:p>
    <w:p w14:paraId="65D3DA34" w14:textId="51A6627A" w:rsidR="00B575E2" w:rsidRPr="00145767" w:rsidRDefault="00145767" w:rsidP="00145767">
      <w:pPr>
        <w:rPr>
          <w:rFonts w:ascii="Arial" w:hAnsi="Arial" w:cs="Arial"/>
        </w:rPr>
      </w:pPr>
      <w:r w:rsidRPr="00145767">
        <w:rPr>
          <w:rFonts w:ascii="Arial" w:hAnsi="Arial" w:cs="Arial"/>
        </w:rPr>
        <w:t xml:space="preserve">Boolean operators refined searches; for example, “cultural competence AND end-of-life care AND UK” ensured relevance, while </w:t>
      </w:r>
      <w:r w:rsidR="00790C73">
        <w:rPr>
          <w:rFonts w:ascii="Arial" w:hAnsi="Arial" w:cs="Arial"/>
        </w:rPr>
        <w:t>“OR” linked related terms, and “NOT” excluded unrelated results (Booth, Sutton,</w:t>
      </w:r>
      <w:r w:rsidRPr="00145767">
        <w:rPr>
          <w:rFonts w:ascii="Arial" w:hAnsi="Arial" w:cs="Arial"/>
        </w:rPr>
        <w:t xml:space="preserve"> and Papaioannou, 2016).</w:t>
      </w:r>
    </w:p>
    <w:p w14:paraId="0D37A907" w14:textId="5F423CD0" w:rsidR="005B3EDE" w:rsidRPr="00E300C8" w:rsidRDefault="005B3EDE" w:rsidP="00B575E2">
      <w:pPr>
        <w:rPr>
          <w:rFonts w:ascii="Arial" w:hAnsi="Arial" w:cs="Arial"/>
        </w:rPr>
      </w:pPr>
      <w:r w:rsidRPr="00E300C8">
        <w:rPr>
          <w:rFonts w:ascii="Arial" w:hAnsi="Arial" w:cs="Arial"/>
          <w:b/>
          <w:bCs/>
        </w:rPr>
        <w:t>Structured Search Plan:</w:t>
      </w:r>
    </w:p>
    <w:p w14:paraId="57AFDE7A" w14:textId="189D39D3" w:rsidR="00B575E2" w:rsidRPr="00DB286C" w:rsidRDefault="00145767" w:rsidP="00CD15B3">
      <w:pPr>
        <w:rPr>
          <w:rFonts w:ascii="Arial" w:hAnsi="Arial" w:cs="Arial"/>
        </w:rPr>
      </w:pPr>
      <w:r w:rsidRPr="00145767">
        <w:rPr>
          <w:rFonts w:ascii="Arial" w:hAnsi="Arial" w:cs="Arial"/>
        </w:rPr>
        <w:t>Searches were systematically planned and documented, with useful terms and combinations recorded for consistency and replicability (Aveyard, 201</w:t>
      </w:r>
      <w:r w:rsidR="00790C73">
        <w:rPr>
          <w:rFonts w:ascii="Arial" w:hAnsi="Arial" w:cs="Arial"/>
        </w:rPr>
        <w:t>8</w:t>
      </w:r>
      <w:r w:rsidRPr="00145767">
        <w:rPr>
          <w:rFonts w:ascii="Arial" w:hAnsi="Arial" w:cs="Arial"/>
        </w:rPr>
        <w:t>).</w:t>
      </w:r>
    </w:p>
    <w:p w14:paraId="04E79797" w14:textId="77777777" w:rsidR="00324093" w:rsidRDefault="00324093" w:rsidP="00B575E2">
      <w:pPr>
        <w:rPr>
          <w:rFonts w:hAnsi="Symbol" w:hint="eastAsia"/>
        </w:rPr>
      </w:pPr>
    </w:p>
    <w:p w14:paraId="31F70A37" w14:textId="6EC2192E" w:rsidR="00324093" w:rsidRPr="00CD15B3" w:rsidRDefault="007537C4" w:rsidP="00B575E2">
      <w:pPr>
        <w:rPr>
          <w:rFonts w:ascii="Arial" w:hAnsi="Arial" w:cs="Arial"/>
          <w:b/>
          <w:bCs/>
          <w:u w:val="single"/>
        </w:rPr>
      </w:pPr>
      <w:r w:rsidRPr="00CD15B3">
        <w:rPr>
          <w:rFonts w:ascii="Arial" w:hAnsi="Arial" w:cs="Arial"/>
          <w:b/>
          <w:bCs/>
          <w:u w:val="single"/>
        </w:rPr>
        <w:lastRenderedPageBreak/>
        <w:t>3.3 – Searching for information</w:t>
      </w:r>
    </w:p>
    <w:p w14:paraId="7C97A730" w14:textId="43AF2A50" w:rsidR="00B575E2" w:rsidRDefault="00B575E2" w:rsidP="00B575E2">
      <w:pPr>
        <w:rPr>
          <w:b/>
          <w:bCs/>
        </w:rPr>
      </w:pPr>
      <w:r w:rsidRPr="00B575E2">
        <w:rPr>
          <w:b/>
          <w:bCs/>
        </w:rPr>
        <w:t>Databases and Platforms:</w:t>
      </w:r>
    </w:p>
    <w:p w14:paraId="41332FE7" w14:textId="11285FC4" w:rsidR="00095B57" w:rsidRPr="00095B57" w:rsidRDefault="00095B57" w:rsidP="00B575E2">
      <w:pPr>
        <w:rPr>
          <w:rFonts w:ascii="Arial" w:hAnsi="Arial" w:cs="Arial"/>
        </w:rPr>
      </w:pPr>
      <w:r w:rsidRPr="00095B57">
        <w:rPr>
          <w:rFonts w:ascii="Arial" w:hAnsi="Arial" w:cs="Arial"/>
        </w:rPr>
        <w:t xml:space="preserve">Searches were </w:t>
      </w:r>
      <w:r>
        <w:rPr>
          <w:rFonts w:ascii="Arial" w:hAnsi="Arial" w:cs="Arial"/>
        </w:rPr>
        <w:t>conducted using a range of academic databases,</w:t>
      </w:r>
      <w:r w:rsidRPr="00095B57">
        <w:rPr>
          <w:rFonts w:ascii="Arial" w:hAnsi="Arial" w:cs="Arial"/>
        </w:rPr>
        <w:t xml:space="preserve"> including PubMed, CINAHL, PsycINFO, MEDLINE, and Google Scholar, as well as the UWTSD online library. These platforms were selected because they provide access to peer-reviewed journals, systematic reviews, and health policy reports, ensuring both credibility and relevance</w:t>
      </w:r>
      <w:r>
        <w:rPr>
          <w:rFonts w:ascii="Arial" w:hAnsi="Arial" w:cs="Arial"/>
        </w:rPr>
        <w:t>.</w:t>
      </w:r>
      <w:r w:rsidRPr="00095B57">
        <w:rPr>
          <w:rFonts w:ascii="Arial" w:hAnsi="Arial" w:cs="Arial"/>
        </w:rPr>
        <w:t xml:space="preserve"> Grey literature was also considered, particularly NHS England publications and reports from Hospice UK and Marie Curie, as these sources provide insight into practical and policy-level developments (Aveyard, 201</w:t>
      </w:r>
      <w:r>
        <w:rPr>
          <w:rFonts w:ascii="Arial" w:hAnsi="Arial" w:cs="Arial"/>
        </w:rPr>
        <w:t>8</w:t>
      </w:r>
      <w:r w:rsidRPr="00095B57">
        <w:rPr>
          <w:rFonts w:ascii="Arial" w:hAnsi="Arial" w:cs="Arial"/>
        </w:rPr>
        <w:t>).</w:t>
      </w:r>
    </w:p>
    <w:p w14:paraId="237E70AD" w14:textId="10BFE1DD" w:rsidR="00B575E2" w:rsidRPr="00A6557C" w:rsidRDefault="00B575E2" w:rsidP="00B575E2">
      <w:pPr>
        <w:rPr>
          <w:rFonts w:ascii="Arial" w:hAnsi="Arial" w:cs="Arial"/>
          <w:b/>
          <w:bCs/>
        </w:rPr>
      </w:pPr>
      <w:r w:rsidRPr="00A6557C">
        <w:rPr>
          <w:rFonts w:ascii="Arial" w:hAnsi="Arial" w:cs="Arial"/>
          <w:b/>
          <w:bCs/>
        </w:rPr>
        <w:t>Using Filters:</w:t>
      </w:r>
    </w:p>
    <w:p w14:paraId="3EADADE7" w14:textId="034BF942" w:rsidR="00095B57" w:rsidRPr="00A6557C" w:rsidRDefault="00A67039" w:rsidP="00B575E2">
      <w:pPr>
        <w:rPr>
          <w:rFonts w:ascii="Arial" w:hAnsi="Arial" w:cs="Arial"/>
        </w:rPr>
      </w:pPr>
      <w:r w:rsidRPr="00A6557C">
        <w:rPr>
          <w:rFonts w:ascii="Arial" w:hAnsi="Arial" w:cs="Arial"/>
        </w:rPr>
        <w:t>Filters were applied to focus results on publications from the past ten years (2013–2023), reflecting current practice and debate. Only English-language sources were included, with preference given to UK-based research, although some international comparisons were considered where transferable lessons were evident (Ridley, 2012).</w:t>
      </w:r>
    </w:p>
    <w:p w14:paraId="7B614B9D" w14:textId="414BB6DD" w:rsidR="00B575E2" w:rsidRPr="00A6557C" w:rsidRDefault="00B575E2" w:rsidP="00B575E2">
      <w:pPr>
        <w:rPr>
          <w:rFonts w:ascii="Arial" w:hAnsi="Arial" w:cs="Arial"/>
        </w:rPr>
      </w:pPr>
      <w:r w:rsidRPr="00A6557C">
        <w:rPr>
          <w:rFonts w:ascii="Arial" w:hAnsi="Arial" w:cs="Arial"/>
          <w:b/>
          <w:bCs/>
        </w:rPr>
        <w:t>Search Process:</w:t>
      </w:r>
    </w:p>
    <w:p w14:paraId="6F09D47B" w14:textId="44ED2017" w:rsidR="00B575E2" w:rsidRPr="00A67039" w:rsidRDefault="00A67039" w:rsidP="00A67039">
      <w:pPr>
        <w:rPr>
          <w:rFonts w:ascii="Arial" w:hAnsi="Arial" w:cs="Arial"/>
        </w:rPr>
      </w:pPr>
      <w:r w:rsidRPr="00A67039">
        <w:rPr>
          <w:rFonts w:ascii="Arial" w:hAnsi="Arial" w:cs="Arial"/>
        </w:rPr>
        <w:t xml:space="preserve">The search process was iterative, with initial keyword combinations refined after reviewing abstracts for relevance. Boolean operators were adjusted to capture broader terms such as “palliative care” alongside “end-of-life care.” A source tracking table was maintained to log databases searched, terms used, and inclusion/exclusion decisions. </w:t>
      </w:r>
      <w:r w:rsidRPr="00A67039">
        <w:rPr>
          <w:rFonts w:ascii="Arial" w:hAnsi="Arial" w:cs="Arial"/>
          <w:highlight w:val="yellow"/>
        </w:rPr>
        <w:t>This table is provided in Appendix A to ensure transparency and replicability.</w:t>
      </w:r>
    </w:p>
    <w:p w14:paraId="53391C4E" w14:textId="77777777" w:rsidR="00497DF2" w:rsidRDefault="00497DF2" w:rsidP="006476D7">
      <w:pPr>
        <w:pStyle w:val="Heading2"/>
        <w:jc w:val="left"/>
        <w:rPr>
          <w:rFonts w:ascii="Arial" w:hAnsi="Arial" w:cs="Arial"/>
        </w:rPr>
      </w:pPr>
    </w:p>
    <w:p w14:paraId="2BCF3EAE" w14:textId="066B08B1" w:rsidR="006476D7" w:rsidRPr="00497DF2" w:rsidRDefault="006476D7" w:rsidP="006476D7">
      <w:pPr>
        <w:pStyle w:val="Heading2"/>
        <w:jc w:val="left"/>
        <w:rPr>
          <w:rFonts w:ascii="Arial" w:hAnsi="Arial" w:cs="Arial"/>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7DF2">
        <w:rPr>
          <w:rFonts w:ascii="Arial" w:hAnsi="Arial" w:cs="Arial"/>
          <w:b/>
          <w:bCs/>
          <w:color w:val="auto"/>
          <w:u w:val="single"/>
        </w:rPr>
        <w:t xml:space="preserve">3.4 - Research Validation </w:t>
      </w:r>
    </w:p>
    <w:p w14:paraId="2E97CD11" w14:textId="77777777" w:rsidR="00497DF2" w:rsidRDefault="00497DF2" w:rsidP="00DB286C">
      <w:pPr>
        <w:rPr>
          <w:rFonts w:ascii="Arial" w:hAnsi="Arial" w:cs="Arial"/>
          <w:b/>
          <w:bCs/>
        </w:rPr>
      </w:pPr>
    </w:p>
    <w:p w14:paraId="42F4700C" w14:textId="1BD752FF" w:rsidR="00B575E2" w:rsidRPr="00DB286C" w:rsidRDefault="00B575E2" w:rsidP="00DB286C">
      <w:pPr>
        <w:rPr>
          <w:rFonts w:ascii="Arial" w:hAnsi="Arial" w:cs="Arial"/>
        </w:rPr>
      </w:pPr>
      <w:r w:rsidRPr="00DB286C">
        <w:rPr>
          <w:rFonts w:ascii="Arial" w:hAnsi="Arial" w:cs="Arial"/>
          <w:b/>
          <w:bCs/>
        </w:rPr>
        <w:t>Skimming Techniques:</w:t>
      </w:r>
    </w:p>
    <w:p w14:paraId="29740708" w14:textId="2788B452" w:rsidR="00DB286C" w:rsidRPr="00DB286C" w:rsidRDefault="00DB286C" w:rsidP="00B575E2">
      <w:pPr>
        <w:rPr>
          <w:rFonts w:ascii="Arial" w:hAnsi="Arial" w:cs="Arial"/>
        </w:rPr>
      </w:pPr>
      <w:r w:rsidRPr="00DB286C">
        <w:rPr>
          <w:rFonts w:ascii="Arial" w:hAnsi="Arial" w:cs="Arial"/>
        </w:rPr>
        <w:t>Initial relevance of sources was assessed through skimming, focusing on the title, abstract, introduction, and conclusion. This allowed for a rapid evaluation of whether a study addressed cultural competence and end-of-life care in the UK context (Ridley, 2012).</w:t>
      </w:r>
    </w:p>
    <w:p w14:paraId="34089B50" w14:textId="6C795AA1" w:rsidR="00B575E2" w:rsidRPr="00DB286C" w:rsidRDefault="00B575E2" w:rsidP="00DB286C">
      <w:pPr>
        <w:rPr>
          <w:rFonts w:ascii="Arial" w:hAnsi="Arial" w:cs="Arial"/>
          <w:b/>
          <w:bCs/>
        </w:rPr>
      </w:pPr>
      <w:r w:rsidRPr="00DB286C">
        <w:rPr>
          <w:rFonts w:ascii="Arial" w:hAnsi="Arial" w:cs="Arial"/>
          <w:b/>
          <w:bCs/>
        </w:rPr>
        <w:t>CRAAP Test Application:</w:t>
      </w:r>
    </w:p>
    <w:p w14:paraId="41C6BF4C" w14:textId="65CFC13B" w:rsidR="00DB286C" w:rsidRPr="00DB286C" w:rsidRDefault="00DB286C" w:rsidP="00B575E2">
      <w:pPr>
        <w:rPr>
          <w:rFonts w:ascii="Arial" w:hAnsi="Arial" w:cs="Arial"/>
        </w:rPr>
      </w:pPr>
      <w:r w:rsidRPr="00DB286C">
        <w:rPr>
          <w:rFonts w:ascii="Arial" w:hAnsi="Arial" w:cs="Arial"/>
        </w:rPr>
        <w:t>Sources were then appraised using the CRAAP test</w:t>
      </w:r>
      <w:r w:rsidR="001544E6">
        <w:rPr>
          <w:rFonts w:ascii="Arial" w:hAnsi="Arial" w:cs="Arial"/>
        </w:rPr>
        <w:t xml:space="preserve">, </w:t>
      </w:r>
      <w:r w:rsidRPr="00DB286C">
        <w:rPr>
          <w:rFonts w:ascii="Arial" w:hAnsi="Arial" w:cs="Arial"/>
        </w:rPr>
        <w:t xml:space="preserve">evaluating Currency, Relevance, Authority, Accuracy, and Purpose. Not every study fulfilled all five criteria; however, priority was given to those meeting key dimensions such as Currency, Relevance, and Authority, </w:t>
      </w:r>
      <w:r w:rsidRPr="00DB286C">
        <w:rPr>
          <w:rFonts w:ascii="Arial" w:hAnsi="Arial" w:cs="Arial"/>
        </w:rPr>
        <w:lastRenderedPageBreak/>
        <w:t xml:space="preserve">ensuring findings were timely, contextually appropriate, and academically credible (Booth, Sutton and Papaioannou, </w:t>
      </w:r>
      <w:r w:rsidRPr="00C35E19">
        <w:rPr>
          <w:rFonts w:ascii="Arial" w:hAnsi="Arial" w:cs="Arial"/>
        </w:rPr>
        <w:t>2016)</w:t>
      </w:r>
      <w:r w:rsidR="00C35E19" w:rsidRPr="00C35E19">
        <w:rPr>
          <w:rFonts w:ascii="Arial" w:hAnsi="Arial" w:cs="Arial"/>
        </w:rPr>
        <w:t xml:space="preserve"> </w:t>
      </w:r>
      <w:r w:rsidRPr="00C35E19">
        <w:rPr>
          <w:rFonts w:ascii="Arial" w:hAnsi="Arial" w:cs="Arial"/>
        </w:rPr>
        <w:t>. A summary of this appraisal is provided in Appendix B.</w:t>
      </w:r>
    </w:p>
    <w:p w14:paraId="7605EE09" w14:textId="26F47908" w:rsidR="00B575E2" w:rsidRDefault="00B575E2" w:rsidP="00B575E2">
      <w:pPr>
        <w:rPr>
          <w:rFonts w:ascii="Arial" w:hAnsi="Arial" w:cs="Arial"/>
          <w:b/>
          <w:bCs/>
        </w:rPr>
      </w:pPr>
      <w:r w:rsidRPr="00DB286C">
        <w:rPr>
          <w:rFonts w:ascii="Arial" w:hAnsi="Arial" w:cs="Arial"/>
          <w:b/>
          <w:bCs/>
        </w:rPr>
        <w:t>Decision-Making:</w:t>
      </w:r>
    </w:p>
    <w:p w14:paraId="3555115B" w14:textId="77777777" w:rsidR="002E409C" w:rsidRDefault="00DB286C" w:rsidP="002E409C">
      <w:pPr>
        <w:rPr>
          <w:rFonts w:ascii="Arial" w:hAnsi="Arial" w:cs="Arial"/>
        </w:rPr>
      </w:pPr>
      <w:r w:rsidRPr="00DB286C">
        <w:rPr>
          <w:rFonts w:ascii="Arial" w:hAnsi="Arial" w:cs="Arial"/>
        </w:rPr>
        <w:t>For example, NHS England reports were included as they demonstrated authority and relevance to national policy, whereas older international articles lacking UK applicability were excluded despite some conceptual insight (Aveyard, 201</w:t>
      </w:r>
      <w:r>
        <w:rPr>
          <w:rFonts w:ascii="Arial" w:hAnsi="Arial" w:cs="Arial"/>
        </w:rPr>
        <w:t>8</w:t>
      </w:r>
      <w:r w:rsidRPr="00DB286C">
        <w:rPr>
          <w:rFonts w:ascii="Arial" w:hAnsi="Arial" w:cs="Arial"/>
        </w:rPr>
        <w:t>).</w:t>
      </w:r>
    </w:p>
    <w:p w14:paraId="72C02C3D" w14:textId="139483F6" w:rsidR="002E409C" w:rsidRPr="002E409C" w:rsidRDefault="00C17A49" w:rsidP="002E409C">
      <w:pPr>
        <w:rPr>
          <w:rFonts w:ascii="Arial" w:hAnsi="Arial" w:cs="Arial"/>
        </w:rPr>
      </w:pPr>
      <w:r w:rsidRPr="00EC27DE">
        <w:rPr>
          <w:rFonts w:ascii="Arial" w:hAnsi="Arial" w:cs="Arial"/>
          <w:b/>
          <w:bCs/>
          <w:u w:val="single"/>
        </w:rPr>
        <w:br/>
      </w:r>
      <w:r w:rsidR="002E409C" w:rsidRPr="002E409C">
        <w:rPr>
          <w:rFonts w:ascii="Arial" w:hAnsi="Arial" w:cs="Arial"/>
          <w:b/>
          <w:bCs/>
          <w:u w:val="single"/>
        </w:rPr>
        <w:t>3.5 – Inclusion and Exclusion Criteria</w:t>
      </w:r>
    </w:p>
    <w:p w14:paraId="5CC1A2A4" w14:textId="0CBA262E" w:rsidR="00B575E2" w:rsidRDefault="00B575E2" w:rsidP="00B575E2">
      <w:pPr>
        <w:rPr>
          <w:rFonts w:ascii="Arial" w:hAnsi="Arial" w:cs="Arial"/>
          <w:b/>
          <w:bCs/>
        </w:rPr>
      </w:pPr>
      <w:r w:rsidRPr="00344CE2">
        <w:rPr>
          <w:rFonts w:ascii="Arial" w:hAnsi="Arial" w:cs="Arial"/>
          <w:b/>
          <w:bCs/>
        </w:rPr>
        <w:t>Inclusion Criteria:</w:t>
      </w:r>
    </w:p>
    <w:p w14:paraId="766D46A3" w14:textId="51FB484B" w:rsidR="00344CE2" w:rsidRPr="00344CE2" w:rsidRDefault="00344CE2" w:rsidP="00B575E2">
      <w:pPr>
        <w:rPr>
          <w:rFonts w:ascii="Arial" w:hAnsi="Arial" w:cs="Arial"/>
        </w:rPr>
      </w:pPr>
      <w:r w:rsidRPr="00344CE2">
        <w:rPr>
          <w:rFonts w:ascii="Arial" w:hAnsi="Arial" w:cs="Arial"/>
        </w:rPr>
        <w:t xml:space="preserve">Sources were included if they were peer-reviewed journal articles, government or organisational reports, and policy documents published within the </w:t>
      </w:r>
      <w:r w:rsidRPr="00F27725">
        <w:rPr>
          <w:rFonts w:ascii="Arial" w:hAnsi="Arial" w:cs="Arial"/>
          <w:highlight w:val="yellow"/>
        </w:rPr>
        <w:t>last t</w:t>
      </w:r>
      <w:r w:rsidR="004E7D43" w:rsidRPr="00F27725">
        <w:rPr>
          <w:rFonts w:ascii="Arial" w:hAnsi="Arial" w:cs="Arial"/>
          <w:highlight w:val="yellow"/>
        </w:rPr>
        <w:t>wenty</w:t>
      </w:r>
      <w:r w:rsidRPr="00F27725">
        <w:rPr>
          <w:rFonts w:ascii="Arial" w:hAnsi="Arial" w:cs="Arial"/>
          <w:highlight w:val="yellow"/>
        </w:rPr>
        <w:t xml:space="preserve"> years (20</w:t>
      </w:r>
      <w:r w:rsidR="004E7D43" w:rsidRPr="00F27725">
        <w:rPr>
          <w:rFonts w:ascii="Arial" w:hAnsi="Arial" w:cs="Arial"/>
          <w:highlight w:val="yellow"/>
        </w:rPr>
        <w:t>05</w:t>
      </w:r>
      <w:r w:rsidRPr="00F27725">
        <w:rPr>
          <w:rFonts w:ascii="Arial" w:hAnsi="Arial" w:cs="Arial"/>
          <w:highlight w:val="yellow"/>
        </w:rPr>
        <w:t>–202</w:t>
      </w:r>
      <w:r w:rsidR="004E7D43" w:rsidRPr="00F27725">
        <w:rPr>
          <w:rFonts w:ascii="Arial" w:hAnsi="Arial" w:cs="Arial"/>
          <w:highlight w:val="yellow"/>
        </w:rPr>
        <w:t>5</w:t>
      </w:r>
      <w:r w:rsidRPr="00F27725">
        <w:rPr>
          <w:rFonts w:ascii="Arial" w:hAnsi="Arial" w:cs="Arial"/>
          <w:highlight w:val="yellow"/>
        </w:rPr>
        <w:t>)</w:t>
      </w:r>
      <w:r w:rsidRPr="00344CE2">
        <w:rPr>
          <w:rFonts w:ascii="Arial" w:hAnsi="Arial" w:cs="Arial"/>
        </w:rPr>
        <w:t>. UK-based studies were prioritised, with international literature used selectively where transferable insights were evident. Publications focusing on end-of-life care, cultural competence, or ethnic minority communities were emphasised (Aveyard, 201</w:t>
      </w:r>
      <w:r w:rsidR="00C1721E">
        <w:rPr>
          <w:rFonts w:ascii="Arial" w:hAnsi="Arial" w:cs="Arial"/>
        </w:rPr>
        <w:t>8</w:t>
      </w:r>
      <w:r w:rsidRPr="00344CE2">
        <w:rPr>
          <w:rFonts w:ascii="Arial" w:hAnsi="Arial" w:cs="Arial"/>
        </w:rPr>
        <w:t>).</w:t>
      </w:r>
    </w:p>
    <w:p w14:paraId="2D999921" w14:textId="754CF76E" w:rsidR="00B575E2" w:rsidRDefault="00B575E2" w:rsidP="00B575E2">
      <w:pPr>
        <w:rPr>
          <w:rFonts w:ascii="Arial" w:hAnsi="Arial" w:cs="Arial"/>
          <w:b/>
          <w:bCs/>
        </w:rPr>
      </w:pPr>
      <w:r w:rsidRPr="00344CE2">
        <w:rPr>
          <w:rFonts w:ascii="Arial" w:hAnsi="Arial" w:cs="Arial"/>
          <w:b/>
          <w:bCs/>
        </w:rPr>
        <w:t>Exclusion Criteria:</w:t>
      </w:r>
    </w:p>
    <w:p w14:paraId="0659A1B5" w14:textId="1500948B" w:rsidR="00344CE2" w:rsidRPr="00344CE2" w:rsidRDefault="00C1721E" w:rsidP="00B575E2">
      <w:pPr>
        <w:rPr>
          <w:rFonts w:ascii="Arial" w:hAnsi="Arial" w:cs="Arial"/>
        </w:rPr>
      </w:pPr>
      <w:r w:rsidRPr="00C1721E">
        <w:rPr>
          <w:rFonts w:ascii="Arial" w:hAnsi="Arial" w:cs="Arial"/>
        </w:rPr>
        <w:t>Materials were excluded if they were over ten years old, opinion pieces, non-peer-reviewed blogs, or not available in English. Studies conducted outside the UK without clear relevance to domestic practice were also excluded (Ridley, 2012).</w:t>
      </w:r>
    </w:p>
    <w:p w14:paraId="6D764C27" w14:textId="45923B83" w:rsidR="00B575E2" w:rsidRDefault="00B575E2" w:rsidP="00B575E2">
      <w:pPr>
        <w:rPr>
          <w:rFonts w:ascii="Arial" w:hAnsi="Arial" w:cs="Arial"/>
          <w:b/>
          <w:bCs/>
        </w:rPr>
      </w:pPr>
      <w:r w:rsidRPr="00344CE2">
        <w:rPr>
          <w:rFonts w:ascii="Arial" w:hAnsi="Arial" w:cs="Arial"/>
          <w:b/>
          <w:bCs/>
        </w:rPr>
        <w:t>Justification:</w:t>
      </w:r>
    </w:p>
    <w:p w14:paraId="79EFA533" w14:textId="0E4C3F18" w:rsidR="00B575E2" w:rsidRDefault="00C1721E" w:rsidP="00B01396">
      <w:pPr>
        <w:rPr>
          <w:rFonts w:ascii="Arial" w:hAnsi="Arial" w:cs="Arial"/>
        </w:rPr>
      </w:pPr>
      <w:r w:rsidRPr="00C1721E">
        <w:rPr>
          <w:rFonts w:ascii="Arial" w:hAnsi="Arial" w:cs="Arial"/>
        </w:rPr>
        <w:t>These criteria ensured a balance between recency and rigour, allowing the review to remain current, relevant, and methodologically sound. This approach aligns with guidance on maintaining focus and avoiding bias in systematic literature searches (Booth, Sutton</w:t>
      </w:r>
      <w:r>
        <w:rPr>
          <w:rFonts w:ascii="Arial" w:hAnsi="Arial" w:cs="Arial"/>
        </w:rPr>
        <w:t>,</w:t>
      </w:r>
      <w:r w:rsidRPr="00C1721E">
        <w:rPr>
          <w:rFonts w:ascii="Arial" w:hAnsi="Arial" w:cs="Arial"/>
        </w:rPr>
        <w:t xml:space="preserve"> and Papaioannou, 2016).</w:t>
      </w:r>
    </w:p>
    <w:p w14:paraId="01A5598C" w14:textId="26092C99" w:rsidR="0021364B" w:rsidRPr="009C0573" w:rsidRDefault="0021364B" w:rsidP="00B30991">
      <w:pPr>
        <w:pStyle w:val="Heading2"/>
        <w:jc w:val="left"/>
        <w:rPr>
          <w:rFonts w:ascii="Arial" w:hAnsi="Arial" w:cs="Arial"/>
        </w:rPr>
      </w:pPr>
    </w:p>
    <w:p w14:paraId="2B9FA929" w14:textId="5AF7B86D" w:rsidR="009C0573" w:rsidRPr="00B30991" w:rsidRDefault="00B30991" w:rsidP="00C17A49">
      <w:pPr>
        <w:rPr>
          <w:rFonts w:ascii="Arial" w:hAnsi="Arial" w:cs="Arial"/>
          <w:b/>
          <w:bCs/>
          <w:u w:val="single"/>
        </w:rPr>
      </w:pPr>
      <w:r w:rsidRPr="00B30991">
        <w:rPr>
          <w:rFonts w:ascii="Arial" w:hAnsi="Arial" w:cs="Arial"/>
          <w:b/>
          <w:bCs/>
          <w:u w:val="single"/>
        </w:rPr>
        <w:t>3.6 – Analysing research</w:t>
      </w:r>
    </w:p>
    <w:p w14:paraId="210D014B" w14:textId="39B68F2E" w:rsidR="00C17A49" w:rsidRPr="002D49BD" w:rsidRDefault="00C17A49" w:rsidP="00C17A49">
      <w:pPr>
        <w:rPr>
          <w:rFonts w:ascii="Arial" w:hAnsi="Arial" w:cs="Arial"/>
          <w:b/>
          <w:bCs/>
        </w:rPr>
      </w:pPr>
      <w:r w:rsidRPr="002D49BD">
        <w:rPr>
          <w:rFonts w:ascii="Arial" w:hAnsi="Arial" w:cs="Arial"/>
          <w:b/>
          <w:bCs/>
        </w:rPr>
        <w:t>Thematic Coding Approach:</w:t>
      </w:r>
    </w:p>
    <w:p w14:paraId="76B0B9D3" w14:textId="52523E33" w:rsidR="009C0573" w:rsidRDefault="006722EB" w:rsidP="00C17A49">
      <w:pPr>
        <w:rPr>
          <w:rFonts w:ascii="Arial" w:hAnsi="Arial" w:cs="Arial"/>
        </w:rPr>
      </w:pPr>
      <w:r w:rsidRPr="006722EB">
        <w:rPr>
          <w:rFonts w:ascii="Arial" w:hAnsi="Arial" w:cs="Arial"/>
        </w:rPr>
        <w:t>A thematic coding method was applied to the selected literature, following Braun and Clarke’s (2006) six-phase framework. Each article was reviewed in detail to identify recurring ideas, challenges, and keywords relating to cultural competence and end-of-life care. These patterns formed the basis of initial codes, enabling systematic organisation of the data (Ridley, 2012).</w:t>
      </w:r>
    </w:p>
    <w:p w14:paraId="212A5E8E" w14:textId="77777777" w:rsidR="00B30991" w:rsidRDefault="00B30991" w:rsidP="00C17A49">
      <w:pPr>
        <w:rPr>
          <w:rFonts w:ascii="Arial" w:hAnsi="Arial" w:cs="Arial"/>
          <w:b/>
          <w:bCs/>
        </w:rPr>
      </w:pPr>
    </w:p>
    <w:p w14:paraId="5055D6DF" w14:textId="0B0D8816" w:rsidR="00C17A49" w:rsidRDefault="00C17A49" w:rsidP="00C17A49">
      <w:pPr>
        <w:rPr>
          <w:rFonts w:ascii="Arial" w:hAnsi="Arial" w:cs="Arial"/>
          <w:b/>
          <w:bCs/>
        </w:rPr>
      </w:pPr>
      <w:r w:rsidRPr="009C0573">
        <w:rPr>
          <w:rFonts w:ascii="Arial" w:hAnsi="Arial" w:cs="Arial"/>
          <w:b/>
          <w:bCs/>
        </w:rPr>
        <w:lastRenderedPageBreak/>
        <w:t>Developing Themes:</w:t>
      </w:r>
    </w:p>
    <w:p w14:paraId="1DE960E9" w14:textId="246E7FBF" w:rsidR="006722EB" w:rsidRDefault="006722EB" w:rsidP="00C17A49">
      <w:pPr>
        <w:rPr>
          <w:rFonts w:ascii="Arial" w:hAnsi="Arial" w:cs="Arial"/>
        </w:rPr>
      </w:pPr>
      <w:r w:rsidRPr="006722EB">
        <w:rPr>
          <w:rFonts w:ascii="Arial" w:hAnsi="Arial" w:cs="Arial"/>
        </w:rPr>
        <w:t>Codes were then grouped into broader themes aligned with the research objectives. Examples include communication barriers, trust and engagement with services, staff training and cultural awareness, and policy implementation. This process ensured that findings reflected both frequency and significance across the literature (Nowell, 2017).</w:t>
      </w:r>
    </w:p>
    <w:p w14:paraId="78F24EC6" w14:textId="16652CA4" w:rsidR="00C17A49" w:rsidRPr="009C0573" w:rsidRDefault="00C17A49" w:rsidP="00C17A49">
      <w:pPr>
        <w:rPr>
          <w:rFonts w:ascii="Arial" w:hAnsi="Arial" w:cs="Arial"/>
        </w:rPr>
      </w:pPr>
      <w:r w:rsidRPr="009C0573">
        <w:rPr>
          <w:rFonts w:ascii="Arial" w:hAnsi="Arial" w:cs="Arial"/>
          <w:b/>
          <w:bCs/>
        </w:rPr>
        <w:t>Organisation:</w:t>
      </w:r>
    </w:p>
    <w:p w14:paraId="79E3B7CA" w14:textId="4BCE28A5" w:rsidR="006722EB" w:rsidRDefault="004F4B72" w:rsidP="00B01396">
      <w:pPr>
        <w:rPr>
          <w:rFonts w:ascii="Arial" w:hAnsi="Arial" w:cs="Arial"/>
        </w:rPr>
      </w:pPr>
      <w:r w:rsidRPr="004F4B72">
        <w:rPr>
          <w:rFonts w:ascii="Arial" w:hAnsi="Arial" w:cs="Arial"/>
        </w:rPr>
        <w:t xml:space="preserve">To manage the coding process, a structured table was used to record sources, initial codes, and emerging themes. This systematic approach enabled the tracking of recurring ideas and ensured transparency in how broader themes were developed. Such </w:t>
      </w:r>
      <w:r w:rsidR="002C1410">
        <w:rPr>
          <w:rFonts w:ascii="Arial" w:hAnsi="Arial" w:cs="Arial"/>
        </w:rPr>
        <w:t xml:space="preserve">an </w:t>
      </w:r>
      <w:r w:rsidRPr="004F4B72">
        <w:rPr>
          <w:rFonts w:ascii="Arial" w:hAnsi="Arial" w:cs="Arial"/>
        </w:rPr>
        <w:t>organisation provides a clear audit trail that will support the structured presentation of findings in Chapter 4.</w:t>
      </w:r>
    </w:p>
    <w:p w14:paraId="34D844F4" w14:textId="1AFF2669" w:rsidR="00B01396" w:rsidRPr="004F4B72" w:rsidRDefault="00B01396" w:rsidP="001724BA">
      <w:pPr>
        <w:pStyle w:val="Heading2"/>
        <w:rPr>
          <w:rFonts w:ascii="Arial" w:hAnsi="Arial" w:cs="Arial"/>
          <w:sz w:val="22"/>
          <w:szCs w:val="22"/>
        </w:rPr>
      </w:pPr>
    </w:p>
    <w:p w14:paraId="073EA88D" w14:textId="5DC264D9" w:rsidR="00C17A49" w:rsidRPr="001724BA" w:rsidRDefault="007472A7" w:rsidP="00C17A49">
      <w:pPr>
        <w:rPr>
          <w:rFonts w:ascii="Arial" w:hAnsi="Arial" w:cs="Arial"/>
          <w:b/>
          <w:bCs/>
          <w:u w:val="single"/>
        </w:rPr>
      </w:pPr>
      <w:r w:rsidRPr="001724BA">
        <w:rPr>
          <w:rFonts w:ascii="Arial" w:hAnsi="Arial" w:cs="Arial"/>
          <w:b/>
          <w:bCs/>
          <w:u w:val="single"/>
        </w:rPr>
        <w:t>3.7</w:t>
      </w:r>
      <w:r w:rsidR="00491DF8">
        <w:rPr>
          <w:rFonts w:ascii="Arial" w:hAnsi="Arial" w:cs="Arial"/>
          <w:b/>
          <w:bCs/>
          <w:u w:val="single"/>
        </w:rPr>
        <w:t xml:space="preserve"> - </w:t>
      </w:r>
      <w:r w:rsidRPr="001724BA">
        <w:rPr>
          <w:rFonts w:ascii="Arial" w:hAnsi="Arial" w:cs="Arial"/>
          <w:b/>
          <w:bCs/>
          <w:u w:val="single"/>
        </w:rPr>
        <w:t>Ethical considerations</w:t>
      </w:r>
    </w:p>
    <w:p w14:paraId="79326193" w14:textId="005C1957" w:rsidR="00C17A49" w:rsidRPr="004F4B72" w:rsidRDefault="00C17A49" w:rsidP="00C17A49">
      <w:pPr>
        <w:rPr>
          <w:rFonts w:ascii="Arial" w:hAnsi="Arial" w:cs="Arial"/>
        </w:rPr>
      </w:pPr>
      <w:r w:rsidRPr="004F4B72">
        <w:rPr>
          <w:rFonts w:ascii="Arial" w:hAnsi="Arial" w:cs="Arial"/>
          <w:b/>
          <w:bCs/>
        </w:rPr>
        <w:t>Secondary Research Ethics:</w:t>
      </w:r>
    </w:p>
    <w:p w14:paraId="1CD64222" w14:textId="6511A81C" w:rsidR="00C17A49" w:rsidRDefault="004F4B72" w:rsidP="004F4B72">
      <w:pPr>
        <w:rPr>
          <w:rFonts w:ascii="Arial" w:hAnsi="Arial" w:cs="Arial"/>
        </w:rPr>
      </w:pPr>
      <w:r w:rsidRPr="004F4B72">
        <w:rPr>
          <w:rFonts w:ascii="Arial" w:hAnsi="Arial" w:cs="Arial"/>
        </w:rPr>
        <w:t>This dissertation relies solely on existing literature, meaning no primary data were collected and therefore issues of participant consent or confidentiality were not applicable (Aveyard, 201</w:t>
      </w:r>
      <w:r>
        <w:rPr>
          <w:rFonts w:ascii="Arial" w:hAnsi="Arial" w:cs="Arial"/>
        </w:rPr>
        <w:t>8</w:t>
      </w:r>
      <w:r w:rsidRPr="004F4B72">
        <w:rPr>
          <w:rFonts w:ascii="Arial" w:hAnsi="Arial" w:cs="Arial"/>
        </w:rPr>
        <w:t>).</w:t>
      </w:r>
    </w:p>
    <w:p w14:paraId="62B3E465" w14:textId="72582900" w:rsidR="00C17A49" w:rsidRPr="004F4B72" w:rsidRDefault="00C17A49" w:rsidP="00C17A49">
      <w:pPr>
        <w:rPr>
          <w:rFonts w:ascii="Arial" w:hAnsi="Arial" w:cs="Arial"/>
        </w:rPr>
      </w:pPr>
      <w:r w:rsidRPr="004F4B72">
        <w:rPr>
          <w:rFonts w:ascii="Arial" w:hAnsi="Arial" w:cs="Arial"/>
          <w:b/>
          <w:bCs/>
        </w:rPr>
        <w:t>Academic Integrity:</w:t>
      </w:r>
    </w:p>
    <w:p w14:paraId="4AC824C6" w14:textId="77777777" w:rsidR="004F4B72" w:rsidRDefault="004F4B72" w:rsidP="00C17A49">
      <w:pPr>
        <w:rPr>
          <w:rFonts w:ascii="Arial" w:hAnsi="Arial" w:cs="Arial"/>
        </w:rPr>
      </w:pPr>
      <w:r w:rsidRPr="004F4B72">
        <w:rPr>
          <w:rFonts w:ascii="Arial" w:hAnsi="Arial" w:cs="Arial"/>
        </w:rPr>
        <w:t>Ethical writing was ensured by accurately citing all sources, applying a consistent Harvard referencing style, and avoiding any misrepresentation of authors’ work (Hart, 2018).</w:t>
      </w:r>
    </w:p>
    <w:p w14:paraId="0B6D27B9" w14:textId="41AFA4C9" w:rsidR="00C17A49" w:rsidRPr="00491DF8" w:rsidRDefault="00C17A49" w:rsidP="00C17A49">
      <w:pPr>
        <w:rPr>
          <w:rFonts w:ascii="Arial" w:hAnsi="Arial" w:cs="Arial"/>
        </w:rPr>
      </w:pPr>
      <w:r w:rsidRPr="00491DF8">
        <w:rPr>
          <w:rFonts w:ascii="Arial" w:hAnsi="Arial" w:cs="Arial"/>
          <w:b/>
          <w:bCs/>
        </w:rPr>
        <w:t>Transparency and Credibility:</w:t>
      </w:r>
    </w:p>
    <w:p w14:paraId="5569F915" w14:textId="05A3BC7E" w:rsidR="001C3AF6" w:rsidRPr="00491DF8" w:rsidRDefault="004F4B72" w:rsidP="00C17A49">
      <w:pPr>
        <w:rPr>
          <w:rFonts w:ascii="Arial" w:hAnsi="Arial" w:cs="Arial"/>
        </w:rPr>
      </w:pPr>
      <w:r w:rsidRPr="00491DF8">
        <w:rPr>
          <w:rFonts w:ascii="Arial" w:hAnsi="Arial" w:cs="Arial"/>
        </w:rPr>
        <w:t>Literature was selected and presented fairly, with clear justification for inclusion or exclusion. This process helps reduce bias and supports the credibility of the research findings (Booth, Sutton</w:t>
      </w:r>
      <w:r w:rsidR="00491DF8" w:rsidRPr="00491DF8">
        <w:rPr>
          <w:rFonts w:ascii="Arial" w:hAnsi="Arial" w:cs="Arial"/>
        </w:rPr>
        <w:t>,</w:t>
      </w:r>
      <w:r w:rsidRPr="00491DF8">
        <w:rPr>
          <w:rFonts w:ascii="Arial" w:hAnsi="Arial" w:cs="Arial"/>
        </w:rPr>
        <w:t xml:space="preserve"> and Papaioannou, 2016).</w:t>
      </w:r>
    </w:p>
    <w:p w14:paraId="7F51675F" w14:textId="07A326AA" w:rsidR="00292A36" w:rsidRPr="002C1410" w:rsidRDefault="00E325CF" w:rsidP="00E325CF">
      <w:pPr>
        <w:pStyle w:val="Heading2"/>
        <w:rPr>
          <w:rFonts w:ascii="Arial" w:hAnsi="Arial" w:cs="Arial"/>
          <w:b/>
          <w:bCs/>
          <w:color w:val="auto"/>
          <w:sz w:val="22"/>
          <w:szCs w:val="22"/>
          <w:u w:val="single"/>
        </w:rPr>
      </w:pPr>
      <w:r w:rsidRPr="002C1410">
        <w:rPr>
          <w:rFonts w:ascii="Arial" w:hAnsi="Arial" w:cs="Arial"/>
          <w:b/>
          <w:bCs/>
          <w:color w:val="auto"/>
          <w:sz w:val="22"/>
          <w:szCs w:val="22"/>
          <w:u w:val="single"/>
        </w:rPr>
        <w:t>3.8</w:t>
      </w:r>
      <w:r w:rsidR="002C1410">
        <w:rPr>
          <w:rFonts w:ascii="Arial" w:hAnsi="Arial" w:cs="Arial"/>
          <w:b/>
          <w:bCs/>
          <w:color w:val="auto"/>
          <w:sz w:val="22"/>
          <w:szCs w:val="22"/>
          <w:u w:val="single"/>
        </w:rPr>
        <w:t xml:space="preserve"> - </w:t>
      </w:r>
      <w:r w:rsidR="00292A36" w:rsidRPr="002C1410">
        <w:rPr>
          <w:rFonts w:ascii="Arial" w:hAnsi="Arial" w:cs="Arial"/>
          <w:b/>
          <w:bCs/>
          <w:color w:val="auto"/>
          <w:sz w:val="22"/>
          <w:szCs w:val="22"/>
          <w:u w:val="single"/>
        </w:rPr>
        <w:t xml:space="preserve">Chapter Conclusion </w:t>
      </w:r>
    </w:p>
    <w:p w14:paraId="7F8BD393" w14:textId="77777777" w:rsidR="005446BF" w:rsidRPr="00EF0C0B" w:rsidRDefault="005446BF" w:rsidP="005446BF">
      <w:pPr>
        <w:pStyle w:val="ListParagraph"/>
        <w:rPr>
          <w:rFonts w:ascii="Arial" w:hAnsi="Arial" w:cs="Arial"/>
        </w:rPr>
      </w:pPr>
    </w:p>
    <w:p w14:paraId="090366FD" w14:textId="6DFDB104" w:rsidR="00861248" w:rsidRPr="00861248" w:rsidRDefault="00861248" w:rsidP="00861248">
      <w:pPr>
        <w:rPr>
          <w:rFonts w:ascii="Arial" w:hAnsi="Arial" w:cs="Arial"/>
        </w:rPr>
      </w:pPr>
      <w:r w:rsidRPr="00861248">
        <w:rPr>
          <w:rFonts w:ascii="Arial" w:hAnsi="Arial" w:cs="Arial"/>
        </w:rPr>
        <w:t xml:space="preserve">This chapter outlined the methods used to identify, evaluate, and analyse literature for this dissertation. A systematic search strategy ensured that relevant and credible sources were located, while the application of inclusion and exclusion </w:t>
      </w:r>
      <w:r w:rsidR="008B3432" w:rsidRPr="00861248">
        <w:rPr>
          <w:rFonts w:ascii="Arial" w:hAnsi="Arial" w:cs="Arial"/>
        </w:rPr>
        <w:t>criteria-maintained</w:t>
      </w:r>
      <w:r w:rsidRPr="00861248">
        <w:rPr>
          <w:rFonts w:ascii="Arial" w:hAnsi="Arial" w:cs="Arial"/>
        </w:rPr>
        <w:t xml:space="preserve"> focus and quality. Validation processes, including the CRAAP test, safeguarded reliability, and a thematic coding approach was employed to draw out recurring patterns across the literature (Braun and Clarke, 2006).</w:t>
      </w:r>
    </w:p>
    <w:p w14:paraId="73898CB8" w14:textId="2E6CD628" w:rsidR="001F19A6" w:rsidRPr="00861248" w:rsidRDefault="00861248" w:rsidP="00861248">
      <w:pPr>
        <w:rPr>
          <w:rFonts w:ascii="Arial" w:hAnsi="Arial" w:cs="Arial"/>
        </w:rPr>
      </w:pPr>
      <w:r w:rsidRPr="00861248">
        <w:rPr>
          <w:rFonts w:ascii="Arial" w:hAnsi="Arial" w:cs="Arial"/>
        </w:rPr>
        <w:lastRenderedPageBreak/>
        <w:t>Chapter 4 will now present these findings, organised into clear themes. Each theme will be critically discussed in relation to the research question, emphasising their significance for understanding barriers to culturally competent end-of-life care.</w:t>
      </w:r>
    </w:p>
    <w:p w14:paraId="61351FA8" w14:textId="77777777" w:rsidR="00DD60E3" w:rsidRDefault="00DD60E3" w:rsidP="00636D9A">
      <w:pPr>
        <w:pStyle w:val="Heading1"/>
        <w:ind w:left="0"/>
        <w:rPr>
          <w:rFonts w:ascii="Aptos" w:hAnsi="Aptos"/>
        </w:rPr>
      </w:pPr>
    </w:p>
    <w:p w14:paraId="3E27A013" w14:textId="44DCD95C" w:rsidR="001C3AF6" w:rsidRPr="00636D9A" w:rsidRDefault="001C3AF6" w:rsidP="00636D9A">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(3,000 words approx.)</w:t>
      </w:r>
    </w:p>
    <w:p w14:paraId="7991C57B" w14:textId="77777777" w:rsidR="00636D9A" w:rsidRDefault="00636D9A" w:rsidP="001C3AF6"/>
    <w:p w14:paraId="0CB43921" w14:textId="6E6591A4" w:rsidR="001C3AF6" w:rsidRPr="00F45189" w:rsidRDefault="001C3AF6" w:rsidP="003B1E32">
      <w:pPr>
        <w:pStyle w:val="Heading2"/>
        <w:rPr>
          <w:rFonts w:ascii="Arial" w:hAnsi="Arial" w:cs="Arial"/>
          <w:b/>
          <w:bCs/>
          <w:color w:val="auto"/>
          <w:sz w:val="22"/>
          <w:szCs w:val="22"/>
          <w:u w:val="single"/>
        </w:rPr>
      </w:pPr>
      <w:r w:rsidRPr="00F45189">
        <w:rPr>
          <w:rFonts w:ascii="Arial" w:hAnsi="Arial" w:cs="Arial"/>
          <w:b/>
          <w:bCs/>
          <w:color w:val="auto"/>
          <w:sz w:val="22"/>
          <w:szCs w:val="22"/>
          <w:u w:val="single"/>
        </w:rPr>
        <w:t>4.1 –</w:t>
      </w:r>
      <w:r w:rsidR="00636D9A" w:rsidRPr="00F45189">
        <w:rPr>
          <w:rFonts w:ascii="Arial" w:hAnsi="Arial" w:cs="Arial"/>
          <w:b/>
          <w:bCs/>
          <w:color w:val="auto"/>
          <w:sz w:val="22"/>
          <w:szCs w:val="22"/>
          <w:u w:val="single"/>
        </w:rPr>
        <w:t xml:space="preserve"> </w:t>
      </w:r>
      <w:r w:rsidRPr="00F45189">
        <w:rPr>
          <w:rFonts w:ascii="Arial" w:hAnsi="Arial" w:cs="Arial"/>
          <w:b/>
          <w:bCs/>
          <w:color w:val="auto"/>
          <w:sz w:val="22"/>
          <w:szCs w:val="22"/>
          <w:u w:val="single"/>
        </w:rPr>
        <w:t xml:space="preserve">Introduction </w:t>
      </w:r>
    </w:p>
    <w:p w14:paraId="367F223F" w14:textId="3E7D6D6B" w:rsidR="00636D9A" w:rsidRPr="00C45933" w:rsidRDefault="00C45933" w:rsidP="00614C3A">
      <w:pPr>
        <w:pStyle w:val="Heading1"/>
        <w:spacing w:line="360" w:lineRule="auto"/>
        <w:ind w:left="0"/>
        <w:rPr>
          <w:rFonts w:cs="Arial"/>
          <w:b w:val="0"/>
          <w:bCs/>
          <w:sz w:val="22"/>
          <w:szCs w:val="22"/>
        </w:rPr>
      </w:pPr>
      <w:r w:rsidRPr="00C45933">
        <w:rPr>
          <w:rFonts w:cs="Arial"/>
          <w:b w:val="0"/>
          <w:bCs/>
          <w:sz w:val="22"/>
          <w:szCs w:val="22"/>
        </w:rPr>
        <w:t>This chapter presents the findings of the literature analysis, structured around three core themes: communication barriers and language needs, mistrust and inequalities in service access, and workforce training in cultural competence. Each theme is critically evaluated in relation to the research aim of exploring barriers to culturally competent end-of-life care for ethnic minority communities in the UK. Evidence is drawn from peer-reviewed studies, national policies, and organisational reports to provide a comprehensive analysis (Braun and Clarke, 2006; NHS England, 2019). These findings establish the foundation for the discussion in Chapter 5, where implications will be explored in greater depth (Ridley, 2012).</w:t>
      </w:r>
    </w:p>
    <w:p w14:paraId="3742F707" w14:textId="77777777" w:rsidR="00921806" w:rsidRDefault="00921806" w:rsidP="003B1E32">
      <w:pPr>
        <w:pStyle w:val="Heading2"/>
      </w:pPr>
    </w:p>
    <w:p w14:paraId="49AC5888" w14:textId="22E1667C" w:rsidR="001C3AF6" w:rsidRDefault="001C3AF6" w:rsidP="003B1E32">
      <w:pPr>
        <w:pStyle w:val="Heading2"/>
        <w:rPr>
          <w:rFonts w:ascii="Arial" w:hAnsi="Arial" w:cs="Arial"/>
          <w:b/>
          <w:bCs/>
          <w:color w:val="auto"/>
          <w:sz w:val="22"/>
          <w:szCs w:val="22"/>
          <w:u w:val="single"/>
        </w:rPr>
      </w:pPr>
      <w:r w:rsidRPr="00DE45CF">
        <w:rPr>
          <w:rFonts w:ascii="Arial" w:hAnsi="Arial" w:cs="Arial"/>
          <w:b/>
          <w:bCs/>
          <w:color w:val="auto"/>
          <w:sz w:val="22"/>
          <w:szCs w:val="22"/>
          <w:u w:val="single"/>
        </w:rPr>
        <w:t xml:space="preserve">4.2 – Thematic Analysis </w:t>
      </w:r>
    </w:p>
    <w:p w14:paraId="2739E815" w14:textId="64307AA1" w:rsidR="00636D9A" w:rsidRPr="00941DD5" w:rsidRDefault="00065983" w:rsidP="00941DD5">
      <w:pPr>
        <w:pStyle w:val="Heading1"/>
        <w:spacing w:line="360" w:lineRule="auto"/>
        <w:ind w:left="0"/>
        <w:rPr>
          <w:b w:val="0"/>
          <w:bCs/>
          <w:sz w:val="22"/>
          <w:szCs w:val="22"/>
          <w:highlight w:val="yellow"/>
        </w:rPr>
      </w:pPr>
      <w:r w:rsidRPr="00941DD5">
        <w:rPr>
          <w:b w:val="0"/>
          <w:bCs/>
          <w:sz w:val="22"/>
          <w:szCs w:val="22"/>
        </w:rPr>
        <w:t>Thematic analysis is a qualitative method used to identify, analyse, and interpret recurring patterns or themes within data (Braun and Clarke, 2006). In this dissertation, secondary literature</w:t>
      </w:r>
      <w:r w:rsidR="00320A96">
        <w:rPr>
          <w:b w:val="0"/>
          <w:bCs/>
          <w:sz w:val="22"/>
          <w:szCs w:val="22"/>
        </w:rPr>
        <w:t xml:space="preserve"> was applied</w:t>
      </w:r>
      <w:r w:rsidRPr="00941DD5">
        <w:rPr>
          <w:b w:val="0"/>
          <w:bCs/>
          <w:sz w:val="22"/>
          <w:szCs w:val="22"/>
        </w:rPr>
        <w:t xml:space="preserve"> to extract and categorise key issues influencing the delivery of culturally competent end-of-life (EOL) care to ethnic minority communities. Each source was reviewed for recurrent ideas, coded systematically, and compared for thematic coherence (Nowell et al., 2017). The coding and synthesis process, summarised in Appendix A, enabled the development of three interrelated themes: communication barriers and language needs, mistrust and inequalities in service access, and workforce training and cultural competence, which are explored in the sections that follow.</w:t>
      </w:r>
    </w:p>
    <w:p w14:paraId="5BAD32EB" w14:textId="77777777" w:rsidR="00065983" w:rsidRDefault="00065983" w:rsidP="00582509">
      <w:pPr>
        <w:pStyle w:val="Heading2"/>
        <w:rPr>
          <w:rFonts w:ascii="Arial" w:hAnsi="Arial" w:cs="Arial"/>
          <w:b/>
          <w:bCs/>
          <w:color w:val="auto"/>
          <w:u w:val="single"/>
        </w:rPr>
      </w:pPr>
    </w:p>
    <w:p w14:paraId="258466FF" w14:textId="69855C97" w:rsidR="00D70B92" w:rsidRPr="00573CCD" w:rsidRDefault="001C3AF6" w:rsidP="00582509">
      <w:pPr>
        <w:pStyle w:val="Heading2"/>
        <w:rPr>
          <w:rFonts w:ascii="Arial" w:hAnsi="Arial" w:cs="Arial"/>
          <w:b/>
          <w:bCs/>
          <w:color w:val="auto"/>
          <w:u w:val="single"/>
        </w:rPr>
      </w:pPr>
      <w:r w:rsidRPr="00573CCD">
        <w:rPr>
          <w:rFonts w:ascii="Arial" w:hAnsi="Arial" w:cs="Arial"/>
          <w:b/>
          <w:bCs/>
          <w:color w:val="auto"/>
          <w:u w:val="single"/>
        </w:rPr>
        <w:t>4.3 – Theme 1</w:t>
      </w:r>
      <w:r w:rsidR="00582509" w:rsidRPr="00573CCD">
        <w:rPr>
          <w:rFonts w:ascii="Arial" w:hAnsi="Arial" w:cs="Arial"/>
          <w:b/>
          <w:bCs/>
          <w:color w:val="auto"/>
          <w:u w:val="single"/>
        </w:rPr>
        <w:t xml:space="preserve"> - </w:t>
      </w:r>
      <w:r w:rsidR="00034D64" w:rsidRPr="00573CCD">
        <w:rPr>
          <w:rFonts w:ascii="Arial" w:hAnsi="Arial" w:cs="Arial"/>
          <w:b/>
          <w:bCs/>
          <w:color w:val="auto"/>
          <w:sz w:val="22"/>
          <w:szCs w:val="22"/>
          <w:u w:val="single"/>
        </w:rPr>
        <w:t>Communication Barriers and Language Needs</w:t>
      </w:r>
    </w:p>
    <w:p w14:paraId="47B75506" w14:textId="77777777" w:rsidR="00D70B92" w:rsidRDefault="007063BA" w:rsidP="00D70B92">
      <w:pPr>
        <w:pStyle w:val="Heading1"/>
        <w:jc w:val="center"/>
        <w:rPr>
          <w:rFonts w:ascii="Aptos" w:hAnsi="Aptos"/>
        </w:rPr>
      </w:pPr>
      <w:r w:rsidRPr="007063BA">
        <w:rPr>
          <w:rFonts w:ascii="Aptos" w:hAnsi="Aptos"/>
        </w:rPr>
        <w:t xml:space="preserve"> </w:t>
      </w:r>
    </w:p>
    <w:p w14:paraId="500B049C" w14:textId="182FA20F" w:rsidR="000327C2" w:rsidRPr="00A571A9" w:rsidRDefault="00D66A18" w:rsidP="000327C2">
      <w:pPr>
        <w:pStyle w:val="Heading1"/>
        <w:ind w:left="0"/>
        <w:rPr>
          <w:rFonts w:cs="Arial"/>
          <w:b w:val="0"/>
          <w:bCs/>
          <w:sz w:val="22"/>
          <w:szCs w:val="22"/>
          <w:u w:val="single"/>
        </w:rPr>
      </w:pPr>
      <w:r w:rsidRPr="00A571A9">
        <w:rPr>
          <w:rFonts w:cs="Arial"/>
          <w:b w:val="0"/>
          <w:bCs/>
          <w:sz w:val="22"/>
          <w:szCs w:val="22"/>
          <w:u w:val="single"/>
        </w:rPr>
        <w:t>Definition</w:t>
      </w:r>
      <w:r w:rsidR="00352B29">
        <w:rPr>
          <w:rFonts w:cs="Arial"/>
          <w:b w:val="0"/>
          <w:bCs/>
          <w:sz w:val="22"/>
          <w:szCs w:val="22"/>
          <w:u w:val="single"/>
        </w:rPr>
        <w:t xml:space="preserve"> </w:t>
      </w:r>
    </w:p>
    <w:p w14:paraId="4E998819" w14:textId="77777777" w:rsidR="000327C2" w:rsidRDefault="000327C2" w:rsidP="000327C2">
      <w:pPr>
        <w:pStyle w:val="Heading1"/>
        <w:ind w:left="0"/>
        <w:rPr>
          <w:rFonts w:cs="Arial"/>
          <w:b w:val="0"/>
          <w:bCs/>
          <w:sz w:val="22"/>
          <w:szCs w:val="22"/>
          <w:u w:val="single"/>
        </w:rPr>
      </w:pPr>
    </w:p>
    <w:p w14:paraId="4E275AEA" w14:textId="5BFF3D3E" w:rsidR="008C2B24" w:rsidRPr="006550E6" w:rsidRDefault="00AA63D0" w:rsidP="000327C2">
      <w:pPr>
        <w:pStyle w:val="Heading1"/>
        <w:spacing w:line="360" w:lineRule="auto"/>
        <w:ind w:left="0"/>
        <w:rPr>
          <w:rFonts w:cs="Arial"/>
          <w:b w:val="0"/>
          <w:bCs/>
          <w:sz w:val="22"/>
          <w:szCs w:val="22"/>
        </w:rPr>
      </w:pPr>
      <w:r w:rsidRPr="006550E6">
        <w:rPr>
          <w:rFonts w:cs="Arial"/>
          <w:b w:val="0"/>
          <w:bCs/>
          <w:sz w:val="22"/>
          <w:szCs w:val="22"/>
        </w:rPr>
        <w:t xml:space="preserve">Communication barriers in healthcare refer to obstacles that prevent accurate and compassionate information exchange between patients, families, and professionals. These may stem from linguistic differences, lack of trained interpreters, reliance on family members, or cultural norms that influence truth-telling and decision-making (Kai et al., 2007). Within end-of-life (EOL) care, these challenges are particularly acute due to the emotional </w:t>
      </w:r>
      <w:r w:rsidRPr="006550E6">
        <w:rPr>
          <w:rFonts w:cs="Arial"/>
          <w:b w:val="0"/>
          <w:bCs/>
          <w:sz w:val="22"/>
          <w:szCs w:val="22"/>
        </w:rPr>
        <w:lastRenderedPageBreak/>
        <w:t>and ethical complexity of discussing prognosis, withdrawal of treatment, or religious preferences (Higginson et al., 2016). The concept of “language needs” extends beyond literal translation; it includes the need to convey meaning within culturally embedded expressions, idioms, and values (</w:t>
      </w:r>
      <w:proofErr w:type="spellStart"/>
      <w:r w:rsidRPr="006550E6">
        <w:rPr>
          <w:rFonts w:cs="Arial"/>
          <w:b w:val="0"/>
          <w:bCs/>
          <w:sz w:val="22"/>
          <w:szCs w:val="22"/>
        </w:rPr>
        <w:t>Szczepura</w:t>
      </w:r>
      <w:proofErr w:type="spellEnd"/>
      <w:r w:rsidRPr="006550E6">
        <w:rPr>
          <w:rFonts w:cs="Arial"/>
          <w:b w:val="0"/>
          <w:bCs/>
          <w:sz w:val="22"/>
          <w:szCs w:val="22"/>
        </w:rPr>
        <w:t>, 2005; Oyinkansola Ojo-</w:t>
      </w:r>
      <w:proofErr w:type="spellStart"/>
      <w:r w:rsidRPr="006550E6">
        <w:rPr>
          <w:rFonts w:cs="Arial"/>
          <w:b w:val="0"/>
          <w:bCs/>
          <w:sz w:val="22"/>
          <w:szCs w:val="22"/>
        </w:rPr>
        <w:t>Aromokudu</w:t>
      </w:r>
      <w:proofErr w:type="spellEnd"/>
      <w:r w:rsidRPr="006550E6">
        <w:rPr>
          <w:rFonts w:cs="Arial"/>
          <w:b w:val="0"/>
          <w:bCs/>
          <w:sz w:val="22"/>
          <w:szCs w:val="22"/>
        </w:rPr>
        <w:t xml:space="preserve"> et al., 2023). Recent studies further reveal that minority patients often feel marginalised in EOL discussions, citing inadequate cultural understanding and lack of linguistic support as major barriers (Engel et al., 2023).</w:t>
      </w:r>
    </w:p>
    <w:p w14:paraId="3A2E1B6A" w14:textId="77777777" w:rsidR="00BA7E30" w:rsidRPr="006550E6" w:rsidRDefault="00BA7E30" w:rsidP="000327C2">
      <w:pPr>
        <w:pStyle w:val="Heading1"/>
        <w:spacing w:line="360" w:lineRule="auto"/>
        <w:ind w:left="0"/>
        <w:rPr>
          <w:rFonts w:cs="Arial"/>
          <w:b w:val="0"/>
          <w:bCs/>
          <w:sz w:val="22"/>
          <w:szCs w:val="22"/>
        </w:rPr>
      </w:pPr>
    </w:p>
    <w:p w14:paraId="140E261B" w14:textId="2FFFBF4B" w:rsidR="00BA7E30" w:rsidRPr="00BA7E30" w:rsidRDefault="00BA7E30" w:rsidP="00BA7E30">
      <w:pPr>
        <w:pStyle w:val="Heading1"/>
        <w:ind w:left="0"/>
        <w:rPr>
          <w:rFonts w:cs="Arial"/>
          <w:b w:val="0"/>
          <w:bCs/>
          <w:sz w:val="22"/>
          <w:szCs w:val="22"/>
          <w:u w:val="single"/>
        </w:rPr>
      </w:pPr>
      <w:r w:rsidRPr="00BA7E30">
        <w:rPr>
          <w:rFonts w:cs="Arial"/>
          <w:b w:val="0"/>
          <w:bCs/>
          <w:sz w:val="22"/>
          <w:szCs w:val="22"/>
          <w:u w:val="single"/>
        </w:rPr>
        <w:t>Background Information</w:t>
      </w:r>
      <w:r w:rsidR="00FA4A9B">
        <w:rPr>
          <w:rFonts w:cs="Arial"/>
          <w:b w:val="0"/>
          <w:bCs/>
          <w:sz w:val="22"/>
          <w:szCs w:val="22"/>
          <w:u w:val="single"/>
        </w:rPr>
        <w:t xml:space="preserve">  </w:t>
      </w:r>
    </w:p>
    <w:p w14:paraId="4DC6B2BA" w14:textId="77777777" w:rsidR="003A11DB" w:rsidRDefault="003A11DB" w:rsidP="00BA7E30">
      <w:pPr>
        <w:pStyle w:val="Heading1"/>
        <w:spacing w:line="360" w:lineRule="auto"/>
        <w:ind w:left="0"/>
        <w:rPr>
          <w:rFonts w:cs="Arial"/>
          <w:b w:val="0"/>
          <w:bCs/>
          <w:sz w:val="22"/>
          <w:szCs w:val="22"/>
        </w:rPr>
      </w:pPr>
    </w:p>
    <w:p w14:paraId="58541A2D" w14:textId="530C3F8F" w:rsidR="003A11DB" w:rsidRDefault="003A11DB" w:rsidP="003A11DB">
      <w:pPr>
        <w:pStyle w:val="Heading1"/>
        <w:spacing w:line="360" w:lineRule="auto"/>
        <w:ind w:left="0"/>
        <w:rPr>
          <w:rFonts w:cs="Arial"/>
          <w:b w:val="0"/>
          <w:bCs/>
          <w:sz w:val="22"/>
          <w:szCs w:val="22"/>
        </w:rPr>
      </w:pPr>
      <w:r w:rsidRPr="003A11DB">
        <w:rPr>
          <w:rFonts w:cs="Arial"/>
          <w:b w:val="0"/>
          <w:bCs/>
          <w:sz w:val="22"/>
          <w:szCs w:val="22"/>
        </w:rPr>
        <w:t xml:space="preserve">It is increasingly recognised that linguistic diversity in the UK presents both opportunities and challenges for healthcare delivery. With over </w:t>
      </w:r>
      <w:r w:rsidR="00675906">
        <w:rPr>
          <w:rFonts w:cs="Arial"/>
          <w:b w:val="0"/>
          <w:bCs/>
          <w:sz w:val="22"/>
          <w:szCs w:val="22"/>
        </w:rPr>
        <w:t xml:space="preserve">three hundred </w:t>
      </w:r>
      <w:r w:rsidRPr="003A11DB">
        <w:rPr>
          <w:rFonts w:cs="Arial"/>
          <w:b w:val="0"/>
          <w:bCs/>
          <w:sz w:val="22"/>
          <w:szCs w:val="22"/>
        </w:rPr>
        <w:t>languages spoken nationally (Baker and Eversley, 2000), communication support has become a key determinant of equitable access to care. Historically, services relied on family members to interpret clinical information, a practice now criticised for ethical and confidentiality concerns (Brown et al., 2016; Flores, 2005). The Accessible Information Standard (NHS England, 2016) sought to formalise procedures for identifying and recording communication needs, yet implementation remains inconsistent, particularly across hospice settings (NHS England, 2025).</w:t>
      </w:r>
    </w:p>
    <w:p w14:paraId="2F4F93E5" w14:textId="77777777" w:rsidR="00F36225" w:rsidRPr="003A11DB" w:rsidRDefault="00F36225" w:rsidP="003A11DB">
      <w:pPr>
        <w:pStyle w:val="Heading1"/>
        <w:spacing w:line="360" w:lineRule="auto"/>
        <w:ind w:left="0"/>
        <w:rPr>
          <w:rFonts w:cs="Arial"/>
          <w:b w:val="0"/>
          <w:bCs/>
          <w:sz w:val="22"/>
          <w:szCs w:val="22"/>
        </w:rPr>
      </w:pPr>
    </w:p>
    <w:p w14:paraId="149E66C2" w14:textId="33C5850A" w:rsidR="003A11DB" w:rsidRDefault="003A11DB" w:rsidP="003A11DB">
      <w:pPr>
        <w:pStyle w:val="Heading1"/>
        <w:spacing w:line="360" w:lineRule="auto"/>
        <w:ind w:left="0"/>
        <w:rPr>
          <w:rFonts w:cs="Arial"/>
          <w:b w:val="0"/>
          <w:bCs/>
          <w:sz w:val="22"/>
          <w:szCs w:val="22"/>
        </w:rPr>
      </w:pPr>
      <w:r w:rsidRPr="003A11DB">
        <w:rPr>
          <w:rFonts w:cs="Arial"/>
          <w:b w:val="0"/>
          <w:bCs/>
          <w:sz w:val="22"/>
          <w:szCs w:val="22"/>
        </w:rPr>
        <w:t>Evidence suggests that while policy frameworks exist, they are frequently under-resourced or inadequately prioritised (Hospice UK, 2021). Many staff lack both the confidence and time to address complex linguistic needs. As a result, patients from minority communities may face delays in referrals, misunderstandings about treatment options, and diminished autonomy during the final stages of life.</w:t>
      </w:r>
    </w:p>
    <w:p w14:paraId="593F91A9" w14:textId="77777777" w:rsidR="004B43AF" w:rsidRDefault="004B43AF" w:rsidP="00BA7E30">
      <w:pPr>
        <w:pStyle w:val="Heading1"/>
        <w:spacing w:line="360" w:lineRule="auto"/>
        <w:ind w:left="0"/>
        <w:rPr>
          <w:rFonts w:cs="Arial"/>
          <w:b w:val="0"/>
          <w:bCs/>
          <w:sz w:val="22"/>
          <w:szCs w:val="22"/>
        </w:rPr>
      </w:pPr>
    </w:p>
    <w:p w14:paraId="3714FC50" w14:textId="1D5EA81D" w:rsidR="00BA7E30" w:rsidRPr="004301AD" w:rsidRDefault="00BA7E30" w:rsidP="00BA7E30">
      <w:pPr>
        <w:pStyle w:val="Heading1"/>
        <w:ind w:left="0"/>
        <w:rPr>
          <w:rFonts w:cs="Arial"/>
          <w:b w:val="0"/>
          <w:bCs/>
          <w:sz w:val="22"/>
          <w:szCs w:val="22"/>
        </w:rPr>
      </w:pPr>
      <w:r w:rsidRPr="00BA7E30">
        <w:rPr>
          <w:rFonts w:cs="Arial"/>
          <w:b w:val="0"/>
          <w:bCs/>
          <w:sz w:val="22"/>
          <w:szCs w:val="22"/>
          <w:u w:val="single"/>
        </w:rPr>
        <w:t>Impact on Research Question</w:t>
      </w:r>
      <w:r w:rsidR="004301AD">
        <w:rPr>
          <w:rFonts w:cs="Arial"/>
          <w:b w:val="0"/>
          <w:bCs/>
          <w:sz w:val="22"/>
          <w:szCs w:val="22"/>
          <w:u w:val="single"/>
        </w:rPr>
        <w:t xml:space="preserve"> </w:t>
      </w:r>
    </w:p>
    <w:p w14:paraId="3B20478E" w14:textId="77777777" w:rsidR="00BA7E30" w:rsidRPr="00BA7E30" w:rsidRDefault="00BA7E30" w:rsidP="00BA7E30">
      <w:pPr>
        <w:pStyle w:val="Heading1"/>
        <w:rPr>
          <w:rFonts w:cs="Arial"/>
          <w:b w:val="0"/>
          <w:bCs/>
          <w:sz w:val="22"/>
          <w:szCs w:val="22"/>
        </w:rPr>
      </w:pPr>
    </w:p>
    <w:p w14:paraId="4FDCEF6C" w14:textId="112E0F57" w:rsidR="00600554" w:rsidRDefault="00BA7E30" w:rsidP="00BA7E30">
      <w:pPr>
        <w:pStyle w:val="Heading1"/>
        <w:spacing w:line="360" w:lineRule="auto"/>
        <w:ind w:left="0"/>
        <w:rPr>
          <w:rFonts w:cs="Arial"/>
          <w:b w:val="0"/>
          <w:bCs/>
          <w:sz w:val="22"/>
          <w:szCs w:val="22"/>
        </w:rPr>
      </w:pPr>
      <w:r w:rsidRPr="00BA7E30">
        <w:rPr>
          <w:rFonts w:cs="Arial"/>
          <w:b w:val="0"/>
          <w:bCs/>
          <w:sz w:val="22"/>
          <w:szCs w:val="22"/>
        </w:rPr>
        <w:t xml:space="preserve">It is worth emphasising that communication lies at the heart of culturally competent care. Miscommunication can result in reduced understanding of diagnosis, inappropriate treatment decisions, and delayed referrals to palliative services </w:t>
      </w:r>
      <w:r w:rsidRPr="00582509">
        <w:rPr>
          <w:rFonts w:cs="Arial"/>
          <w:b w:val="0"/>
          <w:bCs/>
          <w:sz w:val="22"/>
          <w:szCs w:val="22"/>
          <w:highlight w:val="yellow"/>
        </w:rPr>
        <w:t>(Meier et al., 2016).</w:t>
      </w:r>
      <w:r w:rsidRPr="00BA7E30">
        <w:rPr>
          <w:rFonts w:cs="Arial"/>
          <w:b w:val="0"/>
          <w:bCs/>
          <w:sz w:val="22"/>
          <w:szCs w:val="22"/>
        </w:rPr>
        <w:t xml:space="preserve"> For ethnic minority communities, poor communication frequently exacerbates mistrust, reinforcing perceptions that services are unresponsive to their needs (Koffman et al., 2007). This theme, therefore, directly impacts the research question by illustrating how ineffective communication undermines equitable access to EOL care. Without overcoming such barriers, the principle of patient-centred care remains unfulfilled (Papadopoulos, 2006).</w:t>
      </w:r>
    </w:p>
    <w:p w14:paraId="62A3825F" w14:textId="77777777" w:rsidR="000D48C9" w:rsidRDefault="000D48C9" w:rsidP="00600554">
      <w:pPr>
        <w:pStyle w:val="Heading1"/>
        <w:ind w:left="0"/>
        <w:rPr>
          <w:rFonts w:cs="Arial"/>
          <w:b w:val="0"/>
          <w:bCs/>
          <w:sz w:val="22"/>
          <w:szCs w:val="22"/>
          <w:u w:val="single"/>
        </w:rPr>
      </w:pPr>
    </w:p>
    <w:p w14:paraId="78661CC0" w14:textId="77777777" w:rsidR="004301AD" w:rsidRDefault="004301AD" w:rsidP="00600554">
      <w:pPr>
        <w:pStyle w:val="Heading1"/>
        <w:ind w:left="0"/>
        <w:rPr>
          <w:rFonts w:cs="Arial"/>
          <w:b w:val="0"/>
          <w:bCs/>
          <w:sz w:val="22"/>
          <w:szCs w:val="22"/>
          <w:u w:val="single"/>
        </w:rPr>
      </w:pPr>
    </w:p>
    <w:p w14:paraId="796BA6DE" w14:textId="77777777" w:rsidR="004301AD" w:rsidRDefault="004301AD" w:rsidP="00600554">
      <w:pPr>
        <w:pStyle w:val="Heading1"/>
        <w:ind w:left="0"/>
        <w:rPr>
          <w:rFonts w:cs="Arial"/>
          <w:b w:val="0"/>
          <w:bCs/>
          <w:sz w:val="22"/>
          <w:szCs w:val="22"/>
          <w:u w:val="single"/>
        </w:rPr>
      </w:pPr>
    </w:p>
    <w:p w14:paraId="25AC4387" w14:textId="77777777" w:rsidR="000D48C9" w:rsidRDefault="000D48C9" w:rsidP="00600554">
      <w:pPr>
        <w:pStyle w:val="Heading1"/>
        <w:ind w:left="0"/>
        <w:rPr>
          <w:rFonts w:cs="Arial"/>
          <w:b w:val="0"/>
          <w:bCs/>
          <w:sz w:val="22"/>
          <w:szCs w:val="22"/>
          <w:u w:val="single"/>
        </w:rPr>
      </w:pPr>
    </w:p>
    <w:p w14:paraId="7DB30799" w14:textId="308426C3" w:rsidR="00600554" w:rsidRPr="007666EF" w:rsidRDefault="00600554" w:rsidP="00600554">
      <w:pPr>
        <w:pStyle w:val="Heading1"/>
        <w:ind w:left="0"/>
        <w:rPr>
          <w:rFonts w:cs="Arial"/>
          <w:b w:val="0"/>
          <w:bCs/>
          <w:sz w:val="22"/>
          <w:szCs w:val="22"/>
        </w:rPr>
      </w:pPr>
      <w:r w:rsidRPr="00600554">
        <w:rPr>
          <w:rFonts w:cs="Arial"/>
          <w:b w:val="0"/>
          <w:bCs/>
          <w:sz w:val="22"/>
          <w:szCs w:val="22"/>
          <w:u w:val="single"/>
        </w:rPr>
        <w:lastRenderedPageBreak/>
        <w:t>Statistical Information</w:t>
      </w:r>
      <w:r w:rsidR="00E403A0">
        <w:rPr>
          <w:rFonts w:cs="Arial"/>
          <w:b w:val="0"/>
          <w:bCs/>
          <w:sz w:val="22"/>
          <w:szCs w:val="22"/>
          <w:u w:val="single"/>
        </w:rPr>
        <w:t xml:space="preserve"> </w:t>
      </w:r>
    </w:p>
    <w:p w14:paraId="7BBCCCD1" w14:textId="77777777" w:rsidR="00E403A0" w:rsidRDefault="00E403A0" w:rsidP="00600554">
      <w:pPr>
        <w:pStyle w:val="Heading1"/>
        <w:ind w:left="0"/>
        <w:rPr>
          <w:rFonts w:cs="Arial"/>
          <w:b w:val="0"/>
          <w:bCs/>
          <w:sz w:val="22"/>
          <w:szCs w:val="22"/>
          <w:u w:val="single"/>
        </w:rPr>
      </w:pPr>
    </w:p>
    <w:p w14:paraId="1F2F6203" w14:textId="77777777" w:rsidR="00B9750D" w:rsidRDefault="00E403A0" w:rsidP="00E403A0">
      <w:pPr>
        <w:pStyle w:val="Heading1"/>
        <w:spacing w:line="360" w:lineRule="auto"/>
        <w:ind w:left="0"/>
        <w:rPr>
          <w:rFonts w:cs="Arial"/>
          <w:b w:val="0"/>
          <w:bCs/>
          <w:sz w:val="22"/>
          <w:szCs w:val="22"/>
        </w:rPr>
      </w:pPr>
      <w:r w:rsidRPr="00E403A0">
        <w:rPr>
          <w:rFonts w:cs="Arial"/>
          <w:b w:val="0"/>
          <w:bCs/>
          <w:sz w:val="22"/>
          <w:szCs w:val="22"/>
        </w:rPr>
        <w:t xml:space="preserve">According to the 2011 Census, over 860,000 people in England and Wales reported limited or no English proficiency, with the largest concentrations in London, Birmingham, and Manchester (ONS, 2013). Public Health England (2018) found that individuals with limited English proficiency are significantly less likely to receive timely referrals to palliative services. </w:t>
      </w:r>
    </w:p>
    <w:p w14:paraId="56D9350B" w14:textId="77777777" w:rsidR="00F36225" w:rsidRDefault="00F36225" w:rsidP="00E403A0">
      <w:pPr>
        <w:pStyle w:val="Heading1"/>
        <w:spacing w:line="360" w:lineRule="auto"/>
        <w:ind w:left="0"/>
        <w:rPr>
          <w:rFonts w:cs="Arial"/>
          <w:b w:val="0"/>
          <w:bCs/>
          <w:sz w:val="22"/>
          <w:szCs w:val="22"/>
        </w:rPr>
      </w:pPr>
    </w:p>
    <w:p w14:paraId="493BBBAC" w14:textId="7B5DC19A" w:rsidR="00E403A0" w:rsidRPr="00E403A0" w:rsidRDefault="00E403A0" w:rsidP="00E403A0">
      <w:pPr>
        <w:pStyle w:val="Heading1"/>
        <w:spacing w:line="360" w:lineRule="auto"/>
        <w:ind w:left="0"/>
        <w:rPr>
          <w:rFonts w:cs="Arial"/>
          <w:b w:val="0"/>
          <w:bCs/>
          <w:sz w:val="22"/>
          <w:szCs w:val="22"/>
        </w:rPr>
      </w:pPr>
      <w:r w:rsidRPr="00E403A0">
        <w:rPr>
          <w:rFonts w:cs="Arial"/>
          <w:b w:val="0"/>
          <w:bCs/>
          <w:sz w:val="22"/>
          <w:szCs w:val="22"/>
        </w:rPr>
        <w:t xml:space="preserve">A Marie Curie (2022) survey revealed that only 36% of UK hospices consistently provide professional interpreters, with many relying on informal arrangements. During the COVID-19 pandemic, language gaps widened, as shown by </w:t>
      </w:r>
      <w:proofErr w:type="spellStart"/>
      <w:r w:rsidRPr="00E403A0">
        <w:rPr>
          <w:rFonts w:cs="Arial"/>
          <w:b w:val="0"/>
          <w:bCs/>
          <w:sz w:val="22"/>
          <w:szCs w:val="22"/>
        </w:rPr>
        <w:t>Gerchow</w:t>
      </w:r>
      <w:proofErr w:type="spellEnd"/>
      <w:r w:rsidRPr="00E403A0">
        <w:rPr>
          <w:rFonts w:cs="Arial"/>
          <w:b w:val="0"/>
          <w:bCs/>
          <w:sz w:val="22"/>
          <w:szCs w:val="22"/>
        </w:rPr>
        <w:t xml:space="preserve"> et al. (2021), who reported that ethnic minority patients were disproportionately disadvantaged in EOL communication. Collectively, these data highlight a persistent gap between policy intent and practical provision, underscoring how structural underinvestment perpetuates health inequality.</w:t>
      </w:r>
    </w:p>
    <w:p w14:paraId="649AF4F7" w14:textId="77777777" w:rsidR="00012874" w:rsidRDefault="00012874" w:rsidP="00012874">
      <w:pPr>
        <w:pStyle w:val="Heading1"/>
        <w:ind w:left="0"/>
        <w:rPr>
          <w:rFonts w:cs="Arial"/>
          <w:b w:val="0"/>
          <w:bCs/>
          <w:sz w:val="22"/>
          <w:szCs w:val="22"/>
        </w:rPr>
      </w:pPr>
    </w:p>
    <w:p w14:paraId="42D4A744" w14:textId="2330FE94" w:rsidR="00B2132B" w:rsidRPr="00B9750D" w:rsidRDefault="00B2132B" w:rsidP="00012874">
      <w:pPr>
        <w:pStyle w:val="Heading1"/>
        <w:ind w:left="0"/>
        <w:rPr>
          <w:rFonts w:cs="Arial"/>
          <w:b w:val="0"/>
          <w:bCs/>
          <w:sz w:val="22"/>
          <w:szCs w:val="22"/>
        </w:rPr>
      </w:pPr>
      <w:r w:rsidRPr="00012874">
        <w:rPr>
          <w:rFonts w:cs="Arial"/>
          <w:b w:val="0"/>
          <w:bCs/>
          <w:sz w:val="22"/>
          <w:szCs w:val="22"/>
          <w:u w:val="single"/>
        </w:rPr>
        <w:t>Theories, Policies, and Legislation</w:t>
      </w:r>
      <w:r w:rsidR="00B9750D">
        <w:rPr>
          <w:rFonts w:cs="Arial"/>
          <w:b w:val="0"/>
          <w:bCs/>
          <w:sz w:val="22"/>
          <w:szCs w:val="22"/>
          <w:u w:val="single"/>
        </w:rPr>
        <w:t xml:space="preserve"> </w:t>
      </w:r>
    </w:p>
    <w:p w14:paraId="30D00C47" w14:textId="77777777" w:rsidR="008D067A" w:rsidRDefault="008D067A" w:rsidP="00012874">
      <w:pPr>
        <w:pStyle w:val="Heading1"/>
        <w:ind w:left="0"/>
        <w:rPr>
          <w:rFonts w:cs="Arial"/>
          <w:b w:val="0"/>
          <w:bCs/>
          <w:sz w:val="22"/>
          <w:szCs w:val="22"/>
          <w:u w:val="single"/>
        </w:rPr>
      </w:pPr>
    </w:p>
    <w:p w14:paraId="40BD6290" w14:textId="77777777" w:rsidR="0016629A" w:rsidRPr="0016629A" w:rsidRDefault="0016629A" w:rsidP="0016629A">
      <w:pPr>
        <w:pStyle w:val="Heading1"/>
        <w:spacing w:line="360" w:lineRule="auto"/>
        <w:ind w:left="0"/>
        <w:rPr>
          <w:rFonts w:cs="Arial"/>
          <w:b w:val="0"/>
          <w:bCs/>
          <w:sz w:val="22"/>
          <w:szCs w:val="22"/>
        </w:rPr>
      </w:pPr>
      <w:r w:rsidRPr="0016629A">
        <w:rPr>
          <w:rFonts w:cs="Arial"/>
          <w:b w:val="0"/>
          <w:bCs/>
          <w:sz w:val="22"/>
          <w:szCs w:val="22"/>
        </w:rPr>
        <w:t>Leininger’s Culture Care Theory posits that culturally congruent care cannot occur without communication aligned with patients’ beliefs and worldviews (Riquelme, 2013). Similarly, Papadopoulos’ Cultural Competence Model identifies communication as a fundamental domain, requiring adaptability to linguistic and cultural contexts (Papadopoulos, 2006).</w:t>
      </w:r>
    </w:p>
    <w:p w14:paraId="0B4EA470" w14:textId="77777777" w:rsidR="00B9750D" w:rsidRDefault="00B9750D" w:rsidP="0016629A">
      <w:pPr>
        <w:pStyle w:val="Heading1"/>
        <w:spacing w:line="360" w:lineRule="auto"/>
        <w:ind w:left="0"/>
        <w:rPr>
          <w:rFonts w:cs="Arial"/>
          <w:b w:val="0"/>
          <w:bCs/>
          <w:sz w:val="22"/>
          <w:szCs w:val="22"/>
        </w:rPr>
      </w:pPr>
    </w:p>
    <w:p w14:paraId="4E293C44" w14:textId="279B4910" w:rsidR="008D067A" w:rsidRPr="008D067A" w:rsidRDefault="0016629A" w:rsidP="0016629A">
      <w:pPr>
        <w:pStyle w:val="Heading1"/>
        <w:spacing w:line="360" w:lineRule="auto"/>
        <w:ind w:left="0"/>
        <w:rPr>
          <w:rFonts w:cs="Arial"/>
          <w:b w:val="0"/>
          <w:bCs/>
          <w:sz w:val="22"/>
          <w:szCs w:val="22"/>
        </w:rPr>
      </w:pPr>
      <w:r w:rsidRPr="0016629A">
        <w:rPr>
          <w:rFonts w:cs="Arial"/>
          <w:b w:val="0"/>
          <w:bCs/>
          <w:sz w:val="22"/>
          <w:szCs w:val="22"/>
        </w:rPr>
        <w:t>The Equality Act 2010 and the Accessible Information Standard (2016) provide the legislative framework for inclusive communication, while the NHS Long Term Plan (2019) reinforces commitments to reduce inequalities. Yet, Care Quality Commission (CQC, 2022) reports demonstrate marked variation in implementation. Some hospices have pioneered multilingual outreach, while others fail to meet even minimum accessibility standards. This inconsistency reflects a wider policy–practice gap, where legal obligations exist but systemic capacity to deliver them remains fragmented.</w:t>
      </w:r>
    </w:p>
    <w:p w14:paraId="2457A968" w14:textId="77777777" w:rsidR="003D50C4" w:rsidRDefault="003D50C4" w:rsidP="00012874">
      <w:pPr>
        <w:pStyle w:val="Heading1"/>
        <w:spacing w:line="360" w:lineRule="auto"/>
        <w:ind w:left="0"/>
        <w:rPr>
          <w:rFonts w:cs="Arial"/>
          <w:b w:val="0"/>
          <w:bCs/>
          <w:sz w:val="22"/>
          <w:szCs w:val="22"/>
        </w:rPr>
      </w:pPr>
    </w:p>
    <w:p w14:paraId="094184F5" w14:textId="1181DB6C" w:rsidR="00695953" w:rsidRPr="00BA6055" w:rsidRDefault="00695953" w:rsidP="00695953">
      <w:pPr>
        <w:pStyle w:val="Heading1"/>
        <w:spacing w:line="360" w:lineRule="auto"/>
        <w:ind w:left="0"/>
        <w:rPr>
          <w:rFonts w:cs="Arial"/>
          <w:b w:val="0"/>
          <w:bCs/>
          <w:sz w:val="22"/>
          <w:szCs w:val="22"/>
        </w:rPr>
      </w:pPr>
      <w:r w:rsidRPr="00DE46A3">
        <w:rPr>
          <w:rFonts w:cs="Arial"/>
          <w:b w:val="0"/>
          <w:bCs/>
          <w:sz w:val="22"/>
          <w:szCs w:val="22"/>
          <w:u w:val="single"/>
        </w:rPr>
        <w:t>Implications</w:t>
      </w:r>
      <w:r w:rsidR="00BA6055">
        <w:rPr>
          <w:rFonts w:cs="Arial"/>
          <w:b w:val="0"/>
          <w:bCs/>
          <w:sz w:val="22"/>
          <w:szCs w:val="22"/>
          <w:u w:val="single"/>
        </w:rPr>
        <w:t xml:space="preserve"> </w:t>
      </w:r>
    </w:p>
    <w:p w14:paraId="1DCCC0CD" w14:textId="77777777" w:rsidR="003A4B04" w:rsidRPr="003A4B04" w:rsidRDefault="003A4B04" w:rsidP="00BA6055">
      <w:pPr>
        <w:pStyle w:val="Heading1"/>
        <w:spacing w:line="360" w:lineRule="auto"/>
        <w:ind w:left="0"/>
        <w:rPr>
          <w:rFonts w:cs="Arial"/>
          <w:b w:val="0"/>
          <w:bCs/>
          <w:sz w:val="22"/>
          <w:szCs w:val="22"/>
        </w:rPr>
      </w:pPr>
      <w:r w:rsidRPr="003A4B04">
        <w:rPr>
          <w:rFonts w:cs="Arial"/>
          <w:b w:val="0"/>
          <w:bCs/>
          <w:sz w:val="22"/>
          <w:szCs w:val="22"/>
        </w:rPr>
        <w:t>The implications of communication barriers are multifaceted. Insufficient interpreting services jeopardise informed consent and compromise ethical care, as patients may agree to procedures they do not fully understand (</w:t>
      </w:r>
      <w:proofErr w:type="spellStart"/>
      <w:r w:rsidRPr="003A4B04">
        <w:rPr>
          <w:rFonts w:cs="Arial"/>
          <w:b w:val="0"/>
          <w:bCs/>
          <w:sz w:val="22"/>
          <w:szCs w:val="22"/>
        </w:rPr>
        <w:t>Gatrad</w:t>
      </w:r>
      <w:proofErr w:type="spellEnd"/>
      <w:r w:rsidRPr="003A4B04">
        <w:rPr>
          <w:rFonts w:cs="Arial"/>
          <w:b w:val="0"/>
          <w:bCs/>
          <w:sz w:val="22"/>
          <w:szCs w:val="22"/>
        </w:rPr>
        <w:t xml:space="preserve"> and Sheikh, 2002). Families often experience distress when crucial information is lost or misrepresented (Moss et al., 2022). Systemically, poor communication sustains inequality by discouraging minority communities from accessing hospice services (Engel et al., 2023).</w:t>
      </w:r>
    </w:p>
    <w:p w14:paraId="530D4C77" w14:textId="77777777" w:rsidR="003A4B04" w:rsidRPr="003A4B04" w:rsidRDefault="003A4B04" w:rsidP="00BA6055">
      <w:pPr>
        <w:pStyle w:val="Heading1"/>
        <w:spacing w:line="360" w:lineRule="auto"/>
        <w:rPr>
          <w:rFonts w:cs="Arial"/>
          <w:b w:val="0"/>
          <w:bCs/>
          <w:sz w:val="22"/>
          <w:szCs w:val="22"/>
        </w:rPr>
      </w:pPr>
    </w:p>
    <w:p w14:paraId="058768BB" w14:textId="403B62D2" w:rsidR="003A4B04" w:rsidRPr="003A4B04" w:rsidRDefault="003A4B04" w:rsidP="00BA6055">
      <w:pPr>
        <w:pStyle w:val="Heading1"/>
        <w:spacing w:line="360" w:lineRule="auto"/>
        <w:ind w:left="0"/>
        <w:rPr>
          <w:rFonts w:cs="Arial"/>
          <w:b w:val="0"/>
          <w:bCs/>
          <w:sz w:val="22"/>
          <w:szCs w:val="22"/>
        </w:rPr>
      </w:pPr>
      <w:r w:rsidRPr="003A4B04">
        <w:rPr>
          <w:rFonts w:cs="Arial"/>
          <w:b w:val="0"/>
          <w:bCs/>
          <w:sz w:val="22"/>
          <w:szCs w:val="22"/>
        </w:rPr>
        <w:t xml:space="preserve">However, investment in interpreter provision and culturally adapted communication </w:t>
      </w:r>
      <w:r w:rsidRPr="003A4B04">
        <w:rPr>
          <w:rFonts w:cs="Arial"/>
          <w:b w:val="0"/>
          <w:bCs/>
          <w:sz w:val="22"/>
          <w:szCs w:val="22"/>
        </w:rPr>
        <w:lastRenderedPageBreak/>
        <w:t>strategies has been shown to improve outcomes. Flores (2005) found that professional interpreters enhance satisfaction and accuracy, while Marie Curie (2023) demonstrated that multilingual outreach increased engagement in advance care planning. These studies affirm that barriers are not inevitable but remediable with sufficient policy attention and resources.</w:t>
      </w:r>
    </w:p>
    <w:p w14:paraId="319667B2" w14:textId="77777777" w:rsidR="00695953" w:rsidRDefault="00695953" w:rsidP="00695953">
      <w:pPr>
        <w:pStyle w:val="Heading1"/>
        <w:spacing w:line="360" w:lineRule="auto"/>
        <w:ind w:left="221"/>
        <w:rPr>
          <w:rFonts w:cs="Arial"/>
          <w:b w:val="0"/>
          <w:bCs/>
          <w:sz w:val="22"/>
          <w:szCs w:val="22"/>
        </w:rPr>
      </w:pPr>
    </w:p>
    <w:p w14:paraId="3DF4709A" w14:textId="40D31142" w:rsidR="00875B7F" w:rsidRPr="00A01155" w:rsidRDefault="00875B7F" w:rsidP="00875B7F">
      <w:pPr>
        <w:pStyle w:val="Heading1"/>
        <w:ind w:left="0"/>
        <w:rPr>
          <w:rFonts w:cs="Arial"/>
          <w:b w:val="0"/>
          <w:bCs/>
          <w:sz w:val="22"/>
          <w:szCs w:val="22"/>
        </w:rPr>
      </w:pPr>
      <w:r w:rsidRPr="00875B7F">
        <w:rPr>
          <w:rFonts w:cs="Arial"/>
          <w:b w:val="0"/>
          <w:bCs/>
          <w:sz w:val="22"/>
          <w:szCs w:val="22"/>
          <w:u w:val="single"/>
        </w:rPr>
        <w:t>Examples and Case Studies</w:t>
      </w:r>
      <w:r w:rsidR="00A01155">
        <w:rPr>
          <w:rFonts w:cs="Arial"/>
          <w:b w:val="0"/>
          <w:bCs/>
          <w:sz w:val="22"/>
          <w:szCs w:val="22"/>
          <w:u w:val="single"/>
        </w:rPr>
        <w:t xml:space="preserve"> </w:t>
      </w:r>
    </w:p>
    <w:p w14:paraId="165106D9" w14:textId="77777777" w:rsidR="00472DCD" w:rsidRDefault="00472DCD" w:rsidP="00875B7F">
      <w:pPr>
        <w:pStyle w:val="Heading1"/>
        <w:ind w:left="0"/>
        <w:rPr>
          <w:rFonts w:cs="Arial"/>
          <w:b w:val="0"/>
          <w:bCs/>
          <w:sz w:val="22"/>
          <w:szCs w:val="22"/>
        </w:rPr>
      </w:pPr>
    </w:p>
    <w:p w14:paraId="5B399A6D" w14:textId="77777777" w:rsidR="008F23A4" w:rsidRPr="008F23A4" w:rsidRDefault="008F23A4" w:rsidP="008F23A4">
      <w:pPr>
        <w:pStyle w:val="Heading1"/>
        <w:spacing w:line="360" w:lineRule="auto"/>
        <w:ind w:left="0"/>
        <w:rPr>
          <w:rFonts w:cs="Arial"/>
          <w:b w:val="0"/>
          <w:bCs/>
          <w:sz w:val="22"/>
          <w:szCs w:val="22"/>
        </w:rPr>
      </w:pPr>
      <w:r w:rsidRPr="008F23A4">
        <w:rPr>
          <w:rFonts w:cs="Arial"/>
          <w:b w:val="0"/>
          <w:bCs/>
          <w:sz w:val="22"/>
          <w:szCs w:val="22"/>
        </w:rPr>
        <w:t>A qualitative study in East London revealed that South Asian families frequently acted as interpreters during EOL consultations, often omitting distressing details to protect loved ones, thereby limiting informed consent (Koffman et al., 2008). This highlights how familial mediation, combined with limited institutional support, can inadvertently reduce patient autonomy.</w:t>
      </w:r>
    </w:p>
    <w:p w14:paraId="4BE638BD" w14:textId="77777777" w:rsidR="008F23A4" w:rsidRPr="008F23A4" w:rsidRDefault="008F23A4" w:rsidP="008F23A4">
      <w:pPr>
        <w:pStyle w:val="Heading1"/>
        <w:spacing w:line="360" w:lineRule="auto"/>
        <w:rPr>
          <w:rFonts w:cs="Arial"/>
          <w:b w:val="0"/>
          <w:bCs/>
          <w:sz w:val="22"/>
          <w:szCs w:val="22"/>
        </w:rPr>
      </w:pPr>
    </w:p>
    <w:p w14:paraId="36871ABB" w14:textId="5A1B8F23" w:rsidR="00C4424E" w:rsidRDefault="008F23A4" w:rsidP="008F23A4">
      <w:pPr>
        <w:pStyle w:val="Heading1"/>
        <w:spacing w:line="360" w:lineRule="auto"/>
        <w:ind w:left="0"/>
        <w:rPr>
          <w:rFonts w:cs="Arial"/>
          <w:b w:val="0"/>
          <w:bCs/>
          <w:sz w:val="22"/>
          <w:szCs w:val="22"/>
        </w:rPr>
      </w:pPr>
      <w:r w:rsidRPr="008F23A4">
        <w:rPr>
          <w:rFonts w:cs="Arial"/>
          <w:b w:val="0"/>
          <w:bCs/>
          <w:sz w:val="22"/>
          <w:szCs w:val="22"/>
        </w:rPr>
        <w:t>Conversely, a Birmingham hospice that introduced professional interpreters and partnered with mosques and community groups achieved marked improvements in patient satisfaction and participation in care planning (Marie Curie, 2019). Likewise, Hospice UK (2021) employed multilingual outreach ambassadors to support Somali and Bangladeshi communities, improving access yet struggling with funding sustainability. Collectively, these examples demonstrate that although communication barriers are deeply embedded, culturally responsive and well-funded strategies can lead to measurable progress.</w:t>
      </w:r>
    </w:p>
    <w:p w14:paraId="1DF542C1" w14:textId="77777777" w:rsidR="00DA555E" w:rsidRDefault="00DA555E" w:rsidP="00DA555E">
      <w:pPr>
        <w:pStyle w:val="Heading1"/>
        <w:ind w:left="0"/>
        <w:rPr>
          <w:rFonts w:cs="Arial"/>
          <w:b w:val="0"/>
          <w:bCs/>
          <w:sz w:val="22"/>
          <w:szCs w:val="22"/>
          <w:u w:val="single"/>
        </w:rPr>
      </w:pPr>
    </w:p>
    <w:p w14:paraId="6CB07A82" w14:textId="65E90274" w:rsidR="00DA555E" w:rsidRPr="00001A2F" w:rsidRDefault="00DA555E" w:rsidP="00DA555E">
      <w:pPr>
        <w:pStyle w:val="Heading1"/>
        <w:ind w:left="0"/>
        <w:rPr>
          <w:rFonts w:cs="Arial"/>
          <w:b w:val="0"/>
          <w:bCs/>
          <w:sz w:val="22"/>
          <w:szCs w:val="22"/>
        </w:rPr>
      </w:pPr>
      <w:r w:rsidRPr="00DA555E">
        <w:rPr>
          <w:rFonts w:cs="Arial"/>
          <w:b w:val="0"/>
          <w:bCs/>
          <w:sz w:val="22"/>
          <w:szCs w:val="22"/>
          <w:u w:val="single"/>
        </w:rPr>
        <w:t>Connections to Other Themes</w:t>
      </w:r>
      <w:r w:rsidR="00001A2F">
        <w:rPr>
          <w:rFonts w:cs="Arial"/>
          <w:b w:val="0"/>
          <w:bCs/>
          <w:sz w:val="22"/>
          <w:szCs w:val="22"/>
          <w:u w:val="single"/>
        </w:rPr>
        <w:t xml:space="preserve"> </w:t>
      </w:r>
    </w:p>
    <w:p w14:paraId="5EF97E1A" w14:textId="77777777" w:rsidR="00543A09" w:rsidRDefault="00543A09" w:rsidP="00DA555E">
      <w:pPr>
        <w:pStyle w:val="Heading1"/>
        <w:ind w:left="0"/>
        <w:rPr>
          <w:rFonts w:cs="Arial"/>
          <w:b w:val="0"/>
          <w:bCs/>
          <w:sz w:val="22"/>
          <w:szCs w:val="22"/>
        </w:rPr>
      </w:pPr>
    </w:p>
    <w:p w14:paraId="6220401C" w14:textId="19FE4444" w:rsidR="00543A09" w:rsidRPr="00543A09" w:rsidRDefault="00001A2F" w:rsidP="00001A2F">
      <w:pPr>
        <w:pStyle w:val="Heading1"/>
        <w:spacing w:line="360" w:lineRule="auto"/>
        <w:ind w:left="0"/>
        <w:rPr>
          <w:rFonts w:cs="Arial"/>
          <w:b w:val="0"/>
          <w:bCs/>
          <w:sz w:val="22"/>
          <w:szCs w:val="22"/>
        </w:rPr>
      </w:pPr>
      <w:r w:rsidRPr="00001A2F">
        <w:rPr>
          <w:rFonts w:cs="Arial"/>
          <w:b w:val="0"/>
          <w:bCs/>
          <w:sz w:val="22"/>
          <w:szCs w:val="22"/>
        </w:rPr>
        <w:t>Communication barriers are closely intertwined with both mistrust (Theme 2) and workforce competence (Theme 3). As ineffective dialogue fuels scepticism towards health institutions, mistrust becomes self-perpetuating among marginalised groups (Koffman et al., 2007). Furthermore, the ability to overcome such barriers depends heavily on the cultural competence of healthcare professionals (Papadopoulos, 2006). Without adequate training in interpreting services or cross-cultural dialogue, systemic reform remains superficial. Communication, therefore, serves as the connective tissue uniting the dissertation’s broader analysis of trust, equity, and professional accountability, setting the foundation for the subsequent themes.</w:t>
      </w:r>
    </w:p>
    <w:p w14:paraId="4C87E107" w14:textId="77777777" w:rsidR="00543A09" w:rsidRDefault="00543A09" w:rsidP="00441CB3">
      <w:pPr>
        <w:pStyle w:val="Heading1"/>
        <w:spacing w:line="360" w:lineRule="auto"/>
        <w:ind w:left="0"/>
        <w:rPr>
          <w:rFonts w:cs="Arial"/>
          <w:b w:val="0"/>
          <w:bCs/>
          <w:sz w:val="22"/>
          <w:szCs w:val="22"/>
        </w:rPr>
      </w:pPr>
    </w:p>
    <w:p w14:paraId="3A9F98D5" w14:textId="15CC0A22" w:rsidR="00E97343" w:rsidRDefault="00E97343" w:rsidP="00441CB3">
      <w:pPr>
        <w:pStyle w:val="Heading1"/>
        <w:spacing w:line="360" w:lineRule="auto"/>
        <w:ind w:left="0"/>
        <w:rPr>
          <w:rFonts w:cs="Arial"/>
          <w:sz w:val="22"/>
          <w:szCs w:val="22"/>
          <w:u w:val="single"/>
        </w:rPr>
      </w:pPr>
      <w:r w:rsidRPr="00441CB3">
        <w:rPr>
          <w:rFonts w:cs="Arial"/>
          <w:sz w:val="22"/>
          <w:szCs w:val="22"/>
          <w:u w:val="single"/>
        </w:rPr>
        <w:t xml:space="preserve">4.4 – Theme 2 </w:t>
      </w:r>
      <w:r w:rsidR="00441CB3" w:rsidRPr="00441CB3">
        <w:rPr>
          <w:rFonts w:cs="Arial"/>
          <w:sz w:val="22"/>
          <w:szCs w:val="22"/>
          <w:u w:val="single"/>
        </w:rPr>
        <w:t>Mistrust and Inequalities in Service Access</w:t>
      </w:r>
    </w:p>
    <w:p w14:paraId="5986B80E" w14:textId="77777777" w:rsidR="005B4BA9" w:rsidRDefault="005B4BA9" w:rsidP="005B4BA9">
      <w:pPr>
        <w:pStyle w:val="Heading1"/>
        <w:ind w:left="0"/>
        <w:rPr>
          <w:rFonts w:cs="Arial"/>
          <w:sz w:val="22"/>
          <w:szCs w:val="22"/>
          <w:u w:val="single"/>
        </w:rPr>
      </w:pPr>
    </w:p>
    <w:p w14:paraId="295620AB" w14:textId="0EB4FEF8" w:rsidR="005B4BA9" w:rsidRDefault="005B4BA9" w:rsidP="002F5FC2">
      <w:pPr>
        <w:pStyle w:val="Heading1"/>
        <w:spacing w:line="360" w:lineRule="auto"/>
        <w:ind w:left="0"/>
        <w:rPr>
          <w:rFonts w:cs="Arial"/>
          <w:b w:val="0"/>
          <w:bCs/>
          <w:sz w:val="22"/>
          <w:szCs w:val="22"/>
          <w:u w:val="single"/>
        </w:rPr>
      </w:pPr>
      <w:r w:rsidRPr="002F5FC2">
        <w:rPr>
          <w:rFonts w:cs="Arial"/>
          <w:b w:val="0"/>
          <w:bCs/>
          <w:sz w:val="22"/>
          <w:szCs w:val="22"/>
          <w:u w:val="single"/>
        </w:rPr>
        <w:t xml:space="preserve">Definition </w:t>
      </w:r>
    </w:p>
    <w:p w14:paraId="089D3EE8" w14:textId="77777777" w:rsidR="004637B0" w:rsidRDefault="004637B0" w:rsidP="00B00D2F">
      <w:pPr>
        <w:pStyle w:val="Heading1"/>
        <w:ind w:left="0"/>
        <w:rPr>
          <w:rFonts w:cs="Arial"/>
          <w:b w:val="0"/>
          <w:bCs/>
          <w:sz w:val="22"/>
          <w:szCs w:val="22"/>
        </w:rPr>
      </w:pPr>
    </w:p>
    <w:p w14:paraId="27EFBC62" w14:textId="77777777" w:rsidR="00AB549D" w:rsidRPr="00AB549D" w:rsidRDefault="00AB549D" w:rsidP="00AB549D">
      <w:pPr>
        <w:pStyle w:val="Heading1"/>
        <w:spacing w:line="360" w:lineRule="auto"/>
        <w:ind w:left="0"/>
        <w:rPr>
          <w:rFonts w:cs="Arial"/>
          <w:b w:val="0"/>
          <w:bCs/>
          <w:sz w:val="22"/>
          <w:szCs w:val="22"/>
        </w:rPr>
      </w:pPr>
      <w:r w:rsidRPr="00AB549D">
        <w:rPr>
          <w:rFonts w:cs="Arial"/>
          <w:b w:val="0"/>
          <w:bCs/>
          <w:sz w:val="22"/>
          <w:szCs w:val="22"/>
        </w:rPr>
        <w:t xml:space="preserve">Mistrust in healthcare refers to a lack of confidence in the fairness, integrity, or competence of professionals and institutions. Among minority ethnic communities, it often arises from </w:t>
      </w:r>
      <w:r w:rsidRPr="00AB549D">
        <w:rPr>
          <w:rFonts w:cs="Arial"/>
          <w:b w:val="0"/>
          <w:bCs/>
          <w:sz w:val="22"/>
          <w:szCs w:val="22"/>
        </w:rPr>
        <w:lastRenderedPageBreak/>
        <w:t>experiences of discrimination, cultural insensitivity, and exclusion from shared decision-making (Mbabazi et al., 2022). In end-of-life (EOL) care, such mistrust may manifest as reluctance to engage with hospices, avoidance of advance care planning, or reliance on family and faith-based support (Dosani et al., 2020).</w:t>
      </w:r>
    </w:p>
    <w:p w14:paraId="331ACF4C" w14:textId="77777777" w:rsidR="00AB549D" w:rsidRPr="00AB549D" w:rsidRDefault="00AB549D" w:rsidP="00AB549D">
      <w:pPr>
        <w:pStyle w:val="Heading1"/>
        <w:spacing w:line="360" w:lineRule="auto"/>
        <w:rPr>
          <w:rFonts w:cs="Arial"/>
          <w:b w:val="0"/>
          <w:bCs/>
          <w:sz w:val="22"/>
          <w:szCs w:val="22"/>
        </w:rPr>
      </w:pPr>
    </w:p>
    <w:p w14:paraId="23846AB1" w14:textId="268F6C54" w:rsidR="004637B0" w:rsidRDefault="00AB549D" w:rsidP="00AB549D">
      <w:pPr>
        <w:pStyle w:val="Heading1"/>
        <w:spacing w:line="360" w:lineRule="auto"/>
        <w:ind w:left="0"/>
        <w:rPr>
          <w:rFonts w:cs="Arial"/>
          <w:b w:val="0"/>
          <w:bCs/>
          <w:sz w:val="22"/>
          <w:szCs w:val="22"/>
        </w:rPr>
      </w:pPr>
      <w:r w:rsidRPr="00AB549D">
        <w:rPr>
          <w:rFonts w:cs="Arial"/>
          <w:b w:val="0"/>
          <w:bCs/>
          <w:sz w:val="22"/>
          <w:szCs w:val="22"/>
        </w:rPr>
        <w:t>Inequalities in access are defined as systematic differences in the availability, quality, and uptake of services between ethnic groups, resulting in disproportionate burdens and poorer outcomes (Public Health England, 2018). This dissertation contends that mistrust and inequality are mutually reinforcing—cultural misunderstanding fosters disengagement, which perpetuates unequal access (</w:t>
      </w:r>
      <w:proofErr w:type="spellStart"/>
      <w:r w:rsidRPr="00AB549D">
        <w:rPr>
          <w:rFonts w:cs="Arial"/>
          <w:b w:val="0"/>
          <w:bCs/>
          <w:sz w:val="22"/>
          <w:szCs w:val="22"/>
        </w:rPr>
        <w:t>Calanzani</w:t>
      </w:r>
      <w:proofErr w:type="spellEnd"/>
      <w:r w:rsidRPr="00AB549D">
        <w:rPr>
          <w:rFonts w:cs="Arial"/>
          <w:b w:val="0"/>
          <w:bCs/>
          <w:sz w:val="22"/>
          <w:szCs w:val="22"/>
        </w:rPr>
        <w:t xml:space="preserve"> et al., 2013).</w:t>
      </w:r>
    </w:p>
    <w:p w14:paraId="547F7AEF" w14:textId="77777777" w:rsidR="004637B0" w:rsidRDefault="004637B0" w:rsidP="00B00D2F">
      <w:pPr>
        <w:pStyle w:val="Heading1"/>
        <w:ind w:left="0"/>
        <w:rPr>
          <w:rFonts w:cs="Arial"/>
          <w:b w:val="0"/>
          <w:bCs/>
          <w:sz w:val="22"/>
          <w:szCs w:val="22"/>
        </w:rPr>
      </w:pPr>
    </w:p>
    <w:p w14:paraId="1F79D2F4" w14:textId="69A02417" w:rsidR="00B00D2F" w:rsidRPr="00A57268" w:rsidRDefault="00B00D2F" w:rsidP="00B00D2F">
      <w:pPr>
        <w:pStyle w:val="Heading1"/>
        <w:ind w:left="0"/>
        <w:rPr>
          <w:rFonts w:cs="Arial"/>
          <w:b w:val="0"/>
          <w:bCs/>
          <w:sz w:val="22"/>
          <w:szCs w:val="22"/>
        </w:rPr>
      </w:pPr>
      <w:r w:rsidRPr="00B00D2F">
        <w:rPr>
          <w:rFonts w:cs="Arial"/>
          <w:b w:val="0"/>
          <w:bCs/>
          <w:sz w:val="22"/>
          <w:szCs w:val="22"/>
          <w:u w:val="single"/>
        </w:rPr>
        <w:t>Background Information</w:t>
      </w:r>
      <w:r w:rsidR="00A57268">
        <w:rPr>
          <w:rFonts w:cs="Arial"/>
          <w:b w:val="0"/>
          <w:bCs/>
          <w:sz w:val="22"/>
          <w:szCs w:val="22"/>
          <w:u w:val="single"/>
        </w:rPr>
        <w:t xml:space="preserve"> </w:t>
      </w:r>
    </w:p>
    <w:p w14:paraId="1F9EAC3D" w14:textId="77777777" w:rsidR="00B00D2F" w:rsidRPr="00B00D2F" w:rsidRDefault="00B00D2F" w:rsidP="00B00D2F">
      <w:pPr>
        <w:pStyle w:val="Heading1"/>
        <w:rPr>
          <w:rFonts w:cs="Arial"/>
          <w:b w:val="0"/>
          <w:bCs/>
          <w:sz w:val="22"/>
          <w:szCs w:val="22"/>
        </w:rPr>
      </w:pPr>
    </w:p>
    <w:p w14:paraId="4DB8E841" w14:textId="77777777" w:rsidR="00FC1DB4" w:rsidRPr="00FC1DB4" w:rsidRDefault="00FC1DB4" w:rsidP="00FC1DB4">
      <w:pPr>
        <w:pStyle w:val="Heading1"/>
        <w:spacing w:line="360" w:lineRule="auto"/>
        <w:ind w:left="0"/>
        <w:rPr>
          <w:rFonts w:cs="Arial"/>
          <w:b w:val="0"/>
          <w:bCs/>
          <w:sz w:val="22"/>
          <w:szCs w:val="22"/>
        </w:rPr>
      </w:pPr>
      <w:r w:rsidRPr="00FC1DB4">
        <w:rPr>
          <w:rFonts w:cs="Arial"/>
          <w:b w:val="0"/>
          <w:bCs/>
          <w:sz w:val="22"/>
          <w:szCs w:val="22"/>
        </w:rPr>
        <w:t>Inequalities in healthcare access for ethnic minorities in the UK have long-standing structural roots. Early studies identified how language and cultural barriers contributed to exclusion from mainstream care (</w:t>
      </w:r>
      <w:proofErr w:type="spellStart"/>
      <w:r w:rsidRPr="00FC1DB4">
        <w:rPr>
          <w:rFonts w:cs="Arial"/>
          <w:b w:val="0"/>
          <w:bCs/>
          <w:sz w:val="22"/>
          <w:szCs w:val="22"/>
        </w:rPr>
        <w:t>Szczepura</w:t>
      </w:r>
      <w:proofErr w:type="spellEnd"/>
      <w:r w:rsidRPr="00FC1DB4">
        <w:rPr>
          <w:rFonts w:cs="Arial"/>
          <w:b w:val="0"/>
          <w:bCs/>
          <w:sz w:val="22"/>
          <w:szCs w:val="22"/>
        </w:rPr>
        <w:t>, 2005). Despite policy efforts, disparities persist across health and social care (Salway et al., 2016).</w:t>
      </w:r>
    </w:p>
    <w:p w14:paraId="49B2E36C" w14:textId="77777777" w:rsidR="00FC1DB4" w:rsidRPr="00FC1DB4" w:rsidRDefault="00FC1DB4" w:rsidP="00FC1DB4">
      <w:pPr>
        <w:pStyle w:val="Heading1"/>
        <w:spacing w:line="360" w:lineRule="auto"/>
        <w:rPr>
          <w:rFonts w:cs="Arial"/>
          <w:b w:val="0"/>
          <w:bCs/>
          <w:sz w:val="22"/>
          <w:szCs w:val="22"/>
        </w:rPr>
      </w:pPr>
    </w:p>
    <w:p w14:paraId="6ECB8FF5" w14:textId="77777777" w:rsidR="00FC1DB4" w:rsidRPr="00FC1DB4" w:rsidRDefault="00FC1DB4" w:rsidP="00FC1DB4">
      <w:pPr>
        <w:pStyle w:val="Heading1"/>
        <w:spacing w:line="360" w:lineRule="auto"/>
        <w:ind w:left="0"/>
        <w:rPr>
          <w:rFonts w:cs="Arial"/>
          <w:b w:val="0"/>
          <w:bCs/>
          <w:sz w:val="22"/>
          <w:szCs w:val="22"/>
        </w:rPr>
      </w:pPr>
      <w:r w:rsidRPr="00FC1DB4">
        <w:rPr>
          <w:rFonts w:cs="Arial"/>
          <w:b w:val="0"/>
          <w:bCs/>
          <w:sz w:val="22"/>
          <w:szCs w:val="22"/>
        </w:rPr>
        <w:t>Evidence suggests that mistrust is a key mechanism sustaining these disparities. Negative experiences such as stereotyping, limited recognition of religious or cultural needs, and inadequate communication reinforce perceptions of bias and neglect (Chipman et al., 2024). Within EOL care, this is evident in the persistent underrepresentation of minority groups in hospice populations, even where need is higher (</w:t>
      </w:r>
      <w:proofErr w:type="spellStart"/>
      <w:r w:rsidRPr="00FC1DB4">
        <w:rPr>
          <w:rFonts w:cs="Arial"/>
          <w:b w:val="0"/>
          <w:bCs/>
          <w:sz w:val="22"/>
          <w:szCs w:val="22"/>
        </w:rPr>
        <w:t>Etkind</w:t>
      </w:r>
      <w:proofErr w:type="spellEnd"/>
      <w:r w:rsidRPr="00FC1DB4">
        <w:rPr>
          <w:rFonts w:cs="Arial"/>
          <w:b w:val="0"/>
          <w:bCs/>
          <w:sz w:val="22"/>
          <w:szCs w:val="22"/>
        </w:rPr>
        <w:t xml:space="preserve"> et al., 2017).</w:t>
      </w:r>
    </w:p>
    <w:p w14:paraId="125E8F29" w14:textId="77777777" w:rsidR="00FC1DB4" w:rsidRPr="00FC1DB4" w:rsidRDefault="00FC1DB4" w:rsidP="00FC1DB4">
      <w:pPr>
        <w:pStyle w:val="Heading1"/>
        <w:spacing w:line="360" w:lineRule="auto"/>
        <w:rPr>
          <w:rFonts w:cs="Arial"/>
          <w:b w:val="0"/>
          <w:bCs/>
          <w:sz w:val="22"/>
          <w:szCs w:val="22"/>
        </w:rPr>
      </w:pPr>
    </w:p>
    <w:p w14:paraId="4FF51CE2" w14:textId="50A6D3C3" w:rsidR="00303B1A" w:rsidRDefault="00FC1DB4" w:rsidP="00FC1DB4">
      <w:pPr>
        <w:pStyle w:val="Heading1"/>
        <w:spacing w:line="360" w:lineRule="auto"/>
        <w:ind w:left="0"/>
        <w:rPr>
          <w:rFonts w:cs="Arial"/>
          <w:b w:val="0"/>
          <w:bCs/>
          <w:sz w:val="22"/>
          <w:szCs w:val="22"/>
        </w:rPr>
      </w:pPr>
      <w:r w:rsidRPr="00FC1DB4">
        <w:rPr>
          <w:rFonts w:cs="Arial"/>
          <w:b w:val="0"/>
          <w:bCs/>
          <w:sz w:val="22"/>
          <w:szCs w:val="22"/>
        </w:rPr>
        <w:t>While the Equality Act (2010) and NHS Long Term Plan (2019) seek to promote fairness, implementation remains inconsistent. Scholars argue that equity-focused rhetoric is undermined by limited resources, workforce gaps, and insufficient community engagement (Public Health England, 2018; Hospice UK, 2021). These findings demonstrate that mistrust and inequality are not isolated problems but symptoms of systemic failure.</w:t>
      </w:r>
    </w:p>
    <w:p w14:paraId="7A478642" w14:textId="77777777" w:rsidR="00E50AC9" w:rsidRDefault="00E50AC9" w:rsidP="005C13DD">
      <w:pPr>
        <w:pStyle w:val="Heading1"/>
        <w:spacing w:line="360" w:lineRule="auto"/>
        <w:ind w:left="0"/>
        <w:rPr>
          <w:rFonts w:cs="Arial"/>
          <w:b w:val="0"/>
          <w:bCs/>
          <w:sz w:val="22"/>
          <w:szCs w:val="22"/>
        </w:rPr>
      </w:pPr>
    </w:p>
    <w:p w14:paraId="00ADF9C9" w14:textId="0EA675A0" w:rsidR="00303B1A" w:rsidRPr="005E7B7B" w:rsidRDefault="00303B1A" w:rsidP="00303B1A">
      <w:pPr>
        <w:pStyle w:val="Heading1"/>
        <w:ind w:left="0"/>
        <w:rPr>
          <w:rFonts w:cs="Arial"/>
          <w:b w:val="0"/>
          <w:bCs/>
          <w:sz w:val="22"/>
          <w:szCs w:val="22"/>
        </w:rPr>
      </w:pPr>
      <w:r w:rsidRPr="00303B1A">
        <w:rPr>
          <w:rFonts w:cs="Arial"/>
          <w:b w:val="0"/>
          <w:bCs/>
          <w:sz w:val="22"/>
          <w:szCs w:val="22"/>
          <w:u w:val="single"/>
        </w:rPr>
        <w:t>Impact on Research Question</w:t>
      </w:r>
      <w:r w:rsidR="002C72BB">
        <w:rPr>
          <w:rFonts w:cs="Arial"/>
          <w:b w:val="0"/>
          <w:bCs/>
          <w:sz w:val="22"/>
          <w:szCs w:val="22"/>
          <w:u w:val="single"/>
        </w:rPr>
        <w:t xml:space="preserve"> </w:t>
      </w:r>
    </w:p>
    <w:p w14:paraId="104E958B" w14:textId="77777777" w:rsidR="002C72BB" w:rsidRPr="00303B1A" w:rsidRDefault="002C72BB" w:rsidP="00303B1A">
      <w:pPr>
        <w:pStyle w:val="Heading1"/>
        <w:ind w:left="0"/>
        <w:rPr>
          <w:rFonts w:cs="Arial"/>
          <w:b w:val="0"/>
          <w:bCs/>
          <w:sz w:val="22"/>
          <w:szCs w:val="22"/>
          <w:u w:val="single"/>
        </w:rPr>
      </w:pPr>
    </w:p>
    <w:p w14:paraId="62E4BFCF" w14:textId="77777777" w:rsidR="005A1930" w:rsidRPr="005A1930" w:rsidRDefault="005A1930" w:rsidP="005A1930">
      <w:pPr>
        <w:pStyle w:val="Heading1"/>
        <w:spacing w:line="360" w:lineRule="auto"/>
        <w:ind w:left="0"/>
        <w:rPr>
          <w:rFonts w:cs="Arial"/>
          <w:b w:val="0"/>
          <w:bCs/>
          <w:sz w:val="22"/>
          <w:szCs w:val="22"/>
        </w:rPr>
      </w:pPr>
      <w:r w:rsidRPr="005A1930">
        <w:rPr>
          <w:rFonts w:cs="Arial"/>
          <w:b w:val="0"/>
          <w:bCs/>
          <w:sz w:val="22"/>
          <w:szCs w:val="22"/>
        </w:rPr>
        <w:t>This theme directly advances the research aim by showing how mistrust and inequality hinder culturally competent EOL care. Mistrust is not simply an individual perception but a collective response to systemic failings such as poor communication and lack of cultural representation (Mbabazi et al., 2022).</w:t>
      </w:r>
    </w:p>
    <w:p w14:paraId="7C9F6002" w14:textId="77777777" w:rsidR="005A1930" w:rsidRPr="005A1930" w:rsidRDefault="005A1930" w:rsidP="005A1930">
      <w:pPr>
        <w:pStyle w:val="Heading1"/>
        <w:spacing w:line="360" w:lineRule="auto"/>
        <w:rPr>
          <w:rFonts w:cs="Arial"/>
          <w:b w:val="0"/>
          <w:bCs/>
          <w:sz w:val="22"/>
          <w:szCs w:val="22"/>
        </w:rPr>
      </w:pPr>
    </w:p>
    <w:p w14:paraId="09331794" w14:textId="77777777" w:rsidR="005A1930" w:rsidRPr="005A1930" w:rsidRDefault="005A1930" w:rsidP="005A1930">
      <w:pPr>
        <w:pStyle w:val="Heading1"/>
        <w:spacing w:line="360" w:lineRule="auto"/>
        <w:ind w:left="0"/>
        <w:rPr>
          <w:rFonts w:cs="Arial"/>
          <w:b w:val="0"/>
          <w:bCs/>
          <w:sz w:val="22"/>
          <w:szCs w:val="22"/>
        </w:rPr>
      </w:pPr>
      <w:r w:rsidRPr="005A1930">
        <w:rPr>
          <w:rFonts w:cs="Arial"/>
          <w:b w:val="0"/>
          <w:bCs/>
          <w:sz w:val="22"/>
          <w:szCs w:val="22"/>
        </w:rPr>
        <w:t xml:space="preserve">Evidence indicates that mistrust discourages minority families from engaging with hospices, </w:t>
      </w:r>
      <w:r w:rsidRPr="005A1930">
        <w:rPr>
          <w:rFonts w:cs="Arial"/>
          <w:b w:val="0"/>
          <w:bCs/>
          <w:sz w:val="22"/>
          <w:szCs w:val="22"/>
        </w:rPr>
        <w:lastRenderedPageBreak/>
        <w:t>leading to delayed referrals, minimal advance care planning, and increased reliance on informal networks (Dosani et al., 2020). Patients often enter services only at crisis points, reducing care options and outcomes (</w:t>
      </w:r>
      <w:proofErr w:type="spellStart"/>
      <w:r w:rsidRPr="005A1930">
        <w:rPr>
          <w:rFonts w:cs="Arial"/>
          <w:b w:val="0"/>
          <w:bCs/>
          <w:sz w:val="22"/>
          <w:szCs w:val="22"/>
        </w:rPr>
        <w:t>Etkind</w:t>
      </w:r>
      <w:proofErr w:type="spellEnd"/>
      <w:r w:rsidRPr="005A1930">
        <w:rPr>
          <w:rFonts w:cs="Arial"/>
          <w:b w:val="0"/>
          <w:bCs/>
          <w:sz w:val="22"/>
          <w:szCs w:val="22"/>
        </w:rPr>
        <w:t xml:space="preserve"> et al., 2017). These dynamics erode the foundation of patient-centred care—individuals may withhold preferences or refuse services perceived as culturally incompatible (</w:t>
      </w:r>
      <w:proofErr w:type="spellStart"/>
      <w:r w:rsidRPr="005A1930">
        <w:rPr>
          <w:rFonts w:cs="Arial"/>
          <w:b w:val="0"/>
          <w:bCs/>
          <w:sz w:val="22"/>
          <w:szCs w:val="22"/>
        </w:rPr>
        <w:t>Gatrad</w:t>
      </w:r>
      <w:proofErr w:type="spellEnd"/>
      <w:r w:rsidRPr="005A1930">
        <w:rPr>
          <w:rFonts w:cs="Arial"/>
          <w:b w:val="0"/>
          <w:bCs/>
          <w:sz w:val="22"/>
          <w:szCs w:val="22"/>
        </w:rPr>
        <w:t xml:space="preserve"> and Sheikh, 2002).</w:t>
      </w:r>
    </w:p>
    <w:p w14:paraId="081C3D25" w14:textId="77777777" w:rsidR="005A1930" w:rsidRPr="005A1930" w:rsidRDefault="005A1930" w:rsidP="005A1930">
      <w:pPr>
        <w:pStyle w:val="Heading1"/>
        <w:spacing w:line="360" w:lineRule="auto"/>
        <w:rPr>
          <w:rFonts w:cs="Arial"/>
          <w:b w:val="0"/>
          <w:bCs/>
          <w:sz w:val="22"/>
          <w:szCs w:val="22"/>
        </w:rPr>
      </w:pPr>
    </w:p>
    <w:p w14:paraId="29C4E372" w14:textId="3E6266A5" w:rsidR="002C72BB" w:rsidRDefault="005A1930" w:rsidP="005A1930">
      <w:pPr>
        <w:pStyle w:val="Heading1"/>
        <w:spacing w:line="360" w:lineRule="auto"/>
        <w:ind w:left="0"/>
        <w:rPr>
          <w:rFonts w:cs="Arial"/>
          <w:b w:val="0"/>
          <w:bCs/>
          <w:sz w:val="22"/>
          <w:szCs w:val="22"/>
        </w:rPr>
      </w:pPr>
      <w:r w:rsidRPr="005A1930">
        <w:rPr>
          <w:rFonts w:cs="Arial"/>
          <w:b w:val="0"/>
          <w:bCs/>
          <w:sz w:val="22"/>
          <w:szCs w:val="22"/>
        </w:rPr>
        <w:t>Overall, mistrust and inequality weaken confidence in EOL care and highlight the urgent need for culturally informed service delivery.</w:t>
      </w:r>
    </w:p>
    <w:p w14:paraId="51B5195D" w14:textId="77777777" w:rsidR="001274BA" w:rsidRDefault="001274BA" w:rsidP="001919D1">
      <w:pPr>
        <w:pStyle w:val="Heading1"/>
        <w:ind w:left="0"/>
        <w:rPr>
          <w:rFonts w:cs="Arial"/>
          <w:b w:val="0"/>
          <w:bCs/>
          <w:sz w:val="22"/>
          <w:szCs w:val="22"/>
          <w:u w:val="single"/>
        </w:rPr>
      </w:pPr>
    </w:p>
    <w:p w14:paraId="268907EC" w14:textId="2BC04C31" w:rsidR="001919D1" w:rsidRPr="001919D1" w:rsidRDefault="001919D1" w:rsidP="001919D1">
      <w:pPr>
        <w:pStyle w:val="Heading1"/>
        <w:ind w:left="0"/>
        <w:rPr>
          <w:rFonts w:cs="Arial"/>
          <w:b w:val="0"/>
          <w:bCs/>
          <w:sz w:val="22"/>
          <w:szCs w:val="22"/>
          <w:u w:val="single"/>
        </w:rPr>
      </w:pPr>
      <w:r w:rsidRPr="001919D1">
        <w:rPr>
          <w:rFonts w:cs="Arial"/>
          <w:b w:val="0"/>
          <w:bCs/>
          <w:sz w:val="22"/>
          <w:szCs w:val="22"/>
          <w:u w:val="single"/>
        </w:rPr>
        <w:t xml:space="preserve">Statistical Information </w:t>
      </w:r>
    </w:p>
    <w:p w14:paraId="7201C1F9" w14:textId="77777777" w:rsidR="001919D1" w:rsidRPr="001919D1" w:rsidRDefault="001919D1" w:rsidP="001919D1">
      <w:pPr>
        <w:pStyle w:val="Heading1"/>
        <w:rPr>
          <w:rFonts w:cs="Arial"/>
          <w:b w:val="0"/>
          <w:bCs/>
          <w:sz w:val="22"/>
          <w:szCs w:val="22"/>
        </w:rPr>
      </w:pPr>
    </w:p>
    <w:p w14:paraId="3F3EB47A" w14:textId="77777777" w:rsidR="00307D29" w:rsidRPr="00307D29" w:rsidRDefault="00307D29" w:rsidP="00307D29">
      <w:pPr>
        <w:pStyle w:val="Heading1"/>
        <w:spacing w:line="360" w:lineRule="auto"/>
        <w:ind w:left="0"/>
        <w:rPr>
          <w:rFonts w:cs="Arial"/>
          <w:b w:val="0"/>
          <w:bCs/>
          <w:sz w:val="22"/>
          <w:szCs w:val="22"/>
        </w:rPr>
      </w:pPr>
      <w:r w:rsidRPr="00307D29">
        <w:rPr>
          <w:rFonts w:cs="Arial"/>
          <w:b w:val="0"/>
          <w:bCs/>
          <w:sz w:val="22"/>
          <w:szCs w:val="22"/>
        </w:rPr>
        <w:t>Quantitative data clearly illustrate these inequalities. The Office for National Statistics (2021) reported that Black and Asian communities experience higher mortality from chronic conditions yet remain underrepresented in hospices. Hospice UK (2021) found that although minority groups comprise over 14% of the population in urban areas, they represent only 2–3% of hospice users, compared with over 85% of White British patients.</w:t>
      </w:r>
    </w:p>
    <w:p w14:paraId="639E730D" w14:textId="77777777" w:rsidR="00307D29" w:rsidRPr="00307D29" w:rsidRDefault="00307D29" w:rsidP="00307D29">
      <w:pPr>
        <w:pStyle w:val="Heading1"/>
        <w:spacing w:line="360" w:lineRule="auto"/>
        <w:rPr>
          <w:rFonts w:cs="Arial"/>
          <w:b w:val="0"/>
          <w:bCs/>
          <w:sz w:val="22"/>
          <w:szCs w:val="22"/>
        </w:rPr>
      </w:pPr>
    </w:p>
    <w:p w14:paraId="418473CA" w14:textId="50B0A58B" w:rsidR="00AE13A8" w:rsidRDefault="00307D29" w:rsidP="00307D29">
      <w:pPr>
        <w:pStyle w:val="Heading1"/>
        <w:spacing w:line="360" w:lineRule="auto"/>
        <w:ind w:left="0"/>
        <w:rPr>
          <w:rFonts w:cs="Arial"/>
          <w:b w:val="0"/>
          <w:bCs/>
          <w:sz w:val="22"/>
          <w:szCs w:val="22"/>
        </w:rPr>
      </w:pPr>
      <w:r w:rsidRPr="00307D29">
        <w:rPr>
          <w:rFonts w:cs="Arial"/>
          <w:b w:val="0"/>
          <w:bCs/>
          <w:sz w:val="22"/>
          <w:szCs w:val="22"/>
        </w:rPr>
        <w:t>Similarly, Public Health England (2018) identified disparities in referrals and pain management. Ali and Watson (2018) observed that the COVID-19 pandemic intensified these inequities by limiting access to palliative discussions. National data also often fail to disaggregate ethnicity consistently, masking the true scale of the problem (Salway et al., 2016). Collectively, these figures demonstrate that mistrust and inequality are measurable, persistent, and systemic, underscoring the need to embed cultural competence within palliative care.</w:t>
      </w:r>
    </w:p>
    <w:p w14:paraId="07FFD3FB" w14:textId="77777777" w:rsidR="00307D29" w:rsidRDefault="00307D29" w:rsidP="00307D29">
      <w:pPr>
        <w:pStyle w:val="Heading1"/>
        <w:spacing w:line="360" w:lineRule="auto"/>
        <w:ind w:left="0"/>
        <w:rPr>
          <w:rFonts w:cs="Arial"/>
          <w:b w:val="0"/>
          <w:bCs/>
          <w:sz w:val="22"/>
          <w:szCs w:val="22"/>
        </w:rPr>
      </w:pPr>
    </w:p>
    <w:p w14:paraId="2A4C82D2" w14:textId="7AC660F3" w:rsidR="0040366A" w:rsidRPr="0040366A" w:rsidRDefault="0040366A" w:rsidP="00AE13A8">
      <w:pPr>
        <w:pStyle w:val="Heading1"/>
        <w:spacing w:line="360" w:lineRule="auto"/>
        <w:ind w:left="0"/>
        <w:rPr>
          <w:rFonts w:cs="Arial"/>
          <w:b w:val="0"/>
          <w:bCs/>
          <w:sz w:val="22"/>
          <w:szCs w:val="22"/>
          <w:u w:val="single"/>
        </w:rPr>
      </w:pPr>
      <w:r w:rsidRPr="0040366A">
        <w:rPr>
          <w:rFonts w:cs="Arial"/>
          <w:b w:val="0"/>
          <w:bCs/>
          <w:sz w:val="22"/>
          <w:szCs w:val="22"/>
          <w:u w:val="single"/>
        </w:rPr>
        <w:t>Theories, Policies, and Legislation</w:t>
      </w:r>
      <w:r w:rsidR="00D34F15">
        <w:rPr>
          <w:rFonts w:cs="Arial"/>
          <w:b w:val="0"/>
          <w:bCs/>
          <w:sz w:val="22"/>
          <w:szCs w:val="22"/>
          <w:u w:val="single"/>
        </w:rPr>
        <w:t xml:space="preserve"> </w:t>
      </w:r>
    </w:p>
    <w:p w14:paraId="54437C2B" w14:textId="77777777" w:rsidR="0040366A" w:rsidRPr="0040366A" w:rsidRDefault="0040366A" w:rsidP="0091415F">
      <w:pPr>
        <w:pStyle w:val="Heading1"/>
        <w:ind w:left="0"/>
        <w:rPr>
          <w:rFonts w:cs="Arial"/>
          <w:b w:val="0"/>
          <w:bCs/>
          <w:sz w:val="22"/>
          <w:szCs w:val="22"/>
        </w:rPr>
      </w:pPr>
    </w:p>
    <w:p w14:paraId="45A5423F" w14:textId="77777777" w:rsidR="0091415F" w:rsidRPr="0091415F" w:rsidRDefault="0091415F" w:rsidP="0091415F">
      <w:pPr>
        <w:pStyle w:val="Heading1"/>
        <w:spacing w:line="360" w:lineRule="auto"/>
        <w:ind w:left="0"/>
        <w:rPr>
          <w:rFonts w:cs="Arial"/>
          <w:b w:val="0"/>
          <w:bCs/>
          <w:sz w:val="22"/>
          <w:szCs w:val="22"/>
        </w:rPr>
      </w:pPr>
      <w:r w:rsidRPr="0091415F">
        <w:rPr>
          <w:rFonts w:cs="Arial"/>
          <w:b w:val="0"/>
          <w:bCs/>
          <w:sz w:val="22"/>
          <w:szCs w:val="22"/>
        </w:rPr>
        <w:t xml:space="preserve">Critical Race Theory (CRT) provides a robust framework for understanding mistrust and inequalities, emphasising that racism and exclusion are embedded within institutional systems rather than isolated incidents (Ford and </w:t>
      </w:r>
      <w:proofErr w:type="spellStart"/>
      <w:r w:rsidRPr="0091415F">
        <w:rPr>
          <w:rFonts w:cs="Arial"/>
          <w:b w:val="0"/>
          <w:bCs/>
          <w:sz w:val="22"/>
          <w:szCs w:val="22"/>
        </w:rPr>
        <w:t>Airhihenbuwa</w:t>
      </w:r>
      <w:proofErr w:type="spellEnd"/>
      <w:r w:rsidRPr="0091415F">
        <w:rPr>
          <w:rFonts w:cs="Arial"/>
          <w:b w:val="0"/>
          <w:bCs/>
          <w:sz w:val="22"/>
          <w:szCs w:val="22"/>
        </w:rPr>
        <w:t>, 2010). Complementing this, Papadopoulos’ Cultural Competence Model (2018) highlights that trust-building requires sustained awareness, reflection, and engagement with diverse communities.</w:t>
      </w:r>
    </w:p>
    <w:p w14:paraId="6FEB3FDA" w14:textId="77777777" w:rsidR="0091415F" w:rsidRPr="0091415F" w:rsidRDefault="0091415F" w:rsidP="0091415F">
      <w:pPr>
        <w:pStyle w:val="Heading1"/>
        <w:spacing w:line="360" w:lineRule="auto"/>
        <w:rPr>
          <w:rFonts w:cs="Arial"/>
          <w:b w:val="0"/>
          <w:bCs/>
          <w:sz w:val="22"/>
          <w:szCs w:val="22"/>
        </w:rPr>
      </w:pPr>
    </w:p>
    <w:p w14:paraId="6A269816" w14:textId="2EFD8DA6" w:rsidR="00CF3D95" w:rsidRDefault="0091415F" w:rsidP="0091415F">
      <w:pPr>
        <w:pStyle w:val="Heading1"/>
        <w:spacing w:line="360" w:lineRule="auto"/>
        <w:ind w:left="0"/>
        <w:rPr>
          <w:rFonts w:cs="Arial"/>
          <w:b w:val="0"/>
          <w:bCs/>
          <w:sz w:val="22"/>
          <w:szCs w:val="22"/>
        </w:rPr>
      </w:pPr>
      <w:r w:rsidRPr="0091415F">
        <w:rPr>
          <w:rFonts w:cs="Arial"/>
          <w:b w:val="0"/>
          <w:bCs/>
          <w:sz w:val="22"/>
          <w:szCs w:val="22"/>
        </w:rPr>
        <w:t xml:space="preserve">Legislatively, the Equality Act 2010 and Health and Social Care Act 2012 mandate equal access and non-discrimination, while the NHS Long Term Plan (2019) and CQC (2021) frameworks reinforce equity across care provision. However, as Salway et al. (2016) and Hospice UK (2021) argue, policy alone is insufficient. Without investment in training and structural accountability, equality goals remain unfulfilled. Thus, advancing cultural </w:t>
      </w:r>
      <w:r w:rsidRPr="0091415F">
        <w:rPr>
          <w:rFonts w:cs="Arial"/>
          <w:b w:val="0"/>
          <w:bCs/>
          <w:sz w:val="22"/>
          <w:szCs w:val="22"/>
        </w:rPr>
        <w:lastRenderedPageBreak/>
        <w:t>competence is central to rebuilding trust and closing access gaps.</w:t>
      </w:r>
    </w:p>
    <w:p w14:paraId="1FA80C28" w14:textId="77777777" w:rsidR="0091415F" w:rsidRDefault="0091415F" w:rsidP="0040366A">
      <w:pPr>
        <w:pStyle w:val="Heading1"/>
        <w:spacing w:line="360" w:lineRule="auto"/>
        <w:ind w:left="0"/>
        <w:rPr>
          <w:rFonts w:cs="Arial"/>
          <w:b w:val="0"/>
          <w:bCs/>
          <w:sz w:val="22"/>
          <w:szCs w:val="22"/>
        </w:rPr>
      </w:pPr>
    </w:p>
    <w:p w14:paraId="47676585" w14:textId="238E80A1" w:rsidR="00E87CE7" w:rsidRPr="004E4A3C" w:rsidRDefault="00E87CE7" w:rsidP="00E87CE7">
      <w:pPr>
        <w:pStyle w:val="Heading1"/>
        <w:ind w:left="0"/>
        <w:rPr>
          <w:rFonts w:cs="Arial"/>
          <w:b w:val="0"/>
          <w:bCs/>
          <w:sz w:val="22"/>
          <w:szCs w:val="22"/>
        </w:rPr>
      </w:pPr>
      <w:r w:rsidRPr="00E87CE7">
        <w:rPr>
          <w:rFonts w:cs="Arial"/>
          <w:b w:val="0"/>
          <w:bCs/>
          <w:sz w:val="22"/>
          <w:szCs w:val="22"/>
          <w:u w:val="single"/>
        </w:rPr>
        <w:t xml:space="preserve">Implications </w:t>
      </w:r>
      <w:r w:rsidR="004E4A3C">
        <w:rPr>
          <w:rFonts w:cs="Arial"/>
          <w:b w:val="0"/>
          <w:bCs/>
          <w:sz w:val="22"/>
          <w:szCs w:val="22"/>
          <w:u w:val="single"/>
        </w:rPr>
        <w:t xml:space="preserve"> </w:t>
      </w:r>
    </w:p>
    <w:p w14:paraId="64AE8704" w14:textId="77777777" w:rsidR="00E87CE7" w:rsidRDefault="00E87CE7" w:rsidP="004E4A3C">
      <w:pPr>
        <w:pStyle w:val="Heading1"/>
        <w:ind w:left="0"/>
        <w:rPr>
          <w:rFonts w:cs="Arial"/>
          <w:b w:val="0"/>
          <w:bCs/>
          <w:sz w:val="22"/>
          <w:szCs w:val="22"/>
        </w:rPr>
      </w:pPr>
    </w:p>
    <w:p w14:paraId="1913FFDD" w14:textId="77777777" w:rsidR="00F51F3C" w:rsidRPr="00F51F3C" w:rsidRDefault="00F51F3C" w:rsidP="00F51F3C">
      <w:pPr>
        <w:pStyle w:val="Heading1"/>
        <w:spacing w:line="360" w:lineRule="auto"/>
        <w:ind w:left="0"/>
        <w:rPr>
          <w:rFonts w:cs="Arial"/>
          <w:b w:val="0"/>
          <w:bCs/>
          <w:sz w:val="22"/>
          <w:szCs w:val="22"/>
        </w:rPr>
      </w:pPr>
      <w:r w:rsidRPr="00F51F3C">
        <w:rPr>
          <w:rFonts w:cs="Arial"/>
          <w:b w:val="0"/>
          <w:bCs/>
          <w:sz w:val="22"/>
          <w:szCs w:val="22"/>
        </w:rPr>
        <w:t>The implications of mistrust and inequality are profound. On the negative side, lack of trust deters service use, leading to late referrals and limited care options (Koffman et al., 2007). Families often carry the emotional and practical burden of care, while patients risk receiving treatment that conflicts with their cultural or spiritual values (</w:t>
      </w:r>
      <w:proofErr w:type="spellStart"/>
      <w:r w:rsidRPr="00F51F3C">
        <w:rPr>
          <w:rFonts w:cs="Arial"/>
          <w:b w:val="0"/>
          <w:bCs/>
          <w:sz w:val="22"/>
          <w:szCs w:val="22"/>
        </w:rPr>
        <w:t>Gatrad</w:t>
      </w:r>
      <w:proofErr w:type="spellEnd"/>
      <w:r w:rsidRPr="00F51F3C">
        <w:rPr>
          <w:rFonts w:cs="Arial"/>
          <w:b w:val="0"/>
          <w:bCs/>
          <w:sz w:val="22"/>
          <w:szCs w:val="22"/>
        </w:rPr>
        <w:t xml:space="preserve"> and Sheikh, 2002). Inadequate access to pain management and emotional support further compounds these disadvantages (Public Health England, 2018).</w:t>
      </w:r>
    </w:p>
    <w:p w14:paraId="2F4B85D9" w14:textId="77777777" w:rsidR="00F51F3C" w:rsidRPr="00F51F3C" w:rsidRDefault="00F51F3C" w:rsidP="00F51F3C">
      <w:pPr>
        <w:pStyle w:val="Heading1"/>
        <w:spacing w:line="360" w:lineRule="auto"/>
        <w:rPr>
          <w:rFonts w:cs="Arial"/>
          <w:b w:val="0"/>
          <w:bCs/>
          <w:sz w:val="22"/>
          <w:szCs w:val="22"/>
        </w:rPr>
      </w:pPr>
    </w:p>
    <w:p w14:paraId="46B6E9AC" w14:textId="7F5A9106" w:rsidR="004E4A3C" w:rsidRDefault="00F51F3C" w:rsidP="00F51F3C">
      <w:pPr>
        <w:pStyle w:val="Heading1"/>
        <w:spacing w:line="360" w:lineRule="auto"/>
        <w:ind w:left="0"/>
        <w:rPr>
          <w:rFonts w:cs="Arial"/>
          <w:b w:val="0"/>
          <w:bCs/>
          <w:sz w:val="22"/>
          <w:szCs w:val="22"/>
        </w:rPr>
      </w:pPr>
      <w:r w:rsidRPr="00F51F3C">
        <w:rPr>
          <w:rFonts w:cs="Arial"/>
          <w:b w:val="0"/>
          <w:bCs/>
          <w:sz w:val="22"/>
          <w:szCs w:val="22"/>
        </w:rPr>
        <w:t>Positively, studies show that trust can be restored through sustained community engagement and culturally attuned care. Collaborations with faith leaders have increased participation in hospice services (Hospice UK, 2021), and outreach initiatives such as multilingual campaigns have encouraged earlier engagement (Marie Curie, 2019). Yet, as Salway et al. (2016) caution, these efforts often remain fragmented, with short-term funding limiting long-term impact. Sustainable change requires integration into mainstream service provision.</w:t>
      </w:r>
    </w:p>
    <w:p w14:paraId="479EA2CF" w14:textId="77777777" w:rsidR="00F51F3C" w:rsidRDefault="00F51F3C" w:rsidP="00F51F3C">
      <w:pPr>
        <w:pStyle w:val="Heading1"/>
        <w:spacing w:line="360" w:lineRule="auto"/>
        <w:ind w:left="0"/>
        <w:rPr>
          <w:rFonts w:cs="Arial"/>
          <w:b w:val="0"/>
          <w:bCs/>
          <w:sz w:val="22"/>
          <w:szCs w:val="22"/>
        </w:rPr>
      </w:pPr>
    </w:p>
    <w:p w14:paraId="3348516E" w14:textId="77777777" w:rsidR="00F51F3C" w:rsidRDefault="00F51F3C" w:rsidP="00F733CC">
      <w:pPr>
        <w:pStyle w:val="Heading1"/>
        <w:ind w:left="0"/>
        <w:rPr>
          <w:rFonts w:cs="Arial"/>
          <w:b w:val="0"/>
          <w:bCs/>
          <w:sz w:val="22"/>
          <w:szCs w:val="22"/>
        </w:rPr>
      </w:pPr>
    </w:p>
    <w:p w14:paraId="1033C76C" w14:textId="7945A3C6" w:rsidR="00F733CC" w:rsidRPr="00F733CC" w:rsidRDefault="00F733CC" w:rsidP="00F733CC">
      <w:pPr>
        <w:pStyle w:val="Heading1"/>
        <w:ind w:left="0"/>
        <w:rPr>
          <w:rFonts w:cs="Arial"/>
          <w:b w:val="0"/>
          <w:bCs/>
          <w:sz w:val="22"/>
          <w:szCs w:val="22"/>
          <w:u w:val="single"/>
        </w:rPr>
      </w:pPr>
      <w:r w:rsidRPr="00F733CC">
        <w:rPr>
          <w:rFonts w:cs="Arial"/>
          <w:b w:val="0"/>
          <w:bCs/>
          <w:sz w:val="22"/>
          <w:szCs w:val="22"/>
          <w:u w:val="single"/>
        </w:rPr>
        <w:t>Examples and Case Studies</w:t>
      </w:r>
      <w:r w:rsidR="00E548BD">
        <w:rPr>
          <w:rFonts w:cs="Arial"/>
          <w:b w:val="0"/>
          <w:bCs/>
          <w:sz w:val="22"/>
          <w:szCs w:val="22"/>
          <w:u w:val="single"/>
        </w:rPr>
        <w:t xml:space="preserve"> </w:t>
      </w:r>
    </w:p>
    <w:p w14:paraId="2D762758" w14:textId="77777777" w:rsidR="00F733CC" w:rsidRPr="00F733CC" w:rsidRDefault="00F733CC" w:rsidP="00F733CC">
      <w:pPr>
        <w:pStyle w:val="Heading1"/>
        <w:rPr>
          <w:rFonts w:cs="Arial"/>
          <w:b w:val="0"/>
          <w:bCs/>
          <w:sz w:val="22"/>
          <w:szCs w:val="22"/>
        </w:rPr>
      </w:pPr>
    </w:p>
    <w:p w14:paraId="14B96559" w14:textId="77777777" w:rsidR="008755ED" w:rsidRPr="008755ED" w:rsidRDefault="008755ED" w:rsidP="008755ED">
      <w:pPr>
        <w:pStyle w:val="Heading1"/>
        <w:spacing w:line="360" w:lineRule="auto"/>
        <w:ind w:left="0"/>
        <w:rPr>
          <w:rFonts w:cs="Arial"/>
          <w:b w:val="0"/>
          <w:bCs/>
          <w:sz w:val="22"/>
          <w:szCs w:val="22"/>
        </w:rPr>
      </w:pPr>
      <w:r w:rsidRPr="008755ED">
        <w:rPr>
          <w:rFonts w:cs="Arial"/>
          <w:b w:val="0"/>
          <w:bCs/>
          <w:sz w:val="22"/>
          <w:szCs w:val="22"/>
        </w:rPr>
        <w:t>Empirical examples demonstrate how mistrust can be mitigated through culturally competent initiatives. The Breaking Down Barriers project (Hospice UK, 2021) collaborated with Black and Asian communities in Birmingham and Leicester, showing that co-designed outreach increased service uptake and awareness, though concerns about funding continuity persisted.</w:t>
      </w:r>
    </w:p>
    <w:p w14:paraId="2771BF9B" w14:textId="77777777" w:rsidR="008755ED" w:rsidRPr="008755ED" w:rsidRDefault="008755ED" w:rsidP="008755ED">
      <w:pPr>
        <w:pStyle w:val="Heading1"/>
        <w:spacing w:line="360" w:lineRule="auto"/>
        <w:rPr>
          <w:rFonts w:cs="Arial"/>
          <w:b w:val="0"/>
          <w:bCs/>
          <w:sz w:val="22"/>
          <w:szCs w:val="22"/>
        </w:rPr>
      </w:pPr>
    </w:p>
    <w:p w14:paraId="51D06098" w14:textId="77777777" w:rsidR="008755ED" w:rsidRPr="008755ED" w:rsidRDefault="008755ED" w:rsidP="008755ED">
      <w:pPr>
        <w:pStyle w:val="Heading1"/>
        <w:spacing w:line="360" w:lineRule="auto"/>
        <w:ind w:left="0"/>
        <w:rPr>
          <w:rFonts w:cs="Arial"/>
          <w:b w:val="0"/>
          <w:bCs/>
          <w:sz w:val="22"/>
          <w:szCs w:val="22"/>
        </w:rPr>
      </w:pPr>
      <w:r w:rsidRPr="008755ED">
        <w:rPr>
          <w:rFonts w:cs="Arial"/>
          <w:b w:val="0"/>
          <w:bCs/>
          <w:sz w:val="22"/>
          <w:szCs w:val="22"/>
        </w:rPr>
        <w:t>Similarly, Marie Curie’s Equity and Access Programme (2019) in Bradford found that faith-led partnerships and multilingual resources improved early referrals and patient confidence in statutory care. Respect for cultural identity proved key to rebuilding trust.</w:t>
      </w:r>
    </w:p>
    <w:p w14:paraId="42168567" w14:textId="77777777" w:rsidR="008755ED" w:rsidRPr="008755ED" w:rsidRDefault="008755ED" w:rsidP="008755ED">
      <w:pPr>
        <w:pStyle w:val="Heading1"/>
        <w:spacing w:line="360" w:lineRule="auto"/>
        <w:rPr>
          <w:rFonts w:cs="Arial"/>
          <w:b w:val="0"/>
          <w:bCs/>
          <w:sz w:val="22"/>
          <w:szCs w:val="22"/>
        </w:rPr>
      </w:pPr>
    </w:p>
    <w:p w14:paraId="748B5856" w14:textId="77777777" w:rsidR="008755ED" w:rsidRDefault="008755ED" w:rsidP="008755ED">
      <w:pPr>
        <w:pStyle w:val="Heading1"/>
        <w:spacing w:line="360" w:lineRule="auto"/>
        <w:ind w:left="0"/>
        <w:rPr>
          <w:rFonts w:cs="Arial"/>
          <w:b w:val="0"/>
          <w:bCs/>
          <w:sz w:val="22"/>
          <w:szCs w:val="22"/>
        </w:rPr>
      </w:pPr>
    </w:p>
    <w:p w14:paraId="434E617B" w14:textId="3326DA24" w:rsidR="008A4A7B" w:rsidRDefault="008755ED" w:rsidP="008755ED">
      <w:pPr>
        <w:pStyle w:val="Heading1"/>
        <w:spacing w:line="360" w:lineRule="auto"/>
        <w:ind w:left="0"/>
        <w:rPr>
          <w:rFonts w:cs="Arial"/>
          <w:b w:val="0"/>
          <w:bCs/>
          <w:sz w:val="22"/>
          <w:szCs w:val="22"/>
        </w:rPr>
      </w:pPr>
      <w:r w:rsidRPr="008755ED">
        <w:rPr>
          <w:rFonts w:cs="Arial"/>
          <w:b w:val="0"/>
          <w:bCs/>
          <w:sz w:val="22"/>
          <w:szCs w:val="22"/>
        </w:rPr>
        <w:t>A comparative example from Canada showed that incorporating Indigenous elders into palliative care planning enhanced cultural safety and service acceptance (Browne et al., 2009). This cross-context evidence reinforces that community-led, culturally grounded approaches are essential for inclusive care.</w:t>
      </w:r>
    </w:p>
    <w:p w14:paraId="3143A11C" w14:textId="77777777" w:rsidR="008A4A7B" w:rsidRDefault="008A4A7B" w:rsidP="005F6C4F">
      <w:pPr>
        <w:pStyle w:val="Heading1"/>
        <w:ind w:left="0"/>
        <w:rPr>
          <w:rFonts w:cs="Arial"/>
          <w:b w:val="0"/>
          <w:bCs/>
          <w:sz w:val="22"/>
          <w:szCs w:val="22"/>
        </w:rPr>
      </w:pPr>
    </w:p>
    <w:p w14:paraId="1A90CA41" w14:textId="77777777" w:rsidR="003A0002" w:rsidRDefault="003A0002" w:rsidP="005F6C4F">
      <w:pPr>
        <w:pStyle w:val="Heading1"/>
        <w:ind w:left="0"/>
        <w:rPr>
          <w:rFonts w:cs="Arial"/>
          <w:b w:val="0"/>
          <w:bCs/>
          <w:sz w:val="22"/>
          <w:szCs w:val="22"/>
        </w:rPr>
      </w:pPr>
    </w:p>
    <w:p w14:paraId="3D155134" w14:textId="2E772EC9" w:rsidR="005F6C4F" w:rsidRPr="005F6C4F" w:rsidRDefault="005F6C4F" w:rsidP="005F6C4F">
      <w:pPr>
        <w:pStyle w:val="Heading1"/>
        <w:ind w:left="0"/>
        <w:rPr>
          <w:rFonts w:cs="Arial"/>
          <w:b w:val="0"/>
          <w:bCs/>
          <w:sz w:val="22"/>
          <w:szCs w:val="22"/>
          <w:u w:val="single"/>
        </w:rPr>
      </w:pPr>
      <w:r w:rsidRPr="005F6C4F">
        <w:rPr>
          <w:rFonts w:cs="Arial"/>
          <w:b w:val="0"/>
          <w:bCs/>
          <w:sz w:val="22"/>
          <w:szCs w:val="22"/>
          <w:u w:val="single"/>
        </w:rPr>
        <w:lastRenderedPageBreak/>
        <w:t>Connections to Other Themes</w:t>
      </w:r>
      <w:r w:rsidR="00133A4A">
        <w:rPr>
          <w:rFonts w:cs="Arial"/>
          <w:b w:val="0"/>
          <w:bCs/>
          <w:sz w:val="22"/>
          <w:szCs w:val="22"/>
          <w:u w:val="single"/>
        </w:rPr>
        <w:t xml:space="preserve"> </w:t>
      </w:r>
    </w:p>
    <w:p w14:paraId="75D8FF5F" w14:textId="77777777" w:rsidR="005F6C4F" w:rsidRPr="005F6C4F" w:rsidRDefault="005F6C4F" w:rsidP="005F6C4F">
      <w:pPr>
        <w:pStyle w:val="Heading1"/>
        <w:rPr>
          <w:rFonts w:cs="Arial"/>
          <w:b w:val="0"/>
          <w:bCs/>
          <w:sz w:val="22"/>
          <w:szCs w:val="22"/>
        </w:rPr>
      </w:pPr>
    </w:p>
    <w:p w14:paraId="39F2E2DA" w14:textId="1C3C60EE" w:rsidR="00E04FBD" w:rsidRPr="00E04FBD" w:rsidRDefault="00E04FBD" w:rsidP="00E04FBD">
      <w:pPr>
        <w:pStyle w:val="Heading1"/>
        <w:spacing w:line="360" w:lineRule="auto"/>
        <w:ind w:left="0"/>
        <w:rPr>
          <w:rFonts w:cs="Arial"/>
          <w:b w:val="0"/>
          <w:bCs/>
          <w:sz w:val="22"/>
          <w:szCs w:val="22"/>
        </w:rPr>
      </w:pPr>
      <w:r w:rsidRPr="00E04FBD">
        <w:rPr>
          <w:rFonts w:cs="Arial"/>
          <w:b w:val="0"/>
          <w:bCs/>
          <w:sz w:val="22"/>
          <w:szCs w:val="22"/>
        </w:rPr>
        <w:t>This theme connects directly with Theme 1</w:t>
      </w:r>
      <w:r w:rsidR="00352D6E">
        <w:rPr>
          <w:rFonts w:cs="Arial"/>
          <w:b w:val="0"/>
          <w:bCs/>
          <w:sz w:val="22"/>
          <w:szCs w:val="22"/>
        </w:rPr>
        <w:t xml:space="preserve"> - </w:t>
      </w:r>
      <w:r w:rsidRPr="00E04FBD">
        <w:rPr>
          <w:rFonts w:cs="Arial"/>
          <w:b w:val="0"/>
          <w:bCs/>
          <w:sz w:val="22"/>
          <w:szCs w:val="22"/>
        </w:rPr>
        <w:t>Communication Barriers and Language Needs, as ineffective communication often forms the root of mistrust. When patients cannot fully express or comprehend care discussions, they may perceive services as indifferent or exclusionary (Koffman et al., 2007).</w:t>
      </w:r>
    </w:p>
    <w:p w14:paraId="35F5A255" w14:textId="77777777" w:rsidR="00E04FBD" w:rsidRPr="00E04FBD" w:rsidRDefault="00E04FBD" w:rsidP="00E04FBD">
      <w:pPr>
        <w:pStyle w:val="Heading1"/>
        <w:spacing w:line="360" w:lineRule="auto"/>
        <w:rPr>
          <w:rFonts w:cs="Arial"/>
          <w:b w:val="0"/>
          <w:bCs/>
          <w:sz w:val="22"/>
          <w:szCs w:val="22"/>
        </w:rPr>
      </w:pPr>
    </w:p>
    <w:p w14:paraId="6B6F667F" w14:textId="7A4C7BBD" w:rsidR="00223286" w:rsidRDefault="00E04FBD" w:rsidP="00E04FBD">
      <w:pPr>
        <w:pStyle w:val="Heading1"/>
        <w:spacing w:line="360" w:lineRule="auto"/>
        <w:ind w:left="0"/>
        <w:rPr>
          <w:rFonts w:cs="Arial"/>
          <w:b w:val="0"/>
          <w:bCs/>
          <w:sz w:val="22"/>
          <w:szCs w:val="22"/>
        </w:rPr>
      </w:pPr>
      <w:r w:rsidRPr="00E04FBD">
        <w:rPr>
          <w:rFonts w:cs="Arial"/>
          <w:b w:val="0"/>
          <w:bCs/>
          <w:sz w:val="22"/>
          <w:szCs w:val="22"/>
        </w:rPr>
        <w:t>It also links closely with Theme 3</w:t>
      </w:r>
      <w:r w:rsidR="00352D6E">
        <w:rPr>
          <w:rFonts w:cs="Arial"/>
          <w:b w:val="0"/>
          <w:bCs/>
          <w:sz w:val="22"/>
          <w:szCs w:val="22"/>
        </w:rPr>
        <w:t xml:space="preserve"> - </w:t>
      </w:r>
      <w:r w:rsidRPr="00E04FBD">
        <w:rPr>
          <w:rFonts w:cs="Arial"/>
          <w:b w:val="0"/>
          <w:bCs/>
          <w:sz w:val="22"/>
          <w:szCs w:val="22"/>
        </w:rPr>
        <w:t>Workforce Training and Cultural Competence, since staff diversity, empathy, and cultural awareness are pivotal to trust-building. Inadequate preparation perpetuates Eurocentric care models, further marginalising minority patients (Papadopoulos, 2006). Together, these themes demonstrate that communication, trust, and workforce competence must operate interdependently to achieve equitable, culturally responsive EOL care.</w:t>
      </w:r>
    </w:p>
    <w:p w14:paraId="67C36F98" w14:textId="77777777" w:rsidR="00223286" w:rsidRDefault="00223286" w:rsidP="00F02147">
      <w:pPr>
        <w:pStyle w:val="Heading1"/>
        <w:spacing w:line="360" w:lineRule="auto"/>
        <w:ind w:left="0"/>
        <w:rPr>
          <w:rFonts w:cs="Arial"/>
          <w:b w:val="0"/>
          <w:bCs/>
          <w:sz w:val="22"/>
          <w:szCs w:val="22"/>
        </w:rPr>
      </w:pPr>
    </w:p>
    <w:p w14:paraId="22F26B03" w14:textId="77777777" w:rsidR="00223286" w:rsidRDefault="00223286" w:rsidP="00F02147">
      <w:pPr>
        <w:pStyle w:val="Heading1"/>
        <w:spacing w:line="360" w:lineRule="auto"/>
        <w:ind w:left="0"/>
        <w:rPr>
          <w:rFonts w:cs="Arial"/>
          <w:b w:val="0"/>
          <w:bCs/>
          <w:sz w:val="22"/>
          <w:szCs w:val="22"/>
        </w:rPr>
      </w:pPr>
    </w:p>
    <w:p w14:paraId="0D8B4DA0" w14:textId="658B9277" w:rsidR="00636D9A" w:rsidRDefault="000E1473" w:rsidP="003034FB">
      <w:pPr>
        <w:pStyle w:val="Heading1"/>
        <w:spacing w:line="360" w:lineRule="auto"/>
        <w:ind w:left="0"/>
        <w:rPr>
          <w:rFonts w:cs="Arial"/>
          <w:sz w:val="22"/>
          <w:szCs w:val="22"/>
          <w:u w:val="single"/>
        </w:rPr>
      </w:pPr>
      <w:r>
        <w:rPr>
          <w:rFonts w:cs="Arial"/>
          <w:sz w:val="22"/>
          <w:szCs w:val="22"/>
          <w:u w:val="single"/>
        </w:rPr>
        <w:t xml:space="preserve">4.5 – Theme 3 </w:t>
      </w:r>
      <w:r w:rsidRPr="000E1473">
        <w:rPr>
          <w:rFonts w:cs="Arial"/>
          <w:sz w:val="22"/>
          <w:szCs w:val="22"/>
          <w:u w:val="single"/>
        </w:rPr>
        <w:t xml:space="preserve"> – Workforce Training and Cultural Competence (Policy and Service Provision Gaps)</w:t>
      </w:r>
    </w:p>
    <w:p w14:paraId="27C28DE0" w14:textId="77777777" w:rsidR="00D44796" w:rsidRDefault="00D44796" w:rsidP="003034FB">
      <w:pPr>
        <w:pStyle w:val="Heading1"/>
        <w:spacing w:line="360" w:lineRule="auto"/>
        <w:ind w:left="0"/>
        <w:rPr>
          <w:rFonts w:cs="Arial"/>
          <w:sz w:val="22"/>
          <w:szCs w:val="22"/>
          <w:u w:val="single"/>
        </w:rPr>
      </w:pPr>
    </w:p>
    <w:p w14:paraId="334562CC" w14:textId="0F951204" w:rsidR="003034FB" w:rsidRPr="003034FB" w:rsidRDefault="003034FB" w:rsidP="003034FB">
      <w:pPr>
        <w:pStyle w:val="Heading1"/>
        <w:spacing w:line="360" w:lineRule="auto"/>
        <w:ind w:left="0"/>
        <w:rPr>
          <w:rFonts w:cs="Arial"/>
          <w:b w:val="0"/>
          <w:bCs/>
          <w:sz w:val="22"/>
          <w:szCs w:val="22"/>
        </w:rPr>
      </w:pPr>
      <w:r w:rsidRPr="006868C7">
        <w:rPr>
          <w:rFonts w:cs="Arial"/>
          <w:b w:val="0"/>
          <w:bCs/>
          <w:sz w:val="22"/>
          <w:szCs w:val="22"/>
          <w:u w:val="single"/>
        </w:rPr>
        <w:t>Definition</w:t>
      </w:r>
      <w:r w:rsidRPr="003034FB">
        <w:rPr>
          <w:rFonts w:cs="Arial"/>
          <w:b w:val="0"/>
          <w:bCs/>
          <w:sz w:val="22"/>
          <w:szCs w:val="22"/>
        </w:rPr>
        <w:t xml:space="preserve"> </w:t>
      </w:r>
    </w:p>
    <w:p w14:paraId="07EBEDAD" w14:textId="477F0B87" w:rsidR="003034FB" w:rsidRPr="003034FB" w:rsidRDefault="009D61CD" w:rsidP="009D61CD">
      <w:pPr>
        <w:pStyle w:val="Heading1"/>
        <w:spacing w:line="360" w:lineRule="auto"/>
        <w:ind w:left="0"/>
        <w:rPr>
          <w:rFonts w:cs="Arial"/>
          <w:b w:val="0"/>
          <w:bCs/>
          <w:sz w:val="22"/>
          <w:szCs w:val="22"/>
        </w:rPr>
      </w:pPr>
      <w:r w:rsidRPr="009D61CD">
        <w:rPr>
          <w:rFonts w:cs="Arial"/>
          <w:b w:val="0"/>
          <w:bCs/>
          <w:sz w:val="22"/>
          <w:szCs w:val="22"/>
        </w:rPr>
        <w:t>Workforce training and cultural competence refer to the ongoing process by which health and social care professionals acquire the knowledge, skills, and attitudes required to deliver equitable, person-centred care across diverse populations. Papadopoulos (2006) conceptualises cultural competence as comprising four interrelated components</w:t>
      </w:r>
      <w:r w:rsidR="0067769A">
        <w:rPr>
          <w:rFonts w:cs="Arial"/>
          <w:b w:val="0"/>
          <w:bCs/>
          <w:sz w:val="22"/>
          <w:szCs w:val="22"/>
        </w:rPr>
        <w:t xml:space="preserve"> - </w:t>
      </w:r>
      <w:r w:rsidRPr="009D61CD">
        <w:rPr>
          <w:rFonts w:cs="Arial"/>
          <w:b w:val="0"/>
          <w:bCs/>
          <w:sz w:val="22"/>
          <w:szCs w:val="22"/>
        </w:rPr>
        <w:t>awareness, knowledge, sensitivity, and competence</w:t>
      </w:r>
      <w:r w:rsidR="00B30D24">
        <w:rPr>
          <w:rFonts w:cs="Arial"/>
          <w:b w:val="0"/>
          <w:bCs/>
          <w:sz w:val="22"/>
          <w:szCs w:val="22"/>
        </w:rPr>
        <w:t xml:space="preserve">, </w:t>
      </w:r>
      <w:r w:rsidR="0028021C" w:rsidRPr="009D61CD">
        <w:rPr>
          <w:rFonts w:cs="Arial"/>
          <w:b w:val="0"/>
          <w:bCs/>
          <w:sz w:val="22"/>
          <w:szCs w:val="22"/>
        </w:rPr>
        <w:t>which</w:t>
      </w:r>
      <w:r w:rsidRPr="009D61CD">
        <w:rPr>
          <w:rFonts w:cs="Arial"/>
          <w:b w:val="0"/>
          <w:bCs/>
          <w:sz w:val="22"/>
          <w:szCs w:val="22"/>
        </w:rPr>
        <w:t xml:space="preserve"> enable practitioners to appreciate how culture shapes health beliefs and end-of-life (EOL) preferences. Beyond factual understanding, it also involves cultural humility</w:t>
      </w:r>
      <w:r w:rsidR="00B30D24">
        <w:rPr>
          <w:rFonts w:cs="Arial"/>
          <w:b w:val="0"/>
          <w:bCs/>
          <w:sz w:val="22"/>
          <w:szCs w:val="22"/>
        </w:rPr>
        <w:t xml:space="preserve">, </w:t>
      </w:r>
      <w:r w:rsidRPr="009D61CD">
        <w:rPr>
          <w:rFonts w:cs="Arial"/>
          <w:b w:val="0"/>
          <w:bCs/>
          <w:sz w:val="22"/>
          <w:szCs w:val="22"/>
        </w:rPr>
        <w:t>the capacity to recognise personal bias and engage respectfully with difference (</w:t>
      </w:r>
      <w:proofErr w:type="spellStart"/>
      <w:r w:rsidRPr="009D61CD">
        <w:rPr>
          <w:rFonts w:cs="Arial"/>
          <w:b w:val="0"/>
          <w:bCs/>
          <w:sz w:val="22"/>
          <w:szCs w:val="22"/>
        </w:rPr>
        <w:t>Tervalon</w:t>
      </w:r>
      <w:proofErr w:type="spellEnd"/>
      <w:r w:rsidRPr="009D61CD">
        <w:rPr>
          <w:rFonts w:cs="Arial"/>
          <w:b w:val="0"/>
          <w:bCs/>
          <w:sz w:val="22"/>
          <w:szCs w:val="22"/>
        </w:rPr>
        <w:t xml:space="preserve"> and Murray-García, 1998). Within EOL care, culturally competent training equips practitioners to meet patient’</w:t>
      </w:r>
      <w:r w:rsidR="00B30D24">
        <w:rPr>
          <w:rFonts w:cs="Arial"/>
          <w:b w:val="0"/>
          <w:bCs/>
          <w:sz w:val="22"/>
          <w:szCs w:val="22"/>
        </w:rPr>
        <w:t>s</w:t>
      </w:r>
      <w:r w:rsidRPr="009D61CD">
        <w:rPr>
          <w:rFonts w:cs="Arial"/>
          <w:b w:val="0"/>
          <w:bCs/>
          <w:sz w:val="22"/>
          <w:szCs w:val="22"/>
        </w:rPr>
        <w:t xml:space="preserve"> cultural, spiritual, and linguistic needs, ensuring dignity, inclusion, and equality (</w:t>
      </w:r>
      <w:proofErr w:type="spellStart"/>
      <w:r w:rsidRPr="009D61CD">
        <w:rPr>
          <w:rFonts w:cs="Arial"/>
          <w:b w:val="0"/>
          <w:bCs/>
          <w:sz w:val="22"/>
          <w:szCs w:val="22"/>
        </w:rPr>
        <w:t>Kaihlanen</w:t>
      </w:r>
      <w:proofErr w:type="spellEnd"/>
      <w:r w:rsidRPr="009D61CD">
        <w:rPr>
          <w:rFonts w:cs="Arial"/>
          <w:b w:val="0"/>
          <w:bCs/>
          <w:sz w:val="22"/>
          <w:szCs w:val="22"/>
        </w:rPr>
        <w:t xml:space="preserve"> et al., 2019). It is therefore both an ethical duty and a practical framework for reducing systemic inequalities in service provision.</w:t>
      </w:r>
    </w:p>
    <w:p w14:paraId="2276D8B9" w14:textId="77777777" w:rsidR="00EC3473" w:rsidRDefault="00EC3473" w:rsidP="003034FB">
      <w:pPr>
        <w:pStyle w:val="Heading1"/>
        <w:spacing w:line="360" w:lineRule="auto"/>
        <w:ind w:left="0"/>
        <w:rPr>
          <w:rFonts w:cs="Arial"/>
          <w:b w:val="0"/>
          <w:bCs/>
          <w:sz w:val="22"/>
          <w:szCs w:val="22"/>
        </w:rPr>
      </w:pPr>
    </w:p>
    <w:p w14:paraId="699FCD1A" w14:textId="77777777" w:rsidR="004609C6" w:rsidRDefault="004609C6" w:rsidP="00EC3473">
      <w:pPr>
        <w:pStyle w:val="Heading1"/>
        <w:ind w:left="0"/>
        <w:rPr>
          <w:rFonts w:cs="Arial"/>
          <w:b w:val="0"/>
          <w:bCs/>
          <w:sz w:val="22"/>
          <w:szCs w:val="22"/>
          <w:u w:val="single"/>
        </w:rPr>
      </w:pPr>
    </w:p>
    <w:p w14:paraId="071F3AD3" w14:textId="701C07A1" w:rsidR="00EC3473" w:rsidRPr="00AD738D" w:rsidRDefault="00EC3473" w:rsidP="00EC3473">
      <w:pPr>
        <w:pStyle w:val="Heading1"/>
        <w:ind w:left="0"/>
        <w:rPr>
          <w:rFonts w:cs="Arial"/>
          <w:b w:val="0"/>
          <w:bCs/>
          <w:sz w:val="22"/>
          <w:szCs w:val="22"/>
        </w:rPr>
      </w:pPr>
      <w:r w:rsidRPr="00AD738D">
        <w:rPr>
          <w:rFonts w:cs="Arial"/>
          <w:b w:val="0"/>
          <w:bCs/>
          <w:sz w:val="22"/>
          <w:szCs w:val="22"/>
          <w:u w:val="single"/>
        </w:rPr>
        <w:t>Background Information</w:t>
      </w:r>
      <w:r w:rsidRPr="00AD738D">
        <w:rPr>
          <w:rFonts w:cs="Arial"/>
          <w:b w:val="0"/>
          <w:bCs/>
          <w:sz w:val="22"/>
          <w:szCs w:val="22"/>
        </w:rPr>
        <w:t xml:space="preserve"> </w:t>
      </w:r>
    </w:p>
    <w:p w14:paraId="54205AB0" w14:textId="77777777" w:rsidR="00EC3473" w:rsidRPr="00AD738D" w:rsidRDefault="00EC3473" w:rsidP="00EC3473">
      <w:pPr>
        <w:pStyle w:val="Heading1"/>
        <w:rPr>
          <w:rFonts w:cs="Arial"/>
          <w:b w:val="0"/>
          <w:bCs/>
          <w:sz w:val="22"/>
          <w:szCs w:val="22"/>
        </w:rPr>
      </w:pPr>
    </w:p>
    <w:p w14:paraId="7CA08E26" w14:textId="1E77CBBA" w:rsidR="004A3AC3" w:rsidRPr="004A3AC3" w:rsidRDefault="004A3AC3" w:rsidP="004A3AC3">
      <w:pPr>
        <w:rPr>
          <w:rFonts w:ascii="Arial" w:hAnsi="Arial" w:cs="Arial"/>
          <w:bCs/>
        </w:rPr>
      </w:pPr>
      <w:r w:rsidRPr="004A3AC3">
        <w:rPr>
          <w:rFonts w:ascii="Arial" w:hAnsi="Arial" w:cs="Arial"/>
          <w:bCs/>
        </w:rPr>
        <w:t xml:space="preserve">The development of cultural competence within the UK health workforce has paralleled broader shifts toward equality and diversity in public services. Historically, EOL care in Britain was grounded in Western biomedical models that prioritised uniform service delivery, often </w:t>
      </w:r>
      <w:r w:rsidRPr="004A3AC3">
        <w:rPr>
          <w:rFonts w:ascii="Arial" w:hAnsi="Arial" w:cs="Arial"/>
          <w:bCs/>
        </w:rPr>
        <w:lastRenderedPageBreak/>
        <w:t>neglecting cultural variation (Gott et al., 2013). However, increasing ethnic diversity</w:t>
      </w:r>
      <w:r>
        <w:rPr>
          <w:rFonts w:ascii="Arial" w:hAnsi="Arial" w:cs="Arial"/>
          <w:bCs/>
        </w:rPr>
        <w:t xml:space="preserve">, </w:t>
      </w:r>
      <w:r w:rsidRPr="004A3AC3">
        <w:rPr>
          <w:rFonts w:ascii="Arial" w:hAnsi="Arial" w:cs="Arial"/>
          <w:bCs/>
        </w:rPr>
        <w:t>particularly following post-war immigration</w:t>
      </w:r>
      <w:r w:rsidR="005A5F02">
        <w:rPr>
          <w:rFonts w:ascii="Arial" w:hAnsi="Arial" w:cs="Arial"/>
          <w:bCs/>
        </w:rPr>
        <w:t>,</w:t>
      </w:r>
      <w:r>
        <w:rPr>
          <w:rFonts w:ascii="Arial" w:hAnsi="Arial" w:cs="Arial"/>
          <w:bCs/>
        </w:rPr>
        <w:t xml:space="preserve"> </w:t>
      </w:r>
      <w:r w:rsidRPr="004A3AC3">
        <w:rPr>
          <w:rFonts w:ascii="Arial" w:hAnsi="Arial" w:cs="Arial"/>
          <w:bCs/>
        </w:rPr>
        <w:t>exposed disparities and prompted a policy emphasis on cultural inclusion in professional training (Salway et al., 2016).</w:t>
      </w:r>
    </w:p>
    <w:p w14:paraId="0985D055" w14:textId="77777777" w:rsidR="004A3AC3" w:rsidRPr="004A3AC3" w:rsidRDefault="004A3AC3" w:rsidP="004A3AC3">
      <w:pPr>
        <w:rPr>
          <w:rFonts w:ascii="Arial" w:hAnsi="Arial" w:cs="Arial"/>
          <w:bCs/>
        </w:rPr>
      </w:pPr>
      <w:r w:rsidRPr="004A3AC3">
        <w:rPr>
          <w:rFonts w:ascii="Arial" w:hAnsi="Arial" w:cs="Arial"/>
          <w:bCs/>
        </w:rPr>
        <w:t>Early responses, such as the Delivering Race Equality in Mental Health Care (Department of Health, 2005) strategy, laid the foundations for workforce education on cultural awareness. Subsequent initiatives from the NHS Leadership Academy and Skills for Care sought to embed cultural competence within staff development frameworks (Papadopoulos, 2006). Yet, evaluations continue to reveal fragmented implementation and limited impact (</w:t>
      </w:r>
      <w:proofErr w:type="spellStart"/>
      <w:r w:rsidRPr="004A3AC3">
        <w:rPr>
          <w:rFonts w:ascii="Arial" w:hAnsi="Arial" w:cs="Arial"/>
          <w:bCs/>
        </w:rPr>
        <w:t>Kaihlanen</w:t>
      </w:r>
      <w:proofErr w:type="spellEnd"/>
      <w:r w:rsidRPr="004A3AC3">
        <w:rPr>
          <w:rFonts w:ascii="Arial" w:hAnsi="Arial" w:cs="Arial"/>
          <w:bCs/>
        </w:rPr>
        <w:t xml:space="preserve"> et al., 2019).</w:t>
      </w:r>
    </w:p>
    <w:p w14:paraId="1304B664" w14:textId="77777777" w:rsidR="005A5F02" w:rsidRDefault="004A3AC3" w:rsidP="00A52EF8">
      <w:pPr>
        <w:rPr>
          <w:rFonts w:ascii="Arial" w:hAnsi="Arial" w:cs="Arial"/>
          <w:bCs/>
        </w:rPr>
      </w:pPr>
      <w:r w:rsidRPr="004A3AC3">
        <w:rPr>
          <w:rFonts w:ascii="Arial" w:hAnsi="Arial" w:cs="Arial"/>
          <w:bCs/>
        </w:rPr>
        <w:t>In EOL care specifically, professionals often express uncertainty about adapting care to meet religious rituals or communication preferences, illustrating the persistent gap between inclusive policy rhetoric and daily practice (Koffman et al., 2007). This historical trajectory underscores why strengthening workforce competence remains pivotal to achieving equity and dignity in EOL care.</w:t>
      </w:r>
    </w:p>
    <w:p w14:paraId="44B2DB07" w14:textId="1BC8C0D8" w:rsidR="00A52EF8" w:rsidRPr="005A5F02" w:rsidRDefault="00A52EF8" w:rsidP="00A52EF8">
      <w:pPr>
        <w:rPr>
          <w:rFonts w:ascii="Arial" w:hAnsi="Arial" w:cs="Arial"/>
          <w:bCs/>
        </w:rPr>
      </w:pPr>
      <w:r w:rsidRPr="00A52EF8">
        <w:rPr>
          <w:rFonts w:ascii="Arial" w:eastAsia="Calibri Light" w:hAnsi="Arial" w:cs="Arial"/>
          <w:bCs/>
          <w:kern w:val="0"/>
          <w:u w:val="single"/>
          <w:lang w:eastAsia="en-GB" w:bidi="en-GB"/>
          <w14:ligatures w14:val="none"/>
        </w:rPr>
        <w:t>Impact on Research Question</w:t>
      </w:r>
      <w:r w:rsidRPr="00A52EF8">
        <w:rPr>
          <w:rFonts w:ascii="Arial" w:eastAsia="Calibri Light" w:hAnsi="Arial" w:cs="Arial"/>
          <w:bCs/>
          <w:kern w:val="0"/>
          <w:lang w:eastAsia="en-GB" w:bidi="en-GB"/>
          <w14:ligatures w14:val="none"/>
        </w:rPr>
        <w:t xml:space="preserve"> </w:t>
      </w:r>
    </w:p>
    <w:p w14:paraId="24A9661D" w14:textId="77777777" w:rsidR="00CA009F" w:rsidRPr="00CA009F" w:rsidRDefault="00CA009F" w:rsidP="00CA009F">
      <w:pPr>
        <w:rPr>
          <w:rFonts w:ascii="Arial" w:eastAsia="Calibri Light" w:hAnsi="Arial" w:cs="Arial"/>
          <w:bCs/>
          <w:kern w:val="0"/>
          <w:lang w:eastAsia="en-GB" w:bidi="en-GB"/>
          <w14:ligatures w14:val="none"/>
        </w:rPr>
      </w:pPr>
      <w:r w:rsidRPr="00CA009F">
        <w:rPr>
          <w:rFonts w:ascii="Arial" w:eastAsia="Calibri Light" w:hAnsi="Arial" w:cs="Arial"/>
          <w:bCs/>
          <w:kern w:val="0"/>
          <w:lang w:eastAsia="en-GB" w:bidi="en-GB"/>
          <w14:ligatures w14:val="none"/>
        </w:rPr>
        <w:t>Workforce training and cultural competence are central to addressing the barriers faced by ethnic minority communities in accessing EOL care. This theme directly supports the dissertation’s research aim by demonstrating that inadequate training perpetuates systemic inequities. When practitioners lack awareness of cultural and spiritual dimensions of dying, care becomes standardised rather than individualised, reinforcing mistrust and disengagement (Koffman et al., 2007).</w:t>
      </w:r>
    </w:p>
    <w:p w14:paraId="309F9A0F" w14:textId="6FC243CE" w:rsidR="00CA009F" w:rsidRDefault="00CA009F" w:rsidP="00CA009F">
      <w:pPr>
        <w:rPr>
          <w:rFonts w:ascii="Arial" w:eastAsia="Calibri Light" w:hAnsi="Arial" w:cs="Arial"/>
          <w:bCs/>
          <w:kern w:val="0"/>
          <w:lang w:eastAsia="en-GB" w:bidi="en-GB"/>
          <w14:ligatures w14:val="none"/>
        </w:rPr>
      </w:pPr>
      <w:r w:rsidRPr="00CA009F">
        <w:rPr>
          <w:rFonts w:ascii="Arial" w:eastAsia="Calibri Light" w:hAnsi="Arial" w:cs="Arial"/>
          <w:bCs/>
          <w:kern w:val="0"/>
          <w:lang w:eastAsia="en-GB" w:bidi="en-GB"/>
          <w14:ligatures w14:val="none"/>
        </w:rPr>
        <w:t xml:space="preserve">Despite progressive equality frameworks such as the Workforce Race Equality Standard (WRES) and NHS Long Term Plan (2019), consistent integration of cultural competence into professional standards remains limited (NHS England, 2021). This inconsistency reveals that structural reform, rather than short-term education, is needed. As </w:t>
      </w:r>
      <w:proofErr w:type="spellStart"/>
      <w:r w:rsidRPr="00CA009F">
        <w:rPr>
          <w:rFonts w:ascii="Arial" w:eastAsia="Calibri Light" w:hAnsi="Arial" w:cs="Arial"/>
          <w:bCs/>
          <w:kern w:val="0"/>
          <w:lang w:eastAsia="en-GB" w:bidi="en-GB"/>
          <w14:ligatures w14:val="none"/>
        </w:rPr>
        <w:t>Kaihlanen</w:t>
      </w:r>
      <w:proofErr w:type="spellEnd"/>
      <w:r w:rsidRPr="00CA009F">
        <w:rPr>
          <w:rFonts w:ascii="Arial" w:eastAsia="Calibri Light" w:hAnsi="Arial" w:cs="Arial"/>
          <w:bCs/>
          <w:kern w:val="0"/>
          <w:lang w:eastAsia="en-GB" w:bidi="en-GB"/>
          <w14:ligatures w14:val="none"/>
        </w:rPr>
        <w:t xml:space="preserve"> et al. (2019) argue, sustainable competence requires embedding reflective practice and organisational accountability. Examining the workforce dimension thus deepens understanding of how policy ambition often fails to translate into culturally safe and equitable care for minority populations.</w:t>
      </w:r>
    </w:p>
    <w:p w14:paraId="6E3AB384" w14:textId="77777777" w:rsidR="00FE74C1" w:rsidRDefault="00FE74C1" w:rsidP="006A7EED">
      <w:pPr>
        <w:rPr>
          <w:rFonts w:ascii="Arial" w:eastAsia="Calibri Light" w:hAnsi="Arial" w:cs="Arial"/>
          <w:bCs/>
          <w:kern w:val="0"/>
          <w:lang w:eastAsia="en-GB" w:bidi="en-GB"/>
          <w14:ligatures w14:val="none"/>
        </w:rPr>
      </w:pPr>
    </w:p>
    <w:p w14:paraId="0AC10019" w14:textId="10FD59E4" w:rsidR="006A7EED" w:rsidRPr="006A7EED" w:rsidRDefault="006A7EED" w:rsidP="006A7EED">
      <w:pPr>
        <w:rPr>
          <w:rFonts w:ascii="Arial" w:eastAsia="Calibri Light" w:hAnsi="Arial" w:cs="Arial"/>
          <w:bCs/>
          <w:kern w:val="0"/>
          <w:lang w:eastAsia="en-GB" w:bidi="en-GB"/>
          <w14:ligatures w14:val="none"/>
        </w:rPr>
      </w:pPr>
      <w:r w:rsidRPr="00E36FDD">
        <w:rPr>
          <w:rFonts w:ascii="Arial" w:eastAsia="Calibri Light" w:hAnsi="Arial" w:cs="Arial" w:hint="eastAsia"/>
          <w:bCs/>
          <w:kern w:val="0"/>
          <w:u w:val="single"/>
          <w:lang w:eastAsia="en-GB" w:bidi="en-GB"/>
          <w14:ligatures w14:val="none"/>
        </w:rPr>
        <w:t xml:space="preserve">Statistical Information </w:t>
      </w:r>
    </w:p>
    <w:p w14:paraId="199645C7" w14:textId="6DBEC73E" w:rsidR="00916150" w:rsidRDefault="00916150" w:rsidP="003F39AF">
      <w:pPr>
        <w:rPr>
          <w:rFonts w:ascii="Arial" w:eastAsia="Calibri Light" w:hAnsi="Arial" w:cs="Arial"/>
          <w:bCs/>
          <w:kern w:val="0"/>
          <w:lang w:eastAsia="en-GB" w:bidi="en-GB"/>
          <w14:ligatures w14:val="none"/>
        </w:rPr>
      </w:pPr>
      <w:r w:rsidRPr="00916150">
        <w:rPr>
          <w:rFonts w:ascii="Arial" w:eastAsia="Calibri Light" w:hAnsi="Arial" w:cs="Arial"/>
          <w:bCs/>
          <w:kern w:val="0"/>
          <w:lang w:eastAsia="en-GB" w:bidi="en-GB"/>
          <w14:ligatures w14:val="none"/>
        </w:rPr>
        <w:t xml:space="preserve">Recent evidence highlights persistent disparities in workforce preparedness. According to WRES data, ethnic minority staff make up approximately 22% of the NHS workforce but remain underrepresented in senior leadership roles and are 1.7 times more likely to </w:t>
      </w:r>
      <w:r w:rsidRPr="00916150">
        <w:rPr>
          <w:rFonts w:ascii="Arial" w:eastAsia="Calibri Light" w:hAnsi="Arial" w:cs="Arial"/>
          <w:bCs/>
          <w:kern w:val="0"/>
          <w:lang w:eastAsia="en-GB" w:bidi="en-GB"/>
          <w14:ligatures w14:val="none"/>
        </w:rPr>
        <w:lastRenderedPageBreak/>
        <w:t>experience workplace discrimination (NHS England, 2019). Such inequalities compromise both staff wellbeing and patient trust (Salway et al., 2016). Moreover, only 36% of healthcare organisations have implemented structured cultural competence training in the past five years (Skills for Care, 2024). These figures demonstrate a clear disconnect between national equality commitments and everyday professional development, with the absence of mandatory, standardised training continuing to hinder equitable EOL provision.</w:t>
      </w:r>
    </w:p>
    <w:p w14:paraId="48B8B094" w14:textId="6090370B" w:rsidR="003F39AF" w:rsidRPr="003F39AF" w:rsidRDefault="003F39AF" w:rsidP="003F39AF">
      <w:pPr>
        <w:rPr>
          <w:rFonts w:ascii="Arial" w:eastAsia="Calibri Light" w:hAnsi="Arial" w:cs="Arial"/>
          <w:bCs/>
          <w:kern w:val="0"/>
          <w:lang w:eastAsia="en-GB" w:bidi="en-GB"/>
          <w14:ligatures w14:val="none"/>
        </w:rPr>
      </w:pPr>
      <w:r w:rsidRPr="003F39AF">
        <w:rPr>
          <w:rFonts w:ascii="Arial" w:eastAsia="Calibri Light" w:hAnsi="Arial" w:cs="Arial" w:hint="eastAsia"/>
          <w:bCs/>
          <w:kern w:val="0"/>
          <w:u w:val="single"/>
          <w:lang w:eastAsia="en-GB" w:bidi="en-GB"/>
          <w14:ligatures w14:val="none"/>
        </w:rPr>
        <w:t>Theories, Policies, and Legislation</w:t>
      </w:r>
      <w:r w:rsidRPr="003F39AF">
        <w:rPr>
          <w:rFonts w:ascii="Arial" w:eastAsia="Calibri Light" w:hAnsi="Arial" w:cs="Arial" w:hint="eastAsia"/>
          <w:bCs/>
          <w:kern w:val="0"/>
          <w:lang w:eastAsia="en-GB" w:bidi="en-GB"/>
          <w14:ligatures w14:val="none"/>
        </w:rPr>
        <w:t xml:space="preserve"> </w:t>
      </w:r>
    </w:p>
    <w:p w14:paraId="65EB2472" w14:textId="16F3734D" w:rsidR="003F39AF" w:rsidRDefault="003F39AF" w:rsidP="003F39AF">
      <w:pPr>
        <w:rPr>
          <w:rFonts w:ascii="Arial" w:eastAsia="Calibri Light" w:hAnsi="Arial" w:cs="Arial"/>
          <w:bCs/>
          <w:kern w:val="0"/>
          <w:lang w:eastAsia="en-GB" w:bidi="en-GB"/>
          <w14:ligatures w14:val="none"/>
        </w:rPr>
      </w:pPr>
      <w:r w:rsidRPr="003F39AF">
        <w:rPr>
          <w:rFonts w:ascii="Arial" w:eastAsia="Calibri Light" w:hAnsi="Arial" w:cs="Arial"/>
          <w:bCs/>
          <w:kern w:val="0"/>
          <w:lang w:eastAsia="en-GB" w:bidi="en-GB"/>
          <w14:ligatures w14:val="none"/>
        </w:rPr>
        <w:t xml:space="preserve">Theoretical frameworks provide crucial insight into how training and organisational reform can address cultural disparities. Papadopoulos’ Cultural Competence Model (2006) emphasises that genuine competence evolves through awareness, knowledge, sensitivity, and reflective practice. Complementing this, </w:t>
      </w:r>
      <w:proofErr w:type="spellStart"/>
      <w:r w:rsidRPr="003F39AF">
        <w:rPr>
          <w:rFonts w:ascii="Arial" w:eastAsia="Calibri Light" w:hAnsi="Arial" w:cs="Arial"/>
          <w:bCs/>
          <w:kern w:val="0"/>
          <w:lang w:eastAsia="en-GB" w:bidi="en-GB"/>
          <w14:ligatures w14:val="none"/>
        </w:rPr>
        <w:t>Tervalon</w:t>
      </w:r>
      <w:proofErr w:type="spellEnd"/>
      <w:r w:rsidRPr="003F39AF">
        <w:rPr>
          <w:rFonts w:ascii="Arial" w:eastAsia="Calibri Light" w:hAnsi="Arial" w:cs="Arial"/>
          <w:bCs/>
          <w:kern w:val="0"/>
          <w:lang w:eastAsia="en-GB" w:bidi="en-GB"/>
          <w14:ligatures w14:val="none"/>
        </w:rPr>
        <w:t xml:space="preserve"> and Murray-García’s (1998) concept of cultural humility stresses an ongoing process of self-reflection and respect for lived experiences rather than a fixed skillset. These frameworks align with UK equality policies, including the Equality Act (2010) and Health and Social Care Act (2012), which legally enshrine equity and non-discrimination. Moreover, the NHS Long Term Plan (2019) and WRES </w:t>
      </w:r>
      <w:r w:rsidR="007B22A1" w:rsidRPr="007B22A1">
        <w:rPr>
          <w:rFonts w:ascii="Arial" w:eastAsia="Calibri Light" w:hAnsi="Arial" w:cs="Arial"/>
          <w:bCs/>
          <w:kern w:val="0"/>
          <w:lang w:eastAsia="en-GB" w:bidi="en-GB"/>
          <w14:ligatures w14:val="none"/>
        </w:rPr>
        <w:t>(NHS England, 2023)</w:t>
      </w:r>
      <w:r w:rsidRPr="003F39AF">
        <w:rPr>
          <w:rFonts w:ascii="Arial" w:eastAsia="Calibri Light" w:hAnsi="Arial" w:cs="Arial"/>
          <w:bCs/>
          <w:kern w:val="0"/>
          <w:lang w:eastAsia="en-GB" w:bidi="en-GB"/>
          <w14:ligatures w14:val="none"/>
        </w:rPr>
        <w:t xml:space="preserve"> advocate for workforce diversity and cultural inclusion. However, the practical impact of these frameworks is limited by inconsistent implementation, financial constraints, and insufficient leadership accountability (Hospice UK, 2021). The resulting policy-practice divide continues to marginalise minority service users</w:t>
      </w:r>
      <w:r w:rsidR="00BB2276">
        <w:rPr>
          <w:rFonts w:ascii="Arial" w:eastAsia="Calibri Light" w:hAnsi="Arial" w:cs="Arial"/>
          <w:bCs/>
          <w:kern w:val="0"/>
          <w:lang w:eastAsia="en-GB" w:bidi="en-GB"/>
          <w14:ligatures w14:val="none"/>
        </w:rPr>
        <w:t>.</w:t>
      </w:r>
    </w:p>
    <w:p w14:paraId="39B0D1FC" w14:textId="5A29D2BE" w:rsidR="002F793B" w:rsidRPr="002F793B" w:rsidRDefault="002F793B" w:rsidP="002F793B">
      <w:pPr>
        <w:rPr>
          <w:rFonts w:ascii="Arial" w:eastAsia="Calibri Light" w:hAnsi="Arial" w:cs="Arial"/>
          <w:bCs/>
          <w:kern w:val="0"/>
          <w:lang w:eastAsia="en-GB" w:bidi="en-GB"/>
          <w14:ligatures w14:val="none"/>
        </w:rPr>
      </w:pPr>
      <w:r w:rsidRPr="002F793B">
        <w:rPr>
          <w:rFonts w:ascii="Arial" w:eastAsia="Calibri Light" w:hAnsi="Arial" w:cs="Arial" w:hint="eastAsia"/>
          <w:bCs/>
          <w:kern w:val="0"/>
          <w:u w:val="single"/>
          <w:lang w:eastAsia="en-GB" w:bidi="en-GB"/>
          <w14:ligatures w14:val="none"/>
        </w:rPr>
        <w:t xml:space="preserve">Implications </w:t>
      </w:r>
    </w:p>
    <w:p w14:paraId="1DF997E7" w14:textId="215CDDF3" w:rsidR="002F793B" w:rsidRDefault="002F793B" w:rsidP="002F793B">
      <w:pPr>
        <w:rPr>
          <w:rFonts w:ascii="Arial" w:eastAsia="Calibri Light" w:hAnsi="Arial" w:cs="Arial"/>
          <w:bCs/>
          <w:kern w:val="0"/>
          <w:lang w:eastAsia="en-GB" w:bidi="en-GB"/>
          <w14:ligatures w14:val="none"/>
        </w:rPr>
      </w:pPr>
      <w:r w:rsidRPr="002F793B">
        <w:rPr>
          <w:rFonts w:ascii="Arial" w:eastAsia="Calibri Light" w:hAnsi="Arial" w:cs="Arial"/>
          <w:bCs/>
          <w:kern w:val="0"/>
          <w:lang w:eastAsia="en-GB" w:bidi="en-GB"/>
          <w14:ligatures w14:val="none"/>
        </w:rPr>
        <w:t>The implications of inadequate workforce cultural competence are both systemic and ethical. On one hand, limited training perpetuates inequities, reinforcing the marginalisation and mistrust of minority service users (Koffman et al., 2014). On the other</w:t>
      </w:r>
      <w:r w:rsidR="00EE7E8C">
        <w:rPr>
          <w:rFonts w:ascii="Arial" w:eastAsia="Calibri Light" w:hAnsi="Arial" w:cs="Arial"/>
          <w:bCs/>
          <w:kern w:val="0"/>
          <w:lang w:eastAsia="en-GB" w:bidi="en-GB"/>
          <w14:ligatures w14:val="none"/>
        </w:rPr>
        <w:t xml:space="preserve"> hand</w:t>
      </w:r>
      <w:r w:rsidRPr="002F793B">
        <w:rPr>
          <w:rFonts w:ascii="Arial" w:eastAsia="Calibri Light" w:hAnsi="Arial" w:cs="Arial"/>
          <w:bCs/>
          <w:kern w:val="0"/>
          <w:lang w:eastAsia="en-GB" w:bidi="en-GB"/>
          <w14:ligatures w14:val="none"/>
        </w:rPr>
        <w:t>, comprehensive cultural competence initiatives enhance staff confidence, improve patient satisfaction, and reduce service inequalities (</w:t>
      </w:r>
      <w:proofErr w:type="spellStart"/>
      <w:r w:rsidRPr="002F793B">
        <w:rPr>
          <w:rFonts w:ascii="Arial" w:eastAsia="Calibri Light" w:hAnsi="Arial" w:cs="Arial"/>
          <w:bCs/>
          <w:kern w:val="0"/>
          <w:lang w:eastAsia="en-GB" w:bidi="en-GB"/>
          <w14:ligatures w14:val="none"/>
        </w:rPr>
        <w:t>Kaihlanen</w:t>
      </w:r>
      <w:proofErr w:type="spellEnd"/>
      <w:r w:rsidRPr="002F793B">
        <w:rPr>
          <w:rFonts w:ascii="Arial" w:eastAsia="Calibri Light" w:hAnsi="Arial" w:cs="Arial"/>
          <w:bCs/>
          <w:kern w:val="0"/>
          <w:lang w:eastAsia="en-GB" w:bidi="en-GB"/>
          <w14:ligatures w14:val="none"/>
        </w:rPr>
        <w:t xml:space="preserve"> et al., 2019). Nevertheless, isolated workshops are insufficient to transform deep-rooted institutional attitudes. Sustainable progress requires embedding cultural humility within professional standards and making reflective learning a continual process. Without this shift, equality frameworks risk remaining performative, failing to translate policy ambition into meaningful, compassionate EOL care for diverse populations.</w:t>
      </w:r>
    </w:p>
    <w:p w14:paraId="68DE2338" w14:textId="77777777" w:rsidR="00D72B22" w:rsidRDefault="00D72B22" w:rsidP="00382C13">
      <w:pPr>
        <w:rPr>
          <w:rFonts w:ascii="Arial" w:eastAsia="Calibri Light" w:hAnsi="Arial" w:cs="Arial"/>
          <w:bCs/>
          <w:kern w:val="0"/>
          <w:u w:val="single"/>
          <w:lang w:eastAsia="en-GB" w:bidi="en-GB"/>
          <w14:ligatures w14:val="none"/>
        </w:rPr>
      </w:pPr>
    </w:p>
    <w:p w14:paraId="6DEEBC34" w14:textId="56FB0619" w:rsidR="00382C13" w:rsidRPr="00382C13" w:rsidRDefault="00382C13" w:rsidP="00382C13">
      <w:pPr>
        <w:rPr>
          <w:rFonts w:ascii="Arial" w:eastAsia="Calibri Light" w:hAnsi="Arial" w:cs="Arial"/>
          <w:bCs/>
          <w:kern w:val="0"/>
          <w:lang w:eastAsia="en-GB" w:bidi="en-GB"/>
          <w14:ligatures w14:val="none"/>
        </w:rPr>
      </w:pPr>
      <w:r w:rsidRPr="00382C13">
        <w:rPr>
          <w:rFonts w:ascii="Arial" w:eastAsia="Calibri Light" w:hAnsi="Arial" w:cs="Arial" w:hint="eastAsia"/>
          <w:bCs/>
          <w:kern w:val="0"/>
          <w:u w:val="single"/>
          <w:lang w:eastAsia="en-GB" w:bidi="en-GB"/>
          <w14:ligatures w14:val="none"/>
        </w:rPr>
        <w:t>Examples and Case Studies</w:t>
      </w:r>
      <w:r w:rsidRPr="00382C13">
        <w:rPr>
          <w:rFonts w:ascii="Arial" w:eastAsia="Calibri Light" w:hAnsi="Arial" w:cs="Arial" w:hint="eastAsia"/>
          <w:bCs/>
          <w:kern w:val="0"/>
          <w:lang w:eastAsia="en-GB" w:bidi="en-GB"/>
          <w14:ligatures w14:val="none"/>
        </w:rPr>
        <w:t xml:space="preserve"> </w:t>
      </w:r>
    </w:p>
    <w:p w14:paraId="79C18A06" w14:textId="445F99B2" w:rsidR="00382C13" w:rsidRDefault="00382C13" w:rsidP="00382C13">
      <w:pPr>
        <w:rPr>
          <w:rFonts w:ascii="Arial" w:eastAsia="Calibri Light" w:hAnsi="Arial" w:cs="Arial"/>
          <w:bCs/>
          <w:kern w:val="0"/>
          <w:lang w:eastAsia="en-GB" w:bidi="en-GB"/>
          <w14:ligatures w14:val="none"/>
        </w:rPr>
      </w:pPr>
      <w:r w:rsidRPr="00382C13">
        <w:rPr>
          <w:rFonts w:ascii="Arial" w:eastAsia="Calibri Light" w:hAnsi="Arial" w:cs="Arial"/>
          <w:bCs/>
          <w:kern w:val="0"/>
          <w:lang w:eastAsia="en-GB" w:bidi="en-GB"/>
          <w14:ligatures w14:val="none"/>
        </w:rPr>
        <w:t xml:space="preserve">The Mary Seacole Leadership Programme provides an instructive example of culturally responsive leadership development. Evaluations found that participants gained improved self-awareness and communication skills, strengthening their capacity to challenge bias and lead </w:t>
      </w:r>
      <w:r w:rsidRPr="00382C13">
        <w:rPr>
          <w:rFonts w:ascii="Arial" w:eastAsia="Calibri Light" w:hAnsi="Arial" w:cs="Arial"/>
          <w:bCs/>
          <w:kern w:val="0"/>
          <w:lang w:eastAsia="en-GB" w:bidi="en-GB"/>
          <w14:ligatures w14:val="none"/>
        </w:rPr>
        <w:lastRenderedPageBreak/>
        <w:t>inclusively (NHS Leadership Academy, 202</w:t>
      </w:r>
      <w:r w:rsidR="001A6CCF">
        <w:rPr>
          <w:rFonts w:ascii="Arial" w:eastAsia="Calibri Light" w:hAnsi="Arial" w:cs="Arial"/>
          <w:bCs/>
          <w:kern w:val="0"/>
          <w:lang w:eastAsia="en-GB" w:bidi="en-GB"/>
          <w14:ligatures w14:val="none"/>
        </w:rPr>
        <w:t>3</w:t>
      </w:r>
      <w:r w:rsidRPr="00382C13">
        <w:rPr>
          <w:rFonts w:ascii="Arial" w:eastAsia="Calibri Light" w:hAnsi="Arial" w:cs="Arial"/>
          <w:bCs/>
          <w:kern w:val="0"/>
          <w:lang w:eastAsia="en-GB" w:bidi="en-GB"/>
          <w14:ligatures w14:val="none"/>
        </w:rPr>
        <w:t>). Similarly, Hospice UK’s Equity in Hospice Care Project demonstrated that targeted staff training in Birmingham hospices increased confidence when supporting families from South Asian and Black communities (Hospice UK, 2021). However, both initiatives were limited by short-term funding and inconsistent national adoption. Comparative studies in Australia indicate that integrating cultural safety into accreditation standards achieves more sustainable impact (Curtis et al., 2019). These cases underscore the need for systemic, nationwide commitment to cultural competence in healthcare education.</w:t>
      </w:r>
    </w:p>
    <w:p w14:paraId="40A61956" w14:textId="1DB527B2" w:rsidR="00476553" w:rsidRPr="00476553" w:rsidRDefault="00476553" w:rsidP="00476553">
      <w:pPr>
        <w:rPr>
          <w:rFonts w:ascii="Arial" w:eastAsia="Calibri Light" w:hAnsi="Arial" w:cs="Arial"/>
          <w:bCs/>
          <w:kern w:val="0"/>
          <w:lang w:eastAsia="en-GB" w:bidi="en-GB"/>
          <w14:ligatures w14:val="none"/>
        </w:rPr>
      </w:pPr>
      <w:r w:rsidRPr="00476553">
        <w:rPr>
          <w:rFonts w:ascii="Arial" w:eastAsia="Calibri Light" w:hAnsi="Arial" w:cs="Arial" w:hint="eastAsia"/>
          <w:bCs/>
          <w:kern w:val="0"/>
          <w:u w:val="single"/>
          <w:lang w:eastAsia="en-GB" w:bidi="en-GB"/>
          <w14:ligatures w14:val="none"/>
        </w:rPr>
        <w:t>Connections to Other Themes</w:t>
      </w:r>
      <w:r w:rsidRPr="00476553">
        <w:rPr>
          <w:rFonts w:ascii="Arial" w:eastAsia="Calibri Light" w:hAnsi="Arial" w:cs="Arial" w:hint="eastAsia"/>
          <w:bCs/>
          <w:kern w:val="0"/>
          <w:lang w:eastAsia="en-GB" w:bidi="en-GB"/>
          <w14:ligatures w14:val="none"/>
        </w:rPr>
        <w:t xml:space="preserve"> </w:t>
      </w:r>
    </w:p>
    <w:p w14:paraId="38ACF99E" w14:textId="4E116FEA" w:rsidR="00476553" w:rsidRPr="00AD738D" w:rsidRDefault="00476553" w:rsidP="00476553">
      <w:pPr>
        <w:rPr>
          <w:rFonts w:ascii="Arial" w:eastAsia="Calibri Light" w:hAnsi="Arial" w:cs="Arial"/>
          <w:bCs/>
          <w:kern w:val="0"/>
          <w:lang w:eastAsia="en-GB" w:bidi="en-GB"/>
          <w14:ligatures w14:val="none"/>
        </w:rPr>
      </w:pPr>
      <w:r w:rsidRPr="00476553">
        <w:rPr>
          <w:rFonts w:ascii="Arial" w:eastAsia="Calibri Light" w:hAnsi="Arial" w:cs="Arial"/>
          <w:bCs/>
          <w:kern w:val="0"/>
          <w:lang w:eastAsia="en-GB" w:bidi="en-GB"/>
          <w14:ligatures w14:val="none"/>
        </w:rPr>
        <w:t>This theme is interwoven with earlier discussions on communication barriers and mistrust in service users. As explored previously, ineffective communication can foster uncertainty and disengagement, while mistrust erodes the foundation for compassionate, person-centred care (Koffman et al., 2014). Workforce training provides the mechanism through which these issues can be addressed, as culturally competent practitioners are better equipped to communicate respectfully and rebuild trust (Papadopoulos, 2006). Furthermore, the alignment of professional training with inclusive policy goals links directly to broader systemic reform. This intersection highlights that communication, trust, and training operate as mutually reinforcing components of equity in EOL care. Together, these themes demonstrate that culturally competent care must evolve from isolated initiatives into an integrated organisational ethos grounded in respect, empathy, and accountability.</w:t>
      </w:r>
    </w:p>
    <w:p w14:paraId="7A07E130" w14:textId="77777777" w:rsidR="00D44796" w:rsidRDefault="00D44796" w:rsidP="003034FB">
      <w:pPr>
        <w:pStyle w:val="Heading1"/>
        <w:spacing w:line="360" w:lineRule="auto"/>
        <w:ind w:left="0"/>
        <w:rPr>
          <w:rFonts w:cs="Arial"/>
          <w:sz w:val="22"/>
          <w:szCs w:val="22"/>
          <w:u w:val="single"/>
        </w:rPr>
      </w:pPr>
    </w:p>
    <w:p w14:paraId="436EC484" w14:textId="7EA087BA" w:rsidR="002865F5" w:rsidRDefault="000C1032" w:rsidP="00636D9A">
      <w:pPr>
        <w:rPr>
          <w:rFonts w:ascii="Arial" w:hAnsi="Arial" w:cs="Arial"/>
        </w:rPr>
      </w:pPr>
      <w:r w:rsidRPr="001F3307">
        <w:rPr>
          <w:rFonts w:ascii="Arial" w:hAnsi="Arial" w:cs="Arial"/>
        </w:rPr>
        <w:t xml:space="preserve">4.6 – Chapter Conclusion </w:t>
      </w:r>
    </w:p>
    <w:p w14:paraId="37EE8287" w14:textId="6F96143D" w:rsidR="001F3307" w:rsidRPr="001F3307" w:rsidRDefault="001F3307" w:rsidP="001F3307">
      <w:pPr>
        <w:rPr>
          <w:rFonts w:ascii="Arial" w:hAnsi="Arial" w:cs="Arial"/>
        </w:rPr>
      </w:pPr>
      <w:r w:rsidRPr="001F3307">
        <w:rPr>
          <w:rFonts w:ascii="Arial" w:hAnsi="Arial" w:cs="Arial"/>
        </w:rPr>
        <w:t>The evidence presented in this chapter has demonstrated that the barriers to delivering culturally competent end-of-life (EOL) care are deeply embedded within communication processes, institutional structures, and workforce practices. The thematic analysis of communication barriers, mistrust and inequalities in service access, and workforce training has revealed a cyclical relationship between these factors</w:t>
      </w:r>
      <w:r w:rsidR="002E3194">
        <w:rPr>
          <w:rFonts w:ascii="Arial" w:hAnsi="Arial" w:cs="Arial"/>
        </w:rPr>
        <w:t xml:space="preserve">, </w:t>
      </w:r>
      <w:r w:rsidRPr="001F3307">
        <w:rPr>
          <w:rFonts w:ascii="Arial" w:hAnsi="Arial" w:cs="Arial"/>
        </w:rPr>
        <w:t>each reinforcing the other and collectively constraining equitable care delivery for ethnic minority communities.</w:t>
      </w:r>
    </w:p>
    <w:p w14:paraId="5DAE02AB" w14:textId="77777777" w:rsidR="001F3307" w:rsidRPr="001F3307" w:rsidRDefault="001F3307" w:rsidP="001F3307">
      <w:pPr>
        <w:rPr>
          <w:rFonts w:ascii="Arial" w:hAnsi="Arial" w:cs="Arial"/>
        </w:rPr>
      </w:pPr>
      <w:r w:rsidRPr="001F3307">
        <w:rPr>
          <w:rFonts w:ascii="Arial" w:hAnsi="Arial" w:cs="Arial"/>
        </w:rPr>
        <w:t>Theme 1 established that the absence of effective communication mechanisms, including professional interpreting and culturally sensitive dialogue, undermines understanding, consent, and trust. Theme 2 illustrated how historical exclusion and unequal access perpetuate perceptions of institutional bias, leading to disengagement from EOL services. Theme 3 further highlighted that without consistent cultural competence training, policies promoting inclusion remain aspirational rather than transformative.</w:t>
      </w:r>
    </w:p>
    <w:p w14:paraId="6202539E" w14:textId="6C1CA052" w:rsidR="00DD6232" w:rsidRDefault="001F3307" w:rsidP="00371BFD">
      <w:pPr>
        <w:rPr>
          <w:rFonts w:ascii="Arial" w:hAnsi="Arial" w:cs="Arial"/>
        </w:rPr>
      </w:pPr>
      <w:r w:rsidRPr="001F3307">
        <w:rPr>
          <w:rFonts w:ascii="Arial" w:hAnsi="Arial" w:cs="Arial"/>
        </w:rPr>
        <w:lastRenderedPageBreak/>
        <w:t>Taken together, these findings emphasise that achieving cultural competence requires systemic reform underpinned by accountability, continuous professional development, and genuine partnership with diverse communities. The following chapter will build upon this foundation by critically evaluating the current literature on culturally competent practice and proposing evidence-based strategies to strengthen policy implementation, workforce development, and equitable service design across the health and social care sector.</w:t>
      </w:r>
    </w:p>
    <w:p w14:paraId="649027A6" w14:textId="77777777" w:rsidR="00997767" w:rsidRPr="00371BFD" w:rsidRDefault="00997767" w:rsidP="00371BFD">
      <w:pPr>
        <w:rPr>
          <w:rFonts w:ascii="Arial" w:hAnsi="Arial" w:cs="Arial"/>
        </w:rPr>
      </w:pPr>
    </w:p>
    <w:p w14:paraId="519EB35A" w14:textId="62368E6A" w:rsidR="00636D9A" w:rsidRPr="00636D9A" w:rsidRDefault="00636D9A" w:rsidP="00636D9A">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633CBA" w14:textId="01C17027" w:rsidR="00636D9A" w:rsidRDefault="00636D9A" w:rsidP="003B1E32">
      <w:pPr>
        <w:pStyle w:val="Heading2"/>
      </w:pPr>
      <w:r w:rsidRPr="005C5E80">
        <w:t xml:space="preserve">5.1 – Overall Conclusion (200 words approx.) </w:t>
      </w:r>
    </w:p>
    <w:p w14:paraId="2448946D" w14:textId="77777777" w:rsidR="00EC4803" w:rsidRPr="00EC4803" w:rsidRDefault="00EC4803" w:rsidP="00EC4803">
      <w:pPr>
        <w:rPr>
          <w:rFonts w:ascii="Arial" w:hAnsi="Arial" w:cs="Arial"/>
          <w:u w:val="single"/>
        </w:rPr>
      </w:pPr>
      <w:r w:rsidRPr="00EC4803">
        <w:rPr>
          <w:rFonts w:ascii="Arial" w:hAnsi="Arial" w:cs="Arial"/>
          <w:u w:val="single"/>
        </w:rPr>
        <w:t>Purpose of the Conclusion</w:t>
      </w:r>
    </w:p>
    <w:p w14:paraId="7C6CE5CE" w14:textId="46B2CFB7" w:rsidR="00885CBC" w:rsidRDefault="00EC4803" w:rsidP="00EC4803">
      <w:pPr>
        <w:rPr>
          <w:rFonts w:ascii="Arial" w:hAnsi="Arial" w:cs="Arial"/>
        </w:rPr>
      </w:pPr>
      <w:r w:rsidRPr="00EC4803">
        <w:rPr>
          <w:rFonts w:ascii="Arial" w:hAnsi="Arial" w:cs="Arial"/>
        </w:rPr>
        <w:t>This conclusion summarises the key findings and outcomes of the dissertation, which explored the barriers to delivering culturally competent end-of-life (EOL) care for ethnic minority communities in the United Kingdom. The study revealed that communication barriers, mistrust, and workforce training deficiencies collectively contribute to persistent inequalities in EOL care (Public Health England, 2018).</w:t>
      </w:r>
    </w:p>
    <w:p w14:paraId="35504DAA" w14:textId="77777777" w:rsidR="0002743F" w:rsidRPr="0002743F" w:rsidRDefault="0002743F" w:rsidP="0002743F">
      <w:pPr>
        <w:rPr>
          <w:rFonts w:ascii="Arial" w:hAnsi="Arial" w:cs="Arial"/>
          <w:u w:val="single"/>
        </w:rPr>
      </w:pPr>
      <w:r w:rsidRPr="0002743F">
        <w:rPr>
          <w:rFonts w:ascii="Arial" w:hAnsi="Arial" w:cs="Arial"/>
          <w:u w:val="single"/>
        </w:rPr>
        <w:t>Summary of Key Findings</w:t>
      </w:r>
    </w:p>
    <w:p w14:paraId="4143A61D" w14:textId="3E86EF6E" w:rsidR="0002743F" w:rsidRDefault="0002743F" w:rsidP="0002743F">
      <w:pPr>
        <w:rPr>
          <w:rFonts w:ascii="Arial" w:hAnsi="Arial" w:cs="Arial"/>
        </w:rPr>
      </w:pPr>
      <w:r w:rsidRPr="0002743F">
        <w:rPr>
          <w:rFonts w:ascii="Arial" w:hAnsi="Arial" w:cs="Arial"/>
        </w:rPr>
        <w:t>The research demonstrated that poor communication undermines informed decision-making, while historical exclusion fosters mistrust and disengagement from services (Koffman et al., 2007). Furthermore, insufficient workforce training and inconsistent policy implementation continue to restrict culturally responsive care (Hospice UK, 2021). These findings confirm that despite equality-focused legislation, progress remains uneven and often symbolic rather than transformative (Papadopoulos, 2018).</w:t>
      </w:r>
    </w:p>
    <w:p w14:paraId="19A62B77" w14:textId="77777777" w:rsidR="00F72F45" w:rsidRPr="00F72F45" w:rsidRDefault="00F72F45" w:rsidP="00F72F45">
      <w:pPr>
        <w:rPr>
          <w:rFonts w:ascii="Arial" w:hAnsi="Arial" w:cs="Arial"/>
          <w:u w:val="single"/>
        </w:rPr>
      </w:pPr>
      <w:r w:rsidRPr="00F72F45">
        <w:rPr>
          <w:rFonts w:ascii="Arial" w:hAnsi="Arial" w:cs="Arial"/>
          <w:u w:val="single"/>
        </w:rPr>
        <w:t>Addressing the Aim and Objectives</w:t>
      </w:r>
    </w:p>
    <w:p w14:paraId="63DCA153" w14:textId="1980FF64" w:rsidR="002F680B" w:rsidRDefault="00F72F45" w:rsidP="00F72F45">
      <w:pPr>
        <w:rPr>
          <w:rFonts w:ascii="Arial" w:hAnsi="Arial" w:cs="Arial"/>
        </w:rPr>
      </w:pPr>
      <w:r w:rsidRPr="00F72F45">
        <w:rPr>
          <w:rFonts w:ascii="Arial" w:hAnsi="Arial" w:cs="Arial"/>
        </w:rPr>
        <w:t>The research aim</w:t>
      </w:r>
      <w:r w:rsidR="00B04AE4">
        <w:rPr>
          <w:rFonts w:ascii="Arial" w:hAnsi="Arial" w:cs="Arial"/>
        </w:rPr>
        <w:t xml:space="preserve">s </w:t>
      </w:r>
      <w:r w:rsidRPr="00F72F45">
        <w:rPr>
          <w:rFonts w:ascii="Arial" w:hAnsi="Arial" w:cs="Arial"/>
        </w:rPr>
        <w:t>to evaluate the barriers to culturally competent EOL care</w:t>
      </w:r>
      <w:r w:rsidR="00B04AE4">
        <w:rPr>
          <w:rFonts w:ascii="Arial" w:hAnsi="Arial" w:cs="Arial"/>
        </w:rPr>
        <w:t xml:space="preserve">, </w:t>
      </w:r>
      <w:r w:rsidR="00B4547A">
        <w:rPr>
          <w:rFonts w:ascii="Arial" w:hAnsi="Arial" w:cs="Arial"/>
        </w:rPr>
        <w:t xml:space="preserve">which </w:t>
      </w:r>
      <w:r w:rsidRPr="00F72F45">
        <w:rPr>
          <w:rFonts w:ascii="Arial" w:hAnsi="Arial" w:cs="Arial"/>
        </w:rPr>
        <w:t>has been achieved. Each objective was addressed through thematic analysis and critical synthesis, demonstrating that trust, communication, and professional competence are essential to equitable practice (</w:t>
      </w:r>
      <w:proofErr w:type="spellStart"/>
      <w:r w:rsidRPr="00F72F45">
        <w:rPr>
          <w:rFonts w:ascii="Arial" w:hAnsi="Arial" w:cs="Arial"/>
        </w:rPr>
        <w:t>Kaihlanen</w:t>
      </w:r>
      <w:proofErr w:type="spellEnd"/>
      <w:r w:rsidRPr="00F72F45">
        <w:rPr>
          <w:rFonts w:ascii="Arial" w:hAnsi="Arial" w:cs="Arial"/>
        </w:rPr>
        <w:t xml:space="preserve"> et al., 2019).</w:t>
      </w:r>
    </w:p>
    <w:p w14:paraId="1B8753C5" w14:textId="77777777" w:rsidR="00B04AE4" w:rsidRPr="00B04AE4" w:rsidRDefault="00B04AE4" w:rsidP="00B04AE4">
      <w:pPr>
        <w:rPr>
          <w:rFonts w:ascii="Arial" w:hAnsi="Arial" w:cs="Arial"/>
          <w:u w:val="single"/>
        </w:rPr>
      </w:pPr>
      <w:r w:rsidRPr="00B04AE4">
        <w:rPr>
          <w:rFonts w:ascii="Arial" w:hAnsi="Arial" w:cs="Arial"/>
          <w:u w:val="single"/>
        </w:rPr>
        <w:t>Final Reflection</w:t>
      </w:r>
    </w:p>
    <w:p w14:paraId="3628F6DF" w14:textId="161129E7" w:rsidR="00292A36" w:rsidRDefault="00B04AE4">
      <w:pPr>
        <w:rPr>
          <w:rFonts w:ascii="Arial" w:hAnsi="Arial" w:cs="Arial"/>
        </w:rPr>
      </w:pPr>
      <w:r w:rsidRPr="00B04AE4">
        <w:rPr>
          <w:rFonts w:ascii="Arial" w:hAnsi="Arial" w:cs="Arial"/>
        </w:rPr>
        <w:t>In conclusion, the dissertation establishes that cultural competence is both an ethical obligation and a professional standard vital to ensuring inclusive and compassionate EOL care</w:t>
      </w:r>
      <w:r w:rsidR="00DD6232">
        <w:rPr>
          <w:rFonts w:ascii="Arial" w:hAnsi="Arial" w:cs="Arial"/>
        </w:rPr>
        <w:t>.</w:t>
      </w:r>
    </w:p>
    <w:p w14:paraId="19D9724B" w14:textId="77777777" w:rsidR="00DD6232" w:rsidRPr="0061287B" w:rsidRDefault="00DD6232">
      <w:pPr>
        <w:rPr>
          <w:rFonts w:ascii="Arial" w:hAnsi="Arial" w:cs="Arial"/>
        </w:rPr>
      </w:pPr>
    </w:p>
    <w:p w14:paraId="48005ABF" w14:textId="289F3FE6" w:rsidR="00636D9A" w:rsidRPr="005C5E80" w:rsidRDefault="00636D9A" w:rsidP="003B1E32">
      <w:pPr>
        <w:pStyle w:val="Heading2"/>
      </w:pPr>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28F571CA" w14:textId="39108F81" w:rsidR="00937B59" w:rsidRDefault="00D208B8" w:rsidP="005C5E80">
      <w:pPr>
        <w:rPr>
          <w:rFonts w:ascii="Arial" w:hAnsi="Arial" w:cs="Arial"/>
        </w:rPr>
      </w:pPr>
      <w:r w:rsidRPr="00D208B8">
        <w:rPr>
          <w:rFonts w:ascii="Arial" w:hAnsi="Arial" w:cs="Arial"/>
        </w:rPr>
        <w:t xml:space="preserve">This section presents five interrelated recommendations designed to enhance culturally competent end-of-life (EOL) care for ethnic minority communities in the United Kingdom. Grounded in the key findings of this dissertation, these recommendations emphasise practical, theory-informed approaches that address barriers of communication, mistrust, and workforce capacity. Each proposal aligns with relevant legislation and theoretical frameworks, particularly Papadopoulos’ (2006) Cultural Competence Model, </w:t>
      </w:r>
      <w:proofErr w:type="spellStart"/>
      <w:r w:rsidRPr="00D208B8">
        <w:rPr>
          <w:rFonts w:ascii="Arial" w:hAnsi="Arial" w:cs="Arial"/>
        </w:rPr>
        <w:t>Tervalon</w:t>
      </w:r>
      <w:proofErr w:type="spellEnd"/>
      <w:r w:rsidRPr="00D208B8">
        <w:rPr>
          <w:rFonts w:ascii="Arial" w:hAnsi="Arial" w:cs="Arial"/>
        </w:rPr>
        <w:t xml:space="preserve"> and Murray-García’s (1998) concept of cultural humility, and Critical Race Theory (Ford and </w:t>
      </w:r>
      <w:proofErr w:type="spellStart"/>
      <w:r w:rsidRPr="00D208B8">
        <w:rPr>
          <w:rFonts w:ascii="Arial" w:hAnsi="Arial" w:cs="Arial"/>
        </w:rPr>
        <w:t>Airhihenbuwa</w:t>
      </w:r>
      <w:proofErr w:type="spellEnd"/>
      <w:r w:rsidRPr="00D208B8">
        <w:rPr>
          <w:rFonts w:ascii="Arial" w:hAnsi="Arial" w:cs="Arial"/>
        </w:rPr>
        <w:t>, 2010), ensuring both ethical and operational feasibility.</w:t>
      </w:r>
    </w:p>
    <w:p w14:paraId="42B629D4" w14:textId="4B52034D" w:rsidR="002B79D3" w:rsidRPr="004A144B" w:rsidRDefault="002B79D3" w:rsidP="002B79D3">
      <w:pPr>
        <w:rPr>
          <w:rFonts w:ascii="Arial" w:hAnsi="Arial" w:cs="Arial"/>
          <w:b/>
          <w:bCs/>
          <w:u w:val="single"/>
        </w:rPr>
      </w:pPr>
      <w:r w:rsidRPr="004A144B">
        <w:rPr>
          <w:rFonts w:ascii="Arial" w:hAnsi="Arial" w:cs="Arial"/>
          <w:b/>
          <w:bCs/>
          <w:u w:val="single"/>
        </w:rPr>
        <w:t>5.2.1</w:t>
      </w:r>
      <w:r w:rsidR="00F307D2">
        <w:rPr>
          <w:rFonts w:ascii="Arial" w:hAnsi="Arial" w:cs="Arial"/>
          <w:b/>
          <w:bCs/>
          <w:u w:val="single"/>
        </w:rPr>
        <w:t xml:space="preserve"> - </w:t>
      </w:r>
      <w:r w:rsidRPr="004A144B">
        <w:rPr>
          <w:rFonts w:ascii="Arial" w:hAnsi="Arial" w:cs="Arial"/>
          <w:b/>
          <w:bCs/>
          <w:u w:val="single"/>
        </w:rPr>
        <w:t>Recommendation 1: Mandatory Cultural Competence and Communication Training</w:t>
      </w:r>
    </w:p>
    <w:p w14:paraId="6012FB2E" w14:textId="07367D1E" w:rsidR="00210401" w:rsidRDefault="002B79D3" w:rsidP="002B79D3">
      <w:pPr>
        <w:rPr>
          <w:rFonts w:ascii="Arial" w:hAnsi="Arial" w:cs="Arial"/>
        </w:rPr>
      </w:pPr>
      <w:r w:rsidRPr="002B79D3">
        <w:rPr>
          <w:rFonts w:ascii="Arial" w:hAnsi="Arial" w:cs="Arial"/>
        </w:rPr>
        <w:t>A priority recommendation is the national implementation of structured, mandatory cultural competence and communication training across all levels of palliative and hospice care. Despite policy recognition of diversity and equality (Equality Act, 2010; NHS Long Term Plan, 2019), evidence suggests that only 36% of organisations deliver such training consistently (Skills for Care, 2024). Embedding Papadopoulos’ (2006) model into workforce development would promote cultural awareness, knowledge, sensitivity, and reflective practice</w:t>
      </w:r>
      <w:r w:rsidR="00D70511">
        <w:rPr>
          <w:rFonts w:ascii="Arial" w:hAnsi="Arial" w:cs="Arial"/>
        </w:rPr>
        <w:t>,</w:t>
      </w:r>
      <w:r w:rsidR="005D4645">
        <w:rPr>
          <w:rFonts w:ascii="Arial" w:hAnsi="Arial" w:cs="Arial"/>
        </w:rPr>
        <w:t xml:space="preserve"> </w:t>
      </w:r>
      <w:r w:rsidRPr="002B79D3">
        <w:rPr>
          <w:rFonts w:ascii="Arial" w:hAnsi="Arial" w:cs="Arial"/>
        </w:rPr>
        <w:t>core components of competent care.</w:t>
      </w:r>
    </w:p>
    <w:p w14:paraId="0A6614E8" w14:textId="7ED8D6DF" w:rsidR="000F04AC" w:rsidRDefault="002B161B" w:rsidP="002B79D3">
      <w:pPr>
        <w:rPr>
          <w:rFonts w:ascii="Arial" w:hAnsi="Arial" w:cs="Arial"/>
        </w:rPr>
      </w:pPr>
      <w:r w:rsidRPr="002B161B">
        <w:rPr>
          <w:rFonts w:ascii="Arial" w:hAnsi="Arial" w:cs="Arial"/>
        </w:rPr>
        <w:t>Training should be co-produced with service users, community representatives, and faith leaders to ensure authenticity and contextual relevance. Continuous professional development modules could be integrated into revalidation requirements for nurses and allied professionals, as well as induction for new staff. Barriers include time constraints and financial limitations; however, these can be mitigated through e-learning, blended approaches, and dedicated NHS England funding streams.</w:t>
      </w:r>
    </w:p>
    <w:p w14:paraId="4BFE829D" w14:textId="0F364F03" w:rsidR="0094279E" w:rsidRDefault="00B835BB" w:rsidP="002B79D3">
      <w:pPr>
        <w:rPr>
          <w:rFonts w:ascii="Arial" w:hAnsi="Arial" w:cs="Arial"/>
        </w:rPr>
      </w:pPr>
      <w:r w:rsidRPr="00B835BB">
        <w:rPr>
          <w:rFonts w:ascii="Arial" w:hAnsi="Arial" w:cs="Arial"/>
          <w:b/>
          <w:bCs/>
        </w:rPr>
        <w:t>Projected impact:</w:t>
      </w:r>
      <w:r w:rsidRPr="00B835BB">
        <w:rPr>
          <w:rFonts w:ascii="Arial" w:hAnsi="Arial" w:cs="Arial"/>
        </w:rPr>
        <w:t xml:space="preserve"> </w:t>
      </w:r>
      <w:r w:rsidR="00C55212" w:rsidRPr="00C55212">
        <w:rPr>
          <w:rFonts w:ascii="Arial" w:hAnsi="Arial" w:cs="Arial"/>
        </w:rPr>
        <w:t>Embedding cultural competence as a professional standard would enhance communication quality, rebuild trust, and reduce disparities in EOL decision-making (</w:t>
      </w:r>
      <w:proofErr w:type="spellStart"/>
      <w:r w:rsidR="00C55212" w:rsidRPr="00C55212">
        <w:rPr>
          <w:rFonts w:ascii="Arial" w:hAnsi="Arial" w:cs="Arial"/>
        </w:rPr>
        <w:t>Kaihlanen</w:t>
      </w:r>
      <w:proofErr w:type="spellEnd"/>
      <w:r w:rsidR="00C55212" w:rsidRPr="00C55212">
        <w:rPr>
          <w:rFonts w:ascii="Arial" w:hAnsi="Arial" w:cs="Arial"/>
        </w:rPr>
        <w:t xml:space="preserve"> et al., 2019).</w:t>
      </w:r>
    </w:p>
    <w:p w14:paraId="22EEA833" w14:textId="77777777" w:rsidR="004A144B" w:rsidRDefault="004A144B" w:rsidP="00EC3E24">
      <w:pPr>
        <w:rPr>
          <w:rFonts w:ascii="Arial" w:hAnsi="Arial" w:cs="Arial"/>
          <w:b/>
          <w:bCs/>
          <w:u w:val="single"/>
        </w:rPr>
      </w:pPr>
    </w:p>
    <w:p w14:paraId="2F09B773" w14:textId="61AB326A" w:rsidR="00EC3E24" w:rsidRPr="004A144B" w:rsidRDefault="00EC3E24" w:rsidP="00EC3E24">
      <w:pPr>
        <w:rPr>
          <w:rFonts w:ascii="Arial" w:hAnsi="Arial" w:cs="Arial"/>
          <w:b/>
          <w:bCs/>
          <w:u w:val="single"/>
        </w:rPr>
      </w:pPr>
      <w:r w:rsidRPr="004A144B">
        <w:rPr>
          <w:rFonts w:ascii="Arial" w:hAnsi="Arial" w:cs="Arial"/>
          <w:b/>
          <w:bCs/>
          <w:u w:val="single"/>
        </w:rPr>
        <w:t>5.2.2</w:t>
      </w:r>
      <w:r w:rsidR="00F307D2">
        <w:rPr>
          <w:rFonts w:ascii="Arial" w:hAnsi="Arial" w:cs="Arial"/>
          <w:b/>
          <w:bCs/>
          <w:u w:val="single"/>
        </w:rPr>
        <w:t xml:space="preserve"> - </w:t>
      </w:r>
      <w:r w:rsidRPr="004A144B">
        <w:rPr>
          <w:rFonts w:ascii="Arial" w:hAnsi="Arial" w:cs="Arial"/>
          <w:b/>
          <w:bCs/>
          <w:u w:val="single"/>
        </w:rPr>
        <w:t>Recommendation 2: Strengthening Community Partnerships and Co-Designed Outreach</w:t>
      </w:r>
    </w:p>
    <w:p w14:paraId="5307275E" w14:textId="0D650C2C" w:rsidR="00E23562" w:rsidRPr="00382C58" w:rsidRDefault="00EC3E24" w:rsidP="00EC3E24">
      <w:pPr>
        <w:rPr>
          <w:rFonts w:ascii="Arial" w:hAnsi="Arial" w:cs="Arial"/>
        </w:rPr>
      </w:pPr>
      <w:r w:rsidRPr="00EC3E24">
        <w:rPr>
          <w:rFonts w:ascii="Arial" w:hAnsi="Arial" w:cs="Arial"/>
        </w:rPr>
        <w:t xml:space="preserve">Building trust with ethnic minority communities requires sustained collaboration rather than episodic engagement. It is therefore recommended that hospices and EOL services establish </w:t>
      </w:r>
      <w:r w:rsidRPr="00EC3E24">
        <w:rPr>
          <w:rFonts w:ascii="Arial" w:hAnsi="Arial" w:cs="Arial"/>
        </w:rPr>
        <w:lastRenderedPageBreak/>
        <w:t>long-term community partnerships and co-designed outreach programmes with faith organisations, cultural associations, and local leaders. Evidence from Hospice UK’s Breaking Down Barriers project (2021) and Marie Curie’s Equity and Access initiative (2019) shows that community-led collaboration increases awareness, trust, and service uptake.</w:t>
      </w:r>
    </w:p>
    <w:p w14:paraId="38775DC4" w14:textId="32ACBA5C" w:rsidR="00382C58" w:rsidRDefault="00CA4DB8" w:rsidP="005C5E80">
      <w:pPr>
        <w:rPr>
          <w:rFonts w:ascii="Arial" w:hAnsi="Arial" w:cs="Arial"/>
        </w:rPr>
      </w:pPr>
      <w:r w:rsidRPr="005E3BF7">
        <w:rPr>
          <w:rFonts w:ascii="Arial" w:hAnsi="Arial" w:cs="Arial"/>
        </w:rPr>
        <w:t xml:space="preserve">By aligning with </w:t>
      </w:r>
      <w:proofErr w:type="spellStart"/>
      <w:r w:rsidRPr="005E3BF7">
        <w:rPr>
          <w:rFonts w:ascii="Arial" w:hAnsi="Arial" w:cs="Arial"/>
        </w:rPr>
        <w:t>Tervalon</w:t>
      </w:r>
      <w:proofErr w:type="spellEnd"/>
      <w:r w:rsidRPr="005E3BF7">
        <w:rPr>
          <w:rFonts w:ascii="Arial" w:hAnsi="Arial" w:cs="Arial"/>
        </w:rPr>
        <w:t xml:space="preserve"> and Murray-García’s (1998) principles of cultural humility, practitioners can move from tokenistic consultation toward genuine shared ownership of care design. Barriers include mistrust of statutory institutions and limited </w:t>
      </w:r>
      <w:r w:rsidR="005E3BF7">
        <w:rPr>
          <w:rFonts w:ascii="Arial" w:hAnsi="Arial" w:cs="Arial"/>
        </w:rPr>
        <w:t>continuity of funding</w:t>
      </w:r>
      <w:r w:rsidRPr="005E3BF7">
        <w:rPr>
          <w:rFonts w:ascii="Arial" w:hAnsi="Arial" w:cs="Arial"/>
        </w:rPr>
        <w:t>. These can be addressed through transparent engagement strategies, the appointment of community liaison officers, and targeted funding from Integrated Care Boards (ICBs) to sustain engagement beyond pilot projects.</w:t>
      </w:r>
    </w:p>
    <w:p w14:paraId="6E438FBB" w14:textId="769528B5" w:rsidR="005E3BF7" w:rsidRDefault="00B835BB" w:rsidP="005C5E80">
      <w:pPr>
        <w:rPr>
          <w:rFonts w:ascii="Arial" w:hAnsi="Arial" w:cs="Arial"/>
        </w:rPr>
      </w:pPr>
      <w:bookmarkStart w:id="0" w:name="_Hlk210900830"/>
      <w:r w:rsidRPr="00B835BB">
        <w:rPr>
          <w:rFonts w:ascii="Arial" w:hAnsi="Arial" w:cs="Arial"/>
          <w:b/>
          <w:bCs/>
        </w:rPr>
        <w:t>Projected impact:</w:t>
      </w:r>
      <w:r w:rsidRPr="00B835BB">
        <w:rPr>
          <w:rFonts w:ascii="Arial" w:hAnsi="Arial" w:cs="Arial"/>
        </w:rPr>
        <w:t xml:space="preserve"> </w:t>
      </w:r>
      <w:bookmarkEnd w:id="0"/>
      <w:r w:rsidRPr="00B835BB">
        <w:rPr>
          <w:rFonts w:ascii="Arial" w:hAnsi="Arial" w:cs="Arial"/>
        </w:rPr>
        <w:t>This approach would directly improve early referral rates, enhance the cultural safety of EOL discussions, and strengthen public confidence in palliative services.</w:t>
      </w:r>
    </w:p>
    <w:p w14:paraId="5D1AF75D" w14:textId="0D09DFAC" w:rsidR="00661468" w:rsidRPr="00661468" w:rsidRDefault="00661468" w:rsidP="00661468">
      <w:pPr>
        <w:rPr>
          <w:rFonts w:ascii="Arial" w:hAnsi="Arial" w:cs="Arial"/>
          <w:b/>
          <w:bCs/>
          <w:u w:val="single"/>
        </w:rPr>
      </w:pPr>
      <w:r w:rsidRPr="00661468">
        <w:rPr>
          <w:rFonts w:ascii="Arial" w:hAnsi="Arial" w:cs="Arial"/>
          <w:b/>
          <w:bCs/>
          <w:u w:val="single"/>
        </w:rPr>
        <w:t>5.2.3</w:t>
      </w:r>
      <w:r w:rsidR="00F307D2">
        <w:rPr>
          <w:rFonts w:ascii="Arial" w:hAnsi="Arial" w:cs="Arial"/>
          <w:b/>
          <w:bCs/>
          <w:u w:val="single"/>
        </w:rPr>
        <w:t xml:space="preserve"> - </w:t>
      </w:r>
      <w:r w:rsidRPr="00661468">
        <w:rPr>
          <w:rFonts w:ascii="Arial" w:hAnsi="Arial" w:cs="Arial"/>
          <w:b/>
          <w:bCs/>
          <w:u w:val="single"/>
        </w:rPr>
        <w:t xml:space="preserve"> Recommendation 3: Embedding Accountability through Policy and Regulation</w:t>
      </w:r>
    </w:p>
    <w:p w14:paraId="6DF377A5" w14:textId="3D19934F" w:rsidR="004A144B" w:rsidRDefault="00661468" w:rsidP="00661468">
      <w:pPr>
        <w:rPr>
          <w:rFonts w:ascii="Arial" w:hAnsi="Arial" w:cs="Arial"/>
        </w:rPr>
      </w:pPr>
      <w:r w:rsidRPr="00661468">
        <w:rPr>
          <w:rFonts w:ascii="Arial" w:hAnsi="Arial" w:cs="Arial"/>
        </w:rPr>
        <w:t>For cultural competence to be meaningful, it must be underpinned by measurable accountability. It is therefore recommended that the Care Quality Commission (CQC) incorporate cultural competence standards into its inspection frameworks for palliative and hospice care. Metrics could include the presence of multilingual materials, interpreter use, community engagement outcomes, and staff diversity data.</w:t>
      </w:r>
    </w:p>
    <w:p w14:paraId="62CA4029" w14:textId="64BCA015" w:rsidR="00F45CC2" w:rsidRDefault="00F45CC2" w:rsidP="00661468">
      <w:pPr>
        <w:rPr>
          <w:rFonts w:ascii="Arial" w:hAnsi="Arial" w:cs="Arial"/>
        </w:rPr>
      </w:pPr>
      <w:r w:rsidRPr="00F45CC2">
        <w:rPr>
          <w:rFonts w:ascii="Arial" w:hAnsi="Arial" w:cs="Arial"/>
        </w:rPr>
        <w:t xml:space="preserve">This recommendation aligns with Critical Race Theory (Ford and </w:t>
      </w:r>
      <w:proofErr w:type="spellStart"/>
      <w:r w:rsidRPr="00F45CC2">
        <w:rPr>
          <w:rFonts w:ascii="Arial" w:hAnsi="Arial" w:cs="Arial"/>
        </w:rPr>
        <w:t>Airhihenbuwa</w:t>
      </w:r>
      <w:proofErr w:type="spellEnd"/>
      <w:r w:rsidRPr="00F45CC2">
        <w:rPr>
          <w:rFonts w:ascii="Arial" w:hAnsi="Arial" w:cs="Arial"/>
        </w:rPr>
        <w:t>, 2010), which asserts that institutional change requires structural accountability to dismantle systemic inequities. Current legislation, including the Equality Act (2010) and the Health and Social Care Act (2012), provides a legal basis, yet enforcement remains inconsistent (Hospice UK, 2021). Incorporating cultural competence indicators into CQC ratings would create a clear incentive for organisations to prioritise inclusive practice.</w:t>
      </w:r>
    </w:p>
    <w:p w14:paraId="3AAD04F7" w14:textId="77777777" w:rsidR="00F65DF7" w:rsidRPr="00F65DF7" w:rsidRDefault="00F65DF7" w:rsidP="00F65DF7">
      <w:pPr>
        <w:rPr>
          <w:rFonts w:ascii="Arial" w:hAnsi="Arial" w:cs="Arial"/>
        </w:rPr>
      </w:pPr>
      <w:r w:rsidRPr="00F65DF7">
        <w:rPr>
          <w:rFonts w:ascii="Arial" w:hAnsi="Arial" w:cs="Arial"/>
        </w:rPr>
        <w:t>Barriers include data collection challenges and organisational resistance. These could be mitigated through national data standardisation (NHS England, 2023) and linking funding incentives to performance outcomes.</w:t>
      </w:r>
    </w:p>
    <w:p w14:paraId="1AA44668" w14:textId="77777777" w:rsidR="00F65DF7" w:rsidRPr="00F65DF7" w:rsidRDefault="00F65DF7" w:rsidP="00F65DF7">
      <w:pPr>
        <w:rPr>
          <w:rFonts w:ascii="Arial" w:hAnsi="Arial" w:cs="Arial"/>
        </w:rPr>
      </w:pPr>
    </w:p>
    <w:p w14:paraId="241ECC7E" w14:textId="2B2DD2FB" w:rsidR="005702F5" w:rsidRDefault="00F65DF7" w:rsidP="00F65DF7">
      <w:pPr>
        <w:rPr>
          <w:rFonts w:ascii="Arial" w:hAnsi="Arial" w:cs="Arial"/>
        </w:rPr>
      </w:pPr>
      <w:r w:rsidRPr="00F65DF7">
        <w:rPr>
          <w:rFonts w:ascii="Arial" w:hAnsi="Arial" w:cs="Arial"/>
          <w:b/>
          <w:bCs/>
        </w:rPr>
        <w:t>Projected impact</w:t>
      </w:r>
      <w:r w:rsidRPr="00F65DF7">
        <w:rPr>
          <w:rFonts w:ascii="Arial" w:hAnsi="Arial" w:cs="Arial"/>
        </w:rPr>
        <w:t>: Embedding accountability would ensure that cultural competence is not optional but integral to quality and safety in EOL care provision.</w:t>
      </w:r>
    </w:p>
    <w:p w14:paraId="225EF822" w14:textId="21C0D6EB" w:rsidR="00CA0B93" w:rsidRPr="00CA0B93" w:rsidRDefault="00CA0B93" w:rsidP="00CA0B93">
      <w:pPr>
        <w:rPr>
          <w:rFonts w:ascii="Arial" w:hAnsi="Arial" w:cs="Arial"/>
          <w:b/>
          <w:bCs/>
          <w:u w:val="single"/>
        </w:rPr>
      </w:pPr>
      <w:r w:rsidRPr="00CA0B93">
        <w:rPr>
          <w:rFonts w:ascii="Arial" w:hAnsi="Arial" w:cs="Arial"/>
          <w:b/>
          <w:bCs/>
          <w:u w:val="single"/>
        </w:rPr>
        <w:t>5.2.4</w:t>
      </w:r>
      <w:r w:rsidR="00F307D2">
        <w:rPr>
          <w:rFonts w:ascii="Arial" w:hAnsi="Arial" w:cs="Arial"/>
          <w:b/>
          <w:bCs/>
          <w:u w:val="single"/>
        </w:rPr>
        <w:t xml:space="preserve"> - </w:t>
      </w:r>
      <w:r w:rsidRPr="00CA0B93">
        <w:rPr>
          <w:rFonts w:ascii="Arial" w:hAnsi="Arial" w:cs="Arial"/>
          <w:b/>
          <w:bCs/>
          <w:u w:val="single"/>
        </w:rPr>
        <w:t>Recommendation 4: Expanding</w:t>
      </w:r>
      <w:r w:rsidR="00F307D2">
        <w:rPr>
          <w:rFonts w:ascii="Arial" w:hAnsi="Arial" w:cs="Arial"/>
          <w:b/>
          <w:bCs/>
          <w:u w:val="single"/>
        </w:rPr>
        <w:t xml:space="preserve"> </w:t>
      </w:r>
      <w:r w:rsidRPr="00CA0B93">
        <w:rPr>
          <w:rFonts w:ascii="Arial" w:hAnsi="Arial" w:cs="Arial"/>
          <w:b/>
          <w:bCs/>
          <w:u w:val="single"/>
        </w:rPr>
        <w:t>Workforce Diversity and</w:t>
      </w:r>
      <w:r w:rsidR="00F307D2">
        <w:rPr>
          <w:rFonts w:ascii="Arial" w:hAnsi="Arial" w:cs="Arial"/>
          <w:b/>
          <w:bCs/>
          <w:u w:val="single"/>
        </w:rPr>
        <w:t xml:space="preserve"> </w:t>
      </w:r>
      <w:r w:rsidRPr="00CA0B93">
        <w:rPr>
          <w:rFonts w:ascii="Arial" w:hAnsi="Arial" w:cs="Arial"/>
          <w:b/>
          <w:bCs/>
          <w:u w:val="single"/>
        </w:rPr>
        <w:t>Leadership Representation</w:t>
      </w:r>
    </w:p>
    <w:p w14:paraId="485BD92C" w14:textId="391FEEA6" w:rsidR="000A3F1B" w:rsidRDefault="00CA0B93" w:rsidP="00CA0B93">
      <w:pPr>
        <w:rPr>
          <w:rFonts w:ascii="Arial" w:hAnsi="Arial" w:cs="Arial"/>
        </w:rPr>
      </w:pPr>
      <w:r w:rsidRPr="00CA0B93">
        <w:rPr>
          <w:rFonts w:ascii="Arial" w:hAnsi="Arial" w:cs="Arial"/>
        </w:rPr>
        <w:lastRenderedPageBreak/>
        <w:t>Diversity within the healthcare workforce is essential to improving culturally responsive care. The Workforce Race Equality Standard (WRES) (NHS England, 2021) highlights that ethnic minority staff remain underrepresented in senior roles and disproportionately experience workplace discrimination. This lack of representation undermines inclusion and limits the profession’s capacity to model cultural competence authentically.</w:t>
      </w:r>
    </w:p>
    <w:p w14:paraId="3ADA75DF" w14:textId="67672A75" w:rsidR="00F46609" w:rsidRDefault="00837C11" w:rsidP="00CA0B93">
      <w:pPr>
        <w:rPr>
          <w:rFonts w:ascii="Arial" w:hAnsi="Arial" w:cs="Arial"/>
        </w:rPr>
      </w:pPr>
      <w:r w:rsidRPr="00837C11">
        <w:rPr>
          <w:rFonts w:ascii="Arial" w:hAnsi="Arial" w:cs="Arial"/>
        </w:rPr>
        <w:t>It is therefore recommended that recruitment, retention, and promotion strategies actively target underrepresented groups. Initiatives such as the Mary Seacole Leadership Programme (NHS Leadership Academy, 2023) should be scaled nationally to cultivate diverse leadership pipelines and promote role models who reflect the communities they serve. Barriers include systemic bias, limited mentorship, and leadership inertia; however, these can be mitigated through transparent selection processes, sponsorship schemes, and anti-racist leadership training (Curtis et al., 2019).</w:t>
      </w:r>
    </w:p>
    <w:p w14:paraId="4A118922" w14:textId="4DB61A08" w:rsidR="00D61C45" w:rsidRDefault="00D30F79" w:rsidP="00CA0B93">
      <w:pPr>
        <w:rPr>
          <w:rFonts w:ascii="Arial" w:hAnsi="Arial" w:cs="Arial"/>
        </w:rPr>
      </w:pPr>
      <w:r w:rsidRPr="00D30F79">
        <w:rPr>
          <w:rFonts w:ascii="Arial" w:hAnsi="Arial" w:cs="Arial"/>
          <w:b/>
          <w:bCs/>
        </w:rPr>
        <w:t>Projected impact:</w:t>
      </w:r>
      <w:r w:rsidRPr="00D30F79">
        <w:rPr>
          <w:rFonts w:ascii="Arial" w:hAnsi="Arial" w:cs="Arial"/>
        </w:rPr>
        <w:t xml:space="preserve"> A more diverse and empowered leadership structure would not only enhance decision-making and innovation but also foster an organisational culture that values equity, empathy, and inclusion across all levels of EOL care.</w:t>
      </w:r>
    </w:p>
    <w:p w14:paraId="072064C0" w14:textId="36083B15" w:rsidR="00D977FA" w:rsidRPr="00D977FA" w:rsidRDefault="00D977FA" w:rsidP="00D977FA">
      <w:pPr>
        <w:rPr>
          <w:rFonts w:ascii="Arial" w:hAnsi="Arial" w:cs="Arial"/>
          <w:b/>
          <w:bCs/>
          <w:u w:val="single"/>
        </w:rPr>
      </w:pPr>
      <w:r w:rsidRPr="00D977FA">
        <w:rPr>
          <w:rFonts w:ascii="Arial" w:hAnsi="Arial" w:cs="Arial"/>
          <w:b/>
          <w:bCs/>
          <w:u w:val="single"/>
        </w:rPr>
        <w:t>5.2.5</w:t>
      </w:r>
      <w:r>
        <w:rPr>
          <w:rFonts w:ascii="Arial" w:hAnsi="Arial" w:cs="Arial"/>
          <w:b/>
          <w:bCs/>
          <w:u w:val="single"/>
        </w:rPr>
        <w:t xml:space="preserve"> - </w:t>
      </w:r>
      <w:r w:rsidRPr="00D977FA">
        <w:rPr>
          <w:rFonts w:ascii="Arial" w:hAnsi="Arial" w:cs="Arial"/>
          <w:b/>
          <w:bCs/>
          <w:u w:val="single"/>
        </w:rPr>
        <w:t>Recommendation 5: Integrating Cultural Competence into Professional Accreditation and Policy Reform</w:t>
      </w:r>
    </w:p>
    <w:p w14:paraId="00B0208C" w14:textId="1F039F92" w:rsidR="00D30F79" w:rsidRDefault="00D977FA" w:rsidP="00D977FA">
      <w:pPr>
        <w:rPr>
          <w:rFonts w:ascii="Arial" w:hAnsi="Arial" w:cs="Arial"/>
        </w:rPr>
      </w:pPr>
      <w:r w:rsidRPr="00D977FA">
        <w:rPr>
          <w:rFonts w:ascii="Arial" w:hAnsi="Arial" w:cs="Arial"/>
        </w:rPr>
        <w:t xml:space="preserve">Finally, to ensure sustainability, cultural competence should be embedded </w:t>
      </w:r>
      <w:r w:rsidR="0049307F">
        <w:rPr>
          <w:rFonts w:ascii="Arial" w:hAnsi="Arial" w:cs="Arial"/>
        </w:rPr>
        <w:t>in</w:t>
      </w:r>
      <w:r w:rsidRPr="00D977FA">
        <w:rPr>
          <w:rFonts w:ascii="Arial" w:hAnsi="Arial" w:cs="Arial"/>
        </w:rPr>
        <w:t xml:space="preserve"> national accreditation and policy frameworks. Professional bodies such as the Nursing and Midwifery Council (NMC) and Health and Care Professions Council (HCPC) should require evidence of cultural competence for revalidation and registration renewal. This would align with broader equality policies (NHS Long Term Plan, 2019) and position cultural responsiveness as a measurable element of professional excellence.</w:t>
      </w:r>
    </w:p>
    <w:p w14:paraId="2230A1DB" w14:textId="77777777" w:rsidR="00FF1DE3" w:rsidRDefault="00BE2545" w:rsidP="00D977FA">
      <w:pPr>
        <w:rPr>
          <w:rFonts w:ascii="Arial" w:hAnsi="Arial" w:cs="Arial"/>
        </w:rPr>
      </w:pPr>
      <w:r w:rsidRPr="00BE2545">
        <w:rPr>
          <w:rFonts w:ascii="Arial" w:hAnsi="Arial" w:cs="Arial"/>
        </w:rPr>
        <w:t>Furthermore, NHS England could establish a national Cultural Competence Implementation Framework to guide standardised practice across Integrated Care Systems (ICSs). Barriers include curriculum overcrowding and variable local implementation; these can be overcome through modular integration within existing training standards and national guidance dissemination.</w:t>
      </w:r>
    </w:p>
    <w:p w14:paraId="20684A68" w14:textId="45211BB4" w:rsidR="00BE2545" w:rsidRDefault="00FF1DE3" w:rsidP="00D977FA">
      <w:pPr>
        <w:rPr>
          <w:rFonts w:ascii="Arial" w:hAnsi="Arial" w:cs="Arial"/>
        </w:rPr>
      </w:pPr>
      <w:r w:rsidRPr="00FF1DE3">
        <w:rPr>
          <w:rFonts w:ascii="Arial" w:hAnsi="Arial" w:cs="Arial"/>
          <w:b/>
          <w:bCs/>
        </w:rPr>
        <w:t>Projected impact:</w:t>
      </w:r>
      <w:r w:rsidRPr="00FF1DE3">
        <w:rPr>
          <w:rFonts w:ascii="Arial" w:hAnsi="Arial" w:cs="Arial"/>
        </w:rPr>
        <w:t xml:space="preserve"> This structural embedding would ensure that cultural competence evolves from an optional focus area into a professional and policy requirement, ensuring sustainability and consistent practice across healthcare systems.</w:t>
      </w:r>
    </w:p>
    <w:p w14:paraId="71A3024C" w14:textId="77777777" w:rsidR="002F4611" w:rsidRDefault="002F4611" w:rsidP="003258D0">
      <w:pPr>
        <w:rPr>
          <w:rFonts w:ascii="Arial" w:hAnsi="Arial" w:cs="Arial"/>
          <w:b/>
          <w:bCs/>
          <w:u w:val="single"/>
        </w:rPr>
      </w:pPr>
    </w:p>
    <w:p w14:paraId="204A90A8" w14:textId="77777777" w:rsidR="002F4611" w:rsidRDefault="002F4611" w:rsidP="003258D0">
      <w:pPr>
        <w:rPr>
          <w:rFonts w:ascii="Arial" w:hAnsi="Arial" w:cs="Arial"/>
          <w:b/>
          <w:bCs/>
          <w:u w:val="single"/>
        </w:rPr>
      </w:pPr>
    </w:p>
    <w:p w14:paraId="35C537A3" w14:textId="159C17D2" w:rsidR="003258D0" w:rsidRPr="00531AA2" w:rsidRDefault="003258D0" w:rsidP="003258D0">
      <w:pPr>
        <w:rPr>
          <w:rFonts w:ascii="Arial" w:hAnsi="Arial" w:cs="Arial"/>
          <w:b/>
          <w:bCs/>
          <w:u w:val="single"/>
        </w:rPr>
      </w:pPr>
      <w:r w:rsidRPr="00531AA2">
        <w:rPr>
          <w:rFonts w:ascii="Arial" w:hAnsi="Arial" w:cs="Arial"/>
          <w:b/>
          <w:bCs/>
          <w:u w:val="single"/>
        </w:rPr>
        <w:lastRenderedPageBreak/>
        <w:t>Reflective Summary</w:t>
      </w:r>
    </w:p>
    <w:p w14:paraId="16DD2A6E" w14:textId="3D6C961D" w:rsidR="00382C58" w:rsidRDefault="00503FB1" w:rsidP="00503FB1">
      <w:pPr>
        <w:rPr>
          <w:rFonts w:ascii="Arial" w:hAnsi="Arial" w:cs="Arial"/>
        </w:rPr>
      </w:pPr>
      <w:r w:rsidRPr="00531AA2">
        <w:rPr>
          <w:rFonts w:ascii="Arial" w:hAnsi="Arial" w:cs="Arial"/>
        </w:rPr>
        <w:t>This dissertation has shown that delivering culturally competent end-of-life (EOL) care for ethnic minority communities in the United Kingdom depends on systemic reform across professional training, policy, and service delivery. The findings revealed that communication barriers, mistrust, and limited workforce preparation are interrelated issues rooted in institutional structures rather than isolated shortcomings (Salway et al., 2016).</w:t>
      </w:r>
    </w:p>
    <w:p w14:paraId="74CB1FC6" w14:textId="76291455" w:rsidR="00531AA2" w:rsidRDefault="000E587F" w:rsidP="00503FB1">
      <w:pPr>
        <w:rPr>
          <w:rFonts w:ascii="Arial" w:hAnsi="Arial" w:cs="Arial"/>
        </w:rPr>
      </w:pPr>
      <w:r w:rsidRPr="000E587F">
        <w:rPr>
          <w:rFonts w:ascii="Arial" w:hAnsi="Arial" w:cs="Arial"/>
        </w:rPr>
        <w:t>The recommendations proposed</w:t>
      </w:r>
      <w:r>
        <w:rPr>
          <w:rFonts w:ascii="Arial" w:hAnsi="Arial" w:cs="Arial"/>
        </w:rPr>
        <w:t xml:space="preserve"> </w:t>
      </w:r>
      <w:r w:rsidRPr="000E587F">
        <w:rPr>
          <w:rFonts w:ascii="Arial" w:hAnsi="Arial" w:cs="Arial"/>
        </w:rPr>
        <w:t>mandatory cultural competence education, community partnerships, leadership accountability, and integration of competence into accreditation frameworks</w:t>
      </w:r>
      <w:r>
        <w:rPr>
          <w:rFonts w:ascii="Arial" w:hAnsi="Arial" w:cs="Arial"/>
        </w:rPr>
        <w:t>, offering</w:t>
      </w:r>
      <w:r w:rsidRPr="000E587F">
        <w:rPr>
          <w:rFonts w:ascii="Arial" w:hAnsi="Arial" w:cs="Arial"/>
        </w:rPr>
        <w:t xml:space="preserve"> practical strategies for achieving equity in care. These align with Papadopoulos’ (2006) Cultural Competence Model, </w:t>
      </w:r>
      <w:proofErr w:type="spellStart"/>
      <w:r w:rsidRPr="000E587F">
        <w:rPr>
          <w:rFonts w:ascii="Arial" w:hAnsi="Arial" w:cs="Arial"/>
        </w:rPr>
        <w:t>Tervalon</w:t>
      </w:r>
      <w:proofErr w:type="spellEnd"/>
      <w:r w:rsidRPr="000E587F">
        <w:rPr>
          <w:rFonts w:ascii="Arial" w:hAnsi="Arial" w:cs="Arial"/>
        </w:rPr>
        <w:t xml:space="preserve"> and Murray-García’s (1998) concept of cultural humility, and Critical Race Theory (Ford and </w:t>
      </w:r>
      <w:proofErr w:type="spellStart"/>
      <w:r w:rsidRPr="000E587F">
        <w:rPr>
          <w:rFonts w:ascii="Arial" w:hAnsi="Arial" w:cs="Arial"/>
        </w:rPr>
        <w:t>Airhihenbuwa</w:t>
      </w:r>
      <w:proofErr w:type="spellEnd"/>
      <w:r w:rsidRPr="000E587F">
        <w:rPr>
          <w:rFonts w:ascii="Arial" w:hAnsi="Arial" w:cs="Arial"/>
        </w:rPr>
        <w:t>, 2010), which collectively emphasise that genuine inclusivity requires both reflective self-awareness and organisational transformation.</w:t>
      </w:r>
    </w:p>
    <w:p w14:paraId="56D8216E" w14:textId="749EB261" w:rsidR="005111C7" w:rsidRDefault="0002563D" w:rsidP="00503FB1">
      <w:pPr>
        <w:rPr>
          <w:rFonts w:ascii="Arial" w:hAnsi="Arial" w:cs="Arial"/>
        </w:rPr>
      </w:pPr>
      <w:r w:rsidRPr="0002563D">
        <w:rPr>
          <w:rFonts w:ascii="Arial" w:hAnsi="Arial" w:cs="Arial"/>
        </w:rPr>
        <w:t>Reflecting on the research process, it became clear that cultural competence must move beyond policy rhetoric to become an embedded professional standard underpinned by measurable outcomes. However, persistent challenges such as workforce shortages, inconsistent implementation, and limited funding continue to hinder progress (Hospice UK, 2021). Overcoming these requires sustained investment, cross-sector collaboration, and authentic engagement with minority communities.</w:t>
      </w:r>
    </w:p>
    <w:p w14:paraId="1911620D" w14:textId="090BF463" w:rsidR="0083771F" w:rsidRDefault="00E46C74" w:rsidP="00503FB1">
      <w:pPr>
        <w:rPr>
          <w:rFonts w:ascii="Arial" w:hAnsi="Arial" w:cs="Arial"/>
        </w:rPr>
      </w:pPr>
      <w:r>
        <w:rPr>
          <w:rFonts w:ascii="Arial" w:hAnsi="Arial" w:cs="Arial"/>
        </w:rPr>
        <w:t>T</w:t>
      </w:r>
      <w:r w:rsidRPr="00E46C74">
        <w:rPr>
          <w:rFonts w:ascii="Arial" w:hAnsi="Arial" w:cs="Arial"/>
        </w:rPr>
        <w:t>his study concludes that cultural competence is fundamental</w:t>
      </w:r>
      <w:r w:rsidR="0027382E">
        <w:rPr>
          <w:rFonts w:ascii="Arial" w:hAnsi="Arial" w:cs="Arial"/>
        </w:rPr>
        <w:t xml:space="preserve">, </w:t>
      </w:r>
      <w:r w:rsidRPr="00E46C74">
        <w:rPr>
          <w:rFonts w:ascii="Arial" w:hAnsi="Arial" w:cs="Arial"/>
        </w:rPr>
        <w:t>not supplementary</w:t>
      </w:r>
      <w:r w:rsidR="0027382E">
        <w:rPr>
          <w:rFonts w:ascii="Arial" w:hAnsi="Arial" w:cs="Arial"/>
        </w:rPr>
        <w:t xml:space="preserve"> </w:t>
      </w:r>
      <w:r w:rsidRPr="00E46C74">
        <w:rPr>
          <w:rFonts w:ascii="Arial" w:hAnsi="Arial" w:cs="Arial"/>
        </w:rPr>
        <w:t xml:space="preserve">to ethical and person-centred EOL care. By fostering humility, empathy, and accountability at every level, health and social care </w:t>
      </w:r>
      <w:r w:rsidR="00AC1C96" w:rsidRPr="00E46C74">
        <w:rPr>
          <w:rFonts w:ascii="Arial" w:hAnsi="Arial" w:cs="Arial"/>
        </w:rPr>
        <w:t>service</w:t>
      </w:r>
      <w:r w:rsidRPr="00E46C74">
        <w:rPr>
          <w:rFonts w:ascii="Arial" w:hAnsi="Arial" w:cs="Arial"/>
        </w:rPr>
        <w:t xml:space="preserve"> can begin to dismantle systemic inequalities and deliver compassionate, inclusive care that truly reflects the diversity of modern Britain.</w:t>
      </w:r>
    </w:p>
    <w:p w14:paraId="3E70FCAE" w14:textId="77777777" w:rsidR="009238EE" w:rsidRPr="00531AA2" w:rsidRDefault="009238EE" w:rsidP="00503FB1">
      <w:pPr>
        <w:rPr>
          <w:rFonts w:ascii="Arial" w:hAnsi="Arial" w:cs="Arial"/>
        </w:rPr>
      </w:pPr>
    </w:p>
    <w:p w14:paraId="5B31692B" w14:textId="77777777" w:rsidR="00382C58" w:rsidRDefault="00382C58" w:rsidP="005C5E80"/>
    <w:p w14:paraId="3C678FF3" w14:textId="77777777" w:rsidR="00382C58" w:rsidRPr="005C5E80" w:rsidRDefault="00382C58" w:rsidP="005C5E80"/>
    <w:p w14:paraId="020B1B1C" w14:textId="77777777" w:rsidR="000400E4" w:rsidRDefault="000400E4"/>
    <w:p w14:paraId="65F969F3" w14:textId="77777777" w:rsidR="000400E4" w:rsidRDefault="000400E4"/>
    <w:p w14:paraId="213636C9" w14:textId="77777777" w:rsidR="002F4611" w:rsidRDefault="002F4611"/>
    <w:p w14:paraId="3D3F10A6" w14:textId="77777777" w:rsidR="002F4611" w:rsidRDefault="002F4611"/>
    <w:p w14:paraId="23E21FB5" w14:textId="77777777" w:rsidR="002F4611" w:rsidRDefault="002F4611"/>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020B130C" w14:textId="77777777" w:rsidR="00F02727" w:rsidRDefault="00F02727" w:rsidP="00621776"/>
    <w:p w14:paraId="28F8519B" w14:textId="77777777" w:rsidR="00F02727" w:rsidRPr="00F02727" w:rsidRDefault="00F02727" w:rsidP="00F02727">
      <w:pPr>
        <w:rPr>
          <w:rFonts w:ascii="Arial" w:hAnsi="Arial" w:cs="Arial"/>
        </w:rPr>
      </w:pPr>
    </w:p>
    <w:p w14:paraId="0CFAFACA" w14:textId="77777777" w:rsidR="00F02727" w:rsidRDefault="00F02727" w:rsidP="00621776"/>
    <w:p w14:paraId="5B03B98F" w14:textId="77777777" w:rsidR="00F02727" w:rsidRDefault="00F02727" w:rsidP="00621776"/>
    <w:p w14:paraId="4D0E3BFF" w14:textId="77777777" w:rsidR="00F02727" w:rsidRDefault="00F02727" w:rsidP="00621776"/>
    <w:p w14:paraId="1AEC18C9" w14:textId="77777777" w:rsidR="00F02727" w:rsidRDefault="00F02727" w:rsidP="00621776"/>
    <w:p w14:paraId="2D6CC1C2" w14:textId="77777777" w:rsidR="00F02727" w:rsidRDefault="00F02727" w:rsidP="00621776"/>
    <w:p w14:paraId="25D4BEC1" w14:textId="77777777" w:rsidR="00F02727" w:rsidRDefault="00F02727" w:rsidP="00621776"/>
    <w:p w14:paraId="32166AE2" w14:textId="77777777" w:rsidR="00F02727" w:rsidRDefault="00F02727" w:rsidP="00621776"/>
    <w:p w14:paraId="5FD2A85C" w14:textId="77777777" w:rsidR="00F02727" w:rsidRDefault="00F02727" w:rsidP="00621776"/>
    <w:p w14:paraId="04D69ED3" w14:textId="77777777" w:rsidR="00F02727" w:rsidRDefault="00F02727" w:rsidP="00621776"/>
    <w:p w14:paraId="2D07381D" w14:textId="77777777" w:rsidR="00F02727" w:rsidRDefault="00F02727" w:rsidP="00621776"/>
    <w:p w14:paraId="729BAFA2" w14:textId="77777777" w:rsidR="00F02727" w:rsidRDefault="00F02727" w:rsidP="00621776"/>
    <w:p w14:paraId="7C962836" w14:textId="77777777" w:rsidR="00F02727" w:rsidRDefault="00F02727" w:rsidP="00621776"/>
    <w:p w14:paraId="16824613" w14:textId="77777777" w:rsidR="00F02727" w:rsidRDefault="00F02727" w:rsidP="00621776"/>
    <w:p w14:paraId="5B706036" w14:textId="77777777" w:rsidR="00F02727" w:rsidRDefault="00F02727" w:rsidP="00621776"/>
    <w:p w14:paraId="6D67117C" w14:textId="77777777" w:rsidR="0080139E" w:rsidRDefault="0080139E" w:rsidP="00621776"/>
    <w:p w14:paraId="4EA04B9B" w14:textId="77777777" w:rsidR="0080139E" w:rsidRDefault="0080139E" w:rsidP="00621776"/>
    <w:p w14:paraId="59CD1112" w14:textId="77777777" w:rsidR="0080139E" w:rsidRDefault="0080139E" w:rsidP="00621776"/>
    <w:p w14:paraId="600A6EFB" w14:textId="77777777" w:rsidR="0080139E" w:rsidRDefault="0080139E" w:rsidP="00621776">
      <w:pPr>
        <w:pStyle w:val="Heading1"/>
        <w:ind w:left="0"/>
        <w:rPr>
          <w:rFonts w:ascii="Aptos" w:hAnsi="Aptos"/>
          <w:sz w:val="28"/>
          <w:szCs w:val="28"/>
        </w:rPr>
      </w:pPr>
    </w:p>
    <w:p w14:paraId="349BCCAD" w14:textId="77777777" w:rsidR="00DC4F7A" w:rsidRDefault="00DC4F7A" w:rsidP="00621776">
      <w:pPr>
        <w:pStyle w:val="Heading1"/>
        <w:ind w:left="0"/>
        <w:rPr>
          <w:rFonts w:ascii="Aptos" w:hAnsi="Aptos"/>
          <w:sz w:val="28"/>
          <w:szCs w:val="28"/>
        </w:rPr>
      </w:pPr>
    </w:p>
    <w:p w14:paraId="3DEFD562" w14:textId="77777777" w:rsidR="00DC4F7A" w:rsidRDefault="00DC4F7A" w:rsidP="00621776">
      <w:pPr>
        <w:pStyle w:val="Heading1"/>
        <w:ind w:left="0"/>
        <w:rPr>
          <w:rFonts w:ascii="Aptos" w:hAnsi="Aptos"/>
          <w:sz w:val="28"/>
          <w:szCs w:val="28"/>
        </w:rPr>
      </w:pPr>
    </w:p>
    <w:p w14:paraId="2534F78C" w14:textId="77777777" w:rsidR="00DC4F7A" w:rsidRDefault="00DC4F7A" w:rsidP="00621776">
      <w:pPr>
        <w:pStyle w:val="Heading1"/>
        <w:ind w:left="0"/>
        <w:rPr>
          <w:rFonts w:ascii="Aptos" w:hAnsi="Aptos"/>
          <w:sz w:val="28"/>
          <w:szCs w:val="28"/>
        </w:rPr>
      </w:pPr>
    </w:p>
    <w:p w14:paraId="2A8F8D08" w14:textId="77777777" w:rsidR="0080139E" w:rsidRDefault="0080139E" w:rsidP="00621776">
      <w:pPr>
        <w:pStyle w:val="Heading1"/>
        <w:ind w:left="0"/>
        <w:rPr>
          <w:rFonts w:ascii="Aptos" w:hAnsi="Aptos"/>
          <w:sz w:val="28"/>
          <w:szCs w:val="28"/>
        </w:rPr>
      </w:pPr>
    </w:p>
    <w:p w14:paraId="6D7584F3" w14:textId="0B5081C8" w:rsidR="00621776" w:rsidRPr="008C38C3" w:rsidRDefault="00621776" w:rsidP="00621776">
      <w:pPr>
        <w:pStyle w:val="Heading1"/>
        <w:ind w:left="0"/>
        <w:rPr>
          <w:rFonts w:ascii="Aptos" w:hAnsi="Aptos"/>
          <w:sz w:val="28"/>
          <w:szCs w:val="28"/>
        </w:rPr>
      </w:pPr>
      <w:r w:rsidRPr="008C38C3">
        <w:rPr>
          <w:rFonts w:ascii="Aptos" w:hAnsi="Aptos"/>
          <w:sz w:val="28"/>
          <w:szCs w:val="28"/>
        </w:rPr>
        <w:lastRenderedPageBreak/>
        <w:t xml:space="preserve">6.2 – Appendices </w:t>
      </w:r>
    </w:p>
    <w:p w14:paraId="5E02AF15" w14:textId="63884053" w:rsidR="00621776" w:rsidRDefault="00621776" w:rsidP="00621776"/>
    <w:p w14:paraId="01E01220" w14:textId="6022284C" w:rsidR="008C38C3" w:rsidRDefault="008C38C3" w:rsidP="00621776">
      <w:r>
        <w:t xml:space="preserve">You can include any information within your appendices which you believe to be relevant and beneficial to your dissertation but could not add within the main body of your work. Examples of this can </w:t>
      </w:r>
      <w:proofErr w:type="gramStart"/>
      <w:r>
        <w:t>include:</w:t>
      </w:r>
      <w:proofErr w:type="gramEnd"/>
      <w:r>
        <w:t xml:space="preserve"> data and statistics, case studies or other documentation.</w:t>
      </w:r>
    </w:p>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C32209">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C32209">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C32209">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C3220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D83C0" w14:textId="77777777" w:rsidR="002140D9" w:rsidRDefault="002140D9" w:rsidP="00211184">
      <w:pPr>
        <w:spacing w:after="0" w:line="240" w:lineRule="auto"/>
      </w:pPr>
      <w:r>
        <w:separator/>
      </w:r>
    </w:p>
  </w:endnote>
  <w:endnote w:type="continuationSeparator" w:id="0">
    <w:p w14:paraId="3110B754" w14:textId="77777777" w:rsidR="002140D9" w:rsidRDefault="002140D9"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A65E9" w14:textId="77777777" w:rsidR="004003C7" w:rsidRDefault="004003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98481"/>
      <w:docPartObj>
        <w:docPartGallery w:val="Page Numbers (Bottom of Page)"/>
        <w:docPartUnique/>
      </w:docPartObj>
    </w:sdtPr>
    <w:sdtContent>
      <w:p w14:paraId="06AA1F6A" w14:textId="7CFFD4AC" w:rsidR="004003C7" w:rsidRDefault="004003C7">
        <w:pPr>
          <w:pStyle w:val="Footer"/>
          <w:jc w:val="center"/>
        </w:pPr>
        <w:r>
          <w:fldChar w:fldCharType="begin"/>
        </w:r>
        <w:r>
          <w:instrText>PAGE   \* MERGEFORMAT</w:instrText>
        </w:r>
        <w:r>
          <w:fldChar w:fldCharType="separate"/>
        </w:r>
        <w:r>
          <w:t>2</w:t>
        </w:r>
        <w:r>
          <w:fldChar w:fldCharType="end"/>
        </w:r>
      </w:p>
    </w:sdtContent>
  </w:sdt>
  <w:p w14:paraId="2DC1A861" w14:textId="77777777" w:rsidR="00211184" w:rsidRDefault="002111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0E838" w14:textId="77777777" w:rsidR="004003C7" w:rsidRDefault="00400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905C1" w14:textId="77777777" w:rsidR="002140D9" w:rsidRDefault="002140D9" w:rsidP="00211184">
      <w:pPr>
        <w:spacing w:after="0" w:line="240" w:lineRule="auto"/>
      </w:pPr>
      <w:r>
        <w:separator/>
      </w:r>
    </w:p>
  </w:footnote>
  <w:footnote w:type="continuationSeparator" w:id="0">
    <w:p w14:paraId="33200FE8" w14:textId="77777777" w:rsidR="002140D9" w:rsidRDefault="002140D9"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07403" w14:textId="77777777" w:rsidR="004003C7" w:rsidRDefault="004003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992BA" w14:textId="77777777" w:rsidR="004003C7" w:rsidRDefault="004003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AF51D" w14:textId="77777777" w:rsidR="004003C7" w:rsidRDefault="004003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0F6D89"/>
    <w:multiLevelType w:val="multilevel"/>
    <w:tmpl w:val="F196B118"/>
    <w:lvl w:ilvl="0">
      <w:start w:val="3"/>
      <w:numFmt w:val="decimal"/>
      <w:lvlText w:val="%1"/>
      <w:lvlJc w:val="left"/>
      <w:pPr>
        <w:ind w:left="360" w:hanging="360"/>
      </w:pPr>
      <w:rPr>
        <w:rFonts w:hint="default"/>
        <w:color w:val="auto"/>
      </w:rPr>
    </w:lvl>
    <w:lvl w:ilvl="1">
      <w:start w:val="5"/>
      <w:numFmt w:val="decimal"/>
      <w:lvlText w:val="%1.%2"/>
      <w:lvlJc w:val="left"/>
      <w:pPr>
        <w:ind w:left="720" w:hanging="360"/>
      </w:pPr>
      <w:rPr>
        <w:rFonts w:hint="default"/>
        <w:color w:val="auto"/>
      </w:rPr>
    </w:lvl>
    <w:lvl w:ilvl="2">
      <w:start w:val="1"/>
      <w:numFmt w:val="decimal"/>
      <w:lvlText w:val="%1.%2.%3"/>
      <w:lvlJc w:val="left"/>
      <w:pPr>
        <w:ind w:left="1440" w:hanging="720"/>
      </w:pPr>
      <w:rPr>
        <w:rFonts w:hint="default"/>
        <w:color w:val="auto"/>
      </w:rPr>
    </w:lvl>
    <w:lvl w:ilvl="3">
      <w:start w:val="1"/>
      <w:numFmt w:val="decimal"/>
      <w:lvlText w:val="%1.%2.%3.%4"/>
      <w:lvlJc w:val="left"/>
      <w:pPr>
        <w:ind w:left="1800" w:hanging="720"/>
      </w:pPr>
      <w:rPr>
        <w:rFonts w:hint="default"/>
        <w:color w:val="auto"/>
      </w:rPr>
    </w:lvl>
    <w:lvl w:ilvl="4">
      <w:start w:val="1"/>
      <w:numFmt w:val="decimal"/>
      <w:lvlText w:val="%1.%2.%3.%4.%5"/>
      <w:lvlJc w:val="left"/>
      <w:pPr>
        <w:ind w:left="2520" w:hanging="1080"/>
      </w:pPr>
      <w:rPr>
        <w:rFonts w:hint="default"/>
        <w:color w:val="auto"/>
      </w:rPr>
    </w:lvl>
    <w:lvl w:ilvl="5">
      <w:start w:val="1"/>
      <w:numFmt w:val="decimal"/>
      <w:lvlText w:val="%1.%2.%3.%4.%5.%6"/>
      <w:lvlJc w:val="left"/>
      <w:pPr>
        <w:ind w:left="2880" w:hanging="1080"/>
      </w:pPr>
      <w:rPr>
        <w:rFonts w:hint="default"/>
        <w:color w:val="auto"/>
      </w:rPr>
    </w:lvl>
    <w:lvl w:ilvl="6">
      <w:start w:val="1"/>
      <w:numFmt w:val="decimal"/>
      <w:lvlText w:val="%1.%2.%3.%4.%5.%6.%7"/>
      <w:lvlJc w:val="left"/>
      <w:pPr>
        <w:ind w:left="3600" w:hanging="1440"/>
      </w:pPr>
      <w:rPr>
        <w:rFonts w:hint="default"/>
        <w:color w:val="auto"/>
      </w:rPr>
    </w:lvl>
    <w:lvl w:ilvl="7">
      <w:start w:val="1"/>
      <w:numFmt w:val="decimal"/>
      <w:lvlText w:val="%1.%2.%3.%4.%5.%6.%7.%8"/>
      <w:lvlJc w:val="left"/>
      <w:pPr>
        <w:ind w:left="3960" w:hanging="1440"/>
      </w:pPr>
      <w:rPr>
        <w:rFonts w:hint="default"/>
        <w:color w:val="auto"/>
      </w:rPr>
    </w:lvl>
    <w:lvl w:ilvl="8">
      <w:start w:val="1"/>
      <w:numFmt w:val="decimal"/>
      <w:lvlText w:val="%1.%2.%3.%4.%5.%6.%7.%8.%9"/>
      <w:lvlJc w:val="left"/>
      <w:pPr>
        <w:ind w:left="4680" w:hanging="1800"/>
      </w:pPr>
      <w:rPr>
        <w:rFonts w:hint="default"/>
        <w:color w:val="auto"/>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9468B1"/>
    <w:multiLevelType w:val="hybridMultilevel"/>
    <w:tmpl w:val="5762C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43157F4"/>
    <w:multiLevelType w:val="hybridMultilevel"/>
    <w:tmpl w:val="752C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77768D8"/>
    <w:multiLevelType w:val="multilevel"/>
    <w:tmpl w:val="EC7855C6"/>
    <w:lvl w:ilvl="0">
      <w:start w:val="3"/>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5" w15:restartNumberingAfterBreak="0">
    <w:nsid w:val="47B66447"/>
    <w:multiLevelType w:val="hybridMultilevel"/>
    <w:tmpl w:val="870AF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06E482D"/>
    <w:multiLevelType w:val="hybridMultilevel"/>
    <w:tmpl w:val="33F22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9C0F76"/>
    <w:multiLevelType w:val="hybridMultilevel"/>
    <w:tmpl w:val="8EEA4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4497037"/>
    <w:multiLevelType w:val="multilevel"/>
    <w:tmpl w:val="72688852"/>
    <w:lvl w:ilvl="0">
      <w:start w:val="3"/>
      <w:numFmt w:val="decimal"/>
      <w:lvlText w:val="%1"/>
      <w:lvlJc w:val="left"/>
      <w:pPr>
        <w:ind w:left="360" w:hanging="360"/>
      </w:pPr>
      <w:rPr>
        <w:rFonts w:hint="default"/>
        <w:color w:val="auto"/>
      </w:rPr>
    </w:lvl>
    <w:lvl w:ilvl="1">
      <w:start w:val="5"/>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4"/>
  </w:num>
  <w:num w:numId="2" w16cid:durableId="1500121260">
    <w:abstractNumId w:val="59"/>
  </w:num>
  <w:num w:numId="3" w16cid:durableId="438111508">
    <w:abstractNumId w:val="97"/>
  </w:num>
  <w:num w:numId="4" w16cid:durableId="106121269">
    <w:abstractNumId w:val="18"/>
  </w:num>
  <w:num w:numId="5" w16cid:durableId="1859468656">
    <w:abstractNumId w:val="110"/>
  </w:num>
  <w:num w:numId="6" w16cid:durableId="407923627">
    <w:abstractNumId w:val="108"/>
  </w:num>
  <w:num w:numId="7" w16cid:durableId="1173763238">
    <w:abstractNumId w:val="72"/>
  </w:num>
  <w:num w:numId="8" w16cid:durableId="515197422">
    <w:abstractNumId w:val="48"/>
  </w:num>
  <w:num w:numId="9" w16cid:durableId="650984044">
    <w:abstractNumId w:val="14"/>
  </w:num>
  <w:num w:numId="10" w16cid:durableId="676225712">
    <w:abstractNumId w:val="101"/>
  </w:num>
  <w:num w:numId="11" w16cid:durableId="654647421">
    <w:abstractNumId w:val="71"/>
  </w:num>
  <w:num w:numId="12" w16cid:durableId="972827862">
    <w:abstractNumId w:val="74"/>
  </w:num>
  <w:num w:numId="13" w16cid:durableId="73359902">
    <w:abstractNumId w:val="46"/>
  </w:num>
  <w:num w:numId="14" w16cid:durableId="1233615214">
    <w:abstractNumId w:val="10"/>
  </w:num>
  <w:num w:numId="15" w16cid:durableId="1037585576">
    <w:abstractNumId w:val="106"/>
  </w:num>
  <w:num w:numId="16" w16cid:durableId="1454127918">
    <w:abstractNumId w:val="89"/>
  </w:num>
  <w:num w:numId="17" w16cid:durableId="1655717882">
    <w:abstractNumId w:val="32"/>
  </w:num>
  <w:num w:numId="18" w16cid:durableId="679818721">
    <w:abstractNumId w:val="7"/>
  </w:num>
  <w:num w:numId="19" w16cid:durableId="820851363">
    <w:abstractNumId w:val="2"/>
  </w:num>
  <w:num w:numId="20" w16cid:durableId="1752123437">
    <w:abstractNumId w:val="63"/>
  </w:num>
  <w:num w:numId="21" w16cid:durableId="776406381">
    <w:abstractNumId w:val="9"/>
  </w:num>
  <w:num w:numId="22" w16cid:durableId="2003772795">
    <w:abstractNumId w:val="111"/>
  </w:num>
  <w:num w:numId="23" w16cid:durableId="471214588">
    <w:abstractNumId w:val="8"/>
  </w:num>
  <w:num w:numId="24" w16cid:durableId="747188340">
    <w:abstractNumId w:val="96"/>
  </w:num>
  <w:num w:numId="25" w16cid:durableId="1617635105">
    <w:abstractNumId w:val="21"/>
  </w:num>
  <w:num w:numId="26" w16cid:durableId="1919750537">
    <w:abstractNumId w:val="102"/>
  </w:num>
  <w:num w:numId="27" w16cid:durableId="1917666381">
    <w:abstractNumId w:val="4"/>
  </w:num>
  <w:num w:numId="28" w16cid:durableId="836925604">
    <w:abstractNumId w:val="88"/>
  </w:num>
  <w:num w:numId="29" w16cid:durableId="881479433">
    <w:abstractNumId w:val="75"/>
  </w:num>
  <w:num w:numId="30" w16cid:durableId="164788852">
    <w:abstractNumId w:val="79"/>
  </w:num>
  <w:num w:numId="31" w16cid:durableId="735323509">
    <w:abstractNumId w:val="16"/>
  </w:num>
  <w:num w:numId="32" w16cid:durableId="1000431254">
    <w:abstractNumId w:val="45"/>
  </w:num>
  <w:num w:numId="33" w16cid:durableId="434404662">
    <w:abstractNumId w:val="24"/>
  </w:num>
  <w:num w:numId="34" w16cid:durableId="792409853">
    <w:abstractNumId w:val="57"/>
  </w:num>
  <w:num w:numId="35" w16cid:durableId="70469880">
    <w:abstractNumId w:val="61"/>
  </w:num>
  <w:num w:numId="36" w16cid:durableId="1255548974">
    <w:abstractNumId w:val="51"/>
  </w:num>
  <w:num w:numId="37" w16cid:durableId="509951972">
    <w:abstractNumId w:val="38"/>
  </w:num>
  <w:num w:numId="38" w16cid:durableId="1491873496">
    <w:abstractNumId w:val="67"/>
  </w:num>
  <w:num w:numId="39" w16cid:durableId="1277179892">
    <w:abstractNumId w:val="78"/>
  </w:num>
  <w:num w:numId="40" w16cid:durableId="1137721610">
    <w:abstractNumId w:val="62"/>
  </w:num>
  <w:num w:numId="41" w16cid:durableId="1569337486">
    <w:abstractNumId w:val="112"/>
  </w:num>
  <w:num w:numId="42" w16cid:durableId="1771851078">
    <w:abstractNumId w:val="5"/>
  </w:num>
  <w:num w:numId="43" w16cid:durableId="1096747610">
    <w:abstractNumId w:val="23"/>
  </w:num>
  <w:num w:numId="44" w16cid:durableId="1853105471">
    <w:abstractNumId w:val="90"/>
  </w:num>
  <w:num w:numId="45" w16cid:durableId="2016615092">
    <w:abstractNumId w:val="58"/>
  </w:num>
  <w:num w:numId="46" w16cid:durableId="439030946">
    <w:abstractNumId w:val="76"/>
  </w:num>
  <w:num w:numId="47" w16cid:durableId="315690756">
    <w:abstractNumId w:val="39"/>
  </w:num>
  <w:num w:numId="48" w16cid:durableId="1252278660">
    <w:abstractNumId w:val="13"/>
  </w:num>
  <w:num w:numId="49" w16cid:durableId="1719351677">
    <w:abstractNumId w:val="82"/>
  </w:num>
  <w:num w:numId="50" w16cid:durableId="1107427397">
    <w:abstractNumId w:val="26"/>
  </w:num>
  <w:num w:numId="51" w16cid:durableId="371266753">
    <w:abstractNumId w:val="77"/>
  </w:num>
  <w:num w:numId="52" w16cid:durableId="491869272">
    <w:abstractNumId w:val="31"/>
  </w:num>
  <w:num w:numId="53" w16cid:durableId="1351251430">
    <w:abstractNumId w:val="80"/>
  </w:num>
  <w:num w:numId="54" w16cid:durableId="1368607436">
    <w:abstractNumId w:val="103"/>
  </w:num>
  <w:num w:numId="55" w16cid:durableId="1588029100">
    <w:abstractNumId w:val="109"/>
  </w:num>
  <w:num w:numId="56" w16cid:durableId="415832180">
    <w:abstractNumId w:val="98"/>
  </w:num>
  <w:num w:numId="57" w16cid:durableId="1178735139">
    <w:abstractNumId w:val="47"/>
  </w:num>
  <w:num w:numId="58" w16cid:durableId="721834200">
    <w:abstractNumId w:val="60"/>
  </w:num>
  <w:num w:numId="59" w16cid:durableId="686251813">
    <w:abstractNumId w:val="1"/>
  </w:num>
  <w:num w:numId="60" w16cid:durableId="1960641414">
    <w:abstractNumId w:val="15"/>
  </w:num>
  <w:num w:numId="61" w16cid:durableId="39089564">
    <w:abstractNumId w:val="50"/>
  </w:num>
  <w:num w:numId="62" w16cid:durableId="1192718157">
    <w:abstractNumId w:val="22"/>
  </w:num>
  <w:num w:numId="63" w16cid:durableId="1777825955">
    <w:abstractNumId w:val="83"/>
  </w:num>
  <w:num w:numId="64" w16cid:durableId="286199487">
    <w:abstractNumId w:val="27"/>
  </w:num>
  <w:num w:numId="65" w16cid:durableId="1119490663">
    <w:abstractNumId w:val="65"/>
  </w:num>
  <w:num w:numId="66" w16cid:durableId="1353922786">
    <w:abstractNumId w:val="35"/>
  </w:num>
  <w:num w:numId="67" w16cid:durableId="492723980">
    <w:abstractNumId w:val="70"/>
  </w:num>
  <w:num w:numId="68" w16cid:durableId="526941613">
    <w:abstractNumId w:val="36"/>
  </w:num>
  <w:num w:numId="69" w16cid:durableId="320043301">
    <w:abstractNumId w:val="68"/>
  </w:num>
  <w:num w:numId="70" w16cid:durableId="2037610982">
    <w:abstractNumId w:val="6"/>
  </w:num>
  <w:num w:numId="71" w16cid:durableId="1079794559">
    <w:abstractNumId w:val="42"/>
  </w:num>
  <w:num w:numId="72" w16cid:durableId="503403534">
    <w:abstractNumId w:val="37"/>
  </w:num>
  <w:num w:numId="73" w16cid:durableId="194734275">
    <w:abstractNumId w:val="12"/>
  </w:num>
  <w:num w:numId="74" w16cid:durableId="424033359">
    <w:abstractNumId w:val="49"/>
  </w:num>
  <w:num w:numId="75" w16cid:durableId="1335066293">
    <w:abstractNumId w:val="92"/>
  </w:num>
  <w:num w:numId="76" w16cid:durableId="662587085">
    <w:abstractNumId w:val="40"/>
  </w:num>
  <w:num w:numId="77" w16cid:durableId="2071072074">
    <w:abstractNumId w:val="87"/>
  </w:num>
  <w:num w:numId="78" w16cid:durableId="1573662111">
    <w:abstractNumId w:val="105"/>
  </w:num>
  <w:num w:numId="79" w16cid:durableId="131678057">
    <w:abstractNumId w:val="99"/>
  </w:num>
  <w:num w:numId="80" w16cid:durableId="2103643901">
    <w:abstractNumId w:val="86"/>
  </w:num>
  <w:num w:numId="81" w16cid:durableId="99565733">
    <w:abstractNumId w:val="29"/>
  </w:num>
  <w:num w:numId="82" w16cid:durableId="1810784339">
    <w:abstractNumId w:val="73"/>
  </w:num>
  <w:num w:numId="83" w16cid:durableId="1491748033">
    <w:abstractNumId w:val="85"/>
  </w:num>
  <w:num w:numId="84" w16cid:durableId="670565925">
    <w:abstractNumId w:val="20"/>
  </w:num>
  <w:num w:numId="85" w16cid:durableId="211696971">
    <w:abstractNumId w:val="28"/>
  </w:num>
  <w:num w:numId="86" w16cid:durableId="1773429901">
    <w:abstractNumId w:val="44"/>
  </w:num>
  <w:num w:numId="87" w16cid:durableId="804733676">
    <w:abstractNumId w:val="33"/>
  </w:num>
  <w:num w:numId="88" w16cid:durableId="488864096">
    <w:abstractNumId w:val="93"/>
  </w:num>
  <w:num w:numId="89" w16cid:durableId="1599749197">
    <w:abstractNumId w:val="43"/>
  </w:num>
  <w:num w:numId="90" w16cid:durableId="1726679607">
    <w:abstractNumId w:val="25"/>
  </w:num>
  <w:num w:numId="91" w16cid:durableId="1630209448">
    <w:abstractNumId w:val="52"/>
  </w:num>
  <w:num w:numId="92" w16cid:durableId="928663234">
    <w:abstractNumId w:val="69"/>
  </w:num>
  <w:num w:numId="93" w16cid:durableId="2017072952">
    <w:abstractNumId w:val="81"/>
  </w:num>
  <w:num w:numId="94" w16cid:durableId="58405484">
    <w:abstractNumId w:val="34"/>
  </w:num>
  <w:num w:numId="95" w16cid:durableId="1817530714">
    <w:abstractNumId w:val="17"/>
  </w:num>
  <w:num w:numId="96" w16cid:durableId="2141336387">
    <w:abstractNumId w:val="64"/>
  </w:num>
  <w:num w:numId="97" w16cid:durableId="1325282792">
    <w:abstractNumId w:val="3"/>
  </w:num>
  <w:num w:numId="98" w16cid:durableId="1319654748">
    <w:abstractNumId w:val="84"/>
  </w:num>
  <w:num w:numId="99" w16cid:durableId="556555801">
    <w:abstractNumId w:val="0"/>
  </w:num>
  <w:num w:numId="100" w16cid:durableId="1903828627">
    <w:abstractNumId w:val="19"/>
  </w:num>
  <w:num w:numId="101" w16cid:durableId="281425930">
    <w:abstractNumId w:val="56"/>
  </w:num>
  <w:num w:numId="102" w16cid:durableId="1491553762">
    <w:abstractNumId w:val="41"/>
  </w:num>
  <w:num w:numId="103" w16cid:durableId="965625632">
    <w:abstractNumId w:val="91"/>
  </w:num>
  <w:num w:numId="104" w16cid:durableId="1481145624">
    <w:abstractNumId w:val="113"/>
  </w:num>
  <w:num w:numId="105" w16cid:durableId="29957555">
    <w:abstractNumId w:val="107"/>
  </w:num>
  <w:num w:numId="106" w16cid:durableId="1042821728">
    <w:abstractNumId w:val="94"/>
  </w:num>
  <w:num w:numId="107" w16cid:durableId="1928297695">
    <w:abstractNumId w:val="55"/>
  </w:num>
  <w:num w:numId="108" w16cid:durableId="675889068">
    <w:abstractNumId w:val="95"/>
  </w:num>
  <w:num w:numId="109" w16cid:durableId="1076517117">
    <w:abstractNumId w:val="30"/>
  </w:num>
  <w:num w:numId="110" w16cid:durableId="710155991">
    <w:abstractNumId w:val="66"/>
  </w:num>
  <w:num w:numId="111" w16cid:durableId="899052966">
    <w:abstractNumId w:val="53"/>
  </w:num>
  <w:num w:numId="112" w16cid:durableId="270284641">
    <w:abstractNumId w:val="54"/>
  </w:num>
  <w:num w:numId="113" w16cid:durableId="1028140919">
    <w:abstractNumId w:val="11"/>
  </w:num>
  <w:num w:numId="114" w16cid:durableId="302514301">
    <w:abstractNumId w:val="100"/>
  </w:num>
  <w:numIdMacAtCleanup w:val="10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A2F"/>
    <w:rsid w:val="00012874"/>
    <w:rsid w:val="000218E0"/>
    <w:rsid w:val="0002499F"/>
    <w:rsid w:val="0002563D"/>
    <w:rsid w:val="000259A8"/>
    <w:rsid w:val="000264A2"/>
    <w:rsid w:val="0002743F"/>
    <w:rsid w:val="000327C2"/>
    <w:rsid w:val="00034D64"/>
    <w:rsid w:val="000400E4"/>
    <w:rsid w:val="00040884"/>
    <w:rsid w:val="00044CE2"/>
    <w:rsid w:val="00045093"/>
    <w:rsid w:val="00052067"/>
    <w:rsid w:val="0005659E"/>
    <w:rsid w:val="00063B4C"/>
    <w:rsid w:val="00065983"/>
    <w:rsid w:val="000759EE"/>
    <w:rsid w:val="000771B8"/>
    <w:rsid w:val="00077FA1"/>
    <w:rsid w:val="00095B57"/>
    <w:rsid w:val="000A1BA2"/>
    <w:rsid w:val="000A1C2A"/>
    <w:rsid w:val="000A3F1B"/>
    <w:rsid w:val="000A5038"/>
    <w:rsid w:val="000A6FF2"/>
    <w:rsid w:val="000B554F"/>
    <w:rsid w:val="000B6688"/>
    <w:rsid w:val="000B7F30"/>
    <w:rsid w:val="000C1032"/>
    <w:rsid w:val="000C22B8"/>
    <w:rsid w:val="000D05D8"/>
    <w:rsid w:val="000D0641"/>
    <w:rsid w:val="000D2B00"/>
    <w:rsid w:val="000D40B8"/>
    <w:rsid w:val="000D48C9"/>
    <w:rsid w:val="000E1473"/>
    <w:rsid w:val="000E587F"/>
    <w:rsid w:val="000F04AC"/>
    <w:rsid w:val="00102A30"/>
    <w:rsid w:val="00120A59"/>
    <w:rsid w:val="00122608"/>
    <w:rsid w:val="001274BA"/>
    <w:rsid w:val="001318FD"/>
    <w:rsid w:val="00132306"/>
    <w:rsid w:val="00133A4A"/>
    <w:rsid w:val="00142A4D"/>
    <w:rsid w:val="00145767"/>
    <w:rsid w:val="001544E6"/>
    <w:rsid w:val="001601E6"/>
    <w:rsid w:val="0016629A"/>
    <w:rsid w:val="001724BA"/>
    <w:rsid w:val="00174748"/>
    <w:rsid w:val="0017581A"/>
    <w:rsid w:val="001762B8"/>
    <w:rsid w:val="00181B5B"/>
    <w:rsid w:val="00183786"/>
    <w:rsid w:val="00187BD5"/>
    <w:rsid w:val="00190F49"/>
    <w:rsid w:val="001919D1"/>
    <w:rsid w:val="001943A7"/>
    <w:rsid w:val="00196DA3"/>
    <w:rsid w:val="001A002A"/>
    <w:rsid w:val="001A5A63"/>
    <w:rsid w:val="001A6CCF"/>
    <w:rsid w:val="001C3AF6"/>
    <w:rsid w:val="001C54D3"/>
    <w:rsid w:val="001D1485"/>
    <w:rsid w:val="001D4A45"/>
    <w:rsid w:val="001D7FCE"/>
    <w:rsid w:val="001E174E"/>
    <w:rsid w:val="001F19A6"/>
    <w:rsid w:val="001F3307"/>
    <w:rsid w:val="001F3682"/>
    <w:rsid w:val="002007DE"/>
    <w:rsid w:val="00202473"/>
    <w:rsid w:val="00203E67"/>
    <w:rsid w:val="00210401"/>
    <w:rsid w:val="00210D82"/>
    <w:rsid w:val="00211184"/>
    <w:rsid w:val="0021364B"/>
    <w:rsid w:val="002140D9"/>
    <w:rsid w:val="00220FB6"/>
    <w:rsid w:val="00223286"/>
    <w:rsid w:val="00241091"/>
    <w:rsid w:val="0025020C"/>
    <w:rsid w:val="002545E0"/>
    <w:rsid w:val="00256951"/>
    <w:rsid w:val="002657D1"/>
    <w:rsid w:val="00271034"/>
    <w:rsid w:val="0027116D"/>
    <w:rsid w:val="0027382E"/>
    <w:rsid w:val="00276306"/>
    <w:rsid w:val="0028021C"/>
    <w:rsid w:val="002865F5"/>
    <w:rsid w:val="00292A36"/>
    <w:rsid w:val="002961EB"/>
    <w:rsid w:val="002B161B"/>
    <w:rsid w:val="002B4A29"/>
    <w:rsid w:val="002B67E0"/>
    <w:rsid w:val="002B79D3"/>
    <w:rsid w:val="002C1410"/>
    <w:rsid w:val="002C512A"/>
    <w:rsid w:val="002C5AC8"/>
    <w:rsid w:val="002C65F0"/>
    <w:rsid w:val="002C72BB"/>
    <w:rsid w:val="002C7B85"/>
    <w:rsid w:val="002C7D9A"/>
    <w:rsid w:val="002D49BD"/>
    <w:rsid w:val="002D5B4F"/>
    <w:rsid w:val="002D64A3"/>
    <w:rsid w:val="002D76D2"/>
    <w:rsid w:val="002E3194"/>
    <w:rsid w:val="002E38AD"/>
    <w:rsid w:val="002E3D8D"/>
    <w:rsid w:val="002E409C"/>
    <w:rsid w:val="002E722B"/>
    <w:rsid w:val="002F0418"/>
    <w:rsid w:val="002F4611"/>
    <w:rsid w:val="002F5E53"/>
    <w:rsid w:val="002F5FC2"/>
    <w:rsid w:val="002F680B"/>
    <w:rsid w:val="002F6D09"/>
    <w:rsid w:val="002F70B1"/>
    <w:rsid w:val="002F793B"/>
    <w:rsid w:val="00302505"/>
    <w:rsid w:val="003034FB"/>
    <w:rsid w:val="00303B1A"/>
    <w:rsid w:val="003073A6"/>
    <w:rsid w:val="00307D29"/>
    <w:rsid w:val="0031343D"/>
    <w:rsid w:val="003135AD"/>
    <w:rsid w:val="003173A3"/>
    <w:rsid w:val="00320A96"/>
    <w:rsid w:val="00324093"/>
    <w:rsid w:val="003258D0"/>
    <w:rsid w:val="00332264"/>
    <w:rsid w:val="003323DC"/>
    <w:rsid w:val="0033798F"/>
    <w:rsid w:val="00344CE2"/>
    <w:rsid w:val="00352B29"/>
    <w:rsid w:val="00352D6E"/>
    <w:rsid w:val="00371BFD"/>
    <w:rsid w:val="00382C13"/>
    <w:rsid w:val="00382C58"/>
    <w:rsid w:val="0038474C"/>
    <w:rsid w:val="003925E1"/>
    <w:rsid w:val="00393F39"/>
    <w:rsid w:val="00397D9D"/>
    <w:rsid w:val="003A0002"/>
    <w:rsid w:val="003A11DB"/>
    <w:rsid w:val="003A4B04"/>
    <w:rsid w:val="003A66FD"/>
    <w:rsid w:val="003A77A6"/>
    <w:rsid w:val="003A7EFC"/>
    <w:rsid w:val="003B1E32"/>
    <w:rsid w:val="003D50C4"/>
    <w:rsid w:val="003D730C"/>
    <w:rsid w:val="003F39AF"/>
    <w:rsid w:val="003F4644"/>
    <w:rsid w:val="004003C7"/>
    <w:rsid w:val="0040366A"/>
    <w:rsid w:val="00410981"/>
    <w:rsid w:val="0042113F"/>
    <w:rsid w:val="004301AD"/>
    <w:rsid w:val="00441CB3"/>
    <w:rsid w:val="00446407"/>
    <w:rsid w:val="00447FF0"/>
    <w:rsid w:val="00452D7A"/>
    <w:rsid w:val="004609C6"/>
    <w:rsid w:val="004635F1"/>
    <w:rsid w:val="004637B0"/>
    <w:rsid w:val="00464590"/>
    <w:rsid w:val="00470EF1"/>
    <w:rsid w:val="00472DCD"/>
    <w:rsid w:val="004732E6"/>
    <w:rsid w:val="00476139"/>
    <w:rsid w:val="00476553"/>
    <w:rsid w:val="00484552"/>
    <w:rsid w:val="00487DE8"/>
    <w:rsid w:val="00491B6B"/>
    <w:rsid w:val="00491DF8"/>
    <w:rsid w:val="00492AB5"/>
    <w:rsid w:val="0049307F"/>
    <w:rsid w:val="004932C9"/>
    <w:rsid w:val="00497DF2"/>
    <w:rsid w:val="004A144B"/>
    <w:rsid w:val="004A17E0"/>
    <w:rsid w:val="004A2761"/>
    <w:rsid w:val="004A3AC3"/>
    <w:rsid w:val="004A77A3"/>
    <w:rsid w:val="004B03BF"/>
    <w:rsid w:val="004B43AF"/>
    <w:rsid w:val="004B5DC0"/>
    <w:rsid w:val="004D0649"/>
    <w:rsid w:val="004D4021"/>
    <w:rsid w:val="004D4038"/>
    <w:rsid w:val="004E00A8"/>
    <w:rsid w:val="004E0543"/>
    <w:rsid w:val="004E4A3C"/>
    <w:rsid w:val="004E7A4F"/>
    <w:rsid w:val="004E7D43"/>
    <w:rsid w:val="004F4B72"/>
    <w:rsid w:val="00500774"/>
    <w:rsid w:val="00501E2F"/>
    <w:rsid w:val="00503EF5"/>
    <w:rsid w:val="00503FB1"/>
    <w:rsid w:val="005111C7"/>
    <w:rsid w:val="005119DE"/>
    <w:rsid w:val="0051306E"/>
    <w:rsid w:val="00515F68"/>
    <w:rsid w:val="00527456"/>
    <w:rsid w:val="00531030"/>
    <w:rsid w:val="00531AA2"/>
    <w:rsid w:val="00534B06"/>
    <w:rsid w:val="00543A09"/>
    <w:rsid w:val="005446BF"/>
    <w:rsid w:val="005448AE"/>
    <w:rsid w:val="0055147E"/>
    <w:rsid w:val="00557BF8"/>
    <w:rsid w:val="005671EC"/>
    <w:rsid w:val="00567417"/>
    <w:rsid w:val="005702F5"/>
    <w:rsid w:val="00570351"/>
    <w:rsid w:val="00573CCD"/>
    <w:rsid w:val="00574934"/>
    <w:rsid w:val="00575977"/>
    <w:rsid w:val="00582509"/>
    <w:rsid w:val="00583FD7"/>
    <w:rsid w:val="00585A3F"/>
    <w:rsid w:val="00591F54"/>
    <w:rsid w:val="005924F9"/>
    <w:rsid w:val="00592C4B"/>
    <w:rsid w:val="005971EB"/>
    <w:rsid w:val="005A1930"/>
    <w:rsid w:val="005A5F02"/>
    <w:rsid w:val="005B2175"/>
    <w:rsid w:val="005B3EDE"/>
    <w:rsid w:val="005B4BA9"/>
    <w:rsid w:val="005B6E67"/>
    <w:rsid w:val="005C13DD"/>
    <w:rsid w:val="005C1780"/>
    <w:rsid w:val="005C5E80"/>
    <w:rsid w:val="005D0632"/>
    <w:rsid w:val="005D1A7B"/>
    <w:rsid w:val="005D4645"/>
    <w:rsid w:val="005D7A1E"/>
    <w:rsid w:val="005E1650"/>
    <w:rsid w:val="005E3BF7"/>
    <w:rsid w:val="005E7B7B"/>
    <w:rsid w:val="005E7BE0"/>
    <w:rsid w:val="005E7C2A"/>
    <w:rsid w:val="005F27B6"/>
    <w:rsid w:val="005F6C4F"/>
    <w:rsid w:val="00600554"/>
    <w:rsid w:val="00604A87"/>
    <w:rsid w:val="0061287B"/>
    <w:rsid w:val="00614C3A"/>
    <w:rsid w:val="00621776"/>
    <w:rsid w:val="00621872"/>
    <w:rsid w:val="0063259B"/>
    <w:rsid w:val="00633562"/>
    <w:rsid w:val="00636D9A"/>
    <w:rsid w:val="00640DE2"/>
    <w:rsid w:val="00642465"/>
    <w:rsid w:val="006427B3"/>
    <w:rsid w:val="006427D3"/>
    <w:rsid w:val="006450A5"/>
    <w:rsid w:val="006476D7"/>
    <w:rsid w:val="00651D9E"/>
    <w:rsid w:val="00652890"/>
    <w:rsid w:val="006550E6"/>
    <w:rsid w:val="00655DEE"/>
    <w:rsid w:val="00661468"/>
    <w:rsid w:val="00662553"/>
    <w:rsid w:val="00667FC5"/>
    <w:rsid w:val="006722EB"/>
    <w:rsid w:val="00675906"/>
    <w:rsid w:val="0067769A"/>
    <w:rsid w:val="0068090B"/>
    <w:rsid w:val="006868C7"/>
    <w:rsid w:val="00686EEB"/>
    <w:rsid w:val="00694B72"/>
    <w:rsid w:val="00695953"/>
    <w:rsid w:val="006A03B6"/>
    <w:rsid w:val="006A3F0D"/>
    <w:rsid w:val="006A4515"/>
    <w:rsid w:val="006A6587"/>
    <w:rsid w:val="006A7EED"/>
    <w:rsid w:val="006B43FE"/>
    <w:rsid w:val="006B65A7"/>
    <w:rsid w:val="006C2F3F"/>
    <w:rsid w:val="006C78AA"/>
    <w:rsid w:val="006D361C"/>
    <w:rsid w:val="006D628F"/>
    <w:rsid w:val="006E0928"/>
    <w:rsid w:val="006E581B"/>
    <w:rsid w:val="006E76BF"/>
    <w:rsid w:val="006F04D4"/>
    <w:rsid w:val="006F4AB2"/>
    <w:rsid w:val="006F5240"/>
    <w:rsid w:val="007019BE"/>
    <w:rsid w:val="007022EB"/>
    <w:rsid w:val="007063BA"/>
    <w:rsid w:val="007110EE"/>
    <w:rsid w:val="007140F9"/>
    <w:rsid w:val="00716C0B"/>
    <w:rsid w:val="00720C57"/>
    <w:rsid w:val="00730C3C"/>
    <w:rsid w:val="0073280B"/>
    <w:rsid w:val="007472A7"/>
    <w:rsid w:val="00750B5B"/>
    <w:rsid w:val="007537C4"/>
    <w:rsid w:val="0075733C"/>
    <w:rsid w:val="007666EF"/>
    <w:rsid w:val="0077163A"/>
    <w:rsid w:val="007726AB"/>
    <w:rsid w:val="00774B83"/>
    <w:rsid w:val="00777FFE"/>
    <w:rsid w:val="00785752"/>
    <w:rsid w:val="00790C73"/>
    <w:rsid w:val="007A4C58"/>
    <w:rsid w:val="007A4C5E"/>
    <w:rsid w:val="007A59C8"/>
    <w:rsid w:val="007A712E"/>
    <w:rsid w:val="007A794B"/>
    <w:rsid w:val="007B22A1"/>
    <w:rsid w:val="007C246B"/>
    <w:rsid w:val="007C6639"/>
    <w:rsid w:val="007C685B"/>
    <w:rsid w:val="007D11B9"/>
    <w:rsid w:val="007D5F63"/>
    <w:rsid w:val="007E04A7"/>
    <w:rsid w:val="007F7847"/>
    <w:rsid w:val="008004A0"/>
    <w:rsid w:val="0080139E"/>
    <w:rsid w:val="00803FD3"/>
    <w:rsid w:val="00804B94"/>
    <w:rsid w:val="00807B11"/>
    <w:rsid w:val="008109F6"/>
    <w:rsid w:val="00815474"/>
    <w:rsid w:val="00830D29"/>
    <w:rsid w:val="008368F1"/>
    <w:rsid w:val="0083771F"/>
    <w:rsid w:val="00837C11"/>
    <w:rsid w:val="00861248"/>
    <w:rsid w:val="00861E71"/>
    <w:rsid w:val="00867801"/>
    <w:rsid w:val="008755ED"/>
    <w:rsid w:val="00875B7F"/>
    <w:rsid w:val="008763BF"/>
    <w:rsid w:val="00880B2D"/>
    <w:rsid w:val="00883AB0"/>
    <w:rsid w:val="00885CBC"/>
    <w:rsid w:val="00892F90"/>
    <w:rsid w:val="00894108"/>
    <w:rsid w:val="00894A05"/>
    <w:rsid w:val="008A4A7B"/>
    <w:rsid w:val="008A7783"/>
    <w:rsid w:val="008A7C7E"/>
    <w:rsid w:val="008B1DFA"/>
    <w:rsid w:val="008B3432"/>
    <w:rsid w:val="008C2B24"/>
    <w:rsid w:val="008C38C3"/>
    <w:rsid w:val="008C7112"/>
    <w:rsid w:val="008C79DF"/>
    <w:rsid w:val="008D065E"/>
    <w:rsid w:val="008D067A"/>
    <w:rsid w:val="008D07C1"/>
    <w:rsid w:val="008D6F0F"/>
    <w:rsid w:val="008E0AF1"/>
    <w:rsid w:val="008E579E"/>
    <w:rsid w:val="008E7B2E"/>
    <w:rsid w:val="008F23A4"/>
    <w:rsid w:val="008F6E35"/>
    <w:rsid w:val="0091415F"/>
    <w:rsid w:val="00916150"/>
    <w:rsid w:val="00916814"/>
    <w:rsid w:val="00921806"/>
    <w:rsid w:val="009238EE"/>
    <w:rsid w:val="00926159"/>
    <w:rsid w:val="009330C7"/>
    <w:rsid w:val="00937B59"/>
    <w:rsid w:val="009413A3"/>
    <w:rsid w:val="00941DD5"/>
    <w:rsid w:val="0094279E"/>
    <w:rsid w:val="00956230"/>
    <w:rsid w:val="00956AAD"/>
    <w:rsid w:val="00962BF5"/>
    <w:rsid w:val="00993255"/>
    <w:rsid w:val="00995444"/>
    <w:rsid w:val="00995836"/>
    <w:rsid w:val="00996D9C"/>
    <w:rsid w:val="00997767"/>
    <w:rsid w:val="009B6B4E"/>
    <w:rsid w:val="009C0573"/>
    <w:rsid w:val="009C2D49"/>
    <w:rsid w:val="009D06C5"/>
    <w:rsid w:val="009D0A57"/>
    <w:rsid w:val="009D51C8"/>
    <w:rsid w:val="009D534C"/>
    <w:rsid w:val="009D61CD"/>
    <w:rsid w:val="009D728C"/>
    <w:rsid w:val="009E5B14"/>
    <w:rsid w:val="009E7C3E"/>
    <w:rsid w:val="009F20AC"/>
    <w:rsid w:val="009F6397"/>
    <w:rsid w:val="00A01155"/>
    <w:rsid w:val="00A0495D"/>
    <w:rsid w:val="00A10E16"/>
    <w:rsid w:val="00A1750F"/>
    <w:rsid w:val="00A262F0"/>
    <w:rsid w:val="00A33505"/>
    <w:rsid w:val="00A40857"/>
    <w:rsid w:val="00A424B1"/>
    <w:rsid w:val="00A52EF8"/>
    <w:rsid w:val="00A56780"/>
    <w:rsid w:val="00A571A9"/>
    <w:rsid w:val="00A57268"/>
    <w:rsid w:val="00A6557C"/>
    <w:rsid w:val="00A67039"/>
    <w:rsid w:val="00A75AF8"/>
    <w:rsid w:val="00A8717E"/>
    <w:rsid w:val="00A90A7A"/>
    <w:rsid w:val="00A95479"/>
    <w:rsid w:val="00AA437C"/>
    <w:rsid w:val="00AA63D0"/>
    <w:rsid w:val="00AB549D"/>
    <w:rsid w:val="00AB78F0"/>
    <w:rsid w:val="00AC1C96"/>
    <w:rsid w:val="00AD2BC0"/>
    <w:rsid w:val="00AD738D"/>
    <w:rsid w:val="00AE13A8"/>
    <w:rsid w:val="00AE2A76"/>
    <w:rsid w:val="00AE58C9"/>
    <w:rsid w:val="00AF495D"/>
    <w:rsid w:val="00B00D2F"/>
    <w:rsid w:val="00B01396"/>
    <w:rsid w:val="00B04AE4"/>
    <w:rsid w:val="00B109D0"/>
    <w:rsid w:val="00B12BF9"/>
    <w:rsid w:val="00B2132B"/>
    <w:rsid w:val="00B2400D"/>
    <w:rsid w:val="00B2792C"/>
    <w:rsid w:val="00B279A7"/>
    <w:rsid w:val="00B30991"/>
    <w:rsid w:val="00B30D24"/>
    <w:rsid w:val="00B368CF"/>
    <w:rsid w:val="00B4547A"/>
    <w:rsid w:val="00B50E11"/>
    <w:rsid w:val="00B511B0"/>
    <w:rsid w:val="00B575E2"/>
    <w:rsid w:val="00B60C80"/>
    <w:rsid w:val="00B640F2"/>
    <w:rsid w:val="00B64186"/>
    <w:rsid w:val="00B679E1"/>
    <w:rsid w:val="00B7073C"/>
    <w:rsid w:val="00B8126D"/>
    <w:rsid w:val="00B81E05"/>
    <w:rsid w:val="00B835BB"/>
    <w:rsid w:val="00B858A1"/>
    <w:rsid w:val="00B9335D"/>
    <w:rsid w:val="00B9486E"/>
    <w:rsid w:val="00B96BD4"/>
    <w:rsid w:val="00B9750D"/>
    <w:rsid w:val="00BA6055"/>
    <w:rsid w:val="00BA7673"/>
    <w:rsid w:val="00BA7E30"/>
    <w:rsid w:val="00BB2276"/>
    <w:rsid w:val="00BB65AC"/>
    <w:rsid w:val="00BC133A"/>
    <w:rsid w:val="00BC434F"/>
    <w:rsid w:val="00BD051A"/>
    <w:rsid w:val="00BD2909"/>
    <w:rsid w:val="00BD57B4"/>
    <w:rsid w:val="00BE1FC8"/>
    <w:rsid w:val="00BE2545"/>
    <w:rsid w:val="00BF2906"/>
    <w:rsid w:val="00C02C39"/>
    <w:rsid w:val="00C06ACE"/>
    <w:rsid w:val="00C10C69"/>
    <w:rsid w:val="00C1554D"/>
    <w:rsid w:val="00C1721E"/>
    <w:rsid w:val="00C17A49"/>
    <w:rsid w:val="00C21553"/>
    <w:rsid w:val="00C219A7"/>
    <w:rsid w:val="00C32209"/>
    <w:rsid w:val="00C35E19"/>
    <w:rsid w:val="00C4424E"/>
    <w:rsid w:val="00C45933"/>
    <w:rsid w:val="00C4609B"/>
    <w:rsid w:val="00C55212"/>
    <w:rsid w:val="00C64144"/>
    <w:rsid w:val="00C7202A"/>
    <w:rsid w:val="00C837A1"/>
    <w:rsid w:val="00C91479"/>
    <w:rsid w:val="00C96845"/>
    <w:rsid w:val="00C97D3F"/>
    <w:rsid w:val="00CA009F"/>
    <w:rsid w:val="00CA0B93"/>
    <w:rsid w:val="00CA2A1A"/>
    <w:rsid w:val="00CA322B"/>
    <w:rsid w:val="00CA4DB8"/>
    <w:rsid w:val="00CB27A6"/>
    <w:rsid w:val="00CB3AF6"/>
    <w:rsid w:val="00CB3C13"/>
    <w:rsid w:val="00CB6A13"/>
    <w:rsid w:val="00CC5461"/>
    <w:rsid w:val="00CC54E5"/>
    <w:rsid w:val="00CD15B3"/>
    <w:rsid w:val="00CE1304"/>
    <w:rsid w:val="00CE3FD1"/>
    <w:rsid w:val="00CE620E"/>
    <w:rsid w:val="00CF1ED5"/>
    <w:rsid w:val="00CF3D95"/>
    <w:rsid w:val="00D07E32"/>
    <w:rsid w:val="00D12F50"/>
    <w:rsid w:val="00D13A82"/>
    <w:rsid w:val="00D13DB7"/>
    <w:rsid w:val="00D1542B"/>
    <w:rsid w:val="00D208B8"/>
    <w:rsid w:val="00D30F79"/>
    <w:rsid w:val="00D317AE"/>
    <w:rsid w:val="00D32359"/>
    <w:rsid w:val="00D34F15"/>
    <w:rsid w:val="00D36D12"/>
    <w:rsid w:val="00D44796"/>
    <w:rsid w:val="00D4667E"/>
    <w:rsid w:val="00D503C6"/>
    <w:rsid w:val="00D5655A"/>
    <w:rsid w:val="00D60F11"/>
    <w:rsid w:val="00D61BFC"/>
    <w:rsid w:val="00D61C45"/>
    <w:rsid w:val="00D66A18"/>
    <w:rsid w:val="00D70511"/>
    <w:rsid w:val="00D70B92"/>
    <w:rsid w:val="00D70F61"/>
    <w:rsid w:val="00D72B22"/>
    <w:rsid w:val="00D82E3D"/>
    <w:rsid w:val="00D82F0B"/>
    <w:rsid w:val="00D871DB"/>
    <w:rsid w:val="00D9755C"/>
    <w:rsid w:val="00D977FA"/>
    <w:rsid w:val="00DA267B"/>
    <w:rsid w:val="00DA555E"/>
    <w:rsid w:val="00DB286C"/>
    <w:rsid w:val="00DB477A"/>
    <w:rsid w:val="00DB71AC"/>
    <w:rsid w:val="00DC00D1"/>
    <w:rsid w:val="00DC0650"/>
    <w:rsid w:val="00DC19FE"/>
    <w:rsid w:val="00DC4F7A"/>
    <w:rsid w:val="00DC69FF"/>
    <w:rsid w:val="00DC723F"/>
    <w:rsid w:val="00DD02A4"/>
    <w:rsid w:val="00DD60E3"/>
    <w:rsid w:val="00DD6232"/>
    <w:rsid w:val="00DD6D9D"/>
    <w:rsid w:val="00DE1A02"/>
    <w:rsid w:val="00DE2E36"/>
    <w:rsid w:val="00DE45CF"/>
    <w:rsid w:val="00DE46A3"/>
    <w:rsid w:val="00DF1973"/>
    <w:rsid w:val="00DF2D7E"/>
    <w:rsid w:val="00DF6E9E"/>
    <w:rsid w:val="00E00D41"/>
    <w:rsid w:val="00E037EA"/>
    <w:rsid w:val="00E04FBD"/>
    <w:rsid w:val="00E05C6C"/>
    <w:rsid w:val="00E10894"/>
    <w:rsid w:val="00E130D1"/>
    <w:rsid w:val="00E157E1"/>
    <w:rsid w:val="00E2182C"/>
    <w:rsid w:val="00E21ED0"/>
    <w:rsid w:val="00E23562"/>
    <w:rsid w:val="00E25F9F"/>
    <w:rsid w:val="00E26110"/>
    <w:rsid w:val="00E300C8"/>
    <w:rsid w:val="00E325CF"/>
    <w:rsid w:val="00E3479A"/>
    <w:rsid w:val="00E34C00"/>
    <w:rsid w:val="00E35D00"/>
    <w:rsid w:val="00E36FDD"/>
    <w:rsid w:val="00E403A0"/>
    <w:rsid w:val="00E40B0D"/>
    <w:rsid w:val="00E46C74"/>
    <w:rsid w:val="00E50AC9"/>
    <w:rsid w:val="00E50BF5"/>
    <w:rsid w:val="00E53FAA"/>
    <w:rsid w:val="00E548BD"/>
    <w:rsid w:val="00E7085C"/>
    <w:rsid w:val="00E71420"/>
    <w:rsid w:val="00E87CE7"/>
    <w:rsid w:val="00E94DA0"/>
    <w:rsid w:val="00E97343"/>
    <w:rsid w:val="00EA472F"/>
    <w:rsid w:val="00EA5CC3"/>
    <w:rsid w:val="00EB0172"/>
    <w:rsid w:val="00EC27DE"/>
    <w:rsid w:val="00EC3473"/>
    <w:rsid w:val="00EC3E24"/>
    <w:rsid w:val="00EC4803"/>
    <w:rsid w:val="00ED169D"/>
    <w:rsid w:val="00ED7D71"/>
    <w:rsid w:val="00EE44C6"/>
    <w:rsid w:val="00EE7E8C"/>
    <w:rsid w:val="00EF0C0B"/>
    <w:rsid w:val="00EF11D4"/>
    <w:rsid w:val="00EF5751"/>
    <w:rsid w:val="00EF6341"/>
    <w:rsid w:val="00EF6A04"/>
    <w:rsid w:val="00EF6A76"/>
    <w:rsid w:val="00EF768B"/>
    <w:rsid w:val="00F02147"/>
    <w:rsid w:val="00F02727"/>
    <w:rsid w:val="00F0560A"/>
    <w:rsid w:val="00F15402"/>
    <w:rsid w:val="00F158D7"/>
    <w:rsid w:val="00F20EE5"/>
    <w:rsid w:val="00F24169"/>
    <w:rsid w:val="00F27725"/>
    <w:rsid w:val="00F307D2"/>
    <w:rsid w:val="00F33517"/>
    <w:rsid w:val="00F3390B"/>
    <w:rsid w:val="00F36225"/>
    <w:rsid w:val="00F44833"/>
    <w:rsid w:val="00F45189"/>
    <w:rsid w:val="00F45CC2"/>
    <w:rsid w:val="00F46609"/>
    <w:rsid w:val="00F51F3C"/>
    <w:rsid w:val="00F544B0"/>
    <w:rsid w:val="00F54A15"/>
    <w:rsid w:val="00F64820"/>
    <w:rsid w:val="00F65DF7"/>
    <w:rsid w:val="00F67C87"/>
    <w:rsid w:val="00F72F45"/>
    <w:rsid w:val="00F733CC"/>
    <w:rsid w:val="00F84C23"/>
    <w:rsid w:val="00F918FF"/>
    <w:rsid w:val="00F9257E"/>
    <w:rsid w:val="00FA0C1C"/>
    <w:rsid w:val="00FA1B84"/>
    <w:rsid w:val="00FA256F"/>
    <w:rsid w:val="00FA36E3"/>
    <w:rsid w:val="00FA4359"/>
    <w:rsid w:val="00FA4762"/>
    <w:rsid w:val="00FA4A9B"/>
    <w:rsid w:val="00FA7C50"/>
    <w:rsid w:val="00FB2C56"/>
    <w:rsid w:val="00FB2DD0"/>
    <w:rsid w:val="00FB4712"/>
    <w:rsid w:val="00FC1DB4"/>
    <w:rsid w:val="00FC5C54"/>
    <w:rsid w:val="00FD3DE0"/>
    <w:rsid w:val="00FD7729"/>
    <w:rsid w:val="00FD7C22"/>
    <w:rsid w:val="00FE1A2E"/>
    <w:rsid w:val="00FE21B1"/>
    <w:rsid w:val="00FE53D6"/>
    <w:rsid w:val="00FE56A2"/>
    <w:rsid w:val="00FE74C1"/>
    <w:rsid w:val="00FF1D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1215</TotalTime>
  <Pages>40</Pages>
  <Words>10300</Words>
  <Characters>66456</Characters>
  <Application>Microsoft Office Word</Application>
  <DocSecurity>0</DocSecurity>
  <Lines>1277</Lines>
  <Paragraphs>301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Samrina Choudhry (2220771)</cp:lastModifiedBy>
  <cp:revision>475</cp:revision>
  <dcterms:created xsi:type="dcterms:W3CDTF">2025-05-21T09:27:00Z</dcterms:created>
  <dcterms:modified xsi:type="dcterms:W3CDTF">2025-10-21T10:25:00Z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bb91f58f-d524-4e46-aefe-22dd7bf2f99b</vt:lpwstr>
  </property>
</Properties>
</file>