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3E47" w:rsidRDefault="00263E47" w:rsidP="00263E47">
      <w:pPr>
        <w:jc w:val="center"/>
        <w:rPr>
          <w:b/>
          <w:sz w:val="40"/>
          <w:lang w:val="en-US"/>
        </w:rPr>
      </w:pPr>
    </w:p>
    <w:p w:rsidR="00263E47" w:rsidRDefault="00263E47" w:rsidP="00263E47">
      <w:pPr>
        <w:jc w:val="center"/>
        <w:rPr>
          <w:b/>
          <w:sz w:val="40"/>
          <w:lang w:val="en-US"/>
        </w:rPr>
      </w:pPr>
    </w:p>
    <w:p w:rsidR="00263E47" w:rsidRDefault="00263E47" w:rsidP="00263E47">
      <w:pPr>
        <w:jc w:val="center"/>
        <w:rPr>
          <w:b/>
          <w:sz w:val="40"/>
          <w:lang w:val="en-US"/>
        </w:rPr>
      </w:pPr>
    </w:p>
    <w:p w:rsidR="00263E47" w:rsidRDefault="00263E47" w:rsidP="00263E47">
      <w:pPr>
        <w:jc w:val="center"/>
        <w:rPr>
          <w:b/>
          <w:sz w:val="40"/>
          <w:lang w:val="en-US"/>
        </w:rPr>
      </w:pPr>
    </w:p>
    <w:p w:rsidR="00263E47" w:rsidRDefault="00263E47" w:rsidP="00263E47">
      <w:pPr>
        <w:jc w:val="center"/>
        <w:rPr>
          <w:b/>
          <w:sz w:val="40"/>
          <w:lang w:val="en-US"/>
        </w:rPr>
      </w:pPr>
    </w:p>
    <w:p w:rsidR="00263E47" w:rsidRDefault="00263E47" w:rsidP="00263E47">
      <w:pPr>
        <w:jc w:val="center"/>
        <w:rPr>
          <w:b/>
          <w:sz w:val="40"/>
          <w:lang w:val="en-US"/>
        </w:rPr>
      </w:pPr>
    </w:p>
    <w:p w:rsidR="00263E47" w:rsidRPr="00A4453A" w:rsidRDefault="00263E47" w:rsidP="00263E47">
      <w:pPr>
        <w:jc w:val="center"/>
        <w:rPr>
          <w:b/>
          <w:sz w:val="40"/>
          <w:lang w:val="en-US"/>
        </w:rPr>
      </w:pPr>
      <w:r w:rsidRPr="00A4453A">
        <w:rPr>
          <w:b/>
          <w:sz w:val="40"/>
          <w:lang w:val="en-US"/>
        </w:rPr>
        <w:t>Fundamentals of construction</w:t>
      </w:r>
    </w:p>
    <w:p w:rsidR="00263E47" w:rsidRPr="00A4453A" w:rsidRDefault="00263E47" w:rsidP="00263E47">
      <w:pPr>
        <w:jc w:val="center"/>
        <w:rPr>
          <w:b/>
          <w:sz w:val="40"/>
          <w:lang w:val="en-US"/>
        </w:rPr>
      </w:pPr>
    </w:p>
    <w:p w:rsidR="00263E47" w:rsidRPr="00A4453A" w:rsidRDefault="00263E47" w:rsidP="00263E47">
      <w:pPr>
        <w:jc w:val="center"/>
        <w:rPr>
          <w:b/>
          <w:sz w:val="40"/>
          <w:lang w:val="en-US"/>
        </w:rPr>
      </w:pPr>
      <w:r w:rsidRPr="00A4453A">
        <w:rPr>
          <w:b/>
          <w:sz w:val="40"/>
          <w:lang w:val="en-US"/>
        </w:rPr>
        <w:t>Swansea Foreshore</w:t>
      </w:r>
    </w:p>
    <w:p w:rsidR="00263E47" w:rsidRPr="00A4453A" w:rsidRDefault="00263E47" w:rsidP="00263E47">
      <w:pPr>
        <w:jc w:val="center"/>
        <w:rPr>
          <w:b/>
          <w:sz w:val="40"/>
          <w:lang w:val="en-US"/>
        </w:rPr>
      </w:pPr>
      <w:r w:rsidRPr="00A4453A">
        <w:rPr>
          <w:b/>
          <w:sz w:val="40"/>
          <w:lang w:val="en-US"/>
        </w:rPr>
        <w:t>Ice-cream Parlor</w:t>
      </w:r>
    </w:p>
    <w:p w:rsidR="00263E47" w:rsidRPr="00A4453A" w:rsidRDefault="00263E47" w:rsidP="00263E47">
      <w:pPr>
        <w:jc w:val="center"/>
        <w:rPr>
          <w:b/>
          <w:sz w:val="40"/>
          <w:lang w:val="en-US"/>
        </w:rPr>
      </w:pPr>
      <w:r w:rsidRPr="00A4453A">
        <w:rPr>
          <w:b/>
          <w:sz w:val="40"/>
          <w:lang w:val="en-US"/>
        </w:rPr>
        <w:t>(4001)</w:t>
      </w:r>
    </w:p>
    <w:p w:rsidR="00263E47" w:rsidRDefault="00263E47" w:rsidP="00263E47">
      <w:pPr>
        <w:jc w:val="center"/>
        <w:rPr>
          <w:b/>
          <w:sz w:val="40"/>
          <w:lang w:val="en-US"/>
        </w:rPr>
      </w:pPr>
    </w:p>
    <w:p w:rsidR="00263E47" w:rsidRDefault="00263E47" w:rsidP="00263E47">
      <w:pPr>
        <w:jc w:val="center"/>
        <w:rPr>
          <w:b/>
          <w:sz w:val="40"/>
          <w:lang w:val="en-US"/>
        </w:rPr>
      </w:pPr>
      <w:r>
        <w:rPr>
          <w:b/>
          <w:sz w:val="40"/>
          <w:lang w:val="en-US"/>
        </w:rPr>
        <w:t>Nathan Chapman</w:t>
      </w:r>
    </w:p>
    <w:p w:rsidR="00263E47" w:rsidRDefault="00263E47" w:rsidP="00263E47">
      <w:pPr>
        <w:jc w:val="center"/>
        <w:rPr>
          <w:b/>
          <w:sz w:val="40"/>
          <w:lang w:val="en-US"/>
        </w:rPr>
      </w:pPr>
      <w:r>
        <w:rPr>
          <w:b/>
          <w:sz w:val="40"/>
          <w:lang w:val="en-US"/>
        </w:rPr>
        <w:t>2307154</w:t>
      </w:r>
    </w:p>
    <w:p w:rsidR="00AA5C1E" w:rsidRDefault="00AA5C1E"/>
    <w:p w:rsidR="00263E47" w:rsidRDefault="00263E47"/>
    <w:p w:rsidR="00973F1B" w:rsidRDefault="00263E47" w:rsidP="00973F1B">
      <w:r>
        <w:br w:type="page"/>
      </w:r>
    </w:p>
    <w:p w:rsidR="00973F1B" w:rsidRDefault="00973F1B" w:rsidP="00973F1B">
      <w:pPr>
        <w:spacing w:after="0" w:line="240" w:lineRule="auto"/>
        <w:jc w:val="center"/>
        <w:rPr>
          <w:rFonts w:eastAsia="Times New Roman" w:cstheme="minorHAnsi"/>
          <w:b/>
          <w:szCs w:val="24"/>
          <w:lang w:eastAsia="en-GB"/>
        </w:rPr>
      </w:pPr>
      <w:r w:rsidRPr="00973F1B">
        <w:rPr>
          <w:rFonts w:eastAsia="Times New Roman" w:cstheme="minorHAnsi"/>
          <w:b/>
          <w:szCs w:val="24"/>
          <w:lang w:eastAsia="en-GB"/>
        </w:rPr>
        <w:t>Contents</w:t>
      </w:r>
    </w:p>
    <w:p w:rsidR="00973F1B" w:rsidRPr="00973F1B" w:rsidRDefault="00973F1B" w:rsidP="00973F1B">
      <w:pPr>
        <w:spacing w:after="0" w:line="240" w:lineRule="auto"/>
        <w:rPr>
          <w:rFonts w:eastAsia="Times New Roman" w:cstheme="minorHAnsi"/>
          <w:b/>
          <w:szCs w:val="24"/>
          <w:lang w:eastAsia="en-GB"/>
        </w:rPr>
      </w:pPr>
      <w:r w:rsidRPr="00973F1B">
        <w:rPr>
          <w:rFonts w:eastAsia="Times New Roman" w:cstheme="minorHAnsi"/>
          <w:b/>
          <w:bCs/>
          <w:szCs w:val="24"/>
          <w:lang w:eastAsia="en-GB"/>
        </w:rPr>
        <w:t>Historical Background</w:t>
      </w:r>
    </w:p>
    <w:p w:rsidR="00973F1B" w:rsidRPr="00973F1B" w:rsidRDefault="00973F1B" w:rsidP="009F0EA7">
      <w:pPr>
        <w:numPr>
          <w:ilvl w:val="0"/>
          <w:numId w:val="3"/>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Medieval Port</w:t>
      </w:r>
    </w:p>
    <w:p w:rsidR="00973F1B" w:rsidRPr="00973F1B" w:rsidRDefault="00973F1B" w:rsidP="009F0EA7">
      <w:pPr>
        <w:numPr>
          <w:ilvl w:val="0"/>
          <w:numId w:val="3"/>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Industrial Era</w:t>
      </w:r>
    </w:p>
    <w:p w:rsidR="00973F1B" w:rsidRPr="00973F1B" w:rsidRDefault="00973F1B" w:rsidP="009F0EA7">
      <w:pPr>
        <w:numPr>
          <w:ilvl w:val="0"/>
          <w:numId w:val="3"/>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Modern Redevelopment</w:t>
      </w:r>
    </w:p>
    <w:p w:rsidR="00973F1B" w:rsidRDefault="00973F1B" w:rsidP="009F0EA7">
      <w:pPr>
        <w:numPr>
          <w:ilvl w:val="0"/>
          <w:numId w:val="3"/>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Recent Transformations</w:t>
      </w:r>
    </w:p>
    <w:p w:rsidR="00973F1B" w:rsidRPr="00973F1B" w:rsidRDefault="00973F1B" w:rsidP="00973F1B">
      <w:p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 xml:space="preserve"> </w:t>
      </w:r>
      <w:r w:rsidRPr="00973F1B">
        <w:rPr>
          <w:rFonts w:eastAsia="Times New Roman" w:cstheme="minorHAnsi"/>
          <w:b/>
          <w:bCs/>
          <w:szCs w:val="24"/>
          <w:lang w:eastAsia="en-GB"/>
        </w:rPr>
        <w:t>Historical Maps and Photographs</w:t>
      </w:r>
    </w:p>
    <w:p w:rsidR="00973F1B" w:rsidRPr="00973F1B" w:rsidRDefault="00973F1B" w:rsidP="009F0EA7">
      <w:pPr>
        <w:numPr>
          <w:ilvl w:val="0"/>
          <w:numId w:val="4"/>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National Library of Wales</w:t>
      </w:r>
    </w:p>
    <w:p w:rsidR="00973F1B" w:rsidRDefault="00973F1B" w:rsidP="009F0EA7">
      <w:pPr>
        <w:numPr>
          <w:ilvl w:val="0"/>
          <w:numId w:val="4"/>
        </w:numPr>
        <w:spacing w:before="100" w:beforeAutospacing="1" w:after="100" w:afterAutospacing="1" w:line="240" w:lineRule="auto"/>
        <w:rPr>
          <w:rFonts w:eastAsia="Times New Roman" w:cstheme="minorHAnsi"/>
          <w:szCs w:val="24"/>
          <w:lang w:eastAsia="en-GB"/>
        </w:rPr>
      </w:pPr>
      <w:r>
        <w:rPr>
          <w:rFonts w:eastAsia="Times New Roman" w:cstheme="minorHAnsi"/>
          <w:szCs w:val="24"/>
          <w:lang w:eastAsia="en-GB"/>
        </w:rPr>
        <w:t>Swansea Museum</w:t>
      </w:r>
    </w:p>
    <w:p w:rsidR="00973F1B" w:rsidRPr="00973F1B" w:rsidRDefault="00973F1B" w:rsidP="00973F1B">
      <w:p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 xml:space="preserve"> </w:t>
      </w:r>
      <w:r w:rsidRPr="00973F1B">
        <w:rPr>
          <w:rFonts w:eastAsia="Times New Roman" w:cstheme="minorHAnsi"/>
          <w:b/>
          <w:bCs/>
          <w:szCs w:val="24"/>
          <w:lang w:eastAsia="en-GB"/>
        </w:rPr>
        <w:t>Detailed Site Investigation Recommendations</w:t>
      </w:r>
    </w:p>
    <w:p w:rsidR="00973F1B" w:rsidRPr="00973F1B" w:rsidRDefault="00973F1B" w:rsidP="009F0EA7">
      <w:pPr>
        <w:numPr>
          <w:ilvl w:val="0"/>
          <w:numId w:val="5"/>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Unexploded Ordnance (UXO)</w:t>
      </w:r>
    </w:p>
    <w:p w:rsidR="00973F1B" w:rsidRPr="00973F1B" w:rsidRDefault="00973F1B" w:rsidP="009F0EA7">
      <w:pPr>
        <w:numPr>
          <w:ilvl w:val="0"/>
          <w:numId w:val="5"/>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Existing Services</w:t>
      </w:r>
    </w:p>
    <w:p w:rsidR="00973F1B" w:rsidRPr="00973F1B" w:rsidRDefault="00973F1B" w:rsidP="009F0EA7">
      <w:pPr>
        <w:numPr>
          <w:ilvl w:val="0"/>
          <w:numId w:val="5"/>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Access</w:t>
      </w:r>
    </w:p>
    <w:p w:rsidR="00973F1B" w:rsidRPr="00973F1B" w:rsidRDefault="00973F1B" w:rsidP="009F0EA7">
      <w:pPr>
        <w:numPr>
          <w:ilvl w:val="0"/>
          <w:numId w:val="5"/>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Soil Contamination</w:t>
      </w:r>
    </w:p>
    <w:p w:rsidR="00973F1B" w:rsidRPr="00973F1B" w:rsidRDefault="00973F1B" w:rsidP="009F0EA7">
      <w:pPr>
        <w:numPr>
          <w:ilvl w:val="0"/>
          <w:numId w:val="5"/>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Groundwater Levels</w:t>
      </w:r>
    </w:p>
    <w:p w:rsidR="00973F1B" w:rsidRPr="00973F1B" w:rsidRDefault="00973F1B" w:rsidP="009F0EA7">
      <w:pPr>
        <w:numPr>
          <w:ilvl w:val="0"/>
          <w:numId w:val="5"/>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Archaeological Finds</w:t>
      </w:r>
    </w:p>
    <w:p w:rsidR="00973F1B" w:rsidRDefault="00973F1B" w:rsidP="009F0EA7">
      <w:pPr>
        <w:numPr>
          <w:ilvl w:val="0"/>
          <w:numId w:val="5"/>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Structural Impact on Adjacent Buildings</w:t>
      </w:r>
    </w:p>
    <w:p w:rsidR="00973F1B" w:rsidRDefault="00973F1B" w:rsidP="00973F1B">
      <w:p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 xml:space="preserve"> </w:t>
      </w:r>
      <w:r w:rsidRPr="00973F1B">
        <w:rPr>
          <w:rFonts w:eastAsia="Times New Roman" w:cstheme="minorHAnsi"/>
          <w:b/>
          <w:bCs/>
          <w:szCs w:val="24"/>
          <w:lang w:eastAsia="en-GB"/>
        </w:rPr>
        <w:t>Relevant Building Regulations and Codes of Practice</w:t>
      </w:r>
    </w:p>
    <w:p w:rsidR="00973F1B" w:rsidRPr="00973F1B" w:rsidRDefault="00973F1B" w:rsidP="00973F1B">
      <w:pPr>
        <w:spacing w:before="100" w:beforeAutospacing="1" w:after="100" w:afterAutospacing="1" w:line="240" w:lineRule="auto"/>
        <w:rPr>
          <w:rFonts w:eastAsia="Times New Roman" w:cstheme="minorHAnsi"/>
          <w:szCs w:val="24"/>
          <w:lang w:eastAsia="en-GB"/>
        </w:rPr>
      </w:pPr>
      <w:r w:rsidRPr="00973F1B">
        <w:rPr>
          <w:rFonts w:eastAsia="Times New Roman" w:cstheme="minorHAnsi"/>
          <w:b/>
          <w:bCs/>
          <w:szCs w:val="24"/>
          <w:lang w:eastAsia="en-GB"/>
        </w:rPr>
        <w:t>Suitable Foundation and Sub-Structure Details</w:t>
      </w:r>
    </w:p>
    <w:p w:rsidR="00973F1B" w:rsidRPr="00973F1B" w:rsidRDefault="00973F1B" w:rsidP="009F0EA7">
      <w:pPr>
        <w:numPr>
          <w:ilvl w:val="0"/>
          <w:numId w:val="6"/>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Borehole Data Summary</w:t>
      </w:r>
    </w:p>
    <w:p w:rsidR="00973F1B" w:rsidRDefault="00973F1B" w:rsidP="009F0EA7">
      <w:pPr>
        <w:numPr>
          <w:ilvl w:val="0"/>
          <w:numId w:val="6"/>
        </w:num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Recommended Foundation Design</w:t>
      </w:r>
    </w:p>
    <w:p w:rsidR="00973F1B" w:rsidRPr="00973F1B" w:rsidRDefault="00973F1B" w:rsidP="00973F1B">
      <w:pPr>
        <w:spacing w:before="100" w:beforeAutospacing="1" w:after="100" w:afterAutospacing="1" w:line="240" w:lineRule="auto"/>
        <w:rPr>
          <w:rFonts w:eastAsia="Times New Roman" w:cstheme="minorHAnsi"/>
          <w:szCs w:val="24"/>
          <w:lang w:eastAsia="en-GB"/>
        </w:rPr>
      </w:pPr>
      <w:r w:rsidRPr="00973F1B">
        <w:rPr>
          <w:rFonts w:eastAsia="Times New Roman" w:cstheme="minorHAnsi"/>
          <w:szCs w:val="24"/>
          <w:lang w:eastAsia="en-GB"/>
        </w:rPr>
        <w:t xml:space="preserve"> </w:t>
      </w:r>
      <w:r w:rsidRPr="00973F1B">
        <w:rPr>
          <w:rFonts w:eastAsia="Times New Roman" w:cstheme="minorHAnsi"/>
          <w:b/>
          <w:bCs/>
          <w:szCs w:val="24"/>
          <w:lang w:eastAsia="en-GB"/>
        </w:rPr>
        <w:t>Conclusion</w:t>
      </w:r>
    </w:p>
    <w:p w:rsidR="00973F1B" w:rsidRDefault="00973F1B" w:rsidP="00973F1B"/>
    <w:p w:rsidR="00973F1B" w:rsidRDefault="00973F1B" w:rsidP="00973F1B"/>
    <w:p w:rsidR="00263E47" w:rsidRPr="00263E47" w:rsidRDefault="00263E47" w:rsidP="00973F1B">
      <w:r w:rsidRPr="00263E47">
        <w:rPr>
          <w:rFonts w:eastAsia="Times New Roman" w:cstheme="minorHAnsi"/>
          <w:b/>
          <w:bCs/>
          <w:u w:val="single"/>
          <w:lang w:eastAsia="en-GB"/>
        </w:rPr>
        <w:t>Site Investigation and Risk Assessment for Proposed Development on Swansea Foreshore</w:t>
      </w:r>
    </w:p>
    <w:p w:rsidR="00263E47" w:rsidRPr="00263E47" w:rsidRDefault="00263E47" w:rsidP="000710D6">
      <w:pPr>
        <w:spacing w:before="100" w:beforeAutospacing="1" w:after="100" w:afterAutospacing="1" w:line="240" w:lineRule="auto"/>
        <w:jc w:val="center"/>
        <w:outlineLvl w:val="2"/>
        <w:rPr>
          <w:rFonts w:eastAsia="Times New Roman" w:cstheme="minorHAnsi"/>
          <w:b/>
          <w:bCs/>
          <w:lang w:eastAsia="en-GB"/>
        </w:rPr>
      </w:pPr>
      <w:r w:rsidRPr="00263E47">
        <w:rPr>
          <w:rFonts w:eastAsia="Times New Roman" w:cstheme="minorHAnsi"/>
          <w:b/>
          <w:bCs/>
          <w:lang w:eastAsia="en-GB"/>
        </w:rPr>
        <w:t>Historical Background of the Site</w:t>
      </w:r>
    </w:p>
    <w:p w:rsidR="00263E47" w:rsidRPr="00263E47" w:rsidRDefault="00263E47" w:rsidP="000710D6">
      <w:pPr>
        <w:spacing w:before="100" w:beforeAutospacing="1" w:after="100" w:afterAutospacing="1" w:line="240" w:lineRule="auto"/>
        <w:rPr>
          <w:rFonts w:eastAsia="Times New Roman" w:cstheme="minorHAnsi"/>
          <w:lang w:eastAsia="en-GB"/>
        </w:rPr>
      </w:pPr>
      <w:r w:rsidRPr="00263E47">
        <w:rPr>
          <w:rFonts w:eastAsia="Times New Roman" w:cstheme="minorHAnsi"/>
          <w:lang w:eastAsia="en-GB"/>
        </w:rPr>
        <w:t>The proposed site for the new restaurant, ice-cream parlour, and manager’s apartment is situated between County Hall and the Marriott Hotel on the Swansea foreshore. This historically significant area has undergone extensive changes over the centuries, transforming from a medieval port to an industrial powerhouse, and more recently into a vibrant urban space.</w:t>
      </w:r>
    </w:p>
    <w:p w:rsidR="00263E47" w:rsidRPr="00263E47" w:rsidRDefault="00263E47" w:rsidP="000710D6">
      <w:pPr>
        <w:spacing w:before="100" w:beforeAutospacing="1" w:after="100" w:afterAutospacing="1" w:line="240" w:lineRule="auto"/>
        <w:outlineLvl w:val="3"/>
        <w:rPr>
          <w:rFonts w:eastAsia="Times New Roman" w:cstheme="minorHAnsi"/>
          <w:b/>
          <w:bCs/>
          <w:lang w:eastAsia="en-GB"/>
        </w:rPr>
      </w:pPr>
      <w:r w:rsidRPr="00263E47">
        <w:rPr>
          <w:rFonts w:eastAsia="Times New Roman" w:cstheme="minorHAnsi"/>
          <w:b/>
          <w:bCs/>
          <w:lang w:eastAsia="en-GB"/>
        </w:rPr>
        <w:t>Medieval Port</w:t>
      </w:r>
    </w:p>
    <w:p w:rsidR="00263E47" w:rsidRPr="00263E47" w:rsidRDefault="00263E47" w:rsidP="000710D6">
      <w:pPr>
        <w:spacing w:before="100" w:beforeAutospacing="1" w:after="100" w:afterAutospacing="1" w:line="240" w:lineRule="auto"/>
        <w:rPr>
          <w:rFonts w:eastAsia="Times New Roman" w:cstheme="minorHAnsi"/>
          <w:lang w:eastAsia="en-GB"/>
        </w:rPr>
      </w:pPr>
      <w:r w:rsidRPr="00263E47">
        <w:rPr>
          <w:rFonts w:eastAsia="Times New Roman" w:cstheme="minorHAnsi"/>
          <w:lang w:eastAsia="en-GB"/>
        </w:rPr>
        <w:t>During medieval times, Swansea foreshore served as a bustling port facilitating trade and commerce. The port was crucial for importing and exporting goods, contributing to the growth and development of Swansea.</w:t>
      </w:r>
    </w:p>
    <w:p w:rsidR="00263E47" w:rsidRPr="00263E47" w:rsidRDefault="00263E47" w:rsidP="000710D6">
      <w:pPr>
        <w:spacing w:before="100" w:beforeAutospacing="1" w:after="100" w:afterAutospacing="1" w:line="240" w:lineRule="auto"/>
        <w:outlineLvl w:val="3"/>
        <w:rPr>
          <w:rFonts w:eastAsia="Times New Roman" w:cstheme="minorHAnsi"/>
          <w:b/>
          <w:bCs/>
          <w:lang w:eastAsia="en-GB"/>
        </w:rPr>
      </w:pPr>
      <w:r w:rsidRPr="00263E47">
        <w:rPr>
          <w:rFonts w:eastAsia="Times New Roman" w:cstheme="minorHAnsi"/>
          <w:b/>
          <w:bCs/>
          <w:lang w:eastAsia="en-GB"/>
        </w:rPr>
        <w:t>Industrial Era</w:t>
      </w:r>
    </w:p>
    <w:p w:rsidR="00263E47" w:rsidRPr="00263E47" w:rsidRDefault="00263E47" w:rsidP="000710D6">
      <w:pPr>
        <w:spacing w:before="100" w:beforeAutospacing="1" w:after="100" w:afterAutospacing="1" w:line="240" w:lineRule="auto"/>
        <w:rPr>
          <w:rFonts w:eastAsia="Times New Roman" w:cstheme="minorHAnsi"/>
          <w:lang w:eastAsia="en-GB"/>
        </w:rPr>
      </w:pPr>
      <w:r w:rsidRPr="00263E47">
        <w:rPr>
          <w:rFonts w:eastAsia="Times New Roman" w:cstheme="minorHAnsi"/>
          <w:lang w:eastAsia="en-GB"/>
        </w:rPr>
        <w:t>In the 19th century, the foreshore became an industrial hub, necessitating the construction of robust dock facilities. Heavy industries such as copper smelting and coal exportation dominated the area, leading to significant economic growth but also leaving a legacy of industrial pollution.</w:t>
      </w:r>
    </w:p>
    <w:p w:rsidR="00263E47" w:rsidRPr="00263E47" w:rsidRDefault="00263E47" w:rsidP="000710D6">
      <w:pPr>
        <w:spacing w:before="100" w:beforeAutospacing="1" w:after="100" w:afterAutospacing="1" w:line="240" w:lineRule="auto"/>
        <w:outlineLvl w:val="3"/>
        <w:rPr>
          <w:rFonts w:eastAsia="Times New Roman" w:cstheme="minorHAnsi"/>
          <w:b/>
          <w:bCs/>
          <w:lang w:eastAsia="en-GB"/>
        </w:rPr>
      </w:pPr>
      <w:r w:rsidRPr="00263E47">
        <w:rPr>
          <w:rFonts w:eastAsia="Times New Roman" w:cstheme="minorHAnsi"/>
          <w:b/>
          <w:bCs/>
          <w:lang w:eastAsia="en-GB"/>
        </w:rPr>
        <w:t>Modern Redevelopment</w:t>
      </w:r>
    </w:p>
    <w:p w:rsidR="00263E47" w:rsidRPr="00263E47" w:rsidRDefault="00263E47" w:rsidP="000710D6">
      <w:pPr>
        <w:spacing w:before="100" w:beforeAutospacing="1" w:after="100" w:afterAutospacing="1" w:line="240" w:lineRule="auto"/>
        <w:rPr>
          <w:rFonts w:eastAsia="Times New Roman" w:cstheme="minorHAnsi"/>
          <w:lang w:eastAsia="en-GB"/>
        </w:rPr>
      </w:pPr>
      <w:r w:rsidRPr="00263E47">
        <w:rPr>
          <w:rFonts w:eastAsia="Times New Roman" w:cstheme="minorHAnsi"/>
          <w:lang w:eastAsia="en-GB"/>
        </w:rPr>
        <w:t>The decline of heavy industries in the 20th century prompted significant redevelopment. County Hall, constructed in the 1980s, marked a pivotal shift towards administrative functions. The Marriott Hotel, built in the late 20th century, introduced high-quality accommodations and amenities, contributing to the revitalization of the foreshore as a hub for tourism and hospitality.</w:t>
      </w:r>
    </w:p>
    <w:p w:rsidR="00263E47" w:rsidRPr="00263E47" w:rsidRDefault="00263E47" w:rsidP="000710D6">
      <w:pPr>
        <w:spacing w:before="100" w:beforeAutospacing="1" w:after="100" w:afterAutospacing="1" w:line="240" w:lineRule="auto"/>
        <w:outlineLvl w:val="3"/>
        <w:rPr>
          <w:rFonts w:eastAsia="Times New Roman" w:cstheme="minorHAnsi"/>
          <w:b/>
          <w:bCs/>
          <w:lang w:eastAsia="en-GB"/>
        </w:rPr>
      </w:pPr>
      <w:r w:rsidRPr="00263E47">
        <w:rPr>
          <w:rFonts w:eastAsia="Times New Roman" w:cstheme="minorHAnsi"/>
          <w:b/>
          <w:bCs/>
          <w:lang w:eastAsia="en-GB"/>
        </w:rPr>
        <w:t>Recent Transformations</w:t>
      </w:r>
    </w:p>
    <w:p w:rsidR="00263E47" w:rsidRPr="000710D6" w:rsidRDefault="00263E47" w:rsidP="000710D6">
      <w:pPr>
        <w:spacing w:before="100" w:beforeAutospacing="1" w:after="100" w:afterAutospacing="1" w:line="240" w:lineRule="auto"/>
        <w:rPr>
          <w:rFonts w:eastAsia="Times New Roman" w:cstheme="minorHAnsi"/>
          <w:lang w:eastAsia="en-GB"/>
        </w:rPr>
      </w:pPr>
      <w:r w:rsidRPr="00263E47">
        <w:rPr>
          <w:rFonts w:eastAsia="Times New Roman" w:cstheme="minorHAnsi"/>
          <w:lang w:eastAsia="en-GB"/>
        </w:rPr>
        <w:t>In recent decades, the foreshore has seen the construction of residential complexes, commercial spaces, and recreational facilities. This redevelopment focused on balancing aesthetic appeal with structural integrity and modern infrastructure upgrades, transforming the area into a vibrant urban space.</w:t>
      </w:r>
    </w:p>
    <w:p w:rsidR="00263E47" w:rsidRPr="000710D6" w:rsidRDefault="00263E47" w:rsidP="000710D6">
      <w:pPr>
        <w:spacing w:before="100" w:beforeAutospacing="1" w:after="100" w:afterAutospacing="1" w:line="240" w:lineRule="auto"/>
        <w:jc w:val="center"/>
        <w:rPr>
          <w:rFonts w:eastAsia="Times New Roman" w:cstheme="minorHAnsi"/>
          <w:lang w:eastAsia="en-GB"/>
        </w:rPr>
      </w:pPr>
      <w:r w:rsidRPr="000710D6">
        <w:rPr>
          <w:rFonts w:eastAsia="Times New Roman" w:cstheme="minorHAnsi"/>
          <w:b/>
          <w:bCs/>
          <w:lang w:eastAsia="en-GB"/>
        </w:rPr>
        <w:t>Historical Maps and Photographs</w:t>
      </w:r>
    </w:p>
    <w:p w:rsidR="00263E47" w:rsidRPr="00263E47" w:rsidRDefault="00263E47" w:rsidP="000710D6">
      <w:pPr>
        <w:spacing w:before="100" w:beforeAutospacing="1" w:after="100" w:afterAutospacing="1" w:line="240" w:lineRule="auto"/>
        <w:rPr>
          <w:rFonts w:eastAsia="Times New Roman" w:cstheme="minorHAnsi"/>
          <w:lang w:eastAsia="en-GB"/>
        </w:rPr>
      </w:pPr>
      <w:r w:rsidRPr="000710D6">
        <w:rPr>
          <w:rFonts w:eastAsia="Times New Roman" w:cstheme="minorHAnsi"/>
          <w:lang w:eastAsia="en-GB"/>
        </w:rPr>
        <w:t>To comprehensively document the historical background of the Swansea foreshore, archival materials such as historical maps and photographs play a crucial role in illustrating its evolution from industrial docks to modern urban development. These sources provide valuable insights into the area's transformation and help contextualize the proposed development project between County Hall and the Marriott Hotel.</w:t>
      </w:r>
    </w:p>
    <w:p w:rsidR="00263E47" w:rsidRPr="000710D6" w:rsidRDefault="00AB6DE4" w:rsidP="000710D6">
      <w:pPr>
        <w:spacing w:before="100" w:beforeAutospacing="1" w:after="100" w:afterAutospacing="1" w:line="240" w:lineRule="auto"/>
        <w:rPr>
          <w:rFonts w:eastAsia="Times New Roman" w:cstheme="minorHAnsi"/>
          <w:lang w:eastAsia="en-GB"/>
        </w:rPr>
      </w:pPr>
      <w:hyperlink r:id="rId6" w:tgtFrame="_new" w:history="1">
        <w:r w:rsidR="00263E47" w:rsidRPr="000710D6">
          <w:rPr>
            <w:rFonts w:eastAsia="Times New Roman" w:cstheme="minorHAnsi"/>
            <w:color w:val="0000FF"/>
            <w:u w:val="single"/>
            <w:lang w:eastAsia="en-GB"/>
          </w:rPr>
          <w:t>National Library of Wales</w:t>
        </w:r>
      </w:hyperlink>
    </w:p>
    <w:p w:rsidR="00263E47" w:rsidRPr="000710D6" w:rsidRDefault="00263E47" w:rsidP="000710D6">
      <w:pPr>
        <w:spacing w:before="100" w:beforeAutospacing="1" w:after="100" w:afterAutospacing="1" w:line="240" w:lineRule="auto"/>
        <w:rPr>
          <w:rFonts w:eastAsia="Times New Roman" w:cstheme="minorHAnsi"/>
          <w:lang w:eastAsia="en-GB"/>
        </w:rPr>
      </w:pPr>
      <w:r w:rsidRPr="000710D6">
        <w:rPr>
          <w:rFonts w:eastAsia="Times New Roman" w:cstheme="minorHAnsi"/>
          <w:lang w:eastAsia="en-GB"/>
        </w:rPr>
        <w:t>The National Library of Wales houses a collection of historical maps that depict the evolution of Swansea's foreshore from medieval times through the industrial era. These maps illustrate changes in land use, the development of dock facilities, and the growth of urban infrastructure over centuries.</w:t>
      </w:r>
    </w:p>
    <w:p w:rsidR="00263E47" w:rsidRPr="000710D6" w:rsidRDefault="00263E47" w:rsidP="000710D6">
      <w:pPr>
        <w:spacing w:before="100" w:beforeAutospacing="1" w:after="100" w:afterAutospacing="1" w:line="240" w:lineRule="auto"/>
        <w:rPr>
          <w:rFonts w:eastAsia="Times New Roman" w:cstheme="minorHAnsi"/>
          <w:lang w:eastAsia="en-GB"/>
        </w:rPr>
      </w:pPr>
      <w:r w:rsidRPr="000710D6">
        <w:rPr>
          <w:rFonts w:eastAsia="Times New Roman" w:cstheme="minorHAnsi"/>
          <w:b/>
          <w:bCs/>
          <w:lang w:eastAsia="en-GB"/>
        </w:rPr>
        <w:t>Photographs</w:t>
      </w:r>
      <w:r w:rsidRPr="000710D6">
        <w:rPr>
          <w:rFonts w:eastAsia="Times New Roman" w:cstheme="minorHAnsi"/>
          <w:lang w:eastAsia="en-GB"/>
        </w:rPr>
        <w:t>:</w:t>
      </w:r>
    </w:p>
    <w:p w:rsidR="00263E47" w:rsidRPr="000710D6" w:rsidRDefault="00AB6DE4" w:rsidP="000710D6">
      <w:pPr>
        <w:spacing w:before="100" w:beforeAutospacing="1" w:after="100" w:afterAutospacing="1" w:line="240" w:lineRule="auto"/>
        <w:rPr>
          <w:rFonts w:eastAsia="Times New Roman" w:cstheme="minorHAnsi"/>
          <w:lang w:eastAsia="en-GB"/>
        </w:rPr>
      </w:pPr>
      <w:hyperlink r:id="rId7" w:tgtFrame="_new" w:history="1">
        <w:r w:rsidR="00263E47" w:rsidRPr="000710D6">
          <w:rPr>
            <w:rFonts w:eastAsia="Times New Roman" w:cstheme="minorHAnsi"/>
            <w:color w:val="0000FF"/>
            <w:u w:val="single"/>
            <w:lang w:eastAsia="en-GB"/>
          </w:rPr>
          <w:t>Swansea Museum</w:t>
        </w:r>
      </w:hyperlink>
    </w:p>
    <w:p w:rsidR="00263E47" w:rsidRPr="000710D6" w:rsidRDefault="00263E47" w:rsidP="000710D6">
      <w:pPr>
        <w:spacing w:before="100" w:beforeAutospacing="1" w:after="100" w:afterAutospacing="1" w:line="240" w:lineRule="auto"/>
        <w:rPr>
          <w:rFonts w:eastAsia="Times New Roman" w:cstheme="minorHAnsi"/>
          <w:lang w:eastAsia="en-GB"/>
        </w:rPr>
      </w:pPr>
      <w:r w:rsidRPr="000710D6">
        <w:rPr>
          <w:rFonts w:eastAsia="Times New Roman" w:cstheme="minorHAnsi"/>
          <w:lang w:eastAsia="en-GB"/>
        </w:rPr>
        <w:t>The Swansea Museum maintain collections of photographs documenting the transformation of the Swansea foreshore. These photographs capture pivotal moments in the area's history, including industrial activities, the construction of significant buildings like County Hall, and the evolution of recreational amenities along the waterfront. They provide visual insights into architectural changes and societal developments that have shaped Swansea's maritime heritage and urban landscape.</w:t>
      </w:r>
    </w:p>
    <w:p w:rsidR="00263E47" w:rsidRPr="000710D6" w:rsidRDefault="00263E47" w:rsidP="000710D6">
      <w:pPr>
        <w:spacing w:before="100" w:beforeAutospacing="1" w:after="100" w:afterAutospacing="1" w:line="240" w:lineRule="auto"/>
        <w:rPr>
          <w:rFonts w:eastAsia="Times New Roman" w:cstheme="minorHAnsi"/>
          <w:lang w:eastAsia="en-GB"/>
        </w:rPr>
      </w:pPr>
      <w:r w:rsidRPr="000710D6">
        <w:rPr>
          <w:rFonts w:eastAsia="Times New Roman" w:cstheme="minorHAnsi"/>
          <w:lang w:eastAsia="en-GB"/>
        </w:rPr>
        <w:t>Swansea Country Hall 18/11/2009</w:t>
      </w:r>
      <w:r w:rsidRPr="000710D6">
        <w:rPr>
          <w:rFonts w:eastAsia="Times New Roman" w:cstheme="minorHAnsi"/>
          <w:noProof/>
          <w:lang w:eastAsia="en-GB"/>
        </w:rPr>
        <w:drawing>
          <wp:inline distT="0" distB="0" distL="0" distR="0" wp14:anchorId="3509AF38" wp14:editId="4F93BA8E">
            <wp:extent cx="5731510" cy="3776610"/>
            <wp:effectExtent l="0" t="0" r="2540" b="0"/>
            <wp:docPr id="1" name="Picture 1" descr="https://www.peoplescollection.wales/sites/default/files/images/2014/February/GTJ25690.jpg?itok=v_Uk1fp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peoplescollection.wales/sites/default/files/images/2014/February/GTJ25690.jpg?itok=v_Uk1fpJ"/>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76610"/>
                    </a:xfrm>
                    <a:prstGeom prst="rect">
                      <a:avLst/>
                    </a:prstGeom>
                    <a:noFill/>
                    <a:ln>
                      <a:noFill/>
                    </a:ln>
                  </pic:spPr>
                </pic:pic>
              </a:graphicData>
            </a:graphic>
          </wp:inline>
        </w:drawing>
      </w:r>
    </w:p>
    <w:p w:rsidR="00263E47" w:rsidRPr="000710D6" w:rsidRDefault="00AB6DE4" w:rsidP="000710D6">
      <w:pPr>
        <w:spacing w:before="100" w:beforeAutospacing="1" w:after="100" w:afterAutospacing="1" w:line="240" w:lineRule="auto"/>
        <w:rPr>
          <w:rFonts w:eastAsia="Times New Roman" w:cstheme="minorHAnsi"/>
          <w:lang w:eastAsia="en-GB"/>
        </w:rPr>
      </w:pPr>
      <w:hyperlink r:id="rId9" w:anchor="?xywh=-39%2C-67%2C888%2C714" w:history="1">
        <w:r w:rsidR="00263E47" w:rsidRPr="000710D6">
          <w:rPr>
            <w:rStyle w:val="Hyperlink"/>
            <w:rFonts w:eastAsia="Times New Roman" w:cstheme="minorHAnsi"/>
            <w:lang w:eastAsia="en-GB"/>
          </w:rPr>
          <w:t>https://www.peoplescollection.wales/items/2927#?xywh=-39%2C-67%2C888%2C714</w:t>
        </w:r>
      </w:hyperlink>
      <w:r w:rsidR="00263E47" w:rsidRPr="000710D6">
        <w:rPr>
          <w:rFonts w:eastAsia="Times New Roman" w:cstheme="minorHAnsi"/>
          <w:lang w:eastAsia="en-GB"/>
        </w:rPr>
        <w:t xml:space="preserve"> </w:t>
      </w:r>
    </w:p>
    <w:p w:rsidR="00E75324" w:rsidRDefault="00263E47" w:rsidP="00E75324">
      <w:pPr>
        <w:spacing w:before="100" w:beforeAutospacing="1" w:after="100" w:afterAutospacing="1" w:line="240" w:lineRule="auto"/>
        <w:jc w:val="center"/>
        <w:rPr>
          <w:rFonts w:eastAsia="Times New Roman" w:cstheme="minorHAnsi"/>
          <w:b/>
          <w:bCs/>
          <w:lang w:eastAsia="en-GB"/>
        </w:rPr>
      </w:pPr>
      <w:r w:rsidRPr="00263E47">
        <w:rPr>
          <w:rFonts w:eastAsia="Times New Roman" w:cstheme="minorHAnsi"/>
          <w:b/>
          <w:bCs/>
          <w:lang w:eastAsia="en-GB"/>
        </w:rPr>
        <w:t>Detailed Site Investigation Recommendations</w:t>
      </w:r>
    </w:p>
    <w:p w:rsidR="00E75324" w:rsidRPr="00E75324" w:rsidRDefault="00E75324" w:rsidP="00E75324">
      <w:pPr>
        <w:spacing w:before="100" w:beforeAutospacing="1" w:after="100" w:afterAutospacing="1" w:line="240" w:lineRule="auto"/>
        <w:rPr>
          <w:rFonts w:eastAsia="Times New Roman" w:cstheme="minorHAnsi"/>
          <w:b/>
          <w:bCs/>
          <w:lang w:eastAsia="en-GB"/>
        </w:rPr>
      </w:pPr>
      <w:r w:rsidRPr="00E75324">
        <w:rPr>
          <w:rFonts w:eastAsia="Times New Roman" w:cstheme="minorHAnsi"/>
          <w:b/>
          <w:bCs/>
          <w:lang w:eastAsia="en-GB"/>
        </w:rPr>
        <w:t>1. Unexploded Ordnance (UXO)</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Historical Context:</w:t>
      </w:r>
      <w:r w:rsidRPr="00E75324">
        <w:rPr>
          <w:rFonts w:eastAsia="Times New Roman" w:cstheme="minorHAnsi"/>
          <w:lang w:eastAsia="en-GB"/>
        </w:rPr>
        <w:t xml:space="preserve"> The Swansea foreshore area, where the new development is planned, was significantly impacted by World War II bombing raids. Historical records indicate that the city, including the foreshore region, experienced extensive bombing due to its industrial significance. As a result, there is a heightened risk of unexploded ordnance (UXO) remaining underground, which could pose serious risks during construction.</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Survey Methodology:</w:t>
      </w:r>
    </w:p>
    <w:p w:rsidR="00E75324" w:rsidRPr="00E75324" w:rsidRDefault="00E75324" w:rsidP="009F0EA7">
      <w:pPr>
        <w:numPr>
          <w:ilvl w:val="0"/>
          <w:numId w:val="7"/>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Historical Research:</w:t>
      </w:r>
      <w:r w:rsidRPr="00E75324">
        <w:rPr>
          <w:rFonts w:eastAsia="Times New Roman" w:cstheme="minorHAnsi"/>
          <w:lang w:eastAsia="en-GB"/>
        </w:rPr>
        <w:t xml:space="preserve"> Conduct detailed archival research to pinpoint specific areas within the Swansea foreshore that were heavily bombed. Review historical maps and records from sources like the National Library of Wales and local archives.</w:t>
      </w:r>
    </w:p>
    <w:p w:rsidR="00E75324" w:rsidRPr="00E75324" w:rsidRDefault="00E75324" w:rsidP="009F0EA7">
      <w:pPr>
        <w:numPr>
          <w:ilvl w:val="0"/>
          <w:numId w:val="7"/>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Geophysical Surveys:</w:t>
      </w:r>
      <w:r w:rsidRPr="00E75324">
        <w:rPr>
          <w:rFonts w:eastAsia="Times New Roman" w:cstheme="minorHAnsi"/>
          <w:lang w:eastAsia="en-GB"/>
        </w:rPr>
        <w:t xml:space="preserve"> Utilize magnetometer surveys, ground-penetrating radar (GPR), and electromagnetic induction to identify anomalies indicative of UXO. These methods should be tailored to the historical bombing data specific to the Swansea foreshore.</w:t>
      </w:r>
    </w:p>
    <w:p w:rsidR="00E75324" w:rsidRPr="00E75324" w:rsidRDefault="00E75324" w:rsidP="009F0EA7">
      <w:pPr>
        <w:numPr>
          <w:ilvl w:val="0"/>
          <w:numId w:val="7"/>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Intrusive Surveys:</w:t>
      </w:r>
      <w:r w:rsidRPr="00E75324">
        <w:rPr>
          <w:rFonts w:eastAsia="Times New Roman" w:cstheme="minorHAnsi"/>
          <w:lang w:eastAsia="en-GB"/>
        </w:rPr>
        <w:t xml:space="preserve"> If geophysical surveys detect anomalies, perform targeted intrusive surveys, including borehole drilling and excavation, to safely assess and manage any potential UXO.</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Safety and Clearance:</w:t>
      </w:r>
    </w:p>
    <w:p w:rsidR="00E75324" w:rsidRPr="00E75324" w:rsidRDefault="00E75324" w:rsidP="009F0EA7">
      <w:pPr>
        <w:numPr>
          <w:ilvl w:val="0"/>
          <w:numId w:val="8"/>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Specialist Contractors:</w:t>
      </w:r>
      <w:r w:rsidRPr="00E75324">
        <w:rPr>
          <w:rFonts w:eastAsia="Times New Roman" w:cstheme="minorHAnsi"/>
          <w:lang w:eastAsia="en-GB"/>
        </w:rPr>
        <w:t xml:space="preserve"> Engage UXO specialists with experience in the Swansea area to conduct surveys and manage the safe removal of any detected ordnance.</w:t>
      </w:r>
    </w:p>
    <w:p w:rsidR="00E75324" w:rsidRPr="00E75324" w:rsidRDefault="00E75324" w:rsidP="009F0EA7">
      <w:pPr>
        <w:numPr>
          <w:ilvl w:val="0"/>
          <w:numId w:val="8"/>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Safety Protocols:</w:t>
      </w:r>
      <w:r w:rsidRPr="00E75324">
        <w:rPr>
          <w:rFonts w:eastAsia="Times New Roman" w:cstheme="minorHAnsi"/>
          <w:lang w:eastAsia="en-GB"/>
        </w:rPr>
        <w:t xml:space="preserve"> Develop comprehensive safety protocols, including emergency response plans tailored to the site's UXO risk profile, to ensure the safety of workers and nearby residents.</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Regulatory Compliance:</w:t>
      </w:r>
    </w:p>
    <w:p w:rsidR="00E75324" w:rsidRPr="00E75324" w:rsidRDefault="00E75324" w:rsidP="009F0EA7">
      <w:pPr>
        <w:numPr>
          <w:ilvl w:val="0"/>
          <w:numId w:val="9"/>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Guidelines:</w:t>
      </w:r>
      <w:r w:rsidRPr="00E75324">
        <w:rPr>
          <w:rFonts w:eastAsia="Times New Roman" w:cstheme="minorHAnsi"/>
          <w:lang w:eastAsia="en-GB"/>
        </w:rPr>
        <w:t xml:space="preserve"> Follow the guidelines set by the Construction Industry Research and Information Association (CIRIA) and Health and Safety Executive (HSE) for UXO risk management, specifically addressing the historical context of the Swansea foreshore area.</w:t>
      </w:r>
    </w:p>
    <w:p w:rsidR="00E75324" w:rsidRPr="00E75324" w:rsidRDefault="00E75324" w:rsidP="00E75324">
      <w:pPr>
        <w:spacing w:before="100" w:beforeAutospacing="1" w:after="100" w:afterAutospacing="1" w:line="240" w:lineRule="auto"/>
        <w:outlineLvl w:val="2"/>
        <w:rPr>
          <w:rFonts w:eastAsia="Times New Roman" w:cstheme="minorHAnsi"/>
          <w:b/>
          <w:bCs/>
          <w:lang w:eastAsia="en-GB"/>
        </w:rPr>
      </w:pPr>
      <w:r w:rsidRPr="00E75324">
        <w:rPr>
          <w:rFonts w:eastAsia="Times New Roman" w:cstheme="minorHAnsi"/>
          <w:b/>
          <w:bCs/>
          <w:lang w:eastAsia="en-GB"/>
        </w:rPr>
        <w:t>2. Existing Services</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Utility Survey:</w:t>
      </w:r>
    </w:p>
    <w:p w:rsidR="00E75324" w:rsidRPr="00E75324" w:rsidRDefault="00E75324" w:rsidP="009F0EA7">
      <w:pPr>
        <w:numPr>
          <w:ilvl w:val="0"/>
          <w:numId w:val="10"/>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Desktop Study:</w:t>
      </w:r>
      <w:r w:rsidRPr="00E75324">
        <w:rPr>
          <w:rFonts w:eastAsia="Times New Roman" w:cstheme="minorHAnsi"/>
          <w:lang w:eastAsia="en-GB"/>
        </w:rPr>
        <w:t xml:space="preserve"> Review as-built drawings and utility records from utility companies and local authorities, specifically focusing on services that intersect or are near the proposed site between County Hall and the Marriott Hotel.</w:t>
      </w:r>
    </w:p>
    <w:p w:rsidR="00E75324" w:rsidRPr="00E75324" w:rsidRDefault="00E75324" w:rsidP="009F0EA7">
      <w:pPr>
        <w:numPr>
          <w:ilvl w:val="0"/>
          <w:numId w:val="10"/>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Non-Intrusive Survey:</w:t>
      </w:r>
      <w:r w:rsidRPr="00E75324">
        <w:rPr>
          <w:rFonts w:eastAsia="Times New Roman" w:cstheme="minorHAnsi"/>
          <w:lang w:eastAsia="en-GB"/>
        </w:rPr>
        <w:t xml:space="preserve"> Use methods such as electromagnetic location and GPR to detect and map underground utilities, considering the unique layout and infrastructure of the Swansea foreshore.</w:t>
      </w:r>
    </w:p>
    <w:p w:rsidR="00E75324" w:rsidRPr="00E75324" w:rsidRDefault="00E75324" w:rsidP="009F0EA7">
      <w:pPr>
        <w:numPr>
          <w:ilvl w:val="0"/>
          <w:numId w:val="10"/>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Intrusive Survey:</w:t>
      </w:r>
      <w:r w:rsidRPr="00E75324">
        <w:rPr>
          <w:rFonts w:eastAsia="Times New Roman" w:cstheme="minorHAnsi"/>
          <w:lang w:eastAsia="en-GB"/>
        </w:rPr>
        <w:t xml:space="preserve"> Perform trial pits and potholing to accurately locate and verify critical services, especially those that might be affected by the new development.</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Risk Mitigation:</w:t>
      </w:r>
    </w:p>
    <w:p w:rsidR="00E75324" w:rsidRPr="00E75324" w:rsidRDefault="00E75324" w:rsidP="009F0EA7">
      <w:pPr>
        <w:numPr>
          <w:ilvl w:val="0"/>
          <w:numId w:val="11"/>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Utility Mapping:</w:t>
      </w:r>
      <w:r w:rsidRPr="00E75324">
        <w:rPr>
          <w:rFonts w:eastAsia="Times New Roman" w:cstheme="minorHAnsi"/>
          <w:lang w:eastAsia="en-GB"/>
        </w:rPr>
        <w:t xml:space="preserve"> Create a detailed utility map highlighting all existing services within and around the site, factoring in the site’s specific conditions and constraints.</w:t>
      </w:r>
    </w:p>
    <w:p w:rsidR="00E75324" w:rsidRPr="00E75324" w:rsidRDefault="00E75324" w:rsidP="009F0EA7">
      <w:pPr>
        <w:numPr>
          <w:ilvl w:val="0"/>
          <w:numId w:val="11"/>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Protection Measures:</w:t>
      </w:r>
      <w:r w:rsidRPr="00E75324">
        <w:rPr>
          <w:rFonts w:eastAsia="Times New Roman" w:cstheme="minorHAnsi"/>
          <w:lang w:eastAsia="en-GB"/>
        </w:rPr>
        <w:t xml:space="preserve"> Implement protection measures for utilities during construction, including temporary supports and casings, particularly for services that are crucial to adjacent facilities like County Hall and the Marriott Hotel.</w:t>
      </w:r>
    </w:p>
    <w:p w:rsidR="00E75324" w:rsidRPr="00E75324" w:rsidRDefault="00E75324" w:rsidP="009F0EA7">
      <w:pPr>
        <w:numPr>
          <w:ilvl w:val="0"/>
          <w:numId w:val="11"/>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Coordination:</w:t>
      </w:r>
      <w:r w:rsidRPr="00E75324">
        <w:rPr>
          <w:rFonts w:eastAsia="Times New Roman" w:cstheme="minorHAnsi"/>
          <w:lang w:eastAsia="en-GB"/>
        </w:rPr>
        <w:t xml:space="preserve"> Work closely with utility providers to plan and execute any necessary diversions or upgrades, ensuring minimal disruption to existing services.</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Regulatory Compliance:</w:t>
      </w:r>
    </w:p>
    <w:p w:rsidR="00E75324" w:rsidRPr="00E75324" w:rsidRDefault="00E75324" w:rsidP="009F0EA7">
      <w:pPr>
        <w:numPr>
          <w:ilvl w:val="0"/>
          <w:numId w:val="12"/>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Guidelines:</w:t>
      </w:r>
      <w:r w:rsidRPr="00E75324">
        <w:rPr>
          <w:rFonts w:eastAsia="Times New Roman" w:cstheme="minorHAnsi"/>
          <w:lang w:eastAsia="en-GB"/>
        </w:rPr>
        <w:t xml:space="preserve"> Adhere to guidelines from the Institution of Civil Engineers (ICE) and PAS 128 for underground utility detection and mapping, ensuring that site-specific factors are considered.</w:t>
      </w:r>
    </w:p>
    <w:p w:rsidR="00E75324" w:rsidRPr="00E75324" w:rsidRDefault="00E75324" w:rsidP="00E75324">
      <w:pPr>
        <w:spacing w:before="100" w:beforeAutospacing="1" w:after="100" w:afterAutospacing="1" w:line="240" w:lineRule="auto"/>
        <w:outlineLvl w:val="2"/>
        <w:rPr>
          <w:rFonts w:eastAsia="Times New Roman" w:cstheme="minorHAnsi"/>
          <w:b/>
          <w:bCs/>
          <w:lang w:eastAsia="en-GB"/>
        </w:rPr>
      </w:pPr>
      <w:r w:rsidRPr="00E75324">
        <w:rPr>
          <w:rFonts w:eastAsia="Times New Roman" w:cstheme="minorHAnsi"/>
          <w:b/>
          <w:bCs/>
          <w:lang w:eastAsia="en-GB"/>
        </w:rPr>
        <w:t>3. Access</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Logistics and Planning:</w:t>
      </w:r>
    </w:p>
    <w:p w:rsidR="00E75324" w:rsidRPr="00E75324" w:rsidRDefault="00E75324" w:rsidP="009F0EA7">
      <w:pPr>
        <w:numPr>
          <w:ilvl w:val="0"/>
          <w:numId w:val="13"/>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Traffic Management Plan:</w:t>
      </w:r>
      <w:r w:rsidRPr="00E75324">
        <w:rPr>
          <w:rFonts w:eastAsia="Times New Roman" w:cstheme="minorHAnsi"/>
          <w:lang w:eastAsia="en-GB"/>
        </w:rPr>
        <w:t xml:space="preserve"> Develop a detailed traffic management plan tailored to the Swansea foreshore area, including designated access routes, delivery schedules, and protocols for vehicle movement to avoid disrupting County Hall and the Marriott Hotel operations.</w:t>
      </w:r>
    </w:p>
    <w:p w:rsidR="00E75324" w:rsidRPr="00E75324" w:rsidRDefault="00E75324" w:rsidP="009F0EA7">
      <w:pPr>
        <w:numPr>
          <w:ilvl w:val="0"/>
          <w:numId w:val="13"/>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Stakeholder Engagement:</w:t>
      </w:r>
      <w:r w:rsidRPr="00E75324">
        <w:rPr>
          <w:rFonts w:eastAsia="Times New Roman" w:cstheme="minorHAnsi"/>
          <w:lang w:eastAsia="en-GB"/>
        </w:rPr>
        <w:t xml:space="preserve"> Engage with local stakeholders, including representatives from County Hall, Marriott Hotel, and local residents, to communicate construction timelines and access plans effectively.</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Site Setup:</w:t>
      </w:r>
    </w:p>
    <w:p w:rsidR="00E75324" w:rsidRPr="00E75324" w:rsidRDefault="00E75324" w:rsidP="009F0EA7">
      <w:pPr>
        <w:numPr>
          <w:ilvl w:val="0"/>
          <w:numId w:val="14"/>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Temporary Access Routes:</w:t>
      </w:r>
      <w:r w:rsidRPr="00E75324">
        <w:rPr>
          <w:rFonts w:eastAsia="Times New Roman" w:cstheme="minorHAnsi"/>
          <w:lang w:eastAsia="en-GB"/>
        </w:rPr>
        <w:t xml:space="preserve"> Establish temporary access routes and parking areas designed to accommodate construction vehicles and personnel, ensuring minimal impact on existing infrastructure and operations.</w:t>
      </w:r>
    </w:p>
    <w:p w:rsidR="00E75324" w:rsidRPr="00E75324" w:rsidRDefault="00E75324" w:rsidP="009F0EA7">
      <w:pPr>
        <w:numPr>
          <w:ilvl w:val="0"/>
          <w:numId w:val="14"/>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Signage and Wayfinding:</w:t>
      </w:r>
      <w:r w:rsidRPr="00E75324">
        <w:rPr>
          <w:rFonts w:eastAsia="Times New Roman" w:cstheme="minorHAnsi"/>
          <w:lang w:eastAsia="en-GB"/>
        </w:rPr>
        <w:t xml:space="preserve"> Install clear signage to guide traffic and pedestrians around the construction site, particularly in relation to the adjacent facilities.</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Regulatory Compliance:</w:t>
      </w:r>
    </w:p>
    <w:p w:rsidR="00E75324" w:rsidRPr="00E75324" w:rsidRDefault="00E75324" w:rsidP="009F0EA7">
      <w:pPr>
        <w:numPr>
          <w:ilvl w:val="0"/>
          <w:numId w:val="15"/>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Local Authority Regulations:</w:t>
      </w:r>
      <w:r w:rsidRPr="00E75324">
        <w:rPr>
          <w:rFonts w:eastAsia="Times New Roman" w:cstheme="minorHAnsi"/>
          <w:lang w:eastAsia="en-GB"/>
        </w:rPr>
        <w:t xml:space="preserve"> Follow local authority regulations and guidelines for construction traffic management and site access, specifically addressing the needs and constraints of the Swansea foreshore location.</w:t>
      </w:r>
    </w:p>
    <w:p w:rsidR="00E75324" w:rsidRPr="00E75324" w:rsidRDefault="00E75324" w:rsidP="00E75324">
      <w:pPr>
        <w:spacing w:before="100" w:beforeAutospacing="1" w:after="100" w:afterAutospacing="1" w:line="240" w:lineRule="auto"/>
        <w:outlineLvl w:val="2"/>
        <w:rPr>
          <w:rFonts w:eastAsia="Times New Roman" w:cstheme="minorHAnsi"/>
          <w:b/>
          <w:bCs/>
          <w:lang w:eastAsia="en-GB"/>
        </w:rPr>
      </w:pPr>
      <w:r w:rsidRPr="00E75324">
        <w:rPr>
          <w:rFonts w:eastAsia="Times New Roman" w:cstheme="minorHAnsi"/>
          <w:b/>
          <w:bCs/>
          <w:lang w:eastAsia="en-GB"/>
        </w:rPr>
        <w:t>4. Soil Contamination</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Contamination Assessment:</w:t>
      </w:r>
    </w:p>
    <w:p w:rsidR="00E75324" w:rsidRPr="00E75324" w:rsidRDefault="00E75324" w:rsidP="009F0EA7">
      <w:pPr>
        <w:numPr>
          <w:ilvl w:val="0"/>
          <w:numId w:val="16"/>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Soil Sampling:</w:t>
      </w:r>
      <w:r w:rsidRPr="00E75324">
        <w:rPr>
          <w:rFonts w:eastAsia="Times New Roman" w:cstheme="minorHAnsi"/>
          <w:lang w:eastAsia="en-GB"/>
        </w:rPr>
        <w:t xml:space="preserve"> Conduct a comprehensive soil sampling program tailored to the historical use of the Swansea foreshore, including potential contaminants from past industrial activities.</w:t>
      </w:r>
    </w:p>
    <w:p w:rsidR="00E75324" w:rsidRPr="00E75324" w:rsidRDefault="00E75324" w:rsidP="009F0EA7">
      <w:pPr>
        <w:numPr>
          <w:ilvl w:val="0"/>
          <w:numId w:val="16"/>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Laboratory Analysis:</w:t>
      </w:r>
      <w:r w:rsidRPr="00E75324">
        <w:rPr>
          <w:rFonts w:eastAsia="Times New Roman" w:cstheme="minorHAnsi"/>
          <w:lang w:eastAsia="en-GB"/>
        </w:rPr>
        <w:t xml:space="preserve"> Submit samples to accredited laboratories for analysis to identify and quantify contamination levels specific to the site's historical context.</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Remediation Measures:</w:t>
      </w:r>
    </w:p>
    <w:p w:rsidR="00E75324" w:rsidRPr="00E75324" w:rsidRDefault="00E75324" w:rsidP="009F0EA7">
      <w:pPr>
        <w:numPr>
          <w:ilvl w:val="0"/>
          <w:numId w:val="17"/>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Remediation Strategy:</w:t>
      </w:r>
      <w:r w:rsidRPr="00E75324">
        <w:rPr>
          <w:rFonts w:eastAsia="Times New Roman" w:cstheme="minorHAnsi"/>
          <w:lang w:eastAsia="en-GB"/>
        </w:rPr>
        <w:t xml:space="preserve"> Develop a remediation strategy based on contamination assessment findings, which may involve soil removal, in-situ treatment, or containment, particularly focusing on contaminants linked to the site's industrial past.</w:t>
      </w:r>
    </w:p>
    <w:p w:rsidR="00E75324" w:rsidRPr="00E75324" w:rsidRDefault="00E75324" w:rsidP="009F0EA7">
      <w:pPr>
        <w:numPr>
          <w:ilvl w:val="0"/>
          <w:numId w:val="17"/>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Health and Safety:</w:t>
      </w:r>
      <w:r w:rsidRPr="00E75324">
        <w:rPr>
          <w:rFonts w:eastAsia="Times New Roman" w:cstheme="minorHAnsi"/>
          <w:lang w:eastAsia="en-GB"/>
        </w:rPr>
        <w:t xml:space="preserve"> Implement stringent health and safety measures during remediation, including providing personal protective equipment and controlling dust to protect both workers and the surrounding community.</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Regulatory Compliance:</w:t>
      </w:r>
    </w:p>
    <w:p w:rsidR="00E75324" w:rsidRPr="00E75324" w:rsidRDefault="00E75324" w:rsidP="009F0EA7">
      <w:pPr>
        <w:numPr>
          <w:ilvl w:val="0"/>
          <w:numId w:val="18"/>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Environmental Guidance:</w:t>
      </w:r>
      <w:r w:rsidRPr="00E75324">
        <w:rPr>
          <w:rFonts w:eastAsia="Times New Roman" w:cstheme="minorHAnsi"/>
          <w:lang w:eastAsia="en-GB"/>
        </w:rPr>
        <w:t xml:space="preserve"> Adhere to guidelines provided by the Environment Agency, ensuring compliance with the Environmental Protection Act 1990 and the Contaminated Land Regulations 2006, with a focus on site-specific contamination issues.</w:t>
      </w:r>
    </w:p>
    <w:p w:rsidR="00E75324" w:rsidRPr="00E75324" w:rsidRDefault="00E75324" w:rsidP="00E75324">
      <w:pPr>
        <w:spacing w:before="100" w:beforeAutospacing="1" w:after="100" w:afterAutospacing="1" w:line="240" w:lineRule="auto"/>
        <w:outlineLvl w:val="2"/>
        <w:rPr>
          <w:rFonts w:eastAsia="Times New Roman" w:cstheme="minorHAnsi"/>
          <w:b/>
          <w:bCs/>
          <w:lang w:eastAsia="en-GB"/>
        </w:rPr>
      </w:pPr>
      <w:r w:rsidRPr="00E75324">
        <w:rPr>
          <w:rFonts w:eastAsia="Times New Roman" w:cstheme="minorHAnsi"/>
          <w:b/>
          <w:bCs/>
          <w:lang w:eastAsia="en-GB"/>
        </w:rPr>
        <w:t>5. Groundwater Levels</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Groundwater Assessment:</w:t>
      </w:r>
    </w:p>
    <w:p w:rsidR="00E75324" w:rsidRPr="00E75324" w:rsidRDefault="00E75324" w:rsidP="009F0EA7">
      <w:pPr>
        <w:numPr>
          <w:ilvl w:val="0"/>
          <w:numId w:val="19"/>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Borehole Drilling:</w:t>
      </w:r>
      <w:r w:rsidRPr="00E75324">
        <w:rPr>
          <w:rFonts w:eastAsia="Times New Roman" w:cstheme="minorHAnsi"/>
          <w:lang w:eastAsia="en-GB"/>
        </w:rPr>
        <w:t xml:space="preserve"> Drill boreholes to measure groundwater levels and assess seasonal variations specific to the Swansea foreshore area, taking into account historical data and tidal influences.</w:t>
      </w:r>
    </w:p>
    <w:p w:rsidR="00E75324" w:rsidRPr="00E75324" w:rsidRDefault="00E75324" w:rsidP="009F0EA7">
      <w:pPr>
        <w:numPr>
          <w:ilvl w:val="0"/>
          <w:numId w:val="19"/>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Piezometers:</w:t>
      </w:r>
      <w:r w:rsidRPr="00E75324">
        <w:rPr>
          <w:rFonts w:eastAsia="Times New Roman" w:cstheme="minorHAnsi"/>
          <w:lang w:eastAsia="en-GB"/>
        </w:rPr>
        <w:t xml:space="preserve"> Install piezometers to monitor groundwater levels continuously, ensuring that data is specific to the site’s environmental conditions.</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Dewatering Strategy:</w:t>
      </w:r>
    </w:p>
    <w:p w:rsidR="00E75324" w:rsidRPr="00E75324" w:rsidRDefault="00E75324" w:rsidP="009F0EA7">
      <w:pPr>
        <w:numPr>
          <w:ilvl w:val="0"/>
          <w:numId w:val="20"/>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Temporary Dewatering:</w:t>
      </w:r>
      <w:r w:rsidRPr="00E75324">
        <w:rPr>
          <w:rFonts w:eastAsia="Times New Roman" w:cstheme="minorHAnsi"/>
          <w:lang w:eastAsia="en-GB"/>
        </w:rPr>
        <w:t xml:space="preserve"> Implement dewatering measures, such as sump pumps or well points, to manage high groundwater levels during construction, especially given the site’s coastal location.</w:t>
      </w:r>
    </w:p>
    <w:p w:rsidR="00E75324" w:rsidRPr="00E75324" w:rsidRDefault="00E75324" w:rsidP="009F0EA7">
      <w:pPr>
        <w:numPr>
          <w:ilvl w:val="0"/>
          <w:numId w:val="20"/>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Permanent Drainage:</w:t>
      </w:r>
      <w:r w:rsidRPr="00E75324">
        <w:rPr>
          <w:rFonts w:eastAsia="Times New Roman" w:cstheme="minorHAnsi"/>
          <w:lang w:eastAsia="en-GB"/>
        </w:rPr>
        <w:t xml:space="preserve"> Design and install permanent drainage systems to manage groundwater post-construction, ensuring long-term stability and performance of the structure.</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Regulatory Compliance:</w:t>
      </w:r>
    </w:p>
    <w:p w:rsidR="00E75324" w:rsidRPr="00E75324" w:rsidRDefault="00E75324" w:rsidP="009F0EA7">
      <w:pPr>
        <w:numPr>
          <w:ilvl w:val="0"/>
          <w:numId w:val="21"/>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Guidance:</w:t>
      </w:r>
      <w:r w:rsidRPr="00E75324">
        <w:rPr>
          <w:rFonts w:eastAsia="Times New Roman" w:cstheme="minorHAnsi"/>
          <w:lang w:eastAsia="en-GB"/>
        </w:rPr>
        <w:t xml:space="preserve"> Comply with the Water Resources Act 1991 and guidance from the British Geological Survey for groundwater management, considering the site's specific hydrogeological conditions.</w:t>
      </w:r>
    </w:p>
    <w:p w:rsidR="00E75324" w:rsidRPr="00E75324" w:rsidRDefault="00E75324" w:rsidP="00E75324">
      <w:pPr>
        <w:spacing w:before="100" w:beforeAutospacing="1" w:after="100" w:afterAutospacing="1" w:line="240" w:lineRule="auto"/>
        <w:outlineLvl w:val="2"/>
        <w:rPr>
          <w:rFonts w:eastAsia="Times New Roman" w:cstheme="minorHAnsi"/>
          <w:b/>
          <w:bCs/>
          <w:lang w:eastAsia="en-GB"/>
        </w:rPr>
      </w:pPr>
      <w:r w:rsidRPr="00E75324">
        <w:rPr>
          <w:rFonts w:eastAsia="Times New Roman" w:cstheme="minorHAnsi"/>
          <w:b/>
          <w:bCs/>
          <w:lang w:eastAsia="en-GB"/>
        </w:rPr>
        <w:t>6. Archaeological Finds</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Archaeological Survey:</w:t>
      </w:r>
    </w:p>
    <w:p w:rsidR="00E75324" w:rsidRPr="00E75324" w:rsidRDefault="00E75324" w:rsidP="009F0EA7">
      <w:pPr>
        <w:numPr>
          <w:ilvl w:val="0"/>
          <w:numId w:val="22"/>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Desk-Based Assessment:</w:t>
      </w:r>
      <w:r w:rsidRPr="00E75324">
        <w:rPr>
          <w:rFonts w:eastAsia="Times New Roman" w:cstheme="minorHAnsi"/>
          <w:lang w:eastAsia="en-GB"/>
        </w:rPr>
        <w:t xml:space="preserve"> Conduct a desk-based assessment to identify potential archaeological interests based on historical records specific to the Swansea foreshore, such as previous discoveries and historical maps.</w:t>
      </w:r>
    </w:p>
    <w:p w:rsidR="00E75324" w:rsidRPr="00E75324" w:rsidRDefault="00E75324" w:rsidP="009F0EA7">
      <w:pPr>
        <w:numPr>
          <w:ilvl w:val="0"/>
          <w:numId w:val="22"/>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Field Evaluation:</w:t>
      </w:r>
      <w:r w:rsidRPr="00E75324">
        <w:rPr>
          <w:rFonts w:eastAsia="Times New Roman" w:cstheme="minorHAnsi"/>
          <w:lang w:eastAsia="en-GB"/>
        </w:rPr>
        <w:t xml:space="preserve"> Perform field evaluations, including test pits and trial trenches, to assess any archaeological remains, focusing on areas with historical significance.</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Preservation and Mitigation:</w:t>
      </w:r>
    </w:p>
    <w:p w:rsidR="00E75324" w:rsidRPr="00E75324" w:rsidRDefault="00E75324" w:rsidP="009F0EA7">
      <w:pPr>
        <w:numPr>
          <w:ilvl w:val="0"/>
          <w:numId w:val="23"/>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Preservation in Situ:</w:t>
      </w:r>
      <w:r w:rsidRPr="00E75324">
        <w:rPr>
          <w:rFonts w:eastAsia="Times New Roman" w:cstheme="minorHAnsi"/>
          <w:lang w:eastAsia="en-GB"/>
        </w:rPr>
        <w:t xml:space="preserve"> Where feasible, design construction activities to preserve significant archaeological finds in situ, particularly given the historical importance of the site.</w:t>
      </w:r>
    </w:p>
    <w:p w:rsidR="00E75324" w:rsidRPr="00E75324" w:rsidRDefault="00E75324" w:rsidP="009F0EA7">
      <w:pPr>
        <w:numPr>
          <w:ilvl w:val="0"/>
          <w:numId w:val="23"/>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Recording and Excavation:</w:t>
      </w:r>
      <w:r w:rsidRPr="00E75324">
        <w:rPr>
          <w:rFonts w:eastAsia="Times New Roman" w:cstheme="minorHAnsi"/>
          <w:lang w:eastAsia="en-GB"/>
        </w:rPr>
        <w:t xml:space="preserve"> If preservation is not possible, carry out detailed recording and excavation of artefacts, following best practices in archaeology.</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Regulatory Compliance:</w:t>
      </w:r>
    </w:p>
    <w:p w:rsidR="00E75324" w:rsidRPr="00E75324" w:rsidRDefault="00E75324" w:rsidP="009F0EA7">
      <w:pPr>
        <w:numPr>
          <w:ilvl w:val="0"/>
          <w:numId w:val="24"/>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Guidelines:</w:t>
      </w:r>
      <w:r w:rsidRPr="00E75324">
        <w:rPr>
          <w:rFonts w:eastAsia="Times New Roman" w:cstheme="minorHAnsi"/>
          <w:lang w:eastAsia="en-GB"/>
        </w:rPr>
        <w:t xml:space="preserve"> Adhere to guidelines from Historic England and the Chartered Institute for Archaeologists for archaeological investigations, ensuring practices are suitable for the Swansea foreshore context.</w:t>
      </w:r>
    </w:p>
    <w:p w:rsidR="00E75324" w:rsidRPr="00E75324" w:rsidRDefault="00E75324" w:rsidP="00E75324">
      <w:pPr>
        <w:spacing w:before="100" w:beforeAutospacing="1" w:after="100" w:afterAutospacing="1" w:line="240" w:lineRule="auto"/>
        <w:outlineLvl w:val="2"/>
        <w:rPr>
          <w:rFonts w:eastAsia="Times New Roman" w:cstheme="minorHAnsi"/>
          <w:b/>
          <w:bCs/>
          <w:lang w:eastAsia="en-GB"/>
        </w:rPr>
      </w:pPr>
      <w:r w:rsidRPr="00E75324">
        <w:rPr>
          <w:rFonts w:eastAsia="Times New Roman" w:cstheme="minorHAnsi"/>
          <w:b/>
          <w:bCs/>
          <w:lang w:eastAsia="en-GB"/>
        </w:rPr>
        <w:t>7. Structural Impact on Adjacent Buildings</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Structural Survey:</w:t>
      </w:r>
    </w:p>
    <w:p w:rsidR="00E75324" w:rsidRPr="00E75324" w:rsidRDefault="00E75324" w:rsidP="009F0EA7">
      <w:pPr>
        <w:numPr>
          <w:ilvl w:val="0"/>
          <w:numId w:val="25"/>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Pre-Construction Surveys:</w:t>
      </w:r>
      <w:r w:rsidRPr="00E75324">
        <w:rPr>
          <w:rFonts w:eastAsia="Times New Roman" w:cstheme="minorHAnsi"/>
          <w:lang w:eastAsia="en-GB"/>
        </w:rPr>
        <w:t xml:space="preserve"> Conduct detailed structural surveys of adjacent buildings (County Hall, Marriott Hotel) to document existing conditions, with a focus on potential impacts from the new development.</w:t>
      </w:r>
    </w:p>
    <w:p w:rsidR="00E75324" w:rsidRPr="00E75324" w:rsidRDefault="00E75324" w:rsidP="009F0EA7">
      <w:pPr>
        <w:numPr>
          <w:ilvl w:val="0"/>
          <w:numId w:val="25"/>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Monitoring:</w:t>
      </w:r>
      <w:r w:rsidRPr="00E75324">
        <w:rPr>
          <w:rFonts w:eastAsia="Times New Roman" w:cstheme="minorHAnsi"/>
          <w:lang w:eastAsia="en-GB"/>
        </w:rPr>
        <w:t xml:space="preserve"> Install monitoring equipment, such as inclinometers and vibration sensors, to detect any movement or damage to nearby structures during construction.</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Impact Mitigation:</w:t>
      </w:r>
    </w:p>
    <w:p w:rsidR="00E75324" w:rsidRPr="00E75324" w:rsidRDefault="00E75324" w:rsidP="009F0EA7">
      <w:pPr>
        <w:numPr>
          <w:ilvl w:val="0"/>
          <w:numId w:val="26"/>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Construction Techniques:</w:t>
      </w:r>
      <w:r w:rsidRPr="00E75324">
        <w:rPr>
          <w:rFonts w:eastAsia="Times New Roman" w:cstheme="minorHAnsi"/>
          <w:lang w:eastAsia="en-GB"/>
        </w:rPr>
        <w:t xml:space="preserve"> Employ construction techniques that minimize vibration and ground movement, such as continuous flight auger piling or bored piling, to mitigate impacts on adjacent buildings.</w:t>
      </w:r>
    </w:p>
    <w:p w:rsidR="00E75324" w:rsidRPr="00E75324" w:rsidRDefault="00E75324" w:rsidP="009F0EA7">
      <w:pPr>
        <w:numPr>
          <w:ilvl w:val="0"/>
          <w:numId w:val="26"/>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Protective Measures:</w:t>
      </w:r>
      <w:r w:rsidRPr="00E75324">
        <w:rPr>
          <w:rFonts w:eastAsia="Times New Roman" w:cstheme="minorHAnsi"/>
          <w:lang w:eastAsia="en-GB"/>
        </w:rPr>
        <w:t xml:space="preserve"> Implement protective measures, including underpinning or shoring, to support adjacent structures during excavation and construction.</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Regulatory Compliance:</w:t>
      </w:r>
    </w:p>
    <w:p w:rsidR="00E75324" w:rsidRPr="00E75324" w:rsidRDefault="00E75324" w:rsidP="009F0EA7">
      <w:pPr>
        <w:numPr>
          <w:ilvl w:val="0"/>
          <w:numId w:val="27"/>
        </w:numPr>
        <w:spacing w:before="100" w:beforeAutospacing="1" w:after="100" w:afterAutospacing="1" w:line="240" w:lineRule="auto"/>
        <w:rPr>
          <w:rFonts w:eastAsia="Times New Roman" w:cstheme="minorHAnsi"/>
          <w:lang w:eastAsia="en-GB"/>
        </w:rPr>
      </w:pPr>
      <w:r w:rsidRPr="00E75324">
        <w:rPr>
          <w:rFonts w:eastAsia="Times New Roman" w:cstheme="minorHAnsi"/>
          <w:b/>
          <w:bCs/>
          <w:lang w:eastAsia="en-GB"/>
        </w:rPr>
        <w:t>Guidelines:</w:t>
      </w:r>
      <w:r w:rsidRPr="00E75324">
        <w:rPr>
          <w:rFonts w:eastAsia="Times New Roman" w:cstheme="minorHAnsi"/>
          <w:lang w:eastAsia="en-GB"/>
        </w:rPr>
        <w:t xml:space="preserve"> Follow guidelines from the Institution of Structural Engineers and relevant building regulations and codes of practice, focusing on structural safety in the context of the Swansea foreshore development.</w:t>
      </w:r>
    </w:p>
    <w:p w:rsidR="00E75324" w:rsidRPr="00E75324" w:rsidRDefault="00E75324" w:rsidP="00E75324">
      <w:pPr>
        <w:spacing w:before="100" w:beforeAutospacing="1" w:after="100" w:afterAutospacing="1" w:line="240" w:lineRule="auto"/>
        <w:rPr>
          <w:rFonts w:eastAsia="Times New Roman" w:cstheme="minorHAnsi"/>
          <w:lang w:eastAsia="en-GB"/>
        </w:rPr>
      </w:pPr>
      <w:r w:rsidRPr="00E75324">
        <w:rPr>
          <w:rFonts w:eastAsia="Times New Roman" w:cstheme="minorHAnsi"/>
          <w:lang w:eastAsia="en-GB"/>
        </w:rPr>
        <w:t>By addressing these specific elements in the site investigation and adhering to relevant regulations and guidelines, the project can effectively manage risks and ensure a successful construction process on the Swansea foreshore.</w:t>
      </w:r>
    </w:p>
    <w:p w:rsidR="00E75324" w:rsidRPr="00263E47" w:rsidRDefault="00E75324" w:rsidP="00E75324">
      <w:pPr>
        <w:spacing w:before="100" w:beforeAutospacing="1" w:after="100" w:afterAutospacing="1" w:line="240" w:lineRule="auto"/>
        <w:rPr>
          <w:rFonts w:eastAsia="Times New Roman" w:cstheme="minorHAnsi"/>
          <w:lang w:eastAsia="en-GB"/>
        </w:rPr>
      </w:pPr>
    </w:p>
    <w:p w:rsidR="00263E47" w:rsidRPr="00263E47" w:rsidRDefault="00263E47" w:rsidP="00E75324">
      <w:pPr>
        <w:spacing w:before="100" w:beforeAutospacing="1" w:after="100" w:afterAutospacing="1" w:line="240" w:lineRule="auto"/>
        <w:jc w:val="center"/>
        <w:rPr>
          <w:rFonts w:eastAsia="Times New Roman" w:cstheme="minorHAnsi"/>
          <w:lang w:eastAsia="en-GB"/>
        </w:rPr>
      </w:pPr>
      <w:r w:rsidRPr="00263E47">
        <w:rPr>
          <w:rFonts w:eastAsia="Times New Roman" w:cstheme="minorHAnsi"/>
          <w:b/>
          <w:bCs/>
          <w:lang w:eastAsia="en-GB"/>
        </w:rPr>
        <w:t>Relevant Building Regulations and Codes of Practice</w:t>
      </w:r>
    </w:p>
    <w:p w:rsidR="00263E47" w:rsidRPr="00263E47" w:rsidRDefault="00263E47" w:rsidP="009F0EA7">
      <w:pPr>
        <w:numPr>
          <w:ilvl w:val="0"/>
          <w:numId w:val="1"/>
        </w:numPr>
        <w:spacing w:before="100" w:beforeAutospacing="1" w:after="100" w:afterAutospacing="1" w:line="240" w:lineRule="auto"/>
        <w:rPr>
          <w:rFonts w:eastAsia="Times New Roman" w:cstheme="minorHAnsi"/>
          <w:lang w:eastAsia="en-GB"/>
        </w:rPr>
      </w:pPr>
      <w:r w:rsidRPr="000710D6">
        <w:rPr>
          <w:rFonts w:eastAsia="Times New Roman" w:cstheme="minorHAnsi"/>
          <w:b/>
          <w:bCs/>
          <w:lang w:eastAsia="en-GB"/>
        </w:rPr>
        <w:t>Building Regulations Part C</w:t>
      </w:r>
      <w:r w:rsidRPr="00263E47">
        <w:rPr>
          <w:rFonts w:eastAsia="Times New Roman" w:cstheme="minorHAnsi"/>
          <w:lang w:eastAsia="en-GB"/>
        </w:rPr>
        <w:t>: Site preparation and resistance to contaminants and moisture. This regulation ensures measures are in place to mitigate risks related to soil contamination and groundwater management.</w:t>
      </w:r>
    </w:p>
    <w:p w:rsidR="00263E47" w:rsidRPr="00263E47" w:rsidRDefault="00263E47" w:rsidP="009F0EA7">
      <w:pPr>
        <w:numPr>
          <w:ilvl w:val="0"/>
          <w:numId w:val="1"/>
        </w:numPr>
        <w:spacing w:before="100" w:beforeAutospacing="1" w:after="100" w:afterAutospacing="1" w:line="240" w:lineRule="auto"/>
        <w:rPr>
          <w:rFonts w:eastAsia="Times New Roman" w:cstheme="minorHAnsi"/>
          <w:lang w:eastAsia="en-GB"/>
        </w:rPr>
      </w:pPr>
      <w:r w:rsidRPr="000710D6">
        <w:rPr>
          <w:rFonts w:eastAsia="Times New Roman" w:cstheme="minorHAnsi"/>
          <w:b/>
          <w:bCs/>
          <w:lang w:eastAsia="en-GB"/>
        </w:rPr>
        <w:t>BS 5930:2015</w:t>
      </w:r>
      <w:r w:rsidRPr="00263E47">
        <w:rPr>
          <w:rFonts w:eastAsia="Times New Roman" w:cstheme="minorHAnsi"/>
          <w:lang w:eastAsia="en-GB"/>
        </w:rPr>
        <w:t>: Code of practice for ground investigations. Provides guidelines for conducting ground investigations, including soil sampling, testing methods, and interpretation of results.</w:t>
      </w:r>
    </w:p>
    <w:p w:rsidR="00263E47" w:rsidRPr="00263E47" w:rsidRDefault="00263E47" w:rsidP="009F0EA7">
      <w:pPr>
        <w:numPr>
          <w:ilvl w:val="0"/>
          <w:numId w:val="1"/>
        </w:numPr>
        <w:spacing w:before="100" w:beforeAutospacing="1" w:after="100" w:afterAutospacing="1" w:line="240" w:lineRule="auto"/>
        <w:rPr>
          <w:rFonts w:eastAsia="Times New Roman" w:cstheme="minorHAnsi"/>
          <w:lang w:eastAsia="en-GB"/>
        </w:rPr>
      </w:pPr>
      <w:r w:rsidRPr="000710D6">
        <w:rPr>
          <w:rFonts w:eastAsia="Times New Roman" w:cstheme="minorHAnsi"/>
          <w:b/>
          <w:bCs/>
          <w:lang w:eastAsia="en-GB"/>
        </w:rPr>
        <w:t>BS 10175:2011+A2:2017</w:t>
      </w:r>
      <w:r w:rsidRPr="00263E47">
        <w:rPr>
          <w:rFonts w:eastAsia="Times New Roman" w:cstheme="minorHAnsi"/>
          <w:lang w:eastAsia="en-GB"/>
        </w:rPr>
        <w:t>: Investigation of potentially contaminated sites. Outlines procedures for investigating contaminated sites, ensuring compliance with environmental regulations and safe construction practices.</w:t>
      </w:r>
    </w:p>
    <w:p w:rsidR="00263E47" w:rsidRPr="00263E47" w:rsidRDefault="00263E47" w:rsidP="00E75324">
      <w:pPr>
        <w:spacing w:before="100" w:beforeAutospacing="1" w:after="100" w:afterAutospacing="1" w:line="240" w:lineRule="auto"/>
        <w:jc w:val="center"/>
        <w:outlineLvl w:val="2"/>
        <w:rPr>
          <w:rFonts w:eastAsia="Times New Roman" w:cstheme="minorHAnsi"/>
          <w:b/>
          <w:bCs/>
          <w:lang w:eastAsia="en-GB"/>
        </w:rPr>
      </w:pPr>
      <w:r w:rsidRPr="00263E47">
        <w:rPr>
          <w:rFonts w:eastAsia="Times New Roman" w:cstheme="minorHAnsi"/>
          <w:b/>
          <w:bCs/>
          <w:lang w:eastAsia="en-GB"/>
        </w:rPr>
        <w:t>Suitable Foundation and Sub-Structure Details</w:t>
      </w:r>
    </w:p>
    <w:p w:rsidR="009F0EA7" w:rsidRPr="009F0EA7" w:rsidRDefault="009F0EA7" w:rsidP="009F0EA7">
      <w:pPr>
        <w:spacing w:before="100" w:beforeAutospacing="1" w:after="100" w:afterAutospacing="1" w:line="240" w:lineRule="auto"/>
        <w:outlineLvl w:val="2"/>
        <w:rPr>
          <w:rFonts w:eastAsia="Times New Roman" w:cstheme="minorHAnsi"/>
          <w:b/>
          <w:bCs/>
          <w:lang w:eastAsia="en-GB"/>
        </w:rPr>
      </w:pPr>
      <w:r w:rsidRPr="009F0EA7">
        <w:rPr>
          <w:rFonts w:eastAsia="Times New Roman" w:cstheme="minorHAnsi"/>
          <w:b/>
          <w:bCs/>
          <w:lang w:eastAsia="en-GB"/>
        </w:rPr>
        <w:t>Borehole Data Summary</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lang w:eastAsia="en-GB"/>
        </w:rPr>
        <w:t>The borehole logs from the proposed development site on Swansea foreshore offer critical insights into the subsurface conditions, which are pivotal for selecting appropriate foundation and construction strategies. The complex stratigraphy revealed by the data reflects both the historical use of the site and its coastal environment. This summary details the findings and explains why piled foundations are particularly suited for this site, addressing the potential risks and challenges posed by the soil conditions.</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1. Made Ground</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Description:</w:t>
      </w:r>
    </w:p>
    <w:p w:rsidR="009F0EA7" w:rsidRPr="009F0EA7" w:rsidRDefault="009F0EA7" w:rsidP="009F0EA7">
      <w:pPr>
        <w:numPr>
          <w:ilvl w:val="0"/>
          <w:numId w:val="28"/>
        </w:numPr>
        <w:spacing w:before="100" w:beforeAutospacing="1" w:after="100" w:afterAutospacing="1" w:line="240" w:lineRule="auto"/>
        <w:rPr>
          <w:rFonts w:eastAsia="Times New Roman" w:cstheme="minorHAnsi"/>
          <w:lang w:eastAsia="en-GB"/>
        </w:rPr>
      </w:pPr>
      <w:r w:rsidRPr="009F0EA7">
        <w:rPr>
          <w:rFonts w:eastAsia="Times New Roman" w:cstheme="minorHAnsi"/>
          <w:lang w:eastAsia="en-GB"/>
        </w:rPr>
        <w:t>The uppermost layer of the borehole logs is comprised of made ground, a common feature in areas with a history of industrial and urban development. Made ground includes materials such as construction debris, fill material, and remnants from past industrial activities.</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Characteristics:</w:t>
      </w:r>
    </w:p>
    <w:p w:rsidR="009F0EA7" w:rsidRPr="009F0EA7" w:rsidRDefault="009F0EA7" w:rsidP="009F0EA7">
      <w:pPr>
        <w:numPr>
          <w:ilvl w:val="0"/>
          <w:numId w:val="29"/>
        </w:numPr>
        <w:spacing w:before="100" w:beforeAutospacing="1" w:after="100" w:afterAutospacing="1" w:line="240" w:lineRule="auto"/>
        <w:rPr>
          <w:rFonts w:eastAsia="Times New Roman" w:cstheme="minorHAnsi"/>
          <w:lang w:eastAsia="en-GB"/>
        </w:rPr>
      </w:pPr>
      <w:r w:rsidRPr="009F0EA7">
        <w:rPr>
          <w:rFonts w:eastAsia="Times New Roman" w:cstheme="minorHAnsi"/>
          <w:lang w:eastAsia="en-GB"/>
        </w:rPr>
        <w:t>This layer is highly variable, containing a mix of soil, rubble, and potentially contaminated materials. The depth and composition of made ground can differ significantly across the site, making its behaviour less predictable.</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Implications:</w:t>
      </w:r>
    </w:p>
    <w:p w:rsidR="009F0EA7" w:rsidRPr="009F0EA7" w:rsidRDefault="009F0EA7" w:rsidP="009F0EA7">
      <w:pPr>
        <w:numPr>
          <w:ilvl w:val="0"/>
          <w:numId w:val="30"/>
        </w:numPr>
        <w:spacing w:before="100" w:beforeAutospacing="1" w:after="100" w:afterAutospacing="1" w:line="240" w:lineRule="auto"/>
        <w:rPr>
          <w:rFonts w:eastAsia="Times New Roman" w:cstheme="minorHAnsi"/>
          <w:lang w:eastAsia="en-GB"/>
        </w:rPr>
      </w:pPr>
      <w:r w:rsidRPr="009F0EA7">
        <w:rPr>
          <w:rFonts w:eastAsia="Times New Roman" w:cstheme="minorHAnsi"/>
          <w:lang w:eastAsia="en-GB"/>
        </w:rPr>
        <w:t>The presence of made ground introduces potential contamination risks, such as heavy metals, hydrocarbons, and asbestos, which require comprehensive soil testing and remediation. Additionally, the unpredictable nature of this layer complicates foundation design. Piled foundations are particularly advantageous here because they can penetrate through made ground to reach more stable soil layers below, providing a reliable and uniform support system despite the heterogeneous nature of the upper layer.</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2. Clay and Silt Layers</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Description:</w:t>
      </w:r>
    </w:p>
    <w:p w:rsidR="009F0EA7" w:rsidRPr="009F0EA7" w:rsidRDefault="009F0EA7" w:rsidP="009F0EA7">
      <w:pPr>
        <w:numPr>
          <w:ilvl w:val="0"/>
          <w:numId w:val="31"/>
        </w:numPr>
        <w:spacing w:before="100" w:beforeAutospacing="1" w:after="100" w:afterAutospacing="1" w:line="240" w:lineRule="auto"/>
        <w:rPr>
          <w:rFonts w:eastAsia="Times New Roman" w:cstheme="minorHAnsi"/>
          <w:lang w:eastAsia="en-GB"/>
        </w:rPr>
      </w:pPr>
      <w:r w:rsidRPr="009F0EA7">
        <w:rPr>
          <w:rFonts w:eastAsia="Times New Roman" w:cstheme="minorHAnsi"/>
          <w:lang w:eastAsia="en-GB"/>
        </w:rPr>
        <w:t>Beneath the made ground, the borehole logs reveal layers of clay and silt, reflecting the site’s geological history and depositional environment.</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Characteristics:</w:t>
      </w:r>
    </w:p>
    <w:p w:rsidR="009F0EA7" w:rsidRPr="009F0EA7" w:rsidRDefault="009F0EA7" w:rsidP="009F0EA7">
      <w:pPr>
        <w:numPr>
          <w:ilvl w:val="0"/>
          <w:numId w:val="32"/>
        </w:numPr>
        <w:spacing w:before="100" w:beforeAutospacing="1" w:after="100" w:afterAutospacing="1" w:line="240" w:lineRule="auto"/>
        <w:rPr>
          <w:rFonts w:eastAsia="Times New Roman" w:cstheme="minorHAnsi"/>
          <w:lang w:eastAsia="en-GB"/>
        </w:rPr>
      </w:pPr>
      <w:r w:rsidRPr="009F0EA7">
        <w:rPr>
          <w:rFonts w:eastAsia="Times New Roman" w:cstheme="minorHAnsi"/>
          <w:lang w:eastAsia="en-GB"/>
        </w:rPr>
        <w:t>Clay layers are characterized by low permeability and high plasticity, leading to significant volume changes with moisture variations. Silt layers exhibit intermediate properties with moderate permeability and potential for consolidation.</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Implications:</w:t>
      </w:r>
    </w:p>
    <w:p w:rsidR="009F0EA7" w:rsidRPr="009F0EA7" w:rsidRDefault="009F0EA7" w:rsidP="009F0EA7">
      <w:pPr>
        <w:numPr>
          <w:ilvl w:val="0"/>
          <w:numId w:val="33"/>
        </w:numPr>
        <w:spacing w:before="100" w:beforeAutospacing="1" w:after="100" w:afterAutospacing="1" w:line="240" w:lineRule="auto"/>
        <w:rPr>
          <w:rFonts w:eastAsia="Times New Roman" w:cstheme="minorHAnsi"/>
          <w:lang w:eastAsia="en-GB"/>
        </w:rPr>
      </w:pPr>
      <w:r w:rsidRPr="009F0EA7">
        <w:rPr>
          <w:rFonts w:eastAsia="Times New Roman" w:cstheme="minorHAnsi"/>
          <w:lang w:eastAsia="en-GB"/>
        </w:rPr>
        <w:t>The clay’s shrink-swell behaviour and the consolidation issues of silt layers pose challenges for foundation stability. Piled foundations address these challenges effectively by bypassing the problematic clay and silt layers to reach more stable strata below. This approach mitigates risks associated with differential settlement and ensures that the foundation is anchored in more stable soil.</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3. Sand Layers</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Description:</w:t>
      </w:r>
    </w:p>
    <w:p w:rsidR="009F0EA7" w:rsidRPr="009F0EA7" w:rsidRDefault="009F0EA7" w:rsidP="009F0EA7">
      <w:pPr>
        <w:numPr>
          <w:ilvl w:val="0"/>
          <w:numId w:val="34"/>
        </w:numPr>
        <w:spacing w:before="100" w:beforeAutospacing="1" w:after="100" w:afterAutospacing="1" w:line="240" w:lineRule="auto"/>
        <w:rPr>
          <w:rFonts w:eastAsia="Times New Roman" w:cstheme="minorHAnsi"/>
          <w:lang w:eastAsia="en-GB"/>
        </w:rPr>
      </w:pPr>
      <w:r w:rsidRPr="009F0EA7">
        <w:rPr>
          <w:rFonts w:eastAsia="Times New Roman" w:cstheme="minorHAnsi"/>
          <w:lang w:eastAsia="en-GB"/>
        </w:rPr>
        <w:t>Interspersed within the clay and silt layers are sand layers, characterized by granular material with higher permeability, which facilitates drainage but also introduces certain geotechnical complexities.</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Characteristics:</w:t>
      </w:r>
    </w:p>
    <w:p w:rsidR="009F0EA7" w:rsidRPr="009F0EA7" w:rsidRDefault="009F0EA7" w:rsidP="009F0EA7">
      <w:pPr>
        <w:numPr>
          <w:ilvl w:val="0"/>
          <w:numId w:val="35"/>
        </w:numPr>
        <w:spacing w:before="100" w:beforeAutospacing="1" w:after="100" w:afterAutospacing="1" w:line="240" w:lineRule="auto"/>
        <w:rPr>
          <w:rFonts w:eastAsia="Times New Roman" w:cstheme="minorHAnsi"/>
          <w:lang w:eastAsia="en-GB"/>
        </w:rPr>
      </w:pPr>
      <w:r w:rsidRPr="009F0EA7">
        <w:rPr>
          <w:rFonts w:eastAsia="Times New Roman" w:cstheme="minorHAnsi"/>
          <w:lang w:eastAsia="en-GB"/>
        </w:rPr>
        <w:t>Sand layers vary from fine to coarse grains, influencing their load-bearing capacity and stability. The presence of groundwater within these layers complicates matters, as water table fluctuations can affect soil behaviour.</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Implications:</w:t>
      </w:r>
    </w:p>
    <w:p w:rsidR="009F0EA7" w:rsidRDefault="009F0EA7" w:rsidP="009F0EA7">
      <w:pPr>
        <w:numPr>
          <w:ilvl w:val="0"/>
          <w:numId w:val="36"/>
        </w:numPr>
        <w:spacing w:before="100" w:beforeAutospacing="1" w:after="100" w:afterAutospacing="1" w:line="240" w:lineRule="auto"/>
        <w:rPr>
          <w:rFonts w:eastAsia="Times New Roman" w:cstheme="minorHAnsi"/>
          <w:lang w:eastAsia="en-GB"/>
        </w:rPr>
      </w:pPr>
      <w:r w:rsidRPr="009F0EA7">
        <w:rPr>
          <w:rFonts w:eastAsia="Times New Roman" w:cstheme="minorHAnsi"/>
          <w:lang w:eastAsia="en-GB"/>
        </w:rPr>
        <w:t>The combination of sand layers and high groundwater levels poses a risk of liquefaction during seismic events, where saturated sand loses strength and stiffness under applied stress. To mitigate this risk, piles can be designed to extend through these sand layers and anchor into deeper, more stable strata. Additionally, the use of piled foundations helps manage high groundwater levels by providing stability even in fluctuating conditions, and dewatering measures can be implemented to facilitate construction without compromising the foundation’s integrity.</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Rationale for Piled Foundations:</w:t>
      </w:r>
    </w:p>
    <w:p w:rsidR="009F0EA7" w:rsidRPr="009F0EA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lang w:eastAsia="en-GB"/>
        </w:rPr>
        <w:t>Given the site's geotechnical challenges—such as the unpredictable made ground, unstable clay and silt layers, and sandy layers with high groundwater levels—the borehole data strongly supports the use of piled foundations. Piled foundations are ideal for this site because they:</w:t>
      </w:r>
    </w:p>
    <w:p w:rsidR="009F0EA7" w:rsidRPr="009F0EA7" w:rsidRDefault="009F0EA7" w:rsidP="009F0EA7">
      <w:pPr>
        <w:numPr>
          <w:ilvl w:val="0"/>
          <w:numId w:val="37"/>
        </w:num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Penetrate Through Variable Layers:</w:t>
      </w:r>
      <w:r w:rsidRPr="009F0EA7">
        <w:rPr>
          <w:rFonts w:eastAsia="Times New Roman" w:cstheme="minorHAnsi"/>
          <w:lang w:eastAsia="en-GB"/>
        </w:rPr>
        <w:t xml:space="preserve"> Piles can extend through the unreliable made ground and unstable clay and silt layers to reach more stable soil or bedrock.</w:t>
      </w:r>
    </w:p>
    <w:p w:rsidR="009F0EA7" w:rsidRPr="009F0EA7" w:rsidRDefault="009F0EA7" w:rsidP="009F0EA7">
      <w:pPr>
        <w:numPr>
          <w:ilvl w:val="0"/>
          <w:numId w:val="37"/>
        </w:num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Ensure Stability in Saturated Sands:</w:t>
      </w:r>
      <w:r w:rsidRPr="009F0EA7">
        <w:rPr>
          <w:rFonts w:eastAsia="Times New Roman" w:cstheme="minorHAnsi"/>
          <w:lang w:eastAsia="en-GB"/>
        </w:rPr>
        <w:t xml:space="preserve"> They provide reliable support in sandy layers and fluctuating groundwater conditions, mitigating liquefaction risks.</w:t>
      </w:r>
    </w:p>
    <w:p w:rsidR="009F0EA7" w:rsidRPr="009F0EA7" w:rsidRDefault="009F0EA7" w:rsidP="009F0EA7">
      <w:pPr>
        <w:numPr>
          <w:ilvl w:val="0"/>
          <w:numId w:val="37"/>
        </w:numPr>
        <w:spacing w:before="100" w:beforeAutospacing="1" w:after="100" w:afterAutospacing="1" w:line="240" w:lineRule="auto"/>
        <w:rPr>
          <w:rFonts w:eastAsia="Times New Roman" w:cstheme="minorHAnsi"/>
          <w:lang w:eastAsia="en-GB"/>
        </w:rPr>
      </w:pPr>
      <w:r w:rsidRPr="009F0EA7">
        <w:rPr>
          <w:rFonts w:eastAsia="Times New Roman" w:cstheme="minorHAnsi"/>
          <w:b/>
          <w:bCs/>
          <w:lang w:eastAsia="en-GB"/>
        </w:rPr>
        <w:t>Mitigate Settlement Risks:</w:t>
      </w:r>
      <w:r w:rsidRPr="009F0EA7">
        <w:rPr>
          <w:rFonts w:eastAsia="Times New Roman" w:cstheme="minorHAnsi"/>
          <w:lang w:eastAsia="en-GB"/>
        </w:rPr>
        <w:t xml:space="preserve"> By anchoring into stable strata, piled foundations reduce differential settlement associated with the site's variable soil conditions.</w:t>
      </w:r>
    </w:p>
    <w:p w:rsidR="009D0C37" w:rsidRPr="009D0C37" w:rsidRDefault="009F0EA7" w:rsidP="009F0EA7">
      <w:pPr>
        <w:spacing w:before="100" w:beforeAutospacing="1" w:after="100" w:afterAutospacing="1" w:line="240" w:lineRule="auto"/>
        <w:rPr>
          <w:rFonts w:eastAsia="Times New Roman" w:cstheme="minorHAnsi"/>
          <w:lang w:eastAsia="en-GB"/>
        </w:rPr>
      </w:pPr>
      <w:r w:rsidRPr="009F0EA7">
        <w:rPr>
          <w:rFonts w:eastAsia="Times New Roman" w:cstheme="minorHAnsi"/>
          <w:lang w:eastAsia="en-GB"/>
        </w:rPr>
        <w:t>Overall, piles are chosen to address the site's specific geotechnical issues and historical context, ensuring a stable and durable foundation for the development on Swansea foreshore.</w:t>
      </w:r>
      <w:r w:rsidR="009D0C37" w:rsidRPr="009F0EA7">
        <w:rPr>
          <w:rFonts w:cstheme="minorHAnsi"/>
          <w:noProof/>
          <w:lang w:eastAsia="en-GB"/>
        </w:rPr>
        <w:drawing>
          <wp:inline distT="0" distB="0" distL="0" distR="0" wp14:anchorId="1ED07445" wp14:editId="3E092C38">
            <wp:extent cx="5731510" cy="46609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660900"/>
                    </a:xfrm>
                    <a:prstGeom prst="rect">
                      <a:avLst/>
                    </a:prstGeom>
                  </pic:spPr>
                </pic:pic>
              </a:graphicData>
            </a:graphic>
          </wp:inline>
        </w:drawing>
      </w:r>
    </w:p>
    <w:p w:rsidR="009D0C37" w:rsidRPr="009D0C37" w:rsidRDefault="009D0C37" w:rsidP="009D0C37">
      <w:pPr>
        <w:spacing w:before="100" w:beforeAutospacing="1" w:after="100" w:afterAutospacing="1" w:line="240" w:lineRule="auto"/>
        <w:rPr>
          <w:rFonts w:eastAsia="Times New Roman" w:cstheme="minorHAnsi"/>
          <w:szCs w:val="24"/>
          <w:lang w:eastAsia="en-GB"/>
        </w:rPr>
      </w:pPr>
      <w:r w:rsidRPr="009D0C37">
        <w:rPr>
          <w:rFonts w:eastAsia="Times New Roman" w:cstheme="minorHAnsi"/>
          <w:szCs w:val="24"/>
          <w:lang w:eastAsia="en-GB"/>
        </w:rPr>
        <w:t>The illustration above depicts a simple pile foundation system for the proposed development on Swansea foreshore. The key elements are:</w:t>
      </w:r>
    </w:p>
    <w:p w:rsidR="009D0C37" w:rsidRPr="009D0C37" w:rsidRDefault="009D0C37" w:rsidP="009F0EA7">
      <w:pPr>
        <w:numPr>
          <w:ilvl w:val="0"/>
          <w:numId w:val="2"/>
        </w:numPr>
        <w:spacing w:before="100" w:beforeAutospacing="1" w:after="100" w:afterAutospacing="1" w:line="240" w:lineRule="auto"/>
        <w:rPr>
          <w:rFonts w:eastAsia="Times New Roman" w:cstheme="minorHAnsi"/>
          <w:szCs w:val="24"/>
          <w:lang w:eastAsia="en-GB"/>
        </w:rPr>
      </w:pPr>
      <w:r w:rsidRPr="00F26894">
        <w:rPr>
          <w:rFonts w:eastAsia="Times New Roman" w:cstheme="minorHAnsi"/>
          <w:b/>
          <w:bCs/>
          <w:szCs w:val="24"/>
          <w:lang w:eastAsia="en-GB"/>
        </w:rPr>
        <w:t>Ground Layers</w:t>
      </w:r>
      <w:r w:rsidRPr="009D0C37">
        <w:rPr>
          <w:rFonts w:eastAsia="Times New Roman" w:cstheme="minorHAnsi"/>
          <w:szCs w:val="24"/>
          <w:lang w:eastAsia="en-GB"/>
        </w:rPr>
        <w:t>:</w:t>
      </w:r>
    </w:p>
    <w:p w:rsidR="009D0C37" w:rsidRPr="009D0C37" w:rsidRDefault="009D0C37" w:rsidP="009F0EA7">
      <w:pPr>
        <w:numPr>
          <w:ilvl w:val="1"/>
          <w:numId w:val="2"/>
        </w:numPr>
        <w:spacing w:before="100" w:beforeAutospacing="1" w:after="100" w:afterAutospacing="1" w:line="240" w:lineRule="auto"/>
        <w:rPr>
          <w:rFonts w:eastAsia="Times New Roman" w:cstheme="minorHAnsi"/>
          <w:szCs w:val="24"/>
          <w:lang w:eastAsia="en-GB"/>
        </w:rPr>
      </w:pPr>
      <w:r w:rsidRPr="00F26894">
        <w:rPr>
          <w:rFonts w:eastAsia="Times New Roman" w:cstheme="minorHAnsi"/>
          <w:b/>
          <w:bCs/>
          <w:szCs w:val="24"/>
          <w:lang w:eastAsia="en-GB"/>
        </w:rPr>
        <w:t>Made Ground</w:t>
      </w:r>
      <w:r w:rsidRPr="009D0C37">
        <w:rPr>
          <w:rFonts w:eastAsia="Times New Roman" w:cstheme="minorHAnsi"/>
          <w:szCs w:val="24"/>
          <w:lang w:eastAsia="en-GB"/>
        </w:rPr>
        <w:t>: The topmost layer, consisting of construction debris and fill material, indicated by brown.</w:t>
      </w:r>
    </w:p>
    <w:p w:rsidR="009D0C37" w:rsidRPr="009D0C37" w:rsidRDefault="009D0C37" w:rsidP="009F0EA7">
      <w:pPr>
        <w:numPr>
          <w:ilvl w:val="1"/>
          <w:numId w:val="2"/>
        </w:numPr>
        <w:spacing w:before="100" w:beforeAutospacing="1" w:after="100" w:afterAutospacing="1" w:line="240" w:lineRule="auto"/>
        <w:rPr>
          <w:rFonts w:eastAsia="Times New Roman" w:cstheme="minorHAnsi"/>
          <w:szCs w:val="24"/>
          <w:lang w:eastAsia="en-GB"/>
        </w:rPr>
      </w:pPr>
      <w:r w:rsidRPr="00F26894">
        <w:rPr>
          <w:rFonts w:eastAsia="Times New Roman" w:cstheme="minorHAnsi"/>
          <w:b/>
          <w:bCs/>
          <w:szCs w:val="24"/>
          <w:lang w:eastAsia="en-GB"/>
        </w:rPr>
        <w:t>Clay Layer</w:t>
      </w:r>
      <w:r w:rsidRPr="009D0C37">
        <w:rPr>
          <w:rFonts w:eastAsia="Times New Roman" w:cstheme="minorHAnsi"/>
          <w:szCs w:val="24"/>
          <w:lang w:eastAsia="en-GB"/>
        </w:rPr>
        <w:t>: Beneath the made ground, characterized by low permeability and high plasticity, shown in orange.</w:t>
      </w:r>
    </w:p>
    <w:p w:rsidR="009D0C37" w:rsidRPr="009D0C37" w:rsidRDefault="009D0C37" w:rsidP="009F0EA7">
      <w:pPr>
        <w:numPr>
          <w:ilvl w:val="1"/>
          <w:numId w:val="2"/>
        </w:numPr>
        <w:spacing w:before="100" w:beforeAutospacing="1" w:after="100" w:afterAutospacing="1" w:line="240" w:lineRule="auto"/>
        <w:rPr>
          <w:rFonts w:eastAsia="Times New Roman" w:cstheme="minorHAnsi"/>
          <w:szCs w:val="24"/>
          <w:lang w:eastAsia="en-GB"/>
        </w:rPr>
      </w:pPr>
      <w:r w:rsidRPr="00F26894">
        <w:rPr>
          <w:rFonts w:eastAsia="Times New Roman" w:cstheme="minorHAnsi"/>
          <w:b/>
          <w:bCs/>
          <w:szCs w:val="24"/>
          <w:lang w:eastAsia="en-GB"/>
        </w:rPr>
        <w:t>Silt Layer</w:t>
      </w:r>
      <w:r w:rsidRPr="009D0C37">
        <w:rPr>
          <w:rFonts w:eastAsia="Times New Roman" w:cstheme="minorHAnsi"/>
          <w:szCs w:val="24"/>
          <w:lang w:eastAsia="en-GB"/>
        </w:rPr>
        <w:t>: Intermediate between clay and sand, shown in yellow.</w:t>
      </w:r>
    </w:p>
    <w:p w:rsidR="009D0C37" w:rsidRPr="009D0C37" w:rsidRDefault="009D0C37" w:rsidP="009F0EA7">
      <w:pPr>
        <w:numPr>
          <w:ilvl w:val="1"/>
          <w:numId w:val="2"/>
        </w:numPr>
        <w:spacing w:before="100" w:beforeAutospacing="1" w:after="100" w:afterAutospacing="1" w:line="240" w:lineRule="auto"/>
        <w:rPr>
          <w:rFonts w:eastAsia="Times New Roman" w:cstheme="minorHAnsi"/>
          <w:szCs w:val="24"/>
          <w:lang w:eastAsia="en-GB"/>
        </w:rPr>
      </w:pPr>
      <w:r w:rsidRPr="00F26894">
        <w:rPr>
          <w:rFonts w:eastAsia="Times New Roman" w:cstheme="minorHAnsi"/>
          <w:b/>
          <w:bCs/>
          <w:szCs w:val="24"/>
          <w:lang w:eastAsia="en-GB"/>
        </w:rPr>
        <w:t>Sand Layer</w:t>
      </w:r>
      <w:r w:rsidRPr="009D0C37">
        <w:rPr>
          <w:rFonts w:eastAsia="Times New Roman" w:cstheme="minorHAnsi"/>
          <w:szCs w:val="24"/>
          <w:lang w:eastAsia="en-GB"/>
        </w:rPr>
        <w:t>: The deepest layer, with higher permeability and potential liquefaction risks, shown in blue.</w:t>
      </w:r>
    </w:p>
    <w:p w:rsidR="009D0C37" w:rsidRPr="009D0C37" w:rsidRDefault="009D0C37" w:rsidP="009F0EA7">
      <w:pPr>
        <w:numPr>
          <w:ilvl w:val="0"/>
          <w:numId w:val="2"/>
        </w:numPr>
        <w:spacing w:before="100" w:beforeAutospacing="1" w:after="100" w:afterAutospacing="1" w:line="240" w:lineRule="auto"/>
        <w:rPr>
          <w:rFonts w:eastAsia="Times New Roman" w:cstheme="minorHAnsi"/>
          <w:szCs w:val="24"/>
          <w:lang w:eastAsia="en-GB"/>
        </w:rPr>
      </w:pPr>
      <w:r w:rsidRPr="00F26894">
        <w:rPr>
          <w:rFonts w:eastAsia="Times New Roman" w:cstheme="minorHAnsi"/>
          <w:b/>
          <w:bCs/>
          <w:szCs w:val="24"/>
          <w:lang w:eastAsia="en-GB"/>
        </w:rPr>
        <w:t>Piles</w:t>
      </w:r>
      <w:r w:rsidRPr="009D0C37">
        <w:rPr>
          <w:rFonts w:eastAsia="Times New Roman" w:cstheme="minorHAnsi"/>
          <w:szCs w:val="24"/>
          <w:lang w:eastAsia="en-GB"/>
        </w:rPr>
        <w:t>:</w:t>
      </w:r>
    </w:p>
    <w:p w:rsidR="009D0C37" w:rsidRPr="009D0C37" w:rsidRDefault="009D0C37" w:rsidP="009F0EA7">
      <w:pPr>
        <w:numPr>
          <w:ilvl w:val="1"/>
          <w:numId w:val="2"/>
        </w:numPr>
        <w:spacing w:before="100" w:beforeAutospacing="1" w:after="100" w:afterAutospacing="1" w:line="240" w:lineRule="auto"/>
        <w:rPr>
          <w:rFonts w:eastAsia="Times New Roman" w:cstheme="minorHAnsi"/>
          <w:szCs w:val="24"/>
          <w:lang w:eastAsia="en-GB"/>
        </w:rPr>
      </w:pPr>
      <w:r w:rsidRPr="009D0C37">
        <w:rPr>
          <w:rFonts w:eastAsia="Times New Roman" w:cstheme="minorHAnsi"/>
          <w:szCs w:val="24"/>
          <w:lang w:eastAsia="en-GB"/>
        </w:rPr>
        <w:t xml:space="preserve">Vertical piles, represented by </w:t>
      </w:r>
      <w:r w:rsidR="00F26894" w:rsidRPr="009D0C37">
        <w:rPr>
          <w:rFonts w:eastAsia="Times New Roman" w:cstheme="minorHAnsi"/>
          <w:szCs w:val="24"/>
          <w:lang w:eastAsia="en-GB"/>
        </w:rPr>
        <w:t>grey</w:t>
      </w:r>
      <w:r w:rsidRPr="009D0C37">
        <w:rPr>
          <w:rFonts w:eastAsia="Times New Roman" w:cstheme="minorHAnsi"/>
          <w:szCs w:val="24"/>
          <w:lang w:eastAsia="en-GB"/>
        </w:rPr>
        <w:t xml:space="preserve"> lines, extend through the upper weak soil layers to reach deeper, more stable strata. This ensures the load is transferred effectively to support the structure.</w:t>
      </w:r>
    </w:p>
    <w:p w:rsidR="009D0C37" w:rsidRPr="009D0C37" w:rsidRDefault="009D0C37" w:rsidP="009F0EA7">
      <w:pPr>
        <w:numPr>
          <w:ilvl w:val="0"/>
          <w:numId w:val="2"/>
        </w:numPr>
        <w:spacing w:before="100" w:beforeAutospacing="1" w:after="100" w:afterAutospacing="1" w:line="240" w:lineRule="auto"/>
        <w:rPr>
          <w:rFonts w:eastAsia="Times New Roman" w:cstheme="minorHAnsi"/>
          <w:szCs w:val="24"/>
          <w:lang w:eastAsia="en-GB"/>
        </w:rPr>
      </w:pPr>
      <w:r w:rsidRPr="00F26894">
        <w:rPr>
          <w:rFonts w:eastAsia="Times New Roman" w:cstheme="minorHAnsi"/>
          <w:b/>
          <w:bCs/>
          <w:szCs w:val="24"/>
          <w:lang w:eastAsia="en-GB"/>
        </w:rPr>
        <w:t>Building Foundation</w:t>
      </w:r>
      <w:r w:rsidRPr="009D0C37">
        <w:rPr>
          <w:rFonts w:eastAsia="Times New Roman" w:cstheme="minorHAnsi"/>
          <w:szCs w:val="24"/>
          <w:lang w:eastAsia="en-GB"/>
        </w:rPr>
        <w:t>:</w:t>
      </w:r>
    </w:p>
    <w:p w:rsidR="009D0C37" w:rsidRPr="009D0C37" w:rsidRDefault="009D0C37" w:rsidP="009F0EA7">
      <w:pPr>
        <w:numPr>
          <w:ilvl w:val="1"/>
          <w:numId w:val="2"/>
        </w:numPr>
        <w:spacing w:before="100" w:beforeAutospacing="1" w:after="100" w:afterAutospacing="1" w:line="240" w:lineRule="auto"/>
        <w:rPr>
          <w:rFonts w:eastAsia="Times New Roman" w:cstheme="minorHAnsi"/>
          <w:szCs w:val="24"/>
          <w:lang w:eastAsia="en-GB"/>
        </w:rPr>
      </w:pPr>
      <w:r w:rsidRPr="009D0C37">
        <w:rPr>
          <w:rFonts w:eastAsia="Times New Roman" w:cstheme="minorHAnsi"/>
          <w:szCs w:val="24"/>
          <w:lang w:eastAsia="en-GB"/>
        </w:rPr>
        <w:t>The light grey area at the top represents the building foundation, supported by the piles below.</w:t>
      </w:r>
    </w:p>
    <w:p w:rsidR="00F26894" w:rsidRPr="00AB6DE4" w:rsidRDefault="009D0C37" w:rsidP="00F26894">
      <w:pPr>
        <w:spacing w:before="100" w:beforeAutospacing="1" w:after="100" w:afterAutospacing="1" w:line="240" w:lineRule="auto"/>
        <w:rPr>
          <w:rFonts w:eastAsia="Times New Roman" w:cstheme="minorHAnsi"/>
          <w:sz w:val="24"/>
          <w:szCs w:val="24"/>
          <w:lang w:eastAsia="en-GB"/>
        </w:rPr>
      </w:pPr>
      <w:bookmarkStart w:id="0" w:name="_GoBack"/>
      <w:r w:rsidRPr="00AB6DE4">
        <w:rPr>
          <w:rFonts w:eastAsia="Times New Roman" w:cstheme="minorHAnsi"/>
          <w:sz w:val="24"/>
          <w:szCs w:val="24"/>
          <w:lang w:eastAsia="en-GB"/>
        </w:rPr>
        <w:t>This pile foundation design helps mitigate risks associated with poor soil conditions and high groundwater levels, ensuring a stable and durable structure</w:t>
      </w:r>
    </w:p>
    <w:bookmarkEnd w:id="0"/>
    <w:p w:rsidR="00263E47" w:rsidRPr="00263E47" w:rsidRDefault="00263E47" w:rsidP="00F26894">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263E47">
        <w:rPr>
          <w:rFonts w:eastAsia="Times New Roman" w:cstheme="minorHAnsi"/>
          <w:b/>
          <w:bCs/>
          <w:lang w:eastAsia="en-GB"/>
        </w:rPr>
        <w:t>Conclusion</w:t>
      </w:r>
    </w:p>
    <w:p w:rsidR="00263E47" w:rsidRPr="00263E47" w:rsidRDefault="00263E47" w:rsidP="000710D6">
      <w:pPr>
        <w:spacing w:before="100" w:beforeAutospacing="1" w:after="100" w:afterAutospacing="1" w:line="240" w:lineRule="auto"/>
        <w:rPr>
          <w:rFonts w:eastAsia="Times New Roman" w:cstheme="minorHAnsi"/>
          <w:lang w:eastAsia="en-GB"/>
        </w:rPr>
      </w:pPr>
      <w:r w:rsidRPr="00263E47">
        <w:rPr>
          <w:rFonts w:eastAsia="Times New Roman" w:cstheme="minorHAnsi"/>
          <w:lang w:eastAsia="en-GB"/>
        </w:rPr>
        <w:t xml:space="preserve">The proposed development on the Swansea foreshore requires careful consideration of various risk factors, including UXO, existing services, access constraints, soil contamination, groundwater levels, </w:t>
      </w:r>
      <w:r w:rsidR="009219BD" w:rsidRPr="000710D6">
        <w:rPr>
          <w:rFonts w:eastAsia="Times New Roman" w:cstheme="minorHAnsi"/>
          <w:lang w:eastAsia="en-GB"/>
        </w:rPr>
        <w:t>and archaeological</w:t>
      </w:r>
      <w:r w:rsidRPr="00263E47">
        <w:rPr>
          <w:rFonts w:eastAsia="Times New Roman" w:cstheme="minorHAnsi"/>
          <w:lang w:eastAsia="en-GB"/>
        </w:rPr>
        <w:t xml:space="preserve"> potential, and structural impact on adjacent buildings. By thoroughly </w:t>
      </w:r>
      <w:r w:rsidR="009219BD" w:rsidRPr="000710D6">
        <w:rPr>
          <w:rFonts w:eastAsia="Times New Roman" w:cstheme="minorHAnsi"/>
          <w:lang w:eastAsia="en-GB"/>
        </w:rPr>
        <w:t>analysing</w:t>
      </w:r>
      <w:r w:rsidRPr="00263E47">
        <w:rPr>
          <w:rFonts w:eastAsia="Times New Roman" w:cstheme="minorHAnsi"/>
          <w:lang w:eastAsia="en-GB"/>
        </w:rPr>
        <w:t xml:space="preserve"> borehole data and selecting piled foundations, the project can address these risks effectively, ensuring safe and sustainable construction.</w:t>
      </w:r>
    </w:p>
    <w:p w:rsidR="009219BD" w:rsidRPr="000710D6" w:rsidRDefault="009219BD" w:rsidP="00263E47">
      <w:pPr>
        <w:spacing w:before="100" w:beforeAutospacing="1" w:after="100" w:afterAutospacing="1" w:line="240" w:lineRule="auto"/>
        <w:outlineLvl w:val="2"/>
        <w:rPr>
          <w:rFonts w:eastAsia="Times New Roman" w:cstheme="minorHAnsi"/>
          <w:b/>
          <w:bCs/>
          <w:lang w:eastAsia="en-GB"/>
        </w:rPr>
      </w:pPr>
    </w:p>
    <w:p w:rsidR="00115EDE" w:rsidRDefault="00115EDE" w:rsidP="00115EDE">
      <w:pPr>
        <w:spacing w:before="100" w:beforeAutospacing="1" w:after="100" w:afterAutospacing="1" w:line="240" w:lineRule="auto"/>
        <w:rPr>
          <w:rFonts w:ascii="Times New Roman" w:eastAsia="Times New Roman" w:hAnsi="Times New Roman" w:cs="Times New Roman"/>
          <w:sz w:val="24"/>
          <w:szCs w:val="24"/>
          <w:lang w:eastAsia="en-GB"/>
        </w:rPr>
      </w:pPr>
    </w:p>
    <w:p w:rsidR="00115EDE" w:rsidRDefault="00115EDE" w:rsidP="00115EDE">
      <w:pPr>
        <w:spacing w:before="100" w:beforeAutospacing="1" w:after="100" w:afterAutospacing="1" w:line="240" w:lineRule="auto"/>
        <w:rPr>
          <w:rFonts w:ascii="Times New Roman" w:eastAsia="Times New Roman" w:hAnsi="Times New Roman" w:cs="Times New Roman"/>
          <w:sz w:val="24"/>
          <w:szCs w:val="24"/>
          <w:lang w:eastAsia="en-GB"/>
        </w:rPr>
      </w:pPr>
    </w:p>
    <w:p w:rsidR="00115EDE" w:rsidRDefault="00115EDE" w:rsidP="00115EDE">
      <w:pPr>
        <w:spacing w:before="100" w:beforeAutospacing="1" w:after="100" w:afterAutospacing="1" w:line="240" w:lineRule="auto"/>
        <w:rPr>
          <w:rFonts w:ascii="Times New Roman" w:eastAsia="Times New Roman" w:hAnsi="Times New Roman" w:cs="Times New Roman"/>
          <w:sz w:val="24"/>
          <w:szCs w:val="24"/>
          <w:lang w:eastAsia="en-GB"/>
        </w:rPr>
      </w:pPr>
    </w:p>
    <w:p w:rsidR="00115EDE" w:rsidRDefault="00115EDE" w:rsidP="00115EDE">
      <w:pPr>
        <w:spacing w:before="100" w:beforeAutospacing="1" w:after="100" w:afterAutospacing="1" w:line="240" w:lineRule="auto"/>
        <w:rPr>
          <w:rFonts w:ascii="Times New Roman" w:eastAsia="Times New Roman" w:hAnsi="Times New Roman" w:cs="Times New Roman"/>
          <w:sz w:val="24"/>
          <w:szCs w:val="24"/>
          <w:lang w:eastAsia="en-GB"/>
        </w:rPr>
      </w:pPr>
    </w:p>
    <w:p w:rsidR="00115EDE" w:rsidRDefault="00115EDE" w:rsidP="00115EDE">
      <w:pPr>
        <w:spacing w:before="100" w:beforeAutospacing="1" w:after="100" w:afterAutospacing="1" w:line="240" w:lineRule="auto"/>
        <w:rPr>
          <w:rFonts w:ascii="Times New Roman" w:eastAsia="Times New Roman" w:hAnsi="Times New Roman" w:cs="Times New Roman"/>
          <w:sz w:val="24"/>
          <w:szCs w:val="24"/>
          <w:lang w:eastAsia="en-GB"/>
        </w:rPr>
      </w:pPr>
    </w:p>
    <w:p w:rsidR="00115EDE" w:rsidRDefault="00115EDE" w:rsidP="00115EDE">
      <w:pPr>
        <w:spacing w:before="100" w:beforeAutospacing="1" w:after="100" w:afterAutospacing="1" w:line="240" w:lineRule="auto"/>
        <w:rPr>
          <w:rFonts w:ascii="Times New Roman" w:eastAsia="Times New Roman" w:hAnsi="Times New Roman" w:cs="Times New Roman"/>
          <w:sz w:val="24"/>
          <w:szCs w:val="24"/>
          <w:lang w:eastAsia="en-GB"/>
        </w:rPr>
      </w:pPr>
    </w:p>
    <w:p w:rsidR="00115EDE" w:rsidRDefault="00115EDE" w:rsidP="00115EDE">
      <w:pPr>
        <w:spacing w:before="100" w:beforeAutospacing="1" w:after="100" w:afterAutospacing="1" w:line="240" w:lineRule="auto"/>
        <w:rPr>
          <w:rFonts w:ascii="Times New Roman" w:eastAsia="Times New Roman" w:hAnsi="Times New Roman" w:cs="Times New Roman"/>
          <w:sz w:val="24"/>
          <w:szCs w:val="24"/>
          <w:lang w:eastAsia="en-GB"/>
        </w:rPr>
      </w:pPr>
    </w:p>
    <w:p w:rsidR="00115EDE" w:rsidRDefault="00115EDE" w:rsidP="00115EDE">
      <w:pPr>
        <w:spacing w:before="100" w:beforeAutospacing="1" w:after="100" w:afterAutospacing="1" w:line="240" w:lineRule="auto"/>
        <w:rPr>
          <w:rFonts w:ascii="Times New Roman" w:eastAsia="Times New Roman" w:hAnsi="Times New Roman" w:cs="Times New Roman"/>
          <w:sz w:val="24"/>
          <w:szCs w:val="24"/>
          <w:lang w:eastAsia="en-GB"/>
        </w:rPr>
      </w:pPr>
    </w:p>
    <w:p w:rsidR="00263E47" w:rsidRPr="000710D6" w:rsidRDefault="00263E47">
      <w:pPr>
        <w:rPr>
          <w:rFonts w:cstheme="minorHAnsi"/>
        </w:rPr>
      </w:pPr>
    </w:p>
    <w:sectPr w:rsidR="00263E47" w:rsidRPr="000710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7063B"/>
    <w:multiLevelType w:val="multilevel"/>
    <w:tmpl w:val="47643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EF1C30"/>
    <w:multiLevelType w:val="multilevel"/>
    <w:tmpl w:val="23D4F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4149EC"/>
    <w:multiLevelType w:val="multilevel"/>
    <w:tmpl w:val="3F18F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3143A0"/>
    <w:multiLevelType w:val="multilevel"/>
    <w:tmpl w:val="38D0D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650AAA"/>
    <w:multiLevelType w:val="multilevel"/>
    <w:tmpl w:val="93F48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330A95"/>
    <w:multiLevelType w:val="multilevel"/>
    <w:tmpl w:val="38B4A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C112DE"/>
    <w:multiLevelType w:val="multilevel"/>
    <w:tmpl w:val="E0BC3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9849A0"/>
    <w:multiLevelType w:val="multilevel"/>
    <w:tmpl w:val="8BC20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993F96"/>
    <w:multiLevelType w:val="multilevel"/>
    <w:tmpl w:val="3D0ED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684011"/>
    <w:multiLevelType w:val="multilevel"/>
    <w:tmpl w:val="378AF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E1640E"/>
    <w:multiLevelType w:val="multilevel"/>
    <w:tmpl w:val="70DC3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22301E"/>
    <w:multiLevelType w:val="multilevel"/>
    <w:tmpl w:val="64D23D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EB47753"/>
    <w:multiLevelType w:val="multilevel"/>
    <w:tmpl w:val="DEB2D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C472F"/>
    <w:multiLevelType w:val="multilevel"/>
    <w:tmpl w:val="27009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0D5948"/>
    <w:multiLevelType w:val="multilevel"/>
    <w:tmpl w:val="CEA89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6F6D00"/>
    <w:multiLevelType w:val="multilevel"/>
    <w:tmpl w:val="C2B42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BB029A"/>
    <w:multiLevelType w:val="multilevel"/>
    <w:tmpl w:val="E2264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444C4D"/>
    <w:multiLevelType w:val="multilevel"/>
    <w:tmpl w:val="B4EA2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111D6C"/>
    <w:multiLevelType w:val="multilevel"/>
    <w:tmpl w:val="04DA7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3F0E67"/>
    <w:multiLevelType w:val="multilevel"/>
    <w:tmpl w:val="6016A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A9456D"/>
    <w:multiLevelType w:val="multilevel"/>
    <w:tmpl w:val="5F40A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E522BB"/>
    <w:multiLevelType w:val="multilevel"/>
    <w:tmpl w:val="36409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756D72"/>
    <w:multiLevelType w:val="multilevel"/>
    <w:tmpl w:val="10EA5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D67062"/>
    <w:multiLevelType w:val="multilevel"/>
    <w:tmpl w:val="3A02E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2F3579"/>
    <w:multiLevelType w:val="multilevel"/>
    <w:tmpl w:val="547A5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0C75B5"/>
    <w:multiLevelType w:val="multilevel"/>
    <w:tmpl w:val="ED4AD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DC1759"/>
    <w:multiLevelType w:val="multilevel"/>
    <w:tmpl w:val="ADB8E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4F2822"/>
    <w:multiLevelType w:val="multilevel"/>
    <w:tmpl w:val="ABEC0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BF23DC"/>
    <w:multiLevelType w:val="multilevel"/>
    <w:tmpl w:val="BB7E7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2A2069"/>
    <w:multiLevelType w:val="multilevel"/>
    <w:tmpl w:val="212A9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1B024D"/>
    <w:multiLevelType w:val="multilevel"/>
    <w:tmpl w:val="BFD0F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CD276A"/>
    <w:multiLevelType w:val="multilevel"/>
    <w:tmpl w:val="9210F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FA1FD6"/>
    <w:multiLevelType w:val="multilevel"/>
    <w:tmpl w:val="2DFA3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F52308"/>
    <w:multiLevelType w:val="multilevel"/>
    <w:tmpl w:val="4E44F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70492A"/>
    <w:multiLevelType w:val="multilevel"/>
    <w:tmpl w:val="40E05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5D4EA6"/>
    <w:multiLevelType w:val="multilevel"/>
    <w:tmpl w:val="1A7AF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EE6604"/>
    <w:multiLevelType w:val="multilevel"/>
    <w:tmpl w:val="F4703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1"/>
  </w:num>
  <w:num w:numId="3">
    <w:abstractNumId w:val="23"/>
  </w:num>
  <w:num w:numId="4">
    <w:abstractNumId w:val="3"/>
  </w:num>
  <w:num w:numId="5">
    <w:abstractNumId w:val="27"/>
  </w:num>
  <w:num w:numId="6">
    <w:abstractNumId w:val="26"/>
  </w:num>
  <w:num w:numId="7">
    <w:abstractNumId w:val="19"/>
  </w:num>
  <w:num w:numId="8">
    <w:abstractNumId w:val="9"/>
  </w:num>
  <w:num w:numId="9">
    <w:abstractNumId w:val="32"/>
  </w:num>
  <w:num w:numId="10">
    <w:abstractNumId w:val="28"/>
  </w:num>
  <w:num w:numId="11">
    <w:abstractNumId w:val="21"/>
  </w:num>
  <w:num w:numId="12">
    <w:abstractNumId w:val="16"/>
  </w:num>
  <w:num w:numId="13">
    <w:abstractNumId w:val="18"/>
  </w:num>
  <w:num w:numId="14">
    <w:abstractNumId w:val="4"/>
  </w:num>
  <w:num w:numId="15">
    <w:abstractNumId w:val="8"/>
  </w:num>
  <w:num w:numId="16">
    <w:abstractNumId w:val="0"/>
  </w:num>
  <w:num w:numId="17">
    <w:abstractNumId w:val="5"/>
  </w:num>
  <w:num w:numId="18">
    <w:abstractNumId w:val="17"/>
  </w:num>
  <w:num w:numId="19">
    <w:abstractNumId w:val="33"/>
  </w:num>
  <w:num w:numId="20">
    <w:abstractNumId w:val="25"/>
  </w:num>
  <w:num w:numId="21">
    <w:abstractNumId w:val="12"/>
  </w:num>
  <w:num w:numId="22">
    <w:abstractNumId w:val="15"/>
  </w:num>
  <w:num w:numId="23">
    <w:abstractNumId w:val="22"/>
  </w:num>
  <w:num w:numId="24">
    <w:abstractNumId w:val="6"/>
  </w:num>
  <w:num w:numId="25">
    <w:abstractNumId w:val="30"/>
  </w:num>
  <w:num w:numId="26">
    <w:abstractNumId w:val="31"/>
  </w:num>
  <w:num w:numId="27">
    <w:abstractNumId w:val="35"/>
  </w:num>
  <w:num w:numId="28">
    <w:abstractNumId w:val="14"/>
  </w:num>
  <w:num w:numId="29">
    <w:abstractNumId w:val="1"/>
  </w:num>
  <w:num w:numId="30">
    <w:abstractNumId w:val="29"/>
  </w:num>
  <w:num w:numId="31">
    <w:abstractNumId w:val="24"/>
  </w:num>
  <w:num w:numId="32">
    <w:abstractNumId w:val="34"/>
  </w:num>
  <w:num w:numId="33">
    <w:abstractNumId w:val="7"/>
  </w:num>
  <w:num w:numId="34">
    <w:abstractNumId w:val="20"/>
  </w:num>
  <w:num w:numId="35">
    <w:abstractNumId w:val="13"/>
  </w:num>
  <w:num w:numId="36">
    <w:abstractNumId w:val="2"/>
  </w:num>
  <w:num w:numId="37">
    <w:abstractNumId w:val="36"/>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3E47"/>
    <w:rsid w:val="000710D6"/>
    <w:rsid w:val="00115EDE"/>
    <w:rsid w:val="00263E47"/>
    <w:rsid w:val="00404186"/>
    <w:rsid w:val="00877362"/>
    <w:rsid w:val="009219BD"/>
    <w:rsid w:val="00973F1B"/>
    <w:rsid w:val="009D0C37"/>
    <w:rsid w:val="009F0EA7"/>
    <w:rsid w:val="00AA5C1E"/>
    <w:rsid w:val="00AB6DE4"/>
    <w:rsid w:val="00C553CE"/>
    <w:rsid w:val="00E75324"/>
    <w:rsid w:val="00EB11BD"/>
    <w:rsid w:val="00F26894"/>
    <w:rsid w:val="00FC7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6F6FD60-F601-41CF-ACCB-179357F0D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3E47"/>
  </w:style>
  <w:style w:type="paragraph" w:styleId="Heading2">
    <w:name w:val="heading 2"/>
    <w:basedOn w:val="Normal"/>
    <w:link w:val="Heading2Char"/>
    <w:uiPriority w:val="9"/>
    <w:qFormat/>
    <w:rsid w:val="00263E4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63E4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63E4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3E4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63E4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63E47"/>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263E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63E47"/>
    <w:rPr>
      <w:b/>
      <w:bCs/>
    </w:rPr>
  </w:style>
  <w:style w:type="character" w:styleId="Hyperlink">
    <w:name w:val="Hyperlink"/>
    <w:basedOn w:val="DefaultParagraphFont"/>
    <w:uiPriority w:val="99"/>
    <w:semiHidden/>
    <w:unhideWhenUsed/>
    <w:rsid w:val="00263E47"/>
    <w:rPr>
      <w:color w:val="0000FF"/>
      <w:u w:val="single"/>
    </w:rPr>
  </w:style>
  <w:style w:type="paragraph" w:styleId="BalloonText">
    <w:name w:val="Balloon Text"/>
    <w:basedOn w:val="Normal"/>
    <w:link w:val="BalloonTextChar"/>
    <w:uiPriority w:val="99"/>
    <w:semiHidden/>
    <w:unhideWhenUsed/>
    <w:rsid w:val="00263E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3E4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819823">
      <w:bodyDiv w:val="1"/>
      <w:marLeft w:val="0"/>
      <w:marRight w:val="0"/>
      <w:marTop w:val="0"/>
      <w:marBottom w:val="0"/>
      <w:divBdr>
        <w:top w:val="none" w:sz="0" w:space="0" w:color="auto"/>
        <w:left w:val="none" w:sz="0" w:space="0" w:color="auto"/>
        <w:bottom w:val="none" w:sz="0" w:space="0" w:color="auto"/>
        <w:right w:val="none" w:sz="0" w:space="0" w:color="auto"/>
      </w:divBdr>
      <w:divsChild>
        <w:div w:id="1905945834">
          <w:marLeft w:val="0"/>
          <w:marRight w:val="0"/>
          <w:marTop w:val="0"/>
          <w:marBottom w:val="0"/>
          <w:divBdr>
            <w:top w:val="none" w:sz="0" w:space="0" w:color="auto"/>
            <w:left w:val="none" w:sz="0" w:space="0" w:color="auto"/>
            <w:bottom w:val="none" w:sz="0" w:space="0" w:color="auto"/>
            <w:right w:val="none" w:sz="0" w:space="0" w:color="auto"/>
          </w:divBdr>
          <w:divsChild>
            <w:div w:id="1060245458">
              <w:marLeft w:val="0"/>
              <w:marRight w:val="0"/>
              <w:marTop w:val="0"/>
              <w:marBottom w:val="0"/>
              <w:divBdr>
                <w:top w:val="none" w:sz="0" w:space="0" w:color="auto"/>
                <w:left w:val="none" w:sz="0" w:space="0" w:color="auto"/>
                <w:bottom w:val="none" w:sz="0" w:space="0" w:color="auto"/>
                <w:right w:val="none" w:sz="0" w:space="0" w:color="auto"/>
              </w:divBdr>
              <w:divsChild>
                <w:div w:id="59669991">
                  <w:marLeft w:val="0"/>
                  <w:marRight w:val="0"/>
                  <w:marTop w:val="0"/>
                  <w:marBottom w:val="0"/>
                  <w:divBdr>
                    <w:top w:val="none" w:sz="0" w:space="0" w:color="auto"/>
                    <w:left w:val="none" w:sz="0" w:space="0" w:color="auto"/>
                    <w:bottom w:val="none" w:sz="0" w:space="0" w:color="auto"/>
                    <w:right w:val="none" w:sz="0" w:space="0" w:color="auto"/>
                  </w:divBdr>
                  <w:divsChild>
                    <w:div w:id="719355546">
                      <w:marLeft w:val="0"/>
                      <w:marRight w:val="0"/>
                      <w:marTop w:val="0"/>
                      <w:marBottom w:val="0"/>
                      <w:divBdr>
                        <w:top w:val="none" w:sz="0" w:space="0" w:color="auto"/>
                        <w:left w:val="none" w:sz="0" w:space="0" w:color="auto"/>
                        <w:bottom w:val="none" w:sz="0" w:space="0" w:color="auto"/>
                        <w:right w:val="none" w:sz="0" w:space="0" w:color="auto"/>
                      </w:divBdr>
                      <w:divsChild>
                        <w:div w:id="930315707">
                          <w:marLeft w:val="0"/>
                          <w:marRight w:val="0"/>
                          <w:marTop w:val="0"/>
                          <w:marBottom w:val="0"/>
                          <w:divBdr>
                            <w:top w:val="none" w:sz="0" w:space="0" w:color="auto"/>
                            <w:left w:val="none" w:sz="0" w:space="0" w:color="auto"/>
                            <w:bottom w:val="none" w:sz="0" w:space="0" w:color="auto"/>
                            <w:right w:val="none" w:sz="0" w:space="0" w:color="auto"/>
                          </w:divBdr>
                          <w:divsChild>
                            <w:div w:id="837774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4110264">
      <w:bodyDiv w:val="1"/>
      <w:marLeft w:val="0"/>
      <w:marRight w:val="0"/>
      <w:marTop w:val="0"/>
      <w:marBottom w:val="0"/>
      <w:divBdr>
        <w:top w:val="none" w:sz="0" w:space="0" w:color="auto"/>
        <w:left w:val="none" w:sz="0" w:space="0" w:color="auto"/>
        <w:bottom w:val="none" w:sz="0" w:space="0" w:color="auto"/>
        <w:right w:val="none" w:sz="0" w:space="0" w:color="auto"/>
      </w:divBdr>
      <w:divsChild>
        <w:div w:id="1184435655">
          <w:marLeft w:val="0"/>
          <w:marRight w:val="0"/>
          <w:marTop w:val="0"/>
          <w:marBottom w:val="0"/>
          <w:divBdr>
            <w:top w:val="none" w:sz="0" w:space="0" w:color="auto"/>
            <w:left w:val="none" w:sz="0" w:space="0" w:color="auto"/>
            <w:bottom w:val="none" w:sz="0" w:space="0" w:color="auto"/>
            <w:right w:val="none" w:sz="0" w:space="0" w:color="auto"/>
          </w:divBdr>
          <w:divsChild>
            <w:div w:id="55707914">
              <w:marLeft w:val="0"/>
              <w:marRight w:val="0"/>
              <w:marTop w:val="0"/>
              <w:marBottom w:val="0"/>
              <w:divBdr>
                <w:top w:val="none" w:sz="0" w:space="0" w:color="auto"/>
                <w:left w:val="none" w:sz="0" w:space="0" w:color="auto"/>
                <w:bottom w:val="none" w:sz="0" w:space="0" w:color="auto"/>
                <w:right w:val="none" w:sz="0" w:space="0" w:color="auto"/>
              </w:divBdr>
              <w:divsChild>
                <w:div w:id="43660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35459">
      <w:bodyDiv w:val="1"/>
      <w:marLeft w:val="0"/>
      <w:marRight w:val="0"/>
      <w:marTop w:val="0"/>
      <w:marBottom w:val="0"/>
      <w:divBdr>
        <w:top w:val="none" w:sz="0" w:space="0" w:color="auto"/>
        <w:left w:val="none" w:sz="0" w:space="0" w:color="auto"/>
        <w:bottom w:val="none" w:sz="0" w:space="0" w:color="auto"/>
        <w:right w:val="none" w:sz="0" w:space="0" w:color="auto"/>
      </w:divBdr>
    </w:div>
    <w:div w:id="630987944">
      <w:bodyDiv w:val="1"/>
      <w:marLeft w:val="0"/>
      <w:marRight w:val="0"/>
      <w:marTop w:val="0"/>
      <w:marBottom w:val="0"/>
      <w:divBdr>
        <w:top w:val="none" w:sz="0" w:space="0" w:color="auto"/>
        <w:left w:val="none" w:sz="0" w:space="0" w:color="auto"/>
        <w:bottom w:val="none" w:sz="0" w:space="0" w:color="auto"/>
        <w:right w:val="none" w:sz="0" w:space="0" w:color="auto"/>
      </w:divBdr>
      <w:divsChild>
        <w:div w:id="275136931">
          <w:marLeft w:val="0"/>
          <w:marRight w:val="0"/>
          <w:marTop w:val="0"/>
          <w:marBottom w:val="0"/>
          <w:divBdr>
            <w:top w:val="none" w:sz="0" w:space="0" w:color="auto"/>
            <w:left w:val="none" w:sz="0" w:space="0" w:color="auto"/>
            <w:bottom w:val="none" w:sz="0" w:space="0" w:color="auto"/>
            <w:right w:val="none" w:sz="0" w:space="0" w:color="auto"/>
          </w:divBdr>
          <w:divsChild>
            <w:div w:id="797408902">
              <w:marLeft w:val="0"/>
              <w:marRight w:val="0"/>
              <w:marTop w:val="0"/>
              <w:marBottom w:val="0"/>
              <w:divBdr>
                <w:top w:val="none" w:sz="0" w:space="0" w:color="auto"/>
                <w:left w:val="none" w:sz="0" w:space="0" w:color="auto"/>
                <w:bottom w:val="none" w:sz="0" w:space="0" w:color="auto"/>
                <w:right w:val="none" w:sz="0" w:space="0" w:color="auto"/>
              </w:divBdr>
              <w:divsChild>
                <w:div w:id="474419129">
                  <w:marLeft w:val="0"/>
                  <w:marRight w:val="0"/>
                  <w:marTop w:val="0"/>
                  <w:marBottom w:val="0"/>
                  <w:divBdr>
                    <w:top w:val="none" w:sz="0" w:space="0" w:color="auto"/>
                    <w:left w:val="none" w:sz="0" w:space="0" w:color="auto"/>
                    <w:bottom w:val="none" w:sz="0" w:space="0" w:color="auto"/>
                    <w:right w:val="none" w:sz="0" w:space="0" w:color="auto"/>
                  </w:divBdr>
                  <w:divsChild>
                    <w:div w:id="771246970">
                      <w:marLeft w:val="0"/>
                      <w:marRight w:val="0"/>
                      <w:marTop w:val="0"/>
                      <w:marBottom w:val="0"/>
                      <w:divBdr>
                        <w:top w:val="none" w:sz="0" w:space="0" w:color="auto"/>
                        <w:left w:val="none" w:sz="0" w:space="0" w:color="auto"/>
                        <w:bottom w:val="none" w:sz="0" w:space="0" w:color="auto"/>
                        <w:right w:val="none" w:sz="0" w:space="0" w:color="auto"/>
                      </w:divBdr>
                      <w:divsChild>
                        <w:div w:id="1320693344">
                          <w:marLeft w:val="0"/>
                          <w:marRight w:val="0"/>
                          <w:marTop w:val="0"/>
                          <w:marBottom w:val="0"/>
                          <w:divBdr>
                            <w:top w:val="none" w:sz="0" w:space="0" w:color="auto"/>
                            <w:left w:val="none" w:sz="0" w:space="0" w:color="auto"/>
                            <w:bottom w:val="none" w:sz="0" w:space="0" w:color="auto"/>
                            <w:right w:val="none" w:sz="0" w:space="0" w:color="auto"/>
                          </w:divBdr>
                          <w:divsChild>
                            <w:div w:id="74318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7850655">
      <w:bodyDiv w:val="1"/>
      <w:marLeft w:val="0"/>
      <w:marRight w:val="0"/>
      <w:marTop w:val="0"/>
      <w:marBottom w:val="0"/>
      <w:divBdr>
        <w:top w:val="none" w:sz="0" w:space="0" w:color="auto"/>
        <w:left w:val="none" w:sz="0" w:space="0" w:color="auto"/>
        <w:bottom w:val="none" w:sz="0" w:space="0" w:color="auto"/>
        <w:right w:val="none" w:sz="0" w:space="0" w:color="auto"/>
      </w:divBdr>
    </w:div>
    <w:div w:id="909340135">
      <w:bodyDiv w:val="1"/>
      <w:marLeft w:val="0"/>
      <w:marRight w:val="0"/>
      <w:marTop w:val="0"/>
      <w:marBottom w:val="0"/>
      <w:divBdr>
        <w:top w:val="none" w:sz="0" w:space="0" w:color="auto"/>
        <w:left w:val="none" w:sz="0" w:space="0" w:color="auto"/>
        <w:bottom w:val="none" w:sz="0" w:space="0" w:color="auto"/>
        <w:right w:val="none" w:sz="0" w:space="0" w:color="auto"/>
      </w:divBdr>
    </w:div>
    <w:div w:id="971786150">
      <w:bodyDiv w:val="1"/>
      <w:marLeft w:val="0"/>
      <w:marRight w:val="0"/>
      <w:marTop w:val="0"/>
      <w:marBottom w:val="0"/>
      <w:divBdr>
        <w:top w:val="none" w:sz="0" w:space="0" w:color="auto"/>
        <w:left w:val="none" w:sz="0" w:space="0" w:color="auto"/>
        <w:bottom w:val="none" w:sz="0" w:space="0" w:color="auto"/>
        <w:right w:val="none" w:sz="0" w:space="0" w:color="auto"/>
      </w:divBdr>
    </w:div>
    <w:div w:id="1403016562">
      <w:bodyDiv w:val="1"/>
      <w:marLeft w:val="0"/>
      <w:marRight w:val="0"/>
      <w:marTop w:val="0"/>
      <w:marBottom w:val="0"/>
      <w:divBdr>
        <w:top w:val="none" w:sz="0" w:space="0" w:color="auto"/>
        <w:left w:val="none" w:sz="0" w:space="0" w:color="auto"/>
        <w:bottom w:val="none" w:sz="0" w:space="0" w:color="auto"/>
        <w:right w:val="none" w:sz="0" w:space="0" w:color="auto"/>
      </w:divBdr>
    </w:div>
    <w:div w:id="1428769010">
      <w:bodyDiv w:val="1"/>
      <w:marLeft w:val="0"/>
      <w:marRight w:val="0"/>
      <w:marTop w:val="0"/>
      <w:marBottom w:val="0"/>
      <w:divBdr>
        <w:top w:val="none" w:sz="0" w:space="0" w:color="auto"/>
        <w:left w:val="none" w:sz="0" w:space="0" w:color="auto"/>
        <w:bottom w:val="none" w:sz="0" w:space="0" w:color="auto"/>
        <w:right w:val="none" w:sz="0" w:space="0" w:color="auto"/>
      </w:divBdr>
    </w:div>
    <w:div w:id="1499422883">
      <w:bodyDiv w:val="1"/>
      <w:marLeft w:val="0"/>
      <w:marRight w:val="0"/>
      <w:marTop w:val="0"/>
      <w:marBottom w:val="0"/>
      <w:divBdr>
        <w:top w:val="none" w:sz="0" w:space="0" w:color="auto"/>
        <w:left w:val="none" w:sz="0" w:space="0" w:color="auto"/>
        <w:bottom w:val="none" w:sz="0" w:space="0" w:color="auto"/>
        <w:right w:val="none" w:sz="0" w:space="0" w:color="auto"/>
      </w:divBdr>
    </w:div>
    <w:div w:id="1661151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hyperlink" Target="https://www.swanseamuseum.co.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ibrary.wales/"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peoplescollection.wales/items/29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BCBF8D-3D60-4681-B98C-015D02F8B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2900</Words>
  <Characters>16532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Chapman</dc:creator>
  <cp:keywords/>
  <dc:description/>
  <cp:lastModifiedBy>Nathan Chapman</cp:lastModifiedBy>
  <cp:revision>21</cp:revision>
  <dcterms:created xsi:type="dcterms:W3CDTF">2024-07-23T08:27:00Z</dcterms:created>
  <dcterms:modified xsi:type="dcterms:W3CDTF">2024-07-23T11:09:00Z</dcterms:modified>
</cp:coreProperties>
</file>