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color w:val="4472C4" w:themeColor="accent1"/>
        </w:rPr>
        <w:id w:val="639687488"/>
        <w:docPartObj>
          <w:docPartGallery w:val="Cover Pages"/>
          <w:docPartUnique/>
        </w:docPartObj>
      </w:sdtPr>
      <w:sdtContent>
        <w:p w14:paraId="2212D15A" w14:textId="25A9FB18" w:rsidR="00591548" w:rsidRPr="00591548" w:rsidRDefault="00591548" w:rsidP="00591548">
          <w:pPr>
            <w:pStyle w:val="NoSpacing"/>
            <w:spacing w:before="1540" w:after="240"/>
            <w:jc w:val="center"/>
            <w:rPr>
              <w:color w:val="000000" w:themeColor="text1"/>
            </w:rPr>
          </w:pPr>
        </w:p>
        <w:p w14:paraId="6AFBADA9" w14:textId="4B8E4C0E" w:rsidR="00873C82" w:rsidRPr="00CF343C" w:rsidRDefault="00CF343C">
          <w:pPr>
            <w:pStyle w:val="NoSpacing"/>
            <w:pBdr>
              <w:top w:val="single" w:sz="6" w:space="6" w:color="4472C4" w:themeColor="accent1"/>
              <w:bottom w:val="single" w:sz="6" w:space="6" w:color="4472C4" w:themeColor="accent1"/>
            </w:pBdr>
            <w:spacing w:after="240"/>
            <w:jc w:val="center"/>
            <w:rPr>
              <w:rFonts w:ascii="Times New Roman" w:eastAsiaTheme="majorEastAsia" w:hAnsi="Times New Roman" w:cs="Times New Roman"/>
              <w:b/>
              <w:bCs/>
              <w:caps/>
              <w:color w:val="000000" w:themeColor="text1"/>
              <w:sz w:val="52"/>
              <w:szCs w:val="52"/>
            </w:rPr>
          </w:pPr>
          <w:r w:rsidRPr="00CF343C">
            <w:rPr>
              <w:rFonts w:ascii="Times New Roman" w:eastAsiaTheme="majorEastAsia" w:hAnsi="Times New Roman" w:cs="Times New Roman"/>
              <w:b/>
              <w:bCs/>
              <w:caps/>
              <w:color w:val="000000" w:themeColor="text1"/>
              <w:sz w:val="52"/>
              <w:szCs w:val="52"/>
            </w:rPr>
            <w:t>Greenacres Plc</w:t>
          </w:r>
        </w:p>
        <w:p w14:paraId="74137BED" w14:textId="77777777" w:rsidR="00261BC0" w:rsidRDefault="00261BC0" w:rsidP="00261BC0">
          <w:pPr>
            <w:suppressAutoHyphens/>
            <w:autoSpaceDN w:val="0"/>
            <w:spacing w:after="0" w:line="360" w:lineRule="auto"/>
            <w:rPr>
              <w:rFonts w:ascii="Times New Roman" w:eastAsia="Times New Roman" w:hAnsi="Times New Roman" w:cs="Times New Roman"/>
              <w:b/>
              <w:bCs/>
              <w:color w:val="000000"/>
              <w:sz w:val="28"/>
              <w:szCs w:val="28"/>
              <w:lang w:val="en-GB"/>
            </w:rPr>
          </w:pPr>
        </w:p>
        <w:p w14:paraId="3D24CB52" w14:textId="77777777" w:rsidR="00DA22FC" w:rsidRDefault="00DA22FC" w:rsidP="00261BC0">
          <w:pPr>
            <w:suppressAutoHyphens/>
            <w:autoSpaceDN w:val="0"/>
            <w:spacing w:after="0" w:line="360" w:lineRule="auto"/>
            <w:rPr>
              <w:rFonts w:ascii="Times New Roman" w:eastAsia="Times New Roman" w:hAnsi="Times New Roman" w:cs="Times New Roman"/>
              <w:b/>
              <w:bCs/>
              <w:color w:val="000000"/>
              <w:sz w:val="28"/>
              <w:szCs w:val="28"/>
              <w:lang w:val="en-GB"/>
            </w:rPr>
          </w:pPr>
        </w:p>
        <w:p w14:paraId="7B732A8D" w14:textId="4C04ED61" w:rsidR="005B6F19" w:rsidRPr="005B6F19" w:rsidRDefault="005B6F19" w:rsidP="00C456AB">
          <w:pPr>
            <w:suppressAutoHyphens/>
            <w:autoSpaceDN w:val="0"/>
            <w:spacing w:after="0" w:line="360" w:lineRule="auto"/>
            <w:jc w:val="both"/>
            <w:rPr>
              <w:rFonts w:ascii="Calibri" w:eastAsia="Calibri" w:hAnsi="Calibri" w:cs="Times New Roman"/>
              <w:sz w:val="32"/>
              <w:szCs w:val="32"/>
              <w:lang w:val="en-GB"/>
            </w:rPr>
          </w:pPr>
          <w:r w:rsidRPr="005B6F19">
            <w:rPr>
              <w:rFonts w:ascii="Times New Roman" w:eastAsia="Times New Roman" w:hAnsi="Times New Roman" w:cs="Times New Roman"/>
              <w:b/>
              <w:bCs/>
              <w:color w:val="000000"/>
              <w:sz w:val="32"/>
              <w:szCs w:val="32"/>
              <w:lang w:val="en-GB"/>
            </w:rPr>
            <w:t xml:space="preserve">Student Name: </w:t>
          </w:r>
          <w:r w:rsidRPr="005B6F19">
            <w:rPr>
              <w:rFonts w:ascii="Times New Roman" w:eastAsia="Times New Roman" w:hAnsi="Times New Roman" w:cs="Times New Roman"/>
              <w:color w:val="000000"/>
              <w:sz w:val="32"/>
              <w:szCs w:val="32"/>
              <w:lang w:val="en-GB"/>
            </w:rPr>
            <w:t>Zakera Begum Simu</w:t>
          </w:r>
        </w:p>
        <w:p w14:paraId="0C346DB2" w14:textId="77777777" w:rsidR="005B6F19" w:rsidRPr="005B6F19" w:rsidRDefault="005B6F19" w:rsidP="00C456AB">
          <w:pPr>
            <w:suppressAutoHyphens/>
            <w:autoSpaceDN w:val="0"/>
            <w:spacing w:after="0" w:line="360" w:lineRule="auto"/>
            <w:jc w:val="both"/>
            <w:rPr>
              <w:rFonts w:ascii="Calibri" w:eastAsia="Calibri" w:hAnsi="Calibri" w:cs="Times New Roman"/>
              <w:sz w:val="32"/>
              <w:szCs w:val="32"/>
              <w:lang w:val="en-GB"/>
            </w:rPr>
          </w:pPr>
          <w:r w:rsidRPr="005B6F19">
            <w:rPr>
              <w:rFonts w:ascii="Times New Roman" w:eastAsia="Times New Roman" w:hAnsi="Times New Roman" w:cs="Times New Roman"/>
              <w:b/>
              <w:bCs/>
              <w:color w:val="000000"/>
              <w:sz w:val="32"/>
              <w:szCs w:val="32"/>
              <w:lang w:val="en-GB"/>
            </w:rPr>
            <w:t xml:space="preserve">Student ID: </w:t>
          </w:r>
          <w:r w:rsidRPr="005B6F19">
            <w:rPr>
              <w:rFonts w:ascii="Times New Roman" w:eastAsia="Times New Roman" w:hAnsi="Times New Roman" w:cs="Times New Roman"/>
              <w:bCs/>
              <w:color w:val="000000"/>
              <w:sz w:val="32"/>
              <w:szCs w:val="32"/>
              <w:lang w:val="en-GB"/>
            </w:rPr>
            <w:t>2409952</w:t>
          </w:r>
        </w:p>
        <w:p w14:paraId="5260EC8D" w14:textId="21B2DBE8" w:rsidR="005B6F19" w:rsidRPr="005B6F19" w:rsidRDefault="005B6F19" w:rsidP="00C456AB">
          <w:pPr>
            <w:suppressAutoHyphens/>
            <w:autoSpaceDN w:val="0"/>
            <w:spacing w:after="0" w:line="360" w:lineRule="auto"/>
            <w:jc w:val="both"/>
            <w:rPr>
              <w:rFonts w:ascii="Calibri" w:eastAsia="Calibri" w:hAnsi="Calibri" w:cs="Times New Roman"/>
              <w:sz w:val="32"/>
              <w:szCs w:val="32"/>
              <w:lang w:val="en-GB"/>
            </w:rPr>
          </w:pPr>
          <w:r w:rsidRPr="005B6F19">
            <w:rPr>
              <w:rFonts w:ascii="Times New Roman" w:eastAsia="Times New Roman" w:hAnsi="Times New Roman" w:cs="Times New Roman"/>
              <w:b/>
              <w:bCs/>
              <w:color w:val="000000"/>
              <w:sz w:val="32"/>
              <w:szCs w:val="32"/>
              <w:lang w:val="en-GB"/>
            </w:rPr>
            <w:t xml:space="preserve">Module Title: </w:t>
          </w:r>
          <w:r w:rsidR="00261BC0" w:rsidRPr="00C45FE6">
            <w:rPr>
              <w:rFonts w:ascii="Times New Roman" w:eastAsia="Times New Roman" w:hAnsi="Times New Roman" w:cs="Times New Roman"/>
              <w:color w:val="000000"/>
              <w:sz w:val="32"/>
              <w:szCs w:val="32"/>
              <w:lang w:val="en-GB"/>
            </w:rPr>
            <w:t>Finance for Business Managers</w:t>
          </w:r>
        </w:p>
        <w:p w14:paraId="4556E7F9" w14:textId="75B7C0C4" w:rsidR="00C45FE6" w:rsidRDefault="005B6F19" w:rsidP="00C456AB">
          <w:pPr>
            <w:suppressAutoHyphens/>
            <w:autoSpaceDN w:val="0"/>
            <w:spacing w:after="0" w:line="360" w:lineRule="auto"/>
            <w:jc w:val="both"/>
            <w:rPr>
              <w:rFonts w:ascii="Times New Roman" w:eastAsia="Calibri" w:hAnsi="Times New Roman" w:cs="Times New Roman"/>
              <w:bCs/>
              <w:sz w:val="32"/>
              <w:szCs w:val="32"/>
              <w:lang w:val="en-GB"/>
            </w:rPr>
          </w:pPr>
          <w:r w:rsidRPr="005B6F19">
            <w:rPr>
              <w:rFonts w:ascii="Times New Roman" w:eastAsia="Times New Roman" w:hAnsi="Times New Roman" w:cs="Times New Roman"/>
              <w:b/>
              <w:bCs/>
              <w:color w:val="000000"/>
              <w:sz w:val="32"/>
              <w:szCs w:val="32"/>
              <w:lang w:val="en-GB"/>
            </w:rPr>
            <w:t xml:space="preserve">Module Code: </w:t>
          </w:r>
          <w:r w:rsidRPr="005B6F19">
            <w:rPr>
              <w:rFonts w:ascii="Times New Roman" w:eastAsia="Times New Roman" w:hAnsi="Times New Roman" w:cs="Times New Roman"/>
              <w:color w:val="000000"/>
              <w:sz w:val="32"/>
              <w:szCs w:val="32"/>
              <w:lang w:eastAsia="en-GB"/>
            </w:rPr>
            <w:t xml:space="preserve"> </w:t>
          </w:r>
          <w:r w:rsidR="00E1345F" w:rsidRPr="00E1345F">
            <w:rPr>
              <w:rFonts w:ascii="Times New Roman" w:eastAsia="Times New Roman" w:hAnsi="Times New Roman" w:cs="Times New Roman"/>
              <w:color w:val="000000"/>
              <w:sz w:val="32"/>
              <w:szCs w:val="32"/>
              <w:lang w:eastAsia="en-GB"/>
            </w:rPr>
            <w:t>BMMB7005D</w:t>
          </w:r>
        </w:p>
        <w:p w14:paraId="538E4082" w14:textId="671DF642" w:rsidR="005B6F19" w:rsidRPr="005B6F19" w:rsidRDefault="005B6F19" w:rsidP="00C456AB">
          <w:pPr>
            <w:suppressAutoHyphens/>
            <w:autoSpaceDN w:val="0"/>
            <w:spacing w:after="0" w:line="360" w:lineRule="auto"/>
            <w:jc w:val="both"/>
            <w:rPr>
              <w:rFonts w:ascii="Calibri" w:eastAsia="Calibri" w:hAnsi="Calibri" w:cs="Times New Roman"/>
              <w:sz w:val="32"/>
              <w:szCs w:val="32"/>
              <w:lang w:val="en-GB"/>
            </w:rPr>
          </w:pPr>
          <w:r w:rsidRPr="005B6F19">
            <w:rPr>
              <w:rFonts w:ascii="Times New Roman" w:eastAsia="Times New Roman" w:hAnsi="Times New Roman" w:cs="Times New Roman"/>
              <w:b/>
              <w:bCs/>
              <w:color w:val="000000"/>
              <w:sz w:val="32"/>
              <w:szCs w:val="32"/>
              <w:lang w:val="en-GB"/>
            </w:rPr>
            <w:t xml:space="preserve">Module Leader: </w:t>
          </w:r>
          <w:r w:rsidR="001636B2" w:rsidRPr="001636B2">
            <w:rPr>
              <w:rFonts w:ascii="Times New Roman" w:eastAsia="Times New Roman" w:hAnsi="Times New Roman" w:cs="Times New Roman"/>
              <w:color w:val="000000"/>
              <w:sz w:val="32"/>
              <w:szCs w:val="32"/>
              <w:lang w:val="en-GB"/>
            </w:rPr>
            <w:t xml:space="preserve">Marie </w:t>
          </w:r>
          <w:proofErr w:type="spellStart"/>
          <w:r w:rsidR="001636B2" w:rsidRPr="001636B2">
            <w:rPr>
              <w:rFonts w:ascii="Times New Roman" w:eastAsia="Times New Roman" w:hAnsi="Times New Roman" w:cs="Times New Roman"/>
              <w:color w:val="000000"/>
              <w:sz w:val="32"/>
              <w:szCs w:val="32"/>
              <w:lang w:val="en-GB"/>
            </w:rPr>
            <w:t>Pitson</w:t>
          </w:r>
          <w:proofErr w:type="spellEnd"/>
        </w:p>
        <w:p w14:paraId="134D9751" w14:textId="77777777" w:rsidR="005B6F19" w:rsidRPr="005B6F19" w:rsidRDefault="005B6F19" w:rsidP="00C456AB">
          <w:pPr>
            <w:suppressAutoHyphens/>
            <w:autoSpaceDN w:val="0"/>
            <w:spacing w:after="0" w:line="360" w:lineRule="auto"/>
            <w:jc w:val="both"/>
            <w:rPr>
              <w:rFonts w:ascii="Calibri" w:eastAsia="Calibri" w:hAnsi="Calibri" w:cs="Times New Roman"/>
              <w:sz w:val="32"/>
              <w:szCs w:val="32"/>
              <w:lang w:val="en-GB"/>
            </w:rPr>
          </w:pPr>
          <w:r w:rsidRPr="005B6F19">
            <w:rPr>
              <w:rFonts w:ascii="Times New Roman" w:eastAsia="Times New Roman" w:hAnsi="Times New Roman" w:cs="Times New Roman"/>
              <w:b/>
              <w:bCs/>
              <w:color w:val="000000"/>
              <w:sz w:val="32"/>
              <w:szCs w:val="32"/>
              <w:lang w:val="en-GB"/>
            </w:rPr>
            <w:t xml:space="preserve">Programme: </w:t>
          </w:r>
          <w:r w:rsidRPr="005B6F19">
            <w:rPr>
              <w:rFonts w:ascii="Times New Roman" w:eastAsia="Times New Roman" w:hAnsi="Times New Roman" w:cs="Times New Roman"/>
              <w:bCs/>
              <w:color w:val="000000"/>
              <w:sz w:val="32"/>
              <w:szCs w:val="32"/>
              <w:lang w:val="en-GB"/>
            </w:rPr>
            <w:t>MBA</w:t>
          </w:r>
        </w:p>
        <w:p w14:paraId="22B2BAF8" w14:textId="55EE05A3" w:rsidR="005B6F19" w:rsidRDefault="005B6F19" w:rsidP="00C456AB">
          <w:pPr>
            <w:suppressAutoHyphens/>
            <w:autoSpaceDN w:val="0"/>
            <w:spacing w:after="0" w:line="360" w:lineRule="auto"/>
            <w:jc w:val="both"/>
            <w:rPr>
              <w:rFonts w:ascii="Times New Roman" w:eastAsia="Times New Roman" w:hAnsi="Times New Roman" w:cs="Times New Roman"/>
              <w:bCs/>
              <w:sz w:val="32"/>
              <w:szCs w:val="32"/>
            </w:rPr>
          </w:pPr>
          <w:r w:rsidRPr="005B6F19">
            <w:rPr>
              <w:rFonts w:ascii="Times New Roman" w:eastAsia="Times New Roman" w:hAnsi="Times New Roman" w:cs="Times New Roman"/>
              <w:b/>
              <w:sz w:val="32"/>
              <w:szCs w:val="32"/>
            </w:rPr>
            <w:t xml:space="preserve">Submission deadline: </w:t>
          </w:r>
          <w:r w:rsidR="00A63241" w:rsidRPr="00A63241">
            <w:rPr>
              <w:rFonts w:ascii="Times New Roman" w:eastAsia="Times New Roman" w:hAnsi="Times New Roman" w:cs="Times New Roman"/>
              <w:bCs/>
              <w:sz w:val="32"/>
              <w:szCs w:val="32"/>
            </w:rPr>
            <w:t>20th January 2025</w:t>
          </w:r>
        </w:p>
        <w:p w14:paraId="65F86909" w14:textId="77777777" w:rsidR="00DA22FC" w:rsidRDefault="00DA22FC" w:rsidP="00C456AB">
          <w:pPr>
            <w:suppressAutoHyphens/>
            <w:autoSpaceDN w:val="0"/>
            <w:spacing w:after="0" w:line="360" w:lineRule="auto"/>
            <w:rPr>
              <w:rFonts w:ascii="Calibri" w:eastAsia="Calibri" w:hAnsi="Calibri" w:cs="Times New Roman"/>
              <w:sz w:val="32"/>
              <w:szCs w:val="32"/>
              <w:lang w:val="en-GB"/>
            </w:rPr>
          </w:pPr>
        </w:p>
        <w:p w14:paraId="5B4BEE73" w14:textId="77777777" w:rsidR="00DA22FC" w:rsidRDefault="00DA22FC" w:rsidP="00C456AB">
          <w:pPr>
            <w:suppressAutoHyphens/>
            <w:autoSpaceDN w:val="0"/>
            <w:spacing w:after="0" w:line="360" w:lineRule="auto"/>
            <w:rPr>
              <w:rFonts w:ascii="Calibri" w:eastAsia="Calibri" w:hAnsi="Calibri" w:cs="Times New Roman"/>
              <w:sz w:val="32"/>
              <w:szCs w:val="32"/>
              <w:lang w:val="en-GB"/>
            </w:rPr>
          </w:pPr>
        </w:p>
        <w:p w14:paraId="5F1AD303" w14:textId="0DA04AB1" w:rsidR="005B6F19" w:rsidRPr="005B6F19" w:rsidRDefault="005B6F19" w:rsidP="00C456AB">
          <w:pPr>
            <w:suppressAutoHyphens/>
            <w:autoSpaceDN w:val="0"/>
            <w:spacing w:after="0" w:line="360" w:lineRule="auto"/>
            <w:rPr>
              <w:rFonts w:ascii="Times New Roman" w:eastAsia="Times New Roman" w:hAnsi="Times New Roman" w:cs="Times New Roman"/>
              <w:b/>
              <w:sz w:val="28"/>
              <w:szCs w:val="28"/>
            </w:rPr>
          </w:pPr>
          <w:r w:rsidRPr="005B6F19">
            <w:rPr>
              <w:rFonts w:ascii="Times New Roman" w:eastAsia="Times New Roman" w:hAnsi="Times New Roman" w:cs="Times New Roman"/>
              <w:b/>
              <w:sz w:val="28"/>
              <w:szCs w:val="28"/>
            </w:rPr>
            <w:t>Student Declaration</w:t>
          </w:r>
        </w:p>
        <w:p w14:paraId="54422840" w14:textId="3A76A34C" w:rsidR="00873C82" w:rsidRPr="00E1345F" w:rsidRDefault="005B6F19" w:rsidP="00E1345F">
          <w:pPr>
            <w:suppressAutoHyphens/>
            <w:autoSpaceDN w:val="0"/>
            <w:spacing w:after="0" w:line="360" w:lineRule="auto"/>
            <w:jc w:val="both"/>
            <w:rPr>
              <w:rFonts w:ascii="Calibri" w:eastAsia="Calibri" w:hAnsi="Calibri" w:cs="Times New Roman"/>
              <w:lang w:val="en-GB"/>
            </w:rPr>
          </w:pPr>
          <w:r w:rsidRPr="005B6F19">
            <w:rPr>
              <w:rFonts w:ascii="Times New Roman" w:eastAsia="Calibri" w:hAnsi="Times New Roman" w:cs="Times New Roman"/>
              <w:sz w:val="24"/>
              <w:szCs w:val="24"/>
              <w:lang w:val="en-GB"/>
            </w:rPr>
            <w:t>I confirm that I have not used any AI tools in the research and creation of this assignment. I confirm that I have not presented any AI-generated materials as my work. I confirm I have copies of my drafts, notes, and other resources I used, which I may be asked to provide in evidence.</w:t>
          </w:r>
        </w:p>
        <w:p w14:paraId="3F50A6A7" w14:textId="77777777" w:rsidR="00DA22FC" w:rsidRDefault="00DA22FC" w:rsidP="0062456E">
          <w:pPr>
            <w:pStyle w:val="NoSpacing"/>
            <w:spacing w:before="480"/>
            <w:jc w:val="center"/>
            <w:rPr>
              <w:noProof/>
              <w:color w:val="4472C4" w:themeColor="accent1"/>
            </w:rPr>
          </w:pPr>
        </w:p>
        <w:p w14:paraId="1F7B96EF" w14:textId="1416285E" w:rsidR="00E37EB1" w:rsidRPr="0062456E" w:rsidRDefault="00000000" w:rsidP="0062456E">
          <w:pPr>
            <w:pStyle w:val="NoSpacing"/>
            <w:spacing w:before="480"/>
            <w:jc w:val="center"/>
            <w:rPr>
              <w:color w:val="4472C4" w:themeColor="accent1"/>
            </w:rPr>
          </w:pPr>
        </w:p>
      </w:sdtContent>
    </w:sdt>
    <w:sdt>
      <w:sdtPr>
        <w:rPr>
          <w:rFonts w:ascii="Times New Roman" w:eastAsiaTheme="minorHAnsi" w:hAnsi="Times New Roman" w:cs="Times New Roman"/>
          <w:color w:val="auto"/>
          <w:sz w:val="22"/>
          <w:szCs w:val="22"/>
        </w:rPr>
        <w:id w:val="952287974"/>
        <w:docPartObj>
          <w:docPartGallery w:val="Table of Contents"/>
          <w:docPartUnique/>
        </w:docPartObj>
      </w:sdtPr>
      <w:sdtEndPr>
        <w:rPr>
          <w:b/>
          <w:bCs/>
          <w:noProof/>
        </w:rPr>
      </w:sdtEndPr>
      <w:sdtContent>
        <w:p w14:paraId="635A084B" w14:textId="7E83D931" w:rsidR="00B151A8" w:rsidRPr="00DA22FC" w:rsidRDefault="00C039E4" w:rsidP="00DA22FC">
          <w:pPr>
            <w:pStyle w:val="TOCHeading"/>
            <w:jc w:val="center"/>
            <w:rPr>
              <w:rFonts w:ascii="Times New Roman" w:eastAsiaTheme="minorHAnsi" w:hAnsi="Times New Roman" w:cs="Times New Roman"/>
              <w:color w:val="auto"/>
              <w:sz w:val="22"/>
              <w:szCs w:val="22"/>
            </w:rPr>
          </w:pPr>
          <w:r w:rsidRPr="00EE6716">
            <w:rPr>
              <w:rFonts w:ascii="Times New Roman" w:hAnsi="Times New Roman" w:cs="Times New Roman"/>
              <w:b/>
              <w:bCs/>
              <w:color w:val="auto"/>
              <w:sz w:val="28"/>
              <w:szCs w:val="28"/>
            </w:rPr>
            <w:t>Table of C</w:t>
          </w:r>
          <w:r w:rsidR="00B151A8" w:rsidRPr="00EE6716">
            <w:rPr>
              <w:rFonts w:ascii="Times New Roman" w:hAnsi="Times New Roman" w:cs="Times New Roman"/>
              <w:b/>
              <w:bCs/>
              <w:color w:val="auto"/>
              <w:sz w:val="28"/>
              <w:szCs w:val="28"/>
            </w:rPr>
            <w:t>ontents</w:t>
          </w:r>
        </w:p>
        <w:p w14:paraId="4B8F1546" w14:textId="18410FD2" w:rsidR="0050765C" w:rsidRPr="00576E02" w:rsidRDefault="00B01442" w:rsidP="0050765C">
          <w:pPr>
            <w:spacing w:line="240" w:lineRule="auto"/>
            <w:rPr>
              <w:rFonts w:ascii="Times New Roman" w:hAnsi="Times New Roman" w:cs="Times New Roman"/>
              <w:sz w:val="24"/>
              <w:szCs w:val="24"/>
            </w:rPr>
          </w:pPr>
          <w:r w:rsidRPr="00576E02">
            <w:rPr>
              <w:rFonts w:ascii="Times New Roman" w:hAnsi="Times New Roman" w:cs="Times New Roman"/>
              <w:sz w:val="24"/>
              <w:szCs w:val="24"/>
            </w:rPr>
            <w:t>Executive</w:t>
          </w:r>
          <w:r w:rsidR="00576E02">
            <w:rPr>
              <w:rFonts w:ascii="Times New Roman" w:hAnsi="Times New Roman" w:cs="Times New Roman"/>
              <w:sz w:val="24"/>
              <w:szCs w:val="24"/>
            </w:rPr>
            <w:t xml:space="preserve"> </w:t>
          </w:r>
          <w:r w:rsidRPr="00576E02">
            <w:rPr>
              <w:rFonts w:ascii="Times New Roman" w:hAnsi="Times New Roman" w:cs="Times New Roman"/>
              <w:sz w:val="24"/>
              <w:szCs w:val="24"/>
            </w:rPr>
            <w:t>Summary……………………………………………………</w:t>
          </w:r>
          <w:r w:rsidR="00E30D44" w:rsidRPr="00576E02">
            <w:rPr>
              <w:rFonts w:ascii="Times New Roman" w:hAnsi="Times New Roman" w:cs="Times New Roman"/>
              <w:sz w:val="24"/>
              <w:szCs w:val="24"/>
            </w:rPr>
            <w:t>………………………</w:t>
          </w:r>
          <w:r w:rsidR="00576E02">
            <w:rPr>
              <w:rFonts w:ascii="Times New Roman" w:hAnsi="Times New Roman" w:cs="Times New Roman"/>
              <w:sz w:val="24"/>
              <w:szCs w:val="24"/>
            </w:rPr>
            <w:t>….2</w:t>
          </w:r>
        </w:p>
        <w:p w14:paraId="05044BE6" w14:textId="5CC0EB61" w:rsidR="00787B65" w:rsidRPr="00576E02" w:rsidRDefault="00787B65" w:rsidP="0050765C">
          <w:pPr>
            <w:spacing w:line="240" w:lineRule="auto"/>
            <w:rPr>
              <w:rFonts w:ascii="Times New Roman" w:hAnsi="Times New Roman" w:cs="Times New Roman"/>
              <w:sz w:val="24"/>
              <w:szCs w:val="24"/>
            </w:rPr>
          </w:pPr>
          <w:r w:rsidRPr="00576E02">
            <w:rPr>
              <w:rFonts w:ascii="Times New Roman" w:hAnsi="Times New Roman" w:cs="Times New Roman"/>
              <w:sz w:val="24"/>
              <w:szCs w:val="24"/>
            </w:rPr>
            <w:t>Introduction</w:t>
          </w:r>
          <w:r w:rsidR="00BB0D16" w:rsidRPr="00576E02">
            <w:rPr>
              <w:rFonts w:ascii="Times New Roman" w:hAnsi="Times New Roman" w:cs="Times New Roman"/>
              <w:sz w:val="24"/>
              <w:szCs w:val="24"/>
            </w:rPr>
            <w:t>………………………………………………………………………</w:t>
          </w:r>
          <w:r w:rsidR="00576E02">
            <w:rPr>
              <w:rFonts w:ascii="Times New Roman" w:hAnsi="Times New Roman" w:cs="Times New Roman"/>
              <w:sz w:val="24"/>
              <w:szCs w:val="24"/>
            </w:rPr>
            <w:t>.</w:t>
          </w:r>
          <w:r w:rsidR="00BB0D16" w:rsidRPr="00576E02">
            <w:rPr>
              <w:rFonts w:ascii="Times New Roman" w:hAnsi="Times New Roman" w:cs="Times New Roman"/>
              <w:sz w:val="24"/>
              <w:szCs w:val="24"/>
            </w:rPr>
            <w:t>…………</w:t>
          </w:r>
          <w:r w:rsidR="00576E02">
            <w:rPr>
              <w:rFonts w:ascii="Times New Roman" w:hAnsi="Times New Roman" w:cs="Times New Roman"/>
              <w:sz w:val="24"/>
              <w:szCs w:val="24"/>
            </w:rPr>
            <w:t>.</w:t>
          </w:r>
          <w:r w:rsidR="00BB0D16" w:rsidRPr="00576E02">
            <w:rPr>
              <w:rFonts w:ascii="Times New Roman" w:hAnsi="Times New Roman" w:cs="Times New Roman"/>
              <w:sz w:val="24"/>
              <w:szCs w:val="24"/>
            </w:rPr>
            <w:t>……3</w:t>
          </w:r>
        </w:p>
        <w:p w14:paraId="355E43F6" w14:textId="7652AD78" w:rsidR="00576E02" w:rsidRPr="00576E02" w:rsidRDefault="00F87217">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r w:rsidRPr="00576E02">
            <w:rPr>
              <w:rFonts w:ascii="Times New Roman" w:hAnsi="Times New Roman" w:cs="Times New Roman"/>
              <w:sz w:val="24"/>
              <w:szCs w:val="24"/>
            </w:rPr>
            <w:fldChar w:fldCharType="begin"/>
          </w:r>
          <w:r w:rsidR="00B151A8" w:rsidRPr="00576E02">
            <w:rPr>
              <w:rFonts w:ascii="Times New Roman" w:hAnsi="Times New Roman" w:cs="Times New Roman"/>
              <w:sz w:val="24"/>
              <w:szCs w:val="24"/>
            </w:rPr>
            <w:instrText xml:space="preserve"> TOC \o "1-3" \h \z \u </w:instrText>
          </w:r>
          <w:r w:rsidRPr="00576E02">
            <w:rPr>
              <w:rFonts w:ascii="Times New Roman" w:hAnsi="Times New Roman" w:cs="Times New Roman"/>
              <w:sz w:val="24"/>
              <w:szCs w:val="24"/>
            </w:rPr>
            <w:fldChar w:fldCharType="separate"/>
          </w:r>
          <w:hyperlink w:anchor="_Toc187878296" w:history="1">
            <w:r w:rsidR="00576E02" w:rsidRPr="00576E02">
              <w:rPr>
                <w:rStyle w:val="Hyperlink"/>
                <w:rFonts w:ascii="Times New Roman" w:hAnsi="Times New Roman" w:cs="Times New Roman"/>
                <w:noProof/>
                <w:sz w:val="24"/>
                <w:szCs w:val="24"/>
              </w:rPr>
              <w:t>Part 1: Analysis of Financial Management of Reckitt Benckiser Group Plc</w:t>
            </w:r>
            <w:r w:rsidR="00576E02" w:rsidRPr="00576E02">
              <w:rPr>
                <w:rFonts w:ascii="Times New Roman" w:hAnsi="Times New Roman" w:cs="Times New Roman"/>
                <w:noProof/>
                <w:webHidden/>
                <w:sz w:val="24"/>
                <w:szCs w:val="24"/>
              </w:rPr>
              <w:tab/>
            </w:r>
            <w:r w:rsidR="00576E02" w:rsidRPr="00576E02">
              <w:rPr>
                <w:rFonts w:ascii="Times New Roman" w:hAnsi="Times New Roman" w:cs="Times New Roman"/>
                <w:noProof/>
                <w:webHidden/>
                <w:sz w:val="24"/>
                <w:szCs w:val="24"/>
              </w:rPr>
              <w:fldChar w:fldCharType="begin"/>
            </w:r>
            <w:r w:rsidR="00576E02" w:rsidRPr="00576E02">
              <w:rPr>
                <w:rFonts w:ascii="Times New Roman" w:hAnsi="Times New Roman" w:cs="Times New Roman"/>
                <w:noProof/>
                <w:webHidden/>
                <w:sz w:val="24"/>
                <w:szCs w:val="24"/>
              </w:rPr>
              <w:instrText xml:space="preserve"> PAGEREF _Toc187878296 \h </w:instrText>
            </w:r>
            <w:r w:rsidR="00576E02" w:rsidRPr="00576E02">
              <w:rPr>
                <w:rFonts w:ascii="Times New Roman" w:hAnsi="Times New Roman" w:cs="Times New Roman"/>
                <w:noProof/>
                <w:webHidden/>
                <w:sz w:val="24"/>
                <w:szCs w:val="24"/>
              </w:rPr>
            </w:r>
            <w:r w:rsidR="00576E02" w:rsidRPr="00576E02">
              <w:rPr>
                <w:rFonts w:ascii="Times New Roman" w:hAnsi="Times New Roman" w:cs="Times New Roman"/>
                <w:noProof/>
                <w:webHidden/>
                <w:sz w:val="24"/>
                <w:szCs w:val="24"/>
              </w:rPr>
              <w:fldChar w:fldCharType="separate"/>
            </w:r>
            <w:r w:rsidR="00576E02">
              <w:rPr>
                <w:rFonts w:ascii="Times New Roman" w:hAnsi="Times New Roman" w:cs="Times New Roman"/>
                <w:noProof/>
                <w:webHidden/>
                <w:sz w:val="24"/>
                <w:szCs w:val="24"/>
              </w:rPr>
              <w:t>3</w:t>
            </w:r>
            <w:r w:rsidR="00576E02" w:rsidRPr="00576E02">
              <w:rPr>
                <w:rFonts w:ascii="Times New Roman" w:hAnsi="Times New Roman" w:cs="Times New Roman"/>
                <w:noProof/>
                <w:webHidden/>
                <w:sz w:val="24"/>
                <w:szCs w:val="24"/>
              </w:rPr>
              <w:fldChar w:fldCharType="end"/>
            </w:r>
          </w:hyperlink>
        </w:p>
        <w:p w14:paraId="7C620AD5" w14:textId="0E8B9350"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297" w:history="1">
            <w:r w:rsidRPr="00576E02">
              <w:rPr>
                <w:rStyle w:val="Hyperlink"/>
                <w:rFonts w:ascii="Times New Roman" w:hAnsi="Times New Roman" w:cs="Times New Roman"/>
                <w:noProof/>
                <w:sz w:val="24"/>
                <w:szCs w:val="24"/>
              </w:rPr>
              <w:t>1.1 Overview of Reckitt Benckiser Group Plc</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_Toc187878297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w:t>
            </w:r>
            <w:r w:rsidRPr="00576E02">
              <w:rPr>
                <w:rFonts w:ascii="Times New Roman" w:hAnsi="Times New Roman" w:cs="Times New Roman"/>
                <w:noProof/>
                <w:webHidden/>
                <w:sz w:val="24"/>
                <w:szCs w:val="24"/>
              </w:rPr>
              <w:fldChar w:fldCharType="end"/>
            </w:r>
          </w:hyperlink>
        </w:p>
        <w:p w14:paraId="58467EBF" w14:textId="42DAE959"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298" w:history="1">
            <w:r w:rsidRPr="00576E02">
              <w:rPr>
                <w:rStyle w:val="Hyperlink"/>
                <w:rFonts w:ascii="Times New Roman" w:hAnsi="Times New Roman" w:cs="Times New Roman"/>
                <w:noProof/>
                <w:sz w:val="24"/>
                <w:szCs w:val="24"/>
              </w:rPr>
              <w:t>1.2.1 Profitability Analysis</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_Toc187878298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4</w:t>
            </w:r>
            <w:r w:rsidRPr="00576E02">
              <w:rPr>
                <w:rFonts w:ascii="Times New Roman" w:hAnsi="Times New Roman" w:cs="Times New Roman"/>
                <w:noProof/>
                <w:webHidden/>
                <w:sz w:val="24"/>
                <w:szCs w:val="24"/>
              </w:rPr>
              <w:fldChar w:fldCharType="end"/>
            </w:r>
          </w:hyperlink>
        </w:p>
        <w:p w14:paraId="2379387C" w14:textId="46A8CCAB"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299" w:history="1">
            <w:r w:rsidRPr="00576E02">
              <w:rPr>
                <w:rStyle w:val="Hyperlink"/>
                <w:rFonts w:ascii="Times New Roman" w:hAnsi="Times New Roman" w:cs="Times New Roman"/>
                <w:noProof/>
                <w:sz w:val="24"/>
                <w:szCs w:val="24"/>
              </w:rPr>
              <w:t>1.2.5 Investor Ratio Analysis</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_Toc187878299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10</w:t>
            </w:r>
            <w:r w:rsidRPr="00576E02">
              <w:rPr>
                <w:rFonts w:ascii="Times New Roman" w:hAnsi="Times New Roman" w:cs="Times New Roman"/>
                <w:noProof/>
                <w:webHidden/>
                <w:sz w:val="24"/>
                <w:szCs w:val="24"/>
              </w:rPr>
              <w:fldChar w:fldCharType="end"/>
            </w:r>
          </w:hyperlink>
        </w:p>
        <w:p w14:paraId="7C78B161" w14:textId="7CA76021"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00" w:history="1">
            <w:r w:rsidRPr="00576E02">
              <w:rPr>
                <w:rStyle w:val="Hyperlink"/>
                <w:rFonts w:ascii="Times New Roman" w:hAnsi="Times New Roman" w:cs="Times New Roman"/>
                <w:noProof/>
                <w:sz w:val="24"/>
                <w:szCs w:val="24"/>
              </w:rPr>
              <w:t>1.2.6 Limitations of Ratio Analysis</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_Toc187878300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11</w:t>
            </w:r>
            <w:r w:rsidRPr="00576E02">
              <w:rPr>
                <w:rFonts w:ascii="Times New Roman" w:hAnsi="Times New Roman" w:cs="Times New Roman"/>
                <w:noProof/>
                <w:webHidden/>
                <w:sz w:val="24"/>
                <w:szCs w:val="24"/>
              </w:rPr>
              <w:fldChar w:fldCharType="end"/>
            </w:r>
          </w:hyperlink>
        </w:p>
        <w:p w14:paraId="3D39C941" w14:textId="2A84E259"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01" w:history="1">
            <w:r w:rsidRPr="00576E02">
              <w:rPr>
                <w:rStyle w:val="Hyperlink"/>
                <w:rFonts w:ascii="Times New Roman" w:hAnsi="Times New Roman" w:cs="Times New Roman"/>
                <w:noProof/>
                <w:sz w:val="24"/>
                <w:szCs w:val="24"/>
              </w:rPr>
              <w:t>1.3 Ways to Improve the Financial Management of Reckitt Benckiser Group Plc</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_Toc187878301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12</w:t>
            </w:r>
            <w:r w:rsidRPr="00576E02">
              <w:rPr>
                <w:rFonts w:ascii="Times New Roman" w:hAnsi="Times New Roman" w:cs="Times New Roman"/>
                <w:noProof/>
                <w:webHidden/>
                <w:sz w:val="24"/>
                <w:szCs w:val="24"/>
              </w:rPr>
              <w:fldChar w:fldCharType="end"/>
            </w:r>
          </w:hyperlink>
        </w:p>
        <w:p w14:paraId="6CEA958E" w14:textId="6E1D973D" w:rsidR="00576E02" w:rsidRPr="00576E02" w:rsidRDefault="00576E02">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02" w:history="1">
            <w:r w:rsidRPr="00576E02">
              <w:rPr>
                <w:rStyle w:val="Hyperlink"/>
                <w:rFonts w:ascii="Times New Roman" w:hAnsi="Times New Roman" w:cs="Times New Roman"/>
                <w:noProof/>
                <w:sz w:val="24"/>
                <w:szCs w:val="24"/>
              </w:rPr>
              <w:t>Part 2: Appropriate Capital Investment Decision of Greenacres Plc</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_Toc187878302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576E02">
              <w:rPr>
                <w:rFonts w:ascii="Times New Roman" w:hAnsi="Times New Roman" w:cs="Times New Roman"/>
                <w:noProof/>
                <w:webHidden/>
                <w:sz w:val="24"/>
                <w:szCs w:val="24"/>
              </w:rPr>
              <w:fldChar w:fldCharType="end"/>
            </w:r>
          </w:hyperlink>
        </w:p>
        <w:p w14:paraId="7E786BB5" w14:textId="2D8B7A21"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03" w:history="1">
            <w:r w:rsidRPr="00576E02">
              <w:rPr>
                <w:rStyle w:val="Hyperlink"/>
                <w:rFonts w:ascii="Times New Roman" w:hAnsi="Times New Roman" w:cs="Times New Roman"/>
                <w:noProof/>
                <w:sz w:val="24"/>
                <w:szCs w:val="24"/>
              </w:rPr>
              <w:t>2.1 Net Present Value- The Best Method of Investment Appraisal</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_Toc187878303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13</w:t>
            </w:r>
            <w:r w:rsidRPr="00576E02">
              <w:rPr>
                <w:rFonts w:ascii="Times New Roman" w:hAnsi="Times New Roman" w:cs="Times New Roman"/>
                <w:noProof/>
                <w:webHidden/>
                <w:sz w:val="24"/>
                <w:szCs w:val="24"/>
              </w:rPr>
              <w:fldChar w:fldCharType="end"/>
            </w:r>
          </w:hyperlink>
        </w:p>
        <w:p w14:paraId="6CC8FA29" w14:textId="53DEEAA7"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04" w:history="1">
            <w:r w:rsidRPr="00576E02">
              <w:rPr>
                <w:rStyle w:val="Hyperlink"/>
                <w:rFonts w:ascii="Times New Roman" w:hAnsi="Times New Roman" w:cs="Times New Roman"/>
                <w:noProof/>
                <w:sz w:val="24"/>
                <w:szCs w:val="24"/>
              </w:rPr>
              <w:t>2.2 Continued Popularity of Non-Discounting Methods of Investment Appraisal</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_Toc187878304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15</w:t>
            </w:r>
            <w:r w:rsidRPr="00576E02">
              <w:rPr>
                <w:rFonts w:ascii="Times New Roman" w:hAnsi="Times New Roman" w:cs="Times New Roman"/>
                <w:noProof/>
                <w:webHidden/>
                <w:sz w:val="24"/>
                <w:szCs w:val="24"/>
              </w:rPr>
              <w:fldChar w:fldCharType="end"/>
            </w:r>
          </w:hyperlink>
        </w:p>
        <w:p w14:paraId="7531D706" w14:textId="1D629EF0"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05" w:history="1">
            <w:r w:rsidRPr="00576E02">
              <w:rPr>
                <w:rStyle w:val="Hyperlink"/>
                <w:rFonts w:ascii="Times New Roman" w:hAnsi="Times New Roman" w:cs="Times New Roman"/>
                <w:noProof/>
                <w:sz w:val="24"/>
                <w:szCs w:val="24"/>
              </w:rPr>
              <w:t xml:space="preserve">2.3 Evaluation of The Investment Options of </w:t>
            </w:r>
            <w:r w:rsidRPr="00576E02">
              <w:rPr>
                <w:rStyle w:val="Hyperlink"/>
                <w:rFonts w:ascii="Times New Roman" w:hAnsi="Times New Roman" w:cs="Times New Roman"/>
                <w:noProof/>
                <w:sz w:val="24"/>
                <w:szCs w:val="24"/>
                <w:lang w:val="en-GB"/>
              </w:rPr>
              <w:t>Greenacres Plc</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_Toc187878305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576E02">
              <w:rPr>
                <w:rFonts w:ascii="Times New Roman" w:hAnsi="Times New Roman" w:cs="Times New Roman"/>
                <w:noProof/>
                <w:webHidden/>
                <w:sz w:val="24"/>
                <w:szCs w:val="24"/>
              </w:rPr>
              <w:fldChar w:fldCharType="end"/>
            </w:r>
          </w:hyperlink>
        </w:p>
        <w:p w14:paraId="1413032F" w14:textId="7CB606CA" w:rsidR="00576E02" w:rsidRPr="00576E02" w:rsidRDefault="00576E02">
          <w:pPr>
            <w:pStyle w:val="TOC3"/>
            <w:tabs>
              <w:tab w:val="left" w:pos="1200"/>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06" w:history="1">
            <w:r w:rsidRPr="00576E02">
              <w:rPr>
                <w:rStyle w:val="Hyperlink"/>
                <w:rFonts w:ascii="Times New Roman" w:hAnsi="Times New Roman" w:cs="Times New Roman"/>
                <w:noProof/>
                <w:sz w:val="24"/>
                <w:szCs w:val="24"/>
                <w:lang w:val="en-GB"/>
              </w:rPr>
              <w:t>2.3.1</w:t>
            </w:r>
            <w:r w:rsidRPr="00576E02">
              <w:rPr>
                <w:rFonts w:ascii="Times New Roman" w:eastAsiaTheme="minorEastAsia" w:hAnsi="Times New Roman" w:cs="Times New Roman"/>
                <w:noProof/>
                <w:kern w:val="2"/>
                <w:sz w:val="24"/>
                <w:szCs w:val="24"/>
                <w:lang w:val="en-GB" w:eastAsia="en-GB"/>
                <w14:ligatures w14:val="standardContextual"/>
              </w:rPr>
              <w:tab/>
            </w:r>
            <w:r w:rsidRPr="00576E02">
              <w:rPr>
                <w:rStyle w:val="Hyperlink"/>
                <w:rFonts w:ascii="Times New Roman" w:hAnsi="Times New Roman" w:cs="Times New Roman"/>
                <w:noProof/>
                <w:sz w:val="24"/>
                <w:szCs w:val="24"/>
                <w:lang w:val="en-GB"/>
              </w:rPr>
              <w:t>NPV Calculation of The Investment Options</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_Toc187878306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16</w:t>
            </w:r>
            <w:r w:rsidRPr="00576E02">
              <w:rPr>
                <w:rFonts w:ascii="Times New Roman" w:hAnsi="Times New Roman" w:cs="Times New Roman"/>
                <w:noProof/>
                <w:webHidden/>
                <w:sz w:val="24"/>
                <w:szCs w:val="24"/>
              </w:rPr>
              <w:fldChar w:fldCharType="end"/>
            </w:r>
          </w:hyperlink>
        </w:p>
        <w:p w14:paraId="386DDB3F" w14:textId="2EFEC165" w:rsidR="00576E02" w:rsidRPr="00576E02" w:rsidRDefault="00576E02">
          <w:pPr>
            <w:pStyle w:val="TOC3"/>
            <w:tabs>
              <w:tab w:val="left" w:pos="1200"/>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07" w:history="1">
            <w:r w:rsidRPr="00576E02">
              <w:rPr>
                <w:rStyle w:val="Hyperlink"/>
                <w:rFonts w:ascii="Times New Roman" w:hAnsi="Times New Roman" w:cs="Times New Roman"/>
                <w:noProof/>
                <w:sz w:val="24"/>
                <w:szCs w:val="24"/>
                <w:lang w:val="en-GB"/>
              </w:rPr>
              <w:t>2.3.2</w:t>
            </w:r>
            <w:r w:rsidRPr="00576E02">
              <w:rPr>
                <w:rFonts w:ascii="Times New Roman" w:eastAsiaTheme="minorEastAsia" w:hAnsi="Times New Roman" w:cs="Times New Roman"/>
                <w:noProof/>
                <w:kern w:val="2"/>
                <w:sz w:val="24"/>
                <w:szCs w:val="24"/>
                <w:lang w:val="en-GB" w:eastAsia="en-GB"/>
                <w14:ligatures w14:val="standardContextual"/>
              </w:rPr>
              <w:tab/>
            </w:r>
            <w:r w:rsidRPr="00576E02">
              <w:rPr>
                <w:rStyle w:val="Hyperlink"/>
                <w:rFonts w:ascii="Times New Roman" w:hAnsi="Times New Roman" w:cs="Times New Roman"/>
                <w:noProof/>
                <w:sz w:val="24"/>
                <w:szCs w:val="24"/>
                <w:lang w:val="en-GB"/>
              </w:rPr>
              <w:t>IRR Calculation of The Investment Options</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_Toc187878307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18</w:t>
            </w:r>
            <w:r w:rsidRPr="00576E02">
              <w:rPr>
                <w:rFonts w:ascii="Times New Roman" w:hAnsi="Times New Roman" w:cs="Times New Roman"/>
                <w:noProof/>
                <w:webHidden/>
                <w:sz w:val="24"/>
                <w:szCs w:val="24"/>
              </w:rPr>
              <w:fldChar w:fldCharType="end"/>
            </w:r>
          </w:hyperlink>
        </w:p>
        <w:p w14:paraId="6980CA10" w14:textId="11763347" w:rsidR="00576E02" w:rsidRPr="00576E02" w:rsidRDefault="00576E02">
          <w:pPr>
            <w:pStyle w:val="TOC3"/>
            <w:tabs>
              <w:tab w:val="left" w:pos="1200"/>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08" w:history="1">
            <w:r w:rsidRPr="00576E02">
              <w:rPr>
                <w:rStyle w:val="Hyperlink"/>
                <w:rFonts w:ascii="Times New Roman" w:hAnsi="Times New Roman" w:cs="Times New Roman"/>
                <w:noProof/>
                <w:sz w:val="24"/>
                <w:szCs w:val="24"/>
              </w:rPr>
              <w:t>2.3.3</w:t>
            </w:r>
            <w:r w:rsidRPr="00576E02">
              <w:rPr>
                <w:rFonts w:ascii="Times New Roman" w:eastAsiaTheme="minorEastAsia" w:hAnsi="Times New Roman" w:cs="Times New Roman"/>
                <w:noProof/>
                <w:kern w:val="2"/>
                <w:sz w:val="24"/>
                <w:szCs w:val="24"/>
                <w:lang w:val="en-GB" w:eastAsia="en-GB"/>
                <w14:ligatures w14:val="standardContextual"/>
              </w:rPr>
              <w:tab/>
            </w:r>
            <w:r w:rsidRPr="00576E02">
              <w:rPr>
                <w:rStyle w:val="Hyperlink"/>
                <w:rFonts w:ascii="Times New Roman" w:hAnsi="Times New Roman" w:cs="Times New Roman"/>
                <w:noProof/>
                <w:sz w:val="24"/>
                <w:szCs w:val="24"/>
              </w:rPr>
              <w:t>Selection of The Appropriate Investment Option</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_Toc187878308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20</w:t>
            </w:r>
            <w:r w:rsidRPr="00576E02">
              <w:rPr>
                <w:rFonts w:ascii="Times New Roman" w:hAnsi="Times New Roman" w:cs="Times New Roman"/>
                <w:noProof/>
                <w:webHidden/>
                <w:sz w:val="24"/>
                <w:szCs w:val="24"/>
              </w:rPr>
              <w:fldChar w:fldCharType="end"/>
            </w:r>
          </w:hyperlink>
        </w:p>
        <w:p w14:paraId="0CD4C146" w14:textId="6F2D5788"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09" w:history="1">
            <w:r w:rsidRPr="00576E02">
              <w:rPr>
                <w:rStyle w:val="Hyperlink"/>
                <w:rFonts w:ascii="Times New Roman" w:hAnsi="Times New Roman" w:cs="Times New Roman"/>
                <w:noProof/>
                <w:sz w:val="24"/>
                <w:szCs w:val="24"/>
              </w:rPr>
              <w:t>2.4 Other Considerable Factors for Investment Decision</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_Toc187878309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22</w:t>
            </w:r>
            <w:r w:rsidRPr="00576E02">
              <w:rPr>
                <w:rFonts w:ascii="Times New Roman" w:hAnsi="Times New Roman" w:cs="Times New Roman"/>
                <w:noProof/>
                <w:webHidden/>
                <w:sz w:val="24"/>
                <w:szCs w:val="24"/>
              </w:rPr>
              <w:fldChar w:fldCharType="end"/>
            </w:r>
          </w:hyperlink>
        </w:p>
        <w:p w14:paraId="59075EC3" w14:textId="1373ECFB" w:rsidR="00576E02" w:rsidRPr="00576E02" w:rsidRDefault="00576E02">
          <w:pPr>
            <w:pStyle w:val="TOC2"/>
            <w:tabs>
              <w:tab w:val="left" w:pos="960"/>
            </w:tabs>
            <w:rPr>
              <w:rFonts w:ascii="Times New Roman" w:eastAsiaTheme="minorEastAsia" w:hAnsi="Times New Roman" w:cs="Times New Roman"/>
              <w:noProof/>
              <w:kern w:val="2"/>
              <w:sz w:val="24"/>
              <w:szCs w:val="24"/>
              <w:lang w:val="en-GB" w:eastAsia="en-GB"/>
              <w14:ligatures w14:val="standardContextual"/>
            </w:rPr>
          </w:pPr>
          <w:hyperlink w:anchor="_Toc187878310" w:history="1">
            <w:r w:rsidRPr="00576E02">
              <w:rPr>
                <w:rStyle w:val="Hyperlink"/>
                <w:rFonts w:ascii="Times New Roman" w:hAnsi="Times New Roman" w:cs="Times New Roman"/>
                <w:noProof/>
                <w:sz w:val="24"/>
                <w:szCs w:val="24"/>
              </w:rPr>
              <w:t>2.4NPV of Optimal Investment Policy</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_Toc187878310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23</w:t>
            </w:r>
            <w:r w:rsidRPr="00576E02">
              <w:rPr>
                <w:rFonts w:ascii="Times New Roman" w:hAnsi="Times New Roman" w:cs="Times New Roman"/>
                <w:noProof/>
                <w:webHidden/>
                <w:sz w:val="24"/>
                <w:szCs w:val="24"/>
              </w:rPr>
              <w:fldChar w:fldCharType="end"/>
            </w:r>
          </w:hyperlink>
        </w:p>
        <w:p w14:paraId="0ACB51DC" w14:textId="62A4AB8A" w:rsidR="00576E02" w:rsidRDefault="00576E02">
          <w:pPr>
            <w:pStyle w:val="TOC2"/>
            <w:rPr>
              <w:rStyle w:val="Hyperlink"/>
              <w:rFonts w:ascii="Times New Roman" w:hAnsi="Times New Roman" w:cs="Times New Roman"/>
              <w:noProof/>
              <w:sz w:val="24"/>
              <w:szCs w:val="24"/>
            </w:rPr>
          </w:pPr>
          <w:hyperlink w:anchor="_Toc187878311" w:history="1">
            <w:r w:rsidRPr="00576E02">
              <w:rPr>
                <w:rStyle w:val="Hyperlink"/>
                <w:rFonts w:ascii="Times New Roman" w:hAnsi="Times New Roman" w:cs="Times New Roman"/>
                <w:noProof/>
                <w:sz w:val="24"/>
                <w:szCs w:val="24"/>
              </w:rPr>
              <w:t xml:space="preserve">2.6 Appropriate Financing Plan for </w:t>
            </w:r>
            <w:r w:rsidRPr="00576E02">
              <w:rPr>
                <w:rStyle w:val="Hyperlink"/>
                <w:rFonts w:ascii="Times New Roman" w:hAnsi="Times New Roman" w:cs="Times New Roman"/>
                <w:noProof/>
                <w:sz w:val="24"/>
                <w:szCs w:val="24"/>
                <w:lang w:val="en-GB"/>
              </w:rPr>
              <w:t>Greenacres Plc</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_Toc187878311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25</w:t>
            </w:r>
            <w:r w:rsidRPr="00576E02">
              <w:rPr>
                <w:rFonts w:ascii="Times New Roman" w:hAnsi="Times New Roman" w:cs="Times New Roman"/>
                <w:noProof/>
                <w:webHidden/>
                <w:sz w:val="24"/>
                <w:szCs w:val="24"/>
              </w:rPr>
              <w:fldChar w:fldCharType="end"/>
            </w:r>
          </w:hyperlink>
        </w:p>
        <w:p w14:paraId="6C3B1FFF" w14:textId="4E958DD7" w:rsidR="00576E02" w:rsidRPr="00576E02" w:rsidRDefault="00576E02" w:rsidP="00576E02">
          <w:r w:rsidRPr="00576E02">
            <w:rPr>
              <w:rFonts w:ascii="Times New Roman" w:hAnsi="Times New Roman" w:cs="Times New Roman"/>
              <w:sz w:val="24"/>
              <w:szCs w:val="24"/>
            </w:rPr>
            <w:t>Conclusion…</w:t>
          </w:r>
          <w:r>
            <w:t>…………………………………………………………………………………………………………………………………….…28</w:t>
          </w:r>
        </w:p>
        <w:p w14:paraId="3510116E" w14:textId="0EEA227B" w:rsidR="00576E02" w:rsidRPr="00576E02" w:rsidRDefault="00576E02">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12" w:history="1">
            <w:r w:rsidRPr="00576E02">
              <w:rPr>
                <w:rStyle w:val="Hyperlink"/>
                <w:rFonts w:ascii="Times New Roman" w:hAnsi="Times New Roman" w:cs="Times New Roman"/>
                <w:noProof/>
                <w:sz w:val="24"/>
                <w:szCs w:val="24"/>
              </w:rPr>
              <w:t>Reference</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_Toc187878312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29</w:t>
            </w:r>
            <w:r w:rsidRPr="00576E02">
              <w:rPr>
                <w:rFonts w:ascii="Times New Roman" w:hAnsi="Times New Roman" w:cs="Times New Roman"/>
                <w:noProof/>
                <w:webHidden/>
                <w:sz w:val="24"/>
                <w:szCs w:val="24"/>
              </w:rPr>
              <w:fldChar w:fldCharType="end"/>
            </w:r>
          </w:hyperlink>
        </w:p>
        <w:p w14:paraId="44797EC1" w14:textId="03C19E0B" w:rsidR="00576E02" w:rsidRPr="00576E02" w:rsidRDefault="00576E02">
          <w:pPr>
            <w:pStyle w:val="TOC1"/>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13" w:history="1">
            <w:r w:rsidRPr="00576E02">
              <w:rPr>
                <w:rStyle w:val="Hyperlink"/>
                <w:rFonts w:ascii="Times New Roman" w:hAnsi="Times New Roman" w:cs="Times New Roman"/>
                <w:noProof/>
                <w:sz w:val="24"/>
                <w:szCs w:val="24"/>
              </w:rPr>
              <w:t>Appendix</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_Toc187878313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32</w:t>
            </w:r>
            <w:r w:rsidRPr="00576E02">
              <w:rPr>
                <w:rFonts w:ascii="Times New Roman" w:hAnsi="Times New Roman" w:cs="Times New Roman"/>
                <w:noProof/>
                <w:webHidden/>
                <w:sz w:val="24"/>
                <w:szCs w:val="24"/>
              </w:rPr>
              <w:fldChar w:fldCharType="end"/>
            </w:r>
          </w:hyperlink>
        </w:p>
        <w:p w14:paraId="04008B22" w14:textId="5886A77F"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14" w:history="1">
            <w:r w:rsidRPr="00576E02">
              <w:rPr>
                <w:rStyle w:val="Hyperlink"/>
                <w:rFonts w:ascii="Times New Roman" w:hAnsi="Times New Roman" w:cs="Times New Roman"/>
                <w:noProof/>
                <w:sz w:val="24"/>
                <w:szCs w:val="24"/>
              </w:rPr>
              <w:t>a) Financial Statement of Reckitt Benckiser Group plc</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_Toc187878314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32</w:t>
            </w:r>
            <w:r w:rsidRPr="00576E02">
              <w:rPr>
                <w:rFonts w:ascii="Times New Roman" w:hAnsi="Times New Roman" w:cs="Times New Roman"/>
                <w:noProof/>
                <w:webHidden/>
                <w:sz w:val="24"/>
                <w:szCs w:val="24"/>
              </w:rPr>
              <w:fldChar w:fldCharType="end"/>
            </w:r>
          </w:hyperlink>
        </w:p>
        <w:p w14:paraId="23E642BD" w14:textId="379B28B0"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15" w:history="1">
            <w:r w:rsidRPr="00576E02">
              <w:rPr>
                <w:rStyle w:val="Hyperlink"/>
                <w:rFonts w:ascii="Times New Roman" w:hAnsi="Times New Roman" w:cs="Times New Roman"/>
                <w:noProof/>
                <w:sz w:val="24"/>
                <w:szCs w:val="24"/>
              </w:rPr>
              <w:t>I. Group Income Statement</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_Toc187878315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32</w:t>
            </w:r>
            <w:r w:rsidRPr="00576E02">
              <w:rPr>
                <w:rFonts w:ascii="Times New Roman" w:hAnsi="Times New Roman" w:cs="Times New Roman"/>
                <w:noProof/>
                <w:webHidden/>
                <w:sz w:val="24"/>
                <w:szCs w:val="24"/>
              </w:rPr>
              <w:fldChar w:fldCharType="end"/>
            </w:r>
          </w:hyperlink>
        </w:p>
        <w:p w14:paraId="539B06A7" w14:textId="579CA814"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16" w:history="1">
            <w:r w:rsidRPr="00576E02">
              <w:rPr>
                <w:rStyle w:val="Hyperlink"/>
                <w:rFonts w:ascii="Times New Roman" w:hAnsi="Times New Roman" w:cs="Times New Roman"/>
                <w:noProof/>
                <w:sz w:val="24"/>
                <w:szCs w:val="24"/>
              </w:rPr>
              <w:t>II. Group Balance Sheet</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_Toc187878316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576E02">
              <w:rPr>
                <w:rFonts w:ascii="Times New Roman" w:hAnsi="Times New Roman" w:cs="Times New Roman"/>
                <w:noProof/>
                <w:webHidden/>
                <w:sz w:val="24"/>
                <w:szCs w:val="24"/>
              </w:rPr>
              <w:fldChar w:fldCharType="end"/>
            </w:r>
          </w:hyperlink>
        </w:p>
        <w:p w14:paraId="7D5B2522" w14:textId="13784156" w:rsidR="00576E02" w:rsidRPr="00576E02" w:rsidRDefault="00576E02">
          <w:pPr>
            <w:pStyle w:val="TOC2"/>
            <w:rPr>
              <w:rFonts w:ascii="Times New Roman" w:eastAsiaTheme="minorEastAsia" w:hAnsi="Times New Roman" w:cs="Times New Roman"/>
              <w:noProof/>
              <w:kern w:val="2"/>
              <w:sz w:val="24"/>
              <w:szCs w:val="24"/>
              <w:lang w:val="en-GB" w:eastAsia="en-GB"/>
              <w14:ligatures w14:val="standardContextual"/>
            </w:rPr>
          </w:pPr>
          <w:hyperlink w:anchor="_Toc187878317" w:history="1">
            <w:r w:rsidRPr="00576E02">
              <w:rPr>
                <w:rStyle w:val="Hyperlink"/>
                <w:rFonts w:ascii="Times New Roman" w:hAnsi="Times New Roman" w:cs="Times New Roman"/>
                <w:noProof/>
                <w:sz w:val="24"/>
                <w:szCs w:val="24"/>
              </w:rPr>
              <w:t>b) Ratio Analysis</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_Toc187878317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576E02">
              <w:rPr>
                <w:rFonts w:ascii="Times New Roman" w:hAnsi="Times New Roman" w:cs="Times New Roman"/>
                <w:noProof/>
                <w:webHidden/>
                <w:sz w:val="24"/>
                <w:szCs w:val="24"/>
              </w:rPr>
              <w:fldChar w:fldCharType="end"/>
            </w:r>
          </w:hyperlink>
        </w:p>
        <w:p w14:paraId="2CAC7BD8" w14:textId="540B1E61"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18" w:history="1">
            <w:r w:rsidRPr="00576E02">
              <w:rPr>
                <w:rStyle w:val="Hyperlink"/>
                <w:rFonts w:ascii="Times New Roman" w:hAnsi="Times New Roman" w:cs="Times New Roman"/>
                <w:noProof/>
                <w:sz w:val="24"/>
                <w:szCs w:val="24"/>
              </w:rPr>
              <w:t>I. Profitability Ratio</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_Toc187878318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33</w:t>
            </w:r>
            <w:r w:rsidRPr="00576E02">
              <w:rPr>
                <w:rFonts w:ascii="Times New Roman" w:hAnsi="Times New Roman" w:cs="Times New Roman"/>
                <w:noProof/>
                <w:webHidden/>
                <w:sz w:val="24"/>
                <w:szCs w:val="24"/>
              </w:rPr>
              <w:fldChar w:fldCharType="end"/>
            </w:r>
          </w:hyperlink>
        </w:p>
        <w:p w14:paraId="7017D5EC" w14:textId="1B7254F6"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19" w:history="1">
            <w:r w:rsidRPr="00576E02">
              <w:rPr>
                <w:rStyle w:val="Hyperlink"/>
                <w:rFonts w:ascii="Times New Roman" w:hAnsi="Times New Roman" w:cs="Times New Roman"/>
                <w:noProof/>
                <w:sz w:val="24"/>
                <w:szCs w:val="24"/>
              </w:rPr>
              <w:t>II. Liquidity Ratio</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_Toc187878319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34</w:t>
            </w:r>
            <w:r w:rsidRPr="00576E02">
              <w:rPr>
                <w:rFonts w:ascii="Times New Roman" w:hAnsi="Times New Roman" w:cs="Times New Roman"/>
                <w:noProof/>
                <w:webHidden/>
                <w:sz w:val="24"/>
                <w:szCs w:val="24"/>
              </w:rPr>
              <w:fldChar w:fldCharType="end"/>
            </w:r>
          </w:hyperlink>
        </w:p>
        <w:p w14:paraId="5D76B160" w14:textId="7BC32CB1"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20" w:history="1">
            <w:r w:rsidRPr="00576E02">
              <w:rPr>
                <w:rStyle w:val="Hyperlink"/>
                <w:rFonts w:ascii="Times New Roman" w:hAnsi="Times New Roman" w:cs="Times New Roman"/>
                <w:noProof/>
                <w:sz w:val="24"/>
                <w:szCs w:val="24"/>
              </w:rPr>
              <w:t>III. Gearing Ratio</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_Toc187878320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34</w:t>
            </w:r>
            <w:r w:rsidRPr="00576E02">
              <w:rPr>
                <w:rFonts w:ascii="Times New Roman" w:hAnsi="Times New Roman" w:cs="Times New Roman"/>
                <w:noProof/>
                <w:webHidden/>
                <w:sz w:val="24"/>
                <w:szCs w:val="24"/>
              </w:rPr>
              <w:fldChar w:fldCharType="end"/>
            </w:r>
          </w:hyperlink>
        </w:p>
        <w:p w14:paraId="2D7F866B" w14:textId="6F63F1CF" w:rsidR="00576E02" w:rsidRPr="00576E02" w:rsidRDefault="00576E02">
          <w:pPr>
            <w:pStyle w:val="TOC3"/>
            <w:tabs>
              <w:tab w:val="right" w:leader="dot" w:pos="9350"/>
            </w:tabs>
            <w:rPr>
              <w:rFonts w:ascii="Times New Roman" w:eastAsiaTheme="minorEastAsia" w:hAnsi="Times New Roman" w:cs="Times New Roman"/>
              <w:noProof/>
              <w:kern w:val="2"/>
              <w:sz w:val="24"/>
              <w:szCs w:val="24"/>
              <w:lang w:val="en-GB" w:eastAsia="en-GB"/>
              <w14:ligatures w14:val="standardContextual"/>
            </w:rPr>
          </w:pPr>
          <w:hyperlink w:anchor="_Toc187878321" w:history="1">
            <w:r w:rsidRPr="00576E02">
              <w:rPr>
                <w:rStyle w:val="Hyperlink"/>
                <w:rFonts w:ascii="Times New Roman" w:hAnsi="Times New Roman" w:cs="Times New Roman"/>
                <w:noProof/>
                <w:sz w:val="24"/>
                <w:szCs w:val="24"/>
              </w:rPr>
              <w:t>IV. Efficiency Ratio</w:t>
            </w:r>
            <w:r w:rsidRPr="00576E02">
              <w:rPr>
                <w:rFonts w:ascii="Times New Roman" w:hAnsi="Times New Roman" w:cs="Times New Roman"/>
                <w:noProof/>
                <w:webHidden/>
                <w:sz w:val="24"/>
                <w:szCs w:val="24"/>
              </w:rPr>
              <w:tab/>
            </w:r>
            <w:r w:rsidRPr="00576E02">
              <w:rPr>
                <w:rFonts w:ascii="Times New Roman" w:hAnsi="Times New Roman" w:cs="Times New Roman"/>
                <w:noProof/>
                <w:webHidden/>
                <w:sz w:val="24"/>
                <w:szCs w:val="24"/>
              </w:rPr>
              <w:fldChar w:fldCharType="begin"/>
            </w:r>
            <w:r w:rsidRPr="00576E02">
              <w:rPr>
                <w:rFonts w:ascii="Times New Roman" w:hAnsi="Times New Roman" w:cs="Times New Roman"/>
                <w:noProof/>
                <w:webHidden/>
                <w:sz w:val="24"/>
                <w:szCs w:val="24"/>
              </w:rPr>
              <w:instrText xml:space="preserve"> PAGEREF _Toc187878321 \h </w:instrText>
            </w:r>
            <w:r w:rsidRPr="00576E02">
              <w:rPr>
                <w:rFonts w:ascii="Times New Roman" w:hAnsi="Times New Roman" w:cs="Times New Roman"/>
                <w:noProof/>
                <w:webHidden/>
                <w:sz w:val="24"/>
                <w:szCs w:val="24"/>
              </w:rPr>
            </w:r>
            <w:r w:rsidRPr="00576E02">
              <w:rPr>
                <w:rFonts w:ascii="Times New Roman" w:hAnsi="Times New Roman" w:cs="Times New Roman"/>
                <w:noProof/>
                <w:webHidden/>
                <w:sz w:val="24"/>
                <w:szCs w:val="24"/>
              </w:rPr>
              <w:fldChar w:fldCharType="separate"/>
            </w:r>
            <w:r>
              <w:rPr>
                <w:rFonts w:ascii="Times New Roman" w:hAnsi="Times New Roman" w:cs="Times New Roman"/>
                <w:noProof/>
                <w:webHidden/>
                <w:sz w:val="24"/>
                <w:szCs w:val="24"/>
              </w:rPr>
              <w:t>35</w:t>
            </w:r>
            <w:r w:rsidRPr="00576E02">
              <w:rPr>
                <w:rFonts w:ascii="Times New Roman" w:hAnsi="Times New Roman" w:cs="Times New Roman"/>
                <w:noProof/>
                <w:webHidden/>
                <w:sz w:val="24"/>
                <w:szCs w:val="24"/>
              </w:rPr>
              <w:fldChar w:fldCharType="end"/>
            </w:r>
          </w:hyperlink>
        </w:p>
        <w:p w14:paraId="536269C8" w14:textId="105488D9" w:rsidR="00DA22FC" w:rsidRDefault="00F87217" w:rsidP="00DA22FC">
          <w:pPr>
            <w:spacing w:line="240" w:lineRule="auto"/>
            <w:rPr>
              <w:rFonts w:ascii="Times New Roman" w:hAnsi="Times New Roman" w:cs="Times New Roman"/>
              <w:b/>
              <w:bCs/>
              <w:noProof/>
            </w:rPr>
          </w:pPr>
          <w:r w:rsidRPr="00576E02">
            <w:rPr>
              <w:rFonts w:ascii="Times New Roman" w:hAnsi="Times New Roman" w:cs="Times New Roman"/>
              <w:noProof/>
              <w:sz w:val="24"/>
              <w:szCs w:val="24"/>
            </w:rPr>
            <w:fldChar w:fldCharType="end"/>
          </w:r>
        </w:p>
      </w:sdtContent>
    </w:sdt>
    <w:p w14:paraId="3D27D6CB" w14:textId="77777777" w:rsidR="00576E02" w:rsidRDefault="00576E02" w:rsidP="00DA22FC">
      <w:pPr>
        <w:spacing w:line="240" w:lineRule="auto"/>
        <w:rPr>
          <w:rFonts w:ascii="Times New Roman" w:hAnsi="Times New Roman" w:cs="Times New Roman"/>
          <w:b/>
          <w:bCs/>
          <w:sz w:val="28"/>
          <w:szCs w:val="28"/>
        </w:rPr>
      </w:pPr>
    </w:p>
    <w:p w14:paraId="5068ACB7" w14:textId="77777777" w:rsidR="00576E02" w:rsidRDefault="00576E02" w:rsidP="00DA22FC">
      <w:pPr>
        <w:spacing w:line="240" w:lineRule="auto"/>
        <w:rPr>
          <w:rFonts w:ascii="Times New Roman" w:hAnsi="Times New Roman" w:cs="Times New Roman"/>
          <w:b/>
          <w:bCs/>
          <w:sz w:val="28"/>
          <w:szCs w:val="28"/>
        </w:rPr>
      </w:pPr>
    </w:p>
    <w:p w14:paraId="4F2E124E" w14:textId="1308B732" w:rsidR="00AE3A15" w:rsidRDefault="00D9035A" w:rsidP="00DA22FC">
      <w:pPr>
        <w:spacing w:line="240" w:lineRule="auto"/>
        <w:rPr>
          <w:rFonts w:ascii="Times New Roman" w:hAnsi="Times New Roman" w:cs="Times New Roman"/>
          <w:b/>
          <w:bCs/>
          <w:sz w:val="28"/>
          <w:szCs w:val="28"/>
        </w:rPr>
      </w:pPr>
      <w:r w:rsidRPr="00D9035A">
        <w:rPr>
          <w:rFonts w:ascii="Times New Roman" w:hAnsi="Times New Roman" w:cs="Times New Roman"/>
          <w:b/>
          <w:bCs/>
          <w:sz w:val="28"/>
          <w:szCs w:val="28"/>
        </w:rPr>
        <w:t>Executive Summary</w:t>
      </w:r>
    </w:p>
    <w:p w14:paraId="4DD41B97" w14:textId="77777777" w:rsidR="00DA22FC" w:rsidRPr="00DA22FC" w:rsidRDefault="00DA22FC" w:rsidP="00DA22FC">
      <w:pPr>
        <w:spacing w:line="240" w:lineRule="auto"/>
        <w:rPr>
          <w:rFonts w:ascii="Times New Roman" w:hAnsi="Times New Roman" w:cs="Times New Roman"/>
          <w:b/>
          <w:bCs/>
          <w:noProof/>
        </w:rPr>
      </w:pPr>
    </w:p>
    <w:p w14:paraId="08687A40" w14:textId="0A054501" w:rsidR="00AE3A15" w:rsidRPr="00A46C0E" w:rsidRDefault="00D10FC1" w:rsidP="00DA22FC">
      <w:pPr>
        <w:spacing w:line="360" w:lineRule="auto"/>
        <w:jc w:val="both"/>
        <w:rPr>
          <w:rFonts w:ascii="Times New Roman" w:hAnsi="Times New Roman" w:cs="Times New Roman"/>
          <w:sz w:val="24"/>
          <w:szCs w:val="24"/>
        </w:rPr>
      </w:pPr>
      <w:r w:rsidRPr="00D10FC1">
        <w:rPr>
          <w:rFonts w:ascii="Times New Roman" w:hAnsi="Times New Roman" w:cs="Times New Roman"/>
          <w:sz w:val="24"/>
          <w:szCs w:val="24"/>
        </w:rPr>
        <w:t xml:space="preserve">This report bridges theoretical learning and practical applications by analyzing the financial management of Reckitt Benckiser Group plc, a </w:t>
      </w:r>
      <w:r w:rsidR="009D1EE8">
        <w:rPr>
          <w:rFonts w:ascii="Times New Roman" w:hAnsi="Times New Roman" w:cs="Times New Roman"/>
          <w:sz w:val="24"/>
          <w:szCs w:val="24"/>
        </w:rPr>
        <w:t xml:space="preserve">global </w:t>
      </w:r>
      <w:r w:rsidRPr="00D10FC1">
        <w:rPr>
          <w:rFonts w:ascii="Times New Roman" w:hAnsi="Times New Roman" w:cs="Times New Roman"/>
          <w:sz w:val="24"/>
          <w:szCs w:val="24"/>
        </w:rPr>
        <w:t>leader in health, hygiene, and nutrition products. By conducting a detailed ratio analysis, the report evaluates the company’s financial performance and position for the fiscal year 2023, identifying areas for improvement and recommending strategic actions.</w:t>
      </w:r>
      <w:r w:rsidR="00452CBF">
        <w:rPr>
          <w:rFonts w:ascii="Times New Roman" w:hAnsi="Times New Roman" w:cs="Times New Roman"/>
          <w:sz w:val="24"/>
          <w:szCs w:val="24"/>
        </w:rPr>
        <w:t xml:space="preserve"> </w:t>
      </w:r>
      <w:r w:rsidR="006417E1">
        <w:rPr>
          <w:rFonts w:ascii="Times New Roman" w:hAnsi="Times New Roman" w:cs="Times New Roman"/>
          <w:sz w:val="24"/>
          <w:szCs w:val="24"/>
        </w:rPr>
        <w:t>The second part</w:t>
      </w:r>
      <w:r w:rsidR="00452CBF">
        <w:rPr>
          <w:rFonts w:ascii="Times New Roman" w:hAnsi="Times New Roman" w:cs="Times New Roman"/>
          <w:sz w:val="24"/>
          <w:szCs w:val="24"/>
        </w:rPr>
        <w:t xml:space="preserve"> of this report </w:t>
      </w:r>
      <w:r w:rsidR="00B65CE6" w:rsidRPr="00B65CE6">
        <w:rPr>
          <w:rFonts w:ascii="Times New Roman" w:hAnsi="Times New Roman" w:cs="Times New Roman"/>
          <w:sz w:val="24"/>
          <w:szCs w:val="24"/>
        </w:rPr>
        <w:t>evaluates the appropriate capital investment decision for Greenacres Plc, a producer of high-quality outdoor rattan furniture, to ensure sustainable growth and long-term operational success.</w:t>
      </w:r>
    </w:p>
    <w:p w14:paraId="2B269310" w14:textId="0613E161" w:rsidR="00074E59" w:rsidRDefault="00074E59" w:rsidP="00E821BE">
      <w:pPr>
        <w:jc w:val="both"/>
        <w:rPr>
          <w:rFonts w:ascii="Times New Roman" w:hAnsi="Times New Roman" w:cs="Times New Roman"/>
          <w:sz w:val="24"/>
          <w:szCs w:val="24"/>
        </w:rPr>
      </w:pPr>
    </w:p>
    <w:p w14:paraId="43B9F7EA" w14:textId="5068B641" w:rsidR="00EF596D" w:rsidRDefault="00EF596D" w:rsidP="00E821BE">
      <w:pPr>
        <w:jc w:val="both"/>
        <w:rPr>
          <w:rFonts w:ascii="Times New Roman" w:hAnsi="Times New Roman" w:cs="Times New Roman"/>
          <w:sz w:val="24"/>
          <w:szCs w:val="24"/>
        </w:rPr>
      </w:pPr>
    </w:p>
    <w:p w14:paraId="5C24CB2E" w14:textId="0BB641AC" w:rsidR="00EF596D" w:rsidRDefault="00EF596D" w:rsidP="00E821BE">
      <w:pPr>
        <w:jc w:val="both"/>
        <w:rPr>
          <w:rFonts w:ascii="Times New Roman" w:hAnsi="Times New Roman" w:cs="Times New Roman"/>
          <w:sz w:val="24"/>
          <w:szCs w:val="24"/>
        </w:rPr>
      </w:pPr>
    </w:p>
    <w:p w14:paraId="6A021768" w14:textId="12B3BFB3" w:rsidR="00EF596D" w:rsidRDefault="00EF596D" w:rsidP="00E821BE">
      <w:pPr>
        <w:jc w:val="both"/>
        <w:rPr>
          <w:rFonts w:ascii="Times New Roman" w:hAnsi="Times New Roman" w:cs="Times New Roman"/>
          <w:sz w:val="24"/>
          <w:szCs w:val="24"/>
        </w:rPr>
      </w:pPr>
    </w:p>
    <w:p w14:paraId="14CDF39F" w14:textId="5B30DE7E" w:rsidR="00EF596D" w:rsidRDefault="00EF596D" w:rsidP="00E821BE">
      <w:pPr>
        <w:jc w:val="both"/>
        <w:rPr>
          <w:rFonts w:ascii="Times New Roman" w:hAnsi="Times New Roman" w:cs="Times New Roman"/>
          <w:sz w:val="24"/>
          <w:szCs w:val="24"/>
        </w:rPr>
      </w:pPr>
    </w:p>
    <w:p w14:paraId="7CD46AD3" w14:textId="18AA348E" w:rsidR="00EF596D" w:rsidRDefault="00EF596D" w:rsidP="00E821BE">
      <w:pPr>
        <w:jc w:val="both"/>
        <w:rPr>
          <w:rFonts w:ascii="Times New Roman" w:hAnsi="Times New Roman" w:cs="Times New Roman"/>
          <w:sz w:val="24"/>
          <w:szCs w:val="24"/>
        </w:rPr>
      </w:pPr>
    </w:p>
    <w:p w14:paraId="54AEEF05" w14:textId="748AD219" w:rsidR="00EF596D" w:rsidRDefault="00EF596D" w:rsidP="00E821BE">
      <w:pPr>
        <w:jc w:val="both"/>
        <w:rPr>
          <w:rFonts w:ascii="Times New Roman" w:hAnsi="Times New Roman" w:cs="Times New Roman"/>
          <w:sz w:val="24"/>
          <w:szCs w:val="24"/>
        </w:rPr>
      </w:pPr>
    </w:p>
    <w:p w14:paraId="0CAB0C6F" w14:textId="40BC046F" w:rsidR="00EF596D" w:rsidRDefault="00EF596D" w:rsidP="00E821BE">
      <w:pPr>
        <w:jc w:val="both"/>
        <w:rPr>
          <w:rFonts w:ascii="Times New Roman" w:hAnsi="Times New Roman" w:cs="Times New Roman"/>
          <w:sz w:val="24"/>
          <w:szCs w:val="24"/>
        </w:rPr>
      </w:pPr>
    </w:p>
    <w:p w14:paraId="0802E800" w14:textId="7DDF1C2A" w:rsidR="00EF596D" w:rsidRDefault="00EF596D" w:rsidP="00E821BE">
      <w:pPr>
        <w:jc w:val="both"/>
        <w:rPr>
          <w:rFonts w:ascii="Times New Roman" w:hAnsi="Times New Roman" w:cs="Times New Roman"/>
          <w:sz w:val="24"/>
          <w:szCs w:val="24"/>
        </w:rPr>
      </w:pPr>
    </w:p>
    <w:p w14:paraId="73486925" w14:textId="3C40CA0C" w:rsidR="00EF596D" w:rsidRDefault="00EF596D" w:rsidP="00E821BE">
      <w:pPr>
        <w:jc w:val="both"/>
        <w:rPr>
          <w:rFonts w:ascii="Times New Roman" w:hAnsi="Times New Roman" w:cs="Times New Roman"/>
          <w:sz w:val="24"/>
          <w:szCs w:val="24"/>
        </w:rPr>
      </w:pPr>
    </w:p>
    <w:p w14:paraId="1C940A73" w14:textId="52E49F43" w:rsidR="00EF596D" w:rsidRDefault="00EF596D" w:rsidP="00E821BE">
      <w:pPr>
        <w:jc w:val="both"/>
        <w:rPr>
          <w:rFonts w:ascii="Times New Roman" w:hAnsi="Times New Roman" w:cs="Times New Roman"/>
          <w:sz w:val="24"/>
          <w:szCs w:val="24"/>
        </w:rPr>
      </w:pPr>
    </w:p>
    <w:p w14:paraId="27BEB066" w14:textId="1816F871" w:rsidR="00EF596D" w:rsidRDefault="00EF596D" w:rsidP="00E821BE">
      <w:pPr>
        <w:jc w:val="both"/>
        <w:rPr>
          <w:rFonts w:ascii="Times New Roman" w:hAnsi="Times New Roman" w:cs="Times New Roman"/>
          <w:sz w:val="24"/>
          <w:szCs w:val="24"/>
        </w:rPr>
      </w:pPr>
    </w:p>
    <w:p w14:paraId="4445C7A4" w14:textId="77B32BB8" w:rsidR="00EF596D" w:rsidRDefault="00EF596D" w:rsidP="00E821BE">
      <w:pPr>
        <w:jc w:val="both"/>
        <w:rPr>
          <w:rFonts w:ascii="Times New Roman" w:hAnsi="Times New Roman" w:cs="Times New Roman"/>
          <w:sz w:val="24"/>
          <w:szCs w:val="24"/>
        </w:rPr>
      </w:pPr>
    </w:p>
    <w:p w14:paraId="134FB25B" w14:textId="1C3C34D8" w:rsidR="00EF596D" w:rsidRDefault="00EF596D" w:rsidP="00E821BE">
      <w:pPr>
        <w:jc w:val="both"/>
        <w:rPr>
          <w:rFonts w:ascii="Times New Roman" w:hAnsi="Times New Roman" w:cs="Times New Roman"/>
          <w:sz w:val="24"/>
          <w:szCs w:val="24"/>
        </w:rPr>
      </w:pPr>
    </w:p>
    <w:p w14:paraId="6C704071" w14:textId="77777777" w:rsidR="00CC642F" w:rsidRDefault="00CC642F" w:rsidP="00E821BE">
      <w:pPr>
        <w:jc w:val="both"/>
        <w:rPr>
          <w:rFonts w:ascii="Times New Roman" w:hAnsi="Times New Roman" w:cs="Times New Roman"/>
          <w:sz w:val="24"/>
          <w:szCs w:val="24"/>
        </w:rPr>
      </w:pPr>
    </w:p>
    <w:p w14:paraId="3B71554A" w14:textId="77777777" w:rsidR="00BC04C1" w:rsidRDefault="00BC04C1" w:rsidP="00F83FC6">
      <w:pPr>
        <w:pStyle w:val="Heading1"/>
        <w:rPr>
          <w:rFonts w:ascii="Times New Roman" w:hAnsi="Times New Roman" w:cs="Times New Roman"/>
        </w:rPr>
      </w:pPr>
    </w:p>
    <w:p w14:paraId="607E3F19" w14:textId="77777777" w:rsidR="00EE6A9E" w:rsidRDefault="00EE6A9E" w:rsidP="00EE6A9E"/>
    <w:p w14:paraId="60ABCFEC" w14:textId="77777777" w:rsidR="00EE6A9E" w:rsidRDefault="00EE6A9E" w:rsidP="00EE6A9E"/>
    <w:p w14:paraId="42688131" w14:textId="77777777" w:rsidR="00BC04C1" w:rsidRDefault="00BC04C1" w:rsidP="00F83FC6">
      <w:pPr>
        <w:pStyle w:val="Heading1"/>
        <w:rPr>
          <w:rFonts w:ascii="Times New Roman" w:hAnsi="Times New Roman" w:cs="Times New Roman"/>
        </w:rPr>
      </w:pPr>
    </w:p>
    <w:p w14:paraId="04C374DC" w14:textId="77777777" w:rsidR="00F30537" w:rsidRDefault="00F30537" w:rsidP="00621CB7">
      <w:pPr>
        <w:jc w:val="both"/>
      </w:pPr>
    </w:p>
    <w:p w14:paraId="1134889F" w14:textId="77777777" w:rsidR="0025647A" w:rsidRDefault="00EE6A9E" w:rsidP="0025647A">
      <w:pPr>
        <w:spacing w:line="480" w:lineRule="auto"/>
        <w:jc w:val="both"/>
        <w:rPr>
          <w:rFonts w:ascii="Times New Roman" w:hAnsi="Times New Roman" w:cs="Times New Roman"/>
          <w:b/>
          <w:bCs/>
          <w:sz w:val="28"/>
          <w:szCs w:val="28"/>
        </w:rPr>
      </w:pPr>
      <w:r w:rsidRPr="00EE6A9E">
        <w:rPr>
          <w:rFonts w:ascii="Times New Roman" w:hAnsi="Times New Roman" w:cs="Times New Roman"/>
          <w:b/>
          <w:bCs/>
          <w:sz w:val="28"/>
          <w:szCs w:val="28"/>
        </w:rPr>
        <w:t>Introduction</w:t>
      </w:r>
    </w:p>
    <w:p w14:paraId="35515D5C" w14:textId="0C25930A" w:rsidR="00582417" w:rsidRPr="00582417" w:rsidRDefault="00EE6A9E" w:rsidP="00582417">
      <w:pPr>
        <w:spacing w:line="360" w:lineRule="auto"/>
        <w:jc w:val="both"/>
        <w:rPr>
          <w:rFonts w:ascii="Times New Roman" w:hAnsi="Times New Roman" w:cs="Times New Roman"/>
          <w:sz w:val="24"/>
          <w:szCs w:val="24"/>
        </w:rPr>
      </w:pPr>
      <w:r w:rsidRPr="00EE6A9E">
        <w:rPr>
          <w:rFonts w:ascii="Times New Roman" w:hAnsi="Times New Roman" w:cs="Times New Roman"/>
          <w:sz w:val="24"/>
          <w:szCs w:val="24"/>
        </w:rPr>
        <w:t xml:space="preserve">This report is mainly completed to </w:t>
      </w:r>
      <w:r w:rsidR="00D958BF">
        <w:rPr>
          <w:rFonts w:ascii="Times New Roman" w:hAnsi="Times New Roman" w:cs="Times New Roman"/>
          <w:sz w:val="24"/>
          <w:szCs w:val="24"/>
        </w:rPr>
        <w:t>fill</w:t>
      </w:r>
      <w:r w:rsidRPr="00EE6A9E">
        <w:rPr>
          <w:rFonts w:ascii="Times New Roman" w:hAnsi="Times New Roman" w:cs="Times New Roman"/>
          <w:sz w:val="24"/>
          <w:szCs w:val="24"/>
        </w:rPr>
        <w:t xml:space="preserve"> the gap between my academic learning and practical experience. I have applied the knowledge I </w:t>
      </w:r>
      <w:r w:rsidR="00F30537">
        <w:rPr>
          <w:rFonts w:ascii="Times New Roman" w:hAnsi="Times New Roman" w:cs="Times New Roman"/>
          <w:sz w:val="24"/>
          <w:szCs w:val="24"/>
        </w:rPr>
        <w:t xml:space="preserve">have </w:t>
      </w:r>
      <w:r w:rsidR="00364BF3">
        <w:rPr>
          <w:rFonts w:ascii="Times New Roman" w:hAnsi="Times New Roman" w:cs="Times New Roman"/>
          <w:sz w:val="24"/>
          <w:szCs w:val="24"/>
        </w:rPr>
        <w:t>acquired</w:t>
      </w:r>
      <w:r w:rsidRPr="00EE6A9E">
        <w:rPr>
          <w:rFonts w:ascii="Times New Roman" w:hAnsi="Times New Roman" w:cs="Times New Roman"/>
          <w:sz w:val="24"/>
          <w:szCs w:val="24"/>
        </w:rPr>
        <w:t xml:space="preserve"> from this course to evaluate </w:t>
      </w:r>
      <w:r w:rsidR="006800AE">
        <w:rPr>
          <w:rFonts w:ascii="Times New Roman" w:hAnsi="Times New Roman" w:cs="Times New Roman"/>
          <w:sz w:val="24"/>
          <w:szCs w:val="24"/>
        </w:rPr>
        <w:t xml:space="preserve">the </w:t>
      </w:r>
      <w:r w:rsidRPr="00EE6A9E">
        <w:rPr>
          <w:rFonts w:ascii="Times New Roman" w:hAnsi="Times New Roman" w:cs="Times New Roman"/>
          <w:sz w:val="24"/>
          <w:szCs w:val="24"/>
        </w:rPr>
        <w:t>financial performance and strength of a business organization. Reckitt Benckiser Group plc is considered a representative business organization in this assignment for utilizing the knowledge of ratio analysis.  I have also examined the capital investment decisions of Greenacres Plc, a producer of high-quality outdoor rattan furniture and associated items, by using different investment appraisal tools.</w:t>
      </w:r>
    </w:p>
    <w:p w14:paraId="2BCCF142" w14:textId="205BFDD8" w:rsidR="00947EEC" w:rsidRPr="00C56B3F" w:rsidRDefault="00947EEC" w:rsidP="00F96EE7">
      <w:pPr>
        <w:pStyle w:val="Heading1"/>
        <w:spacing w:line="600" w:lineRule="auto"/>
        <w:jc w:val="both"/>
        <w:rPr>
          <w:rFonts w:ascii="Times New Roman" w:hAnsi="Times New Roman" w:cs="Times New Roman"/>
          <w:b/>
          <w:bCs/>
          <w:color w:val="000000" w:themeColor="text1"/>
          <w:sz w:val="28"/>
          <w:szCs w:val="28"/>
        </w:rPr>
      </w:pPr>
      <w:bookmarkStart w:id="0" w:name="_Toc187878296"/>
      <w:r w:rsidRPr="00C56B3F">
        <w:rPr>
          <w:rFonts w:ascii="Times New Roman" w:hAnsi="Times New Roman" w:cs="Times New Roman"/>
          <w:b/>
          <w:bCs/>
          <w:color w:val="000000" w:themeColor="text1"/>
          <w:sz w:val="28"/>
          <w:szCs w:val="28"/>
        </w:rPr>
        <w:t xml:space="preserve">Part 1: Analysis </w:t>
      </w:r>
      <w:r w:rsidR="00791629" w:rsidRPr="00C56B3F">
        <w:rPr>
          <w:rFonts w:ascii="Times New Roman" w:hAnsi="Times New Roman" w:cs="Times New Roman"/>
          <w:b/>
          <w:bCs/>
          <w:color w:val="000000" w:themeColor="text1"/>
          <w:sz w:val="28"/>
          <w:szCs w:val="28"/>
        </w:rPr>
        <w:t>of</w:t>
      </w:r>
      <w:r w:rsidRPr="00C56B3F">
        <w:rPr>
          <w:rFonts w:ascii="Times New Roman" w:hAnsi="Times New Roman" w:cs="Times New Roman"/>
          <w:b/>
          <w:bCs/>
          <w:color w:val="000000" w:themeColor="text1"/>
          <w:sz w:val="28"/>
          <w:szCs w:val="28"/>
        </w:rPr>
        <w:t xml:space="preserve"> </w:t>
      </w:r>
      <w:r w:rsidR="004D64DB" w:rsidRPr="00C56B3F">
        <w:rPr>
          <w:rFonts w:ascii="Times New Roman" w:hAnsi="Times New Roman" w:cs="Times New Roman"/>
          <w:b/>
          <w:bCs/>
          <w:color w:val="000000" w:themeColor="text1"/>
          <w:sz w:val="28"/>
          <w:szCs w:val="28"/>
        </w:rPr>
        <w:t>Financial</w:t>
      </w:r>
      <w:r w:rsidRPr="00C56B3F">
        <w:rPr>
          <w:rFonts w:ascii="Times New Roman" w:hAnsi="Times New Roman" w:cs="Times New Roman"/>
          <w:b/>
          <w:bCs/>
          <w:color w:val="000000" w:themeColor="text1"/>
          <w:sz w:val="28"/>
          <w:szCs w:val="28"/>
        </w:rPr>
        <w:t xml:space="preserve"> Management of </w:t>
      </w:r>
      <w:bookmarkStart w:id="1" w:name="_Hlk187394669"/>
      <w:r w:rsidRPr="00C56B3F">
        <w:rPr>
          <w:rFonts w:ascii="Times New Roman" w:hAnsi="Times New Roman" w:cs="Times New Roman"/>
          <w:b/>
          <w:bCs/>
          <w:color w:val="000000" w:themeColor="text1"/>
          <w:sz w:val="28"/>
          <w:szCs w:val="28"/>
        </w:rPr>
        <w:t>Reckitt Benckiser Group Plc</w:t>
      </w:r>
      <w:bookmarkEnd w:id="0"/>
    </w:p>
    <w:bookmarkEnd w:id="1"/>
    <w:p w14:paraId="1AC38ACC" w14:textId="2A9DA906" w:rsidR="00582417" w:rsidRPr="00F96EE7" w:rsidRDefault="00947EEC" w:rsidP="00582417">
      <w:pPr>
        <w:spacing w:line="360" w:lineRule="auto"/>
        <w:jc w:val="both"/>
        <w:rPr>
          <w:rFonts w:ascii="Times New Roman" w:hAnsi="Times New Roman" w:cs="Times New Roman"/>
          <w:sz w:val="24"/>
          <w:szCs w:val="24"/>
        </w:rPr>
      </w:pPr>
      <w:r>
        <w:rPr>
          <w:rFonts w:ascii="Times New Roman" w:hAnsi="Times New Roman" w:cs="Times New Roman"/>
          <w:sz w:val="24"/>
          <w:szCs w:val="24"/>
        </w:rPr>
        <w:t>Accounting is a systematic process of identifying, reporting transactions</w:t>
      </w:r>
      <w:r w:rsidR="00070426">
        <w:rPr>
          <w:rFonts w:ascii="Times New Roman" w:hAnsi="Times New Roman" w:cs="Times New Roman"/>
          <w:sz w:val="24"/>
          <w:szCs w:val="24"/>
        </w:rPr>
        <w:t>,</w:t>
      </w:r>
      <w:r>
        <w:rPr>
          <w:rFonts w:ascii="Times New Roman" w:hAnsi="Times New Roman" w:cs="Times New Roman"/>
          <w:sz w:val="24"/>
          <w:szCs w:val="24"/>
        </w:rPr>
        <w:t xml:space="preserve"> and preparing necessary statements to reflect the true picture of the financial strength of a business organization</w:t>
      </w:r>
      <w:r w:rsidR="004D7557">
        <w:rPr>
          <w:rFonts w:ascii="Times New Roman" w:hAnsi="Times New Roman" w:cs="Times New Roman"/>
          <w:sz w:val="24"/>
          <w:szCs w:val="24"/>
        </w:rPr>
        <w:t xml:space="preserve"> </w:t>
      </w:r>
      <w:r w:rsidR="004D7557">
        <w:rPr>
          <w:rFonts w:ascii="Times New Roman" w:hAnsi="Times New Roman" w:cs="Times New Roman"/>
          <w:color w:val="222222"/>
          <w:sz w:val="24"/>
          <w:szCs w:val="24"/>
          <w:shd w:val="clear" w:color="auto" w:fill="FFFFFF"/>
        </w:rPr>
        <w:t>(</w:t>
      </w:r>
      <w:r w:rsidR="004D7557" w:rsidRPr="00713490">
        <w:rPr>
          <w:rFonts w:ascii="Times New Roman" w:hAnsi="Times New Roman" w:cs="Times New Roman"/>
          <w:color w:val="222222"/>
          <w:sz w:val="24"/>
          <w:szCs w:val="24"/>
          <w:shd w:val="clear" w:color="auto" w:fill="FFFFFF"/>
        </w:rPr>
        <w:t>Needles,</w:t>
      </w:r>
      <w:r w:rsidR="004D7557">
        <w:rPr>
          <w:rFonts w:ascii="Times New Roman" w:hAnsi="Times New Roman" w:cs="Times New Roman"/>
          <w:color w:val="222222"/>
          <w:sz w:val="24"/>
          <w:szCs w:val="24"/>
          <w:shd w:val="clear" w:color="auto" w:fill="FFFFFF"/>
        </w:rPr>
        <w:t xml:space="preserve"> </w:t>
      </w:r>
      <w:r w:rsidR="004D7557" w:rsidRPr="00713490">
        <w:rPr>
          <w:rFonts w:ascii="Times New Roman" w:hAnsi="Times New Roman" w:cs="Times New Roman"/>
          <w:color w:val="222222"/>
          <w:sz w:val="24"/>
          <w:szCs w:val="24"/>
          <w:shd w:val="clear" w:color="auto" w:fill="FFFFFF"/>
        </w:rPr>
        <w:t>Powers</w:t>
      </w:r>
      <w:r w:rsidR="004D7557">
        <w:rPr>
          <w:rFonts w:ascii="Times New Roman" w:hAnsi="Times New Roman" w:cs="Times New Roman"/>
          <w:color w:val="222222"/>
          <w:sz w:val="24"/>
          <w:szCs w:val="24"/>
          <w:shd w:val="clear" w:color="auto" w:fill="FFFFFF"/>
        </w:rPr>
        <w:t xml:space="preserve"> &amp; </w:t>
      </w:r>
      <w:r w:rsidR="004D7557" w:rsidRPr="00713490">
        <w:rPr>
          <w:rFonts w:ascii="Times New Roman" w:hAnsi="Times New Roman" w:cs="Times New Roman"/>
          <w:color w:val="222222"/>
          <w:sz w:val="24"/>
          <w:szCs w:val="24"/>
          <w:shd w:val="clear" w:color="auto" w:fill="FFFFFF"/>
        </w:rPr>
        <w:t>Crosson,</w:t>
      </w:r>
      <w:r w:rsidR="004D7557">
        <w:rPr>
          <w:rFonts w:ascii="Times New Roman" w:hAnsi="Times New Roman" w:cs="Times New Roman"/>
          <w:color w:val="222222"/>
          <w:sz w:val="24"/>
          <w:szCs w:val="24"/>
          <w:shd w:val="clear" w:color="auto" w:fill="FFFFFF"/>
        </w:rPr>
        <w:t xml:space="preserve"> 2011)</w:t>
      </w:r>
      <w:r>
        <w:rPr>
          <w:rFonts w:ascii="Times New Roman" w:hAnsi="Times New Roman" w:cs="Times New Roman"/>
          <w:sz w:val="24"/>
          <w:szCs w:val="24"/>
        </w:rPr>
        <w:t xml:space="preserve">. The fundamental purpose of accounting is to equip </w:t>
      </w:r>
      <w:r w:rsidR="00791629">
        <w:rPr>
          <w:rFonts w:ascii="Times New Roman" w:hAnsi="Times New Roman" w:cs="Times New Roman"/>
          <w:sz w:val="24"/>
          <w:szCs w:val="24"/>
        </w:rPr>
        <w:t>decision-makers</w:t>
      </w:r>
      <w:r>
        <w:rPr>
          <w:rFonts w:ascii="Times New Roman" w:hAnsi="Times New Roman" w:cs="Times New Roman"/>
          <w:sz w:val="24"/>
          <w:szCs w:val="24"/>
        </w:rPr>
        <w:t xml:space="preserve"> with appropriate information </w:t>
      </w:r>
      <w:r w:rsidR="00070426">
        <w:rPr>
          <w:rFonts w:ascii="Times New Roman" w:hAnsi="Times New Roman" w:cs="Times New Roman"/>
          <w:sz w:val="24"/>
          <w:szCs w:val="24"/>
        </w:rPr>
        <w:t>on</w:t>
      </w:r>
      <w:r>
        <w:rPr>
          <w:rFonts w:ascii="Times New Roman" w:hAnsi="Times New Roman" w:cs="Times New Roman"/>
          <w:sz w:val="24"/>
          <w:szCs w:val="24"/>
        </w:rPr>
        <w:t xml:space="preserve"> the financial performance and financial position of a business organization</w:t>
      </w:r>
      <w:r w:rsidR="004D7557">
        <w:rPr>
          <w:rFonts w:ascii="Times New Roman" w:hAnsi="Times New Roman" w:cs="Times New Roman"/>
          <w:sz w:val="24"/>
          <w:szCs w:val="24"/>
        </w:rPr>
        <w:t xml:space="preserve"> </w:t>
      </w:r>
      <w:r w:rsidR="004D7557">
        <w:rPr>
          <w:rFonts w:ascii="Times New Roman" w:hAnsi="Times New Roman" w:cs="Times New Roman"/>
          <w:color w:val="222222"/>
          <w:sz w:val="24"/>
          <w:szCs w:val="24"/>
          <w:shd w:val="clear" w:color="auto" w:fill="FFFFFF"/>
        </w:rPr>
        <w:t>(</w:t>
      </w:r>
      <w:proofErr w:type="spellStart"/>
      <w:r w:rsidR="004D7557" w:rsidRPr="00713490">
        <w:rPr>
          <w:rFonts w:ascii="Times New Roman" w:hAnsi="Times New Roman" w:cs="Times New Roman"/>
          <w:color w:val="222222"/>
          <w:sz w:val="24"/>
          <w:szCs w:val="24"/>
          <w:shd w:val="clear" w:color="auto" w:fill="FFFFFF"/>
        </w:rPr>
        <w:t>Kieso</w:t>
      </w:r>
      <w:proofErr w:type="spellEnd"/>
      <w:r w:rsidR="004D7557">
        <w:rPr>
          <w:rFonts w:ascii="Times New Roman" w:hAnsi="Times New Roman" w:cs="Times New Roman"/>
          <w:color w:val="222222"/>
          <w:sz w:val="24"/>
          <w:szCs w:val="24"/>
          <w:shd w:val="clear" w:color="auto" w:fill="FFFFFF"/>
        </w:rPr>
        <w:t xml:space="preserve"> et al., 2019)</w:t>
      </w:r>
      <w:r>
        <w:rPr>
          <w:rFonts w:ascii="Times New Roman" w:hAnsi="Times New Roman" w:cs="Times New Roman"/>
          <w:sz w:val="24"/>
          <w:szCs w:val="24"/>
        </w:rPr>
        <w:t xml:space="preserve">. Decision makers or financial analysts usually use the statements prepared by the accountants </w:t>
      </w:r>
      <w:r w:rsidR="00791629">
        <w:rPr>
          <w:rFonts w:ascii="Times New Roman" w:hAnsi="Times New Roman" w:cs="Times New Roman"/>
          <w:sz w:val="24"/>
          <w:szCs w:val="24"/>
        </w:rPr>
        <w:t>by</w:t>
      </w:r>
      <w:r>
        <w:rPr>
          <w:rFonts w:ascii="Times New Roman" w:hAnsi="Times New Roman" w:cs="Times New Roman"/>
          <w:sz w:val="24"/>
          <w:szCs w:val="24"/>
        </w:rPr>
        <w:t xml:space="preserve"> applying the knowledge of accounting. </w:t>
      </w:r>
      <w:r w:rsidR="008C4508">
        <w:rPr>
          <w:rFonts w:ascii="Times New Roman" w:hAnsi="Times New Roman" w:cs="Times New Roman"/>
          <w:sz w:val="24"/>
          <w:szCs w:val="24"/>
        </w:rPr>
        <w:t xml:space="preserve">There are many methods to analyze the information presented in the financial statements and make appropriate decisions thereby such as trend analysis, ratio analysis, time series analysis, </w:t>
      </w:r>
      <w:r w:rsidR="003C3094">
        <w:rPr>
          <w:rFonts w:ascii="Times New Roman" w:hAnsi="Times New Roman" w:cs="Times New Roman"/>
          <w:sz w:val="24"/>
          <w:szCs w:val="24"/>
        </w:rPr>
        <w:t xml:space="preserve">and </w:t>
      </w:r>
      <w:r w:rsidR="0014559F">
        <w:rPr>
          <w:rFonts w:ascii="Times New Roman" w:hAnsi="Times New Roman" w:cs="Times New Roman"/>
          <w:sz w:val="24"/>
          <w:szCs w:val="24"/>
        </w:rPr>
        <w:t xml:space="preserve">cross-sectional </w:t>
      </w:r>
      <w:r w:rsidR="008C4508">
        <w:rPr>
          <w:rFonts w:ascii="Times New Roman" w:hAnsi="Times New Roman" w:cs="Times New Roman"/>
          <w:sz w:val="24"/>
          <w:szCs w:val="24"/>
        </w:rPr>
        <w:t>comparative analysis</w:t>
      </w:r>
      <w:r w:rsidR="004D7557">
        <w:rPr>
          <w:rFonts w:ascii="Times New Roman" w:hAnsi="Times New Roman" w:cs="Times New Roman"/>
          <w:sz w:val="24"/>
          <w:szCs w:val="24"/>
        </w:rPr>
        <w:t xml:space="preserve"> </w:t>
      </w:r>
      <w:r w:rsidR="004D7557">
        <w:rPr>
          <w:rFonts w:ascii="Times New Roman" w:hAnsi="Times New Roman" w:cs="Times New Roman"/>
          <w:color w:val="222222"/>
          <w:sz w:val="24"/>
          <w:szCs w:val="24"/>
          <w:shd w:val="clear" w:color="auto" w:fill="FFFFFF"/>
        </w:rPr>
        <w:t>(</w:t>
      </w:r>
      <w:r w:rsidR="004D7557" w:rsidRPr="00713490">
        <w:rPr>
          <w:rFonts w:ascii="Times New Roman" w:hAnsi="Times New Roman" w:cs="Times New Roman"/>
          <w:color w:val="222222"/>
          <w:sz w:val="24"/>
          <w:szCs w:val="24"/>
          <w:shd w:val="clear" w:color="auto" w:fill="FFFFFF"/>
        </w:rPr>
        <w:t>Subramanyam,</w:t>
      </w:r>
      <w:r w:rsidR="004D7557">
        <w:rPr>
          <w:rFonts w:ascii="Times New Roman" w:hAnsi="Times New Roman" w:cs="Times New Roman"/>
          <w:color w:val="222222"/>
          <w:sz w:val="24"/>
          <w:szCs w:val="24"/>
          <w:shd w:val="clear" w:color="auto" w:fill="FFFFFF"/>
        </w:rPr>
        <w:t xml:space="preserve"> 2014)</w:t>
      </w:r>
      <w:r w:rsidR="008C4508">
        <w:rPr>
          <w:rFonts w:ascii="Times New Roman" w:hAnsi="Times New Roman" w:cs="Times New Roman"/>
          <w:sz w:val="24"/>
          <w:szCs w:val="24"/>
        </w:rPr>
        <w:t xml:space="preserve">. </w:t>
      </w:r>
      <w:r w:rsidR="00815BD8">
        <w:rPr>
          <w:rFonts w:ascii="Times New Roman" w:hAnsi="Times New Roman" w:cs="Times New Roman"/>
          <w:sz w:val="24"/>
          <w:szCs w:val="24"/>
        </w:rPr>
        <w:t xml:space="preserve">Ratio analysis is </w:t>
      </w:r>
      <w:r w:rsidR="00791629">
        <w:rPr>
          <w:rFonts w:ascii="Times New Roman" w:hAnsi="Times New Roman" w:cs="Times New Roman"/>
          <w:sz w:val="24"/>
          <w:szCs w:val="24"/>
        </w:rPr>
        <w:t xml:space="preserve">a </w:t>
      </w:r>
      <w:r w:rsidR="00815BD8">
        <w:rPr>
          <w:rFonts w:ascii="Times New Roman" w:hAnsi="Times New Roman" w:cs="Times New Roman"/>
          <w:sz w:val="24"/>
          <w:szCs w:val="24"/>
        </w:rPr>
        <w:t xml:space="preserve">very popular and effective method of analysis. Because there are some </w:t>
      </w:r>
      <w:r w:rsidR="003C3094">
        <w:rPr>
          <w:rFonts w:ascii="Times New Roman" w:hAnsi="Times New Roman" w:cs="Times New Roman"/>
          <w:sz w:val="24"/>
          <w:szCs w:val="24"/>
        </w:rPr>
        <w:t>industry-specific</w:t>
      </w:r>
      <w:r w:rsidR="00815BD8">
        <w:rPr>
          <w:rFonts w:ascii="Times New Roman" w:hAnsi="Times New Roman" w:cs="Times New Roman"/>
          <w:sz w:val="24"/>
          <w:szCs w:val="24"/>
        </w:rPr>
        <w:t xml:space="preserve"> benchmarks to which the analysts can compare the outcome of different ratios and can take necessary corrective measures. </w:t>
      </w:r>
      <w:r w:rsidR="007D04DC">
        <w:rPr>
          <w:rFonts w:ascii="Times New Roman" w:hAnsi="Times New Roman" w:cs="Times New Roman"/>
          <w:sz w:val="24"/>
          <w:szCs w:val="24"/>
        </w:rPr>
        <w:t xml:space="preserve">By using the results of ratio analysis, </w:t>
      </w:r>
      <w:r w:rsidR="00E00DDA">
        <w:rPr>
          <w:rFonts w:ascii="Times New Roman" w:hAnsi="Times New Roman" w:cs="Times New Roman"/>
          <w:sz w:val="24"/>
          <w:szCs w:val="24"/>
        </w:rPr>
        <w:t>a financial analyst can better understand the financial strength of a business organization and can efficiently formulate decisions to improve the financial management of that business organization</w:t>
      </w:r>
      <w:r w:rsidR="004D7557">
        <w:rPr>
          <w:rFonts w:ascii="Times New Roman" w:hAnsi="Times New Roman" w:cs="Times New Roman"/>
          <w:sz w:val="24"/>
          <w:szCs w:val="24"/>
        </w:rPr>
        <w:t xml:space="preserve"> </w:t>
      </w:r>
      <w:r w:rsidR="004D7557">
        <w:rPr>
          <w:rFonts w:ascii="Times New Roman" w:hAnsi="Times New Roman" w:cs="Times New Roman"/>
          <w:color w:val="222222"/>
          <w:sz w:val="24"/>
          <w:szCs w:val="24"/>
          <w:shd w:val="clear" w:color="auto" w:fill="FFFFFF"/>
        </w:rPr>
        <w:t>(</w:t>
      </w:r>
      <w:r w:rsidR="004D7557" w:rsidRPr="00713490">
        <w:rPr>
          <w:rFonts w:ascii="Times New Roman" w:hAnsi="Times New Roman" w:cs="Times New Roman"/>
          <w:color w:val="222222"/>
          <w:sz w:val="24"/>
          <w:szCs w:val="24"/>
          <w:shd w:val="clear" w:color="auto" w:fill="FFFFFF"/>
        </w:rPr>
        <w:t>White,</w:t>
      </w:r>
      <w:r w:rsidR="004D7557">
        <w:rPr>
          <w:rFonts w:ascii="Times New Roman" w:hAnsi="Times New Roman" w:cs="Times New Roman"/>
          <w:color w:val="222222"/>
          <w:sz w:val="24"/>
          <w:szCs w:val="24"/>
          <w:shd w:val="clear" w:color="auto" w:fill="FFFFFF"/>
        </w:rPr>
        <w:t xml:space="preserve"> </w:t>
      </w:r>
      <w:r w:rsidR="004D7557" w:rsidRPr="00713490">
        <w:rPr>
          <w:rFonts w:ascii="Times New Roman" w:hAnsi="Times New Roman" w:cs="Times New Roman"/>
          <w:color w:val="222222"/>
          <w:sz w:val="24"/>
          <w:szCs w:val="24"/>
          <w:shd w:val="clear" w:color="auto" w:fill="FFFFFF"/>
        </w:rPr>
        <w:t>Sondhi</w:t>
      </w:r>
      <w:r w:rsidR="004D7557">
        <w:rPr>
          <w:rFonts w:ascii="Times New Roman" w:hAnsi="Times New Roman" w:cs="Times New Roman"/>
          <w:color w:val="222222"/>
          <w:sz w:val="24"/>
          <w:szCs w:val="24"/>
          <w:shd w:val="clear" w:color="auto" w:fill="FFFFFF"/>
        </w:rPr>
        <w:t xml:space="preserve"> &amp; </w:t>
      </w:r>
      <w:r w:rsidR="004D7557" w:rsidRPr="00713490">
        <w:rPr>
          <w:rFonts w:ascii="Times New Roman" w:hAnsi="Times New Roman" w:cs="Times New Roman"/>
          <w:color w:val="222222"/>
          <w:sz w:val="24"/>
          <w:szCs w:val="24"/>
          <w:shd w:val="clear" w:color="auto" w:fill="FFFFFF"/>
        </w:rPr>
        <w:t>Fried,</w:t>
      </w:r>
      <w:r w:rsidR="004D7557">
        <w:rPr>
          <w:rFonts w:ascii="Times New Roman" w:hAnsi="Times New Roman" w:cs="Times New Roman"/>
          <w:color w:val="222222"/>
          <w:sz w:val="24"/>
          <w:szCs w:val="24"/>
          <w:shd w:val="clear" w:color="auto" w:fill="FFFFFF"/>
        </w:rPr>
        <w:t xml:space="preserve"> 2002)</w:t>
      </w:r>
      <w:r w:rsidR="00E00DDA">
        <w:rPr>
          <w:rFonts w:ascii="Times New Roman" w:hAnsi="Times New Roman" w:cs="Times New Roman"/>
          <w:sz w:val="24"/>
          <w:szCs w:val="24"/>
        </w:rPr>
        <w:t xml:space="preserve">. </w:t>
      </w:r>
    </w:p>
    <w:p w14:paraId="738A6690" w14:textId="3D0352B7" w:rsidR="00AE3A15" w:rsidRPr="004D64DB" w:rsidRDefault="00EA3B5E" w:rsidP="00F96EE7">
      <w:pPr>
        <w:pStyle w:val="Heading2"/>
        <w:spacing w:line="600" w:lineRule="auto"/>
        <w:rPr>
          <w:rFonts w:ascii="Times New Roman" w:hAnsi="Times New Roman" w:cs="Times New Roman"/>
          <w:b/>
          <w:bCs/>
          <w:color w:val="000000" w:themeColor="text1"/>
          <w:sz w:val="28"/>
          <w:szCs w:val="28"/>
        </w:rPr>
      </w:pPr>
      <w:bookmarkStart w:id="2" w:name="_Toc187878297"/>
      <w:r w:rsidRPr="004D64DB">
        <w:rPr>
          <w:rFonts w:ascii="Times New Roman" w:hAnsi="Times New Roman" w:cs="Times New Roman"/>
          <w:b/>
          <w:bCs/>
          <w:color w:val="000000" w:themeColor="text1"/>
          <w:sz w:val="28"/>
          <w:szCs w:val="28"/>
        </w:rPr>
        <w:lastRenderedPageBreak/>
        <w:t>1.1 Overview of Reckitt Benckiser Group Plc</w:t>
      </w:r>
      <w:bookmarkEnd w:id="2"/>
      <w:r w:rsidRPr="004D64DB">
        <w:rPr>
          <w:rFonts w:ascii="Times New Roman" w:hAnsi="Times New Roman" w:cs="Times New Roman"/>
          <w:b/>
          <w:bCs/>
          <w:color w:val="000000" w:themeColor="text1"/>
          <w:sz w:val="28"/>
          <w:szCs w:val="28"/>
        </w:rPr>
        <w:t xml:space="preserve">  </w:t>
      </w:r>
      <w:r w:rsidR="00815BD8" w:rsidRPr="004D64DB">
        <w:rPr>
          <w:rFonts w:ascii="Times New Roman" w:hAnsi="Times New Roman" w:cs="Times New Roman"/>
          <w:b/>
          <w:bCs/>
          <w:color w:val="000000" w:themeColor="text1"/>
          <w:sz w:val="28"/>
          <w:szCs w:val="28"/>
        </w:rPr>
        <w:t xml:space="preserve"> </w:t>
      </w:r>
    </w:p>
    <w:p w14:paraId="494B53A6" w14:textId="7F852DD2" w:rsidR="00582417" w:rsidRDefault="006B0043" w:rsidP="00F96E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Reckitt Benckiser Group plc, a </w:t>
      </w:r>
      <w:r w:rsidR="00853120">
        <w:rPr>
          <w:rFonts w:ascii="Times New Roman" w:hAnsi="Times New Roman" w:cs="Times New Roman"/>
          <w:sz w:val="24"/>
          <w:szCs w:val="24"/>
        </w:rPr>
        <w:t>British Dutch</w:t>
      </w:r>
      <w:r>
        <w:rPr>
          <w:rFonts w:ascii="Times New Roman" w:hAnsi="Times New Roman" w:cs="Times New Roman"/>
          <w:sz w:val="24"/>
          <w:szCs w:val="24"/>
        </w:rPr>
        <w:t xml:space="preserve"> multinational consumer goods company formed in 1999 and headquartered in </w:t>
      </w:r>
      <w:r w:rsidRPr="006B0043">
        <w:rPr>
          <w:rFonts w:ascii="Times New Roman" w:hAnsi="Times New Roman" w:cs="Times New Roman"/>
          <w:sz w:val="24"/>
          <w:szCs w:val="24"/>
        </w:rPr>
        <w:t>Slough, United Kingdom</w:t>
      </w:r>
      <w:r w:rsidR="00791629">
        <w:rPr>
          <w:rFonts w:ascii="Times New Roman" w:hAnsi="Times New Roman" w:cs="Times New Roman"/>
          <w:sz w:val="24"/>
          <w:szCs w:val="24"/>
        </w:rPr>
        <w:t>,</w:t>
      </w:r>
      <w:r w:rsidRPr="006B0043">
        <w:rPr>
          <w:rFonts w:ascii="Times New Roman" w:hAnsi="Times New Roman" w:cs="Times New Roman"/>
          <w:sz w:val="24"/>
          <w:szCs w:val="24"/>
        </w:rPr>
        <w:t xml:space="preserve"> and </w:t>
      </w:r>
      <w:proofErr w:type="spellStart"/>
      <w:r w:rsidRPr="006B0043">
        <w:rPr>
          <w:rFonts w:ascii="Times New Roman" w:hAnsi="Times New Roman" w:cs="Times New Roman"/>
          <w:sz w:val="24"/>
          <w:szCs w:val="24"/>
        </w:rPr>
        <w:t>Hoofddorp</w:t>
      </w:r>
      <w:proofErr w:type="spellEnd"/>
      <w:r w:rsidRPr="006B0043">
        <w:rPr>
          <w:rFonts w:ascii="Times New Roman" w:hAnsi="Times New Roman" w:cs="Times New Roman"/>
          <w:sz w:val="24"/>
          <w:szCs w:val="24"/>
        </w:rPr>
        <w:t>, Netherlands</w:t>
      </w:r>
      <w:r>
        <w:rPr>
          <w:rFonts w:ascii="Times New Roman" w:hAnsi="Times New Roman" w:cs="Times New Roman"/>
          <w:sz w:val="24"/>
          <w:szCs w:val="24"/>
        </w:rPr>
        <w:t>, mainly sells health, hygiene</w:t>
      </w:r>
      <w:r w:rsidR="003C3094">
        <w:rPr>
          <w:rFonts w:ascii="Times New Roman" w:hAnsi="Times New Roman" w:cs="Times New Roman"/>
          <w:sz w:val="24"/>
          <w:szCs w:val="24"/>
        </w:rPr>
        <w:t>,</w:t>
      </w:r>
      <w:r>
        <w:rPr>
          <w:rFonts w:ascii="Times New Roman" w:hAnsi="Times New Roman" w:cs="Times New Roman"/>
          <w:sz w:val="24"/>
          <w:szCs w:val="24"/>
        </w:rPr>
        <w:t xml:space="preserve"> and nutrition products. </w:t>
      </w:r>
      <w:r w:rsidR="007B28BD">
        <w:rPr>
          <w:rFonts w:ascii="Times New Roman" w:hAnsi="Times New Roman" w:cs="Times New Roman"/>
          <w:sz w:val="24"/>
          <w:szCs w:val="24"/>
        </w:rPr>
        <w:t xml:space="preserve">The vision of the group is “Delivering for A Cleaner, Healthier World”.  </w:t>
      </w:r>
      <w:r>
        <w:rPr>
          <w:rFonts w:ascii="Times New Roman" w:hAnsi="Times New Roman" w:cs="Times New Roman"/>
          <w:sz w:val="24"/>
          <w:szCs w:val="24"/>
        </w:rPr>
        <w:t xml:space="preserve">At present, Reckitt Benckiser Group plc has operations in around 60 countries and sells its products in approximately 200 countries around the world. </w:t>
      </w:r>
      <w:r w:rsidR="007B28BD">
        <w:rPr>
          <w:rFonts w:ascii="Times New Roman" w:hAnsi="Times New Roman" w:cs="Times New Roman"/>
          <w:sz w:val="24"/>
          <w:szCs w:val="24"/>
        </w:rPr>
        <w:t xml:space="preserve">According to the annual report of 2023, Reckitt Benckiser Group plc has 1.9 billion consumers around the world. The product portfolio of this group includes excellent </w:t>
      </w:r>
      <w:r w:rsidR="00791629">
        <w:rPr>
          <w:rFonts w:ascii="Times New Roman" w:hAnsi="Times New Roman" w:cs="Times New Roman"/>
          <w:sz w:val="24"/>
          <w:szCs w:val="24"/>
        </w:rPr>
        <w:t>market-leading</w:t>
      </w:r>
      <w:r w:rsidR="007B28BD">
        <w:rPr>
          <w:rFonts w:ascii="Times New Roman" w:hAnsi="Times New Roman" w:cs="Times New Roman"/>
          <w:sz w:val="24"/>
          <w:szCs w:val="24"/>
        </w:rPr>
        <w:t xml:space="preserve"> brands such as Dettol, Harpic, </w:t>
      </w:r>
      <w:proofErr w:type="spellStart"/>
      <w:r w:rsidR="007B28BD">
        <w:rPr>
          <w:rFonts w:ascii="Times New Roman" w:hAnsi="Times New Roman" w:cs="Times New Roman"/>
          <w:sz w:val="24"/>
          <w:szCs w:val="24"/>
        </w:rPr>
        <w:t>Veet</w:t>
      </w:r>
      <w:proofErr w:type="spellEnd"/>
      <w:r w:rsidR="007B28BD">
        <w:rPr>
          <w:rFonts w:ascii="Times New Roman" w:hAnsi="Times New Roman" w:cs="Times New Roman"/>
          <w:sz w:val="24"/>
          <w:szCs w:val="24"/>
        </w:rPr>
        <w:t>, Finish</w:t>
      </w:r>
      <w:r w:rsidR="00791629">
        <w:rPr>
          <w:rFonts w:ascii="Times New Roman" w:hAnsi="Times New Roman" w:cs="Times New Roman"/>
          <w:sz w:val="24"/>
          <w:szCs w:val="24"/>
        </w:rPr>
        <w:t>,</w:t>
      </w:r>
      <w:r w:rsidR="007B28BD">
        <w:rPr>
          <w:rFonts w:ascii="Times New Roman" w:hAnsi="Times New Roman" w:cs="Times New Roman"/>
          <w:sz w:val="24"/>
          <w:szCs w:val="24"/>
        </w:rPr>
        <w:t xml:space="preserve"> etc. </w:t>
      </w:r>
      <w:r w:rsidR="001911D8">
        <w:rPr>
          <w:rFonts w:ascii="Times New Roman" w:hAnsi="Times New Roman" w:cs="Times New Roman"/>
          <w:sz w:val="24"/>
          <w:szCs w:val="24"/>
        </w:rPr>
        <w:t xml:space="preserve">In the financial year 2023, </w:t>
      </w:r>
      <w:r w:rsidR="003C3094">
        <w:rPr>
          <w:rFonts w:ascii="Times New Roman" w:hAnsi="Times New Roman" w:cs="Times New Roman"/>
          <w:sz w:val="24"/>
          <w:szCs w:val="24"/>
        </w:rPr>
        <w:t xml:space="preserve">which </w:t>
      </w:r>
      <w:r w:rsidR="001911D8">
        <w:rPr>
          <w:rFonts w:ascii="Times New Roman" w:hAnsi="Times New Roman" w:cs="Times New Roman"/>
          <w:sz w:val="24"/>
          <w:szCs w:val="24"/>
        </w:rPr>
        <w:t xml:space="preserve">ended </w:t>
      </w:r>
      <w:r w:rsidR="00791629">
        <w:rPr>
          <w:rFonts w:ascii="Times New Roman" w:hAnsi="Times New Roman" w:cs="Times New Roman"/>
          <w:sz w:val="24"/>
          <w:szCs w:val="24"/>
        </w:rPr>
        <w:t>on</w:t>
      </w:r>
      <w:r w:rsidR="001911D8">
        <w:rPr>
          <w:rFonts w:ascii="Times New Roman" w:hAnsi="Times New Roman" w:cs="Times New Roman"/>
          <w:sz w:val="24"/>
          <w:szCs w:val="24"/>
        </w:rPr>
        <w:t xml:space="preserve"> 31 December 2023, the group earned a </w:t>
      </w:r>
      <w:r w:rsidR="00331594">
        <w:rPr>
          <w:rFonts w:ascii="Times New Roman" w:hAnsi="Times New Roman" w:cs="Times New Roman"/>
          <w:sz w:val="24"/>
          <w:szCs w:val="24"/>
        </w:rPr>
        <w:t xml:space="preserve">net revenue of £14,607 million, a </w:t>
      </w:r>
      <w:r w:rsidR="001911D8">
        <w:rPr>
          <w:rFonts w:ascii="Times New Roman" w:hAnsi="Times New Roman" w:cs="Times New Roman"/>
          <w:sz w:val="24"/>
          <w:szCs w:val="24"/>
        </w:rPr>
        <w:t>net profit of £1,657 million</w:t>
      </w:r>
      <w:r w:rsidR="00791629">
        <w:rPr>
          <w:rFonts w:ascii="Times New Roman" w:hAnsi="Times New Roman" w:cs="Times New Roman"/>
          <w:sz w:val="24"/>
          <w:szCs w:val="24"/>
        </w:rPr>
        <w:t>,</w:t>
      </w:r>
      <w:r w:rsidR="008C1342">
        <w:rPr>
          <w:rFonts w:ascii="Times New Roman" w:hAnsi="Times New Roman" w:cs="Times New Roman"/>
          <w:sz w:val="24"/>
          <w:szCs w:val="24"/>
        </w:rPr>
        <w:t xml:space="preserve"> and an EPS of 229.2 pence. </w:t>
      </w:r>
      <w:r w:rsidR="00331594">
        <w:rPr>
          <w:rFonts w:ascii="Times New Roman" w:hAnsi="Times New Roman" w:cs="Times New Roman"/>
          <w:sz w:val="24"/>
          <w:szCs w:val="24"/>
        </w:rPr>
        <w:t>Th</w:t>
      </w:r>
      <w:r w:rsidR="00591FA4">
        <w:rPr>
          <w:rFonts w:ascii="Times New Roman" w:hAnsi="Times New Roman" w:cs="Times New Roman"/>
          <w:sz w:val="24"/>
          <w:szCs w:val="24"/>
        </w:rPr>
        <w:t>e</w:t>
      </w:r>
      <w:r w:rsidR="00331594">
        <w:rPr>
          <w:rFonts w:ascii="Times New Roman" w:hAnsi="Times New Roman" w:cs="Times New Roman"/>
          <w:sz w:val="24"/>
          <w:szCs w:val="24"/>
        </w:rPr>
        <w:t>s</w:t>
      </w:r>
      <w:r w:rsidR="00591FA4">
        <w:rPr>
          <w:rFonts w:ascii="Times New Roman" w:hAnsi="Times New Roman" w:cs="Times New Roman"/>
          <w:sz w:val="24"/>
          <w:szCs w:val="24"/>
        </w:rPr>
        <w:t>e</w:t>
      </w:r>
      <w:r w:rsidR="00331594">
        <w:rPr>
          <w:rFonts w:ascii="Times New Roman" w:hAnsi="Times New Roman" w:cs="Times New Roman"/>
          <w:sz w:val="24"/>
          <w:szCs w:val="24"/>
        </w:rPr>
        <w:t xml:space="preserve"> </w:t>
      </w:r>
      <w:r w:rsidR="00882484">
        <w:rPr>
          <w:rFonts w:ascii="Times New Roman" w:hAnsi="Times New Roman" w:cs="Times New Roman"/>
          <w:sz w:val="24"/>
          <w:szCs w:val="24"/>
        </w:rPr>
        <w:t xml:space="preserve">positive figures indicate that the group is performing well and successfully </w:t>
      </w:r>
      <w:r w:rsidR="00791629">
        <w:rPr>
          <w:rFonts w:ascii="Times New Roman" w:hAnsi="Times New Roman" w:cs="Times New Roman"/>
          <w:sz w:val="24"/>
          <w:szCs w:val="24"/>
        </w:rPr>
        <w:t>creating</w:t>
      </w:r>
      <w:r w:rsidR="00882484">
        <w:rPr>
          <w:rFonts w:ascii="Times New Roman" w:hAnsi="Times New Roman" w:cs="Times New Roman"/>
          <w:sz w:val="24"/>
          <w:szCs w:val="24"/>
        </w:rPr>
        <w:t xml:space="preserve"> sufficient profit for its shareholders. </w:t>
      </w:r>
    </w:p>
    <w:p w14:paraId="3B233A8C" w14:textId="6DBD3EA6" w:rsidR="002A5B9E" w:rsidRPr="00F96EE7" w:rsidRDefault="002A5B9E" w:rsidP="00F96EE7">
      <w:pPr>
        <w:spacing w:line="360" w:lineRule="auto"/>
        <w:jc w:val="both"/>
        <w:rPr>
          <w:rFonts w:ascii="Times New Roman" w:hAnsi="Times New Roman" w:cs="Times New Roman"/>
          <w:sz w:val="28"/>
          <w:szCs w:val="28"/>
        </w:rPr>
      </w:pPr>
      <w:r w:rsidRPr="00F96EE7">
        <w:rPr>
          <w:rFonts w:ascii="Times New Roman" w:hAnsi="Times New Roman" w:cs="Times New Roman"/>
          <w:b/>
          <w:bCs/>
          <w:color w:val="000000" w:themeColor="text1"/>
          <w:sz w:val="28"/>
          <w:szCs w:val="28"/>
        </w:rPr>
        <w:t xml:space="preserve">1.2 Ratio Analysis </w:t>
      </w:r>
      <w:r w:rsidR="00787B65" w:rsidRPr="00F96EE7">
        <w:rPr>
          <w:rFonts w:ascii="Times New Roman" w:hAnsi="Times New Roman" w:cs="Times New Roman"/>
          <w:b/>
          <w:bCs/>
          <w:color w:val="000000" w:themeColor="text1"/>
          <w:sz w:val="28"/>
          <w:szCs w:val="28"/>
        </w:rPr>
        <w:t>of</w:t>
      </w:r>
      <w:r w:rsidRPr="00F96EE7">
        <w:rPr>
          <w:rFonts w:ascii="Times New Roman" w:hAnsi="Times New Roman" w:cs="Times New Roman"/>
          <w:b/>
          <w:bCs/>
          <w:color w:val="000000" w:themeColor="text1"/>
          <w:sz w:val="28"/>
          <w:szCs w:val="28"/>
        </w:rPr>
        <w:t xml:space="preserve"> </w:t>
      </w:r>
      <w:r w:rsidR="00AD6BD8" w:rsidRPr="00F96EE7">
        <w:rPr>
          <w:rFonts w:ascii="Times New Roman" w:hAnsi="Times New Roman" w:cs="Times New Roman"/>
          <w:b/>
          <w:bCs/>
          <w:color w:val="000000" w:themeColor="text1"/>
          <w:sz w:val="28"/>
          <w:szCs w:val="28"/>
        </w:rPr>
        <w:t>Financial</w:t>
      </w:r>
      <w:r w:rsidRPr="00F96EE7">
        <w:rPr>
          <w:rFonts w:ascii="Times New Roman" w:hAnsi="Times New Roman" w:cs="Times New Roman"/>
          <w:b/>
          <w:bCs/>
          <w:color w:val="000000" w:themeColor="text1"/>
          <w:sz w:val="28"/>
          <w:szCs w:val="28"/>
        </w:rPr>
        <w:t xml:space="preserve"> Performance &amp; Position of Reckitt Benckiser Group Plc   </w:t>
      </w:r>
    </w:p>
    <w:p w14:paraId="7C9EF8C4" w14:textId="16DBE035" w:rsidR="00582417" w:rsidRDefault="009A398D" w:rsidP="00582417">
      <w:pPr>
        <w:spacing w:line="360" w:lineRule="auto"/>
        <w:jc w:val="both"/>
        <w:rPr>
          <w:rFonts w:ascii="Times New Roman" w:hAnsi="Times New Roman" w:cs="Times New Roman"/>
          <w:sz w:val="24"/>
          <w:szCs w:val="24"/>
        </w:rPr>
      </w:pPr>
      <w:r>
        <w:rPr>
          <w:rFonts w:ascii="Times New Roman" w:hAnsi="Times New Roman" w:cs="Times New Roman"/>
          <w:sz w:val="24"/>
          <w:szCs w:val="24"/>
        </w:rPr>
        <w:t>To understand the f</w:t>
      </w:r>
      <w:r w:rsidR="00725918">
        <w:rPr>
          <w:rFonts w:ascii="Times New Roman" w:hAnsi="Times New Roman" w:cs="Times New Roman"/>
          <w:sz w:val="24"/>
          <w:szCs w:val="24"/>
        </w:rPr>
        <w:t xml:space="preserve">inancial performance and financial position of Reckitt Benckiser Group plc, I have calculated five types of ratio analysis. The outcome of the ratio analysis is evaluated below with the benchmarks: </w:t>
      </w:r>
    </w:p>
    <w:p w14:paraId="44FDFBD1" w14:textId="1BBCCB78" w:rsidR="000B69B9" w:rsidRPr="00612298" w:rsidRDefault="000B69B9" w:rsidP="00F96EE7">
      <w:pPr>
        <w:pStyle w:val="Heading3"/>
        <w:spacing w:line="480" w:lineRule="auto"/>
        <w:rPr>
          <w:rFonts w:ascii="Times New Roman" w:hAnsi="Times New Roman" w:cs="Times New Roman"/>
          <w:b/>
          <w:bCs/>
          <w:color w:val="000000" w:themeColor="text1"/>
        </w:rPr>
      </w:pPr>
      <w:bookmarkStart w:id="3" w:name="_Toc187878298"/>
      <w:r w:rsidRPr="00612298">
        <w:rPr>
          <w:rFonts w:ascii="Times New Roman" w:hAnsi="Times New Roman" w:cs="Times New Roman"/>
          <w:b/>
          <w:bCs/>
          <w:color w:val="000000" w:themeColor="text1"/>
        </w:rPr>
        <w:t>1.2.1 Profitability A</w:t>
      </w:r>
      <w:r w:rsidR="002128A6" w:rsidRPr="00612298">
        <w:rPr>
          <w:rFonts w:ascii="Times New Roman" w:hAnsi="Times New Roman" w:cs="Times New Roman"/>
          <w:b/>
          <w:bCs/>
          <w:color w:val="000000" w:themeColor="text1"/>
        </w:rPr>
        <w:t>n</w:t>
      </w:r>
      <w:r w:rsidRPr="00612298">
        <w:rPr>
          <w:rFonts w:ascii="Times New Roman" w:hAnsi="Times New Roman" w:cs="Times New Roman"/>
          <w:b/>
          <w:bCs/>
          <w:color w:val="000000" w:themeColor="text1"/>
        </w:rPr>
        <w:t>alysis</w:t>
      </w:r>
      <w:bookmarkEnd w:id="3"/>
    </w:p>
    <w:p w14:paraId="227665E8" w14:textId="33304741" w:rsidR="00582417" w:rsidRDefault="0014559F" w:rsidP="00612298">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analyze the profitability of </w:t>
      </w:r>
      <w:r w:rsidR="00E82D4E">
        <w:rPr>
          <w:rFonts w:ascii="Times New Roman" w:hAnsi="Times New Roman" w:cs="Times New Roman"/>
          <w:sz w:val="24"/>
          <w:szCs w:val="24"/>
        </w:rPr>
        <w:t xml:space="preserve">Reckitt Benckiser Group plc, I have calculated two </w:t>
      </w:r>
      <w:r w:rsidR="003B42F3">
        <w:rPr>
          <w:rFonts w:ascii="Times New Roman" w:hAnsi="Times New Roman" w:cs="Times New Roman"/>
          <w:sz w:val="24"/>
          <w:szCs w:val="24"/>
        </w:rPr>
        <w:t>margin ratios and one return ratio including operating profit margin, net profit margin</w:t>
      </w:r>
      <w:r w:rsidR="003C3094">
        <w:rPr>
          <w:rFonts w:ascii="Times New Roman" w:hAnsi="Times New Roman" w:cs="Times New Roman"/>
          <w:sz w:val="24"/>
          <w:szCs w:val="24"/>
        </w:rPr>
        <w:t>,</w:t>
      </w:r>
      <w:r w:rsidR="003B42F3">
        <w:rPr>
          <w:rFonts w:ascii="Times New Roman" w:hAnsi="Times New Roman" w:cs="Times New Roman"/>
          <w:sz w:val="24"/>
          <w:szCs w:val="24"/>
        </w:rPr>
        <w:t xml:space="preserve"> and return on assets. </w:t>
      </w:r>
      <w:r w:rsidR="00A81A5B">
        <w:rPr>
          <w:rFonts w:ascii="Times New Roman" w:hAnsi="Times New Roman" w:cs="Times New Roman"/>
          <w:sz w:val="24"/>
          <w:szCs w:val="24"/>
        </w:rPr>
        <w:t xml:space="preserve">These ratios indicate a </w:t>
      </w:r>
      <w:r w:rsidR="00AD71F3">
        <w:rPr>
          <w:rFonts w:ascii="Times New Roman" w:hAnsi="Times New Roman" w:cs="Times New Roman"/>
          <w:sz w:val="24"/>
          <w:szCs w:val="24"/>
        </w:rPr>
        <w:t>firm's profitability</w:t>
      </w:r>
      <w:r w:rsidR="00A81A5B">
        <w:rPr>
          <w:rFonts w:ascii="Times New Roman" w:hAnsi="Times New Roman" w:cs="Times New Roman"/>
          <w:sz w:val="24"/>
          <w:szCs w:val="24"/>
        </w:rPr>
        <w:t xml:space="preserve"> and profit sustainability. </w:t>
      </w:r>
    </w:p>
    <w:p w14:paraId="579C8CA8" w14:textId="4EE8AC64" w:rsidR="00947EEC" w:rsidRPr="00A46C0E" w:rsidRDefault="00224EA5" w:rsidP="00621CB7">
      <w:pPr>
        <w:jc w:val="both"/>
        <w:rPr>
          <w:rFonts w:ascii="Times New Roman" w:hAnsi="Times New Roman" w:cs="Times New Roman"/>
          <w:sz w:val="24"/>
          <w:szCs w:val="24"/>
        </w:rPr>
      </w:pPr>
      <w:r>
        <w:rPr>
          <w:noProof/>
        </w:rPr>
        <w:lastRenderedPageBreak/>
        <w:drawing>
          <wp:inline distT="0" distB="0" distL="0" distR="0" wp14:anchorId="1AC882A2" wp14:editId="059CE022">
            <wp:extent cx="2994660" cy="2293620"/>
            <wp:effectExtent l="0" t="0" r="0" b="0"/>
            <wp:docPr id="1" name="Chart 1">
              <a:extLst xmlns:a="http://schemas.openxmlformats.org/drawingml/2006/main">
                <a:ext uri="{FF2B5EF4-FFF2-40B4-BE49-F238E27FC236}">
                  <a16:creationId xmlns:a16="http://schemas.microsoft.com/office/drawing/2014/main" id="{63526D80-620D-4BC5-9D8B-4680318E021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r w:rsidRPr="00224EA5">
        <w:rPr>
          <w:noProof/>
        </w:rPr>
        <w:t xml:space="preserve"> </w:t>
      </w:r>
      <w:r w:rsidRPr="00AD71F3">
        <w:rPr>
          <w:noProof/>
        </w:rPr>
        <w:drawing>
          <wp:inline distT="0" distB="0" distL="0" distR="0" wp14:anchorId="56B06F94" wp14:editId="7951D572">
            <wp:extent cx="2872740" cy="2293620"/>
            <wp:effectExtent l="0" t="0" r="0" b="0"/>
            <wp:docPr id="2" name="Chart 2">
              <a:extLst xmlns:a="http://schemas.openxmlformats.org/drawingml/2006/main">
                <a:ext uri="{FF2B5EF4-FFF2-40B4-BE49-F238E27FC236}">
                  <a16:creationId xmlns:a16="http://schemas.microsoft.com/office/drawing/2014/main" id="{0377CF82-9156-42C0-BB49-E1DE71A2CF6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1F8D9EEC" w14:textId="688A7301" w:rsidR="00AE3A15" w:rsidRDefault="00224EA5" w:rsidP="00224EA5">
      <w:pPr>
        <w:jc w:val="center"/>
        <w:rPr>
          <w:rFonts w:ascii="Times New Roman" w:hAnsi="Times New Roman" w:cs="Times New Roman"/>
          <w:sz w:val="24"/>
          <w:szCs w:val="24"/>
        </w:rPr>
      </w:pPr>
      <w:r w:rsidRPr="00AD71F3">
        <w:rPr>
          <w:noProof/>
        </w:rPr>
        <w:drawing>
          <wp:inline distT="0" distB="0" distL="0" distR="0" wp14:anchorId="226ADD88" wp14:editId="626AF733">
            <wp:extent cx="3596640" cy="2659380"/>
            <wp:effectExtent l="0" t="0" r="0" b="0"/>
            <wp:docPr id="3" name="Chart 3">
              <a:extLst xmlns:a="http://schemas.openxmlformats.org/drawingml/2006/main">
                <a:ext uri="{FF2B5EF4-FFF2-40B4-BE49-F238E27FC236}">
                  <a16:creationId xmlns:a16="http://schemas.microsoft.com/office/drawing/2014/main" id="{C2A82365-B0CE-41E8-8608-6AF45407D84A}"/>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0DA8865A" w14:textId="08DBACC9" w:rsidR="00EA3B5E" w:rsidRDefault="00224EA5" w:rsidP="00612298">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01: Profitability Analysis of Reckitt Benckiser Group plc.</w:t>
      </w:r>
    </w:p>
    <w:p w14:paraId="095B1AD5" w14:textId="2617060D" w:rsidR="00224EA5" w:rsidRPr="00EC2851" w:rsidRDefault="001B5D11" w:rsidP="00612298">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If we look at the profitability ratios, we can see that in comparison to 2022, the profitability of Reckitt Benckiser Group plc </w:t>
      </w:r>
      <w:r w:rsidR="00791629">
        <w:rPr>
          <w:rFonts w:ascii="Times New Roman" w:hAnsi="Times New Roman" w:cs="Times New Roman"/>
          <w:sz w:val="24"/>
          <w:szCs w:val="24"/>
        </w:rPr>
        <w:t>deteriorated</w:t>
      </w:r>
      <w:r>
        <w:rPr>
          <w:rFonts w:ascii="Times New Roman" w:hAnsi="Times New Roman" w:cs="Times New Roman"/>
          <w:sz w:val="24"/>
          <w:szCs w:val="24"/>
        </w:rPr>
        <w:t xml:space="preserve"> in 2023 indicated by </w:t>
      </w:r>
      <w:r w:rsidR="000A6471">
        <w:rPr>
          <w:rFonts w:ascii="Times New Roman" w:hAnsi="Times New Roman" w:cs="Times New Roman"/>
          <w:sz w:val="24"/>
          <w:szCs w:val="24"/>
        </w:rPr>
        <w:t xml:space="preserve">the </w:t>
      </w:r>
      <w:r>
        <w:rPr>
          <w:rFonts w:ascii="Times New Roman" w:hAnsi="Times New Roman" w:cs="Times New Roman"/>
          <w:sz w:val="24"/>
          <w:szCs w:val="24"/>
        </w:rPr>
        <w:t xml:space="preserve">downward trend in the three key metrics of profitability analysis. Although the profitability somewhat deteriorated in 2023, both </w:t>
      </w:r>
      <w:r w:rsidR="000A6471">
        <w:rPr>
          <w:rFonts w:ascii="Times New Roman" w:hAnsi="Times New Roman" w:cs="Times New Roman"/>
          <w:sz w:val="24"/>
          <w:szCs w:val="24"/>
        </w:rPr>
        <w:t xml:space="preserve">the </w:t>
      </w:r>
      <w:r>
        <w:rPr>
          <w:rFonts w:ascii="Times New Roman" w:hAnsi="Times New Roman" w:cs="Times New Roman"/>
          <w:sz w:val="24"/>
          <w:szCs w:val="24"/>
        </w:rPr>
        <w:t xml:space="preserve">operating profit margin and net profit margin </w:t>
      </w:r>
      <w:r w:rsidR="00070426">
        <w:rPr>
          <w:rFonts w:ascii="Times New Roman" w:hAnsi="Times New Roman" w:cs="Times New Roman"/>
          <w:sz w:val="24"/>
          <w:szCs w:val="24"/>
        </w:rPr>
        <w:t>are</w:t>
      </w:r>
      <w:r>
        <w:rPr>
          <w:rFonts w:ascii="Times New Roman" w:hAnsi="Times New Roman" w:cs="Times New Roman"/>
          <w:sz w:val="24"/>
          <w:szCs w:val="24"/>
        </w:rPr>
        <w:t xml:space="preserve"> higher than the healthy margin of 10%</w:t>
      </w:r>
      <w:r w:rsidR="006A4CD8">
        <w:rPr>
          <w:rFonts w:ascii="Times New Roman" w:hAnsi="Times New Roman" w:cs="Times New Roman"/>
          <w:sz w:val="24"/>
          <w:szCs w:val="24"/>
        </w:rPr>
        <w:t xml:space="preserve"> because </w:t>
      </w:r>
      <w:r w:rsidR="004009C3">
        <w:rPr>
          <w:rFonts w:ascii="Times New Roman" w:hAnsi="Times New Roman" w:cs="Times New Roman"/>
          <w:sz w:val="24"/>
          <w:szCs w:val="24"/>
        </w:rPr>
        <w:t xml:space="preserve">of </w:t>
      </w:r>
      <w:r w:rsidR="000A6471">
        <w:rPr>
          <w:rFonts w:ascii="Times New Roman" w:hAnsi="Times New Roman" w:cs="Times New Roman"/>
          <w:sz w:val="24"/>
          <w:szCs w:val="24"/>
        </w:rPr>
        <w:t xml:space="preserve">the </w:t>
      </w:r>
      <w:r w:rsidR="006A4CD8">
        <w:rPr>
          <w:rFonts w:ascii="Times New Roman" w:hAnsi="Times New Roman" w:cs="Times New Roman"/>
          <w:sz w:val="24"/>
          <w:szCs w:val="24"/>
        </w:rPr>
        <w:t>hygiene industry</w:t>
      </w:r>
      <w:r w:rsidR="000A6471">
        <w:rPr>
          <w:rFonts w:ascii="Times New Roman" w:hAnsi="Times New Roman" w:cs="Times New Roman"/>
          <w:sz w:val="24"/>
          <w:szCs w:val="24"/>
        </w:rPr>
        <w:t>,</w:t>
      </w:r>
      <w:r w:rsidR="006A4CD8">
        <w:rPr>
          <w:rFonts w:ascii="Times New Roman" w:hAnsi="Times New Roman" w:cs="Times New Roman"/>
          <w:sz w:val="24"/>
          <w:szCs w:val="24"/>
        </w:rPr>
        <w:t xml:space="preserve"> the benchmark of these metrics is 10%</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Drury</w:t>
      </w:r>
      <w:r w:rsidR="00EC2851">
        <w:rPr>
          <w:rFonts w:ascii="Times New Roman" w:hAnsi="Times New Roman" w:cs="Times New Roman"/>
          <w:color w:val="222222"/>
          <w:sz w:val="24"/>
          <w:szCs w:val="24"/>
          <w:shd w:val="clear" w:color="auto" w:fill="FFFFFF"/>
        </w:rPr>
        <w:t xml:space="preserve"> &amp; </w:t>
      </w:r>
      <w:proofErr w:type="spellStart"/>
      <w:r w:rsidR="00EC2851" w:rsidRPr="00713490">
        <w:rPr>
          <w:rFonts w:ascii="Times New Roman" w:hAnsi="Times New Roman" w:cs="Times New Roman"/>
          <w:color w:val="222222"/>
          <w:sz w:val="24"/>
          <w:szCs w:val="24"/>
          <w:shd w:val="clear" w:color="auto" w:fill="FFFFFF"/>
        </w:rPr>
        <w:t>Tayles</w:t>
      </w:r>
      <w:proofErr w:type="spellEnd"/>
      <w:r w:rsidR="00EC2851" w:rsidRPr="00713490">
        <w:rPr>
          <w:rFonts w:ascii="Times New Roman" w:hAnsi="Times New Roman" w:cs="Times New Roman"/>
          <w:color w:val="222222"/>
          <w:sz w:val="24"/>
          <w:szCs w:val="24"/>
          <w:shd w:val="clear" w:color="auto" w:fill="FFFFFF"/>
        </w:rPr>
        <w:t>,</w:t>
      </w:r>
      <w:r w:rsidR="00EC2851">
        <w:rPr>
          <w:rFonts w:ascii="Times New Roman" w:hAnsi="Times New Roman" w:cs="Times New Roman"/>
          <w:color w:val="222222"/>
          <w:sz w:val="24"/>
          <w:szCs w:val="24"/>
          <w:shd w:val="clear" w:color="auto" w:fill="FFFFFF"/>
        </w:rPr>
        <w:t xml:space="preserve"> 2006)</w:t>
      </w:r>
      <w:r>
        <w:rPr>
          <w:rFonts w:ascii="Times New Roman" w:hAnsi="Times New Roman" w:cs="Times New Roman"/>
          <w:sz w:val="24"/>
          <w:szCs w:val="24"/>
        </w:rPr>
        <w:t xml:space="preserve">. </w:t>
      </w:r>
      <w:r w:rsidR="009A3EC6">
        <w:rPr>
          <w:rFonts w:ascii="Times New Roman" w:hAnsi="Times New Roman" w:cs="Times New Roman"/>
          <w:sz w:val="24"/>
          <w:szCs w:val="24"/>
        </w:rPr>
        <w:t xml:space="preserve">This is also appropriate for the return on assets. </w:t>
      </w:r>
      <w:r>
        <w:rPr>
          <w:rFonts w:ascii="Times New Roman" w:hAnsi="Times New Roman" w:cs="Times New Roman"/>
          <w:sz w:val="24"/>
          <w:szCs w:val="24"/>
        </w:rPr>
        <w:t xml:space="preserve"> </w:t>
      </w:r>
    </w:p>
    <w:p w14:paraId="2D47B2F8" w14:textId="77777777" w:rsidR="00BA18DA" w:rsidRDefault="00346C42" w:rsidP="00BA18DA">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To find out the reasons behind the changes </w:t>
      </w:r>
      <w:r w:rsidR="000A6471">
        <w:rPr>
          <w:rFonts w:ascii="Times New Roman" w:hAnsi="Times New Roman" w:cs="Times New Roman"/>
          <w:sz w:val="24"/>
          <w:szCs w:val="24"/>
        </w:rPr>
        <w:t>in</w:t>
      </w:r>
      <w:r>
        <w:rPr>
          <w:rFonts w:ascii="Times New Roman" w:hAnsi="Times New Roman" w:cs="Times New Roman"/>
          <w:sz w:val="24"/>
          <w:szCs w:val="24"/>
        </w:rPr>
        <w:t xml:space="preserve"> the ratios, </w:t>
      </w:r>
      <w:r w:rsidR="00AA6962">
        <w:rPr>
          <w:rFonts w:ascii="Times New Roman" w:hAnsi="Times New Roman" w:cs="Times New Roman"/>
          <w:sz w:val="24"/>
          <w:szCs w:val="24"/>
        </w:rPr>
        <w:t>I</w:t>
      </w:r>
      <w:r w:rsidR="00702AC2">
        <w:rPr>
          <w:rFonts w:ascii="Times New Roman" w:hAnsi="Times New Roman" w:cs="Times New Roman"/>
          <w:sz w:val="24"/>
          <w:szCs w:val="24"/>
        </w:rPr>
        <w:t xml:space="preserve"> dig into the financial statements of Reckitt Benckiser Group plc</w:t>
      </w:r>
      <w:r>
        <w:rPr>
          <w:rFonts w:ascii="Times New Roman" w:hAnsi="Times New Roman" w:cs="Times New Roman"/>
          <w:sz w:val="24"/>
          <w:szCs w:val="24"/>
        </w:rPr>
        <w:t xml:space="preserve"> and </w:t>
      </w:r>
      <w:r w:rsidR="00702AC2">
        <w:rPr>
          <w:rFonts w:ascii="Times New Roman" w:hAnsi="Times New Roman" w:cs="Times New Roman"/>
          <w:sz w:val="24"/>
          <w:szCs w:val="24"/>
        </w:rPr>
        <w:t xml:space="preserve">find the following reasons behind the downward movement of these ratios. </w:t>
      </w:r>
    </w:p>
    <w:p w14:paraId="18F84599" w14:textId="6EA439BB" w:rsidR="00224EA5" w:rsidRPr="00BA18DA" w:rsidRDefault="002C5EE1" w:rsidP="00305B3A">
      <w:pPr>
        <w:pStyle w:val="ListParagraph"/>
        <w:numPr>
          <w:ilvl w:val="0"/>
          <w:numId w:val="36"/>
        </w:numPr>
        <w:spacing w:line="360" w:lineRule="auto"/>
        <w:jc w:val="both"/>
        <w:rPr>
          <w:rFonts w:ascii="Times New Roman" w:hAnsi="Times New Roman" w:cs="Times New Roman"/>
          <w:sz w:val="24"/>
          <w:szCs w:val="24"/>
        </w:rPr>
      </w:pPr>
      <w:r w:rsidRPr="00BA18DA">
        <w:rPr>
          <w:rFonts w:ascii="Times New Roman" w:hAnsi="Times New Roman" w:cs="Times New Roman"/>
          <w:sz w:val="24"/>
          <w:szCs w:val="24"/>
        </w:rPr>
        <w:lastRenderedPageBreak/>
        <w:t xml:space="preserve">The net revenue of Reckitt Benckiser Group plc increased in 2023 compared to that of 2022 (from £14,453 million to £14,607 million). </w:t>
      </w:r>
    </w:p>
    <w:p w14:paraId="13D5378E" w14:textId="79A2C5F7" w:rsidR="002C5EE1" w:rsidRDefault="002C5EE1" w:rsidP="00305B3A">
      <w:pPr>
        <w:pStyle w:val="ListParagraph"/>
        <w:numPr>
          <w:ilvl w:val="0"/>
          <w:numId w:val="3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net revenue increased in </w:t>
      </w:r>
      <w:r w:rsidR="00335289">
        <w:rPr>
          <w:rFonts w:ascii="Times New Roman" w:hAnsi="Times New Roman" w:cs="Times New Roman"/>
          <w:sz w:val="24"/>
          <w:szCs w:val="24"/>
        </w:rPr>
        <w:t>the period</w:t>
      </w:r>
      <w:r>
        <w:rPr>
          <w:rFonts w:ascii="Times New Roman" w:hAnsi="Times New Roman" w:cs="Times New Roman"/>
          <w:sz w:val="24"/>
          <w:szCs w:val="24"/>
        </w:rPr>
        <w:t xml:space="preserve"> </w:t>
      </w:r>
      <w:r w:rsidR="00335289">
        <w:rPr>
          <w:rFonts w:ascii="Times New Roman" w:hAnsi="Times New Roman" w:cs="Times New Roman"/>
          <w:sz w:val="24"/>
          <w:szCs w:val="24"/>
        </w:rPr>
        <w:t>concerned with</w:t>
      </w:r>
      <w:r>
        <w:rPr>
          <w:rFonts w:ascii="Times New Roman" w:hAnsi="Times New Roman" w:cs="Times New Roman"/>
          <w:sz w:val="24"/>
          <w:szCs w:val="24"/>
        </w:rPr>
        <w:t xml:space="preserve"> </w:t>
      </w:r>
      <w:r w:rsidR="00AB64B1">
        <w:rPr>
          <w:rFonts w:ascii="Times New Roman" w:hAnsi="Times New Roman" w:cs="Times New Roman"/>
          <w:sz w:val="24"/>
          <w:szCs w:val="24"/>
        </w:rPr>
        <w:t>time</w:t>
      </w:r>
      <w:r>
        <w:rPr>
          <w:rFonts w:ascii="Times New Roman" w:hAnsi="Times New Roman" w:cs="Times New Roman"/>
          <w:sz w:val="24"/>
          <w:szCs w:val="24"/>
        </w:rPr>
        <w:t xml:space="preserve">, </w:t>
      </w:r>
      <w:r w:rsidR="000A6471">
        <w:rPr>
          <w:rFonts w:ascii="Times New Roman" w:hAnsi="Times New Roman" w:cs="Times New Roman"/>
          <w:sz w:val="24"/>
          <w:szCs w:val="24"/>
        </w:rPr>
        <w:t xml:space="preserve">the </w:t>
      </w:r>
      <w:r>
        <w:rPr>
          <w:rFonts w:ascii="Times New Roman" w:hAnsi="Times New Roman" w:cs="Times New Roman"/>
          <w:sz w:val="24"/>
          <w:szCs w:val="24"/>
        </w:rPr>
        <w:t xml:space="preserve">cost of sales decreased in </w:t>
      </w:r>
      <w:r w:rsidR="00BA18DA">
        <w:rPr>
          <w:rFonts w:ascii="Times New Roman" w:hAnsi="Times New Roman" w:cs="Times New Roman"/>
          <w:sz w:val="24"/>
          <w:szCs w:val="24"/>
        </w:rPr>
        <w:t>time</w:t>
      </w:r>
      <w:r>
        <w:rPr>
          <w:rFonts w:ascii="Times New Roman" w:hAnsi="Times New Roman" w:cs="Times New Roman"/>
          <w:sz w:val="24"/>
          <w:szCs w:val="24"/>
        </w:rPr>
        <w:t xml:space="preserve">. The decrease in </w:t>
      </w:r>
      <w:r w:rsidR="00AB64B1">
        <w:rPr>
          <w:rFonts w:ascii="Times New Roman" w:hAnsi="Times New Roman" w:cs="Times New Roman"/>
          <w:sz w:val="24"/>
          <w:szCs w:val="24"/>
        </w:rPr>
        <w:t>the cost</w:t>
      </w:r>
      <w:r>
        <w:rPr>
          <w:rFonts w:ascii="Times New Roman" w:hAnsi="Times New Roman" w:cs="Times New Roman"/>
          <w:sz w:val="24"/>
          <w:szCs w:val="24"/>
        </w:rPr>
        <w:t xml:space="preserve"> of sales and increase in net revenue allows Reckitt Benckiser Group plc to earn a better gross profit compared to the previous year</w:t>
      </w:r>
      <w:r w:rsidR="0084229D">
        <w:rPr>
          <w:rFonts w:ascii="Times New Roman" w:hAnsi="Times New Roman" w:cs="Times New Roman"/>
          <w:sz w:val="24"/>
          <w:szCs w:val="24"/>
        </w:rPr>
        <w:t xml:space="preserve"> which indicates </w:t>
      </w:r>
      <w:r w:rsidR="000A6471">
        <w:rPr>
          <w:rFonts w:ascii="Times New Roman" w:hAnsi="Times New Roman" w:cs="Times New Roman"/>
          <w:sz w:val="24"/>
          <w:szCs w:val="24"/>
        </w:rPr>
        <w:t xml:space="preserve">the </w:t>
      </w:r>
      <w:r w:rsidR="0084229D">
        <w:rPr>
          <w:rFonts w:ascii="Times New Roman" w:hAnsi="Times New Roman" w:cs="Times New Roman"/>
          <w:sz w:val="24"/>
          <w:szCs w:val="24"/>
        </w:rPr>
        <w:t>group’s efficiency in controlling the cost of sales</w:t>
      </w:r>
      <w:r>
        <w:rPr>
          <w:rFonts w:ascii="Times New Roman" w:hAnsi="Times New Roman" w:cs="Times New Roman"/>
          <w:sz w:val="24"/>
          <w:szCs w:val="24"/>
        </w:rPr>
        <w:t xml:space="preserve">. </w:t>
      </w:r>
    </w:p>
    <w:p w14:paraId="3466E9E8" w14:textId="77777777" w:rsidR="00305B3A" w:rsidRDefault="00F06473" w:rsidP="00305B3A">
      <w:pPr>
        <w:pStyle w:val="ListParagraph"/>
        <w:numPr>
          <w:ilvl w:val="0"/>
          <w:numId w:val="36"/>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Operating </w:t>
      </w:r>
      <w:r w:rsidR="00AB64B1">
        <w:rPr>
          <w:rFonts w:ascii="Times New Roman" w:hAnsi="Times New Roman" w:cs="Times New Roman"/>
          <w:sz w:val="24"/>
          <w:szCs w:val="24"/>
        </w:rPr>
        <w:t>expenditures</w:t>
      </w:r>
      <w:r>
        <w:rPr>
          <w:rFonts w:ascii="Times New Roman" w:hAnsi="Times New Roman" w:cs="Times New Roman"/>
          <w:sz w:val="24"/>
          <w:szCs w:val="24"/>
        </w:rPr>
        <w:t xml:space="preserve"> of Reckitt Benckiser Group </w:t>
      </w:r>
      <w:r w:rsidR="00AB64B1">
        <w:rPr>
          <w:rFonts w:ascii="Times New Roman" w:hAnsi="Times New Roman" w:cs="Times New Roman"/>
          <w:sz w:val="24"/>
          <w:szCs w:val="24"/>
        </w:rPr>
        <w:t>plc</w:t>
      </w:r>
      <w:r>
        <w:rPr>
          <w:rFonts w:ascii="Times New Roman" w:hAnsi="Times New Roman" w:cs="Times New Roman"/>
          <w:sz w:val="24"/>
          <w:szCs w:val="24"/>
        </w:rPr>
        <w:t xml:space="preserve"> increased by £474 million in </w:t>
      </w:r>
      <w:r w:rsidR="00AB64B1">
        <w:rPr>
          <w:rFonts w:ascii="Times New Roman" w:hAnsi="Times New Roman" w:cs="Times New Roman"/>
          <w:sz w:val="24"/>
          <w:szCs w:val="24"/>
        </w:rPr>
        <w:t>2023,</w:t>
      </w:r>
      <w:r w:rsidR="00E27364">
        <w:rPr>
          <w:rFonts w:ascii="Times New Roman" w:hAnsi="Times New Roman" w:cs="Times New Roman"/>
          <w:sz w:val="24"/>
          <w:szCs w:val="24"/>
        </w:rPr>
        <w:t xml:space="preserve"> which is an indication of operational inefficiency</w:t>
      </w:r>
      <w:r>
        <w:rPr>
          <w:rFonts w:ascii="Times New Roman" w:hAnsi="Times New Roman" w:cs="Times New Roman"/>
          <w:sz w:val="24"/>
          <w:szCs w:val="24"/>
        </w:rPr>
        <w:t>.</w:t>
      </w:r>
    </w:p>
    <w:p w14:paraId="1DD9EA66" w14:textId="77777777" w:rsidR="00305B3A" w:rsidRDefault="00F06473" w:rsidP="00305B3A">
      <w:pPr>
        <w:pStyle w:val="ListParagraph"/>
        <w:numPr>
          <w:ilvl w:val="0"/>
          <w:numId w:val="36"/>
        </w:numPr>
        <w:spacing w:line="360" w:lineRule="auto"/>
        <w:jc w:val="both"/>
        <w:rPr>
          <w:rFonts w:ascii="Times New Roman" w:hAnsi="Times New Roman" w:cs="Times New Roman"/>
          <w:sz w:val="24"/>
          <w:szCs w:val="24"/>
        </w:rPr>
      </w:pPr>
      <w:r w:rsidRPr="00305B3A">
        <w:rPr>
          <w:rFonts w:ascii="Times New Roman" w:hAnsi="Times New Roman" w:cs="Times New Roman"/>
          <w:sz w:val="24"/>
          <w:szCs w:val="24"/>
        </w:rPr>
        <w:t xml:space="preserve">In addition to the incremental operating expense, </w:t>
      </w:r>
      <w:r w:rsidR="000A6471" w:rsidRPr="00305B3A">
        <w:rPr>
          <w:rFonts w:ascii="Times New Roman" w:hAnsi="Times New Roman" w:cs="Times New Roman"/>
          <w:sz w:val="24"/>
          <w:szCs w:val="24"/>
        </w:rPr>
        <w:t xml:space="preserve">a </w:t>
      </w:r>
      <w:r w:rsidRPr="00305B3A">
        <w:rPr>
          <w:rFonts w:ascii="Times New Roman" w:hAnsi="Times New Roman" w:cs="Times New Roman"/>
          <w:sz w:val="24"/>
          <w:szCs w:val="24"/>
        </w:rPr>
        <w:t xml:space="preserve">huge amount of impairment of goodwill (£810 million) understates the operating profit of Reckitt Benckiser Group plc and thereby the operating profit margin and return on assets. </w:t>
      </w:r>
    </w:p>
    <w:p w14:paraId="209BBC7E" w14:textId="0CCC8A14" w:rsidR="00525E7A" w:rsidRPr="00305B3A" w:rsidRDefault="00525E7A" w:rsidP="00305B3A">
      <w:pPr>
        <w:pStyle w:val="ListParagraph"/>
        <w:numPr>
          <w:ilvl w:val="0"/>
          <w:numId w:val="36"/>
        </w:numPr>
        <w:spacing w:line="360" w:lineRule="auto"/>
        <w:jc w:val="both"/>
        <w:rPr>
          <w:rFonts w:ascii="Times New Roman" w:hAnsi="Times New Roman" w:cs="Times New Roman"/>
          <w:sz w:val="24"/>
          <w:szCs w:val="24"/>
        </w:rPr>
      </w:pPr>
      <w:r w:rsidRPr="00305B3A">
        <w:rPr>
          <w:rFonts w:ascii="Times New Roman" w:hAnsi="Times New Roman" w:cs="Times New Roman"/>
          <w:sz w:val="24"/>
          <w:szCs w:val="24"/>
        </w:rPr>
        <w:t xml:space="preserve">Compared to 2022, </w:t>
      </w:r>
      <w:r w:rsidR="000A6471" w:rsidRPr="00305B3A">
        <w:rPr>
          <w:rFonts w:ascii="Times New Roman" w:hAnsi="Times New Roman" w:cs="Times New Roman"/>
          <w:sz w:val="24"/>
          <w:szCs w:val="24"/>
        </w:rPr>
        <w:t xml:space="preserve">the </w:t>
      </w:r>
      <w:r w:rsidRPr="00305B3A">
        <w:rPr>
          <w:rFonts w:ascii="Times New Roman" w:hAnsi="Times New Roman" w:cs="Times New Roman"/>
          <w:sz w:val="24"/>
          <w:szCs w:val="24"/>
        </w:rPr>
        <w:t xml:space="preserve">finance expense of Reckitt Benckiser Group </w:t>
      </w:r>
      <w:r w:rsidR="00AB64B1" w:rsidRPr="00305B3A">
        <w:rPr>
          <w:rFonts w:ascii="Times New Roman" w:hAnsi="Times New Roman" w:cs="Times New Roman"/>
          <w:sz w:val="24"/>
          <w:szCs w:val="24"/>
        </w:rPr>
        <w:t>plc</w:t>
      </w:r>
      <w:r w:rsidRPr="00305B3A">
        <w:rPr>
          <w:rFonts w:ascii="Times New Roman" w:hAnsi="Times New Roman" w:cs="Times New Roman"/>
          <w:sz w:val="24"/>
          <w:szCs w:val="24"/>
        </w:rPr>
        <w:t xml:space="preserve"> increased in 2023</w:t>
      </w:r>
      <w:r w:rsidR="00F664B8" w:rsidRPr="00305B3A">
        <w:rPr>
          <w:rFonts w:ascii="Times New Roman" w:hAnsi="Times New Roman" w:cs="Times New Roman"/>
          <w:sz w:val="24"/>
          <w:szCs w:val="24"/>
        </w:rPr>
        <w:t xml:space="preserve">. </w:t>
      </w:r>
      <w:r w:rsidR="000A6471" w:rsidRPr="00305B3A">
        <w:rPr>
          <w:rFonts w:ascii="Times New Roman" w:hAnsi="Times New Roman" w:cs="Times New Roman"/>
          <w:sz w:val="24"/>
          <w:szCs w:val="24"/>
        </w:rPr>
        <w:t>This</w:t>
      </w:r>
      <w:r w:rsidR="00F664B8" w:rsidRPr="00305B3A">
        <w:rPr>
          <w:rFonts w:ascii="Times New Roman" w:hAnsi="Times New Roman" w:cs="Times New Roman"/>
          <w:sz w:val="24"/>
          <w:szCs w:val="24"/>
        </w:rPr>
        <w:t xml:space="preserve"> increase also plays a significant role in the downward movement of </w:t>
      </w:r>
      <w:r w:rsidR="006B4095" w:rsidRPr="00305B3A">
        <w:rPr>
          <w:rFonts w:ascii="Times New Roman" w:hAnsi="Times New Roman" w:cs="Times New Roman"/>
          <w:sz w:val="24"/>
          <w:szCs w:val="24"/>
        </w:rPr>
        <w:t xml:space="preserve">the </w:t>
      </w:r>
      <w:r w:rsidR="00F664B8" w:rsidRPr="00305B3A">
        <w:rPr>
          <w:rFonts w:ascii="Times New Roman" w:hAnsi="Times New Roman" w:cs="Times New Roman"/>
          <w:sz w:val="24"/>
          <w:szCs w:val="24"/>
        </w:rPr>
        <w:t xml:space="preserve">net profit margin. </w:t>
      </w:r>
    </w:p>
    <w:p w14:paraId="3A490B4E" w14:textId="7D6A1C8C" w:rsidR="00582417" w:rsidRDefault="001474F0" w:rsidP="0058241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These are the key reasons behind the downward trend in the profitability of Reckitt Benckiser Group plc. </w:t>
      </w:r>
    </w:p>
    <w:p w14:paraId="21EB12EB" w14:textId="23BE0F0E" w:rsidR="00D06D88" w:rsidRPr="00767B27" w:rsidRDefault="00D06D88" w:rsidP="00F96EE7">
      <w:pPr>
        <w:spacing w:line="480" w:lineRule="auto"/>
        <w:jc w:val="both"/>
        <w:rPr>
          <w:rFonts w:ascii="Times New Roman" w:hAnsi="Times New Roman" w:cs="Times New Roman"/>
          <w:sz w:val="24"/>
          <w:szCs w:val="24"/>
        </w:rPr>
      </w:pPr>
      <w:r w:rsidRPr="00767B27">
        <w:rPr>
          <w:rFonts w:ascii="Times New Roman" w:hAnsi="Times New Roman" w:cs="Times New Roman"/>
          <w:b/>
          <w:bCs/>
          <w:color w:val="000000" w:themeColor="text1"/>
          <w:sz w:val="24"/>
          <w:szCs w:val="24"/>
        </w:rPr>
        <w:t>1.2.2 Liquidity Analysis</w:t>
      </w:r>
    </w:p>
    <w:p w14:paraId="232A2B16" w14:textId="38AF10DA" w:rsidR="00224EA5" w:rsidRDefault="0022656A" w:rsidP="00767B27">
      <w:pPr>
        <w:spacing w:line="360" w:lineRule="auto"/>
        <w:jc w:val="both"/>
        <w:rPr>
          <w:rFonts w:ascii="Times New Roman" w:hAnsi="Times New Roman" w:cs="Times New Roman"/>
          <w:sz w:val="24"/>
          <w:szCs w:val="24"/>
        </w:rPr>
      </w:pPr>
      <w:r>
        <w:rPr>
          <w:rFonts w:ascii="Times New Roman" w:hAnsi="Times New Roman" w:cs="Times New Roman"/>
          <w:sz w:val="24"/>
          <w:szCs w:val="24"/>
        </w:rPr>
        <w:t>The opposite relationship between liquidity and profitability indicates that a company need not keep additional liquid assets because it will affect profitability</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proofErr w:type="spellStart"/>
      <w:r w:rsidR="00EC2851" w:rsidRPr="00713490">
        <w:rPr>
          <w:rFonts w:ascii="Times New Roman" w:hAnsi="Times New Roman" w:cs="Times New Roman"/>
          <w:color w:val="222222"/>
          <w:sz w:val="24"/>
          <w:szCs w:val="24"/>
          <w:shd w:val="clear" w:color="auto" w:fill="FFFFFF"/>
        </w:rPr>
        <w:t>Ehiedu</w:t>
      </w:r>
      <w:proofErr w:type="spellEnd"/>
      <w:r w:rsidR="00EC2851" w:rsidRPr="00713490">
        <w:rPr>
          <w:rFonts w:ascii="Times New Roman" w:hAnsi="Times New Roman" w:cs="Times New Roman"/>
          <w:color w:val="222222"/>
          <w:sz w:val="24"/>
          <w:szCs w:val="24"/>
          <w:shd w:val="clear" w:color="auto" w:fill="FFFFFF"/>
        </w:rPr>
        <w:t>,</w:t>
      </w:r>
      <w:r w:rsidR="00EC2851">
        <w:rPr>
          <w:rFonts w:ascii="Times New Roman" w:hAnsi="Times New Roman" w:cs="Times New Roman"/>
          <w:color w:val="222222"/>
          <w:sz w:val="24"/>
          <w:szCs w:val="24"/>
          <w:shd w:val="clear" w:color="auto" w:fill="FFFFFF"/>
        </w:rPr>
        <w:t xml:space="preserve"> 2014)</w:t>
      </w:r>
      <w:r>
        <w:rPr>
          <w:rFonts w:ascii="Times New Roman" w:hAnsi="Times New Roman" w:cs="Times New Roman"/>
          <w:sz w:val="24"/>
          <w:szCs w:val="24"/>
        </w:rPr>
        <w:t xml:space="preserve">. </w:t>
      </w:r>
      <w:r w:rsidR="00113D16">
        <w:rPr>
          <w:rFonts w:ascii="Times New Roman" w:hAnsi="Times New Roman" w:cs="Times New Roman"/>
          <w:sz w:val="24"/>
          <w:szCs w:val="24"/>
        </w:rPr>
        <w:t>When a firm keeps unnecessary liquid assets</w:t>
      </w:r>
      <w:r w:rsidR="00803F2A">
        <w:rPr>
          <w:rFonts w:ascii="Times New Roman" w:hAnsi="Times New Roman" w:cs="Times New Roman"/>
          <w:sz w:val="24"/>
          <w:szCs w:val="24"/>
        </w:rPr>
        <w:t xml:space="preserve">, it has </w:t>
      </w:r>
      <w:r w:rsidR="006B4095">
        <w:rPr>
          <w:rFonts w:ascii="Times New Roman" w:hAnsi="Times New Roman" w:cs="Times New Roman"/>
          <w:sz w:val="24"/>
          <w:szCs w:val="24"/>
        </w:rPr>
        <w:t>fewer</w:t>
      </w:r>
      <w:r w:rsidR="00803F2A">
        <w:rPr>
          <w:rFonts w:ascii="Times New Roman" w:hAnsi="Times New Roman" w:cs="Times New Roman"/>
          <w:sz w:val="24"/>
          <w:szCs w:val="24"/>
        </w:rPr>
        <w:t xml:space="preserve"> </w:t>
      </w:r>
      <w:r w:rsidR="006B4095">
        <w:rPr>
          <w:rFonts w:ascii="Times New Roman" w:hAnsi="Times New Roman" w:cs="Times New Roman"/>
          <w:sz w:val="24"/>
          <w:szCs w:val="24"/>
        </w:rPr>
        <w:t>funds</w:t>
      </w:r>
      <w:r w:rsidR="00803F2A">
        <w:rPr>
          <w:rFonts w:ascii="Times New Roman" w:hAnsi="Times New Roman" w:cs="Times New Roman"/>
          <w:sz w:val="24"/>
          <w:szCs w:val="24"/>
        </w:rPr>
        <w:t xml:space="preserve"> for investment and </w:t>
      </w:r>
      <w:r w:rsidR="00E4737C">
        <w:rPr>
          <w:rFonts w:ascii="Times New Roman" w:hAnsi="Times New Roman" w:cs="Times New Roman"/>
          <w:sz w:val="24"/>
          <w:szCs w:val="24"/>
        </w:rPr>
        <w:t xml:space="preserve">is </w:t>
      </w:r>
      <w:r w:rsidR="00803F2A">
        <w:rPr>
          <w:rFonts w:ascii="Times New Roman" w:hAnsi="Times New Roman" w:cs="Times New Roman"/>
          <w:sz w:val="24"/>
          <w:szCs w:val="24"/>
        </w:rPr>
        <w:t xml:space="preserve">thereby </w:t>
      </w:r>
      <w:r w:rsidR="00C36BA7">
        <w:rPr>
          <w:rFonts w:ascii="Times New Roman" w:hAnsi="Times New Roman" w:cs="Times New Roman"/>
          <w:sz w:val="24"/>
          <w:szCs w:val="24"/>
        </w:rPr>
        <w:t xml:space="preserve">unable </w:t>
      </w:r>
      <w:r w:rsidR="00803F2A">
        <w:rPr>
          <w:rFonts w:ascii="Times New Roman" w:hAnsi="Times New Roman" w:cs="Times New Roman"/>
          <w:sz w:val="24"/>
          <w:szCs w:val="24"/>
        </w:rPr>
        <w:t xml:space="preserve">to generate sufficient profit. </w:t>
      </w:r>
      <w:r w:rsidR="000A6471">
        <w:rPr>
          <w:rFonts w:ascii="Times New Roman" w:hAnsi="Times New Roman" w:cs="Times New Roman"/>
          <w:sz w:val="24"/>
          <w:szCs w:val="24"/>
        </w:rPr>
        <w:t>However,</w:t>
      </w:r>
      <w:r w:rsidR="00803F2A">
        <w:rPr>
          <w:rFonts w:ascii="Times New Roman" w:hAnsi="Times New Roman" w:cs="Times New Roman"/>
          <w:sz w:val="24"/>
          <w:szCs w:val="24"/>
        </w:rPr>
        <w:t xml:space="preserve"> maintaining </w:t>
      </w:r>
      <w:r w:rsidR="006B4095">
        <w:rPr>
          <w:rFonts w:ascii="Times New Roman" w:hAnsi="Times New Roman" w:cs="Times New Roman"/>
          <w:sz w:val="24"/>
          <w:szCs w:val="24"/>
        </w:rPr>
        <w:t xml:space="preserve">the </w:t>
      </w:r>
      <w:r w:rsidR="00803F2A">
        <w:rPr>
          <w:rFonts w:ascii="Times New Roman" w:hAnsi="Times New Roman" w:cs="Times New Roman"/>
          <w:sz w:val="24"/>
          <w:szCs w:val="24"/>
        </w:rPr>
        <w:t xml:space="preserve">optimum amount of liquid </w:t>
      </w:r>
      <w:r w:rsidR="000A6471">
        <w:rPr>
          <w:rFonts w:ascii="Times New Roman" w:hAnsi="Times New Roman" w:cs="Times New Roman"/>
          <w:sz w:val="24"/>
          <w:szCs w:val="24"/>
        </w:rPr>
        <w:t>assets</w:t>
      </w:r>
      <w:r w:rsidR="00803F2A">
        <w:rPr>
          <w:rFonts w:ascii="Times New Roman" w:hAnsi="Times New Roman" w:cs="Times New Roman"/>
          <w:sz w:val="24"/>
          <w:szCs w:val="24"/>
        </w:rPr>
        <w:t xml:space="preserve"> is essential for mitigating the default risk. Because, if a firm keeps inadequate liquidity there is a probability that the firm may fail to </w:t>
      </w:r>
      <w:r w:rsidR="00B01E28">
        <w:rPr>
          <w:rFonts w:ascii="Times New Roman" w:hAnsi="Times New Roman" w:cs="Times New Roman"/>
          <w:sz w:val="24"/>
          <w:szCs w:val="24"/>
        </w:rPr>
        <w:t xml:space="preserve">meet the payment requirements of debtors. Therefore, every business organization tries to follow efficient liquidity management practices. </w:t>
      </w:r>
      <w:r w:rsidR="000A6471">
        <w:rPr>
          <w:rFonts w:ascii="Times New Roman" w:hAnsi="Times New Roman" w:cs="Times New Roman"/>
          <w:sz w:val="24"/>
          <w:szCs w:val="24"/>
        </w:rPr>
        <w:t>The current</w:t>
      </w:r>
      <w:r w:rsidR="00A32BF0">
        <w:rPr>
          <w:rFonts w:ascii="Times New Roman" w:hAnsi="Times New Roman" w:cs="Times New Roman"/>
          <w:sz w:val="24"/>
          <w:szCs w:val="24"/>
        </w:rPr>
        <w:t xml:space="preserve"> ratio and quick ratio are the two basic metrics used to understand the liquidity scenario of a business organization</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Holden,</w:t>
      </w:r>
      <w:r w:rsidR="00EC2851">
        <w:rPr>
          <w:rFonts w:ascii="Times New Roman" w:hAnsi="Times New Roman" w:cs="Times New Roman"/>
          <w:color w:val="222222"/>
          <w:sz w:val="24"/>
          <w:szCs w:val="24"/>
          <w:shd w:val="clear" w:color="auto" w:fill="FFFFFF"/>
        </w:rPr>
        <w:t xml:space="preserve"> </w:t>
      </w:r>
      <w:r w:rsidR="00EC2851" w:rsidRPr="00713490">
        <w:rPr>
          <w:rFonts w:ascii="Times New Roman" w:hAnsi="Times New Roman" w:cs="Times New Roman"/>
          <w:color w:val="222222"/>
          <w:sz w:val="24"/>
          <w:szCs w:val="24"/>
          <w:shd w:val="clear" w:color="auto" w:fill="FFFFFF"/>
        </w:rPr>
        <w:t>Jacobsen</w:t>
      </w:r>
      <w:r w:rsidR="00EC2851">
        <w:rPr>
          <w:rFonts w:ascii="Times New Roman" w:hAnsi="Times New Roman" w:cs="Times New Roman"/>
          <w:color w:val="222222"/>
          <w:sz w:val="24"/>
          <w:szCs w:val="24"/>
          <w:shd w:val="clear" w:color="auto" w:fill="FFFFFF"/>
        </w:rPr>
        <w:t xml:space="preserve"> &amp; </w:t>
      </w:r>
      <w:r w:rsidR="00EC2851" w:rsidRPr="00713490">
        <w:rPr>
          <w:rFonts w:ascii="Times New Roman" w:hAnsi="Times New Roman" w:cs="Times New Roman"/>
          <w:color w:val="222222"/>
          <w:sz w:val="24"/>
          <w:szCs w:val="24"/>
          <w:shd w:val="clear" w:color="auto" w:fill="FFFFFF"/>
        </w:rPr>
        <w:t>Subrahmanyam,</w:t>
      </w:r>
      <w:r w:rsidR="00EC2851">
        <w:rPr>
          <w:rFonts w:ascii="Times New Roman" w:hAnsi="Times New Roman" w:cs="Times New Roman"/>
          <w:color w:val="222222"/>
          <w:sz w:val="24"/>
          <w:szCs w:val="24"/>
          <w:shd w:val="clear" w:color="auto" w:fill="FFFFFF"/>
        </w:rPr>
        <w:t xml:space="preserve"> 2014)</w:t>
      </w:r>
      <w:r w:rsidR="00A32BF0">
        <w:rPr>
          <w:rFonts w:ascii="Times New Roman" w:hAnsi="Times New Roman" w:cs="Times New Roman"/>
          <w:sz w:val="24"/>
          <w:szCs w:val="24"/>
        </w:rPr>
        <w:t xml:space="preserve">. </w:t>
      </w:r>
    </w:p>
    <w:p w14:paraId="72D495DF" w14:textId="77777777" w:rsidR="00582417" w:rsidRPr="00EC2851" w:rsidRDefault="00582417" w:rsidP="00767B27">
      <w:pPr>
        <w:spacing w:line="360" w:lineRule="auto"/>
        <w:jc w:val="both"/>
        <w:rPr>
          <w:rFonts w:ascii="Times New Roman" w:hAnsi="Times New Roman" w:cs="Times New Roman"/>
          <w:color w:val="222222"/>
          <w:sz w:val="24"/>
          <w:szCs w:val="24"/>
          <w:shd w:val="clear" w:color="auto" w:fill="FFFFFF"/>
        </w:rPr>
      </w:pPr>
    </w:p>
    <w:p w14:paraId="267A470A" w14:textId="24B0C6A4" w:rsidR="00224EA5" w:rsidRDefault="00A82A10" w:rsidP="00621CB7">
      <w:pPr>
        <w:jc w:val="both"/>
        <w:rPr>
          <w:rFonts w:ascii="Times New Roman" w:hAnsi="Times New Roman" w:cs="Times New Roman"/>
          <w:sz w:val="24"/>
          <w:szCs w:val="24"/>
        </w:rPr>
      </w:pPr>
      <w:r>
        <w:rPr>
          <w:noProof/>
        </w:rPr>
        <w:lastRenderedPageBreak/>
        <w:drawing>
          <wp:inline distT="0" distB="0" distL="0" distR="0" wp14:anchorId="7E86509F" wp14:editId="41C1F3CF">
            <wp:extent cx="2941320" cy="2164080"/>
            <wp:effectExtent l="0" t="0" r="0" b="0"/>
            <wp:docPr id="4" name="Chart 4">
              <a:extLst xmlns:a="http://schemas.openxmlformats.org/drawingml/2006/main">
                <a:ext uri="{FF2B5EF4-FFF2-40B4-BE49-F238E27FC236}">
                  <a16:creationId xmlns:a16="http://schemas.microsoft.com/office/drawing/2014/main" id="{325C4B85-2C99-45A7-80FE-82B5D1B98D6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r>
        <w:rPr>
          <w:noProof/>
        </w:rPr>
        <w:drawing>
          <wp:inline distT="0" distB="0" distL="0" distR="0" wp14:anchorId="2CC14B75" wp14:editId="10C211F6">
            <wp:extent cx="3002280" cy="2164080"/>
            <wp:effectExtent l="0" t="0" r="0" b="0"/>
            <wp:docPr id="5" name="Chart 5">
              <a:extLst xmlns:a="http://schemas.openxmlformats.org/drawingml/2006/main">
                <a:ext uri="{FF2B5EF4-FFF2-40B4-BE49-F238E27FC236}">
                  <a16:creationId xmlns:a16="http://schemas.microsoft.com/office/drawing/2014/main" id="{118A9F3B-D0FA-4552-83F2-9D8FB260F6A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41F1BF79" w14:textId="77777777" w:rsidR="00F96EE7" w:rsidRDefault="00A82A10" w:rsidP="00F96EE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02: Liquidity Analysis of Reckitt Benckiser Group plc.</w:t>
      </w:r>
    </w:p>
    <w:p w14:paraId="7685A6B7" w14:textId="77777777" w:rsidR="0025647A" w:rsidRDefault="00DA22FC" w:rsidP="00767B27">
      <w:pPr>
        <w:spacing w:line="360" w:lineRule="auto"/>
        <w:jc w:val="both"/>
        <w:rPr>
          <w:rFonts w:ascii="Times New Roman" w:hAnsi="Times New Roman" w:cs="Times New Roman"/>
          <w:sz w:val="24"/>
          <w:szCs w:val="24"/>
        </w:rPr>
      </w:pPr>
      <w:r>
        <w:rPr>
          <w:rFonts w:ascii="Times New Roman" w:hAnsi="Times New Roman" w:cs="Times New Roman"/>
          <w:sz w:val="24"/>
          <w:szCs w:val="24"/>
        </w:rPr>
        <w:t>The above figure shows that the liquidity scenario of Reckitt Benckiser Group plc improved in 2023 compared to 2022,</w:t>
      </w:r>
      <w:r w:rsidR="00476659">
        <w:rPr>
          <w:rFonts w:ascii="Times New Roman" w:hAnsi="Times New Roman" w:cs="Times New Roman"/>
          <w:sz w:val="24"/>
          <w:szCs w:val="24"/>
        </w:rPr>
        <w:t xml:space="preserve"> and </w:t>
      </w:r>
      <w:r>
        <w:rPr>
          <w:rFonts w:ascii="Times New Roman" w:hAnsi="Times New Roman" w:cs="Times New Roman"/>
          <w:sz w:val="24"/>
          <w:szCs w:val="24"/>
        </w:rPr>
        <w:t>the upward trend indicates this</w:t>
      </w:r>
      <w:r w:rsidR="00476659">
        <w:rPr>
          <w:rFonts w:ascii="Times New Roman" w:hAnsi="Times New Roman" w:cs="Times New Roman"/>
          <w:sz w:val="24"/>
          <w:szCs w:val="24"/>
        </w:rPr>
        <w:t xml:space="preserve">. Although the liquidity scenario </w:t>
      </w:r>
      <w:r>
        <w:rPr>
          <w:rFonts w:ascii="Times New Roman" w:hAnsi="Times New Roman" w:cs="Times New Roman"/>
          <w:sz w:val="24"/>
          <w:szCs w:val="24"/>
        </w:rPr>
        <w:t>improved, the ratios' value</w:t>
      </w:r>
      <w:r w:rsidR="00476659">
        <w:rPr>
          <w:rFonts w:ascii="Times New Roman" w:hAnsi="Times New Roman" w:cs="Times New Roman"/>
          <w:sz w:val="24"/>
          <w:szCs w:val="24"/>
        </w:rPr>
        <w:t xml:space="preserve"> was lower than the benchmark. In </w:t>
      </w:r>
      <w:r w:rsidR="000A6471">
        <w:rPr>
          <w:rFonts w:ascii="Times New Roman" w:hAnsi="Times New Roman" w:cs="Times New Roman"/>
          <w:sz w:val="24"/>
          <w:szCs w:val="24"/>
        </w:rPr>
        <w:t xml:space="preserve">the </w:t>
      </w:r>
      <w:r w:rsidR="00476659">
        <w:rPr>
          <w:rFonts w:ascii="Times New Roman" w:hAnsi="Times New Roman" w:cs="Times New Roman"/>
          <w:sz w:val="24"/>
          <w:szCs w:val="24"/>
        </w:rPr>
        <w:t xml:space="preserve">case of both </w:t>
      </w:r>
      <w:r w:rsidR="000A6471">
        <w:rPr>
          <w:rFonts w:ascii="Times New Roman" w:hAnsi="Times New Roman" w:cs="Times New Roman"/>
          <w:sz w:val="24"/>
          <w:szCs w:val="24"/>
        </w:rPr>
        <w:t xml:space="preserve">the </w:t>
      </w:r>
      <w:r w:rsidR="00476659">
        <w:rPr>
          <w:rFonts w:ascii="Times New Roman" w:hAnsi="Times New Roman" w:cs="Times New Roman"/>
          <w:sz w:val="24"/>
          <w:szCs w:val="24"/>
        </w:rPr>
        <w:t>current ratio and quick ratio, it is lower than the benchmark value of 2:1 and 1:1 respectively</w:t>
      </w:r>
      <w:r w:rsidR="003E2707">
        <w:rPr>
          <w:rFonts w:ascii="Times New Roman" w:hAnsi="Times New Roman" w:cs="Times New Roman"/>
          <w:sz w:val="24"/>
          <w:szCs w:val="24"/>
        </w:rPr>
        <w:t xml:space="preserve"> which indicates that Reckitt Benckiser Group plc may face default risk in </w:t>
      </w:r>
      <w:r w:rsidR="000A6471">
        <w:rPr>
          <w:rFonts w:ascii="Times New Roman" w:hAnsi="Times New Roman" w:cs="Times New Roman"/>
          <w:sz w:val="24"/>
          <w:szCs w:val="24"/>
        </w:rPr>
        <w:t xml:space="preserve">the </w:t>
      </w:r>
      <w:r w:rsidR="003E2707">
        <w:rPr>
          <w:rFonts w:ascii="Times New Roman" w:hAnsi="Times New Roman" w:cs="Times New Roman"/>
          <w:sz w:val="24"/>
          <w:szCs w:val="24"/>
        </w:rPr>
        <w:t>future and the company may be termed as illiquid in the analysis of different lenders</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Breuer</w:t>
      </w:r>
      <w:r w:rsidR="00EC2851">
        <w:rPr>
          <w:rFonts w:ascii="Times New Roman" w:hAnsi="Times New Roman" w:cs="Times New Roman"/>
          <w:color w:val="222222"/>
          <w:sz w:val="24"/>
          <w:szCs w:val="24"/>
          <w:shd w:val="clear" w:color="auto" w:fill="FFFFFF"/>
        </w:rPr>
        <w:t xml:space="preserve"> et al., 2012)</w:t>
      </w:r>
      <w:r w:rsidR="00476659">
        <w:rPr>
          <w:rFonts w:ascii="Times New Roman" w:hAnsi="Times New Roman" w:cs="Times New Roman"/>
          <w:sz w:val="24"/>
          <w:szCs w:val="24"/>
        </w:rPr>
        <w:t xml:space="preserve">. </w:t>
      </w:r>
    </w:p>
    <w:p w14:paraId="2E1B7A03" w14:textId="1EBDE84D" w:rsidR="00D71F69" w:rsidRDefault="00310D54" w:rsidP="00767B27">
      <w:pPr>
        <w:spacing w:line="360" w:lineRule="auto"/>
        <w:jc w:val="both"/>
        <w:rPr>
          <w:rFonts w:ascii="Times New Roman" w:hAnsi="Times New Roman" w:cs="Times New Roman"/>
          <w:sz w:val="24"/>
          <w:szCs w:val="24"/>
        </w:rPr>
      </w:pPr>
      <w:r>
        <w:rPr>
          <w:rFonts w:ascii="Times New Roman" w:hAnsi="Times New Roman" w:cs="Times New Roman"/>
          <w:sz w:val="24"/>
          <w:szCs w:val="24"/>
        </w:rPr>
        <w:t>By analyzing the balance sheet of Reckitt Benckiser Group plc, I have identified t</w:t>
      </w:r>
      <w:r w:rsidR="00D71F69">
        <w:rPr>
          <w:rFonts w:ascii="Times New Roman" w:hAnsi="Times New Roman" w:cs="Times New Roman"/>
          <w:sz w:val="24"/>
          <w:szCs w:val="24"/>
        </w:rPr>
        <w:t>he following reason</w:t>
      </w:r>
      <w:r>
        <w:rPr>
          <w:rFonts w:ascii="Times New Roman" w:hAnsi="Times New Roman" w:cs="Times New Roman"/>
          <w:sz w:val="24"/>
          <w:szCs w:val="24"/>
        </w:rPr>
        <w:t>s</w:t>
      </w:r>
      <w:r w:rsidR="00D71F69">
        <w:rPr>
          <w:rFonts w:ascii="Times New Roman" w:hAnsi="Times New Roman" w:cs="Times New Roman"/>
          <w:sz w:val="24"/>
          <w:szCs w:val="24"/>
        </w:rPr>
        <w:t xml:space="preserve"> as the driving factors behind the improvement of </w:t>
      </w:r>
      <w:r w:rsidR="00F96EE7">
        <w:rPr>
          <w:rFonts w:ascii="Times New Roman" w:hAnsi="Times New Roman" w:cs="Times New Roman"/>
          <w:sz w:val="24"/>
          <w:szCs w:val="24"/>
        </w:rPr>
        <w:t xml:space="preserve">the </w:t>
      </w:r>
      <w:r w:rsidR="00D71F69">
        <w:rPr>
          <w:rFonts w:ascii="Times New Roman" w:hAnsi="Times New Roman" w:cs="Times New Roman"/>
          <w:sz w:val="24"/>
          <w:szCs w:val="24"/>
        </w:rPr>
        <w:t>liquidity scenario</w:t>
      </w:r>
      <w:r>
        <w:rPr>
          <w:rFonts w:ascii="Times New Roman" w:hAnsi="Times New Roman" w:cs="Times New Roman"/>
          <w:sz w:val="24"/>
          <w:szCs w:val="24"/>
        </w:rPr>
        <w:t xml:space="preserve">. </w:t>
      </w:r>
    </w:p>
    <w:p w14:paraId="70352767" w14:textId="1DA32661" w:rsidR="00885051" w:rsidRPr="00767B27" w:rsidRDefault="007638D0" w:rsidP="00767B27">
      <w:pPr>
        <w:pStyle w:val="ListParagraph"/>
        <w:numPr>
          <w:ilvl w:val="0"/>
          <w:numId w:val="37"/>
        </w:numPr>
        <w:spacing w:line="360" w:lineRule="auto"/>
        <w:jc w:val="both"/>
        <w:rPr>
          <w:rFonts w:ascii="Times New Roman" w:hAnsi="Times New Roman" w:cs="Times New Roman"/>
          <w:sz w:val="24"/>
          <w:szCs w:val="24"/>
        </w:rPr>
      </w:pPr>
      <w:r w:rsidRPr="00767B27">
        <w:rPr>
          <w:rFonts w:ascii="Times New Roman" w:hAnsi="Times New Roman" w:cs="Times New Roman"/>
          <w:sz w:val="24"/>
          <w:szCs w:val="24"/>
        </w:rPr>
        <w:t xml:space="preserve">The current </w:t>
      </w:r>
      <w:r w:rsidR="00767B27" w:rsidRPr="00767B27">
        <w:rPr>
          <w:rFonts w:ascii="Times New Roman" w:hAnsi="Times New Roman" w:cs="Times New Roman"/>
          <w:sz w:val="24"/>
          <w:szCs w:val="24"/>
        </w:rPr>
        <w:t>assets</w:t>
      </w:r>
      <w:r w:rsidRPr="00767B27">
        <w:rPr>
          <w:rFonts w:ascii="Times New Roman" w:hAnsi="Times New Roman" w:cs="Times New Roman"/>
          <w:sz w:val="24"/>
          <w:szCs w:val="24"/>
        </w:rPr>
        <w:t xml:space="preserve"> of the </w:t>
      </w:r>
      <w:r w:rsidR="00767B27" w:rsidRPr="00767B27">
        <w:rPr>
          <w:rFonts w:ascii="Times New Roman" w:hAnsi="Times New Roman" w:cs="Times New Roman"/>
          <w:sz w:val="24"/>
          <w:szCs w:val="24"/>
        </w:rPr>
        <w:t>group</w:t>
      </w:r>
      <w:r w:rsidRPr="00767B27">
        <w:rPr>
          <w:rFonts w:ascii="Times New Roman" w:hAnsi="Times New Roman" w:cs="Times New Roman"/>
          <w:sz w:val="24"/>
          <w:szCs w:val="24"/>
        </w:rPr>
        <w:t xml:space="preserve"> increased in 2023 by £17 million.</w:t>
      </w:r>
    </w:p>
    <w:p w14:paraId="3797FBB0" w14:textId="78912FB2" w:rsidR="007638D0" w:rsidRPr="00767B27" w:rsidRDefault="00767B27" w:rsidP="00767B27">
      <w:pPr>
        <w:pStyle w:val="ListParagraph"/>
        <w:numPr>
          <w:ilvl w:val="0"/>
          <w:numId w:val="37"/>
        </w:numPr>
        <w:spacing w:line="360" w:lineRule="auto"/>
        <w:jc w:val="both"/>
        <w:rPr>
          <w:rFonts w:ascii="Times New Roman" w:hAnsi="Times New Roman" w:cs="Times New Roman"/>
          <w:sz w:val="24"/>
          <w:szCs w:val="24"/>
        </w:rPr>
      </w:pPr>
      <w:r w:rsidRPr="00767B27">
        <w:rPr>
          <w:rFonts w:ascii="Times New Roman" w:hAnsi="Times New Roman" w:cs="Times New Roman"/>
          <w:sz w:val="24"/>
          <w:szCs w:val="24"/>
        </w:rPr>
        <w:t>Whereas</w:t>
      </w:r>
      <w:r w:rsidR="007638D0" w:rsidRPr="00767B27">
        <w:rPr>
          <w:rFonts w:ascii="Times New Roman" w:hAnsi="Times New Roman" w:cs="Times New Roman"/>
          <w:sz w:val="24"/>
          <w:szCs w:val="24"/>
        </w:rPr>
        <w:t xml:space="preserve"> the current liability and the inventory decreased in 2023 by £3 million and £188 million respectively. </w:t>
      </w:r>
    </w:p>
    <w:p w14:paraId="67491E5F" w14:textId="77777777" w:rsidR="00767B27" w:rsidRDefault="008F6820" w:rsidP="00582417">
      <w:pPr>
        <w:pStyle w:val="ListParagraph"/>
        <w:numPr>
          <w:ilvl w:val="0"/>
          <w:numId w:val="37"/>
        </w:numPr>
        <w:spacing w:line="360" w:lineRule="auto"/>
        <w:jc w:val="both"/>
        <w:rPr>
          <w:rFonts w:ascii="Times New Roman" w:hAnsi="Times New Roman" w:cs="Times New Roman"/>
          <w:sz w:val="24"/>
          <w:szCs w:val="24"/>
        </w:rPr>
      </w:pPr>
      <w:r w:rsidRPr="00767B27">
        <w:rPr>
          <w:rFonts w:ascii="Times New Roman" w:hAnsi="Times New Roman" w:cs="Times New Roman"/>
          <w:sz w:val="24"/>
          <w:szCs w:val="24"/>
        </w:rPr>
        <w:t xml:space="preserve">The increase in current asset value strengthens Reckitt Benckiser Group plc in meeting up its current liabilities. </w:t>
      </w:r>
    </w:p>
    <w:p w14:paraId="39C8CA30" w14:textId="77777777" w:rsidR="00582417" w:rsidRDefault="00582417" w:rsidP="00582417">
      <w:pPr>
        <w:pStyle w:val="ListParagraph"/>
        <w:spacing w:line="360" w:lineRule="auto"/>
        <w:jc w:val="both"/>
        <w:rPr>
          <w:rFonts w:ascii="Times New Roman" w:hAnsi="Times New Roman" w:cs="Times New Roman"/>
          <w:sz w:val="24"/>
          <w:szCs w:val="24"/>
        </w:rPr>
      </w:pPr>
    </w:p>
    <w:p w14:paraId="32E2140C" w14:textId="77777777" w:rsidR="00F96EE7" w:rsidRDefault="0003163C" w:rsidP="00582417">
      <w:pPr>
        <w:spacing w:line="480" w:lineRule="auto"/>
        <w:jc w:val="both"/>
        <w:rPr>
          <w:rFonts w:ascii="Times New Roman" w:hAnsi="Times New Roman" w:cs="Times New Roman"/>
          <w:sz w:val="24"/>
          <w:szCs w:val="24"/>
        </w:rPr>
      </w:pPr>
      <w:r w:rsidRPr="00767B27">
        <w:rPr>
          <w:rFonts w:ascii="Times New Roman" w:hAnsi="Times New Roman" w:cs="Times New Roman"/>
          <w:b/>
          <w:bCs/>
          <w:sz w:val="24"/>
          <w:szCs w:val="24"/>
        </w:rPr>
        <w:t>1.2.3 Gearing Analysis</w:t>
      </w:r>
    </w:p>
    <w:p w14:paraId="76ADDBDE" w14:textId="6548BF5C" w:rsidR="00EA3B5E" w:rsidRPr="00582417" w:rsidRDefault="005B6723" w:rsidP="00F96EE7">
      <w:pPr>
        <w:spacing w:line="360" w:lineRule="auto"/>
        <w:jc w:val="both"/>
        <w:rPr>
          <w:rFonts w:ascii="Times New Roman" w:hAnsi="Times New Roman" w:cs="Times New Roman"/>
        </w:rPr>
      </w:pPr>
      <w:r w:rsidRPr="00582417">
        <w:rPr>
          <w:rFonts w:ascii="Times New Roman" w:hAnsi="Times New Roman" w:cs="Times New Roman"/>
          <w:sz w:val="24"/>
          <w:szCs w:val="24"/>
        </w:rPr>
        <w:t xml:space="preserve">There are two sources of </w:t>
      </w:r>
      <w:r w:rsidR="000A6471" w:rsidRPr="00582417">
        <w:rPr>
          <w:rFonts w:ascii="Times New Roman" w:hAnsi="Times New Roman" w:cs="Times New Roman"/>
          <w:sz w:val="24"/>
          <w:szCs w:val="24"/>
        </w:rPr>
        <w:t>funds</w:t>
      </w:r>
      <w:r w:rsidRPr="00582417">
        <w:rPr>
          <w:rFonts w:ascii="Times New Roman" w:hAnsi="Times New Roman" w:cs="Times New Roman"/>
          <w:sz w:val="24"/>
          <w:szCs w:val="24"/>
        </w:rPr>
        <w:t xml:space="preserve"> that a business organization usually uses to raise the required capital including equity capital </w:t>
      </w:r>
      <w:r w:rsidR="00124AAC" w:rsidRPr="00582417">
        <w:rPr>
          <w:rFonts w:ascii="Times New Roman" w:hAnsi="Times New Roman" w:cs="Times New Roman"/>
          <w:sz w:val="24"/>
          <w:szCs w:val="24"/>
        </w:rPr>
        <w:t xml:space="preserve">and debt capital. Debt capital has </w:t>
      </w:r>
      <w:r w:rsidR="000A6471" w:rsidRPr="00582417">
        <w:rPr>
          <w:rFonts w:ascii="Times New Roman" w:hAnsi="Times New Roman" w:cs="Times New Roman"/>
          <w:sz w:val="24"/>
          <w:szCs w:val="24"/>
        </w:rPr>
        <w:t xml:space="preserve">a </w:t>
      </w:r>
      <w:r w:rsidR="00124AAC" w:rsidRPr="00582417">
        <w:rPr>
          <w:rFonts w:ascii="Times New Roman" w:hAnsi="Times New Roman" w:cs="Times New Roman"/>
          <w:sz w:val="24"/>
          <w:szCs w:val="24"/>
        </w:rPr>
        <w:t xml:space="preserve">tax advantage facility which reduces the cost of capital of a firm. </w:t>
      </w:r>
      <w:r w:rsidR="000A6471" w:rsidRPr="00582417">
        <w:rPr>
          <w:rFonts w:ascii="Times New Roman" w:hAnsi="Times New Roman" w:cs="Times New Roman"/>
          <w:sz w:val="24"/>
          <w:szCs w:val="24"/>
        </w:rPr>
        <w:t>However</w:t>
      </w:r>
      <w:r w:rsidR="00124AAC" w:rsidRPr="00582417">
        <w:rPr>
          <w:rFonts w:ascii="Times New Roman" w:hAnsi="Times New Roman" w:cs="Times New Roman"/>
          <w:sz w:val="24"/>
          <w:szCs w:val="24"/>
        </w:rPr>
        <w:t xml:space="preserve"> excessive use of debt capital increases the default risk of that firm</w:t>
      </w:r>
      <w:r w:rsidR="00EC2851" w:rsidRPr="00582417">
        <w:rPr>
          <w:rFonts w:ascii="Times New Roman" w:hAnsi="Times New Roman" w:cs="Times New Roman"/>
          <w:sz w:val="24"/>
          <w:szCs w:val="24"/>
        </w:rPr>
        <w:t xml:space="preserve"> </w:t>
      </w:r>
      <w:r w:rsidR="00EC2851" w:rsidRPr="00582417">
        <w:rPr>
          <w:rFonts w:ascii="Times New Roman" w:hAnsi="Times New Roman" w:cs="Times New Roman"/>
          <w:color w:val="222222"/>
          <w:sz w:val="24"/>
          <w:szCs w:val="24"/>
          <w:shd w:val="clear" w:color="auto" w:fill="FFFFFF"/>
        </w:rPr>
        <w:t xml:space="preserve">(Kose, </w:t>
      </w:r>
      <w:proofErr w:type="spellStart"/>
      <w:r w:rsidR="00EC2851" w:rsidRPr="00582417">
        <w:rPr>
          <w:rFonts w:ascii="Times New Roman" w:hAnsi="Times New Roman" w:cs="Times New Roman"/>
          <w:color w:val="222222"/>
          <w:sz w:val="24"/>
          <w:szCs w:val="24"/>
          <w:shd w:val="clear" w:color="auto" w:fill="FFFFFF"/>
        </w:rPr>
        <w:t>Ohnsorge</w:t>
      </w:r>
      <w:proofErr w:type="spellEnd"/>
      <w:r w:rsidR="00EC2851" w:rsidRPr="00582417">
        <w:rPr>
          <w:rFonts w:ascii="Times New Roman" w:hAnsi="Times New Roman" w:cs="Times New Roman"/>
          <w:color w:val="222222"/>
          <w:sz w:val="24"/>
          <w:szCs w:val="24"/>
          <w:shd w:val="clear" w:color="auto" w:fill="FFFFFF"/>
        </w:rPr>
        <w:t xml:space="preserve"> &amp; Sugawara, 2020)</w:t>
      </w:r>
      <w:r w:rsidR="00124AAC" w:rsidRPr="00582417">
        <w:rPr>
          <w:rFonts w:ascii="Times New Roman" w:hAnsi="Times New Roman" w:cs="Times New Roman"/>
          <w:sz w:val="24"/>
          <w:szCs w:val="24"/>
        </w:rPr>
        <w:t xml:space="preserve">. Gearing indicates the proportion of total </w:t>
      </w:r>
      <w:r w:rsidR="00124AAC" w:rsidRPr="00582417">
        <w:rPr>
          <w:rFonts w:ascii="Times New Roman" w:hAnsi="Times New Roman" w:cs="Times New Roman"/>
          <w:sz w:val="24"/>
          <w:szCs w:val="24"/>
        </w:rPr>
        <w:lastRenderedPageBreak/>
        <w:t>capital that is financed with debt capital</w:t>
      </w:r>
      <w:r w:rsidR="00EC2851" w:rsidRPr="00582417">
        <w:rPr>
          <w:rFonts w:ascii="Times New Roman" w:hAnsi="Times New Roman" w:cs="Times New Roman"/>
          <w:sz w:val="24"/>
          <w:szCs w:val="24"/>
        </w:rPr>
        <w:t xml:space="preserve"> </w:t>
      </w:r>
      <w:r w:rsidR="00EC2851" w:rsidRPr="00582417">
        <w:rPr>
          <w:rFonts w:ascii="Times New Roman" w:hAnsi="Times New Roman" w:cs="Times New Roman"/>
          <w:color w:val="222222"/>
          <w:sz w:val="24"/>
          <w:szCs w:val="24"/>
          <w:shd w:val="clear" w:color="auto" w:fill="FFFFFF"/>
        </w:rPr>
        <w:t xml:space="preserve">(Bei &amp; </w:t>
      </w:r>
      <w:proofErr w:type="spellStart"/>
      <w:r w:rsidR="00EC2851" w:rsidRPr="00582417">
        <w:rPr>
          <w:rFonts w:ascii="Times New Roman" w:hAnsi="Times New Roman" w:cs="Times New Roman"/>
          <w:color w:val="222222"/>
          <w:sz w:val="24"/>
          <w:szCs w:val="24"/>
          <w:shd w:val="clear" w:color="auto" w:fill="FFFFFF"/>
        </w:rPr>
        <w:t>Wijewardana</w:t>
      </w:r>
      <w:proofErr w:type="spellEnd"/>
      <w:r w:rsidR="00EC2851" w:rsidRPr="00582417">
        <w:rPr>
          <w:rFonts w:ascii="Times New Roman" w:hAnsi="Times New Roman" w:cs="Times New Roman"/>
          <w:color w:val="222222"/>
          <w:sz w:val="24"/>
          <w:szCs w:val="24"/>
          <w:shd w:val="clear" w:color="auto" w:fill="FFFFFF"/>
        </w:rPr>
        <w:t>, 2012)</w:t>
      </w:r>
      <w:r w:rsidR="00124AAC" w:rsidRPr="00582417">
        <w:rPr>
          <w:rFonts w:ascii="Times New Roman" w:hAnsi="Times New Roman" w:cs="Times New Roman"/>
          <w:sz w:val="24"/>
          <w:szCs w:val="24"/>
        </w:rPr>
        <w:t>. There are numerous metrics to measure the gearing of a business organization including interest coverage ratio, debt ratio, equity ratio</w:t>
      </w:r>
      <w:r w:rsidR="000A6471" w:rsidRPr="00582417">
        <w:rPr>
          <w:rFonts w:ascii="Times New Roman" w:hAnsi="Times New Roman" w:cs="Times New Roman"/>
          <w:sz w:val="24"/>
          <w:szCs w:val="24"/>
        </w:rPr>
        <w:t>,</w:t>
      </w:r>
      <w:r w:rsidR="00124AAC" w:rsidRPr="00582417">
        <w:rPr>
          <w:rFonts w:ascii="Times New Roman" w:hAnsi="Times New Roman" w:cs="Times New Roman"/>
          <w:sz w:val="24"/>
          <w:szCs w:val="24"/>
        </w:rPr>
        <w:t xml:space="preserve"> etc</w:t>
      </w:r>
      <w:r w:rsidR="00124AAC" w:rsidRPr="00582417">
        <w:rPr>
          <w:rFonts w:ascii="Times New Roman" w:hAnsi="Times New Roman" w:cs="Times New Roman"/>
        </w:rPr>
        <w:t xml:space="preserve">. </w:t>
      </w:r>
    </w:p>
    <w:p w14:paraId="44B1E1A2" w14:textId="2475D16F" w:rsidR="00EA3B5E" w:rsidRDefault="00ED0370" w:rsidP="00621CB7">
      <w:pPr>
        <w:jc w:val="both"/>
        <w:rPr>
          <w:rFonts w:ascii="Times New Roman" w:hAnsi="Times New Roman" w:cs="Times New Roman"/>
          <w:sz w:val="24"/>
          <w:szCs w:val="24"/>
        </w:rPr>
      </w:pPr>
      <w:r>
        <w:rPr>
          <w:noProof/>
        </w:rPr>
        <w:drawing>
          <wp:inline distT="0" distB="0" distL="0" distR="0" wp14:anchorId="6F61FD19" wp14:editId="168590B4">
            <wp:extent cx="2979420" cy="2293620"/>
            <wp:effectExtent l="0" t="0" r="0" b="0"/>
            <wp:docPr id="6" name="Chart 6">
              <a:extLst xmlns:a="http://schemas.openxmlformats.org/drawingml/2006/main">
                <a:ext uri="{FF2B5EF4-FFF2-40B4-BE49-F238E27FC236}">
                  <a16:creationId xmlns:a16="http://schemas.microsoft.com/office/drawing/2014/main" id="{33FE1C8C-BEBA-4DDD-98FD-E302D0D46E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r w:rsidRPr="00ED0370">
        <w:rPr>
          <w:noProof/>
        </w:rPr>
        <w:t xml:space="preserve"> </w:t>
      </w:r>
      <w:r>
        <w:rPr>
          <w:noProof/>
        </w:rPr>
        <w:drawing>
          <wp:inline distT="0" distB="0" distL="0" distR="0" wp14:anchorId="5656D6BD" wp14:editId="06049D6B">
            <wp:extent cx="2781300" cy="2293620"/>
            <wp:effectExtent l="0" t="0" r="0" b="0"/>
            <wp:docPr id="7" name="Chart 7">
              <a:extLst xmlns:a="http://schemas.openxmlformats.org/drawingml/2006/main">
                <a:ext uri="{FF2B5EF4-FFF2-40B4-BE49-F238E27FC236}">
                  <a16:creationId xmlns:a16="http://schemas.microsoft.com/office/drawing/2014/main" id="{A2A9E317-F009-4B6D-9263-6F6B1FED28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5A32E4D6" w14:textId="21953683" w:rsidR="00ED0370" w:rsidRDefault="00ED0370" w:rsidP="00F96EE7">
      <w:pPr>
        <w:spacing w:line="360" w:lineRule="auto"/>
        <w:jc w:val="center"/>
        <w:rPr>
          <w:rFonts w:ascii="Times New Roman" w:hAnsi="Times New Roman" w:cs="Times New Roman"/>
          <w:sz w:val="24"/>
          <w:szCs w:val="24"/>
        </w:rPr>
      </w:pPr>
      <w:r>
        <w:rPr>
          <w:rFonts w:ascii="Times New Roman" w:hAnsi="Times New Roman" w:cs="Times New Roman"/>
          <w:sz w:val="24"/>
          <w:szCs w:val="24"/>
        </w:rPr>
        <w:t>Figure 03: Gearing Ratios of Reckitt Benckiser Group plc.</w:t>
      </w:r>
    </w:p>
    <w:p w14:paraId="6D69D4D6" w14:textId="7F5B7C34" w:rsidR="005D660A" w:rsidRPr="00EC2851" w:rsidRDefault="00461FA9" w:rsidP="00F96EE7">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If we look at</w:t>
      </w:r>
      <w:r w:rsidR="00ED0370">
        <w:rPr>
          <w:rFonts w:ascii="Times New Roman" w:hAnsi="Times New Roman" w:cs="Times New Roman"/>
          <w:sz w:val="24"/>
          <w:szCs w:val="24"/>
        </w:rPr>
        <w:t xml:space="preserve"> the above figure</w:t>
      </w:r>
      <w:r>
        <w:rPr>
          <w:rFonts w:ascii="Times New Roman" w:hAnsi="Times New Roman" w:cs="Times New Roman"/>
          <w:sz w:val="24"/>
          <w:szCs w:val="24"/>
        </w:rPr>
        <w:t xml:space="preserve">, we can see that the interest payment capacity of Reckitt Benckiser Group plc decreased in 2023 compared to that of 2022 indicated by the downward movement. </w:t>
      </w:r>
      <w:r w:rsidR="005453AD">
        <w:rPr>
          <w:rFonts w:ascii="Times New Roman" w:hAnsi="Times New Roman" w:cs="Times New Roman"/>
          <w:sz w:val="24"/>
          <w:szCs w:val="24"/>
        </w:rPr>
        <w:t xml:space="preserve">At the same time, the proportion of debt capital in the </w:t>
      </w:r>
      <w:r w:rsidR="00A808D0">
        <w:rPr>
          <w:rFonts w:ascii="Times New Roman" w:hAnsi="Times New Roman" w:cs="Times New Roman"/>
          <w:sz w:val="24"/>
          <w:szCs w:val="24"/>
        </w:rPr>
        <w:t xml:space="preserve">capital structure of Reckitt Benckiser Group plc also increased in 2023 and this is indicated by the upward trend. </w:t>
      </w:r>
      <w:r w:rsidR="004B4E0F">
        <w:rPr>
          <w:rFonts w:ascii="Times New Roman" w:hAnsi="Times New Roman" w:cs="Times New Roman"/>
          <w:sz w:val="24"/>
          <w:szCs w:val="24"/>
        </w:rPr>
        <w:t xml:space="preserve">The value of the gearing ratios </w:t>
      </w:r>
      <w:r w:rsidR="000A6471">
        <w:rPr>
          <w:rFonts w:ascii="Times New Roman" w:hAnsi="Times New Roman" w:cs="Times New Roman"/>
          <w:sz w:val="24"/>
          <w:szCs w:val="24"/>
        </w:rPr>
        <w:t>indicates</w:t>
      </w:r>
      <w:r w:rsidR="004B4E0F">
        <w:rPr>
          <w:rFonts w:ascii="Times New Roman" w:hAnsi="Times New Roman" w:cs="Times New Roman"/>
          <w:sz w:val="24"/>
          <w:szCs w:val="24"/>
        </w:rPr>
        <w:t xml:space="preserve"> that the company is depending more on debt capital and </w:t>
      </w:r>
      <w:r w:rsidR="00FE642F">
        <w:rPr>
          <w:rFonts w:ascii="Times New Roman" w:hAnsi="Times New Roman" w:cs="Times New Roman"/>
          <w:sz w:val="24"/>
          <w:szCs w:val="24"/>
        </w:rPr>
        <w:t xml:space="preserve">is on the way to </w:t>
      </w:r>
      <w:r w:rsidR="000A6471">
        <w:rPr>
          <w:rFonts w:ascii="Times New Roman" w:hAnsi="Times New Roman" w:cs="Times New Roman"/>
          <w:sz w:val="24"/>
          <w:szCs w:val="24"/>
        </w:rPr>
        <w:t>facing</w:t>
      </w:r>
      <w:r w:rsidR="00FE642F">
        <w:rPr>
          <w:rFonts w:ascii="Times New Roman" w:hAnsi="Times New Roman" w:cs="Times New Roman"/>
          <w:sz w:val="24"/>
          <w:szCs w:val="24"/>
        </w:rPr>
        <w:t xml:space="preserve"> more financial risk in </w:t>
      </w:r>
      <w:r w:rsidR="001D7D1B">
        <w:rPr>
          <w:rFonts w:ascii="Times New Roman" w:hAnsi="Times New Roman" w:cs="Times New Roman"/>
          <w:sz w:val="24"/>
          <w:szCs w:val="24"/>
        </w:rPr>
        <w:t xml:space="preserve">the </w:t>
      </w:r>
      <w:r w:rsidR="00FE642F">
        <w:rPr>
          <w:rFonts w:ascii="Times New Roman" w:hAnsi="Times New Roman" w:cs="Times New Roman"/>
          <w:sz w:val="24"/>
          <w:szCs w:val="24"/>
        </w:rPr>
        <w:t>long run</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Rist</w:t>
      </w:r>
      <w:r w:rsidR="00EC2851">
        <w:rPr>
          <w:rFonts w:ascii="Times New Roman" w:hAnsi="Times New Roman" w:cs="Times New Roman"/>
          <w:color w:val="222222"/>
          <w:sz w:val="24"/>
          <w:szCs w:val="24"/>
          <w:shd w:val="clear" w:color="auto" w:fill="FFFFFF"/>
        </w:rPr>
        <w:t xml:space="preserve"> &amp; </w:t>
      </w:r>
      <w:r w:rsidR="00EC2851" w:rsidRPr="00713490">
        <w:rPr>
          <w:rFonts w:ascii="Times New Roman" w:hAnsi="Times New Roman" w:cs="Times New Roman"/>
          <w:color w:val="222222"/>
          <w:sz w:val="24"/>
          <w:szCs w:val="24"/>
          <w:shd w:val="clear" w:color="auto" w:fill="FFFFFF"/>
        </w:rPr>
        <w:t>Pizzica,</w:t>
      </w:r>
      <w:r w:rsidR="00EC2851">
        <w:rPr>
          <w:rFonts w:ascii="Times New Roman" w:hAnsi="Times New Roman" w:cs="Times New Roman"/>
          <w:color w:val="222222"/>
          <w:sz w:val="24"/>
          <w:szCs w:val="24"/>
          <w:shd w:val="clear" w:color="auto" w:fill="FFFFFF"/>
        </w:rPr>
        <w:t xml:space="preserve"> 2014)</w:t>
      </w:r>
      <w:r w:rsidR="00FE642F">
        <w:rPr>
          <w:rFonts w:ascii="Times New Roman" w:hAnsi="Times New Roman" w:cs="Times New Roman"/>
          <w:sz w:val="24"/>
          <w:szCs w:val="24"/>
        </w:rPr>
        <w:t xml:space="preserve">. </w:t>
      </w:r>
    </w:p>
    <w:p w14:paraId="4DEB24AF" w14:textId="4A95E076" w:rsidR="00706091" w:rsidRDefault="00706091" w:rsidP="00F96EE7">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By analyzing the income statement and balance sheet of Reckitt Benckiser Group plc, I have identified the following reasons behind the downward movement in the interest coverage ratio and the upward movement in the debt ratio. </w:t>
      </w:r>
    </w:p>
    <w:p w14:paraId="0035A322" w14:textId="0AA8B1E8" w:rsidR="000D2DB6" w:rsidRPr="00F96EE7" w:rsidRDefault="00706091" w:rsidP="00F96EE7">
      <w:pPr>
        <w:pStyle w:val="ListParagraph"/>
        <w:numPr>
          <w:ilvl w:val="0"/>
          <w:numId w:val="38"/>
        </w:numPr>
        <w:spacing w:line="360" w:lineRule="auto"/>
        <w:jc w:val="both"/>
        <w:rPr>
          <w:rFonts w:ascii="Times New Roman" w:hAnsi="Times New Roman" w:cs="Times New Roman"/>
          <w:sz w:val="24"/>
          <w:szCs w:val="24"/>
        </w:rPr>
      </w:pPr>
      <w:r w:rsidRPr="00F96EE7">
        <w:rPr>
          <w:rFonts w:ascii="Times New Roman" w:hAnsi="Times New Roman" w:cs="Times New Roman"/>
          <w:sz w:val="24"/>
          <w:szCs w:val="24"/>
        </w:rPr>
        <w:t xml:space="preserve">The </w:t>
      </w:r>
      <w:r w:rsidR="00A44BEB" w:rsidRPr="00F96EE7">
        <w:rPr>
          <w:rFonts w:ascii="Times New Roman" w:hAnsi="Times New Roman" w:cs="Times New Roman"/>
          <w:sz w:val="24"/>
          <w:szCs w:val="24"/>
        </w:rPr>
        <w:t xml:space="preserve">finance expense of Reckitt Benckiser Group </w:t>
      </w:r>
      <w:r w:rsidR="00F96EE7" w:rsidRPr="00F96EE7">
        <w:rPr>
          <w:rFonts w:ascii="Times New Roman" w:hAnsi="Times New Roman" w:cs="Times New Roman"/>
          <w:sz w:val="24"/>
          <w:szCs w:val="24"/>
        </w:rPr>
        <w:t>plc</w:t>
      </w:r>
      <w:r w:rsidR="00A44BEB" w:rsidRPr="00F96EE7">
        <w:rPr>
          <w:rFonts w:ascii="Times New Roman" w:hAnsi="Times New Roman" w:cs="Times New Roman"/>
          <w:sz w:val="24"/>
          <w:szCs w:val="24"/>
        </w:rPr>
        <w:t xml:space="preserve"> increased in 2023 by </w:t>
      </w:r>
      <w:r w:rsidR="000D2DB6" w:rsidRPr="00F96EE7">
        <w:rPr>
          <w:rFonts w:ascii="Times New Roman" w:hAnsi="Times New Roman" w:cs="Times New Roman"/>
          <w:sz w:val="24"/>
          <w:szCs w:val="24"/>
        </w:rPr>
        <w:t>£49 million</w:t>
      </w:r>
      <w:r w:rsidR="0051542B" w:rsidRPr="00F96EE7">
        <w:rPr>
          <w:rFonts w:ascii="Times New Roman" w:hAnsi="Times New Roman" w:cs="Times New Roman"/>
          <w:sz w:val="24"/>
          <w:szCs w:val="24"/>
        </w:rPr>
        <w:t>.</w:t>
      </w:r>
      <w:r w:rsidR="00363706" w:rsidRPr="00F96EE7">
        <w:rPr>
          <w:rFonts w:ascii="Times New Roman" w:hAnsi="Times New Roman" w:cs="Times New Roman"/>
          <w:sz w:val="24"/>
          <w:szCs w:val="24"/>
        </w:rPr>
        <w:t xml:space="preserve"> At the same time, the EBIT (operating profit) of </w:t>
      </w:r>
      <w:r w:rsidR="00DD04A1" w:rsidRPr="00F96EE7">
        <w:rPr>
          <w:rFonts w:ascii="Times New Roman" w:hAnsi="Times New Roman" w:cs="Times New Roman"/>
          <w:sz w:val="24"/>
          <w:szCs w:val="24"/>
        </w:rPr>
        <w:t>the company also decreased in 2023 by £718 million.</w:t>
      </w:r>
      <w:r w:rsidR="008C3EAE" w:rsidRPr="00F96EE7">
        <w:rPr>
          <w:rFonts w:ascii="Times New Roman" w:hAnsi="Times New Roman" w:cs="Times New Roman"/>
          <w:sz w:val="24"/>
          <w:szCs w:val="24"/>
        </w:rPr>
        <w:t xml:space="preserve"> Therefore, the interest payment capacity of the </w:t>
      </w:r>
      <w:r w:rsidR="00F96EE7" w:rsidRPr="00F96EE7">
        <w:rPr>
          <w:rFonts w:ascii="Times New Roman" w:hAnsi="Times New Roman" w:cs="Times New Roman"/>
          <w:sz w:val="24"/>
          <w:szCs w:val="24"/>
        </w:rPr>
        <w:t>company</w:t>
      </w:r>
      <w:r w:rsidR="008C3EAE" w:rsidRPr="00F96EE7">
        <w:rPr>
          <w:rFonts w:ascii="Times New Roman" w:hAnsi="Times New Roman" w:cs="Times New Roman"/>
          <w:sz w:val="24"/>
          <w:szCs w:val="24"/>
        </w:rPr>
        <w:t xml:space="preserve"> deteriorated in 2023. </w:t>
      </w:r>
    </w:p>
    <w:p w14:paraId="0E7A9614" w14:textId="2AF65B3A" w:rsidR="00F96EE7" w:rsidRPr="00582417" w:rsidRDefault="00EB68EA" w:rsidP="00582417">
      <w:pPr>
        <w:pStyle w:val="ListParagraph"/>
        <w:numPr>
          <w:ilvl w:val="0"/>
          <w:numId w:val="38"/>
        </w:numPr>
        <w:spacing w:line="360" w:lineRule="auto"/>
        <w:jc w:val="both"/>
        <w:rPr>
          <w:rFonts w:ascii="Times New Roman" w:hAnsi="Times New Roman" w:cs="Times New Roman"/>
          <w:sz w:val="24"/>
          <w:szCs w:val="24"/>
        </w:rPr>
      </w:pPr>
      <w:r w:rsidRPr="00F96EE7">
        <w:rPr>
          <w:rFonts w:ascii="Times New Roman" w:hAnsi="Times New Roman" w:cs="Times New Roman"/>
          <w:sz w:val="24"/>
          <w:szCs w:val="24"/>
        </w:rPr>
        <w:t xml:space="preserve">The size of the balance sheet both equity and liability decreased in 2023. While total </w:t>
      </w:r>
      <w:r w:rsidR="001535AD" w:rsidRPr="00F96EE7">
        <w:rPr>
          <w:rFonts w:ascii="Times New Roman" w:hAnsi="Times New Roman" w:cs="Times New Roman"/>
          <w:sz w:val="24"/>
          <w:szCs w:val="24"/>
        </w:rPr>
        <w:t>liability</w:t>
      </w:r>
      <w:r w:rsidRPr="00F96EE7">
        <w:rPr>
          <w:rFonts w:ascii="Times New Roman" w:hAnsi="Times New Roman" w:cs="Times New Roman"/>
          <w:sz w:val="24"/>
          <w:szCs w:val="24"/>
        </w:rPr>
        <w:t xml:space="preserve"> </w:t>
      </w:r>
      <w:r w:rsidR="0025647A">
        <w:rPr>
          <w:rFonts w:ascii="Times New Roman" w:hAnsi="Times New Roman" w:cs="Times New Roman"/>
          <w:sz w:val="24"/>
          <w:szCs w:val="24"/>
        </w:rPr>
        <w:t>fell</w:t>
      </w:r>
      <w:r w:rsidR="001535AD" w:rsidRPr="00F96EE7">
        <w:rPr>
          <w:rFonts w:ascii="Times New Roman" w:hAnsi="Times New Roman" w:cs="Times New Roman"/>
          <w:sz w:val="24"/>
          <w:szCs w:val="24"/>
        </w:rPr>
        <w:t xml:space="preserve"> by £592 million, total equity was </w:t>
      </w:r>
      <w:r w:rsidR="0025647A">
        <w:rPr>
          <w:rFonts w:ascii="Times New Roman" w:hAnsi="Times New Roman" w:cs="Times New Roman"/>
          <w:sz w:val="24"/>
          <w:szCs w:val="24"/>
        </w:rPr>
        <w:t>raised</w:t>
      </w:r>
      <w:r w:rsidR="001535AD" w:rsidRPr="00F96EE7">
        <w:rPr>
          <w:rFonts w:ascii="Times New Roman" w:hAnsi="Times New Roman" w:cs="Times New Roman"/>
          <w:sz w:val="24"/>
          <w:szCs w:val="24"/>
        </w:rPr>
        <w:t xml:space="preserve"> by £1,014 million</w:t>
      </w:r>
      <w:r w:rsidR="0012375F" w:rsidRPr="00F96EE7">
        <w:rPr>
          <w:rFonts w:ascii="Times New Roman" w:hAnsi="Times New Roman" w:cs="Times New Roman"/>
          <w:sz w:val="24"/>
          <w:szCs w:val="24"/>
        </w:rPr>
        <w:t xml:space="preserve"> in 2023. As a result, the debt </w:t>
      </w:r>
      <w:r w:rsidR="00F96EE7" w:rsidRPr="00F96EE7">
        <w:rPr>
          <w:rFonts w:ascii="Times New Roman" w:hAnsi="Times New Roman" w:cs="Times New Roman"/>
          <w:sz w:val="24"/>
          <w:szCs w:val="24"/>
        </w:rPr>
        <w:t>ratio</w:t>
      </w:r>
      <w:r w:rsidR="0012375F" w:rsidRPr="00F96EE7">
        <w:rPr>
          <w:rFonts w:ascii="Times New Roman" w:hAnsi="Times New Roman" w:cs="Times New Roman"/>
          <w:sz w:val="24"/>
          <w:szCs w:val="24"/>
        </w:rPr>
        <w:t xml:space="preserve"> increased in 2023. </w:t>
      </w:r>
    </w:p>
    <w:p w14:paraId="181EF5BF" w14:textId="77777777" w:rsidR="00582417" w:rsidRDefault="00344B6D" w:rsidP="00582417">
      <w:pPr>
        <w:spacing w:line="360" w:lineRule="auto"/>
        <w:jc w:val="both"/>
        <w:rPr>
          <w:rFonts w:ascii="Times New Roman" w:hAnsi="Times New Roman" w:cs="Times New Roman"/>
          <w:b/>
          <w:bCs/>
          <w:sz w:val="24"/>
          <w:szCs w:val="24"/>
        </w:rPr>
      </w:pPr>
      <w:r w:rsidRPr="00F96EE7">
        <w:rPr>
          <w:rFonts w:ascii="Times New Roman" w:hAnsi="Times New Roman" w:cs="Times New Roman"/>
          <w:b/>
          <w:bCs/>
          <w:sz w:val="24"/>
          <w:szCs w:val="24"/>
        </w:rPr>
        <w:lastRenderedPageBreak/>
        <w:t>1.2.4 Efficiency Analysis</w:t>
      </w:r>
    </w:p>
    <w:p w14:paraId="004A3114" w14:textId="02C9F093" w:rsidR="00344B6D" w:rsidRPr="00582417" w:rsidRDefault="00481311" w:rsidP="009441DA">
      <w:pPr>
        <w:spacing w:line="360" w:lineRule="auto"/>
        <w:jc w:val="both"/>
        <w:rPr>
          <w:rFonts w:ascii="Times New Roman" w:hAnsi="Times New Roman" w:cs="Times New Roman"/>
          <w:b/>
          <w:bCs/>
          <w:sz w:val="24"/>
          <w:szCs w:val="24"/>
        </w:rPr>
      </w:pPr>
      <w:r>
        <w:rPr>
          <w:rFonts w:ascii="Times New Roman" w:hAnsi="Times New Roman" w:cs="Times New Roman"/>
          <w:sz w:val="24"/>
          <w:szCs w:val="24"/>
        </w:rPr>
        <w:t>Efficiency ratios measure how efficiently a firm is using its resources. The higher the value of these ratios, the more efficient the firm is</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Monea,</w:t>
      </w:r>
      <w:r w:rsidR="00EC2851">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 xml:space="preserve">.  </w:t>
      </w:r>
    </w:p>
    <w:p w14:paraId="55545B13" w14:textId="4A62340C" w:rsidR="00344B6D" w:rsidRDefault="006E3E60" w:rsidP="00344B6D">
      <w:pPr>
        <w:jc w:val="both"/>
        <w:rPr>
          <w:rFonts w:ascii="Times New Roman" w:hAnsi="Times New Roman" w:cs="Times New Roman"/>
          <w:sz w:val="24"/>
          <w:szCs w:val="24"/>
        </w:rPr>
      </w:pPr>
      <w:r>
        <w:rPr>
          <w:noProof/>
        </w:rPr>
        <w:drawing>
          <wp:inline distT="0" distB="0" distL="0" distR="0" wp14:anchorId="4F0FF3D7" wp14:editId="27339266">
            <wp:extent cx="2880360" cy="2240280"/>
            <wp:effectExtent l="0" t="0" r="0" b="0"/>
            <wp:docPr id="8" name="Chart 8">
              <a:extLst xmlns:a="http://schemas.openxmlformats.org/drawingml/2006/main">
                <a:ext uri="{FF2B5EF4-FFF2-40B4-BE49-F238E27FC236}">
                  <a16:creationId xmlns:a16="http://schemas.microsoft.com/office/drawing/2014/main" id="{2BD95B57-5082-44A9-BCDD-BEF5D31A93D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r>
        <w:rPr>
          <w:noProof/>
        </w:rPr>
        <w:drawing>
          <wp:inline distT="0" distB="0" distL="0" distR="0" wp14:anchorId="34739C68" wp14:editId="7C3ADFAF">
            <wp:extent cx="2880360" cy="2240280"/>
            <wp:effectExtent l="0" t="0" r="0" b="0"/>
            <wp:docPr id="10" name="Chart 10">
              <a:extLst xmlns:a="http://schemas.openxmlformats.org/drawingml/2006/main">
                <a:ext uri="{FF2B5EF4-FFF2-40B4-BE49-F238E27FC236}">
                  <a16:creationId xmlns:a16="http://schemas.microsoft.com/office/drawing/2014/main" id="{A3014A83-65E4-4C0F-8F34-D207DA450DE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6F182EAD" w14:textId="707701B0" w:rsidR="00344B6D" w:rsidRDefault="006E3E60" w:rsidP="00344B6D">
      <w:pPr>
        <w:jc w:val="both"/>
        <w:rPr>
          <w:rFonts w:ascii="Times New Roman" w:hAnsi="Times New Roman" w:cs="Times New Roman"/>
          <w:sz w:val="24"/>
          <w:szCs w:val="24"/>
        </w:rPr>
      </w:pPr>
      <w:r w:rsidRPr="00EB538D">
        <w:rPr>
          <w:noProof/>
        </w:rPr>
        <w:drawing>
          <wp:inline distT="0" distB="0" distL="0" distR="0" wp14:anchorId="04BEB285" wp14:editId="59721841">
            <wp:extent cx="2880360" cy="2194560"/>
            <wp:effectExtent l="0" t="0" r="0" b="0"/>
            <wp:docPr id="11" name="Chart 11">
              <a:extLst xmlns:a="http://schemas.openxmlformats.org/drawingml/2006/main">
                <a:ext uri="{FF2B5EF4-FFF2-40B4-BE49-F238E27FC236}">
                  <a16:creationId xmlns:a16="http://schemas.microsoft.com/office/drawing/2014/main" id="{A4330050-8188-4A24-9322-107B02B62F5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r>
        <w:rPr>
          <w:noProof/>
        </w:rPr>
        <w:drawing>
          <wp:inline distT="0" distB="0" distL="0" distR="0" wp14:anchorId="2088AF81" wp14:editId="718DA3CB">
            <wp:extent cx="2880360" cy="2194560"/>
            <wp:effectExtent l="0" t="0" r="0" b="0"/>
            <wp:docPr id="12" name="Chart 12">
              <a:extLst xmlns:a="http://schemas.openxmlformats.org/drawingml/2006/main">
                <a:ext uri="{FF2B5EF4-FFF2-40B4-BE49-F238E27FC236}">
                  <a16:creationId xmlns:a16="http://schemas.microsoft.com/office/drawing/2014/main" id="{C0C6B9D8-D390-4B7E-AA3B-EFA0E6AA500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7E181787" w14:textId="5493255E" w:rsidR="006E3E60" w:rsidRDefault="006E3E60" w:rsidP="006E3E60">
      <w:pPr>
        <w:jc w:val="center"/>
        <w:rPr>
          <w:rFonts w:ascii="Times New Roman" w:hAnsi="Times New Roman" w:cs="Times New Roman"/>
          <w:sz w:val="24"/>
          <w:szCs w:val="24"/>
        </w:rPr>
      </w:pPr>
      <w:r>
        <w:rPr>
          <w:rFonts w:ascii="Times New Roman" w:hAnsi="Times New Roman" w:cs="Times New Roman"/>
          <w:sz w:val="24"/>
          <w:szCs w:val="24"/>
        </w:rPr>
        <w:t xml:space="preserve">Figure 04: </w:t>
      </w:r>
      <w:r w:rsidR="004C57E6">
        <w:rPr>
          <w:rFonts w:ascii="Times New Roman" w:hAnsi="Times New Roman" w:cs="Times New Roman"/>
          <w:sz w:val="24"/>
          <w:szCs w:val="24"/>
        </w:rPr>
        <w:t>Efficiency</w:t>
      </w:r>
      <w:r>
        <w:rPr>
          <w:rFonts w:ascii="Times New Roman" w:hAnsi="Times New Roman" w:cs="Times New Roman"/>
          <w:sz w:val="24"/>
          <w:szCs w:val="24"/>
        </w:rPr>
        <w:t xml:space="preserve"> Ratios of Reckitt Benckiser Group plc.</w:t>
      </w:r>
    </w:p>
    <w:p w14:paraId="3A0693B2" w14:textId="77777777" w:rsidR="00EB538D" w:rsidRDefault="00EB538D" w:rsidP="006E3E60">
      <w:pPr>
        <w:jc w:val="center"/>
        <w:rPr>
          <w:rFonts w:ascii="Times New Roman" w:hAnsi="Times New Roman" w:cs="Times New Roman"/>
          <w:sz w:val="24"/>
          <w:szCs w:val="24"/>
        </w:rPr>
      </w:pPr>
    </w:p>
    <w:p w14:paraId="241C8970" w14:textId="6D83B213" w:rsidR="00344B6D" w:rsidRPr="00EC2851" w:rsidRDefault="006E3E60" w:rsidP="00EB538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From the above figure, it can be seen that Reckitt Benckiser Group plc has become more efficient in 2023 compared to 2022. </w:t>
      </w:r>
      <w:r w:rsidR="000A6471">
        <w:rPr>
          <w:rFonts w:ascii="Times New Roman" w:hAnsi="Times New Roman" w:cs="Times New Roman"/>
          <w:sz w:val="24"/>
          <w:szCs w:val="24"/>
        </w:rPr>
        <w:t>The</w:t>
      </w:r>
      <w:r>
        <w:rPr>
          <w:rFonts w:ascii="Times New Roman" w:hAnsi="Times New Roman" w:cs="Times New Roman"/>
          <w:sz w:val="24"/>
          <w:szCs w:val="24"/>
        </w:rPr>
        <w:t xml:space="preserve"> debtor days and inventory </w:t>
      </w:r>
      <w:r w:rsidR="00EB538D">
        <w:rPr>
          <w:rFonts w:ascii="Times New Roman" w:hAnsi="Times New Roman" w:cs="Times New Roman"/>
          <w:sz w:val="24"/>
          <w:szCs w:val="24"/>
        </w:rPr>
        <w:t>days</w:t>
      </w:r>
      <w:r>
        <w:rPr>
          <w:rFonts w:ascii="Times New Roman" w:hAnsi="Times New Roman" w:cs="Times New Roman"/>
          <w:sz w:val="24"/>
          <w:szCs w:val="24"/>
        </w:rPr>
        <w:t xml:space="preserve"> decreased in 2023 which indicates that the company is becoming more efficient in collecting its account receivables and selling its inventories. At the same time, the value of its asset turnover ratio and fixed asset turnover ratio increased in 2023 which reflects that the company is becoming more efficient in using its resources to generate sufficient net revenue</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Krylov,</w:t>
      </w:r>
      <w:r w:rsidR="00EC2851">
        <w:rPr>
          <w:rFonts w:ascii="Times New Roman" w:hAnsi="Times New Roman" w:cs="Times New Roman"/>
          <w:color w:val="222222"/>
          <w:sz w:val="24"/>
          <w:szCs w:val="24"/>
          <w:shd w:val="clear" w:color="auto" w:fill="FFFFFF"/>
        </w:rPr>
        <w:t xml:space="preserve"> </w:t>
      </w:r>
      <w:r w:rsidR="00EC2851" w:rsidRPr="00713490">
        <w:rPr>
          <w:rFonts w:ascii="Times New Roman" w:hAnsi="Times New Roman" w:cs="Times New Roman"/>
          <w:color w:val="222222"/>
          <w:sz w:val="24"/>
          <w:szCs w:val="24"/>
          <w:shd w:val="clear" w:color="auto" w:fill="FFFFFF"/>
        </w:rPr>
        <w:t>Vlasova</w:t>
      </w:r>
      <w:r w:rsidR="00EC2851">
        <w:rPr>
          <w:rFonts w:ascii="Times New Roman" w:hAnsi="Times New Roman" w:cs="Times New Roman"/>
          <w:color w:val="222222"/>
          <w:sz w:val="24"/>
          <w:szCs w:val="24"/>
          <w:shd w:val="clear" w:color="auto" w:fill="FFFFFF"/>
        </w:rPr>
        <w:t xml:space="preserve"> &amp; </w:t>
      </w:r>
      <w:proofErr w:type="spellStart"/>
      <w:r w:rsidR="00EC2851" w:rsidRPr="00713490">
        <w:rPr>
          <w:rFonts w:ascii="Times New Roman" w:hAnsi="Times New Roman" w:cs="Times New Roman"/>
          <w:color w:val="222222"/>
          <w:sz w:val="24"/>
          <w:szCs w:val="24"/>
          <w:shd w:val="clear" w:color="auto" w:fill="FFFFFF"/>
        </w:rPr>
        <w:t>Vorobiova</w:t>
      </w:r>
      <w:proofErr w:type="spellEnd"/>
      <w:r w:rsidR="00EC2851" w:rsidRPr="00713490">
        <w:rPr>
          <w:rFonts w:ascii="Times New Roman" w:hAnsi="Times New Roman" w:cs="Times New Roman"/>
          <w:color w:val="222222"/>
          <w:sz w:val="24"/>
          <w:szCs w:val="24"/>
          <w:shd w:val="clear" w:color="auto" w:fill="FFFFFF"/>
        </w:rPr>
        <w:t>,</w:t>
      </w:r>
      <w:r w:rsidR="00EC2851">
        <w:rPr>
          <w:rFonts w:ascii="Times New Roman" w:hAnsi="Times New Roman" w:cs="Times New Roman"/>
          <w:color w:val="222222"/>
          <w:sz w:val="24"/>
          <w:szCs w:val="24"/>
          <w:shd w:val="clear" w:color="auto" w:fill="FFFFFF"/>
        </w:rPr>
        <w:t xml:space="preserve"> 2020)</w:t>
      </w:r>
      <w:r>
        <w:rPr>
          <w:rFonts w:ascii="Times New Roman" w:hAnsi="Times New Roman" w:cs="Times New Roman"/>
          <w:sz w:val="24"/>
          <w:szCs w:val="24"/>
        </w:rPr>
        <w:t xml:space="preserve">. </w:t>
      </w:r>
      <w:r w:rsidR="00E94BC2">
        <w:rPr>
          <w:rFonts w:ascii="Times New Roman" w:hAnsi="Times New Roman" w:cs="Times New Roman"/>
          <w:sz w:val="24"/>
          <w:szCs w:val="24"/>
        </w:rPr>
        <w:lastRenderedPageBreak/>
        <w:t>However</w:t>
      </w:r>
      <w:r w:rsidR="006B4095">
        <w:rPr>
          <w:rFonts w:ascii="Times New Roman" w:hAnsi="Times New Roman" w:cs="Times New Roman"/>
          <w:sz w:val="24"/>
          <w:szCs w:val="24"/>
        </w:rPr>
        <w:t>,</w:t>
      </w:r>
      <w:r w:rsidR="00D10C40">
        <w:rPr>
          <w:rFonts w:ascii="Times New Roman" w:hAnsi="Times New Roman" w:cs="Times New Roman"/>
          <w:sz w:val="24"/>
          <w:szCs w:val="24"/>
        </w:rPr>
        <w:t xml:space="preserve"> the company fails to </w:t>
      </w:r>
      <w:r w:rsidR="00BA0A0F">
        <w:rPr>
          <w:rFonts w:ascii="Times New Roman" w:hAnsi="Times New Roman" w:cs="Times New Roman"/>
          <w:sz w:val="24"/>
          <w:szCs w:val="24"/>
        </w:rPr>
        <w:t xml:space="preserve">meet the industry average in </w:t>
      </w:r>
      <w:r w:rsidR="005D310B">
        <w:rPr>
          <w:rFonts w:ascii="Times New Roman" w:hAnsi="Times New Roman" w:cs="Times New Roman"/>
          <w:sz w:val="24"/>
          <w:szCs w:val="24"/>
        </w:rPr>
        <w:t xml:space="preserve">the </w:t>
      </w:r>
      <w:r w:rsidR="00BA0A0F">
        <w:rPr>
          <w:rFonts w:ascii="Times New Roman" w:hAnsi="Times New Roman" w:cs="Times New Roman"/>
          <w:sz w:val="24"/>
          <w:szCs w:val="24"/>
        </w:rPr>
        <w:t xml:space="preserve">case of both asset turnover and fixed asset turnover ratio. </w:t>
      </w:r>
    </w:p>
    <w:p w14:paraId="7A0AA32E" w14:textId="3DBEB1C1" w:rsidR="004C57E6" w:rsidRDefault="004C57E6" w:rsidP="00EB53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Through an in-depth analysis of the annual report of Reckitt Benckiser Group plc, I have identified the following reasons behind the upward movement in the efficiency ratios. </w:t>
      </w:r>
    </w:p>
    <w:p w14:paraId="4D8E68C8" w14:textId="7B9BF5C1" w:rsidR="005D660A" w:rsidRPr="00EB538D" w:rsidRDefault="004C57E6" w:rsidP="00EB538D">
      <w:pPr>
        <w:pStyle w:val="ListParagraph"/>
        <w:numPr>
          <w:ilvl w:val="0"/>
          <w:numId w:val="39"/>
        </w:numPr>
        <w:spacing w:line="360" w:lineRule="auto"/>
        <w:jc w:val="both"/>
        <w:rPr>
          <w:rFonts w:ascii="Times New Roman" w:hAnsi="Times New Roman" w:cs="Times New Roman"/>
          <w:sz w:val="24"/>
          <w:szCs w:val="24"/>
        </w:rPr>
      </w:pPr>
      <w:r w:rsidRPr="00EB538D">
        <w:rPr>
          <w:rFonts w:ascii="Times New Roman" w:hAnsi="Times New Roman" w:cs="Times New Roman"/>
          <w:sz w:val="24"/>
          <w:szCs w:val="24"/>
        </w:rPr>
        <w:t>T</w:t>
      </w:r>
      <w:r w:rsidR="00117CDD" w:rsidRPr="00EB538D">
        <w:rPr>
          <w:rFonts w:ascii="Times New Roman" w:hAnsi="Times New Roman" w:cs="Times New Roman"/>
          <w:sz w:val="24"/>
          <w:szCs w:val="24"/>
        </w:rPr>
        <w:t xml:space="preserve">rade &amp; other receivables decreased in 2023 while net revenue increased in 2023. </w:t>
      </w:r>
    </w:p>
    <w:p w14:paraId="45B76B35" w14:textId="7678B954" w:rsidR="00EB538D" w:rsidRPr="00EB538D" w:rsidRDefault="005D310B" w:rsidP="00EB538D">
      <w:pPr>
        <w:pStyle w:val="ListParagraph"/>
        <w:numPr>
          <w:ilvl w:val="0"/>
          <w:numId w:val="39"/>
        </w:numPr>
        <w:spacing w:line="360" w:lineRule="auto"/>
        <w:jc w:val="both"/>
        <w:rPr>
          <w:rFonts w:ascii="Times New Roman" w:hAnsi="Times New Roman" w:cs="Times New Roman"/>
          <w:sz w:val="24"/>
          <w:szCs w:val="24"/>
        </w:rPr>
      </w:pPr>
      <w:r w:rsidRPr="00EB538D">
        <w:rPr>
          <w:rFonts w:ascii="Times New Roman" w:hAnsi="Times New Roman" w:cs="Times New Roman"/>
          <w:sz w:val="24"/>
          <w:szCs w:val="24"/>
        </w:rPr>
        <w:t>The total</w:t>
      </w:r>
      <w:r w:rsidR="00D81D5C" w:rsidRPr="00EB538D">
        <w:rPr>
          <w:rFonts w:ascii="Times New Roman" w:hAnsi="Times New Roman" w:cs="Times New Roman"/>
          <w:sz w:val="24"/>
          <w:szCs w:val="24"/>
        </w:rPr>
        <w:t xml:space="preserve"> asset size of the </w:t>
      </w:r>
      <w:r w:rsidR="00EB538D" w:rsidRPr="00EB538D">
        <w:rPr>
          <w:rFonts w:ascii="Times New Roman" w:hAnsi="Times New Roman" w:cs="Times New Roman"/>
          <w:sz w:val="24"/>
          <w:szCs w:val="24"/>
        </w:rPr>
        <w:t>company</w:t>
      </w:r>
      <w:r w:rsidR="00D81D5C" w:rsidRPr="00EB538D">
        <w:rPr>
          <w:rFonts w:ascii="Times New Roman" w:hAnsi="Times New Roman" w:cs="Times New Roman"/>
          <w:sz w:val="24"/>
          <w:szCs w:val="24"/>
        </w:rPr>
        <w:t xml:space="preserve"> decreased in 2023 compared to that of in 2022. </w:t>
      </w:r>
    </w:p>
    <w:p w14:paraId="5CAB2DCF" w14:textId="05ADF8AD" w:rsidR="004F570E" w:rsidRDefault="004F570E" w:rsidP="00EB538D">
      <w:pPr>
        <w:pStyle w:val="Heading3"/>
        <w:spacing w:line="360" w:lineRule="auto"/>
        <w:rPr>
          <w:rFonts w:ascii="Times New Roman" w:hAnsi="Times New Roman" w:cs="Times New Roman"/>
          <w:b/>
          <w:bCs/>
          <w:color w:val="auto"/>
        </w:rPr>
      </w:pPr>
      <w:bookmarkStart w:id="4" w:name="_Toc187878299"/>
      <w:r w:rsidRPr="00EB538D">
        <w:rPr>
          <w:rFonts w:ascii="Times New Roman" w:hAnsi="Times New Roman" w:cs="Times New Roman"/>
          <w:b/>
          <w:bCs/>
          <w:color w:val="auto"/>
        </w:rPr>
        <w:t>1.2.5 Investor Ratio Analysis</w:t>
      </w:r>
      <w:bookmarkEnd w:id="4"/>
    </w:p>
    <w:p w14:paraId="791F9DD2" w14:textId="77777777" w:rsidR="00EB538D" w:rsidRPr="00EB538D" w:rsidRDefault="00EB538D" w:rsidP="00EB538D"/>
    <w:p w14:paraId="171679E9" w14:textId="7AAF8E1D" w:rsidR="00AE3A15" w:rsidRPr="00EC2851" w:rsidRDefault="004A7C91" w:rsidP="00EB538D">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To fulfill the capital requirement, a firm usually collects </w:t>
      </w:r>
      <w:r w:rsidR="005D310B">
        <w:rPr>
          <w:rFonts w:ascii="Times New Roman" w:hAnsi="Times New Roman" w:cs="Times New Roman"/>
          <w:sz w:val="24"/>
          <w:szCs w:val="24"/>
        </w:rPr>
        <w:t>funds</w:t>
      </w:r>
      <w:r>
        <w:rPr>
          <w:rFonts w:ascii="Times New Roman" w:hAnsi="Times New Roman" w:cs="Times New Roman"/>
          <w:sz w:val="24"/>
          <w:szCs w:val="24"/>
        </w:rPr>
        <w:t xml:space="preserve"> from equity investors and debt capital providers. Firms provide periodic interest </w:t>
      </w:r>
      <w:r w:rsidR="00D50DA2">
        <w:rPr>
          <w:rFonts w:ascii="Times New Roman" w:hAnsi="Times New Roman" w:cs="Times New Roman"/>
          <w:sz w:val="24"/>
          <w:szCs w:val="24"/>
        </w:rPr>
        <w:t>payments</w:t>
      </w:r>
      <w:r>
        <w:rPr>
          <w:rFonts w:ascii="Times New Roman" w:hAnsi="Times New Roman" w:cs="Times New Roman"/>
          <w:sz w:val="24"/>
          <w:szCs w:val="24"/>
        </w:rPr>
        <w:t xml:space="preserve"> to the debt capital providers. </w:t>
      </w:r>
      <w:r w:rsidR="00EB538D">
        <w:rPr>
          <w:rFonts w:ascii="Times New Roman" w:hAnsi="Times New Roman" w:cs="Times New Roman"/>
          <w:sz w:val="24"/>
          <w:szCs w:val="24"/>
        </w:rPr>
        <w:t>Whereas</w:t>
      </w:r>
      <w:r w:rsidR="000C2B05">
        <w:rPr>
          <w:rFonts w:ascii="Times New Roman" w:hAnsi="Times New Roman" w:cs="Times New Roman"/>
          <w:sz w:val="24"/>
          <w:szCs w:val="24"/>
        </w:rPr>
        <w:t xml:space="preserve"> equity investors invest their </w:t>
      </w:r>
      <w:r w:rsidR="00D50DA2">
        <w:rPr>
          <w:rFonts w:ascii="Times New Roman" w:hAnsi="Times New Roman" w:cs="Times New Roman"/>
          <w:sz w:val="24"/>
          <w:szCs w:val="24"/>
        </w:rPr>
        <w:t>funds</w:t>
      </w:r>
      <w:r w:rsidR="000C2B05">
        <w:rPr>
          <w:rFonts w:ascii="Times New Roman" w:hAnsi="Times New Roman" w:cs="Times New Roman"/>
          <w:sz w:val="24"/>
          <w:szCs w:val="24"/>
        </w:rPr>
        <w:t xml:space="preserve"> </w:t>
      </w:r>
      <w:r w:rsidR="00D50DA2">
        <w:rPr>
          <w:rFonts w:ascii="Times New Roman" w:hAnsi="Times New Roman" w:cs="Times New Roman"/>
          <w:sz w:val="24"/>
          <w:szCs w:val="24"/>
        </w:rPr>
        <w:t>in</w:t>
      </w:r>
      <w:r w:rsidR="000C2B05">
        <w:rPr>
          <w:rFonts w:ascii="Times New Roman" w:hAnsi="Times New Roman" w:cs="Times New Roman"/>
          <w:sz w:val="24"/>
          <w:szCs w:val="24"/>
        </w:rPr>
        <w:t xml:space="preserve"> a firm with an expectation to get </w:t>
      </w:r>
      <w:r w:rsidR="003C3094">
        <w:rPr>
          <w:rFonts w:ascii="Times New Roman" w:hAnsi="Times New Roman" w:cs="Times New Roman"/>
          <w:sz w:val="24"/>
          <w:szCs w:val="24"/>
        </w:rPr>
        <w:t xml:space="preserve">a </w:t>
      </w:r>
      <w:r w:rsidR="000C2B05">
        <w:rPr>
          <w:rFonts w:ascii="Times New Roman" w:hAnsi="Times New Roman" w:cs="Times New Roman"/>
          <w:sz w:val="24"/>
          <w:szCs w:val="24"/>
        </w:rPr>
        <w:t>cash dividend</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Titman,</w:t>
      </w:r>
      <w:r w:rsidR="00EC2851">
        <w:rPr>
          <w:rFonts w:ascii="Times New Roman" w:hAnsi="Times New Roman" w:cs="Times New Roman"/>
          <w:color w:val="222222"/>
          <w:sz w:val="24"/>
          <w:szCs w:val="24"/>
          <w:shd w:val="clear" w:color="auto" w:fill="FFFFFF"/>
        </w:rPr>
        <w:t xml:space="preserve"> </w:t>
      </w:r>
      <w:r w:rsidR="00EC2851" w:rsidRPr="00713490">
        <w:rPr>
          <w:rFonts w:ascii="Times New Roman" w:hAnsi="Times New Roman" w:cs="Times New Roman"/>
          <w:color w:val="222222"/>
          <w:sz w:val="24"/>
          <w:szCs w:val="24"/>
          <w:shd w:val="clear" w:color="auto" w:fill="FFFFFF"/>
        </w:rPr>
        <w:t>Wei</w:t>
      </w:r>
      <w:r w:rsidR="00EC2851">
        <w:rPr>
          <w:rFonts w:ascii="Times New Roman" w:hAnsi="Times New Roman" w:cs="Times New Roman"/>
          <w:color w:val="222222"/>
          <w:sz w:val="24"/>
          <w:szCs w:val="24"/>
          <w:shd w:val="clear" w:color="auto" w:fill="FFFFFF"/>
        </w:rPr>
        <w:t xml:space="preserve"> &amp; </w:t>
      </w:r>
      <w:r w:rsidR="00EC2851" w:rsidRPr="00713490">
        <w:rPr>
          <w:rFonts w:ascii="Times New Roman" w:hAnsi="Times New Roman" w:cs="Times New Roman"/>
          <w:color w:val="222222"/>
          <w:sz w:val="24"/>
          <w:szCs w:val="24"/>
          <w:shd w:val="clear" w:color="auto" w:fill="FFFFFF"/>
        </w:rPr>
        <w:t>Xie,</w:t>
      </w:r>
      <w:r w:rsidR="00EC2851">
        <w:rPr>
          <w:rFonts w:ascii="Times New Roman" w:hAnsi="Times New Roman" w:cs="Times New Roman"/>
          <w:color w:val="222222"/>
          <w:sz w:val="24"/>
          <w:szCs w:val="24"/>
          <w:shd w:val="clear" w:color="auto" w:fill="FFFFFF"/>
        </w:rPr>
        <w:t xml:space="preserve"> 2004)</w:t>
      </w:r>
      <w:r w:rsidR="000C2B05">
        <w:rPr>
          <w:rFonts w:ascii="Times New Roman" w:hAnsi="Times New Roman" w:cs="Times New Roman"/>
          <w:sz w:val="24"/>
          <w:szCs w:val="24"/>
        </w:rPr>
        <w:t xml:space="preserve">. </w:t>
      </w:r>
      <w:r w:rsidR="00AA00D1">
        <w:rPr>
          <w:rFonts w:ascii="Times New Roman" w:hAnsi="Times New Roman" w:cs="Times New Roman"/>
          <w:sz w:val="24"/>
          <w:szCs w:val="24"/>
        </w:rPr>
        <w:t xml:space="preserve">In addition to dividend gain, equity investors also earn capital gain through the appreciation of the share price of that particular company in the share market. </w:t>
      </w:r>
      <w:r w:rsidR="00113477">
        <w:rPr>
          <w:rFonts w:ascii="Times New Roman" w:hAnsi="Times New Roman" w:cs="Times New Roman"/>
          <w:sz w:val="24"/>
          <w:szCs w:val="24"/>
        </w:rPr>
        <w:t xml:space="preserve">To create a good reputation in the share market, every company tries </w:t>
      </w:r>
      <w:r w:rsidR="004C4906">
        <w:rPr>
          <w:rFonts w:ascii="Times New Roman" w:hAnsi="Times New Roman" w:cs="Times New Roman"/>
          <w:sz w:val="24"/>
          <w:szCs w:val="24"/>
        </w:rPr>
        <w:t xml:space="preserve">its best </w:t>
      </w:r>
      <w:r w:rsidR="00113477">
        <w:rPr>
          <w:rFonts w:ascii="Times New Roman" w:hAnsi="Times New Roman" w:cs="Times New Roman"/>
          <w:sz w:val="24"/>
          <w:szCs w:val="24"/>
        </w:rPr>
        <w:t xml:space="preserve">to earn superior net profit and </w:t>
      </w:r>
      <w:r w:rsidR="00A2767B">
        <w:rPr>
          <w:rFonts w:ascii="Times New Roman" w:hAnsi="Times New Roman" w:cs="Times New Roman"/>
          <w:sz w:val="24"/>
          <w:szCs w:val="24"/>
        </w:rPr>
        <w:t xml:space="preserve">to </w:t>
      </w:r>
      <w:r w:rsidR="00113477">
        <w:rPr>
          <w:rFonts w:ascii="Times New Roman" w:hAnsi="Times New Roman" w:cs="Times New Roman"/>
          <w:sz w:val="24"/>
          <w:szCs w:val="24"/>
        </w:rPr>
        <w:t xml:space="preserve">make stable dividend </w:t>
      </w:r>
      <w:r w:rsidR="00D50DA2">
        <w:rPr>
          <w:rFonts w:ascii="Times New Roman" w:hAnsi="Times New Roman" w:cs="Times New Roman"/>
          <w:sz w:val="24"/>
          <w:szCs w:val="24"/>
        </w:rPr>
        <w:t>payments</w:t>
      </w:r>
      <w:r w:rsidR="00113477">
        <w:rPr>
          <w:rFonts w:ascii="Times New Roman" w:hAnsi="Times New Roman" w:cs="Times New Roman"/>
          <w:sz w:val="24"/>
          <w:szCs w:val="24"/>
        </w:rPr>
        <w:t xml:space="preserve"> to the ordinary shareholders</w:t>
      </w:r>
      <w:r w:rsidR="00EC2851">
        <w:rPr>
          <w:rFonts w:ascii="Times New Roman" w:hAnsi="Times New Roman" w:cs="Times New Roman"/>
          <w:sz w:val="24"/>
          <w:szCs w:val="24"/>
        </w:rPr>
        <w:t xml:space="preserve"> </w:t>
      </w:r>
      <w:r w:rsidR="00EC2851">
        <w:rPr>
          <w:rFonts w:ascii="Times New Roman" w:hAnsi="Times New Roman" w:cs="Times New Roman"/>
          <w:color w:val="222222"/>
          <w:sz w:val="24"/>
          <w:szCs w:val="24"/>
          <w:shd w:val="clear" w:color="auto" w:fill="FFFFFF"/>
        </w:rPr>
        <w:t>(</w:t>
      </w:r>
      <w:r w:rsidR="00EC2851" w:rsidRPr="00713490">
        <w:rPr>
          <w:rFonts w:ascii="Times New Roman" w:hAnsi="Times New Roman" w:cs="Times New Roman"/>
          <w:color w:val="222222"/>
          <w:sz w:val="24"/>
          <w:szCs w:val="24"/>
          <w:shd w:val="clear" w:color="auto" w:fill="FFFFFF"/>
        </w:rPr>
        <w:t>Naranjo,</w:t>
      </w:r>
      <w:r w:rsidR="00EC2851">
        <w:rPr>
          <w:rFonts w:ascii="Times New Roman" w:hAnsi="Times New Roman" w:cs="Times New Roman"/>
          <w:color w:val="222222"/>
          <w:sz w:val="24"/>
          <w:szCs w:val="24"/>
          <w:shd w:val="clear" w:color="auto" w:fill="FFFFFF"/>
        </w:rPr>
        <w:t xml:space="preserve"> </w:t>
      </w:r>
      <w:proofErr w:type="spellStart"/>
      <w:r w:rsidR="00EC2851" w:rsidRPr="00713490">
        <w:rPr>
          <w:rFonts w:ascii="Times New Roman" w:hAnsi="Times New Roman" w:cs="Times New Roman"/>
          <w:color w:val="222222"/>
          <w:sz w:val="24"/>
          <w:szCs w:val="24"/>
          <w:shd w:val="clear" w:color="auto" w:fill="FFFFFF"/>
        </w:rPr>
        <w:t>Nimalendran</w:t>
      </w:r>
      <w:proofErr w:type="spellEnd"/>
      <w:r w:rsidR="00EC2851">
        <w:rPr>
          <w:rFonts w:ascii="Times New Roman" w:hAnsi="Times New Roman" w:cs="Times New Roman"/>
          <w:color w:val="222222"/>
          <w:sz w:val="24"/>
          <w:szCs w:val="24"/>
          <w:shd w:val="clear" w:color="auto" w:fill="FFFFFF"/>
        </w:rPr>
        <w:t xml:space="preserve"> &amp; </w:t>
      </w:r>
      <w:proofErr w:type="spellStart"/>
      <w:r w:rsidR="00EC2851" w:rsidRPr="00713490">
        <w:rPr>
          <w:rFonts w:ascii="Times New Roman" w:hAnsi="Times New Roman" w:cs="Times New Roman"/>
          <w:color w:val="222222"/>
          <w:sz w:val="24"/>
          <w:szCs w:val="24"/>
          <w:shd w:val="clear" w:color="auto" w:fill="FFFFFF"/>
        </w:rPr>
        <w:t>Ryngaert</w:t>
      </w:r>
      <w:proofErr w:type="spellEnd"/>
      <w:r w:rsidR="00EC2851" w:rsidRPr="00713490">
        <w:rPr>
          <w:rFonts w:ascii="Times New Roman" w:hAnsi="Times New Roman" w:cs="Times New Roman"/>
          <w:color w:val="222222"/>
          <w:sz w:val="24"/>
          <w:szCs w:val="24"/>
          <w:shd w:val="clear" w:color="auto" w:fill="FFFFFF"/>
        </w:rPr>
        <w:t>,</w:t>
      </w:r>
      <w:r w:rsidR="00EC2851">
        <w:rPr>
          <w:rFonts w:ascii="Times New Roman" w:hAnsi="Times New Roman" w:cs="Times New Roman"/>
          <w:color w:val="222222"/>
          <w:sz w:val="24"/>
          <w:szCs w:val="24"/>
          <w:shd w:val="clear" w:color="auto" w:fill="FFFFFF"/>
        </w:rPr>
        <w:t xml:space="preserve"> 1998)</w:t>
      </w:r>
      <w:r w:rsidR="00113477">
        <w:rPr>
          <w:rFonts w:ascii="Times New Roman" w:hAnsi="Times New Roman" w:cs="Times New Roman"/>
          <w:sz w:val="24"/>
          <w:szCs w:val="24"/>
        </w:rPr>
        <w:t xml:space="preserve">. </w:t>
      </w:r>
      <w:r w:rsidR="000C2B05">
        <w:rPr>
          <w:rFonts w:ascii="Times New Roman" w:hAnsi="Times New Roman" w:cs="Times New Roman"/>
          <w:sz w:val="24"/>
          <w:szCs w:val="24"/>
        </w:rPr>
        <w:t xml:space="preserve"> </w:t>
      </w:r>
    </w:p>
    <w:p w14:paraId="544F9FA2" w14:textId="322628DD" w:rsidR="00AE3A15" w:rsidRPr="00A46C0E" w:rsidRDefault="006019A4" w:rsidP="00621CB7">
      <w:pPr>
        <w:jc w:val="both"/>
        <w:rPr>
          <w:rFonts w:ascii="Times New Roman" w:hAnsi="Times New Roman" w:cs="Times New Roman"/>
          <w:sz w:val="24"/>
          <w:szCs w:val="24"/>
        </w:rPr>
      </w:pPr>
      <w:r>
        <w:rPr>
          <w:noProof/>
        </w:rPr>
        <w:drawing>
          <wp:inline distT="0" distB="0" distL="0" distR="0" wp14:anchorId="34F22731" wp14:editId="2D121458">
            <wp:extent cx="2827020" cy="2141220"/>
            <wp:effectExtent l="0" t="0" r="0" b="0"/>
            <wp:docPr id="13" name="Chart 13">
              <a:extLst xmlns:a="http://schemas.openxmlformats.org/drawingml/2006/main">
                <a:ext uri="{FF2B5EF4-FFF2-40B4-BE49-F238E27FC236}">
                  <a16:creationId xmlns:a16="http://schemas.microsoft.com/office/drawing/2014/main" id="{9C02F903-7826-4684-B613-263E3CD427C8}"/>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r>
        <w:rPr>
          <w:noProof/>
        </w:rPr>
        <w:drawing>
          <wp:inline distT="0" distB="0" distL="0" distR="0" wp14:anchorId="7CFA6226" wp14:editId="6DFF2091">
            <wp:extent cx="2773680" cy="2141220"/>
            <wp:effectExtent l="0" t="0" r="0" b="0"/>
            <wp:docPr id="14" name="Chart 14">
              <a:extLst xmlns:a="http://schemas.openxmlformats.org/drawingml/2006/main">
                <a:ext uri="{FF2B5EF4-FFF2-40B4-BE49-F238E27FC236}">
                  <a16:creationId xmlns:a16="http://schemas.microsoft.com/office/drawing/2014/main" id="{6D7EF903-A276-4934-91CF-724112A87C3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4715E2F" w14:textId="58A57BFB" w:rsidR="006019A4" w:rsidRDefault="006019A4" w:rsidP="006019A4">
      <w:pPr>
        <w:jc w:val="center"/>
        <w:rPr>
          <w:rFonts w:ascii="Times New Roman" w:hAnsi="Times New Roman" w:cs="Times New Roman"/>
          <w:sz w:val="24"/>
          <w:szCs w:val="24"/>
        </w:rPr>
      </w:pPr>
      <w:r>
        <w:rPr>
          <w:rFonts w:ascii="Times New Roman" w:hAnsi="Times New Roman" w:cs="Times New Roman"/>
          <w:sz w:val="24"/>
          <w:szCs w:val="24"/>
        </w:rPr>
        <w:t>Figure 05: Investor Ratios of Reckitt Benckiser Group plc.</w:t>
      </w:r>
    </w:p>
    <w:p w14:paraId="051B2F94" w14:textId="77777777" w:rsidR="00EB538D" w:rsidRDefault="00EB538D" w:rsidP="006019A4">
      <w:pPr>
        <w:jc w:val="center"/>
        <w:rPr>
          <w:rFonts w:ascii="Times New Roman" w:hAnsi="Times New Roman" w:cs="Times New Roman"/>
          <w:sz w:val="24"/>
          <w:szCs w:val="24"/>
        </w:rPr>
      </w:pPr>
    </w:p>
    <w:p w14:paraId="0DABE857" w14:textId="45F4E0C9" w:rsidR="00AE3A15" w:rsidRPr="00A46C0E" w:rsidRDefault="00F01F50" w:rsidP="00EB538D">
      <w:pPr>
        <w:spacing w:line="360" w:lineRule="auto"/>
        <w:jc w:val="both"/>
        <w:rPr>
          <w:rFonts w:ascii="Times New Roman" w:hAnsi="Times New Roman" w:cs="Times New Roman"/>
          <w:sz w:val="24"/>
          <w:szCs w:val="24"/>
        </w:rPr>
      </w:pPr>
      <w:r>
        <w:rPr>
          <w:rFonts w:ascii="Times New Roman" w:hAnsi="Times New Roman" w:cs="Times New Roman"/>
          <w:sz w:val="24"/>
          <w:szCs w:val="24"/>
        </w:rPr>
        <w:t>If we look at</w:t>
      </w:r>
      <w:r w:rsidR="006019A4">
        <w:rPr>
          <w:rFonts w:ascii="Times New Roman" w:hAnsi="Times New Roman" w:cs="Times New Roman"/>
          <w:sz w:val="24"/>
          <w:szCs w:val="24"/>
        </w:rPr>
        <w:t xml:space="preserve"> the above figure,</w:t>
      </w:r>
      <w:r>
        <w:rPr>
          <w:rFonts w:ascii="Times New Roman" w:hAnsi="Times New Roman" w:cs="Times New Roman"/>
          <w:sz w:val="24"/>
          <w:szCs w:val="24"/>
        </w:rPr>
        <w:t xml:space="preserve"> we can see that the attractiveness of Reckitt Benckiser Group plc in the view of equity investors </w:t>
      </w:r>
      <w:r w:rsidR="00D50DA2">
        <w:rPr>
          <w:rFonts w:ascii="Times New Roman" w:hAnsi="Times New Roman" w:cs="Times New Roman"/>
          <w:sz w:val="24"/>
          <w:szCs w:val="24"/>
        </w:rPr>
        <w:t>deteriorated</w:t>
      </w:r>
      <w:r>
        <w:rPr>
          <w:rFonts w:ascii="Times New Roman" w:hAnsi="Times New Roman" w:cs="Times New Roman"/>
          <w:sz w:val="24"/>
          <w:szCs w:val="24"/>
        </w:rPr>
        <w:t xml:space="preserve"> in </w:t>
      </w:r>
      <w:r w:rsidR="00EB538D">
        <w:rPr>
          <w:rFonts w:ascii="Times New Roman" w:hAnsi="Times New Roman" w:cs="Times New Roman"/>
          <w:sz w:val="24"/>
          <w:szCs w:val="24"/>
        </w:rPr>
        <w:t>2023,</w:t>
      </w:r>
      <w:r>
        <w:rPr>
          <w:rFonts w:ascii="Times New Roman" w:hAnsi="Times New Roman" w:cs="Times New Roman"/>
          <w:sz w:val="24"/>
          <w:szCs w:val="24"/>
        </w:rPr>
        <w:t xml:space="preserve"> and it is indicated by the downward movement. The basic EPS and dividend cover ratio of Reckitt Benckiser Group plc decreased in </w:t>
      </w:r>
      <w:r>
        <w:rPr>
          <w:rFonts w:ascii="Times New Roman" w:hAnsi="Times New Roman" w:cs="Times New Roman"/>
          <w:sz w:val="24"/>
          <w:szCs w:val="24"/>
        </w:rPr>
        <w:lastRenderedPageBreak/>
        <w:t xml:space="preserve">2023 compared to that of 2022. </w:t>
      </w:r>
      <w:r w:rsidR="00E645FA">
        <w:rPr>
          <w:rFonts w:ascii="Times New Roman" w:hAnsi="Times New Roman" w:cs="Times New Roman"/>
          <w:sz w:val="24"/>
          <w:szCs w:val="24"/>
        </w:rPr>
        <w:t xml:space="preserve">The dividend cover ratio of Reckitt Benckiser Group plc was 1.8655 in </w:t>
      </w:r>
      <w:r w:rsidR="00EB538D">
        <w:rPr>
          <w:rFonts w:ascii="Times New Roman" w:hAnsi="Times New Roman" w:cs="Times New Roman"/>
          <w:sz w:val="24"/>
          <w:szCs w:val="24"/>
        </w:rPr>
        <w:t>2022,</w:t>
      </w:r>
      <w:r w:rsidR="00E645FA">
        <w:rPr>
          <w:rFonts w:ascii="Times New Roman" w:hAnsi="Times New Roman" w:cs="Times New Roman"/>
          <w:sz w:val="24"/>
          <w:szCs w:val="24"/>
        </w:rPr>
        <w:t xml:space="preserve"> which is higher than 1.5 and indicates that the company has sufficient earnings to make dividend </w:t>
      </w:r>
      <w:r w:rsidR="00D50DA2">
        <w:rPr>
          <w:rFonts w:ascii="Times New Roman" w:hAnsi="Times New Roman" w:cs="Times New Roman"/>
          <w:sz w:val="24"/>
          <w:szCs w:val="24"/>
        </w:rPr>
        <w:t>payments</w:t>
      </w:r>
      <w:r w:rsidR="00E645FA">
        <w:rPr>
          <w:rFonts w:ascii="Times New Roman" w:hAnsi="Times New Roman" w:cs="Times New Roman"/>
          <w:sz w:val="24"/>
          <w:szCs w:val="24"/>
        </w:rPr>
        <w:t xml:space="preserve"> to its equity investors. But in 2023, </w:t>
      </w:r>
      <w:r w:rsidR="00FC1C16">
        <w:rPr>
          <w:rFonts w:ascii="Times New Roman" w:hAnsi="Times New Roman" w:cs="Times New Roman"/>
          <w:sz w:val="24"/>
          <w:szCs w:val="24"/>
        </w:rPr>
        <w:t xml:space="preserve">the value of this ratio shifted to 1.2270 which is lower than 1.5 and indicates that the company needs to improve its EPS. </w:t>
      </w:r>
    </w:p>
    <w:p w14:paraId="1F51DD70" w14:textId="5E918192" w:rsidR="00022A5E" w:rsidRDefault="00022A5E" w:rsidP="00EB53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identified the following reasons behind the downward movement in the investor ratios of Reckitt Benckiser Group plc. </w:t>
      </w:r>
    </w:p>
    <w:p w14:paraId="16FD06F5" w14:textId="6089EA25" w:rsidR="00AE3A15" w:rsidRDefault="00156B2E" w:rsidP="00EB538D">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Net profit of Reckitt Benckiser Group plc decreased in 2023 compared to that of 2022 while its number of </w:t>
      </w:r>
      <w:r w:rsidR="00667316">
        <w:rPr>
          <w:rFonts w:ascii="Times New Roman" w:hAnsi="Times New Roman" w:cs="Times New Roman"/>
          <w:sz w:val="24"/>
          <w:szCs w:val="24"/>
        </w:rPr>
        <w:t xml:space="preserve">ordinary shares </w:t>
      </w:r>
      <w:r>
        <w:rPr>
          <w:rFonts w:ascii="Times New Roman" w:hAnsi="Times New Roman" w:cs="Times New Roman"/>
          <w:sz w:val="24"/>
          <w:szCs w:val="24"/>
        </w:rPr>
        <w:t xml:space="preserve">outstanding increased. </w:t>
      </w:r>
    </w:p>
    <w:p w14:paraId="3FB1959E" w14:textId="4EBEB524" w:rsidR="00667316" w:rsidRPr="00156B2E" w:rsidRDefault="00667316" w:rsidP="00EB538D">
      <w:pPr>
        <w:pStyle w:val="ListParagraph"/>
        <w:numPr>
          <w:ilvl w:val="0"/>
          <w:numId w:val="40"/>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Dividend per share of Reckitt Benckiser Group </w:t>
      </w:r>
      <w:r w:rsidR="00EB538D">
        <w:rPr>
          <w:rFonts w:ascii="Times New Roman" w:hAnsi="Times New Roman" w:cs="Times New Roman"/>
          <w:sz w:val="24"/>
          <w:szCs w:val="24"/>
        </w:rPr>
        <w:t>plc</w:t>
      </w:r>
      <w:r>
        <w:rPr>
          <w:rFonts w:ascii="Times New Roman" w:hAnsi="Times New Roman" w:cs="Times New Roman"/>
          <w:sz w:val="24"/>
          <w:szCs w:val="24"/>
        </w:rPr>
        <w:t xml:space="preserve"> increased in 2023 by 12.21 pence while its EPS decreased in 2023 by 96.50 pence</w:t>
      </w:r>
      <w:r w:rsidR="00F7071F">
        <w:rPr>
          <w:rFonts w:ascii="Times New Roman" w:hAnsi="Times New Roman" w:cs="Times New Roman"/>
          <w:sz w:val="24"/>
          <w:szCs w:val="24"/>
        </w:rPr>
        <w:t xml:space="preserve">. As a result, the dividend cover ratio was shifted downward in 2023. </w:t>
      </w:r>
      <w:r>
        <w:rPr>
          <w:rFonts w:ascii="Times New Roman" w:hAnsi="Times New Roman" w:cs="Times New Roman"/>
          <w:sz w:val="24"/>
          <w:szCs w:val="24"/>
        </w:rPr>
        <w:t xml:space="preserve"> </w:t>
      </w:r>
    </w:p>
    <w:p w14:paraId="214860ED" w14:textId="539CDE61" w:rsidR="00E239B0" w:rsidRDefault="00E239B0" w:rsidP="00EB538D">
      <w:pPr>
        <w:pStyle w:val="Heading3"/>
        <w:spacing w:line="360" w:lineRule="auto"/>
        <w:rPr>
          <w:rFonts w:ascii="Times New Roman" w:hAnsi="Times New Roman" w:cs="Times New Roman"/>
          <w:b/>
          <w:bCs/>
          <w:color w:val="auto"/>
        </w:rPr>
      </w:pPr>
      <w:bookmarkStart w:id="5" w:name="_Toc187878300"/>
      <w:r w:rsidRPr="00EB538D">
        <w:rPr>
          <w:rFonts w:ascii="Times New Roman" w:hAnsi="Times New Roman" w:cs="Times New Roman"/>
          <w:b/>
          <w:bCs/>
          <w:color w:val="auto"/>
        </w:rPr>
        <w:t>1.2.6 Limitations of Ratio Analysis</w:t>
      </w:r>
      <w:bookmarkEnd w:id="5"/>
    </w:p>
    <w:p w14:paraId="1635A974" w14:textId="77777777" w:rsidR="00EB538D" w:rsidRPr="00EB538D" w:rsidRDefault="00EB538D" w:rsidP="00EB538D">
      <w:pPr>
        <w:spacing w:line="360" w:lineRule="auto"/>
      </w:pPr>
    </w:p>
    <w:p w14:paraId="587967CB" w14:textId="49F0BA0B" w:rsidR="006019A4" w:rsidRDefault="0062681A" w:rsidP="00EB53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Ratio analysis is a very useful tool to get a quick understanding of the financial performance and position of a business organization. This also </w:t>
      </w:r>
      <w:r w:rsidR="00377266">
        <w:rPr>
          <w:rFonts w:ascii="Times New Roman" w:hAnsi="Times New Roman" w:cs="Times New Roman"/>
          <w:sz w:val="24"/>
          <w:szCs w:val="24"/>
        </w:rPr>
        <w:t>helps an analyst to make a comparative analysis with other competitors of the same industry and to make a time series analysis for understanding the progress of a business organization</w:t>
      </w:r>
      <w:r w:rsidR="00223B3B">
        <w:rPr>
          <w:rFonts w:ascii="Times New Roman" w:hAnsi="Times New Roman" w:cs="Times New Roman"/>
          <w:sz w:val="24"/>
          <w:szCs w:val="24"/>
        </w:rPr>
        <w:t xml:space="preserve"> in response to time</w:t>
      </w:r>
      <w:r w:rsidR="00377266">
        <w:rPr>
          <w:rFonts w:ascii="Times New Roman" w:hAnsi="Times New Roman" w:cs="Times New Roman"/>
          <w:sz w:val="24"/>
          <w:szCs w:val="24"/>
        </w:rPr>
        <w:t xml:space="preserve">. </w:t>
      </w:r>
      <w:r w:rsidR="00EB538D">
        <w:rPr>
          <w:rFonts w:ascii="Times New Roman" w:hAnsi="Times New Roman" w:cs="Times New Roman"/>
          <w:sz w:val="24"/>
          <w:szCs w:val="24"/>
        </w:rPr>
        <w:t>However,</w:t>
      </w:r>
      <w:r w:rsidR="00377266">
        <w:rPr>
          <w:rFonts w:ascii="Times New Roman" w:hAnsi="Times New Roman" w:cs="Times New Roman"/>
          <w:sz w:val="24"/>
          <w:szCs w:val="24"/>
        </w:rPr>
        <w:t xml:space="preserve"> the ratio analysis has some </w:t>
      </w:r>
      <w:r w:rsidR="00223B3B">
        <w:rPr>
          <w:rFonts w:ascii="Times New Roman" w:hAnsi="Times New Roman" w:cs="Times New Roman"/>
          <w:sz w:val="24"/>
          <w:szCs w:val="24"/>
        </w:rPr>
        <w:t xml:space="preserve">key </w:t>
      </w:r>
      <w:r w:rsidR="00377266">
        <w:rPr>
          <w:rFonts w:ascii="Times New Roman" w:hAnsi="Times New Roman" w:cs="Times New Roman"/>
          <w:sz w:val="24"/>
          <w:szCs w:val="24"/>
        </w:rPr>
        <w:t>limitations</w:t>
      </w:r>
      <w:r w:rsidR="00223B3B">
        <w:rPr>
          <w:rFonts w:ascii="Times New Roman" w:hAnsi="Times New Roman" w:cs="Times New Roman"/>
          <w:sz w:val="24"/>
          <w:szCs w:val="24"/>
        </w:rPr>
        <w:t xml:space="preserve">. Such as: </w:t>
      </w:r>
    </w:p>
    <w:p w14:paraId="5CD35463" w14:textId="7D096006" w:rsidR="00674614" w:rsidRPr="00EB538D" w:rsidRDefault="00674614"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Lack of Standard Value:</w:t>
      </w:r>
      <w:r w:rsidRPr="00EB538D">
        <w:rPr>
          <w:rFonts w:ascii="Times New Roman" w:hAnsi="Times New Roman" w:cs="Times New Roman"/>
          <w:sz w:val="24"/>
          <w:szCs w:val="24"/>
        </w:rPr>
        <w:t xml:space="preserve"> Except </w:t>
      </w:r>
      <w:r w:rsidR="00D2427B" w:rsidRPr="00EB538D">
        <w:rPr>
          <w:rFonts w:ascii="Times New Roman" w:hAnsi="Times New Roman" w:cs="Times New Roman"/>
          <w:sz w:val="24"/>
          <w:szCs w:val="24"/>
        </w:rPr>
        <w:t xml:space="preserve">for </w:t>
      </w:r>
      <w:r w:rsidRPr="00EB538D">
        <w:rPr>
          <w:rFonts w:ascii="Times New Roman" w:hAnsi="Times New Roman" w:cs="Times New Roman"/>
          <w:sz w:val="24"/>
          <w:szCs w:val="24"/>
        </w:rPr>
        <w:t xml:space="preserve">some ratios, most of the ratios don’t have </w:t>
      </w:r>
      <w:r w:rsidR="00EB538D">
        <w:rPr>
          <w:rFonts w:ascii="Times New Roman" w:hAnsi="Times New Roman" w:cs="Times New Roman"/>
          <w:sz w:val="24"/>
          <w:szCs w:val="24"/>
        </w:rPr>
        <w:t xml:space="preserve">a </w:t>
      </w:r>
      <w:r w:rsidRPr="00EB538D">
        <w:rPr>
          <w:rFonts w:ascii="Times New Roman" w:hAnsi="Times New Roman" w:cs="Times New Roman"/>
          <w:sz w:val="24"/>
          <w:szCs w:val="24"/>
        </w:rPr>
        <w:t xml:space="preserve">standard value. Therefore, the analyst faces </w:t>
      </w:r>
      <w:r w:rsidR="00540EBE" w:rsidRPr="00EB538D">
        <w:rPr>
          <w:rFonts w:ascii="Times New Roman" w:hAnsi="Times New Roman" w:cs="Times New Roman"/>
          <w:sz w:val="24"/>
          <w:szCs w:val="24"/>
        </w:rPr>
        <w:t xml:space="preserve">the </w:t>
      </w:r>
      <w:r w:rsidRPr="00EB538D">
        <w:rPr>
          <w:rFonts w:ascii="Times New Roman" w:hAnsi="Times New Roman" w:cs="Times New Roman"/>
          <w:sz w:val="24"/>
          <w:szCs w:val="24"/>
        </w:rPr>
        <w:t xml:space="preserve">complexity </w:t>
      </w:r>
      <w:r w:rsidR="00D2427B" w:rsidRPr="00EB538D">
        <w:rPr>
          <w:rFonts w:ascii="Times New Roman" w:hAnsi="Times New Roman" w:cs="Times New Roman"/>
          <w:sz w:val="24"/>
          <w:szCs w:val="24"/>
        </w:rPr>
        <w:t>of commenting</w:t>
      </w:r>
      <w:r w:rsidRPr="00EB538D">
        <w:rPr>
          <w:rFonts w:ascii="Times New Roman" w:hAnsi="Times New Roman" w:cs="Times New Roman"/>
          <w:sz w:val="24"/>
          <w:szCs w:val="24"/>
        </w:rPr>
        <w:t xml:space="preserve"> on the performance of a firm based on ratio analysis</w:t>
      </w:r>
      <w:r w:rsidR="00EC2851" w:rsidRPr="00EB538D">
        <w:rPr>
          <w:rFonts w:ascii="Times New Roman" w:hAnsi="Times New Roman" w:cs="Times New Roman"/>
          <w:sz w:val="24"/>
          <w:szCs w:val="24"/>
        </w:rPr>
        <w:t xml:space="preserve"> (Paton, 1928)</w:t>
      </w:r>
      <w:r w:rsidRPr="00EB538D">
        <w:rPr>
          <w:rFonts w:ascii="Times New Roman" w:hAnsi="Times New Roman" w:cs="Times New Roman"/>
          <w:sz w:val="24"/>
          <w:szCs w:val="24"/>
        </w:rPr>
        <w:t xml:space="preserve">. </w:t>
      </w:r>
    </w:p>
    <w:p w14:paraId="5FF0771A" w14:textId="594CB696" w:rsidR="00674614" w:rsidRPr="00EB538D" w:rsidRDefault="00674614"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Considers Quantitative Factors Only:</w:t>
      </w:r>
      <w:r w:rsidRPr="00EB538D">
        <w:rPr>
          <w:rFonts w:ascii="Times New Roman" w:hAnsi="Times New Roman" w:cs="Times New Roman"/>
          <w:sz w:val="24"/>
          <w:szCs w:val="24"/>
        </w:rPr>
        <w:t xml:space="preserve"> </w:t>
      </w:r>
      <w:r w:rsidR="00C00162" w:rsidRPr="00EB538D">
        <w:rPr>
          <w:rFonts w:ascii="Times New Roman" w:hAnsi="Times New Roman" w:cs="Times New Roman"/>
          <w:sz w:val="24"/>
          <w:szCs w:val="24"/>
        </w:rPr>
        <w:t xml:space="preserve">Ratio analysis considers only quantitative factors. In some situations, the quantitative factors may be misleading. Therefore, instead of focusing only on the output of ratio analysis, the analysts also consider the qualitative factors for forming informed </w:t>
      </w:r>
      <w:r w:rsidR="00D2427B" w:rsidRPr="00EB538D">
        <w:rPr>
          <w:rFonts w:ascii="Times New Roman" w:hAnsi="Times New Roman" w:cs="Times New Roman"/>
          <w:sz w:val="24"/>
          <w:szCs w:val="24"/>
        </w:rPr>
        <w:t>judgment</w:t>
      </w:r>
      <w:r w:rsidR="00EC2851" w:rsidRPr="00EB538D">
        <w:rPr>
          <w:rFonts w:ascii="Times New Roman" w:hAnsi="Times New Roman" w:cs="Times New Roman"/>
          <w:sz w:val="24"/>
          <w:szCs w:val="24"/>
        </w:rPr>
        <w:t xml:space="preserve"> (</w:t>
      </w:r>
      <w:proofErr w:type="spellStart"/>
      <w:r w:rsidR="00EC2851" w:rsidRPr="00EB538D">
        <w:rPr>
          <w:rFonts w:ascii="Times New Roman" w:hAnsi="Times New Roman" w:cs="Times New Roman"/>
          <w:sz w:val="24"/>
          <w:szCs w:val="24"/>
        </w:rPr>
        <w:t>Faello</w:t>
      </w:r>
      <w:proofErr w:type="spellEnd"/>
      <w:r w:rsidR="00EC2851" w:rsidRPr="00EB538D">
        <w:rPr>
          <w:rFonts w:ascii="Times New Roman" w:hAnsi="Times New Roman" w:cs="Times New Roman"/>
          <w:sz w:val="24"/>
          <w:szCs w:val="24"/>
        </w:rPr>
        <w:t>, 2015)</w:t>
      </w:r>
      <w:r w:rsidR="00C00162" w:rsidRPr="00EB538D">
        <w:rPr>
          <w:rFonts w:ascii="Times New Roman" w:hAnsi="Times New Roman" w:cs="Times New Roman"/>
          <w:sz w:val="24"/>
          <w:szCs w:val="24"/>
        </w:rPr>
        <w:t xml:space="preserve">. </w:t>
      </w:r>
    </w:p>
    <w:p w14:paraId="56D88C6A" w14:textId="5479F818" w:rsidR="002D5E94" w:rsidRPr="00EB538D" w:rsidRDefault="002D5E94"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Dependency on The Information of The Financial Statements:</w:t>
      </w:r>
      <w:r w:rsidRPr="00EB538D">
        <w:rPr>
          <w:rFonts w:ascii="Times New Roman" w:hAnsi="Times New Roman" w:cs="Times New Roman"/>
          <w:sz w:val="24"/>
          <w:szCs w:val="24"/>
        </w:rPr>
        <w:t xml:space="preserve"> If the financial statements of a company </w:t>
      </w:r>
      <w:r w:rsidR="007D171D" w:rsidRPr="00EB538D">
        <w:rPr>
          <w:rFonts w:ascii="Times New Roman" w:hAnsi="Times New Roman" w:cs="Times New Roman"/>
          <w:sz w:val="24"/>
          <w:szCs w:val="24"/>
        </w:rPr>
        <w:t>contain</w:t>
      </w:r>
      <w:r w:rsidRPr="00EB538D">
        <w:rPr>
          <w:rFonts w:ascii="Times New Roman" w:hAnsi="Times New Roman" w:cs="Times New Roman"/>
          <w:sz w:val="24"/>
          <w:szCs w:val="24"/>
        </w:rPr>
        <w:t xml:space="preserve"> wrong information </w:t>
      </w:r>
      <w:r w:rsidR="007D171D" w:rsidRPr="00EB538D">
        <w:rPr>
          <w:rFonts w:ascii="Times New Roman" w:hAnsi="Times New Roman" w:cs="Times New Roman"/>
          <w:sz w:val="24"/>
          <w:szCs w:val="24"/>
        </w:rPr>
        <w:t xml:space="preserve">about a company, then the ratio calculated from these </w:t>
      </w:r>
      <w:r w:rsidR="007D171D" w:rsidRPr="00EB538D">
        <w:rPr>
          <w:rFonts w:ascii="Times New Roman" w:hAnsi="Times New Roman" w:cs="Times New Roman"/>
          <w:sz w:val="24"/>
          <w:szCs w:val="24"/>
        </w:rPr>
        <w:lastRenderedPageBreak/>
        <w:t xml:space="preserve">financial statements will also give wrong insights </w:t>
      </w:r>
      <w:r w:rsidR="00EB538D" w:rsidRPr="00EB538D">
        <w:rPr>
          <w:rFonts w:ascii="Times New Roman" w:hAnsi="Times New Roman" w:cs="Times New Roman"/>
          <w:sz w:val="24"/>
          <w:szCs w:val="24"/>
        </w:rPr>
        <w:t>into</w:t>
      </w:r>
      <w:r w:rsidR="007D171D" w:rsidRPr="00EB538D">
        <w:rPr>
          <w:rFonts w:ascii="Times New Roman" w:hAnsi="Times New Roman" w:cs="Times New Roman"/>
          <w:sz w:val="24"/>
          <w:szCs w:val="24"/>
        </w:rPr>
        <w:t xml:space="preserve"> that company</w:t>
      </w:r>
      <w:r w:rsidR="00EC2851" w:rsidRPr="00EB538D">
        <w:rPr>
          <w:rFonts w:ascii="Times New Roman" w:hAnsi="Times New Roman" w:cs="Times New Roman"/>
          <w:sz w:val="24"/>
          <w:szCs w:val="24"/>
        </w:rPr>
        <w:t xml:space="preserve"> (White, Sondhi &amp; Fried, 2002)</w:t>
      </w:r>
      <w:r w:rsidR="007D171D" w:rsidRPr="00EB538D">
        <w:rPr>
          <w:rFonts w:ascii="Times New Roman" w:hAnsi="Times New Roman" w:cs="Times New Roman"/>
          <w:sz w:val="24"/>
          <w:szCs w:val="24"/>
        </w:rPr>
        <w:t xml:space="preserve">. </w:t>
      </w:r>
    </w:p>
    <w:p w14:paraId="707BAE72" w14:textId="77777777" w:rsidR="00674614" w:rsidRDefault="00674614" w:rsidP="00EB538D">
      <w:pPr>
        <w:spacing w:line="276" w:lineRule="auto"/>
        <w:jc w:val="both"/>
        <w:rPr>
          <w:rFonts w:ascii="Times New Roman" w:hAnsi="Times New Roman" w:cs="Times New Roman"/>
          <w:sz w:val="24"/>
          <w:szCs w:val="24"/>
        </w:rPr>
      </w:pPr>
    </w:p>
    <w:p w14:paraId="67DF0483" w14:textId="54BF7D23" w:rsidR="007D171D" w:rsidRPr="00EB538D" w:rsidRDefault="007D171D" w:rsidP="00EB538D">
      <w:pPr>
        <w:pStyle w:val="Heading2"/>
        <w:spacing w:line="360" w:lineRule="auto"/>
        <w:rPr>
          <w:rFonts w:ascii="Times New Roman" w:hAnsi="Times New Roman" w:cs="Times New Roman"/>
          <w:b/>
          <w:bCs/>
          <w:color w:val="auto"/>
          <w:sz w:val="28"/>
          <w:szCs w:val="28"/>
        </w:rPr>
      </w:pPr>
      <w:bookmarkStart w:id="6" w:name="_Toc187878301"/>
      <w:r w:rsidRPr="00EB538D">
        <w:rPr>
          <w:rFonts w:ascii="Times New Roman" w:hAnsi="Times New Roman" w:cs="Times New Roman"/>
          <w:b/>
          <w:bCs/>
          <w:color w:val="auto"/>
          <w:sz w:val="28"/>
          <w:szCs w:val="28"/>
        </w:rPr>
        <w:t xml:space="preserve">1.3 Ways to Improve </w:t>
      </w:r>
      <w:r w:rsidR="00EB538D" w:rsidRPr="00EB538D">
        <w:rPr>
          <w:rFonts w:ascii="Times New Roman" w:hAnsi="Times New Roman" w:cs="Times New Roman"/>
          <w:b/>
          <w:bCs/>
          <w:color w:val="auto"/>
          <w:sz w:val="28"/>
          <w:szCs w:val="28"/>
        </w:rPr>
        <w:t>the</w:t>
      </w:r>
      <w:r w:rsidRPr="00EB538D">
        <w:rPr>
          <w:rFonts w:ascii="Times New Roman" w:hAnsi="Times New Roman" w:cs="Times New Roman"/>
          <w:b/>
          <w:bCs/>
          <w:color w:val="auto"/>
          <w:sz w:val="28"/>
          <w:szCs w:val="28"/>
        </w:rPr>
        <w:t xml:space="preserve"> Financial Management of Reckitt Benckiser Group Plc</w:t>
      </w:r>
      <w:bookmarkEnd w:id="6"/>
      <w:r w:rsidRPr="00EB538D">
        <w:rPr>
          <w:rFonts w:ascii="Times New Roman" w:hAnsi="Times New Roman" w:cs="Times New Roman"/>
          <w:b/>
          <w:bCs/>
          <w:color w:val="auto"/>
          <w:sz w:val="28"/>
          <w:szCs w:val="28"/>
        </w:rPr>
        <w:t xml:space="preserve">   </w:t>
      </w:r>
    </w:p>
    <w:p w14:paraId="74BF4264" w14:textId="090B644B" w:rsidR="00DF751C" w:rsidRDefault="003D3B3E" w:rsidP="00EB538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Reckitt Benckiser Group plc has a good reputation in the international </w:t>
      </w:r>
      <w:r w:rsidR="00EB538D">
        <w:rPr>
          <w:rFonts w:ascii="Times New Roman" w:hAnsi="Times New Roman" w:cs="Times New Roman"/>
          <w:sz w:val="24"/>
          <w:szCs w:val="24"/>
        </w:rPr>
        <w:t>arena,</w:t>
      </w:r>
      <w:r>
        <w:rPr>
          <w:rFonts w:ascii="Times New Roman" w:hAnsi="Times New Roman" w:cs="Times New Roman"/>
          <w:sz w:val="24"/>
          <w:szCs w:val="24"/>
        </w:rPr>
        <w:t xml:space="preserve"> and it is reflected in its share price. Recently, there </w:t>
      </w:r>
      <w:r w:rsidR="00540EBE">
        <w:rPr>
          <w:rFonts w:ascii="Times New Roman" w:hAnsi="Times New Roman" w:cs="Times New Roman"/>
          <w:sz w:val="24"/>
          <w:szCs w:val="24"/>
        </w:rPr>
        <w:t>has been</w:t>
      </w:r>
      <w:r>
        <w:rPr>
          <w:rFonts w:ascii="Times New Roman" w:hAnsi="Times New Roman" w:cs="Times New Roman"/>
          <w:sz w:val="24"/>
          <w:szCs w:val="24"/>
        </w:rPr>
        <w:t xml:space="preserve"> an upward trend in the share price of Reckitt Benckiser Group plc</w:t>
      </w:r>
      <w:r w:rsidR="00BE2CB9">
        <w:rPr>
          <w:rFonts w:ascii="Times New Roman" w:hAnsi="Times New Roman" w:cs="Times New Roman"/>
          <w:sz w:val="24"/>
          <w:szCs w:val="24"/>
        </w:rPr>
        <w:t xml:space="preserve"> and the share price of the company is 4,950 GBX on 10</w:t>
      </w:r>
      <w:r w:rsidR="00BE2CB9" w:rsidRPr="00BE2CB9">
        <w:rPr>
          <w:rFonts w:ascii="Times New Roman" w:hAnsi="Times New Roman" w:cs="Times New Roman"/>
          <w:sz w:val="24"/>
          <w:szCs w:val="24"/>
          <w:vertAlign w:val="superscript"/>
        </w:rPr>
        <w:t>th</w:t>
      </w:r>
      <w:r w:rsidR="00BE2CB9">
        <w:rPr>
          <w:rFonts w:ascii="Times New Roman" w:hAnsi="Times New Roman" w:cs="Times New Roman"/>
          <w:sz w:val="24"/>
          <w:szCs w:val="24"/>
        </w:rPr>
        <w:t xml:space="preserve"> January 2025. </w:t>
      </w:r>
      <w:r w:rsidR="00D2427B">
        <w:rPr>
          <w:rFonts w:ascii="Times New Roman" w:hAnsi="Times New Roman" w:cs="Times New Roman"/>
          <w:sz w:val="24"/>
          <w:szCs w:val="24"/>
        </w:rPr>
        <w:t>However</w:t>
      </w:r>
      <w:r w:rsidR="003C3094">
        <w:rPr>
          <w:rFonts w:ascii="Times New Roman" w:hAnsi="Times New Roman" w:cs="Times New Roman"/>
          <w:sz w:val="24"/>
          <w:szCs w:val="24"/>
        </w:rPr>
        <w:t>,</w:t>
      </w:r>
      <w:r w:rsidR="00BE2CB9">
        <w:rPr>
          <w:rFonts w:ascii="Times New Roman" w:hAnsi="Times New Roman" w:cs="Times New Roman"/>
          <w:sz w:val="24"/>
          <w:szCs w:val="24"/>
        </w:rPr>
        <w:t xml:space="preserve"> the ratio analysis shows that in the financial year of 2023 (</w:t>
      </w:r>
      <w:r w:rsidR="003C3094">
        <w:rPr>
          <w:rFonts w:ascii="Times New Roman" w:hAnsi="Times New Roman" w:cs="Times New Roman"/>
          <w:sz w:val="24"/>
          <w:szCs w:val="24"/>
        </w:rPr>
        <w:t xml:space="preserve">which </w:t>
      </w:r>
      <w:r w:rsidR="00BE2CB9">
        <w:rPr>
          <w:rFonts w:ascii="Times New Roman" w:hAnsi="Times New Roman" w:cs="Times New Roman"/>
          <w:sz w:val="24"/>
          <w:szCs w:val="24"/>
        </w:rPr>
        <w:t xml:space="preserve">ended </w:t>
      </w:r>
      <w:r w:rsidR="00D2427B">
        <w:rPr>
          <w:rFonts w:ascii="Times New Roman" w:hAnsi="Times New Roman" w:cs="Times New Roman"/>
          <w:sz w:val="24"/>
          <w:szCs w:val="24"/>
        </w:rPr>
        <w:t>on</w:t>
      </w:r>
      <w:r w:rsidR="00BE2CB9">
        <w:rPr>
          <w:rFonts w:ascii="Times New Roman" w:hAnsi="Times New Roman" w:cs="Times New Roman"/>
          <w:sz w:val="24"/>
          <w:szCs w:val="24"/>
        </w:rPr>
        <w:t xml:space="preserve"> 31 December 2023), the company faced some problems in profitability, liquidity, gearing, efficiency</w:t>
      </w:r>
      <w:r w:rsidR="00D2427B">
        <w:rPr>
          <w:rFonts w:ascii="Times New Roman" w:hAnsi="Times New Roman" w:cs="Times New Roman"/>
          <w:sz w:val="24"/>
          <w:szCs w:val="24"/>
        </w:rPr>
        <w:t>,</w:t>
      </w:r>
      <w:r w:rsidR="00E013C0">
        <w:rPr>
          <w:rFonts w:ascii="Times New Roman" w:hAnsi="Times New Roman" w:cs="Times New Roman"/>
          <w:sz w:val="24"/>
          <w:szCs w:val="24"/>
        </w:rPr>
        <w:t xml:space="preserve"> and investor return metrics. To improve the financial management of Reckitt Benckiser Group plc, I will recommend the following strategies: </w:t>
      </w:r>
    </w:p>
    <w:p w14:paraId="1BEAE292" w14:textId="2F51BF0B" w:rsidR="00E013C0" w:rsidRPr="00EB538D" w:rsidRDefault="008604C6"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Ensure Operational Efficiency:</w:t>
      </w:r>
      <w:r w:rsidR="000679E5" w:rsidRPr="00EB538D">
        <w:rPr>
          <w:rFonts w:ascii="Times New Roman" w:hAnsi="Times New Roman" w:cs="Times New Roman"/>
          <w:sz w:val="24"/>
          <w:szCs w:val="24"/>
        </w:rPr>
        <w:t xml:space="preserve"> The operating profit margin indicates that Reckitt Benckiser Group plc is inefficient in maintaining its operating expenses. And the increase in operating expenses causes </w:t>
      </w:r>
      <w:r w:rsidR="00D2427B" w:rsidRPr="00EB538D">
        <w:rPr>
          <w:rFonts w:ascii="Times New Roman" w:hAnsi="Times New Roman" w:cs="Times New Roman"/>
          <w:sz w:val="24"/>
          <w:szCs w:val="24"/>
        </w:rPr>
        <w:t>a</w:t>
      </w:r>
      <w:r w:rsidR="000679E5" w:rsidRPr="00EB538D">
        <w:rPr>
          <w:rFonts w:ascii="Times New Roman" w:hAnsi="Times New Roman" w:cs="Times New Roman"/>
          <w:sz w:val="24"/>
          <w:szCs w:val="24"/>
        </w:rPr>
        <w:t xml:space="preserve"> downward movement in the operating profit margin of 2023. In this regard, it can ensure more control over operating expenses and will be able to generate a healthy operating profit</w:t>
      </w:r>
      <w:r w:rsidR="00EC2851" w:rsidRPr="00EB538D">
        <w:rPr>
          <w:rFonts w:ascii="Times New Roman" w:hAnsi="Times New Roman" w:cs="Times New Roman"/>
          <w:sz w:val="24"/>
          <w:szCs w:val="24"/>
        </w:rPr>
        <w:t xml:space="preserve"> (</w:t>
      </w:r>
      <w:proofErr w:type="spellStart"/>
      <w:r w:rsidR="00EC2851" w:rsidRPr="00EB538D">
        <w:rPr>
          <w:rFonts w:ascii="Times New Roman" w:hAnsi="Times New Roman" w:cs="Times New Roman"/>
          <w:sz w:val="24"/>
          <w:szCs w:val="24"/>
        </w:rPr>
        <w:t>Stupnytska</w:t>
      </w:r>
      <w:proofErr w:type="spellEnd"/>
      <w:r w:rsidR="00EC2851" w:rsidRPr="00EB538D">
        <w:rPr>
          <w:rFonts w:ascii="Times New Roman" w:hAnsi="Times New Roman" w:cs="Times New Roman"/>
          <w:sz w:val="24"/>
          <w:szCs w:val="24"/>
        </w:rPr>
        <w:t xml:space="preserve">, </w:t>
      </w:r>
      <w:proofErr w:type="spellStart"/>
      <w:r w:rsidR="00EC2851" w:rsidRPr="00EB538D">
        <w:rPr>
          <w:rFonts w:ascii="Times New Roman" w:hAnsi="Times New Roman" w:cs="Times New Roman"/>
          <w:sz w:val="24"/>
          <w:szCs w:val="24"/>
        </w:rPr>
        <w:t>Kalaman</w:t>
      </w:r>
      <w:proofErr w:type="spellEnd"/>
      <w:r w:rsidR="00EC2851" w:rsidRPr="00EB538D">
        <w:rPr>
          <w:rFonts w:ascii="Times New Roman" w:hAnsi="Times New Roman" w:cs="Times New Roman"/>
          <w:sz w:val="24"/>
          <w:szCs w:val="24"/>
        </w:rPr>
        <w:t xml:space="preserve"> &amp; Markova, 2019)</w:t>
      </w:r>
      <w:r w:rsidR="000679E5" w:rsidRPr="00EB538D">
        <w:rPr>
          <w:rFonts w:ascii="Times New Roman" w:hAnsi="Times New Roman" w:cs="Times New Roman"/>
          <w:sz w:val="24"/>
          <w:szCs w:val="24"/>
        </w:rPr>
        <w:t xml:space="preserve">. </w:t>
      </w:r>
    </w:p>
    <w:p w14:paraId="00975DB2" w14:textId="53B19A46" w:rsidR="00002D65" w:rsidRPr="00EB538D" w:rsidRDefault="00002D65"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Invest in Working Capital:</w:t>
      </w:r>
      <w:r w:rsidRPr="00EB538D">
        <w:rPr>
          <w:rFonts w:ascii="Times New Roman" w:hAnsi="Times New Roman" w:cs="Times New Roman"/>
          <w:sz w:val="24"/>
          <w:szCs w:val="24"/>
        </w:rPr>
        <w:t xml:space="preserve"> </w:t>
      </w:r>
      <w:r w:rsidR="00770746" w:rsidRPr="00EB538D">
        <w:rPr>
          <w:rFonts w:ascii="Times New Roman" w:hAnsi="Times New Roman" w:cs="Times New Roman"/>
          <w:sz w:val="24"/>
          <w:szCs w:val="24"/>
        </w:rPr>
        <w:t xml:space="preserve">The liquidity analysis conducted using </w:t>
      </w:r>
      <w:r w:rsidR="00D2427B" w:rsidRPr="00EB538D">
        <w:rPr>
          <w:rFonts w:ascii="Times New Roman" w:hAnsi="Times New Roman" w:cs="Times New Roman"/>
          <w:sz w:val="24"/>
          <w:szCs w:val="24"/>
        </w:rPr>
        <w:t xml:space="preserve">the </w:t>
      </w:r>
      <w:r w:rsidR="00770746" w:rsidRPr="00EB538D">
        <w:rPr>
          <w:rFonts w:ascii="Times New Roman" w:hAnsi="Times New Roman" w:cs="Times New Roman"/>
          <w:sz w:val="24"/>
          <w:szCs w:val="24"/>
        </w:rPr>
        <w:t xml:space="preserve">current ratio &amp; quick ratio indicates that Reckitt Benckiser Group plc is not keeping sufficient current assets against current liabilities. As a result, there is a possibility that the company may </w:t>
      </w:r>
      <w:r w:rsidR="00D2427B" w:rsidRPr="00EB538D">
        <w:rPr>
          <w:rFonts w:ascii="Times New Roman" w:hAnsi="Times New Roman" w:cs="Times New Roman"/>
          <w:sz w:val="24"/>
          <w:szCs w:val="24"/>
        </w:rPr>
        <w:t>default</w:t>
      </w:r>
      <w:r w:rsidR="00770746" w:rsidRPr="00EB538D">
        <w:rPr>
          <w:rFonts w:ascii="Times New Roman" w:hAnsi="Times New Roman" w:cs="Times New Roman"/>
          <w:sz w:val="24"/>
          <w:szCs w:val="24"/>
        </w:rPr>
        <w:t xml:space="preserve"> in </w:t>
      </w:r>
      <w:r w:rsidR="00D2427B" w:rsidRPr="00EB538D">
        <w:rPr>
          <w:rFonts w:ascii="Times New Roman" w:hAnsi="Times New Roman" w:cs="Times New Roman"/>
          <w:sz w:val="24"/>
          <w:szCs w:val="24"/>
        </w:rPr>
        <w:t xml:space="preserve">the </w:t>
      </w:r>
      <w:r w:rsidR="00770746" w:rsidRPr="00EB538D">
        <w:rPr>
          <w:rFonts w:ascii="Times New Roman" w:hAnsi="Times New Roman" w:cs="Times New Roman"/>
          <w:sz w:val="24"/>
          <w:szCs w:val="24"/>
        </w:rPr>
        <w:t xml:space="preserve">long run to meet the current liabilities. In this regard, the directors of the company can invest more </w:t>
      </w:r>
      <w:r w:rsidR="003C3094" w:rsidRPr="00EB538D">
        <w:rPr>
          <w:rFonts w:ascii="Times New Roman" w:hAnsi="Times New Roman" w:cs="Times New Roman"/>
          <w:sz w:val="24"/>
          <w:szCs w:val="24"/>
        </w:rPr>
        <w:t>in</w:t>
      </w:r>
      <w:r w:rsidR="00770746" w:rsidRPr="00EB538D">
        <w:rPr>
          <w:rFonts w:ascii="Times New Roman" w:hAnsi="Times New Roman" w:cs="Times New Roman"/>
          <w:sz w:val="24"/>
          <w:szCs w:val="24"/>
        </w:rPr>
        <w:t xml:space="preserve"> working capital to enhance its current assets</w:t>
      </w:r>
      <w:r w:rsidR="00EC2851" w:rsidRPr="00EB538D">
        <w:rPr>
          <w:rFonts w:ascii="Times New Roman" w:hAnsi="Times New Roman" w:cs="Times New Roman"/>
          <w:sz w:val="24"/>
          <w:szCs w:val="24"/>
        </w:rPr>
        <w:t xml:space="preserve"> (Sagner, 2010)</w:t>
      </w:r>
      <w:r w:rsidR="00770746" w:rsidRPr="00EB538D">
        <w:rPr>
          <w:rFonts w:ascii="Times New Roman" w:hAnsi="Times New Roman" w:cs="Times New Roman"/>
          <w:sz w:val="24"/>
          <w:szCs w:val="24"/>
        </w:rPr>
        <w:t xml:space="preserve">.  </w:t>
      </w:r>
    </w:p>
    <w:p w14:paraId="70F2C60E" w14:textId="4545DDB2" w:rsidR="00C84E70" w:rsidRPr="00EB538D" w:rsidRDefault="00770746"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 xml:space="preserve">Reduce </w:t>
      </w:r>
      <w:r w:rsidR="005005D6" w:rsidRPr="00EB538D">
        <w:rPr>
          <w:rFonts w:ascii="Times New Roman" w:hAnsi="Times New Roman" w:cs="Times New Roman"/>
          <w:b/>
          <w:bCs/>
          <w:sz w:val="24"/>
          <w:szCs w:val="24"/>
        </w:rPr>
        <w:t>Debt Capital in The Capital Structure:</w:t>
      </w:r>
      <w:r w:rsidR="005005D6" w:rsidRPr="00EB538D">
        <w:rPr>
          <w:rFonts w:ascii="Times New Roman" w:hAnsi="Times New Roman" w:cs="Times New Roman"/>
          <w:sz w:val="24"/>
          <w:szCs w:val="24"/>
        </w:rPr>
        <w:t xml:space="preserve"> The interest coverage ratio </w:t>
      </w:r>
      <w:r w:rsidR="00264654" w:rsidRPr="00EB538D">
        <w:rPr>
          <w:rFonts w:ascii="Times New Roman" w:hAnsi="Times New Roman" w:cs="Times New Roman"/>
          <w:sz w:val="24"/>
          <w:szCs w:val="24"/>
        </w:rPr>
        <w:t xml:space="preserve">indicates that </w:t>
      </w:r>
      <w:r w:rsidR="007B3B8D" w:rsidRPr="00EB538D">
        <w:rPr>
          <w:rFonts w:ascii="Times New Roman" w:hAnsi="Times New Roman" w:cs="Times New Roman"/>
          <w:sz w:val="24"/>
          <w:szCs w:val="24"/>
        </w:rPr>
        <w:t xml:space="preserve">the </w:t>
      </w:r>
      <w:r w:rsidR="00264654" w:rsidRPr="00EB538D">
        <w:rPr>
          <w:rFonts w:ascii="Times New Roman" w:hAnsi="Times New Roman" w:cs="Times New Roman"/>
          <w:sz w:val="24"/>
          <w:szCs w:val="24"/>
        </w:rPr>
        <w:t xml:space="preserve">interest payment requirement of Reckitt Benckiser Group plc </w:t>
      </w:r>
      <w:r w:rsidR="00EB538D" w:rsidRPr="00EB538D">
        <w:rPr>
          <w:rFonts w:ascii="Times New Roman" w:hAnsi="Times New Roman" w:cs="Times New Roman"/>
          <w:sz w:val="24"/>
          <w:szCs w:val="24"/>
        </w:rPr>
        <w:t>increased</w:t>
      </w:r>
      <w:r w:rsidR="00264654" w:rsidRPr="00EB538D">
        <w:rPr>
          <w:rFonts w:ascii="Times New Roman" w:hAnsi="Times New Roman" w:cs="Times New Roman"/>
          <w:sz w:val="24"/>
          <w:szCs w:val="24"/>
        </w:rPr>
        <w:t xml:space="preserve"> in </w:t>
      </w:r>
      <w:r w:rsidR="002460A2" w:rsidRPr="00EB538D">
        <w:rPr>
          <w:rFonts w:ascii="Times New Roman" w:hAnsi="Times New Roman" w:cs="Times New Roman"/>
          <w:sz w:val="24"/>
          <w:szCs w:val="24"/>
        </w:rPr>
        <w:t>2023,</w:t>
      </w:r>
      <w:r w:rsidR="00264654" w:rsidRPr="00EB538D">
        <w:rPr>
          <w:rFonts w:ascii="Times New Roman" w:hAnsi="Times New Roman" w:cs="Times New Roman"/>
          <w:sz w:val="24"/>
          <w:szCs w:val="24"/>
        </w:rPr>
        <w:t xml:space="preserve"> and the interest payment capacity of the company </w:t>
      </w:r>
      <w:r w:rsidR="00E94BC2" w:rsidRPr="00EB538D">
        <w:rPr>
          <w:rFonts w:ascii="Times New Roman" w:hAnsi="Times New Roman" w:cs="Times New Roman"/>
          <w:sz w:val="24"/>
          <w:szCs w:val="24"/>
        </w:rPr>
        <w:t>also deteriorated</w:t>
      </w:r>
      <w:r w:rsidR="00264654" w:rsidRPr="00EB538D">
        <w:rPr>
          <w:rFonts w:ascii="Times New Roman" w:hAnsi="Times New Roman" w:cs="Times New Roman"/>
          <w:sz w:val="24"/>
          <w:szCs w:val="24"/>
        </w:rPr>
        <w:t xml:space="preserve">. </w:t>
      </w:r>
      <w:r w:rsidR="00576EBB" w:rsidRPr="00EB538D">
        <w:rPr>
          <w:rFonts w:ascii="Times New Roman" w:hAnsi="Times New Roman" w:cs="Times New Roman"/>
          <w:sz w:val="24"/>
          <w:szCs w:val="24"/>
        </w:rPr>
        <w:t xml:space="preserve">This deterioration in the interest payment capacity </w:t>
      </w:r>
      <w:r w:rsidR="005259DD" w:rsidRPr="00EB538D">
        <w:rPr>
          <w:rFonts w:ascii="Times New Roman" w:hAnsi="Times New Roman" w:cs="Times New Roman"/>
          <w:sz w:val="24"/>
          <w:szCs w:val="24"/>
        </w:rPr>
        <w:t>may increase the default risk of the company</w:t>
      </w:r>
      <w:r w:rsidR="00EC2851" w:rsidRPr="00EB538D">
        <w:rPr>
          <w:rFonts w:ascii="Times New Roman" w:hAnsi="Times New Roman" w:cs="Times New Roman"/>
          <w:sz w:val="24"/>
          <w:szCs w:val="24"/>
        </w:rPr>
        <w:t xml:space="preserve"> (De Wet, 2006)</w:t>
      </w:r>
      <w:r w:rsidR="005259DD" w:rsidRPr="00EB538D">
        <w:rPr>
          <w:rFonts w:ascii="Times New Roman" w:hAnsi="Times New Roman" w:cs="Times New Roman"/>
          <w:sz w:val="24"/>
          <w:szCs w:val="24"/>
        </w:rPr>
        <w:t xml:space="preserve">. In this regard, Reckitt Benckiser Group plc can raise new equity capital to meet its additional fund requirement and to repay its existing debt. </w:t>
      </w:r>
    </w:p>
    <w:p w14:paraId="2AF638AA" w14:textId="1AFC5A33" w:rsidR="00770746" w:rsidRPr="00EB538D" w:rsidRDefault="00C84E70"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lastRenderedPageBreak/>
        <w:t>Follow Fixed Dividend Payment:</w:t>
      </w:r>
      <w:r w:rsidRPr="00EB538D">
        <w:rPr>
          <w:rFonts w:ascii="Times New Roman" w:hAnsi="Times New Roman" w:cs="Times New Roman"/>
          <w:sz w:val="24"/>
          <w:szCs w:val="24"/>
        </w:rPr>
        <w:t xml:space="preserve"> To keep a good reputation in the market, Reckitt Benckiser Group plc can follow a fixed dividend payment. </w:t>
      </w:r>
      <w:r w:rsidR="00AF0D6C" w:rsidRPr="00EB538D">
        <w:rPr>
          <w:rFonts w:ascii="Times New Roman" w:hAnsi="Times New Roman" w:cs="Times New Roman"/>
          <w:sz w:val="24"/>
          <w:szCs w:val="24"/>
        </w:rPr>
        <w:t xml:space="preserve">This fixed dividend payment irrespective of </w:t>
      </w:r>
      <w:r w:rsidR="00E94BC2" w:rsidRPr="00EB538D">
        <w:rPr>
          <w:rFonts w:ascii="Times New Roman" w:hAnsi="Times New Roman" w:cs="Times New Roman"/>
          <w:sz w:val="24"/>
          <w:szCs w:val="24"/>
        </w:rPr>
        <w:t xml:space="preserve">the </w:t>
      </w:r>
      <w:r w:rsidR="00AF0D6C" w:rsidRPr="00EB538D">
        <w:rPr>
          <w:rFonts w:ascii="Times New Roman" w:hAnsi="Times New Roman" w:cs="Times New Roman"/>
          <w:sz w:val="24"/>
          <w:szCs w:val="24"/>
        </w:rPr>
        <w:t xml:space="preserve">company’s net profit will allow </w:t>
      </w:r>
      <w:r w:rsidR="00C123E4" w:rsidRPr="00EB538D">
        <w:rPr>
          <w:rFonts w:ascii="Times New Roman" w:hAnsi="Times New Roman" w:cs="Times New Roman"/>
          <w:sz w:val="24"/>
          <w:szCs w:val="24"/>
        </w:rPr>
        <w:t>the company to satisfy the ordinary shareholders</w:t>
      </w:r>
      <w:r w:rsidR="00A64B77" w:rsidRPr="00EB538D">
        <w:rPr>
          <w:rFonts w:ascii="Times New Roman" w:hAnsi="Times New Roman" w:cs="Times New Roman"/>
          <w:sz w:val="24"/>
          <w:szCs w:val="24"/>
        </w:rPr>
        <w:t xml:space="preserve"> (Khan et al., 2015)</w:t>
      </w:r>
      <w:r w:rsidR="00C123E4" w:rsidRPr="00EB538D">
        <w:rPr>
          <w:rFonts w:ascii="Times New Roman" w:hAnsi="Times New Roman" w:cs="Times New Roman"/>
          <w:sz w:val="24"/>
          <w:szCs w:val="24"/>
        </w:rPr>
        <w:t xml:space="preserve">. </w:t>
      </w:r>
    </w:p>
    <w:p w14:paraId="6921FD88" w14:textId="6FBC20E7" w:rsidR="00A774D7" w:rsidRPr="00EB538D" w:rsidRDefault="00A774D7" w:rsidP="00EB538D">
      <w:pPr>
        <w:spacing w:line="360" w:lineRule="auto"/>
        <w:jc w:val="both"/>
        <w:rPr>
          <w:rFonts w:ascii="Times New Roman" w:hAnsi="Times New Roman" w:cs="Times New Roman"/>
          <w:sz w:val="24"/>
          <w:szCs w:val="24"/>
        </w:rPr>
      </w:pPr>
      <w:r w:rsidRPr="00EB538D">
        <w:rPr>
          <w:rFonts w:ascii="Times New Roman" w:hAnsi="Times New Roman" w:cs="Times New Roman"/>
          <w:b/>
          <w:bCs/>
          <w:sz w:val="24"/>
          <w:szCs w:val="24"/>
        </w:rPr>
        <w:t>Diversify Product Portfolio:</w:t>
      </w:r>
      <w:r w:rsidRPr="00EB538D">
        <w:rPr>
          <w:rFonts w:ascii="Times New Roman" w:hAnsi="Times New Roman" w:cs="Times New Roman"/>
          <w:sz w:val="24"/>
          <w:szCs w:val="24"/>
        </w:rPr>
        <w:t xml:space="preserve"> </w:t>
      </w:r>
      <w:r w:rsidR="002E0701" w:rsidRPr="00EB538D">
        <w:rPr>
          <w:rFonts w:ascii="Times New Roman" w:hAnsi="Times New Roman" w:cs="Times New Roman"/>
          <w:sz w:val="24"/>
          <w:szCs w:val="24"/>
        </w:rPr>
        <w:t>To sustain the current position in this competitive business environment</w:t>
      </w:r>
      <w:r w:rsidR="007F2E07" w:rsidRPr="00EB538D">
        <w:rPr>
          <w:rFonts w:ascii="Times New Roman" w:hAnsi="Times New Roman" w:cs="Times New Roman"/>
          <w:sz w:val="24"/>
          <w:szCs w:val="24"/>
        </w:rPr>
        <w:t xml:space="preserve"> and to keep a good market share</w:t>
      </w:r>
      <w:r w:rsidR="002E0701" w:rsidRPr="00EB538D">
        <w:rPr>
          <w:rFonts w:ascii="Times New Roman" w:hAnsi="Times New Roman" w:cs="Times New Roman"/>
          <w:sz w:val="24"/>
          <w:szCs w:val="24"/>
        </w:rPr>
        <w:t xml:space="preserve">, </w:t>
      </w:r>
      <w:r w:rsidR="007F2E07" w:rsidRPr="00EB538D">
        <w:rPr>
          <w:rFonts w:ascii="Times New Roman" w:hAnsi="Times New Roman" w:cs="Times New Roman"/>
          <w:sz w:val="24"/>
          <w:szCs w:val="24"/>
        </w:rPr>
        <w:t>Reckitt Benckiser Group plc can diversify its existing product portfolio by launching new products</w:t>
      </w:r>
      <w:r w:rsidR="00A64B77" w:rsidRPr="00EB538D">
        <w:rPr>
          <w:rFonts w:ascii="Times New Roman" w:hAnsi="Times New Roman" w:cs="Times New Roman"/>
          <w:sz w:val="24"/>
          <w:szCs w:val="24"/>
        </w:rPr>
        <w:t xml:space="preserve"> (Coad &amp; Guenther, 2013)</w:t>
      </w:r>
      <w:r w:rsidR="007F2E07" w:rsidRPr="00EB538D">
        <w:rPr>
          <w:rFonts w:ascii="Times New Roman" w:hAnsi="Times New Roman" w:cs="Times New Roman"/>
          <w:sz w:val="24"/>
          <w:szCs w:val="24"/>
        </w:rPr>
        <w:t xml:space="preserve">. </w:t>
      </w:r>
    </w:p>
    <w:p w14:paraId="7CC5F010" w14:textId="614B84E1" w:rsidR="00AE3A15" w:rsidRPr="00A46C0E" w:rsidRDefault="003A441F" w:rsidP="000C5A6D">
      <w:pPr>
        <w:spacing w:line="360" w:lineRule="auto"/>
        <w:jc w:val="both"/>
        <w:rPr>
          <w:rFonts w:ascii="Times New Roman" w:hAnsi="Times New Roman" w:cs="Times New Roman"/>
          <w:sz w:val="24"/>
          <w:szCs w:val="24"/>
        </w:rPr>
      </w:pPr>
      <w:r>
        <w:rPr>
          <w:rFonts w:ascii="Times New Roman" w:hAnsi="Times New Roman" w:cs="Times New Roman"/>
          <w:sz w:val="24"/>
          <w:szCs w:val="24"/>
        </w:rPr>
        <w:t>By following the above</w:t>
      </w:r>
      <w:r w:rsidR="005C246D">
        <w:rPr>
          <w:rFonts w:ascii="Times New Roman" w:hAnsi="Times New Roman" w:cs="Times New Roman"/>
          <w:sz w:val="24"/>
          <w:szCs w:val="24"/>
        </w:rPr>
        <w:t>-</w:t>
      </w:r>
      <w:r>
        <w:rPr>
          <w:rFonts w:ascii="Times New Roman" w:hAnsi="Times New Roman" w:cs="Times New Roman"/>
          <w:sz w:val="24"/>
          <w:szCs w:val="24"/>
        </w:rPr>
        <w:t xml:space="preserve">mentioned strategies, </w:t>
      </w:r>
      <w:r w:rsidR="00775891">
        <w:rPr>
          <w:rFonts w:ascii="Times New Roman" w:hAnsi="Times New Roman" w:cs="Times New Roman"/>
          <w:sz w:val="24"/>
          <w:szCs w:val="24"/>
        </w:rPr>
        <w:t>Reckitt Benckiser Group plc can improve its existing financial management scenario</w:t>
      </w:r>
      <w:r w:rsidR="005C246D">
        <w:rPr>
          <w:rFonts w:ascii="Times New Roman" w:hAnsi="Times New Roman" w:cs="Times New Roman"/>
          <w:sz w:val="24"/>
          <w:szCs w:val="24"/>
        </w:rPr>
        <w:t xml:space="preserve"> and can get back its golden past</w:t>
      </w:r>
      <w:r w:rsidR="00775891">
        <w:rPr>
          <w:rFonts w:ascii="Times New Roman" w:hAnsi="Times New Roman" w:cs="Times New Roman"/>
          <w:sz w:val="24"/>
          <w:szCs w:val="24"/>
        </w:rPr>
        <w:t xml:space="preserve">. </w:t>
      </w:r>
    </w:p>
    <w:p w14:paraId="50979E1B" w14:textId="77777777" w:rsidR="00145712" w:rsidRDefault="00A46C0E" w:rsidP="00621CB7">
      <w:pPr>
        <w:pStyle w:val="Heading1"/>
        <w:rPr>
          <w:rFonts w:ascii="Times New Roman" w:hAnsi="Times New Roman" w:cs="Times New Roman"/>
          <w:b/>
          <w:bCs/>
          <w:color w:val="auto"/>
          <w:sz w:val="28"/>
          <w:szCs w:val="28"/>
        </w:rPr>
      </w:pPr>
      <w:bookmarkStart w:id="7" w:name="_Toc187878302"/>
      <w:r w:rsidRPr="00446141">
        <w:rPr>
          <w:rFonts w:ascii="Times New Roman" w:hAnsi="Times New Roman" w:cs="Times New Roman"/>
          <w:b/>
          <w:bCs/>
          <w:color w:val="auto"/>
          <w:sz w:val="28"/>
          <w:szCs w:val="28"/>
        </w:rPr>
        <w:t xml:space="preserve">Part </w:t>
      </w:r>
      <w:r w:rsidR="00621CB7" w:rsidRPr="00446141">
        <w:rPr>
          <w:rFonts w:ascii="Times New Roman" w:hAnsi="Times New Roman" w:cs="Times New Roman"/>
          <w:b/>
          <w:bCs/>
          <w:color w:val="auto"/>
          <w:sz w:val="28"/>
          <w:szCs w:val="28"/>
        </w:rPr>
        <w:t xml:space="preserve">2: </w:t>
      </w:r>
      <w:r w:rsidRPr="00446141">
        <w:rPr>
          <w:rFonts w:ascii="Times New Roman" w:hAnsi="Times New Roman" w:cs="Times New Roman"/>
          <w:b/>
          <w:bCs/>
          <w:color w:val="auto"/>
          <w:sz w:val="28"/>
          <w:szCs w:val="28"/>
        </w:rPr>
        <w:t>Appropriate Capital Investment Decision of Greenacres Plc</w:t>
      </w:r>
      <w:bookmarkEnd w:id="7"/>
    </w:p>
    <w:p w14:paraId="442E9A07" w14:textId="77777777" w:rsidR="00446141" w:rsidRPr="00446141" w:rsidRDefault="00446141" w:rsidP="00446141"/>
    <w:p w14:paraId="63995B3B" w14:textId="5F7851A9" w:rsidR="00B22E0A" w:rsidRPr="00F42F73" w:rsidRDefault="005370C1" w:rsidP="00446141">
      <w:pPr>
        <w:spacing w:line="360" w:lineRule="auto"/>
        <w:jc w:val="both"/>
        <w:rPr>
          <w:rFonts w:ascii="Times New Roman" w:hAnsi="Times New Roman" w:cs="Times New Roman"/>
          <w:color w:val="222222"/>
          <w:sz w:val="24"/>
          <w:szCs w:val="24"/>
          <w:shd w:val="clear" w:color="auto" w:fill="FFFFFF"/>
        </w:rPr>
      </w:pPr>
      <w:r w:rsidRPr="00A46C0E">
        <w:rPr>
          <w:rFonts w:ascii="Times New Roman" w:hAnsi="Times New Roman" w:cs="Times New Roman"/>
          <w:sz w:val="24"/>
          <w:szCs w:val="24"/>
        </w:rPr>
        <w:t>C</w:t>
      </w:r>
      <w:r w:rsidR="00A46C0E">
        <w:rPr>
          <w:rFonts w:ascii="Times New Roman" w:hAnsi="Times New Roman" w:cs="Times New Roman"/>
          <w:sz w:val="24"/>
          <w:szCs w:val="24"/>
        </w:rPr>
        <w:t xml:space="preserve">apital investment decisions refer to investment decisions that require </w:t>
      </w:r>
      <w:r w:rsidR="00E94BC2">
        <w:rPr>
          <w:rFonts w:ascii="Times New Roman" w:hAnsi="Times New Roman" w:cs="Times New Roman"/>
          <w:sz w:val="24"/>
          <w:szCs w:val="24"/>
        </w:rPr>
        <w:t xml:space="preserve">a </w:t>
      </w:r>
      <w:r w:rsidR="00A46C0E">
        <w:rPr>
          <w:rFonts w:ascii="Times New Roman" w:hAnsi="Times New Roman" w:cs="Times New Roman"/>
          <w:sz w:val="24"/>
          <w:szCs w:val="24"/>
        </w:rPr>
        <w:t xml:space="preserve">huge amount of initial capital outlay and are </w:t>
      </w:r>
      <w:r w:rsidR="00582D74">
        <w:rPr>
          <w:rFonts w:ascii="Times New Roman" w:hAnsi="Times New Roman" w:cs="Times New Roman"/>
          <w:sz w:val="24"/>
          <w:szCs w:val="24"/>
        </w:rPr>
        <w:t xml:space="preserve">taken to ensure a sustainable future </w:t>
      </w:r>
      <w:r w:rsidR="00D50DA2">
        <w:rPr>
          <w:rFonts w:ascii="Times New Roman" w:hAnsi="Times New Roman" w:cs="Times New Roman"/>
          <w:sz w:val="24"/>
          <w:szCs w:val="24"/>
        </w:rPr>
        <w:t>for</w:t>
      </w:r>
      <w:r w:rsidR="00582D74">
        <w:rPr>
          <w:rFonts w:ascii="Times New Roman" w:hAnsi="Times New Roman" w:cs="Times New Roman"/>
          <w:sz w:val="24"/>
          <w:szCs w:val="24"/>
        </w:rPr>
        <w:t xml:space="preserve"> a company</w:t>
      </w:r>
      <w:r w:rsidR="00F42F73">
        <w:rPr>
          <w:rFonts w:ascii="Times New Roman" w:hAnsi="Times New Roman" w:cs="Times New Roman"/>
          <w:sz w:val="24"/>
          <w:szCs w:val="24"/>
        </w:rPr>
        <w:t xml:space="preserve"> </w:t>
      </w:r>
      <w:r w:rsidR="00F42F73" w:rsidRPr="00F42F73">
        <w:rPr>
          <w:rFonts w:ascii="Times New Roman" w:hAnsi="Times New Roman" w:cs="Times New Roman"/>
          <w:sz w:val="24"/>
          <w:szCs w:val="24"/>
        </w:rPr>
        <w:t>(Emmanuel, Harris &amp; Komakech, 2010)</w:t>
      </w:r>
      <w:r w:rsidR="00582D74">
        <w:rPr>
          <w:rFonts w:ascii="Times New Roman" w:hAnsi="Times New Roman" w:cs="Times New Roman"/>
          <w:sz w:val="24"/>
          <w:szCs w:val="24"/>
        </w:rPr>
        <w:t>. As these investments are highly capital intensive, therefore, the failure of these investment decisions can ruin the future of a company</w:t>
      </w:r>
      <w:r w:rsidR="00F42F73">
        <w:rPr>
          <w:rFonts w:ascii="Times New Roman" w:hAnsi="Times New Roman" w:cs="Times New Roman"/>
          <w:sz w:val="24"/>
          <w:szCs w:val="24"/>
        </w:rPr>
        <w:t xml:space="preserve"> </w:t>
      </w:r>
      <w:r w:rsidR="00F42F73">
        <w:rPr>
          <w:rFonts w:ascii="Times New Roman" w:hAnsi="Times New Roman" w:cs="Times New Roman"/>
          <w:color w:val="222222"/>
          <w:sz w:val="24"/>
          <w:szCs w:val="24"/>
          <w:shd w:val="clear" w:color="auto" w:fill="FFFFFF"/>
        </w:rPr>
        <w:t>(</w:t>
      </w:r>
      <w:r w:rsidR="00F42F73" w:rsidRPr="00713490">
        <w:rPr>
          <w:rFonts w:ascii="Times New Roman" w:hAnsi="Times New Roman" w:cs="Times New Roman"/>
          <w:color w:val="222222"/>
          <w:sz w:val="24"/>
          <w:szCs w:val="24"/>
          <w:shd w:val="clear" w:color="auto" w:fill="FFFFFF"/>
        </w:rPr>
        <w:t>Zhang,</w:t>
      </w:r>
      <w:r w:rsidR="00F42F73">
        <w:rPr>
          <w:rFonts w:ascii="Times New Roman" w:hAnsi="Times New Roman" w:cs="Times New Roman"/>
          <w:color w:val="222222"/>
          <w:sz w:val="24"/>
          <w:szCs w:val="24"/>
          <w:shd w:val="clear" w:color="auto" w:fill="FFFFFF"/>
        </w:rPr>
        <w:t xml:space="preserve"> 2000)</w:t>
      </w:r>
      <w:r w:rsidR="00582D74">
        <w:rPr>
          <w:rFonts w:ascii="Times New Roman" w:hAnsi="Times New Roman" w:cs="Times New Roman"/>
          <w:sz w:val="24"/>
          <w:szCs w:val="24"/>
        </w:rPr>
        <w:t xml:space="preserve">. </w:t>
      </w:r>
      <w:r w:rsidR="00783881">
        <w:rPr>
          <w:rFonts w:ascii="Times New Roman" w:hAnsi="Times New Roman" w:cs="Times New Roman"/>
          <w:sz w:val="24"/>
          <w:szCs w:val="24"/>
        </w:rPr>
        <w:t xml:space="preserve">Introduction of </w:t>
      </w:r>
      <w:r w:rsidR="00D50DA2">
        <w:rPr>
          <w:rFonts w:ascii="Times New Roman" w:hAnsi="Times New Roman" w:cs="Times New Roman"/>
          <w:sz w:val="24"/>
          <w:szCs w:val="24"/>
        </w:rPr>
        <w:t xml:space="preserve">a </w:t>
      </w:r>
      <w:r w:rsidR="00783881">
        <w:rPr>
          <w:rFonts w:ascii="Times New Roman" w:hAnsi="Times New Roman" w:cs="Times New Roman"/>
          <w:sz w:val="24"/>
          <w:szCs w:val="24"/>
        </w:rPr>
        <w:t>new product in the existing product portfolio, expansion of current business operations through launching new branches, automation of existing business</w:t>
      </w:r>
      <w:r w:rsidR="00D50DA2">
        <w:rPr>
          <w:rFonts w:ascii="Times New Roman" w:hAnsi="Times New Roman" w:cs="Times New Roman"/>
          <w:sz w:val="24"/>
          <w:szCs w:val="24"/>
        </w:rPr>
        <w:t>,</w:t>
      </w:r>
      <w:r w:rsidR="00783881">
        <w:rPr>
          <w:rFonts w:ascii="Times New Roman" w:hAnsi="Times New Roman" w:cs="Times New Roman"/>
          <w:sz w:val="24"/>
          <w:szCs w:val="24"/>
        </w:rPr>
        <w:t xml:space="preserve"> etc. are example</w:t>
      </w:r>
      <w:r w:rsidR="00B22E0A">
        <w:rPr>
          <w:rFonts w:ascii="Times New Roman" w:hAnsi="Times New Roman" w:cs="Times New Roman"/>
          <w:sz w:val="24"/>
          <w:szCs w:val="24"/>
        </w:rPr>
        <w:t>s</w:t>
      </w:r>
      <w:r w:rsidR="00783881">
        <w:rPr>
          <w:rFonts w:ascii="Times New Roman" w:hAnsi="Times New Roman" w:cs="Times New Roman"/>
          <w:sz w:val="24"/>
          <w:szCs w:val="24"/>
        </w:rPr>
        <w:t xml:space="preserve"> of capital investment decisions</w:t>
      </w:r>
      <w:r w:rsidR="00B22E0A">
        <w:rPr>
          <w:rFonts w:ascii="Times New Roman" w:hAnsi="Times New Roman" w:cs="Times New Roman"/>
          <w:sz w:val="24"/>
          <w:szCs w:val="24"/>
        </w:rPr>
        <w:t xml:space="preserve"> that are usually taken by a business organization</w:t>
      </w:r>
      <w:r w:rsidR="00F42F73">
        <w:rPr>
          <w:rFonts w:ascii="Times New Roman" w:hAnsi="Times New Roman" w:cs="Times New Roman"/>
          <w:sz w:val="24"/>
          <w:szCs w:val="24"/>
        </w:rPr>
        <w:t xml:space="preserve"> </w:t>
      </w:r>
      <w:r w:rsidR="00F42F73">
        <w:rPr>
          <w:rFonts w:ascii="Times New Roman" w:hAnsi="Times New Roman" w:cs="Times New Roman"/>
          <w:color w:val="222222"/>
          <w:sz w:val="24"/>
          <w:szCs w:val="24"/>
          <w:shd w:val="clear" w:color="auto" w:fill="FFFFFF"/>
        </w:rPr>
        <w:t>(</w:t>
      </w:r>
      <w:r w:rsidR="00F42F73" w:rsidRPr="00713490">
        <w:rPr>
          <w:rFonts w:ascii="Times New Roman" w:hAnsi="Times New Roman" w:cs="Times New Roman"/>
          <w:color w:val="222222"/>
          <w:sz w:val="24"/>
          <w:szCs w:val="24"/>
          <w:shd w:val="clear" w:color="auto" w:fill="FFFFFF"/>
        </w:rPr>
        <w:t>Nickell,</w:t>
      </w:r>
      <w:r w:rsidR="00F42F73">
        <w:rPr>
          <w:rFonts w:ascii="Times New Roman" w:hAnsi="Times New Roman" w:cs="Times New Roman"/>
          <w:color w:val="222222"/>
          <w:sz w:val="24"/>
          <w:szCs w:val="24"/>
          <w:shd w:val="clear" w:color="auto" w:fill="FFFFFF"/>
        </w:rPr>
        <w:t xml:space="preserve"> 1978)</w:t>
      </w:r>
      <w:r w:rsidR="00783881">
        <w:rPr>
          <w:rFonts w:ascii="Times New Roman" w:hAnsi="Times New Roman" w:cs="Times New Roman"/>
          <w:sz w:val="24"/>
          <w:szCs w:val="24"/>
        </w:rPr>
        <w:t>.</w:t>
      </w:r>
    </w:p>
    <w:p w14:paraId="0D4DD615" w14:textId="1EEF9590" w:rsidR="00621CB7" w:rsidRPr="00F42F73" w:rsidRDefault="00B22E0A" w:rsidP="00446141">
      <w:pPr>
        <w:spacing w:line="360" w:lineRule="auto"/>
        <w:jc w:val="both"/>
        <w:rPr>
          <w:rFonts w:ascii="Times New Roman" w:hAnsi="Times New Roman" w:cs="Times New Roman"/>
          <w:color w:val="222222"/>
          <w:sz w:val="24"/>
          <w:szCs w:val="24"/>
          <w:shd w:val="clear" w:color="auto" w:fill="FFFFFF"/>
        </w:rPr>
      </w:pPr>
      <w:r w:rsidRPr="00B22E0A">
        <w:rPr>
          <w:rFonts w:ascii="Times New Roman" w:hAnsi="Times New Roman" w:cs="Times New Roman"/>
          <w:sz w:val="24"/>
          <w:szCs w:val="24"/>
        </w:rPr>
        <w:t>Greenacres Plc</w:t>
      </w:r>
      <w:r>
        <w:rPr>
          <w:rFonts w:ascii="Times New Roman" w:hAnsi="Times New Roman" w:cs="Times New Roman"/>
          <w:sz w:val="24"/>
          <w:szCs w:val="24"/>
        </w:rPr>
        <w:t xml:space="preserve"> is a</w:t>
      </w:r>
      <w:r w:rsidRPr="00B22E0A">
        <w:rPr>
          <w:rFonts w:ascii="Times New Roman" w:hAnsi="Times New Roman" w:cs="Times New Roman"/>
          <w:sz w:val="24"/>
          <w:szCs w:val="24"/>
        </w:rPr>
        <w:t xml:space="preserve"> produce</w:t>
      </w:r>
      <w:r>
        <w:rPr>
          <w:rFonts w:ascii="Times New Roman" w:hAnsi="Times New Roman" w:cs="Times New Roman"/>
          <w:sz w:val="24"/>
          <w:szCs w:val="24"/>
        </w:rPr>
        <w:t>r of</w:t>
      </w:r>
      <w:r w:rsidRPr="00B22E0A">
        <w:rPr>
          <w:rFonts w:ascii="Times New Roman" w:hAnsi="Times New Roman" w:cs="Times New Roman"/>
          <w:sz w:val="24"/>
          <w:szCs w:val="24"/>
        </w:rPr>
        <w:t xml:space="preserve"> a variety of high</w:t>
      </w:r>
      <w:r w:rsidR="00715299">
        <w:rPr>
          <w:rFonts w:ascii="Times New Roman" w:hAnsi="Times New Roman" w:cs="Times New Roman"/>
          <w:sz w:val="24"/>
          <w:szCs w:val="24"/>
        </w:rPr>
        <w:t>-</w:t>
      </w:r>
      <w:r w:rsidRPr="00B22E0A">
        <w:rPr>
          <w:rFonts w:ascii="Times New Roman" w:hAnsi="Times New Roman" w:cs="Times New Roman"/>
          <w:sz w:val="24"/>
          <w:szCs w:val="24"/>
        </w:rPr>
        <w:t>quality outdoor rattan furniture and associated items</w:t>
      </w:r>
      <w:r>
        <w:rPr>
          <w:rFonts w:ascii="Times New Roman" w:hAnsi="Times New Roman" w:cs="Times New Roman"/>
          <w:sz w:val="24"/>
          <w:szCs w:val="24"/>
        </w:rPr>
        <w:t xml:space="preserve">. </w:t>
      </w:r>
      <w:r w:rsidR="00715299">
        <w:rPr>
          <w:rFonts w:ascii="Times New Roman" w:hAnsi="Times New Roman" w:cs="Times New Roman"/>
          <w:sz w:val="24"/>
          <w:szCs w:val="24"/>
        </w:rPr>
        <w:t xml:space="preserve">To </w:t>
      </w:r>
      <w:r w:rsidR="00446141">
        <w:rPr>
          <w:rFonts w:ascii="Times New Roman" w:hAnsi="Times New Roman" w:cs="Times New Roman"/>
          <w:sz w:val="24"/>
          <w:szCs w:val="24"/>
        </w:rPr>
        <w:t>achieve</w:t>
      </w:r>
      <w:r w:rsidR="00715299">
        <w:rPr>
          <w:rFonts w:ascii="Times New Roman" w:hAnsi="Times New Roman" w:cs="Times New Roman"/>
          <w:sz w:val="24"/>
          <w:szCs w:val="24"/>
        </w:rPr>
        <w:t xml:space="preserve"> the growth potential and to ensure its sustainable operations, the directors of </w:t>
      </w:r>
      <w:r w:rsidR="00715299" w:rsidRPr="00B22E0A">
        <w:rPr>
          <w:rFonts w:ascii="Times New Roman" w:hAnsi="Times New Roman" w:cs="Times New Roman"/>
          <w:sz w:val="24"/>
          <w:szCs w:val="24"/>
        </w:rPr>
        <w:t>Greenacres Plc</w:t>
      </w:r>
      <w:r w:rsidR="00715299">
        <w:rPr>
          <w:rFonts w:ascii="Times New Roman" w:hAnsi="Times New Roman" w:cs="Times New Roman"/>
          <w:sz w:val="24"/>
          <w:szCs w:val="24"/>
        </w:rPr>
        <w:t xml:space="preserve"> </w:t>
      </w:r>
      <w:r w:rsidR="00D50DA2">
        <w:rPr>
          <w:rFonts w:ascii="Times New Roman" w:hAnsi="Times New Roman" w:cs="Times New Roman"/>
          <w:sz w:val="24"/>
          <w:szCs w:val="24"/>
        </w:rPr>
        <w:t>are</w:t>
      </w:r>
      <w:r w:rsidR="00715299">
        <w:rPr>
          <w:rFonts w:ascii="Times New Roman" w:hAnsi="Times New Roman" w:cs="Times New Roman"/>
          <w:sz w:val="24"/>
          <w:szCs w:val="24"/>
        </w:rPr>
        <w:t xml:space="preserve"> considering </w:t>
      </w:r>
      <w:r w:rsidR="006F5186">
        <w:rPr>
          <w:rFonts w:ascii="Times New Roman" w:hAnsi="Times New Roman" w:cs="Times New Roman"/>
          <w:sz w:val="24"/>
          <w:szCs w:val="24"/>
        </w:rPr>
        <w:t xml:space="preserve">three investment options. </w:t>
      </w:r>
      <w:r w:rsidR="00FB37C9">
        <w:rPr>
          <w:rFonts w:ascii="Times New Roman" w:hAnsi="Times New Roman" w:cs="Times New Roman"/>
          <w:sz w:val="24"/>
          <w:szCs w:val="24"/>
        </w:rPr>
        <w:t xml:space="preserve">As the initial capital expenditure and the associated expected </w:t>
      </w:r>
      <w:r w:rsidR="00D50DA2">
        <w:rPr>
          <w:rFonts w:ascii="Times New Roman" w:hAnsi="Times New Roman" w:cs="Times New Roman"/>
          <w:sz w:val="24"/>
          <w:szCs w:val="24"/>
        </w:rPr>
        <w:t>cash flow</w:t>
      </w:r>
      <w:r w:rsidR="00FB37C9">
        <w:rPr>
          <w:rFonts w:ascii="Times New Roman" w:hAnsi="Times New Roman" w:cs="Times New Roman"/>
          <w:sz w:val="24"/>
          <w:szCs w:val="24"/>
        </w:rPr>
        <w:t xml:space="preserve"> of these investment options are different &amp; </w:t>
      </w:r>
      <w:r w:rsidR="00446141">
        <w:rPr>
          <w:rFonts w:ascii="Times New Roman" w:hAnsi="Times New Roman" w:cs="Times New Roman"/>
          <w:sz w:val="24"/>
          <w:szCs w:val="24"/>
        </w:rPr>
        <w:t>unique</w:t>
      </w:r>
      <w:r w:rsidR="00FB37C9">
        <w:rPr>
          <w:rFonts w:ascii="Times New Roman" w:hAnsi="Times New Roman" w:cs="Times New Roman"/>
          <w:sz w:val="24"/>
          <w:szCs w:val="24"/>
        </w:rPr>
        <w:t xml:space="preserve">, it becomes a very challenging task for the directors of </w:t>
      </w:r>
      <w:r w:rsidR="00FB37C9" w:rsidRPr="00B22E0A">
        <w:rPr>
          <w:rFonts w:ascii="Times New Roman" w:hAnsi="Times New Roman" w:cs="Times New Roman"/>
          <w:sz w:val="24"/>
          <w:szCs w:val="24"/>
        </w:rPr>
        <w:t>Greenacres Plc</w:t>
      </w:r>
      <w:r w:rsidR="00FB37C9">
        <w:rPr>
          <w:rFonts w:ascii="Times New Roman" w:hAnsi="Times New Roman" w:cs="Times New Roman"/>
          <w:sz w:val="24"/>
          <w:szCs w:val="24"/>
        </w:rPr>
        <w:t xml:space="preserve"> to decide upon which investment option will be the best for </w:t>
      </w:r>
      <w:r w:rsidR="00D50DA2">
        <w:rPr>
          <w:rFonts w:ascii="Times New Roman" w:hAnsi="Times New Roman" w:cs="Times New Roman"/>
          <w:sz w:val="24"/>
          <w:szCs w:val="24"/>
        </w:rPr>
        <w:t xml:space="preserve">the </w:t>
      </w:r>
      <w:r w:rsidR="00FB37C9">
        <w:rPr>
          <w:rFonts w:ascii="Times New Roman" w:hAnsi="Times New Roman" w:cs="Times New Roman"/>
          <w:sz w:val="24"/>
          <w:szCs w:val="24"/>
        </w:rPr>
        <w:t xml:space="preserve">ensuing future sustainability of the </w:t>
      </w:r>
      <w:r w:rsidR="00F42F73">
        <w:rPr>
          <w:rFonts w:ascii="Times New Roman" w:hAnsi="Times New Roman" w:cs="Times New Roman"/>
          <w:sz w:val="24"/>
          <w:szCs w:val="24"/>
        </w:rPr>
        <w:t>compan</w:t>
      </w:r>
      <w:r w:rsidR="00FB37C9">
        <w:rPr>
          <w:rFonts w:ascii="Times New Roman" w:hAnsi="Times New Roman" w:cs="Times New Roman"/>
          <w:sz w:val="24"/>
          <w:szCs w:val="24"/>
        </w:rPr>
        <w:t>y</w:t>
      </w:r>
      <w:r w:rsidR="00F42F73">
        <w:rPr>
          <w:rFonts w:ascii="Times New Roman" w:hAnsi="Times New Roman" w:cs="Times New Roman"/>
          <w:sz w:val="24"/>
          <w:szCs w:val="24"/>
        </w:rPr>
        <w:t xml:space="preserve"> </w:t>
      </w:r>
      <w:r w:rsidR="00F42F73">
        <w:rPr>
          <w:rFonts w:ascii="Times New Roman" w:hAnsi="Times New Roman" w:cs="Times New Roman"/>
          <w:color w:val="222222"/>
          <w:sz w:val="24"/>
          <w:szCs w:val="24"/>
          <w:shd w:val="clear" w:color="auto" w:fill="FFFFFF"/>
        </w:rPr>
        <w:t>(</w:t>
      </w:r>
      <w:r w:rsidR="00F42F73" w:rsidRPr="00713490">
        <w:rPr>
          <w:rFonts w:ascii="Times New Roman" w:hAnsi="Times New Roman" w:cs="Times New Roman"/>
          <w:color w:val="222222"/>
          <w:sz w:val="24"/>
          <w:szCs w:val="24"/>
          <w:shd w:val="clear" w:color="auto" w:fill="FFFFFF"/>
        </w:rPr>
        <w:t>Bierman Jr</w:t>
      </w:r>
      <w:r w:rsidR="00F42F73">
        <w:rPr>
          <w:rFonts w:ascii="Times New Roman" w:hAnsi="Times New Roman" w:cs="Times New Roman"/>
          <w:color w:val="222222"/>
          <w:sz w:val="24"/>
          <w:szCs w:val="24"/>
          <w:shd w:val="clear" w:color="auto" w:fill="FFFFFF"/>
        </w:rPr>
        <w:t xml:space="preserve"> &amp; </w:t>
      </w:r>
      <w:r w:rsidR="00F42F73" w:rsidRPr="00713490">
        <w:rPr>
          <w:rFonts w:ascii="Times New Roman" w:hAnsi="Times New Roman" w:cs="Times New Roman"/>
          <w:color w:val="222222"/>
          <w:sz w:val="24"/>
          <w:szCs w:val="24"/>
          <w:shd w:val="clear" w:color="auto" w:fill="FFFFFF"/>
        </w:rPr>
        <w:t>Smidt,</w:t>
      </w:r>
      <w:r w:rsidR="00F42F73">
        <w:rPr>
          <w:rFonts w:ascii="Times New Roman" w:hAnsi="Times New Roman" w:cs="Times New Roman"/>
          <w:color w:val="222222"/>
          <w:sz w:val="24"/>
          <w:szCs w:val="24"/>
          <w:shd w:val="clear" w:color="auto" w:fill="FFFFFF"/>
        </w:rPr>
        <w:t xml:space="preserve"> 2012)</w:t>
      </w:r>
      <w:r w:rsidR="00FB37C9">
        <w:rPr>
          <w:rFonts w:ascii="Times New Roman" w:hAnsi="Times New Roman" w:cs="Times New Roman"/>
          <w:sz w:val="24"/>
          <w:szCs w:val="24"/>
        </w:rPr>
        <w:t xml:space="preserve">. </w:t>
      </w:r>
    </w:p>
    <w:p w14:paraId="7E1A8977" w14:textId="77777777" w:rsidR="00283C56" w:rsidRDefault="00283C56" w:rsidP="00283C56">
      <w:pPr>
        <w:pStyle w:val="Heading2"/>
        <w:rPr>
          <w:rFonts w:ascii="Times New Roman" w:hAnsi="Times New Roman" w:cs="Times New Roman"/>
          <w:b/>
          <w:bCs/>
          <w:color w:val="auto"/>
          <w:sz w:val="24"/>
          <w:szCs w:val="24"/>
        </w:rPr>
      </w:pPr>
      <w:bookmarkStart w:id="8" w:name="_Toc187878303"/>
      <w:r w:rsidRPr="00446141">
        <w:rPr>
          <w:rFonts w:ascii="Times New Roman" w:hAnsi="Times New Roman" w:cs="Times New Roman"/>
          <w:b/>
          <w:bCs/>
          <w:color w:val="auto"/>
          <w:sz w:val="24"/>
          <w:szCs w:val="24"/>
        </w:rPr>
        <w:t>2.1 Net Present Value- The Best Method of Investment Appraisal</w:t>
      </w:r>
      <w:bookmarkEnd w:id="8"/>
    </w:p>
    <w:p w14:paraId="45014FFC" w14:textId="77777777" w:rsidR="00446141" w:rsidRPr="00446141" w:rsidRDefault="00446141" w:rsidP="00446141"/>
    <w:p w14:paraId="5B189004" w14:textId="7CCED137" w:rsidR="00621CB7" w:rsidRPr="00F42F73" w:rsidRDefault="00283C56" w:rsidP="00446141">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Net present value (NPV) is the </w:t>
      </w:r>
      <w:r w:rsidR="00E128D0">
        <w:rPr>
          <w:rFonts w:ascii="Times New Roman" w:hAnsi="Times New Roman" w:cs="Times New Roman"/>
          <w:sz w:val="24"/>
          <w:szCs w:val="24"/>
        </w:rPr>
        <w:t>difference between the present value of expected future cash inflows and initial capital expenditure</w:t>
      </w:r>
      <w:r w:rsidR="00F42F73">
        <w:rPr>
          <w:rFonts w:ascii="Times New Roman" w:hAnsi="Times New Roman" w:cs="Times New Roman"/>
          <w:sz w:val="24"/>
          <w:szCs w:val="24"/>
        </w:rPr>
        <w:t xml:space="preserve"> </w:t>
      </w:r>
      <w:r w:rsidR="00F42F73">
        <w:rPr>
          <w:rFonts w:ascii="Times New Roman" w:hAnsi="Times New Roman" w:cs="Times New Roman"/>
          <w:color w:val="222222"/>
          <w:sz w:val="24"/>
          <w:szCs w:val="24"/>
          <w:shd w:val="clear" w:color="auto" w:fill="FFFFFF"/>
        </w:rPr>
        <w:t>(</w:t>
      </w:r>
      <w:r w:rsidR="00F42F73" w:rsidRPr="00713490">
        <w:rPr>
          <w:rFonts w:ascii="Times New Roman" w:hAnsi="Times New Roman" w:cs="Times New Roman"/>
          <w:color w:val="222222"/>
          <w:sz w:val="24"/>
          <w:szCs w:val="24"/>
          <w:shd w:val="clear" w:color="auto" w:fill="FFFFFF"/>
        </w:rPr>
        <w:t>Gallo,</w:t>
      </w:r>
      <w:r w:rsidR="00F42F73">
        <w:rPr>
          <w:rFonts w:ascii="Times New Roman" w:hAnsi="Times New Roman" w:cs="Times New Roman"/>
          <w:color w:val="222222"/>
          <w:sz w:val="24"/>
          <w:szCs w:val="24"/>
          <w:shd w:val="clear" w:color="auto" w:fill="FFFFFF"/>
        </w:rPr>
        <w:t xml:space="preserve"> 2014)</w:t>
      </w:r>
      <w:r w:rsidR="00E128D0">
        <w:rPr>
          <w:rFonts w:ascii="Times New Roman" w:hAnsi="Times New Roman" w:cs="Times New Roman"/>
          <w:sz w:val="24"/>
          <w:szCs w:val="24"/>
        </w:rPr>
        <w:t xml:space="preserve">. </w:t>
      </w:r>
      <w:r w:rsidR="00D50DA2">
        <w:rPr>
          <w:rFonts w:ascii="Times New Roman" w:hAnsi="Times New Roman" w:cs="Times New Roman"/>
          <w:sz w:val="24"/>
          <w:szCs w:val="24"/>
        </w:rPr>
        <w:t xml:space="preserve">The </w:t>
      </w:r>
      <w:proofErr w:type="gramStart"/>
      <w:r w:rsidR="00D50DA2">
        <w:rPr>
          <w:rFonts w:ascii="Times New Roman" w:hAnsi="Times New Roman" w:cs="Times New Roman"/>
          <w:sz w:val="24"/>
          <w:szCs w:val="24"/>
        </w:rPr>
        <w:t>net</w:t>
      </w:r>
      <w:r w:rsidR="00E128D0">
        <w:rPr>
          <w:rFonts w:ascii="Times New Roman" w:hAnsi="Times New Roman" w:cs="Times New Roman"/>
          <w:sz w:val="24"/>
          <w:szCs w:val="24"/>
        </w:rPr>
        <w:t xml:space="preserve"> present</w:t>
      </w:r>
      <w:proofErr w:type="gramEnd"/>
      <w:r w:rsidR="00E128D0">
        <w:rPr>
          <w:rFonts w:ascii="Times New Roman" w:hAnsi="Times New Roman" w:cs="Times New Roman"/>
          <w:sz w:val="24"/>
          <w:szCs w:val="24"/>
        </w:rPr>
        <w:t xml:space="preserve"> value indicates the </w:t>
      </w:r>
      <w:r w:rsidR="00E128D0">
        <w:rPr>
          <w:rFonts w:ascii="Times New Roman" w:hAnsi="Times New Roman" w:cs="Times New Roman"/>
          <w:sz w:val="24"/>
          <w:szCs w:val="24"/>
        </w:rPr>
        <w:lastRenderedPageBreak/>
        <w:t xml:space="preserve">additional value that a business organization will be able to generate from an investment project. </w:t>
      </w:r>
      <w:r w:rsidR="006219E1">
        <w:rPr>
          <w:rFonts w:ascii="Times New Roman" w:hAnsi="Times New Roman" w:cs="Times New Roman"/>
          <w:sz w:val="24"/>
          <w:szCs w:val="24"/>
        </w:rPr>
        <w:t xml:space="preserve">If the value of NPV of a project is positive, then, this project is usually selected for investment. </w:t>
      </w:r>
    </w:p>
    <w:p w14:paraId="5859D7F9" w14:textId="77777777" w:rsidR="005C0F45" w:rsidRDefault="005C0F45" w:rsidP="005C0F45">
      <w:pPr>
        <w:jc w:val="center"/>
        <w:rPr>
          <w:rFonts w:ascii="Times New Roman" w:hAnsi="Times New Roman" w:cs="Times New Roman"/>
          <w:sz w:val="24"/>
          <w:szCs w:val="24"/>
        </w:rPr>
      </w:pPr>
      <w:r>
        <w:rPr>
          <w:noProof/>
        </w:rPr>
        <w:drawing>
          <wp:inline distT="0" distB="0" distL="0" distR="0" wp14:anchorId="410A7EED" wp14:editId="4AB4273C">
            <wp:extent cx="4735830" cy="791835"/>
            <wp:effectExtent l="19050" t="19050" r="0" b="8890"/>
            <wp:docPr id="9" name="Picture 9" descr="Net Present Value (NPV) Explained: A Simple Guide for Beginners 20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et Present Value (NPV) Explained: A Simple Guide for Beginners 2024"/>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4783547" cy="799813"/>
                    </a:xfrm>
                    <a:prstGeom prst="rect">
                      <a:avLst/>
                    </a:prstGeom>
                    <a:noFill/>
                    <a:ln>
                      <a:solidFill>
                        <a:schemeClr val="tx1"/>
                      </a:solidFill>
                    </a:ln>
                  </pic:spPr>
                </pic:pic>
              </a:graphicData>
            </a:graphic>
          </wp:inline>
        </w:drawing>
      </w:r>
    </w:p>
    <w:p w14:paraId="09BF423A" w14:textId="2A52FEDC" w:rsidR="005C0F45" w:rsidRDefault="000F0DED" w:rsidP="004461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Among the available investment appraisal methods, </w:t>
      </w:r>
      <w:r w:rsidR="00EF34B4">
        <w:rPr>
          <w:rFonts w:ascii="Times New Roman" w:hAnsi="Times New Roman" w:cs="Times New Roman"/>
          <w:sz w:val="24"/>
          <w:szCs w:val="24"/>
        </w:rPr>
        <w:t xml:space="preserve">NPV is considered the best investment appraisal method for the following key reasons: </w:t>
      </w:r>
    </w:p>
    <w:p w14:paraId="095C6B96" w14:textId="37518038" w:rsidR="00126823" w:rsidRPr="00446141" w:rsidRDefault="00126823" w:rsidP="00446141">
      <w:pPr>
        <w:spacing w:line="360" w:lineRule="auto"/>
        <w:jc w:val="both"/>
        <w:rPr>
          <w:rFonts w:ascii="Times New Roman" w:hAnsi="Times New Roman" w:cs="Times New Roman"/>
          <w:sz w:val="24"/>
          <w:szCs w:val="24"/>
        </w:rPr>
      </w:pPr>
      <w:r w:rsidRPr="00446141">
        <w:rPr>
          <w:rFonts w:ascii="Times New Roman" w:hAnsi="Times New Roman" w:cs="Times New Roman"/>
          <w:b/>
          <w:bCs/>
          <w:sz w:val="24"/>
          <w:szCs w:val="24"/>
        </w:rPr>
        <w:t>Consideration of Cash Flow:</w:t>
      </w:r>
      <w:r w:rsidRPr="00446141">
        <w:rPr>
          <w:rFonts w:ascii="Times New Roman" w:hAnsi="Times New Roman" w:cs="Times New Roman"/>
          <w:sz w:val="24"/>
          <w:szCs w:val="24"/>
        </w:rPr>
        <w:t xml:space="preserve"> Instead of considering net profit, NPV considers cash </w:t>
      </w:r>
      <w:r w:rsidR="00446141" w:rsidRPr="00446141">
        <w:rPr>
          <w:rFonts w:ascii="Times New Roman" w:hAnsi="Times New Roman" w:cs="Times New Roman"/>
          <w:sz w:val="24"/>
          <w:szCs w:val="24"/>
        </w:rPr>
        <w:t>flow</w:t>
      </w:r>
      <w:r w:rsidRPr="00446141">
        <w:rPr>
          <w:rFonts w:ascii="Times New Roman" w:hAnsi="Times New Roman" w:cs="Times New Roman"/>
          <w:sz w:val="24"/>
          <w:szCs w:val="24"/>
        </w:rPr>
        <w:t xml:space="preserve"> while analyzing an investment proposal. It is sometimes observed that companies show </w:t>
      </w:r>
      <w:r w:rsidR="00D50DA2" w:rsidRPr="00446141">
        <w:rPr>
          <w:rFonts w:ascii="Times New Roman" w:hAnsi="Times New Roman" w:cs="Times New Roman"/>
          <w:sz w:val="24"/>
          <w:szCs w:val="24"/>
        </w:rPr>
        <w:t xml:space="preserve">a </w:t>
      </w:r>
      <w:r w:rsidRPr="00446141">
        <w:rPr>
          <w:rFonts w:ascii="Times New Roman" w:hAnsi="Times New Roman" w:cs="Times New Roman"/>
          <w:sz w:val="24"/>
          <w:szCs w:val="24"/>
        </w:rPr>
        <w:t xml:space="preserve">profit in their financial statement which remains unattainable. Therefore, consideration of profit while analyzing </w:t>
      </w:r>
      <w:r w:rsidR="00D50DA2" w:rsidRPr="00446141">
        <w:rPr>
          <w:rFonts w:ascii="Times New Roman" w:hAnsi="Times New Roman" w:cs="Times New Roman"/>
          <w:sz w:val="24"/>
          <w:szCs w:val="24"/>
        </w:rPr>
        <w:t xml:space="preserve">an </w:t>
      </w:r>
      <w:r w:rsidRPr="00446141">
        <w:rPr>
          <w:rFonts w:ascii="Times New Roman" w:hAnsi="Times New Roman" w:cs="Times New Roman"/>
          <w:sz w:val="24"/>
          <w:szCs w:val="24"/>
        </w:rPr>
        <w:t xml:space="preserve">investment proposal may give some erroneous results. In this regard, NPV provides </w:t>
      </w:r>
      <w:r w:rsidR="00D50DA2" w:rsidRPr="00446141">
        <w:rPr>
          <w:rFonts w:ascii="Times New Roman" w:hAnsi="Times New Roman" w:cs="Times New Roman"/>
          <w:sz w:val="24"/>
          <w:szCs w:val="24"/>
        </w:rPr>
        <w:t xml:space="preserve">a </w:t>
      </w:r>
      <w:r w:rsidRPr="00446141">
        <w:rPr>
          <w:rFonts w:ascii="Times New Roman" w:hAnsi="Times New Roman" w:cs="Times New Roman"/>
          <w:sz w:val="24"/>
          <w:szCs w:val="24"/>
        </w:rPr>
        <w:t>more precise and accurate analysis of an investment proposal by considering cash flows</w:t>
      </w:r>
      <w:r w:rsidR="0084565F" w:rsidRPr="00446141">
        <w:rPr>
          <w:rFonts w:ascii="Times New Roman" w:hAnsi="Times New Roman" w:cs="Times New Roman"/>
          <w:sz w:val="24"/>
          <w:szCs w:val="24"/>
        </w:rPr>
        <w:t xml:space="preserve"> (Magni, 2009)</w:t>
      </w:r>
      <w:r w:rsidRPr="00446141">
        <w:rPr>
          <w:rFonts w:ascii="Times New Roman" w:hAnsi="Times New Roman" w:cs="Times New Roman"/>
          <w:sz w:val="24"/>
          <w:szCs w:val="24"/>
        </w:rPr>
        <w:t xml:space="preserve">. </w:t>
      </w:r>
    </w:p>
    <w:p w14:paraId="39981C07" w14:textId="10E35FC5" w:rsidR="00FA3DC0" w:rsidRPr="00446141" w:rsidRDefault="00126823" w:rsidP="00446141">
      <w:pPr>
        <w:spacing w:line="360" w:lineRule="auto"/>
        <w:jc w:val="both"/>
        <w:rPr>
          <w:rFonts w:ascii="Times New Roman" w:hAnsi="Times New Roman" w:cs="Times New Roman"/>
          <w:sz w:val="24"/>
          <w:szCs w:val="24"/>
        </w:rPr>
      </w:pPr>
      <w:r w:rsidRPr="00446141">
        <w:rPr>
          <w:rFonts w:ascii="Times New Roman" w:hAnsi="Times New Roman" w:cs="Times New Roman"/>
          <w:b/>
          <w:bCs/>
          <w:sz w:val="24"/>
          <w:szCs w:val="24"/>
        </w:rPr>
        <w:t>Consideration of Time Value of Money:</w:t>
      </w:r>
      <w:r w:rsidR="007C06DC" w:rsidRPr="00446141">
        <w:rPr>
          <w:rFonts w:ascii="Times New Roman" w:hAnsi="Times New Roman" w:cs="Times New Roman"/>
          <w:b/>
          <w:bCs/>
          <w:sz w:val="24"/>
          <w:szCs w:val="24"/>
        </w:rPr>
        <w:t xml:space="preserve"> </w:t>
      </w:r>
      <w:r w:rsidR="00C20EEB" w:rsidRPr="00446141">
        <w:rPr>
          <w:rFonts w:ascii="Times New Roman" w:hAnsi="Times New Roman" w:cs="Times New Roman"/>
          <w:sz w:val="24"/>
          <w:szCs w:val="24"/>
        </w:rPr>
        <w:t xml:space="preserve">NPV is a discounting approach that considers </w:t>
      </w:r>
      <w:r w:rsidR="00250549" w:rsidRPr="00446141">
        <w:rPr>
          <w:rFonts w:ascii="Times New Roman" w:hAnsi="Times New Roman" w:cs="Times New Roman"/>
          <w:sz w:val="24"/>
          <w:szCs w:val="24"/>
        </w:rPr>
        <w:t xml:space="preserve">the </w:t>
      </w:r>
      <w:r w:rsidR="00C20EEB" w:rsidRPr="00446141">
        <w:rPr>
          <w:rFonts w:ascii="Times New Roman" w:hAnsi="Times New Roman" w:cs="Times New Roman"/>
          <w:sz w:val="24"/>
          <w:szCs w:val="24"/>
        </w:rPr>
        <w:t xml:space="preserve">time value of money in the calculation process. </w:t>
      </w:r>
      <w:r w:rsidR="00A736B0" w:rsidRPr="00446141">
        <w:rPr>
          <w:rFonts w:ascii="Times New Roman" w:hAnsi="Times New Roman" w:cs="Times New Roman"/>
          <w:sz w:val="24"/>
          <w:szCs w:val="24"/>
        </w:rPr>
        <w:t xml:space="preserve">This consideration of </w:t>
      </w:r>
      <w:r w:rsidR="005B3EA9" w:rsidRPr="00446141">
        <w:rPr>
          <w:rFonts w:ascii="Times New Roman" w:hAnsi="Times New Roman" w:cs="Times New Roman"/>
          <w:sz w:val="24"/>
          <w:szCs w:val="24"/>
        </w:rPr>
        <w:t xml:space="preserve">the </w:t>
      </w:r>
      <w:r w:rsidR="00A736B0" w:rsidRPr="00446141">
        <w:rPr>
          <w:rFonts w:ascii="Times New Roman" w:hAnsi="Times New Roman" w:cs="Times New Roman"/>
          <w:sz w:val="24"/>
          <w:szCs w:val="24"/>
        </w:rPr>
        <w:t xml:space="preserve">time value </w:t>
      </w:r>
      <w:proofErr w:type="gramStart"/>
      <w:r w:rsidR="00A736B0" w:rsidRPr="00446141">
        <w:rPr>
          <w:rFonts w:ascii="Times New Roman" w:hAnsi="Times New Roman" w:cs="Times New Roman"/>
          <w:sz w:val="24"/>
          <w:szCs w:val="24"/>
        </w:rPr>
        <w:t>of</w:t>
      </w:r>
      <w:proofErr w:type="gramEnd"/>
      <w:r w:rsidR="00A736B0" w:rsidRPr="00446141">
        <w:rPr>
          <w:rFonts w:ascii="Times New Roman" w:hAnsi="Times New Roman" w:cs="Times New Roman"/>
          <w:sz w:val="24"/>
          <w:szCs w:val="24"/>
        </w:rPr>
        <w:t xml:space="preserve"> money allows this approach to provide an accurate calculation of the value that an investment project will add to a business organization. </w:t>
      </w:r>
    </w:p>
    <w:p w14:paraId="1B781DC6" w14:textId="0389AAD3" w:rsidR="004F276D" w:rsidRPr="00446141" w:rsidRDefault="00FA3DC0" w:rsidP="00446141">
      <w:pPr>
        <w:spacing w:line="360" w:lineRule="auto"/>
        <w:jc w:val="both"/>
        <w:rPr>
          <w:rFonts w:ascii="Times New Roman" w:hAnsi="Times New Roman" w:cs="Times New Roman"/>
          <w:sz w:val="24"/>
          <w:szCs w:val="24"/>
        </w:rPr>
      </w:pPr>
      <w:r w:rsidRPr="00446141">
        <w:rPr>
          <w:rFonts w:ascii="Times New Roman" w:hAnsi="Times New Roman" w:cs="Times New Roman"/>
          <w:b/>
          <w:bCs/>
          <w:sz w:val="24"/>
          <w:szCs w:val="24"/>
        </w:rPr>
        <w:t>Unique Outcome:</w:t>
      </w:r>
      <w:r w:rsidRPr="00446141">
        <w:rPr>
          <w:rFonts w:ascii="Times New Roman" w:hAnsi="Times New Roman" w:cs="Times New Roman"/>
          <w:sz w:val="24"/>
          <w:szCs w:val="24"/>
        </w:rPr>
        <w:t xml:space="preserve"> In comparison to </w:t>
      </w:r>
      <w:r w:rsidR="00287651" w:rsidRPr="00446141">
        <w:rPr>
          <w:rFonts w:ascii="Times New Roman" w:hAnsi="Times New Roman" w:cs="Times New Roman"/>
          <w:sz w:val="24"/>
          <w:szCs w:val="24"/>
        </w:rPr>
        <w:t xml:space="preserve">the </w:t>
      </w:r>
      <w:r w:rsidRPr="00446141">
        <w:rPr>
          <w:rFonts w:ascii="Times New Roman" w:hAnsi="Times New Roman" w:cs="Times New Roman"/>
          <w:sz w:val="24"/>
          <w:szCs w:val="24"/>
        </w:rPr>
        <w:t xml:space="preserve">Internal Rate of Return (IRR), NPV provides a unique result </w:t>
      </w:r>
      <w:r w:rsidR="00250549" w:rsidRPr="00446141">
        <w:rPr>
          <w:rFonts w:ascii="Times New Roman" w:hAnsi="Times New Roman" w:cs="Times New Roman"/>
          <w:sz w:val="24"/>
          <w:szCs w:val="24"/>
        </w:rPr>
        <w:t>that</w:t>
      </w:r>
      <w:r w:rsidRPr="00446141">
        <w:rPr>
          <w:rFonts w:ascii="Times New Roman" w:hAnsi="Times New Roman" w:cs="Times New Roman"/>
          <w:sz w:val="24"/>
          <w:szCs w:val="24"/>
        </w:rPr>
        <w:t xml:space="preserve"> can be easily compared with other investment projects for selecting the most appropriate investment project</w:t>
      </w:r>
      <w:r w:rsidR="0084565F" w:rsidRPr="00446141">
        <w:rPr>
          <w:rFonts w:ascii="Times New Roman" w:hAnsi="Times New Roman" w:cs="Times New Roman"/>
          <w:sz w:val="24"/>
          <w:szCs w:val="24"/>
        </w:rPr>
        <w:t xml:space="preserve"> (Arshad, 2012)</w:t>
      </w:r>
      <w:r w:rsidRPr="00446141">
        <w:rPr>
          <w:rFonts w:ascii="Times New Roman" w:hAnsi="Times New Roman" w:cs="Times New Roman"/>
          <w:sz w:val="24"/>
          <w:szCs w:val="24"/>
        </w:rPr>
        <w:t xml:space="preserve">. </w:t>
      </w:r>
    </w:p>
    <w:p w14:paraId="6A1AF79D" w14:textId="01955975" w:rsidR="00326392" w:rsidRPr="00446141" w:rsidRDefault="004F276D" w:rsidP="00446141">
      <w:pPr>
        <w:spacing w:line="360" w:lineRule="auto"/>
        <w:jc w:val="both"/>
        <w:rPr>
          <w:rFonts w:ascii="Times New Roman" w:hAnsi="Times New Roman" w:cs="Times New Roman"/>
          <w:sz w:val="24"/>
          <w:szCs w:val="24"/>
        </w:rPr>
      </w:pPr>
      <w:r w:rsidRPr="00446141">
        <w:rPr>
          <w:rFonts w:ascii="Times New Roman" w:hAnsi="Times New Roman" w:cs="Times New Roman"/>
          <w:b/>
          <w:bCs/>
          <w:sz w:val="24"/>
          <w:szCs w:val="24"/>
        </w:rPr>
        <w:t>Selection of Mutually Exclusive Project:</w:t>
      </w:r>
      <w:r w:rsidR="0084565F" w:rsidRPr="00446141">
        <w:rPr>
          <w:rFonts w:ascii="Times New Roman" w:hAnsi="Times New Roman" w:cs="Times New Roman"/>
          <w:b/>
          <w:bCs/>
          <w:sz w:val="24"/>
          <w:szCs w:val="24"/>
        </w:rPr>
        <w:t xml:space="preserve"> </w:t>
      </w:r>
      <w:r w:rsidR="008D2B3C" w:rsidRPr="00446141">
        <w:rPr>
          <w:rFonts w:ascii="Times New Roman" w:hAnsi="Times New Roman" w:cs="Times New Roman"/>
          <w:sz w:val="24"/>
          <w:szCs w:val="24"/>
        </w:rPr>
        <w:t xml:space="preserve">In some cases, finance </w:t>
      </w:r>
      <w:r w:rsidR="00250549" w:rsidRPr="00446141">
        <w:rPr>
          <w:rFonts w:ascii="Times New Roman" w:hAnsi="Times New Roman" w:cs="Times New Roman"/>
          <w:sz w:val="24"/>
          <w:szCs w:val="24"/>
        </w:rPr>
        <w:t>managers</w:t>
      </w:r>
      <w:r w:rsidR="008D2B3C" w:rsidRPr="00446141">
        <w:rPr>
          <w:rFonts w:ascii="Times New Roman" w:hAnsi="Times New Roman" w:cs="Times New Roman"/>
          <w:sz w:val="24"/>
          <w:szCs w:val="24"/>
        </w:rPr>
        <w:t xml:space="preserve"> are required to select one project and reject other projects due to fund </w:t>
      </w:r>
      <w:r w:rsidR="00250549" w:rsidRPr="00446141">
        <w:rPr>
          <w:rFonts w:ascii="Times New Roman" w:hAnsi="Times New Roman" w:cs="Times New Roman"/>
          <w:sz w:val="24"/>
          <w:szCs w:val="24"/>
        </w:rPr>
        <w:t>constraints</w:t>
      </w:r>
      <w:r w:rsidR="008D2B3C" w:rsidRPr="00446141">
        <w:rPr>
          <w:rFonts w:ascii="Times New Roman" w:hAnsi="Times New Roman" w:cs="Times New Roman"/>
          <w:sz w:val="24"/>
          <w:szCs w:val="24"/>
        </w:rPr>
        <w:t xml:space="preserve">. In this case, opportunity </w:t>
      </w:r>
      <w:r w:rsidR="00446141" w:rsidRPr="00446141">
        <w:rPr>
          <w:rFonts w:ascii="Times New Roman" w:hAnsi="Times New Roman" w:cs="Times New Roman"/>
          <w:sz w:val="24"/>
          <w:szCs w:val="24"/>
        </w:rPr>
        <w:t>costs play</w:t>
      </w:r>
      <w:r w:rsidR="008D2B3C" w:rsidRPr="00446141">
        <w:rPr>
          <w:rFonts w:ascii="Times New Roman" w:hAnsi="Times New Roman" w:cs="Times New Roman"/>
          <w:sz w:val="24"/>
          <w:szCs w:val="24"/>
        </w:rPr>
        <w:t xml:space="preserve"> a key role. </w:t>
      </w:r>
      <w:r w:rsidR="00506AF9" w:rsidRPr="00446141">
        <w:rPr>
          <w:rFonts w:ascii="Times New Roman" w:hAnsi="Times New Roman" w:cs="Times New Roman"/>
          <w:sz w:val="24"/>
          <w:szCs w:val="24"/>
        </w:rPr>
        <w:t>The</w:t>
      </w:r>
      <w:r w:rsidR="008D2B3C" w:rsidRPr="00446141">
        <w:rPr>
          <w:rFonts w:ascii="Times New Roman" w:hAnsi="Times New Roman" w:cs="Times New Roman"/>
          <w:sz w:val="24"/>
          <w:szCs w:val="24"/>
        </w:rPr>
        <w:t xml:space="preserve"> finance manager usually selects the project with </w:t>
      </w:r>
      <w:r w:rsidR="00506AF9" w:rsidRPr="00446141">
        <w:rPr>
          <w:rFonts w:ascii="Times New Roman" w:hAnsi="Times New Roman" w:cs="Times New Roman"/>
          <w:sz w:val="24"/>
          <w:szCs w:val="24"/>
        </w:rPr>
        <w:t xml:space="preserve">a </w:t>
      </w:r>
      <w:r w:rsidR="008D2B3C" w:rsidRPr="00446141">
        <w:rPr>
          <w:rFonts w:ascii="Times New Roman" w:hAnsi="Times New Roman" w:cs="Times New Roman"/>
          <w:sz w:val="24"/>
          <w:szCs w:val="24"/>
        </w:rPr>
        <w:t xml:space="preserve">higher NPV because the project with </w:t>
      </w:r>
      <w:r w:rsidR="00506AF9" w:rsidRPr="00446141">
        <w:rPr>
          <w:rFonts w:ascii="Times New Roman" w:hAnsi="Times New Roman" w:cs="Times New Roman"/>
          <w:sz w:val="24"/>
          <w:szCs w:val="24"/>
        </w:rPr>
        <w:t xml:space="preserve">a </w:t>
      </w:r>
      <w:r w:rsidR="008D2B3C" w:rsidRPr="00446141">
        <w:rPr>
          <w:rFonts w:ascii="Times New Roman" w:hAnsi="Times New Roman" w:cs="Times New Roman"/>
          <w:sz w:val="24"/>
          <w:szCs w:val="24"/>
        </w:rPr>
        <w:t xml:space="preserve">higher NPV will add more value to that business organization. In other words, </w:t>
      </w:r>
      <w:r w:rsidR="00506AF9" w:rsidRPr="00446141">
        <w:rPr>
          <w:rFonts w:ascii="Times New Roman" w:hAnsi="Times New Roman" w:cs="Times New Roman"/>
          <w:sz w:val="24"/>
          <w:szCs w:val="24"/>
        </w:rPr>
        <w:t xml:space="preserve">a </w:t>
      </w:r>
      <w:r w:rsidR="00326392" w:rsidRPr="00446141">
        <w:rPr>
          <w:rFonts w:ascii="Times New Roman" w:hAnsi="Times New Roman" w:cs="Times New Roman"/>
          <w:sz w:val="24"/>
          <w:szCs w:val="24"/>
        </w:rPr>
        <w:t>project with positive NPV will help a business organization to ensure its wealth maximization goal</w:t>
      </w:r>
      <w:r w:rsidR="0084565F" w:rsidRPr="00446141">
        <w:rPr>
          <w:rFonts w:ascii="Times New Roman" w:hAnsi="Times New Roman" w:cs="Times New Roman"/>
          <w:sz w:val="24"/>
          <w:szCs w:val="24"/>
        </w:rPr>
        <w:t xml:space="preserve"> (</w:t>
      </w:r>
      <w:proofErr w:type="spellStart"/>
      <w:r w:rsidR="0084565F" w:rsidRPr="00446141">
        <w:rPr>
          <w:rFonts w:ascii="Times New Roman" w:hAnsi="Times New Roman" w:cs="Times New Roman"/>
          <w:sz w:val="24"/>
          <w:szCs w:val="24"/>
        </w:rPr>
        <w:t>Benamraoui</w:t>
      </w:r>
      <w:proofErr w:type="spellEnd"/>
      <w:r w:rsidR="0084565F" w:rsidRPr="00446141">
        <w:rPr>
          <w:rFonts w:ascii="Times New Roman" w:hAnsi="Times New Roman" w:cs="Times New Roman"/>
          <w:sz w:val="24"/>
          <w:szCs w:val="24"/>
        </w:rPr>
        <w:t xml:space="preserve"> et al., 2016)</w:t>
      </w:r>
      <w:r w:rsidR="00326392" w:rsidRPr="00446141">
        <w:rPr>
          <w:rFonts w:ascii="Times New Roman" w:hAnsi="Times New Roman" w:cs="Times New Roman"/>
          <w:sz w:val="24"/>
          <w:szCs w:val="24"/>
        </w:rPr>
        <w:t xml:space="preserve">. </w:t>
      </w:r>
    </w:p>
    <w:p w14:paraId="61F7C655" w14:textId="42A4CA4C" w:rsidR="00126823" w:rsidRDefault="00326392" w:rsidP="00024502">
      <w:pPr>
        <w:spacing w:line="360" w:lineRule="auto"/>
        <w:jc w:val="both"/>
        <w:rPr>
          <w:rFonts w:ascii="Times New Roman" w:hAnsi="Times New Roman" w:cs="Times New Roman"/>
          <w:sz w:val="24"/>
          <w:szCs w:val="24"/>
        </w:rPr>
      </w:pPr>
      <w:r w:rsidRPr="00446141">
        <w:rPr>
          <w:rFonts w:ascii="Times New Roman" w:hAnsi="Times New Roman" w:cs="Times New Roman"/>
          <w:b/>
          <w:bCs/>
          <w:sz w:val="24"/>
          <w:szCs w:val="24"/>
        </w:rPr>
        <w:t>Consideration of Risk:</w:t>
      </w:r>
      <w:r w:rsidR="0084565F" w:rsidRPr="00446141">
        <w:rPr>
          <w:rFonts w:ascii="Times New Roman" w:hAnsi="Times New Roman" w:cs="Times New Roman"/>
          <w:b/>
          <w:bCs/>
          <w:sz w:val="24"/>
          <w:szCs w:val="24"/>
        </w:rPr>
        <w:t xml:space="preserve"> </w:t>
      </w:r>
      <w:r w:rsidR="00680EE6" w:rsidRPr="00446141">
        <w:rPr>
          <w:rFonts w:ascii="Times New Roman" w:hAnsi="Times New Roman" w:cs="Times New Roman"/>
          <w:sz w:val="24"/>
          <w:szCs w:val="24"/>
        </w:rPr>
        <w:t xml:space="preserve">NPV is a discounting investment appraisal method. The discount rate or the cost of capital used in this approach reflects the risk associated with the expected future cash </w:t>
      </w:r>
      <w:r w:rsidR="00680EE6" w:rsidRPr="00446141">
        <w:rPr>
          <w:rFonts w:ascii="Times New Roman" w:hAnsi="Times New Roman" w:cs="Times New Roman"/>
          <w:sz w:val="24"/>
          <w:szCs w:val="24"/>
        </w:rPr>
        <w:lastRenderedPageBreak/>
        <w:t xml:space="preserve">inflows. </w:t>
      </w:r>
      <w:r w:rsidR="00BE30A3" w:rsidRPr="00446141">
        <w:rPr>
          <w:rFonts w:ascii="Times New Roman" w:hAnsi="Times New Roman" w:cs="Times New Roman"/>
          <w:sz w:val="24"/>
          <w:szCs w:val="24"/>
        </w:rPr>
        <w:t xml:space="preserve">If there is a </w:t>
      </w:r>
      <w:r w:rsidR="00446141" w:rsidRPr="00446141">
        <w:rPr>
          <w:rFonts w:ascii="Times New Roman" w:hAnsi="Times New Roman" w:cs="Times New Roman"/>
          <w:sz w:val="24"/>
          <w:szCs w:val="24"/>
        </w:rPr>
        <w:t>huge, anticipated</w:t>
      </w:r>
      <w:r w:rsidR="00BE30A3" w:rsidRPr="00446141">
        <w:rPr>
          <w:rFonts w:ascii="Times New Roman" w:hAnsi="Times New Roman" w:cs="Times New Roman"/>
          <w:sz w:val="24"/>
          <w:szCs w:val="24"/>
        </w:rPr>
        <w:t xml:space="preserve"> risk associated with the investment project, then, the cost of capital or discount rate will be high and as a result</w:t>
      </w:r>
      <w:r w:rsidR="00287651" w:rsidRPr="00446141">
        <w:rPr>
          <w:rFonts w:ascii="Times New Roman" w:hAnsi="Times New Roman" w:cs="Times New Roman"/>
          <w:sz w:val="24"/>
          <w:szCs w:val="24"/>
        </w:rPr>
        <w:t>,</w:t>
      </w:r>
      <w:r w:rsidR="00BE30A3" w:rsidRPr="00446141">
        <w:rPr>
          <w:rFonts w:ascii="Times New Roman" w:hAnsi="Times New Roman" w:cs="Times New Roman"/>
          <w:sz w:val="24"/>
          <w:szCs w:val="24"/>
        </w:rPr>
        <w:t xml:space="preserve"> the NPV of that project will be low</w:t>
      </w:r>
      <w:r w:rsidR="00F9758F" w:rsidRPr="00446141">
        <w:rPr>
          <w:rFonts w:ascii="Times New Roman" w:hAnsi="Times New Roman" w:cs="Times New Roman"/>
          <w:sz w:val="24"/>
          <w:szCs w:val="24"/>
        </w:rPr>
        <w:t xml:space="preserve"> and vice versa</w:t>
      </w:r>
      <w:r w:rsidR="00E429AC" w:rsidRPr="00446141">
        <w:rPr>
          <w:rFonts w:ascii="Times New Roman" w:hAnsi="Times New Roman" w:cs="Times New Roman"/>
          <w:sz w:val="24"/>
          <w:szCs w:val="24"/>
        </w:rPr>
        <w:t xml:space="preserve"> (Magni, 2009)</w:t>
      </w:r>
      <w:r w:rsidR="00F9758F" w:rsidRPr="00446141">
        <w:rPr>
          <w:rFonts w:ascii="Times New Roman" w:hAnsi="Times New Roman" w:cs="Times New Roman"/>
          <w:sz w:val="24"/>
          <w:szCs w:val="24"/>
        </w:rPr>
        <w:t xml:space="preserve">. </w:t>
      </w:r>
      <w:r w:rsidR="00852BA4" w:rsidRPr="00446141">
        <w:rPr>
          <w:rFonts w:ascii="Times New Roman" w:hAnsi="Times New Roman" w:cs="Times New Roman"/>
          <w:sz w:val="24"/>
          <w:szCs w:val="24"/>
        </w:rPr>
        <w:t xml:space="preserve">In this way, this capital investment appraisal method </w:t>
      </w:r>
      <w:r w:rsidR="00446141" w:rsidRPr="00446141">
        <w:rPr>
          <w:rFonts w:ascii="Times New Roman" w:hAnsi="Times New Roman" w:cs="Times New Roman"/>
          <w:sz w:val="24"/>
          <w:szCs w:val="24"/>
        </w:rPr>
        <w:t>considers</w:t>
      </w:r>
      <w:r w:rsidR="00852BA4" w:rsidRPr="00446141">
        <w:rPr>
          <w:rFonts w:ascii="Times New Roman" w:hAnsi="Times New Roman" w:cs="Times New Roman"/>
          <w:sz w:val="24"/>
          <w:szCs w:val="24"/>
        </w:rPr>
        <w:t xml:space="preserve"> the risk associated with </w:t>
      </w:r>
      <w:r w:rsidR="005B3EA9" w:rsidRPr="00446141">
        <w:rPr>
          <w:rFonts w:ascii="Times New Roman" w:hAnsi="Times New Roman" w:cs="Times New Roman"/>
          <w:sz w:val="24"/>
          <w:szCs w:val="24"/>
        </w:rPr>
        <w:t xml:space="preserve">an </w:t>
      </w:r>
      <w:r w:rsidR="00852BA4" w:rsidRPr="00446141">
        <w:rPr>
          <w:rFonts w:ascii="Times New Roman" w:hAnsi="Times New Roman" w:cs="Times New Roman"/>
          <w:sz w:val="24"/>
          <w:szCs w:val="24"/>
        </w:rPr>
        <w:t xml:space="preserve">investment project. </w:t>
      </w:r>
    </w:p>
    <w:p w14:paraId="79809ECA" w14:textId="77777777" w:rsidR="009168B0" w:rsidRDefault="009168B0" w:rsidP="00446141">
      <w:pPr>
        <w:pStyle w:val="Heading2"/>
        <w:spacing w:line="360" w:lineRule="auto"/>
        <w:rPr>
          <w:rFonts w:ascii="Times New Roman" w:hAnsi="Times New Roman" w:cs="Times New Roman"/>
          <w:b/>
          <w:bCs/>
          <w:color w:val="auto"/>
          <w:sz w:val="24"/>
          <w:szCs w:val="24"/>
        </w:rPr>
      </w:pPr>
      <w:bookmarkStart w:id="9" w:name="_Toc187878304"/>
      <w:r w:rsidRPr="00446141">
        <w:rPr>
          <w:rFonts w:ascii="Times New Roman" w:hAnsi="Times New Roman" w:cs="Times New Roman"/>
          <w:b/>
          <w:bCs/>
          <w:color w:val="auto"/>
          <w:sz w:val="24"/>
          <w:szCs w:val="24"/>
        </w:rPr>
        <w:t>2.2 Continued Popularity of Non-Discounting Methods of Investment Appraisal</w:t>
      </w:r>
      <w:bookmarkEnd w:id="9"/>
    </w:p>
    <w:p w14:paraId="243E3C4F" w14:textId="77777777" w:rsidR="00446141" w:rsidRPr="00446141" w:rsidRDefault="00446141" w:rsidP="00446141"/>
    <w:p w14:paraId="5658AB82" w14:textId="50180222" w:rsidR="00126823" w:rsidRPr="00EB7119" w:rsidRDefault="00694645" w:rsidP="00446141">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Investment appraisal methods are broadly classified into two categories including non-discounting methods and discounting methods</w:t>
      </w:r>
      <w:r w:rsidR="00EB7119">
        <w:rPr>
          <w:rFonts w:ascii="Times New Roman" w:hAnsi="Times New Roman" w:cs="Times New Roman"/>
          <w:sz w:val="24"/>
          <w:szCs w:val="24"/>
        </w:rPr>
        <w:t xml:space="preserve"> </w:t>
      </w:r>
      <w:r w:rsidR="00EB7119">
        <w:rPr>
          <w:rFonts w:ascii="Times New Roman" w:hAnsi="Times New Roman" w:cs="Times New Roman"/>
          <w:color w:val="222222"/>
          <w:sz w:val="24"/>
          <w:szCs w:val="24"/>
          <w:shd w:val="clear" w:color="auto" w:fill="FFFFFF"/>
        </w:rPr>
        <w:t>(</w:t>
      </w:r>
      <w:r w:rsidR="00EB7119" w:rsidRPr="00713490">
        <w:rPr>
          <w:rFonts w:ascii="Times New Roman" w:hAnsi="Times New Roman" w:cs="Times New Roman"/>
          <w:color w:val="222222"/>
          <w:sz w:val="24"/>
          <w:szCs w:val="24"/>
          <w:shd w:val="clear" w:color="auto" w:fill="FFFFFF"/>
        </w:rPr>
        <w:t>Bierman Jr</w:t>
      </w:r>
      <w:r w:rsidR="00EB7119">
        <w:rPr>
          <w:rFonts w:ascii="Times New Roman" w:hAnsi="Times New Roman" w:cs="Times New Roman"/>
          <w:color w:val="222222"/>
          <w:sz w:val="24"/>
          <w:szCs w:val="24"/>
          <w:shd w:val="clear" w:color="auto" w:fill="FFFFFF"/>
        </w:rPr>
        <w:t xml:space="preserve"> &amp; </w:t>
      </w:r>
      <w:r w:rsidR="00EB7119" w:rsidRPr="00713490">
        <w:rPr>
          <w:rFonts w:ascii="Times New Roman" w:hAnsi="Times New Roman" w:cs="Times New Roman"/>
          <w:color w:val="222222"/>
          <w:sz w:val="24"/>
          <w:szCs w:val="24"/>
          <w:shd w:val="clear" w:color="auto" w:fill="FFFFFF"/>
        </w:rPr>
        <w:t>Smidt,</w:t>
      </w:r>
      <w:r w:rsidR="00EB7119">
        <w:rPr>
          <w:rFonts w:ascii="Times New Roman" w:hAnsi="Times New Roman" w:cs="Times New Roman"/>
          <w:color w:val="222222"/>
          <w:sz w:val="24"/>
          <w:szCs w:val="24"/>
          <w:shd w:val="clear" w:color="auto" w:fill="FFFFFF"/>
        </w:rPr>
        <w:t xml:space="preserve"> 2012)</w:t>
      </w:r>
      <w:r>
        <w:rPr>
          <w:rFonts w:ascii="Times New Roman" w:hAnsi="Times New Roman" w:cs="Times New Roman"/>
          <w:sz w:val="24"/>
          <w:szCs w:val="24"/>
        </w:rPr>
        <w:t xml:space="preserve">. Average or accounting rate of return (ARR) and pay-back period (PBP) are the two non-discounting methods of investment appraisal. </w:t>
      </w:r>
      <w:r w:rsidR="00B94138">
        <w:rPr>
          <w:rFonts w:ascii="Times New Roman" w:hAnsi="Times New Roman" w:cs="Times New Roman"/>
          <w:sz w:val="24"/>
          <w:szCs w:val="24"/>
        </w:rPr>
        <w:t xml:space="preserve">These non-discounting methods of investment appraisal are still popular among </w:t>
      </w:r>
      <w:r w:rsidR="00250549">
        <w:rPr>
          <w:rFonts w:ascii="Times New Roman" w:hAnsi="Times New Roman" w:cs="Times New Roman"/>
          <w:sz w:val="24"/>
          <w:szCs w:val="24"/>
        </w:rPr>
        <w:t>decision-makers</w:t>
      </w:r>
      <w:r w:rsidR="00B94138">
        <w:rPr>
          <w:rFonts w:ascii="Times New Roman" w:hAnsi="Times New Roman" w:cs="Times New Roman"/>
          <w:sz w:val="24"/>
          <w:szCs w:val="24"/>
        </w:rPr>
        <w:t xml:space="preserve"> for the following key reasons: </w:t>
      </w:r>
    </w:p>
    <w:p w14:paraId="22B88B72" w14:textId="2F25E4F3" w:rsidR="00772083" w:rsidRPr="00446141" w:rsidRDefault="00772083" w:rsidP="00446141">
      <w:pPr>
        <w:spacing w:line="360" w:lineRule="auto"/>
        <w:jc w:val="both"/>
        <w:rPr>
          <w:rFonts w:ascii="Times New Roman" w:hAnsi="Times New Roman" w:cs="Times New Roman"/>
          <w:sz w:val="24"/>
          <w:szCs w:val="24"/>
        </w:rPr>
      </w:pPr>
      <w:r w:rsidRPr="00446141">
        <w:rPr>
          <w:rFonts w:ascii="Times New Roman" w:hAnsi="Times New Roman" w:cs="Times New Roman"/>
          <w:b/>
          <w:sz w:val="24"/>
          <w:szCs w:val="24"/>
        </w:rPr>
        <w:t>Easy to Calculate:</w:t>
      </w:r>
      <w:r w:rsidRPr="00446141">
        <w:rPr>
          <w:rFonts w:ascii="Times New Roman" w:hAnsi="Times New Roman" w:cs="Times New Roman"/>
          <w:sz w:val="24"/>
          <w:szCs w:val="24"/>
        </w:rPr>
        <w:t xml:space="preserve"> The calculation process of these non-discounting methods is very easy and convenient. Therefore, </w:t>
      </w:r>
      <w:r w:rsidR="005B3EA9" w:rsidRPr="00446141">
        <w:rPr>
          <w:rFonts w:ascii="Times New Roman" w:hAnsi="Times New Roman" w:cs="Times New Roman"/>
          <w:sz w:val="24"/>
          <w:szCs w:val="24"/>
        </w:rPr>
        <w:t>decision-makers</w:t>
      </w:r>
      <w:r w:rsidRPr="00446141">
        <w:rPr>
          <w:rFonts w:ascii="Times New Roman" w:hAnsi="Times New Roman" w:cs="Times New Roman"/>
          <w:sz w:val="24"/>
          <w:szCs w:val="24"/>
        </w:rPr>
        <w:t xml:space="preserve"> prefer these non-discounting methods over discounting methods</w:t>
      </w:r>
      <w:r w:rsidR="00EB7119" w:rsidRPr="00446141">
        <w:rPr>
          <w:rFonts w:ascii="Times New Roman" w:hAnsi="Times New Roman" w:cs="Times New Roman"/>
          <w:sz w:val="24"/>
          <w:szCs w:val="24"/>
        </w:rPr>
        <w:t xml:space="preserve"> (Brealey, Myers &amp; Allen, 2014)</w:t>
      </w:r>
      <w:r w:rsidRPr="00446141">
        <w:rPr>
          <w:rFonts w:ascii="Times New Roman" w:hAnsi="Times New Roman" w:cs="Times New Roman"/>
          <w:sz w:val="24"/>
          <w:szCs w:val="24"/>
        </w:rPr>
        <w:t xml:space="preserve">. </w:t>
      </w:r>
    </w:p>
    <w:p w14:paraId="1CCA5980" w14:textId="611FB696" w:rsidR="006264B9" w:rsidRPr="00446141" w:rsidRDefault="006264B9" w:rsidP="00446141">
      <w:pPr>
        <w:spacing w:line="360" w:lineRule="auto"/>
        <w:jc w:val="both"/>
        <w:rPr>
          <w:rFonts w:ascii="Times New Roman" w:hAnsi="Times New Roman" w:cs="Times New Roman"/>
          <w:sz w:val="24"/>
          <w:szCs w:val="24"/>
        </w:rPr>
      </w:pPr>
      <w:r w:rsidRPr="00446141">
        <w:rPr>
          <w:rFonts w:ascii="Times New Roman" w:hAnsi="Times New Roman" w:cs="Times New Roman"/>
          <w:b/>
          <w:sz w:val="24"/>
          <w:szCs w:val="24"/>
        </w:rPr>
        <w:t xml:space="preserve">Align with </w:t>
      </w:r>
      <w:r w:rsidR="005B3EA9" w:rsidRPr="00446141">
        <w:rPr>
          <w:rFonts w:ascii="Times New Roman" w:hAnsi="Times New Roman" w:cs="Times New Roman"/>
          <w:b/>
          <w:sz w:val="24"/>
          <w:szCs w:val="24"/>
        </w:rPr>
        <w:t xml:space="preserve">the </w:t>
      </w:r>
      <w:r w:rsidRPr="00446141">
        <w:rPr>
          <w:rFonts w:ascii="Times New Roman" w:hAnsi="Times New Roman" w:cs="Times New Roman"/>
          <w:b/>
          <w:sz w:val="24"/>
          <w:szCs w:val="24"/>
        </w:rPr>
        <w:t xml:space="preserve">Short-Term Goal of </w:t>
      </w:r>
      <w:proofErr w:type="gramStart"/>
      <w:r w:rsidRPr="00446141">
        <w:rPr>
          <w:rFonts w:ascii="Times New Roman" w:hAnsi="Times New Roman" w:cs="Times New Roman"/>
          <w:b/>
          <w:sz w:val="24"/>
          <w:szCs w:val="24"/>
        </w:rPr>
        <w:t>A</w:t>
      </w:r>
      <w:proofErr w:type="gramEnd"/>
      <w:r w:rsidRPr="00446141">
        <w:rPr>
          <w:rFonts w:ascii="Times New Roman" w:hAnsi="Times New Roman" w:cs="Times New Roman"/>
          <w:b/>
          <w:sz w:val="24"/>
          <w:szCs w:val="24"/>
        </w:rPr>
        <w:t xml:space="preserve"> Firm: </w:t>
      </w:r>
      <w:r w:rsidR="00B46402" w:rsidRPr="00446141">
        <w:rPr>
          <w:rFonts w:ascii="Times New Roman" w:hAnsi="Times New Roman" w:cs="Times New Roman"/>
          <w:sz w:val="24"/>
          <w:szCs w:val="24"/>
        </w:rPr>
        <w:t>According to finance literature, the short-term goal of a business organization is “profit maximization”. Average or accounting rate of return (ARR), a non-discounting method of investment appraisal, supports this short-term goal of a firm by recommending an investment option with better profitability compared to other investment options</w:t>
      </w:r>
      <w:r w:rsidR="00EB7119" w:rsidRPr="00446141">
        <w:rPr>
          <w:rFonts w:ascii="Times New Roman" w:hAnsi="Times New Roman" w:cs="Times New Roman"/>
          <w:sz w:val="24"/>
          <w:szCs w:val="24"/>
        </w:rPr>
        <w:t xml:space="preserve"> (Jordan, Ross &amp; </w:t>
      </w:r>
      <w:proofErr w:type="spellStart"/>
      <w:r w:rsidR="00EB7119" w:rsidRPr="00446141">
        <w:rPr>
          <w:rFonts w:ascii="Times New Roman" w:hAnsi="Times New Roman" w:cs="Times New Roman"/>
          <w:sz w:val="24"/>
          <w:szCs w:val="24"/>
        </w:rPr>
        <w:t>Westerfield</w:t>
      </w:r>
      <w:proofErr w:type="spellEnd"/>
      <w:r w:rsidR="00EB7119" w:rsidRPr="00446141">
        <w:rPr>
          <w:rFonts w:ascii="Times New Roman" w:hAnsi="Times New Roman" w:cs="Times New Roman"/>
          <w:sz w:val="24"/>
          <w:szCs w:val="24"/>
        </w:rPr>
        <w:t>, 2003)</w:t>
      </w:r>
      <w:r w:rsidR="00B46402" w:rsidRPr="00446141">
        <w:rPr>
          <w:rFonts w:ascii="Times New Roman" w:hAnsi="Times New Roman" w:cs="Times New Roman"/>
          <w:sz w:val="24"/>
          <w:szCs w:val="24"/>
        </w:rPr>
        <w:t xml:space="preserve">. </w:t>
      </w:r>
    </w:p>
    <w:p w14:paraId="19D8491C" w14:textId="10B74005" w:rsidR="001135DA" w:rsidRPr="00446141" w:rsidRDefault="001135DA" w:rsidP="00446141">
      <w:pPr>
        <w:spacing w:line="360" w:lineRule="auto"/>
        <w:jc w:val="both"/>
        <w:rPr>
          <w:rFonts w:ascii="Times New Roman" w:hAnsi="Times New Roman" w:cs="Times New Roman"/>
          <w:sz w:val="24"/>
          <w:szCs w:val="24"/>
        </w:rPr>
      </w:pPr>
      <w:r w:rsidRPr="00446141">
        <w:rPr>
          <w:rFonts w:ascii="Times New Roman" w:hAnsi="Times New Roman" w:cs="Times New Roman"/>
          <w:b/>
          <w:sz w:val="24"/>
          <w:szCs w:val="24"/>
        </w:rPr>
        <w:t>Consideration of Liquidity:</w:t>
      </w:r>
      <w:r w:rsidRPr="00446141">
        <w:rPr>
          <w:rFonts w:ascii="Times New Roman" w:hAnsi="Times New Roman" w:cs="Times New Roman"/>
          <w:sz w:val="24"/>
          <w:szCs w:val="24"/>
        </w:rPr>
        <w:t xml:space="preserve"> Liquidity is considered the </w:t>
      </w:r>
      <w:r w:rsidR="005B3EA9" w:rsidRPr="00446141">
        <w:rPr>
          <w:rFonts w:ascii="Times New Roman" w:hAnsi="Times New Roman" w:cs="Times New Roman"/>
          <w:sz w:val="24"/>
          <w:szCs w:val="24"/>
        </w:rPr>
        <w:t>lifeline</w:t>
      </w:r>
      <w:r w:rsidRPr="00446141">
        <w:rPr>
          <w:rFonts w:ascii="Times New Roman" w:hAnsi="Times New Roman" w:cs="Times New Roman"/>
          <w:sz w:val="24"/>
          <w:szCs w:val="24"/>
        </w:rPr>
        <w:t xml:space="preserve"> of any business organization. To safeguard a business from default risk, every efficient finance manager tries to maintain a standard amount of liquid </w:t>
      </w:r>
      <w:r w:rsidR="005B3EA9" w:rsidRPr="00446141">
        <w:rPr>
          <w:rFonts w:ascii="Times New Roman" w:hAnsi="Times New Roman" w:cs="Times New Roman"/>
          <w:sz w:val="24"/>
          <w:szCs w:val="24"/>
        </w:rPr>
        <w:t>assets</w:t>
      </w:r>
      <w:r w:rsidRPr="00446141">
        <w:rPr>
          <w:rFonts w:ascii="Times New Roman" w:hAnsi="Times New Roman" w:cs="Times New Roman"/>
          <w:sz w:val="24"/>
          <w:szCs w:val="24"/>
        </w:rPr>
        <w:t xml:space="preserve"> and therefore wants to know </w:t>
      </w:r>
      <w:r w:rsidR="001C6FBE" w:rsidRPr="00446141">
        <w:rPr>
          <w:rFonts w:ascii="Times New Roman" w:hAnsi="Times New Roman" w:cs="Times New Roman"/>
          <w:sz w:val="24"/>
          <w:szCs w:val="24"/>
        </w:rPr>
        <w:t xml:space="preserve">at what future time the investment option will repay its initial investment. </w:t>
      </w:r>
      <w:r w:rsidR="0063534F" w:rsidRPr="00446141">
        <w:rPr>
          <w:rFonts w:ascii="Times New Roman" w:hAnsi="Times New Roman" w:cs="Times New Roman"/>
          <w:sz w:val="24"/>
          <w:szCs w:val="24"/>
        </w:rPr>
        <w:t>Pay-back period (PBP), a non-discounting method</w:t>
      </w:r>
      <w:r w:rsidR="00622F88" w:rsidRPr="00446141">
        <w:rPr>
          <w:rFonts w:ascii="Times New Roman" w:hAnsi="Times New Roman" w:cs="Times New Roman"/>
          <w:sz w:val="24"/>
          <w:szCs w:val="24"/>
        </w:rPr>
        <w:t xml:space="preserve"> </w:t>
      </w:r>
      <w:r w:rsidR="005B3EA9" w:rsidRPr="00446141">
        <w:rPr>
          <w:rFonts w:ascii="Times New Roman" w:hAnsi="Times New Roman" w:cs="Times New Roman"/>
          <w:sz w:val="24"/>
          <w:szCs w:val="24"/>
        </w:rPr>
        <w:t xml:space="preserve">that </w:t>
      </w:r>
      <w:r w:rsidR="00622F88" w:rsidRPr="00446141">
        <w:rPr>
          <w:rFonts w:ascii="Times New Roman" w:hAnsi="Times New Roman" w:cs="Times New Roman"/>
          <w:sz w:val="24"/>
          <w:szCs w:val="24"/>
        </w:rPr>
        <w:t>considers cash flow instead of net profit</w:t>
      </w:r>
      <w:r w:rsidR="0063534F" w:rsidRPr="00446141">
        <w:rPr>
          <w:rFonts w:ascii="Times New Roman" w:hAnsi="Times New Roman" w:cs="Times New Roman"/>
          <w:sz w:val="24"/>
          <w:szCs w:val="24"/>
        </w:rPr>
        <w:t xml:space="preserve">, gives </w:t>
      </w:r>
      <w:r w:rsidR="005B3EA9" w:rsidRPr="00446141">
        <w:rPr>
          <w:rFonts w:ascii="Times New Roman" w:hAnsi="Times New Roman" w:cs="Times New Roman"/>
          <w:sz w:val="24"/>
          <w:szCs w:val="24"/>
        </w:rPr>
        <w:t xml:space="preserve">an </w:t>
      </w:r>
      <w:r w:rsidR="0063534F" w:rsidRPr="00446141">
        <w:rPr>
          <w:rFonts w:ascii="Times New Roman" w:hAnsi="Times New Roman" w:cs="Times New Roman"/>
          <w:sz w:val="24"/>
          <w:szCs w:val="24"/>
        </w:rPr>
        <w:t>idea about at what future date the business organization will be able to get back the initial investment from the investment option</w:t>
      </w:r>
      <w:r w:rsidR="00EB7119" w:rsidRPr="00446141">
        <w:rPr>
          <w:rFonts w:ascii="Times New Roman" w:hAnsi="Times New Roman" w:cs="Times New Roman"/>
          <w:sz w:val="24"/>
          <w:szCs w:val="24"/>
        </w:rPr>
        <w:t xml:space="preserve"> (</w:t>
      </w:r>
      <w:proofErr w:type="spellStart"/>
      <w:r w:rsidR="00EB7119" w:rsidRPr="00446141">
        <w:rPr>
          <w:rFonts w:ascii="Times New Roman" w:hAnsi="Times New Roman" w:cs="Times New Roman"/>
          <w:sz w:val="24"/>
          <w:szCs w:val="24"/>
        </w:rPr>
        <w:t>Tirole</w:t>
      </w:r>
      <w:proofErr w:type="spellEnd"/>
      <w:r w:rsidR="00EB7119" w:rsidRPr="00446141">
        <w:rPr>
          <w:rFonts w:ascii="Times New Roman" w:hAnsi="Times New Roman" w:cs="Times New Roman"/>
          <w:sz w:val="24"/>
          <w:szCs w:val="24"/>
        </w:rPr>
        <w:t>, 2010)</w:t>
      </w:r>
      <w:r w:rsidR="0063534F" w:rsidRPr="00446141">
        <w:rPr>
          <w:rFonts w:ascii="Times New Roman" w:hAnsi="Times New Roman" w:cs="Times New Roman"/>
          <w:sz w:val="24"/>
          <w:szCs w:val="24"/>
        </w:rPr>
        <w:t xml:space="preserve">. </w:t>
      </w:r>
      <w:r w:rsidR="00113CA7" w:rsidRPr="00446141">
        <w:rPr>
          <w:rFonts w:ascii="Times New Roman" w:hAnsi="Times New Roman" w:cs="Times New Roman"/>
          <w:sz w:val="24"/>
          <w:szCs w:val="24"/>
        </w:rPr>
        <w:t xml:space="preserve">By using this non-discounting method, a finance manager can know at what time he will get back the initial outlay and can make future investment </w:t>
      </w:r>
      <w:r w:rsidR="005B3EA9" w:rsidRPr="00446141">
        <w:rPr>
          <w:rFonts w:ascii="Times New Roman" w:hAnsi="Times New Roman" w:cs="Times New Roman"/>
          <w:sz w:val="24"/>
          <w:szCs w:val="24"/>
        </w:rPr>
        <w:t>plans</w:t>
      </w:r>
      <w:r w:rsidR="00113CA7" w:rsidRPr="00446141">
        <w:rPr>
          <w:rFonts w:ascii="Times New Roman" w:hAnsi="Times New Roman" w:cs="Times New Roman"/>
          <w:sz w:val="24"/>
          <w:szCs w:val="24"/>
        </w:rPr>
        <w:t xml:space="preserve"> accordingly. </w:t>
      </w:r>
    </w:p>
    <w:p w14:paraId="19798733" w14:textId="1CD2ADC9" w:rsidR="00F95D91" w:rsidRPr="00446141" w:rsidRDefault="00F95D91" w:rsidP="00446141">
      <w:pPr>
        <w:spacing w:line="360" w:lineRule="auto"/>
        <w:jc w:val="both"/>
        <w:rPr>
          <w:rFonts w:ascii="Times New Roman" w:hAnsi="Times New Roman" w:cs="Times New Roman"/>
          <w:sz w:val="24"/>
          <w:szCs w:val="24"/>
        </w:rPr>
      </w:pPr>
      <w:r w:rsidRPr="00446141">
        <w:rPr>
          <w:rFonts w:ascii="Times New Roman" w:hAnsi="Times New Roman" w:cs="Times New Roman"/>
          <w:b/>
          <w:sz w:val="24"/>
          <w:szCs w:val="24"/>
        </w:rPr>
        <w:t>Avoiding Complexity Associated with Calculation of Discount Rate:</w:t>
      </w:r>
      <w:r w:rsidR="00EB7119" w:rsidRPr="00446141">
        <w:rPr>
          <w:rFonts w:ascii="Times New Roman" w:hAnsi="Times New Roman" w:cs="Times New Roman"/>
          <w:b/>
          <w:sz w:val="24"/>
          <w:szCs w:val="24"/>
        </w:rPr>
        <w:t xml:space="preserve"> </w:t>
      </w:r>
      <w:r w:rsidR="00B22FA4" w:rsidRPr="00446141">
        <w:rPr>
          <w:rFonts w:ascii="Times New Roman" w:hAnsi="Times New Roman" w:cs="Times New Roman"/>
          <w:sz w:val="24"/>
          <w:szCs w:val="24"/>
        </w:rPr>
        <w:t xml:space="preserve">Discount rate is a very crucial input variable for discounting methods of investment </w:t>
      </w:r>
      <w:r w:rsidR="00E979EC" w:rsidRPr="00446141">
        <w:rPr>
          <w:rFonts w:ascii="Times New Roman" w:hAnsi="Times New Roman" w:cs="Times New Roman"/>
          <w:sz w:val="24"/>
          <w:szCs w:val="24"/>
        </w:rPr>
        <w:t>appraisal,</w:t>
      </w:r>
      <w:r w:rsidR="00B22FA4" w:rsidRPr="00446141">
        <w:rPr>
          <w:rFonts w:ascii="Times New Roman" w:hAnsi="Times New Roman" w:cs="Times New Roman"/>
          <w:sz w:val="24"/>
          <w:szCs w:val="24"/>
        </w:rPr>
        <w:t xml:space="preserve"> </w:t>
      </w:r>
      <w:r w:rsidR="00454CC3" w:rsidRPr="00446141">
        <w:rPr>
          <w:rFonts w:ascii="Times New Roman" w:hAnsi="Times New Roman" w:cs="Times New Roman"/>
          <w:sz w:val="24"/>
          <w:szCs w:val="24"/>
        </w:rPr>
        <w:t>especially</w:t>
      </w:r>
      <w:r w:rsidR="00B22FA4" w:rsidRPr="00446141">
        <w:rPr>
          <w:rFonts w:ascii="Times New Roman" w:hAnsi="Times New Roman" w:cs="Times New Roman"/>
          <w:sz w:val="24"/>
          <w:szCs w:val="24"/>
        </w:rPr>
        <w:t xml:space="preserve"> for NPV and </w:t>
      </w:r>
      <w:r w:rsidR="00B22FA4" w:rsidRPr="00446141">
        <w:rPr>
          <w:rFonts w:ascii="Times New Roman" w:hAnsi="Times New Roman" w:cs="Times New Roman"/>
          <w:sz w:val="24"/>
          <w:szCs w:val="24"/>
        </w:rPr>
        <w:lastRenderedPageBreak/>
        <w:t xml:space="preserve">IRR. </w:t>
      </w:r>
      <w:r w:rsidR="00250549" w:rsidRPr="00446141">
        <w:rPr>
          <w:rFonts w:ascii="Times New Roman" w:hAnsi="Times New Roman" w:cs="Times New Roman"/>
          <w:sz w:val="24"/>
          <w:szCs w:val="24"/>
        </w:rPr>
        <w:t>However,</w:t>
      </w:r>
      <w:r w:rsidR="00454CC3" w:rsidRPr="00446141">
        <w:rPr>
          <w:rFonts w:ascii="Times New Roman" w:hAnsi="Times New Roman" w:cs="Times New Roman"/>
          <w:sz w:val="24"/>
          <w:szCs w:val="24"/>
        </w:rPr>
        <w:t xml:space="preserve"> </w:t>
      </w:r>
      <w:r w:rsidR="005B3EA9" w:rsidRPr="00446141">
        <w:rPr>
          <w:rFonts w:ascii="Times New Roman" w:hAnsi="Times New Roman" w:cs="Times New Roman"/>
          <w:sz w:val="24"/>
          <w:szCs w:val="24"/>
        </w:rPr>
        <w:t xml:space="preserve">the </w:t>
      </w:r>
      <w:r w:rsidR="00454CC3" w:rsidRPr="00446141">
        <w:rPr>
          <w:rFonts w:ascii="Times New Roman" w:hAnsi="Times New Roman" w:cs="Times New Roman"/>
          <w:sz w:val="24"/>
          <w:szCs w:val="24"/>
        </w:rPr>
        <w:t xml:space="preserve">calculation of </w:t>
      </w:r>
      <w:r w:rsidR="005B3EA9" w:rsidRPr="00446141">
        <w:rPr>
          <w:rFonts w:ascii="Times New Roman" w:hAnsi="Times New Roman" w:cs="Times New Roman"/>
          <w:sz w:val="24"/>
          <w:szCs w:val="24"/>
        </w:rPr>
        <w:t xml:space="preserve">the </w:t>
      </w:r>
      <w:r w:rsidR="00454CC3" w:rsidRPr="00446141">
        <w:rPr>
          <w:rFonts w:ascii="Times New Roman" w:hAnsi="Times New Roman" w:cs="Times New Roman"/>
          <w:sz w:val="24"/>
          <w:szCs w:val="24"/>
        </w:rPr>
        <w:t xml:space="preserve">discount rate is a very complex task for a finance manager </w:t>
      </w:r>
      <w:r w:rsidR="005E333E" w:rsidRPr="00446141">
        <w:rPr>
          <w:rFonts w:ascii="Times New Roman" w:hAnsi="Times New Roman" w:cs="Times New Roman"/>
          <w:sz w:val="24"/>
          <w:szCs w:val="24"/>
        </w:rPr>
        <w:t>because it</w:t>
      </w:r>
      <w:r w:rsidR="00454CC3" w:rsidRPr="00446141">
        <w:rPr>
          <w:rFonts w:ascii="Times New Roman" w:hAnsi="Times New Roman" w:cs="Times New Roman"/>
          <w:sz w:val="24"/>
          <w:szCs w:val="24"/>
        </w:rPr>
        <w:t xml:space="preserve"> includes </w:t>
      </w:r>
      <w:r w:rsidR="00E94BC2" w:rsidRPr="00446141">
        <w:rPr>
          <w:rFonts w:ascii="Times New Roman" w:hAnsi="Times New Roman" w:cs="Times New Roman"/>
          <w:sz w:val="24"/>
          <w:szCs w:val="24"/>
        </w:rPr>
        <w:t xml:space="preserve">the </w:t>
      </w:r>
      <w:r w:rsidR="0088397A" w:rsidRPr="00446141">
        <w:rPr>
          <w:rFonts w:ascii="Times New Roman" w:hAnsi="Times New Roman" w:cs="Times New Roman"/>
          <w:sz w:val="24"/>
          <w:szCs w:val="24"/>
        </w:rPr>
        <w:t xml:space="preserve">estimation of </w:t>
      </w:r>
      <w:r w:rsidR="005B3EA9" w:rsidRPr="00446141">
        <w:rPr>
          <w:rFonts w:ascii="Times New Roman" w:hAnsi="Times New Roman" w:cs="Times New Roman"/>
          <w:sz w:val="24"/>
          <w:szCs w:val="24"/>
        </w:rPr>
        <w:t xml:space="preserve">the </w:t>
      </w:r>
      <w:r w:rsidR="0088397A" w:rsidRPr="00446141">
        <w:rPr>
          <w:rFonts w:ascii="Times New Roman" w:hAnsi="Times New Roman" w:cs="Times New Roman"/>
          <w:sz w:val="24"/>
          <w:szCs w:val="24"/>
        </w:rPr>
        <w:t>cost of capital and different forms of risk premiums</w:t>
      </w:r>
      <w:r w:rsidR="005E333E" w:rsidRPr="00446141">
        <w:rPr>
          <w:rFonts w:ascii="Times New Roman" w:hAnsi="Times New Roman" w:cs="Times New Roman"/>
          <w:sz w:val="24"/>
          <w:szCs w:val="24"/>
        </w:rPr>
        <w:t xml:space="preserve"> which </w:t>
      </w:r>
      <w:r w:rsidR="00264C4D" w:rsidRPr="00446141">
        <w:rPr>
          <w:rFonts w:ascii="Times New Roman" w:hAnsi="Times New Roman" w:cs="Times New Roman"/>
          <w:sz w:val="24"/>
          <w:szCs w:val="24"/>
        </w:rPr>
        <w:t>are</w:t>
      </w:r>
      <w:r w:rsidR="005E333E" w:rsidRPr="00446141">
        <w:rPr>
          <w:rFonts w:ascii="Times New Roman" w:hAnsi="Times New Roman" w:cs="Times New Roman"/>
          <w:sz w:val="24"/>
          <w:szCs w:val="24"/>
        </w:rPr>
        <w:t xml:space="preserve"> mostly subjective and differ from person to person</w:t>
      </w:r>
      <w:r w:rsidR="00EB7119" w:rsidRPr="00446141">
        <w:rPr>
          <w:rFonts w:ascii="Times New Roman" w:hAnsi="Times New Roman" w:cs="Times New Roman"/>
          <w:sz w:val="24"/>
          <w:szCs w:val="24"/>
        </w:rPr>
        <w:t xml:space="preserve"> (Gitman, </w:t>
      </w:r>
      <w:proofErr w:type="spellStart"/>
      <w:r w:rsidR="00EB7119" w:rsidRPr="00446141">
        <w:rPr>
          <w:rFonts w:ascii="Times New Roman" w:hAnsi="Times New Roman" w:cs="Times New Roman"/>
          <w:sz w:val="24"/>
          <w:szCs w:val="24"/>
        </w:rPr>
        <w:t>Juchau</w:t>
      </w:r>
      <w:proofErr w:type="spellEnd"/>
      <w:r w:rsidR="00EB7119" w:rsidRPr="00446141">
        <w:rPr>
          <w:rFonts w:ascii="Times New Roman" w:hAnsi="Times New Roman" w:cs="Times New Roman"/>
          <w:sz w:val="24"/>
          <w:szCs w:val="24"/>
        </w:rPr>
        <w:t xml:space="preserve"> &amp; Flanagan, 2015)</w:t>
      </w:r>
      <w:r w:rsidR="005E333E" w:rsidRPr="00446141">
        <w:rPr>
          <w:rFonts w:ascii="Times New Roman" w:hAnsi="Times New Roman" w:cs="Times New Roman"/>
          <w:sz w:val="24"/>
          <w:szCs w:val="24"/>
        </w:rPr>
        <w:t xml:space="preserve">. </w:t>
      </w:r>
      <w:r w:rsidR="00006855" w:rsidRPr="00446141">
        <w:rPr>
          <w:rFonts w:ascii="Times New Roman" w:hAnsi="Times New Roman" w:cs="Times New Roman"/>
          <w:sz w:val="24"/>
          <w:szCs w:val="24"/>
        </w:rPr>
        <w:t xml:space="preserve">To avoid the complexity associated with </w:t>
      </w:r>
      <w:r w:rsidR="005B3EA9" w:rsidRPr="00446141">
        <w:rPr>
          <w:rFonts w:ascii="Times New Roman" w:hAnsi="Times New Roman" w:cs="Times New Roman"/>
          <w:sz w:val="24"/>
          <w:szCs w:val="24"/>
        </w:rPr>
        <w:t xml:space="preserve">the </w:t>
      </w:r>
      <w:r w:rsidR="00006855" w:rsidRPr="00446141">
        <w:rPr>
          <w:rFonts w:ascii="Times New Roman" w:hAnsi="Times New Roman" w:cs="Times New Roman"/>
          <w:sz w:val="24"/>
          <w:szCs w:val="24"/>
        </w:rPr>
        <w:t xml:space="preserve">calculation of discount </w:t>
      </w:r>
      <w:r w:rsidR="005B3EA9" w:rsidRPr="00446141">
        <w:rPr>
          <w:rFonts w:ascii="Times New Roman" w:hAnsi="Times New Roman" w:cs="Times New Roman"/>
          <w:sz w:val="24"/>
          <w:szCs w:val="24"/>
        </w:rPr>
        <w:t>rates</w:t>
      </w:r>
      <w:r w:rsidR="00006855" w:rsidRPr="00446141">
        <w:rPr>
          <w:rFonts w:ascii="Times New Roman" w:hAnsi="Times New Roman" w:cs="Times New Roman"/>
          <w:sz w:val="24"/>
          <w:szCs w:val="24"/>
        </w:rPr>
        <w:t xml:space="preserve">, </w:t>
      </w:r>
      <w:r w:rsidR="005B3EA9" w:rsidRPr="00446141">
        <w:rPr>
          <w:rFonts w:ascii="Times New Roman" w:hAnsi="Times New Roman" w:cs="Times New Roman"/>
          <w:sz w:val="24"/>
          <w:szCs w:val="24"/>
        </w:rPr>
        <w:t>decision-makers</w:t>
      </w:r>
      <w:r w:rsidR="00B027A5" w:rsidRPr="00446141">
        <w:rPr>
          <w:rFonts w:ascii="Times New Roman" w:hAnsi="Times New Roman" w:cs="Times New Roman"/>
          <w:sz w:val="24"/>
          <w:szCs w:val="24"/>
        </w:rPr>
        <w:t xml:space="preserve"> prefer non-discounting methods. </w:t>
      </w:r>
    </w:p>
    <w:p w14:paraId="688B6F8D" w14:textId="4D8ABCF3" w:rsidR="00126823" w:rsidRDefault="005410E5" w:rsidP="004461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Although non-discounting methods failed to consider the time value of money and wealth maximization goal, the simplicity of calculation and </w:t>
      </w:r>
      <w:r w:rsidR="002F109B">
        <w:rPr>
          <w:rFonts w:ascii="Times New Roman" w:hAnsi="Times New Roman" w:cs="Times New Roman"/>
          <w:sz w:val="24"/>
          <w:szCs w:val="24"/>
        </w:rPr>
        <w:t xml:space="preserve">consideration of both profitability &amp; liquidity makes these non-discounting methods popular among the decision makers </w:t>
      </w:r>
      <w:r w:rsidR="00FF5F1C">
        <w:rPr>
          <w:rFonts w:ascii="Times New Roman" w:hAnsi="Times New Roman" w:cs="Times New Roman"/>
          <w:sz w:val="24"/>
          <w:szCs w:val="24"/>
        </w:rPr>
        <w:t xml:space="preserve">for evaluating investment options. </w:t>
      </w:r>
    </w:p>
    <w:p w14:paraId="48435E19" w14:textId="77777777" w:rsidR="00E54D01" w:rsidRPr="00446141" w:rsidRDefault="00E54D01" w:rsidP="00446141">
      <w:pPr>
        <w:pStyle w:val="Heading2"/>
        <w:spacing w:line="360" w:lineRule="auto"/>
        <w:rPr>
          <w:rFonts w:ascii="Times New Roman" w:hAnsi="Times New Roman" w:cs="Times New Roman"/>
          <w:b/>
          <w:bCs/>
          <w:color w:val="auto"/>
          <w:sz w:val="24"/>
          <w:szCs w:val="24"/>
          <w:lang w:val="en-GB"/>
        </w:rPr>
      </w:pPr>
      <w:bookmarkStart w:id="10" w:name="_Toc187878305"/>
      <w:r w:rsidRPr="00446141">
        <w:rPr>
          <w:rFonts w:ascii="Times New Roman" w:hAnsi="Times New Roman" w:cs="Times New Roman"/>
          <w:b/>
          <w:bCs/>
          <w:color w:val="auto"/>
          <w:sz w:val="24"/>
          <w:szCs w:val="24"/>
        </w:rPr>
        <w:t xml:space="preserve">2.3 Evaluation of The Investment Options of </w:t>
      </w:r>
      <w:r w:rsidRPr="00446141">
        <w:rPr>
          <w:rFonts w:ascii="Times New Roman" w:hAnsi="Times New Roman" w:cs="Times New Roman"/>
          <w:b/>
          <w:bCs/>
          <w:color w:val="auto"/>
          <w:sz w:val="24"/>
          <w:szCs w:val="24"/>
          <w:lang w:val="en-GB"/>
        </w:rPr>
        <w:t>Greenacres Plc</w:t>
      </w:r>
      <w:bookmarkEnd w:id="10"/>
    </w:p>
    <w:p w14:paraId="262F45CB" w14:textId="77777777" w:rsidR="00446141" w:rsidRPr="00446141" w:rsidRDefault="00446141" w:rsidP="00446141">
      <w:pPr>
        <w:spacing w:line="240" w:lineRule="auto"/>
        <w:rPr>
          <w:lang w:val="en-GB"/>
        </w:rPr>
      </w:pPr>
    </w:p>
    <w:p w14:paraId="5B7DB1CF" w14:textId="77777777" w:rsidR="00126823" w:rsidRDefault="00607A4B" w:rsidP="00446141">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The directors of </w:t>
      </w:r>
      <w:r w:rsidRPr="00607A4B">
        <w:rPr>
          <w:rFonts w:ascii="Times New Roman" w:hAnsi="Times New Roman" w:cs="Times New Roman"/>
          <w:sz w:val="24"/>
          <w:szCs w:val="24"/>
          <w:lang w:val="en-GB"/>
        </w:rPr>
        <w:t>Greenacres Plc</w:t>
      </w:r>
      <w:r>
        <w:rPr>
          <w:rFonts w:ascii="Times New Roman" w:hAnsi="Times New Roman" w:cs="Times New Roman"/>
          <w:sz w:val="24"/>
          <w:szCs w:val="24"/>
          <w:lang w:val="en-GB"/>
        </w:rPr>
        <w:t xml:space="preserve"> are considering three investment options for expanding the current business operations. </w:t>
      </w:r>
      <w:r w:rsidR="007C5ABA">
        <w:rPr>
          <w:rFonts w:ascii="Times New Roman" w:hAnsi="Times New Roman" w:cs="Times New Roman"/>
          <w:sz w:val="24"/>
          <w:szCs w:val="24"/>
          <w:lang w:val="en-GB"/>
        </w:rPr>
        <w:t xml:space="preserve">NPV will be used to evaluate these investment options and to select the most appropriate one. </w:t>
      </w:r>
    </w:p>
    <w:p w14:paraId="1BC4402F" w14:textId="77777777" w:rsidR="00024502" w:rsidRDefault="005D78F6" w:rsidP="00024502">
      <w:pPr>
        <w:pStyle w:val="Heading3"/>
        <w:numPr>
          <w:ilvl w:val="2"/>
          <w:numId w:val="41"/>
        </w:numPr>
        <w:spacing w:line="480" w:lineRule="auto"/>
        <w:rPr>
          <w:rFonts w:ascii="Times New Roman" w:hAnsi="Times New Roman" w:cs="Times New Roman"/>
          <w:b/>
          <w:bCs/>
          <w:color w:val="auto"/>
          <w:lang w:val="en-GB"/>
        </w:rPr>
      </w:pPr>
      <w:bookmarkStart w:id="11" w:name="_Toc187878306"/>
      <w:r w:rsidRPr="00446141">
        <w:rPr>
          <w:rFonts w:ascii="Times New Roman" w:hAnsi="Times New Roman" w:cs="Times New Roman"/>
          <w:b/>
          <w:bCs/>
          <w:color w:val="auto"/>
          <w:lang w:val="en-GB"/>
        </w:rPr>
        <w:t>NPV Calculation of The Investment Options</w:t>
      </w:r>
      <w:bookmarkEnd w:id="11"/>
      <w:r w:rsidR="00446141">
        <w:rPr>
          <w:rFonts w:ascii="Times New Roman" w:hAnsi="Times New Roman" w:cs="Times New Roman"/>
          <w:b/>
          <w:bCs/>
          <w:color w:val="auto"/>
          <w:lang w:val="en-GB"/>
        </w:rPr>
        <w:t xml:space="preserve"> </w:t>
      </w:r>
    </w:p>
    <w:p w14:paraId="0D76148A" w14:textId="1DE87428" w:rsidR="00446141" w:rsidRPr="005D3DB2" w:rsidRDefault="00446141" w:rsidP="00AD7A81">
      <w:pPr>
        <w:pStyle w:val="Heading3"/>
        <w:spacing w:line="480" w:lineRule="auto"/>
        <w:rPr>
          <w:rFonts w:ascii="Times New Roman" w:hAnsi="Times New Roman" w:cs="Times New Roman"/>
          <w:b/>
          <w:bCs/>
          <w:color w:val="auto"/>
          <w:lang w:val="en-GB"/>
        </w:rPr>
      </w:pPr>
      <w:r w:rsidRPr="00024502">
        <w:rPr>
          <w:rFonts w:ascii="Times New Roman" w:hAnsi="Times New Roman" w:cs="Times New Roman"/>
          <w:b/>
          <w:color w:val="auto"/>
        </w:rPr>
        <w:t xml:space="preserve">Option A: </w:t>
      </w:r>
      <w:r w:rsidRPr="00024502">
        <w:rPr>
          <w:rFonts w:ascii="Times New Roman" w:hAnsi="Times New Roman" w:cs="Times New Roman"/>
          <w:b/>
          <w:color w:val="auto"/>
          <w:lang w:val="en-GB"/>
        </w:rPr>
        <w:t>Expand Existing Flourishing Outlet to Include All Products</w:t>
      </w:r>
    </w:p>
    <w:p w14:paraId="4379967F" w14:textId="77777777" w:rsidR="00446141" w:rsidRDefault="004D3156" w:rsidP="00024502">
      <w:pPr>
        <w:spacing w:line="360" w:lineRule="auto"/>
        <w:jc w:val="center"/>
        <w:rPr>
          <w:rFonts w:ascii="Times New Roman" w:hAnsi="Times New Roman" w:cs="Times New Roman"/>
          <w:sz w:val="24"/>
          <w:szCs w:val="24"/>
        </w:rPr>
      </w:pPr>
      <w:r>
        <w:rPr>
          <w:noProof/>
        </w:rPr>
        <w:drawing>
          <wp:inline distT="0" distB="0" distL="0" distR="0" wp14:anchorId="57B8D5DB" wp14:editId="72F71336">
            <wp:extent cx="5253990" cy="3356610"/>
            <wp:effectExtent l="19050" t="19050" r="381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339558" cy="3411277"/>
                    </a:xfrm>
                    <a:prstGeom prst="rect">
                      <a:avLst/>
                    </a:prstGeom>
                    <a:ln>
                      <a:solidFill>
                        <a:schemeClr val="tx1"/>
                      </a:solidFill>
                    </a:ln>
                  </pic:spPr>
                </pic:pic>
              </a:graphicData>
            </a:graphic>
          </wp:inline>
        </w:drawing>
      </w:r>
    </w:p>
    <w:p w14:paraId="696CB5C6" w14:textId="4220906C" w:rsidR="00446141" w:rsidRPr="00DC7FF8" w:rsidRDefault="00340D80" w:rsidP="00DC7FF8">
      <w:pPr>
        <w:spacing w:line="360" w:lineRule="auto"/>
        <w:jc w:val="both"/>
        <w:rPr>
          <w:rFonts w:ascii="Times New Roman" w:hAnsi="Times New Roman" w:cs="Times New Roman"/>
          <w:b/>
          <w:sz w:val="24"/>
          <w:szCs w:val="24"/>
          <w:lang w:val="en-GB"/>
        </w:rPr>
      </w:pPr>
      <w:r w:rsidRPr="00446141">
        <w:rPr>
          <w:rFonts w:ascii="Times New Roman" w:hAnsi="Times New Roman" w:cs="Times New Roman"/>
          <w:b/>
          <w:sz w:val="24"/>
          <w:szCs w:val="24"/>
        </w:rPr>
        <w:lastRenderedPageBreak/>
        <w:t xml:space="preserve">Option B: </w:t>
      </w:r>
      <w:r w:rsidRPr="00446141">
        <w:rPr>
          <w:rFonts w:ascii="Times New Roman" w:hAnsi="Times New Roman" w:cs="Times New Roman"/>
          <w:b/>
          <w:sz w:val="24"/>
          <w:szCs w:val="24"/>
          <w:lang w:val="en-GB"/>
        </w:rPr>
        <w:t>Develop Into Internet Sales</w:t>
      </w:r>
    </w:p>
    <w:p w14:paraId="1DA33009" w14:textId="5C300223" w:rsidR="00340D80" w:rsidRDefault="004D3156" w:rsidP="00DC7FF8">
      <w:pPr>
        <w:spacing w:line="360" w:lineRule="auto"/>
        <w:jc w:val="center"/>
        <w:rPr>
          <w:rFonts w:ascii="Times New Roman" w:hAnsi="Times New Roman" w:cs="Times New Roman"/>
          <w:sz w:val="24"/>
          <w:szCs w:val="24"/>
        </w:rPr>
      </w:pPr>
      <w:r>
        <w:rPr>
          <w:noProof/>
        </w:rPr>
        <w:drawing>
          <wp:inline distT="0" distB="0" distL="0" distR="0" wp14:anchorId="38CEE403" wp14:editId="15C37AD8">
            <wp:extent cx="5170076" cy="3798570"/>
            <wp:effectExtent l="19050" t="1905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185913" cy="3810206"/>
                    </a:xfrm>
                    <a:prstGeom prst="rect">
                      <a:avLst/>
                    </a:prstGeom>
                    <a:ln>
                      <a:solidFill>
                        <a:schemeClr val="tx1"/>
                      </a:solidFill>
                    </a:ln>
                  </pic:spPr>
                </pic:pic>
              </a:graphicData>
            </a:graphic>
          </wp:inline>
        </w:drawing>
      </w:r>
    </w:p>
    <w:p w14:paraId="0D61407F" w14:textId="70C17430" w:rsidR="00446141" w:rsidRPr="00DC7FF8" w:rsidRDefault="00340D80" w:rsidP="00DC7FF8">
      <w:pPr>
        <w:spacing w:line="360" w:lineRule="auto"/>
        <w:jc w:val="both"/>
        <w:rPr>
          <w:rFonts w:ascii="Times New Roman" w:hAnsi="Times New Roman" w:cs="Times New Roman"/>
          <w:b/>
          <w:sz w:val="24"/>
          <w:szCs w:val="24"/>
          <w:lang w:val="en-GB"/>
        </w:rPr>
      </w:pPr>
      <w:r w:rsidRPr="00446141">
        <w:rPr>
          <w:rFonts w:ascii="Times New Roman" w:hAnsi="Times New Roman" w:cs="Times New Roman"/>
          <w:b/>
          <w:sz w:val="24"/>
          <w:szCs w:val="24"/>
        </w:rPr>
        <w:t xml:space="preserve">Option C: </w:t>
      </w:r>
      <w:r w:rsidRPr="00446141">
        <w:rPr>
          <w:rFonts w:ascii="Times New Roman" w:hAnsi="Times New Roman" w:cs="Times New Roman"/>
          <w:b/>
          <w:sz w:val="24"/>
          <w:szCs w:val="24"/>
          <w:lang w:val="en-GB"/>
        </w:rPr>
        <w:t>Produce Greenhouses and Conservatories</w:t>
      </w:r>
    </w:p>
    <w:p w14:paraId="386D4EB1" w14:textId="58BFC363" w:rsidR="00446141" w:rsidRDefault="004D3156" w:rsidP="00AD7A81">
      <w:pPr>
        <w:jc w:val="center"/>
        <w:rPr>
          <w:rFonts w:ascii="Times New Roman" w:hAnsi="Times New Roman" w:cs="Times New Roman"/>
          <w:sz w:val="24"/>
          <w:szCs w:val="24"/>
        </w:rPr>
      </w:pPr>
      <w:r>
        <w:rPr>
          <w:noProof/>
        </w:rPr>
        <w:drawing>
          <wp:inline distT="0" distB="0" distL="0" distR="0" wp14:anchorId="43BD640E" wp14:editId="36CB70E4">
            <wp:extent cx="5226050" cy="3379470"/>
            <wp:effectExtent l="19050" t="1905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291402" cy="3421730"/>
                    </a:xfrm>
                    <a:prstGeom prst="rect">
                      <a:avLst/>
                    </a:prstGeom>
                    <a:ln>
                      <a:solidFill>
                        <a:schemeClr val="tx1"/>
                      </a:solidFill>
                    </a:ln>
                  </pic:spPr>
                </pic:pic>
              </a:graphicData>
            </a:graphic>
          </wp:inline>
        </w:drawing>
      </w:r>
    </w:p>
    <w:p w14:paraId="56636713" w14:textId="49DC0805" w:rsidR="00950D95" w:rsidRPr="00996A60" w:rsidRDefault="00950D95" w:rsidP="00996A60">
      <w:pPr>
        <w:pStyle w:val="Heading3"/>
        <w:numPr>
          <w:ilvl w:val="2"/>
          <w:numId w:val="41"/>
        </w:numPr>
        <w:rPr>
          <w:rFonts w:ascii="Times New Roman" w:hAnsi="Times New Roman" w:cs="Times New Roman"/>
          <w:b/>
          <w:bCs/>
          <w:color w:val="auto"/>
          <w:lang w:val="en-GB"/>
        </w:rPr>
      </w:pPr>
      <w:bookmarkStart w:id="12" w:name="_Toc187878307"/>
      <w:r w:rsidRPr="00996A60">
        <w:rPr>
          <w:rFonts w:ascii="Times New Roman" w:hAnsi="Times New Roman" w:cs="Times New Roman"/>
          <w:b/>
          <w:bCs/>
          <w:color w:val="auto"/>
          <w:lang w:val="en-GB"/>
        </w:rPr>
        <w:lastRenderedPageBreak/>
        <w:t>IRR Calculation of The Investment Options</w:t>
      </w:r>
      <w:bookmarkEnd w:id="12"/>
    </w:p>
    <w:p w14:paraId="00E072F7" w14:textId="77777777" w:rsidR="00446141" w:rsidRPr="00446141" w:rsidRDefault="00446141" w:rsidP="00446141">
      <w:pPr>
        <w:pStyle w:val="ListParagraph"/>
        <w:rPr>
          <w:lang w:val="en-GB"/>
        </w:rPr>
      </w:pPr>
    </w:p>
    <w:p w14:paraId="3E7614C0" w14:textId="0C78A5A8" w:rsidR="00950D95" w:rsidRPr="005B2D58" w:rsidRDefault="00950D95" w:rsidP="00AD7A81">
      <w:pPr>
        <w:pStyle w:val="ListParagraph"/>
        <w:spacing w:line="360" w:lineRule="auto"/>
        <w:ind w:left="360"/>
        <w:jc w:val="both"/>
        <w:rPr>
          <w:rFonts w:ascii="Times New Roman" w:hAnsi="Times New Roman" w:cs="Times New Roman"/>
          <w:sz w:val="24"/>
          <w:szCs w:val="24"/>
        </w:rPr>
      </w:pPr>
      <w:r>
        <w:rPr>
          <w:rFonts w:ascii="Times New Roman" w:hAnsi="Times New Roman" w:cs="Times New Roman"/>
          <w:b/>
          <w:sz w:val="24"/>
          <w:szCs w:val="24"/>
        </w:rPr>
        <w:t xml:space="preserve">Option A: </w:t>
      </w:r>
      <w:r w:rsidRPr="005B2D58">
        <w:rPr>
          <w:rFonts w:ascii="Times New Roman" w:hAnsi="Times New Roman" w:cs="Times New Roman"/>
          <w:b/>
          <w:sz w:val="24"/>
          <w:szCs w:val="24"/>
          <w:lang w:val="en-GB"/>
        </w:rPr>
        <w:t xml:space="preserve">Expand </w:t>
      </w:r>
      <w:r>
        <w:rPr>
          <w:rFonts w:ascii="Times New Roman" w:hAnsi="Times New Roman" w:cs="Times New Roman"/>
          <w:b/>
          <w:sz w:val="24"/>
          <w:szCs w:val="24"/>
          <w:lang w:val="en-GB"/>
        </w:rPr>
        <w:t xml:space="preserve">Existing </w:t>
      </w:r>
      <w:r w:rsidR="00446141">
        <w:rPr>
          <w:rFonts w:ascii="Times New Roman" w:hAnsi="Times New Roman" w:cs="Times New Roman"/>
          <w:b/>
          <w:sz w:val="24"/>
          <w:szCs w:val="24"/>
          <w:lang w:val="en-GB"/>
        </w:rPr>
        <w:t>Flourishing</w:t>
      </w:r>
      <w:r>
        <w:rPr>
          <w:rFonts w:ascii="Times New Roman" w:hAnsi="Times New Roman" w:cs="Times New Roman"/>
          <w:b/>
          <w:sz w:val="24"/>
          <w:szCs w:val="24"/>
          <w:lang w:val="en-GB"/>
        </w:rPr>
        <w:t xml:space="preserve"> Outlet to Include All P</w:t>
      </w:r>
      <w:r w:rsidRPr="005B2D58">
        <w:rPr>
          <w:rFonts w:ascii="Times New Roman" w:hAnsi="Times New Roman" w:cs="Times New Roman"/>
          <w:b/>
          <w:sz w:val="24"/>
          <w:szCs w:val="24"/>
          <w:lang w:val="en-GB"/>
        </w:rPr>
        <w:t>roducts</w:t>
      </w:r>
    </w:p>
    <w:p w14:paraId="18EAD925" w14:textId="331BEB51" w:rsidR="0050737E" w:rsidRPr="00AD7A81" w:rsidRDefault="004D3156" w:rsidP="00AD7A81">
      <w:pPr>
        <w:spacing w:line="360" w:lineRule="auto"/>
        <w:jc w:val="center"/>
        <w:rPr>
          <w:rFonts w:ascii="Times New Roman" w:hAnsi="Times New Roman" w:cs="Times New Roman"/>
          <w:sz w:val="24"/>
          <w:szCs w:val="24"/>
        </w:rPr>
      </w:pPr>
      <w:r>
        <w:rPr>
          <w:noProof/>
        </w:rPr>
        <w:drawing>
          <wp:inline distT="0" distB="0" distL="0" distR="0" wp14:anchorId="69C7021E" wp14:editId="2F4F933A">
            <wp:extent cx="4545301" cy="3082290"/>
            <wp:effectExtent l="19050" t="19050" r="8255"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593285" cy="3114830"/>
                    </a:xfrm>
                    <a:prstGeom prst="rect">
                      <a:avLst/>
                    </a:prstGeom>
                    <a:ln>
                      <a:solidFill>
                        <a:schemeClr val="tx1"/>
                      </a:solidFill>
                    </a:ln>
                  </pic:spPr>
                </pic:pic>
              </a:graphicData>
            </a:graphic>
          </wp:inline>
        </w:drawing>
      </w:r>
    </w:p>
    <w:p w14:paraId="4A478A2C" w14:textId="6A96092C" w:rsidR="00950D95" w:rsidRDefault="00950D95" w:rsidP="00446141">
      <w:pPr>
        <w:pStyle w:val="ListParagraph"/>
        <w:ind w:left="360"/>
        <w:jc w:val="both"/>
        <w:rPr>
          <w:rFonts w:ascii="Times New Roman" w:hAnsi="Times New Roman" w:cs="Times New Roman"/>
          <w:b/>
          <w:sz w:val="24"/>
          <w:szCs w:val="24"/>
          <w:lang w:val="en-GB"/>
        </w:rPr>
      </w:pPr>
      <w:r>
        <w:rPr>
          <w:rFonts w:ascii="Times New Roman" w:hAnsi="Times New Roman" w:cs="Times New Roman"/>
          <w:b/>
          <w:sz w:val="24"/>
          <w:szCs w:val="24"/>
        </w:rPr>
        <w:t xml:space="preserve">Option B: </w:t>
      </w:r>
      <w:r>
        <w:rPr>
          <w:rFonts w:ascii="Times New Roman" w:hAnsi="Times New Roman" w:cs="Times New Roman"/>
          <w:b/>
          <w:sz w:val="24"/>
          <w:szCs w:val="24"/>
          <w:lang w:val="en-GB"/>
        </w:rPr>
        <w:t>Develop Into Internet S</w:t>
      </w:r>
      <w:r w:rsidRPr="00340D80">
        <w:rPr>
          <w:rFonts w:ascii="Times New Roman" w:hAnsi="Times New Roman" w:cs="Times New Roman"/>
          <w:b/>
          <w:sz w:val="24"/>
          <w:szCs w:val="24"/>
          <w:lang w:val="en-GB"/>
        </w:rPr>
        <w:t>ales</w:t>
      </w:r>
    </w:p>
    <w:p w14:paraId="6E010E01" w14:textId="77777777" w:rsidR="00446141" w:rsidRPr="005B2D58" w:rsidRDefault="00446141" w:rsidP="00446141">
      <w:pPr>
        <w:pStyle w:val="ListParagraph"/>
        <w:ind w:left="360"/>
        <w:jc w:val="both"/>
        <w:rPr>
          <w:rFonts w:ascii="Times New Roman" w:hAnsi="Times New Roman" w:cs="Times New Roman"/>
          <w:sz w:val="24"/>
          <w:szCs w:val="24"/>
        </w:rPr>
      </w:pPr>
    </w:p>
    <w:p w14:paraId="255928ED" w14:textId="77777777" w:rsidR="00AD7A81" w:rsidRDefault="004D3156" w:rsidP="00AD7A81">
      <w:pPr>
        <w:jc w:val="center"/>
        <w:rPr>
          <w:rFonts w:ascii="Times New Roman" w:hAnsi="Times New Roman" w:cs="Times New Roman"/>
          <w:sz w:val="24"/>
          <w:szCs w:val="24"/>
        </w:rPr>
      </w:pPr>
      <w:r>
        <w:rPr>
          <w:noProof/>
        </w:rPr>
        <w:drawing>
          <wp:inline distT="0" distB="0" distL="0" distR="0" wp14:anchorId="7606437F" wp14:editId="54B0012F">
            <wp:extent cx="4690110" cy="3420874"/>
            <wp:effectExtent l="19050" t="19050" r="0" b="825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4702662" cy="3430029"/>
                    </a:xfrm>
                    <a:prstGeom prst="rect">
                      <a:avLst/>
                    </a:prstGeom>
                    <a:ln>
                      <a:solidFill>
                        <a:schemeClr val="tx1"/>
                      </a:solidFill>
                    </a:ln>
                  </pic:spPr>
                </pic:pic>
              </a:graphicData>
            </a:graphic>
          </wp:inline>
        </w:drawing>
      </w:r>
    </w:p>
    <w:p w14:paraId="70151488" w14:textId="0D52AC11" w:rsidR="00950D95" w:rsidRPr="00AD7A81" w:rsidRDefault="00AD7A81" w:rsidP="00AD7A81">
      <w:pPr>
        <w:rPr>
          <w:rFonts w:ascii="Times New Roman" w:hAnsi="Times New Roman" w:cs="Times New Roman"/>
          <w:sz w:val="24"/>
          <w:szCs w:val="24"/>
        </w:rPr>
      </w:pPr>
      <w:r>
        <w:rPr>
          <w:rFonts w:ascii="Times New Roman" w:hAnsi="Times New Roman" w:cs="Times New Roman"/>
          <w:sz w:val="24"/>
          <w:szCs w:val="24"/>
        </w:rPr>
        <w:lastRenderedPageBreak/>
        <w:t xml:space="preserve">   </w:t>
      </w:r>
      <w:r w:rsidR="00950D95" w:rsidRPr="00AD7A81">
        <w:rPr>
          <w:rFonts w:ascii="Times New Roman" w:hAnsi="Times New Roman" w:cs="Times New Roman"/>
          <w:b/>
          <w:sz w:val="24"/>
          <w:szCs w:val="24"/>
        </w:rPr>
        <w:t xml:space="preserve">Option C: </w:t>
      </w:r>
      <w:r w:rsidR="00950D95" w:rsidRPr="00AD7A81">
        <w:rPr>
          <w:rFonts w:ascii="Times New Roman" w:hAnsi="Times New Roman" w:cs="Times New Roman"/>
          <w:b/>
          <w:sz w:val="24"/>
          <w:szCs w:val="24"/>
          <w:lang w:val="en-GB"/>
        </w:rPr>
        <w:t>Produce Greenhouses and Conservatories</w:t>
      </w:r>
    </w:p>
    <w:p w14:paraId="76730990" w14:textId="77777777" w:rsidR="00446141" w:rsidRPr="005B2D58" w:rsidRDefault="00446141" w:rsidP="00446141">
      <w:pPr>
        <w:pStyle w:val="ListParagraph"/>
        <w:ind w:left="360"/>
        <w:jc w:val="both"/>
        <w:rPr>
          <w:rFonts w:ascii="Times New Roman" w:hAnsi="Times New Roman" w:cs="Times New Roman"/>
          <w:sz w:val="24"/>
          <w:szCs w:val="24"/>
        </w:rPr>
      </w:pPr>
    </w:p>
    <w:p w14:paraId="73C1A921" w14:textId="2A589CEF" w:rsidR="00950D95" w:rsidRDefault="004D3156" w:rsidP="004D3156">
      <w:pPr>
        <w:jc w:val="center"/>
        <w:rPr>
          <w:rFonts w:ascii="Times New Roman" w:hAnsi="Times New Roman" w:cs="Times New Roman"/>
          <w:sz w:val="24"/>
          <w:szCs w:val="24"/>
        </w:rPr>
      </w:pPr>
      <w:r>
        <w:rPr>
          <w:noProof/>
        </w:rPr>
        <w:drawing>
          <wp:inline distT="0" distB="0" distL="0" distR="0" wp14:anchorId="24893F36" wp14:editId="3352CEDA">
            <wp:extent cx="4941570" cy="4106888"/>
            <wp:effectExtent l="19050" t="19050" r="0" b="825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4949052" cy="4113107"/>
                    </a:xfrm>
                    <a:prstGeom prst="rect">
                      <a:avLst/>
                    </a:prstGeom>
                    <a:ln>
                      <a:solidFill>
                        <a:schemeClr val="tx1"/>
                      </a:solidFill>
                    </a:ln>
                  </pic:spPr>
                </pic:pic>
              </a:graphicData>
            </a:graphic>
          </wp:inline>
        </w:drawing>
      </w:r>
    </w:p>
    <w:p w14:paraId="42D138FA" w14:textId="77777777" w:rsidR="00446141" w:rsidRDefault="00446141" w:rsidP="00AD7A81">
      <w:pPr>
        <w:spacing w:line="240" w:lineRule="auto"/>
        <w:jc w:val="center"/>
        <w:rPr>
          <w:rFonts w:ascii="Times New Roman" w:hAnsi="Times New Roman" w:cs="Times New Roman"/>
          <w:sz w:val="24"/>
          <w:szCs w:val="24"/>
        </w:rPr>
      </w:pPr>
    </w:p>
    <w:p w14:paraId="67823D6A" w14:textId="308448FB" w:rsidR="003E7960" w:rsidRDefault="00F86C5C" w:rsidP="00446141">
      <w:pPr>
        <w:pStyle w:val="Heading3"/>
        <w:numPr>
          <w:ilvl w:val="2"/>
          <w:numId w:val="41"/>
        </w:numPr>
        <w:rPr>
          <w:rFonts w:ascii="Times New Roman" w:hAnsi="Times New Roman" w:cs="Times New Roman"/>
          <w:b/>
          <w:bCs/>
          <w:color w:val="auto"/>
        </w:rPr>
      </w:pPr>
      <w:bookmarkStart w:id="13" w:name="_Toc187878308"/>
      <w:r w:rsidRPr="00446141">
        <w:rPr>
          <w:rFonts w:ascii="Times New Roman" w:hAnsi="Times New Roman" w:cs="Times New Roman"/>
          <w:b/>
          <w:bCs/>
          <w:color w:val="auto"/>
        </w:rPr>
        <w:t>Selection of The Appropriate Investment Option</w:t>
      </w:r>
      <w:bookmarkEnd w:id="13"/>
    </w:p>
    <w:p w14:paraId="3ECF4484" w14:textId="77777777" w:rsidR="00446141" w:rsidRPr="00446141" w:rsidRDefault="00446141" w:rsidP="00446141">
      <w:pPr>
        <w:pStyle w:val="ListParagraph"/>
      </w:pPr>
    </w:p>
    <w:p w14:paraId="0A7AF10A" w14:textId="6A3648A9" w:rsidR="007A6C82" w:rsidRPr="00EB7119" w:rsidRDefault="004E3D20" w:rsidP="00A762A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Projects with positive NPV are usually selected for investment because a business organization will be able to generate additional value from these positive NPV projects and it will maximize shareholders’ wealth </w:t>
      </w:r>
      <w:r w:rsidR="00A762A4">
        <w:rPr>
          <w:rFonts w:ascii="Times New Roman" w:hAnsi="Times New Roman" w:cs="Times New Roman"/>
          <w:sz w:val="24"/>
          <w:szCs w:val="24"/>
        </w:rPr>
        <w:t>in</w:t>
      </w:r>
      <w:r>
        <w:rPr>
          <w:rFonts w:ascii="Times New Roman" w:hAnsi="Times New Roman" w:cs="Times New Roman"/>
          <w:sz w:val="24"/>
          <w:szCs w:val="24"/>
        </w:rPr>
        <w:t xml:space="preserve"> the end</w:t>
      </w:r>
      <w:r w:rsidR="00EB7119">
        <w:rPr>
          <w:rFonts w:ascii="Times New Roman" w:hAnsi="Times New Roman" w:cs="Times New Roman"/>
          <w:sz w:val="24"/>
          <w:szCs w:val="24"/>
        </w:rPr>
        <w:t xml:space="preserve"> </w:t>
      </w:r>
      <w:r w:rsidR="00EB7119">
        <w:rPr>
          <w:rFonts w:ascii="Times New Roman" w:hAnsi="Times New Roman" w:cs="Times New Roman"/>
          <w:color w:val="222222"/>
          <w:sz w:val="24"/>
          <w:szCs w:val="24"/>
          <w:shd w:val="clear" w:color="auto" w:fill="FFFFFF"/>
        </w:rPr>
        <w:t>(</w:t>
      </w:r>
      <w:r w:rsidR="00EB7119" w:rsidRPr="00713490">
        <w:rPr>
          <w:rFonts w:ascii="Times New Roman" w:hAnsi="Times New Roman" w:cs="Times New Roman"/>
          <w:color w:val="222222"/>
          <w:sz w:val="24"/>
          <w:szCs w:val="24"/>
          <w:shd w:val="clear" w:color="auto" w:fill="FFFFFF"/>
        </w:rPr>
        <w:t>Zutter</w:t>
      </w:r>
      <w:r w:rsidR="00EB7119">
        <w:rPr>
          <w:rFonts w:ascii="Times New Roman" w:hAnsi="Times New Roman" w:cs="Times New Roman"/>
          <w:color w:val="222222"/>
          <w:sz w:val="24"/>
          <w:szCs w:val="24"/>
          <w:shd w:val="clear" w:color="auto" w:fill="FFFFFF"/>
        </w:rPr>
        <w:t xml:space="preserve"> &amp; </w:t>
      </w:r>
      <w:r w:rsidR="00EB7119" w:rsidRPr="00713490">
        <w:rPr>
          <w:rFonts w:ascii="Times New Roman" w:hAnsi="Times New Roman" w:cs="Times New Roman"/>
          <w:color w:val="222222"/>
          <w:sz w:val="24"/>
          <w:szCs w:val="24"/>
          <w:shd w:val="clear" w:color="auto" w:fill="FFFFFF"/>
        </w:rPr>
        <w:t>Smart,</w:t>
      </w:r>
      <w:r w:rsidR="00EB7119">
        <w:rPr>
          <w:rFonts w:ascii="Times New Roman" w:hAnsi="Times New Roman" w:cs="Times New Roman"/>
          <w:color w:val="222222"/>
          <w:sz w:val="24"/>
          <w:szCs w:val="24"/>
          <w:shd w:val="clear" w:color="auto" w:fill="FFFFFF"/>
        </w:rPr>
        <w:t xml:space="preserve"> 2019)</w:t>
      </w:r>
      <w:r>
        <w:rPr>
          <w:rFonts w:ascii="Times New Roman" w:hAnsi="Times New Roman" w:cs="Times New Roman"/>
          <w:sz w:val="24"/>
          <w:szCs w:val="24"/>
        </w:rPr>
        <w:t xml:space="preserve">. </w:t>
      </w:r>
      <w:r w:rsidR="00A762A4">
        <w:rPr>
          <w:rFonts w:ascii="Times New Roman" w:hAnsi="Times New Roman" w:cs="Times New Roman"/>
          <w:sz w:val="24"/>
          <w:szCs w:val="24"/>
        </w:rPr>
        <w:t>However,</w:t>
      </w:r>
      <w:r>
        <w:rPr>
          <w:rFonts w:ascii="Times New Roman" w:hAnsi="Times New Roman" w:cs="Times New Roman"/>
          <w:sz w:val="24"/>
          <w:szCs w:val="24"/>
        </w:rPr>
        <w:t xml:space="preserve"> in </w:t>
      </w:r>
      <w:r w:rsidR="009D3E08">
        <w:rPr>
          <w:rFonts w:ascii="Times New Roman" w:hAnsi="Times New Roman" w:cs="Times New Roman"/>
          <w:sz w:val="24"/>
          <w:szCs w:val="24"/>
        </w:rPr>
        <w:t xml:space="preserve">the </w:t>
      </w:r>
      <w:r>
        <w:rPr>
          <w:rFonts w:ascii="Times New Roman" w:hAnsi="Times New Roman" w:cs="Times New Roman"/>
          <w:sz w:val="24"/>
          <w:szCs w:val="24"/>
        </w:rPr>
        <w:t xml:space="preserve">case of mutually exclusive projects, an efficient finance manager selects </w:t>
      </w:r>
      <w:r w:rsidR="009D3E08">
        <w:rPr>
          <w:rFonts w:ascii="Times New Roman" w:hAnsi="Times New Roman" w:cs="Times New Roman"/>
          <w:sz w:val="24"/>
          <w:szCs w:val="24"/>
        </w:rPr>
        <w:t>the</w:t>
      </w:r>
      <w:r>
        <w:rPr>
          <w:rFonts w:ascii="Times New Roman" w:hAnsi="Times New Roman" w:cs="Times New Roman"/>
          <w:sz w:val="24"/>
          <w:szCs w:val="24"/>
        </w:rPr>
        <w:t xml:space="preserve"> project </w:t>
      </w:r>
      <w:r w:rsidR="00A762A4">
        <w:rPr>
          <w:rFonts w:ascii="Times New Roman" w:hAnsi="Times New Roman" w:cs="Times New Roman"/>
          <w:sz w:val="24"/>
          <w:szCs w:val="24"/>
        </w:rPr>
        <w:t>that</w:t>
      </w:r>
      <w:r>
        <w:rPr>
          <w:rFonts w:ascii="Times New Roman" w:hAnsi="Times New Roman" w:cs="Times New Roman"/>
          <w:sz w:val="24"/>
          <w:szCs w:val="24"/>
        </w:rPr>
        <w:t xml:space="preserve"> has </w:t>
      </w:r>
      <w:r w:rsidR="009D3E08">
        <w:rPr>
          <w:rFonts w:ascii="Times New Roman" w:hAnsi="Times New Roman" w:cs="Times New Roman"/>
          <w:sz w:val="24"/>
          <w:szCs w:val="24"/>
        </w:rPr>
        <w:t xml:space="preserve">a </w:t>
      </w:r>
      <w:r>
        <w:rPr>
          <w:rFonts w:ascii="Times New Roman" w:hAnsi="Times New Roman" w:cs="Times New Roman"/>
          <w:sz w:val="24"/>
          <w:szCs w:val="24"/>
        </w:rPr>
        <w:t xml:space="preserve">higher positive NPV value. </w:t>
      </w:r>
    </w:p>
    <w:p w14:paraId="297DC4D5" w14:textId="77777777" w:rsidR="007A6C82" w:rsidRDefault="007A6C82" w:rsidP="00A762A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The </w:t>
      </w:r>
      <w:r w:rsidR="00065F98">
        <w:rPr>
          <w:rFonts w:ascii="Times New Roman" w:hAnsi="Times New Roman" w:cs="Times New Roman"/>
          <w:sz w:val="24"/>
          <w:szCs w:val="24"/>
        </w:rPr>
        <w:t xml:space="preserve">calculated </w:t>
      </w:r>
      <w:r>
        <w:rPr>
          <w:rFonts w:ascii="Times New Roman" w:hAnsi="Times New Roman" w:cs="Times New Roman"/>
          <w:sz w:val="24"/>
          <w:szCs w:val="24"/>
        </w:rPr>
        <w:t xml:space="preserve">NPV and IRR of the three investment options of </w:t>
      </w:r>
      <w:r w:rsidRPr="00607A4B">
        <w:rPr>
          <w:rFonts w:ascii="Times New Roman" w:hAnsi="Times New Roman" w:cs="Times New Roman"/>
          <w:sz w:val="24"/>
          <w:szCs w:val="24"/>
          <w:lang w:val="en-GB"/>
        </w:rPr>
        <w:t>Greenacres Plc</w:t>
      </w:r>
      <w:r>
        <w:rPr>
          <w:rFonts w:ascii="Times New Roman" w:hAnsi="Times New Roman" w:cs="Times New Roman"/>
          <w:sz w:val="24"/>
          <w:szCs w:val="24"/>
          <w:lang w:val="en-GB"/>
        </w:rPr>
        <w:t xml:space="preserve"> are presented below for better comparison: </w:t>
      </w:r>
    </w:p>
    <w:p w14:paraId="0C6599F6" w14:textId="77777777" w:rsidR="00AD7A81" w:rsidRDefault="00AD7A81" w:rsidP="00A762A4">
      <w:pPr>
        <w:spacing w:line="360" w:lineRule="auto"/>
        <w:jc w:val="both"/>
        <w:rPr>
          <w:rFonts w:ascii="Times New Roman" w:hAnsi="Times New Roman" w:cs="Times New Roman"/>
          <w:sz w:val="24"/>
          <w:szCs w:val="24"/>
          <w:lang w:val="en-GB"/>
        </w:rPr>
      </w:pPr>
    </w:p>
    <w:tbl>
      <w:tblPr>
        <w:tblStyle w:val="PlainTable13"/>
        <w:tblW w:w="4487" w:type="dxa"/>
        <w:jc w:val="center"/>
        <w:tblLook w:val="04A0" w:firstRow="1" w:lastRow="0" w:firstColumn="1" w:lastColumn="0" w:noHBand="0" w:noVBand="1"/>
      </w:tblPr>
      <w:tblGrid>
        <w:gridCol w:w="1603"/>
        <w:gridCol w:w="1659"/>
        <w:gridCol w:w="1225"/>
      </w:tblGrid>
      <w:tr w:rsidR="00065F98" w:rsidRPr="00065F98" w14:paraId="6B5E69CD" w14:textId="77777777" w:rsidTr="00065F98">
        <w:trPr>
          <w:cnfStyle w:val="100000000000" w:firstRow="1" w:lastRow="0" w:firstColumn="0" w:lastColumn="0" w:oddVBand="0" w:evenVBand="0" w:oddHBand="0" w:evenHBand="0" w:firstRowFirstColumn="0" w:firstRowLastColumn="0" w:lastRowFirstColumn="0" w:lastRowLastColumn="0"/>
          <w:trHeight w:val="812"/>
          <w:jc w:val="center"/>
        </w:trPr>
        <w:tc>
          <w:tcPr>
            <w:cnfStyle w:val="001000000000" w:firstRow="0" w:lastRow="0" w:firstColumn="1" w:lastColumn="0" w:oddVBand="0" w:evenVBand="0" w:oddHBand="0" w:evenHBand="0" w:firstRowFirstColumn="0" w:firstRowLastColumn="0" w:lastRowFirstColumn="0" w:lastRowLastColumn="0"/>
            <w:tcW w:w="1603" w:type="dxa"/>
            <w:noWrap/>
            <w:hideMark/>
          </w:tcPr>
          <w:p w14:paraId="58F4DBB2" w14:textId="77777777" w:rsidR="00065F98" w:rsidRPr="00065F98" w:rsidRDefault="00065F98" w:rsidP="00065F98">
            <w:pPr>
              <w:jc w:val="center"/>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lastRenderedPageBreak/>
              <w:t>Investment Option</w:t>
            </w:r>
          </w:p>
        </w:tc>
        <w:tc>
          <w:tcPr>
            <w:tcW w:w="1659" w:type="dxa"/>
            <w:noWrap/>
            <w:hideMark/>
          </w:tcPr>
          <w:p w14:paraId="449D1DF8" w14:textId="77777777" w:rsidR="00065F98" w:rsidRPr="00065F98" w:rsidRDefault="00065F98" w:rsidP="00065F98">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NPV</w:t>
            </w:r>
          </w:p>
        </w:tc>
        <w:tc>
          <w:tcPr>
            <w:tcW w:w="1225" w:type="dxa"/>
            <w:noWrap/>
            <w:hideMark/>
          </w:tcPr>
          <w:p w14:paraId="5A9398EC" w14:textId="77777777" w:rsidR="00065F98" w:rsidRPr="00065F98" w:rsidRDefault="00065F98" w:rsidP="00065F98">
            <w:pPr>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IRR</w:t>
            </w:r>
          </w:p>
        </w:tc>
      </w:tr>
      <w:tr w:rsidR="00065F98" w:rsidRPr="00065F98" w14:paraId="3B172D30" w14:textId="77777777" w:rsidTr="00065F98">
        <w:trPr>
          <w:cnfStyle w:val="000000100000" w:firstRow="0" w:lastRow="0" w:firstColumn="0" w:lastColumn="0" w:oddVBand="0" w:evenVBand="0" w:oddHBand="1" w:evenHBand="0" w:firstRowFirstColumn="0" w:firstRowLastColumn="0" w:lastRowFirstColumn="0" w:lastRowLastColumn="0"/>
          <w:trHeight w:val="812"/>
          <w:jc w:val="center"/>
        </w:trPr>
        <w:tc>
          <w:tcPr>
            <w:cnfStyle w:val="001000000000" w:firstRow="0" w:lastRow="0" w:firstColumn="1" w:lastColumn="0" w:oddVBand="0" w:evenVBand="0" w:oddHBand="0" w:evenHBand="0" w:firstRowFirstColumn="0" w:firstRowLastColumn="0" w:lastRowFirstColumn="0" w:lastRowLastColumn="0"/>
            <w:tcW w:w="1603" w:type="dxa"/>
            <w:noWrap/>
            <w:hideMark/>
          </w:tcPr>
          <w:p w14:paraId="200DD609" w14:textId="77777777" w:rsidR="00065F98" w:rsidRPr="00065F98" w:rsidRDefault="00065F98" w:rsidP="00065F98">
            <w:pPr>
              <w:jc w:val="center"/>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A</w:t>
            </w:r>
          </w:p>
        </w:tc>
        <w:tc>
          <w:tcPr>
            <w:tcW w:w="1659" w:type="dxa"/>
            <w:noWrap/>
            <w:hideMark/>
          </w:tcPr>
          <w:p w14:paraId="4DD8D4C9" w14:textId="77777777" w:rsidR="00065F98" w:rsidRPr="00065F98" w:rsidRDefault="00065F98" w:rsidP="00065F98">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      514,018</w:t>
            </w:r>
          </w:p>
        </w:tc>
        <w:tc>
          <w:tcPr>
            <w:tcW w:w="1225" w:type="dxa"/>
            <w:noWrap/>
            <w:hideMark/>
          </w:tcPr>
          <w:p w14:paraId="126801BB" w14:textId="77777777" w:rsidR="00065F98" w:rsidRPr="00065F98" w:rsidRDefault="00065F98" w:rsidP="00065F98">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33.87%</w:t>
            </w:r>
          </w:p>
        </w:tc>
      </w:tr>
      <w:tr w:rsidR="00065F98" w:rsidRPr="00065F98" w14:paraId="60D1B0AC" w14:textId="77777777" w:rsidTr="00065F98">
        <w:trPr>
          <w:trHeight w:val="812"/>
          <w:jc w:val="center"/>
        </w:trPr>
        <w:tc>
          <w:tcPr>
            <w:cnfStyle w:val="001000000000" w:firstRow="0" w:lastRow="0" w:firstColumn="1" w:lastColumn="0" w:oddVBand="0" w:evenVBand="0" w:oddHBand="0" w:evenHBand="0" w:firstRowFirstColumn="0" w:firstRowLastColumn="0" w:lastRowFirstColumn="0" w:lastRowLastColumn="0"/>
            <w:tcW w:w="1603" w:type="dxa"/>
            <w:noWrap/>
            <w:hideMark/>
          </w:tcPr>
          <w:p w14:paraId="032D6481" w14:textId="77777777" w:rsidR="00065F98" w:rsidRPr="00065F98" w:rsidRDefault="00065F98" w:rsidP="00065F98">
            <w:pPr>
              <w:jc w:val="center"/>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B</w:t>
            </w:r>
          </w:p>
        </w:tc>
        <w:tc>
          <w:tcPr>
            <w:tcW w:w="1659" w:type="dxa"/>
            <w:noWrap/>
            <w:hideMark/>
          </w:tcPr>
          <w:p w14:paraId="7F756913" w14:textId="77777777" w:rsidR="00065F98" w:rsidRPr="00065F98" w:rsidRDefault="00065F98" w:rsidP="00065F98">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065F98">
              <w:rPr>
                <w:rFonts w:ascii="Times New Roman" w:eastAsia="Times New Roman" w:hAnsi="Times New Roman" w:cs="Times New Roman"/>
                <w:b/>
                <w:bCs/>
                <w:color w:val="000000"/>
                <w:sz w:val="24"/>
                <w:szCs w:val="24"/>
                <w:lang w:bidi="bn-BD"/>
              </w:rPr>
              <w:t>£      899,319</w:t>
            </w:r>
          </w:p>
        </w:tc>
        <w:tc>
          <w:tcPr>
            <w:tcW w:w="1225" w:type="dxa"/>
            <w:noWrap/>
            <w:hideMark/>
          </w:tcPr>
          <w:p w14:paraId="564CF14B" w14:textId="77777777" w:rsidR="00065F98" w:rsidRPr="00065F98" w:rsidRDefault="00065F98" w:rsidP="00065F98">
            <w:pPr>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065F98">
              <w:rPr>
                <w:rFonts w:ascii="Times New Roman" w:eastAsia="Times New Roman" w:hAnsi="Times New Roman" w:cs="Times New Roman"/>
                <w:b/>
                <w:bCs/>
                <w:color w:val="000000"/>
                <w:sz w:val="24"/>
                <w:szCs w:val="24"/>
                <w:lang w:bidi="bn-BD"/>
              </w:rPr>
              <w:t>36.81%</w:t>
            </w:r>
          </w:p>
        </w:tc>
      </w:tr>
      <w:tr w:rsidR="00065F98" w:rsidRPr="00065F98" w14:paraId="7BCD74A6" w14:textId="77777777" w:rsidTr="00065F98">
        <w:trPr>
          <w:cnfStyle w:val="000000100000" w:firstRow="0" w:lastRow="0" w:firstColumn="0" w:lastColumn="0" w:oddVBand="0" w:evenVBand="0" w:oddHBand="1" w:evenHBand="0" w:firstRowFirstColumn="0" w:firstRowLastColumn="0" w:lastRowFirstColumn="0" w:lastRowLastColumn="0"/>
          <w:trHeight w:val="812"/>
          <w:jc w:val="center"/>
        </w:trPr>
        <w:tc>
          <w:tcPr>
            <w:cnfStyle w:val="001000000000" w:firstRow="0" w:lastRow="0" w:firstColumn="1" w:lastColumn="0" w:oddVBand="0" w:evenVBand="0" w:oddHBand="0" w:evenHBand="0" w:firstRowFirstColumn="0" w:firstRowLastColumn="0" w:lastRowFirstColumn="0" w:lastRowLastColumn="0"/>
            <w:tcW w:w="1603" w:type="dxa"/>
            <w:noWrap/>
            <w:hideMark/>
          </w:tcPr>
          <w:p w14:paraId="67739BEF" w14:textId="77777777" w:rsidR="00065F98" w:rsidRPr="00065F98" w:rsidRDefault="00065F98" w:rsidP="00065F98">
            <w:pPr>
              <w:jc w:val="center"/>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C</w:t>
            </w:r>
          </w:p>
        </w:tc>
        <w:tc>
          <w:tcPr>
            <w:tcW w:w="1659" w:type="dxa"/>
            <w:noWrap/>
            <w:hideMark/>
          </w:tcPr>
          <w:p w14:paraId="59321DC7" w14:textId="77777777" w:rsidR="00065F98" w:rsidRPr="00065F98" w:rsidRDefault="00065F98" w:rsidP="00065F98">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      856,390</w:t>
            </w:r>
          </w:p>
        </w:tc>
        <w:tc>
          <w:tcPr>
            <w:tcW w:w="1225" w:type="dxa"/>
            <w:noWrap/>
            <w:hideMark/>
          </w:tcPr>
          <w:p w14:paraId="72AD4218" w14:textId="77777777" w:rsidR="00065F98" w:rsidRPr="00065F98" w:rsidRDefault="00065F98" w:rsidP="00065F98">
            <w:pPr>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065F98">
              <w:rPr>
                <w:rFonts w:ascii="Times New Roman" w:eastAsia="Times New Roman" w:hAnsi="Times New Roman" w:cs="Times New Roman"/>
                <w:color w:val="000000"/>
                <w:sz w:val="24"/>
                <w:szCs w:val="24"/>
                <w:lang w:bidi="bn-BD"/>
              </w:rPr>
              <w:t>23.74%</w:t>
            </w:r>
          </w:p>
        </w:tc>
      </w:tr>
    </w:tbl>
    <w:p w14:paraId="3AC8D486" w14:textId="77777777" w:rsidR="00AD7A81" w:rsidRDefault="00AD7A81" w:rsidP="00AD7A81">
      <w:pPr>
        <w:spacing w:line="240" w:lineRule="auto"/>
        <w:jc w:val="center"/>
        <w:rPr>
          <w:rFonts w:ascii="Times New Roman" w:hAnsi="Times New Roman" w:cs="Times New Roman"/>
          <w:sz w:val="24"/>
          <w:szCs w:val="24"/>
        </w:rPr>
      </w:pPr>
    </w:p>
    <w:p w14:paraId="1400EDBB" w14:textId="5A1A3750" w:rsidR="00065F98" w:rsidRDefault="00065F98" w:rsidP="00AD7A81">
      <w:pPr>
        <w:spacing w:line="240" w:lineRule="auto"/>
        <w:jc w:val="center"/>
        <w:rPr>
          <w:rFonts w:ascii="Times New Roman" w:hAnsi="Times New Roman" w:cs="Times New Roman"/>
          <w:sz w:val="24"/>
          <w:szCs w:val="24"/>
          <w:lang w:val="en-GB"/>
        </w:rPr>
      </w:pPr>
      <w:r>
        <w:rPr>
          <w:rFonts w:ascii="Times New Roman" w:hAnsi="Times New Roman" w:cs="Times New Roman"/>
          <w:sz w:val="24"/>
          <w:szCs w:val="24"/>
        </w:rPr>
        <w:t>Table</w:t>
      </w:r>
      <w:r w:rsidR="00EF596D">
        <w:rPr>
          <w:rFonts w:ascii="Times New Roman" w:hAnsi="Times New Roman" w:cs="Times New Roman"/>
          <w:sz w:val="24"/>
          <w:szCs w:val="24"/>
        </w:rPr>
        <w:t xml:space="preserve"> 01</w:t>
      </w:r>
      <w:r>
        <w:rPr>
          <w:rFonts w:ascii="Times New Roman" w:hAnsi="Times New Roman" w:cs="Times New Roman"/>
          <w:sz w:val="24"/>
          <w:szCs w:val="24"/>
        </w:rPr>
        <w:t>: NPV &amp; IRR of Three Inve</w:t>
      </w:r>
      <w:r w:rsidR="003010A9">
        <w:rPr>
          <w:rFonts w:ascii="Times New Roman" w:hAnsi="Times New Roman" w:cs="Times New Roman"/>
          <w:sz w:val="24"/>
          <w:szCs w:val="24"/>
        </w:rPr>
        <w:t>s</w:t>
      </w:r>
      <w:r>
        <w:rPr>
          <w:rFonts w:ascii="Times New Roman" w:hAnsi="Times New Roman" w:cs="Times New Roman"/>
          <w:sz w:val="24"/>
          <w:szCs w:val="24"/>
        </w:rPr>
        <w:t xml:space="preserve">tment </w:t>
      </w:r>
      <w:r w:rsidR="003010A9">
        <w:rPr>
          <w:rFonts w:ascii="Times New Roman" w:hAnsi="Times New Roman" w:cs="Times New Roman"/>
          <w:sz w:val="24"/>
          <w:szCs w:val="24"/>
        </w:rPr>
        <w:t xml:space="preserve">Options of </w:t>
      </w:r>
      <w:r w:rsidR="003010A9" w:rsidRPr="00607A4B">
        <w:rPr>
          <w:rFonts w:ascii="Times New Roman" w:hAnsi="Times New Roman" w:cs="Times New Roman"/>
          <w:sz w:val="24"/>
          <w:szCs w:val="24"/>
          <w:lang w:val="en-GB"/>
        </w:rPr>
        <w:t>Greenacres Plc</w:t>
      </w:r>
      <w:r w:rsidR="003010A9">
        <w:rPr>
          <w:rFonts w:ascii="Times New Roman" w:hAnsi="Times New Roman" w:cs="Times New Roman"/>
          <w:sz w:val="24"/>
          <w:szCs w:val="24"/>
          <w:lang w:val="en-GB"/>
        </w:rPr>
        <w:t>.</w:t>
      </w:r>
    </w:p>
    <w:p w14:paraId="1F7CB8E0" w14:textId="77777777" w:rsidR="00A762A4" w:rsidRDefault="00A762A4" w:rsidP="00AD7A81">
      <w:pPr>
        <w:spacing w:line="240" w:lineRule="auto"/>
        <w:jc w:val="center"/>
        <w:rPr>
          <w:rFonts w:ascii="Times New Roman" w:hAnsi="Times New Roman" w:cs="Times New Roman"/>
          <w:sz w:val="24"/>
          <w:szCs w:val="24"/>
        </w:rPr>
      </w:pPr>
    </w:p>
    <w:p w14:paraId="02ACE84B" w14:textId="7CDBED52" w:rsidR="00F86C5C" w:rsidRDefault="007A6C82" w:rsidP="00A762A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As the directors of </w:t>
      </w:r>
      <w:r w:rsidRPr="00607A4B">
        <w:rPr>
          <w:rFonts w:ascii="Times New Roman" w:hAnsi="Times New Roman" w:cs="Times New Roman"/>
          <w:sz w:val="24"/>
          <w:szCs w:val="24"/>
          <w:lang w:val="en-GB"/>
        </w:rPr>
        <w:t xml:space="preserve">Greenacres </w:t>
      </w:r>
      <w:r w:rsidR="00A762A4">
        <w:rPr>
          <w:rFonts w:ascii="Times New Roman" w:hAnsi="Times New Roman" w:cs="Times New Roman"/>
          <w:sz w:val="24"/>
          <w:szCs w:val="24"/>
          <w:lang w:val="en-GB"/>
        </w:rPr>
        <w:t>Plc want</w:t>
      </w:r>
      <w:r w:rsidR="0019731E">
        <w:rPr>
          <w:rFonts w:ascii="Times New Roman" w:hAnsi="Times New Roman" w:cs="Times New Roman"/>
          <w:sz w:val="24"/>
          <w:szCs w:val="24"/>
          <w:lang w:val="en-GB"/>
        </w:rPr>
        <w:t xml:space="preserve"> to take only one investment option, therefore, “Investment Option-B” will be the most appropriate investment option for </w:t>
      </w:r>
      <w:r w:rsidR="0019731E" w:rsidRPr="00607A4B">
        <w:rPr>
          <w:rFonts w:ascii="Times New Roman" w:hAnsi="Times New Roman" w:cs="Times New Roman"/>
          <w:sz w:val="24"/>
          <w:szCs w:val="24"/>
          <w:lang w:val="en-GB"/>
        </w:rPr>
        <w:t>Greenacres Plc</w:t>
      </w:r>
      <w:r w:rsidR="0019731E">
        <w:rPr>
          <w:rFonts w:ascii="Times New Roman" w:hAnsi="Times New Roman" w:cs="Times New Roman"/>
          <w:sz w:val="24"/>
          <w:szCs w:val="24"/>
          <w:lang w:val="en-GB"/>
        </w:rPr>
        <w:t xml:space="preserve">. </w:t>
      </w:r>
      <w:r w:rsidR="00B327BF">
        <w:rPr>
          <w:rFonts w:ascii="Times New Roman" w:hAnsi="Times New Roman" w:cs="Times New Roman"/>
          <w:sz w:val="24"/>
          <w:szCs w:val="24"/>
          <w:lang w:val="en-GB"/>
        </w:rPr>
        <w:t>For the following key reasons, “Investment Option-B” will be the most appropriate investment option</w:t>
      </w:r>
      <w:r w:rsidR="00224D6A">
        <w:rPr>
          <w:rFonts w:ascii="Times New Roman" w:hAnsi="Times New Roman" w:cs="Times New Roman"/>
          <w:sz w:val="24"/>
          <w:szCs w:val="24"/>
          <w:lang w:val="en-GB"/>
        </w:rPr>
        <w:t>.</w:t>
      </w:r>
    </w:p>
    <w:p w14:paraId="3E58320E" w14:textId="0AD63F04" w:rsidR="000300E4" w:rsidRPr="00A762A4" w:rsidRDefault="000300E4" w:rsidP="00A762A4">
      <w:pPr>
        <w:spacing w:line="360" w:lineRule="auto"/>
        <w:jc w:val="both"/>
        <w:rPr>
          <w:rFonts w:ascii="Times New Roman" w:hAnsi="Times New Roman" w:cs="Times New Roman"/>
          <w:sz w:val="24"/>
          <w:szCs w:val="24"/>
        </w:rPr>
      </w:pPr>
      <w:r w:rsidRPr="00A762A4">
        <w:rPr>
          <w:rFonts w:ascii="Times New Roman" w:hAnsi="Times New Roman" w:cs="Times New Roman"/>
          <w:b/>
          <w:bCs/>
          <w:sz w:val="24"/>
          <w:szCs w:val="24"/>
        </w:rPr>
        <w:t>Highe</w:t>
      </w:r>
      <w:r w:rsidR="00666480" w:rsidRPr="00A762A4">
        <w:rPr>
          <w:rFonts w:ascii="Times New Roman" w:hAnsi="Times New Roman" w:cs="Times New Roman"/>
          <w:b/>
          <w:bCs/>
          <w:sz w:val="24"/>
          <w:szCs w:val="24"/>
        </w:rPr>
        <w:t>st</w:t>
      </w:r>
      <w:r w:rsidRPr="00A762A4">
        <w:rPr>
          <w:rFonts w:ascii="Times New Roman" w:hAnsi="Times New Roman" w:cs="Times New Roman"/>
          <w:b/>
          <w:bCs/>
          <w:sz w:val="24"/>
          <w:szCs w:val="24"/>
        </w:rPr>
        <w:t xml:space="preserve"> NPV:</w:t>
      </w:r>
      <w:r w:rsidR="004D3156" w:rsidRPr="00A762A4">
        <w:rPr>
          <w:rFonts w:ascii="Times New Roman" w:hAnsi="Times New Roman" w:cs="Times New Roman"/>
          <w:b/>
          <w:bCs/>
          <w:sz w:val="24"/>
          <w:szCs w:val="24"/>
        </w:rPr>
        <w:t xml:space="preserve"> </w:t>
      </w:r>
      <w:r w:rsidR="00666480" w:rsidRPr="00A762A4">
        <w:rPr>
          <w:rFonts w:ascii="Times New Roman" w:hAnsi="Times New Roman" w:cs="Times New Roman"/>
          <w:sz w:val="24"/>
          <w:szCs w:val="24"/>
        </w:rPr>
        <w:t xml:space="preserve">Among the three alternative investment options, </w:t>
      </w:r>
      <w:r w:rsidR="00666480" w:rsidRPr="00A762A4">
        <w:rPr>
          <w:rFonts w:ascii="Times New Roman" w:hAnsi="Times New Roman" w:cs="Times New Roman"/>
          <w:sz w:val="24"/>
          <w:szCs w:val="24"/>
          <w:lang w:val="en-GB"/>
        </w:rPr>
        <w:t xml:space="preserve">“Investment Option-B” has the highest NPV. By taking this investment option, Greenacres Plc will be able to maximize its shareholders’ wealth. </w:t>
      </w:r>
    </w:p>
    <w:p w14:paraId="58850E64" w14:textId="3603C9C9" w:rsidR="006177FA" w:rsidRPr="00A762A4" w:rsidRDefault="006177FA" w:rsidP="00A762A4">
      <w:pPr>
        <w:spacing w:line="360" w:lineRule="auto"/>
        <w:jc w:val="both"/>
        <w:rPr>
          <w:rFonts w:ascii="Times New Roman" w:hAnsi="Times New Roman" w:cs="Times New Roman"/>
          <w:sz w:val="24"/>
          <w:szCs w:val="24"/>
        </w:rPr>
      </w:pPr>
      <w:r w:rsidRPr="00A762A4">
        <w:rPr>
          <w:rFonts w:ascii="Times New Roman" w:hAnsi="Times New Roman" w:cs="Times New Roman"/>
          <w:b/>
          <w:bCs/>
          <w:sz w:val="24"/>
          <w:szCs w:val="24"/>
        </w:rPr>
        <w:t>Highest IRR:</w:t>
      </w:r>
      <w:r w:rsidR="004D3156" w:rsidRPr="00A762A4">
        <w:rPr>
          <w:rFonts w:ascii="Times New Roman" w:hAnsi="Times New Roman" w:cs="Times New Roman"/>
          <w:b/>
          <w:bCs/>
          <w:sz w:val="24"/>
          <w:szCs w:val="24"/>
        </w:rPr>
        <w:t xml:space="preserve"> </w:t>
      </w:r>
      <w:r w:rsidR="00261221" w:rsidRPr="00A762A4">
        <w:rPr>
          <w:rFonts w:ascii="Times New Roman" w:hAnsi="Times New Roman" w:cs="Times New Roman"/>
          <w:sz w:val="24"/>
          <w:szCs w:val="24"/>
          <w:lang w:val="en-GB"/>
        </w:rPr>
        <w:t xml:space="preserve">“Investment Option-B” has the highest IRR. </w:t>
      </w:r>
      <w:r w:rsidR="002D276C" w:rsidRPr="00A762A4">
        <w:rPr>
          <w:rFonts w:ascii="Times New Roman" w:hAnsi="Times New Roman" w:cs="Times New Roman"/>
          <w:sz w:val="24"/>
          <w:szCs w:val="24"/>
          <w:lang w:val="en-GB"/>
        </w:rPr>
        <w:t>Usually, a project is taken when IRR is higher than the cost of capital</w:t>
      </w:r>
      <w:r w:rsidR="00DB58F4" w:rsidRPr="00A762A4">
        <w:rPr>
          <w:rFonts w:ascii="Times New Roman" w:hAnsi="Times New Roman" w:cs="Times New Roman"/>
          <w:sz w:val="24"/>
          <w:szCs w:val="24"/>
          <w:lang w:val="en-GB"/>
        </w:rPr>
        <w:t xml:space="preserve"> (Barry &amp; Robison, 2014)</w:t>
      </w:r>
      <w:r w:rsidR="002D276C" w:rsidRPr="00A762A4">
        <w:rPr>
          <w:rFonts w:ascii="Times New Roman" w:hAnsi="Times New Roman" w:cs="Times New Roman"/>
          <w:sz w:val="24"/>
          <w:szCs w:val="24"/>
          <w:lang w:val="en-GB"/>
        </w:rPr>
        <w:t xml:space="preserve">. In </w:t>
      </w:r>
      <w:r w:rsidR="00A762A4" w:rsidRPr="00A762A4">
        <w:rPr>
          <w:rFonts w:ascii="Times New Roman" w:hAnsi="Times New Roman" w:cs="Times New Roman"/>
          <w:sz w:val="24"/>
          <w:szCs w:val="24"/>
          <w:lang w:val="en-GB"/>
        </w:rPr>
        <w:t xml:space="preserve">the </w:t>
      </w:r>
      <w:r w:rsidR="002D276C" w:rsidRPr="00A762A4">
        <w:rPr>
          <w:rFonts w:ascii="Times New Roman" w:hAnsi="Times New Roman" w:cs="Times New Roman"/>
          <w:sz w:val="24"/>
          <w:szCs w:val="24"/>
          <w:lang w:val="en-GB"/>
        </w:rPr>
        <w:t xml:space="preserve">case of Greenacres Plc, all the investment options have </w:t>
      </w:r>
      <w:r w:rsidR="00A762A4" w:rsidRPr="00A762A4">
        <w:rPr>
          <w:rFonts w:ascii="Times New Roman" w:hAnsi="Times New Roman" w:cs="Times New Roman"/>
          <w:sz w:val="24"/>
          <w:szCs w:val="24"/>
          <w:lang w:val="en-GB"/>
        </w:rPr>
        <w:t xml:space="preserve">an </w:t>
      </w:r>
      <w:r w:rsidR="002D276C" w:rsidRPr="00A762A4">
        <w:rPr>
          <w:rFonts w:ascii="Times New Roman" w:hAnsi="Times New Roman" w:cs="Times New Roman"/>
          <w:sz w:val="24"/>
          <w:szCs w:val="24"/>
          <w:lang w:val="en-GB"/>
        </w:rPr>
        <w:t xml:space="preserve">IRR higher than </w:t>
      </w:r>
      <w:r w:rsidR="003D04AE" w:rsidRPr="00A762A4">
        <w:rPr>
          <w:rFonts w:ascii="Times New Roman" w:hAnsi="Times New Roman" w:cs="Times New Roman"/>
          <w:sz w:val="24"/>
          <w:szCs w:val="24"/>
          <w:lang w:val="en-GB"/>
        </w:rPr>
        <w:t xml:space="preserve">the </w:t>
      </w:r>
      <w:r w:rsidR="002D276C" w:rsidRPr="00A762A4">
        <w:rPr>
          <w:rFonts w:ascii="Times New Roman" w:hAnsi="Times New Roman" w:cs="Times New Roman"/>
          <w:sz w:val="24"/>
          <w:szCs w:val="24"/>
          <w:lang w:val="en-GB"/>
        </w:rPr>
        <w:t xml:space="preserve">cost of </w:t>
      </w:r>
      <w:r w:rsidR="00A762A4" w:rsidRPr="00A762A4">
        <w:rPr>
          <w:rFonts w:ascii="Times New Roman" w:hAnsi="Times New Roman" w:cs="Times New Roman"/>
          <w:sz w:val="24"/>
          <w:szCs w:val="24"/>
          <w:lang w:val="en-GB"/>
        </w:rPr>
        <w:t>capital,</w:t>
      </w:r>
      <w:r w:rsidR="002D276C" w:rsidRPr="00A762A4">
        <w:rPr>
          <w:rFonts w:ascii="Times New Roman" w:hAnsi="Times New Roman" w:cs="Times New Roman"/>
          <w:sz w:val="24"/>
          <w:szCs w:val="24"/>
          <w:lang w:val="en-GB"/>
        </w:rPr>
        <w:t xml:space="preserve"> </w:t>
      </w:r>
      <w:r w:rsidR="003D04AE" w:rsidRPr="00A762A4">
        <w:rPr>
          <w:rFonts w:ascii="Times New Roman" w:hAnsi="Times New Roman" w:cs="Times New Roman"/>
          <w:sz w:val="24"/>
          <w:szCs w:val="24"/>
          <w:lang w:val="en-GB"/>
        </w:rPr>
        <w:t xml:space="preserve">which is </w:t>
      </w:r>
      <w:r w:rsidR="002D276C" w:rsidRPr="00A762A4">
        <w:rPr>
          <w:rFonts w:ascii="Times New Roman" w:hAnsi="Times New Roman" w:cs="Times New Roman"/>
          <w:sz w:val="24"/>
          <w:szCs w:val="24"/>
          <w:lang w:val="en-GB"/>
        </w:rPr>
        <w:t xml:space="preserve">6%, but </w:t>
      </w:r>
      <w:r w:rsidR="00A762A4" w:rsidRPr="00A762A4">
        <w:rPr>
          <w:rFonts w:ascii="Times New Roman" w:hAnsi="Times New Roman" w:cs="Times New Roman"/>
          <w:sz w:val="24"/>
          <w:szCs w:val="24"/>
          <w:lang w:val="en-GB"/>
        </w:rPr>
        <w:t xml:space="preserve">the </w:t>
      </w:r>
      <w:r w:rsidR="002D276C" w:rsidRPr="00A762A4">
        <w:rPr>
          <w:rFonts w:ascii="Times New Roman" w:hAnsi="Times New Roman" w:cs="Times New Roman"/>
          <w:sz w:val="24"/>
          <w:szCs w:val="24"/>
          <w:lang w:val="en-GB"/>
        </w:rPr>
        <w:t xml:space="preserve">IRR of “Investment Option-B” is the highest. </w:t>
      </w:r>
    </w:p>
    <w:p w14:paraId="0385F1DE" w14:textId="5AFDA50B" w:rsidR="005F5CC7" w:rsidRPr="00A762A4" w:rsidRDefault="00A563FC" w:rsidP="00A762A4">
      <w:pPr>
        <w:spacing w:line="360" w:lineRule="auto"/>
        <w:jc w:val="both"/>
        <w:rPr>
          <w:rFonts w:ascii="Times New Roman" w:hAnsi="Times New Roman" w:cs="Times New Roman"/>
          <w:sz w:val="24"/>
          <w:szCs w:val="24"/>
        </w:rPr>
      </w:pPr>
      <w:r w:rsidRPr="00A762A4">
        <w:rPr>
          <w:rFonts w:ascii="Times New Roman" w:hAnsi="Times New Roman" w:cs="Times New Roman"/>
          <w:b/>
          <w:bCs/>
          <w:sz w:val="24"/>
          <w:szCs w:val="24"/>
        </w:rPr>
        <w:t>Cope with The Changing Business Dynamics</w:t>
      </w:r>
      <w:r w:rsidR="005F5CC7" w:rsidRPr="00A762A4">
        <w:rPr>
          <w:rFonts w:ascii="Times New Roman" w:hAnsi="Times New Roman" w:cs="Times New Roman"/>
          <w:b/>
          <w:bCs/>
          <w:sz w:val="24"/>
          <w:szCs w:val="24"/>
        </w:rPr>
        <w:t>:</w:t>
      </w:r>
      <w:r w:rsidR="004D3156" w:rsidRPr="00A762A4">
        <w:rPr>
          <w:rFonts w:ascii="Times New Roman" w:hAnsi="Times New Roman" w:cs="Times New Roman"/>
          <w:b/>
          <w:bCs/>
          <w:sz w:val="24"/>
          <w:szCs w:val="24"/>
        </w:rPr>
        <w:t xml:space="preserve"> </w:t>
      </w:r>
      <w:r w:rsidR="00BC30FC" w:rsidRPr="00A762A4">
        <w:rPr>
          <w:rFonts w:ascii="Times New Roman" w:hAnsi="Times New Roman" w:cs="Times New Roman"/>
          <w:sz w:val="24"/>
          <w:szCs w:val="24"/>
        </w:rPr>
        <w:t xml:space="preserve">To sustain business operations in this competitive business environment, every business organization tries its best to </w:t>
      </w:r>
      <w:r w:rsidR="00A762A4" w:rsidRPr="00A762A4">
        <w:rPr>
          <w:rFonts w:ascii="Times New Roman" w:hAnsi="Times New Roman" w:cs="Times New Roman"/>
          <w:sz w:val="24"/>
          <w:szCs w:val="24"/>
        </w:rPr>
        <w:t>come</w:t>
      </w:r>
      <w:r w:rsidR="00BC30FC" w:rsidRPr="00A762A4">
        <w:rPr>
          <w:rFonts w:ascii="Times New Roman" w:hAnsi="Times New Roman" w:cs="Times New Roman"/>
          <w:sz w:val="24"/>
          <w:szCs w:val="24"/>
        </w:rPr>
        <w:t xml:space="preserve"> up with new </w:t>
      </w:r>
      <w:r w:rsidR="00A762A4" w:rsidRPr="00A762A4">
        <w:rPr>
          <w:rFonts w:ascii="Times New Roman" w:hAnsi="Times New Roman" w:cs="Times New Roman"/>
          <w:sz w:val="24"/>
          <w:szCs w:val="24"/>
        </w:rPr>
        <w:t>ideas</w:t>
      </w:r>
      <w:r w:rsidR="00BC30FC" w:rsidRPr="00A762A4">
        <w:rPr>
          <w:rFonts w:ascii="Times New Roman" w:hAnsi="Times New Roman" w:cs="Times New Roman"/>
          <w:sz w:val="24"/>
          <w:szCs w:val="24"/>
        </w:rPr>
        <w:t xml:space="preserve">. </w:t>
      </w:r>
      <w:r w:rsidR="007E2DA1" w:rsidRPr="00A762A4">
        <w:rPr>
          <w:rFonts w:ascii="Times New Roman" w:hAnsi="Times New Roman" w:cs="Times New Roman"/>
          <w:sz w:val="24"/>
          <w:szCs w:val="24"/>
        </w:rPr>
        <w:t xml:space="preserve">Internet sales </w:t>
      </w:r>
      <w:r w:rsidR="00A762A4">
        <w:rPr>
          <w:rFonts w:ascii="Times New Roman" w:hAnsi="Times New Roman" w:cs="Times New Roman"/>
          <w:sz w:val="24"/>
          <w:szCs w:val="24"/>
        </w:rPr>
        <w:t>are</w:t>
      </w:r>
      <w:r w:rsidR="007E2DA1" w:rsidRPr="00A762A4">
        <w:rPr>
          <w:rFonts w:ascii="Times New Roman" w:hAnsi="Times New Roman" w:cs="Times New Roman"/>
          <w:sz w:val="24"/>
          <w:szCs w:val="24"/>
        </w:rPr>
        <w:t xml:space="preserve"> not a very new idea in this 4</w:t>
      </w:r>
      <w:r w:rsidR="007E2DA1" w:rsidRPr="00A762A4">
        <w:rPr>
          <w:rFonts w:ascii="Times New Roman" w:hAnsi="Times New Roman" w:cs="Times New Roman"/>
          <w:sz w:val="24"/>
          <w:szCs w:val="24"/>
          <w:vertAlign w:val="superscript"/>
        </w:rPr>
        <w:t>th</w:t>
      </w:r>
      <w:r w:rsidR="007E2DA1" w:rsidRPr="00A762A4">
        <w:rPr>
          <w:rFonts w:ascii="Times New Roman" w:hAnsi="Times New Roman" w:cs="Times New Roman"/>
          <w:sz w:val="24"/>
          <w:szCs w:val="24"/>
        </w:rPr>
        <w:t xml:space="preserve"> industrial revolution era. But to keep pace with the competitors and to keep a competitive position in the market, the directors of </w:t>
      </w:r>
      <w:r w:rsidR="007E2DA1" w:rsidRPr="00A762A4">
        <w:rPr>
          <w:rFonts w:ascii="Times New Roman" w:hAnsi="Times New Roman" w:cs="Times New Roman"/>
          <w:sz w:val="24"/>
          <w:szCs w:val="24"/>
          <w:lang w:val="en-GB"/>
        </w:rPr>
        <w:t xml:space="preserve">Greenacres Plc can expand its business operations </w:t>
      </w:r>
      <w:r w:rsidR="00A762A4" w:rsidRPr="00A762A4">
        <w:rPr>
          <w:rFonts w:ascii="Times New Roman" w:hAnsi="Times New Roman" w:cs="Times New Roman"/>
          <w:sz w:val="24"/>
          <w:szCs w:val="24"/>
          <w:lang w:val="en-GB"/>
        </w:rPr>
        <w:t>by</w:t>
      </w:r>
      <w:r w:rsidR="007E2DA1" w:rsidRPr="00A762A4">
        <w:rPr>
          <w:rFonts w:ascii="Times New Roman" w:hAnsi="Times New Roman" w:cs="Times New Roman"/>
          <w:sz w:val="24"/>
          <w:szCs w:val="24"/>
          <w:lang w:val="en-GB"/>
        </w:rPr>
        <w:t xml:space="preserve"> launching “internet sales” by taking the “Investment Option-B”. </w:t>
      </w:r>
    </w:p>
    <w:p w14:paraId="449C7577" w14:textId="77777777" w:rsidR="00F86C5C" w:rsidRDefault="00F86C5C" w:rsidP="00340D80">
      <w:pPr>
        <w:jc w:val="both"/>
        <w:rPr>
          <w:rFonts w:ascii="Times New Roman" w:hAnsi="Times New Roman" w:cs="Times New Roman"/>
          <w:sz w:val="24"/>
          <w:szCs w:val="24"/>
        </w:rPr>
      </w:pPr>
    </w:p>
    <w:p w14:paraId="41532954" w14:textId="6C239382" w:rsidR="009D6535" w:rsidRPr="00A762A4" w:rsidRDefault="009D6535" w:rsidP="00A762A4">
      <w:pPr>
        <w:pStyle w:val="Heading2"/>
        <w:spacing w:line="480" w:lineRule="auto"/>
        <w:rPr>
          <w:rFonts w:ascii="Times New Roman" w:hAnsi="Times New Roman" w:cs="Times New Roman"/>
          <w:b/>
          <w:bCs/>
          <w:color w:val="auto"/>
          <w:sz w:val="24"/>
          <w:szCs w:val="24"/>
        </w:rPr>
      </w:pPr>
      <w:bookmarkStart w:id="14" w:name="_Toc187878309"/>
      <w:r w:rsidRPr="00A762A4">
        <w:rPr>
          <w:rFonts w:ascii="Times New Roman" w:hAnsi="Times New Roman" w:cs="Times New Roman"/>
          <w:b/>
          <w:bCs/>
          <w:color w:val="auto"/>
          <w:sz w:val="24"/>
          <w:szCs w:val="24"/>
        </w:rPr>
        <w:lastRenderedPageBreak/>
        <w:t>2.4</w:t>
      </w:r>
      <w:r w:rsidR="00EF596D" w:rsidRPr="00A762A4">
        <w:rPr>
          <w:rFonts w:ascii="Times New Roman" w:hAnsi="Times New Roman" w:cs="Times New Roman"/>
          <w:b/>
          <w:bCs/>
          <w:color w:val="auto"/>
          <w:sz w:val="24"/>
          <w:szCs w:val="24"/>
        </w:rPr>
        <w:t xml:space="preserve"> </w:t>
      </w:r>
      <w:r w:rsidR="007E709A" w:rsidRPr="00A762A4">
        <w:rPr>
          <w:rFonts w:ascii="Times New Roman" w:hAnsi="Times New Roman" w:cs="Times New Roman"/>
          <w:b/>
          <w:bCs/>
          <w:color w:val="auto"/>
          <w:sz w:val="24"/>
          <w:szCs w:val="24"/>
        </w:rPr>
        <w:t xml:space="preserve">Other </w:t>
      </w:r>
      <w:r w:rsidRPr="00A762A4">
        <w:rPr>
          <w:rFonts w:ascii="Times New Roman" w:hAnsi="Times New Roman" w:cs="Times New Roman"/>
          <w:b/>
          <w:bCs/>
          <w:color w:val="auto"/>
          <w:sz w:val="24"/>
          <w:szCs w:val="24"/>
        </w:rPr>
        <w:t>Considerable Factors for Investment Decision</w:t>
      </w:r>
      <w:bookmarkEnd w:id="14"/>
    </w:p>
    <w:p w14:paraId="2E653FDA" w14:textId="5CC20E23" w:rsidR="00F86C5C" w:rsidRPr="00DB58F4" w:rsidRDefault="005D7E95" w:rsidP="00A762A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Apart from the results of different investment appraisal methods, business organizations also consider other factors before making an investment decision</w:t>
      </w:r>
      <w:r w:rsidR="00DB58F4">
        <w:rPr>
          <w:rFonts w:ascii="Times New Roman" w:hAnsi="Times New Roman" w:cs="Times New Roman"/>
          <w:sz w:val="24"/>
          <w:szCs w:val="24"/>
        </w:rPr>
        <w:t xml:space="preserve"> </w:t>
      </w:r>
      <w:r w:rsidR="00DB58F4">
        <w:rPr>
          <w:rFonts w:ascii="Times New Roman" w:hAnsi="Times New Roman" w:cs="Times New Roman"/>
          <w:color w:val="222222"/>
          <w:sz w:val="24"/>
          <w:szCs w:val="24"/>
          <w:shd w:val="clear" w:color="auto" w:fill="FFFFFF"/>
        </w:rPr>
        <w:t>(</w:t>
      </w:r>
      <w:proofErr w:type="spellStart"/>
      <w:r w:rsidR="00DB58F4" w:rsidRPr="00713490">
        <w:rPr>
          <w:rFonts w:ascii="Times New Roman" w:hAnsi="Times New Roman" w:cs="Times New Roman"/>
          <w:color w:val="222222"/>
          <w:sz w:val="24"/>
          <w:szCs w:val="24"/>
          <w:shd w:val="clear" w:color="auto" w:fill="FFFFFF"/>
        </w:rPr>
        <w:t>Bialowolski</w:t>
      </w:r>
      <w:proofErr w:type="spellEnd"/>
      <w:r w:rsidR="00DB58F4">
        <w:rPr>
          <w:rFonts w:ascii="Times New Roman" w:hAnsi="Times New Roman" w:cs="Times New Roman"/>
          <w:color w:val="222222"/>
          <w:sz w:val="24"/>
          <w:szCs w:val="24"/>
          <w:shd w:val="clear" w:color="auto" w:fill="FFFFFF"/>
        </w:rPr>
        <w:t xml:space="preserve"> &amp; </w:t>
      </w:r>
      <w:proofErr w:type="spellStart"/>
      <w:r w:rsidR="00DB58F4" w:rsidRPr="00713490">
        <w:rPr>
          <w:rFonts w:ascii="Times New Roman" w:hAnsi="Times New Roman" w:cs="Times New Roman"/>
          <w:color w:val="222222"/>
          <w:sz w:val="24"/>
          <w:szCs w:val="24"/>
          <w:shd w:val="clear" w:color="auto" w:fill="FFFFFF"/>
        </w:rPr>
        <w:t>Weziak-Bialowolska</w:t>
      </w:r>
      <w:proofErr w:type="spellEnd"/>
      <w:r w:rsidR="00DB58F4" w:rsidRPr="00713490">
        <w:rPr>
          <w:rFonts w:ascii="Times New Roman" w:hAnsi="Times New Roman" w:cs="Times New Roman"/>
          <w:color w:val="222222"/>
          <w:sz w:val="24"/>
          <w:szCs w:val="24"/>
          <w:shd w:val="clear" w:color="auto" w:fill="FFFFFF"/>
        </w:rPr>
        <w:t>,</w:t>
      </w:r>
      <w:r w:rsidR="00DB58F4">
        <w:rPr>
          <w:rFonts w:ascii="Times New Roman" w:hAnsi="Times New Roman" w:cs="Times New Roman"/>
          <w:color w:val="222222"/>
          <w:sz w:val="24"/>
          <w:szCs w:val="24"/>
          <w:shd w:val="clear" w:color="auto" w:fill="FFFFFF"/>
        </w:rPr>
        <w:t xml:space="preserve"> 2014)</w:t>
      </w:r>
      <w:r>
        <w:rPr>
          <w:rFonts w:ascii="Times New Roman" w:hAnsi="Times New Roman" w:cs="Times New Roman"/>
          <w:sz w:val="24"/>
          <w:szCs w:val="24"/>
        </w:rPr>
        <w:t xml:space="preserve">. The directors of </w:t>
      </w:r>
      <w:r w:rsidRPr="00607A4B">
        <w:rPr>
          <w:rFonts w:ascii="Times New Roman" w:hAnsi="Times New Roman" w:cs="Times New Roman"/>
          <w:sz w:val="24"/>
          <w:szCs w:val="24"/>
          <w:lang w:val="en-GB"/>
        </w:rPr>
        <w:t>Greenacres Plc</w:t>
      </w:r>
      <w:r>
        <w:rPr>
          <w:rFonts w:ascii="Times New Roman" w:hAnsi="Times New Roman" w:cs="Times New Roman"/>
          <w:sz w:val="24"/>
          <w:szCs w:val="24"/>
          <w:lang w:val="en-GB"/>
        </w:rPr>
        <w:t xml:space="preserve"> can</w:t>
      </w:r>
      <w:r w:rsidR="004D3156">
        <w:rPr>
          <w:rFonts w:ascii="Times New Roman" w:hAnsi="Times New Roman" w:cs="Times New Roman"/>
          <w:sz w:val="24"/>
          <w:szCs w:val="24"/>
          <w:lang w:val="en-GB"/>
        </w:rPr>
        <w:t xml:space="preserve"> </w:t>
      </w:r>
      <w:r w:rsidR="004719F9">
        <w:rPr>
          <w:rFonts w:ascii="Times New Roman" w:hAnsi="Times New Roman" w:cs="Times New Roman"/>
          <w:sz w:val="24"/>
          <w:szCs w:val="24"/>
          <w:lang w:val="en-GB"/>
        </w:rPr>
        <w:t xml:space="preserve">also </w:t>
      </w:r>
      <w:r>
        <w:rPr>
          <w:rFonts w:ascii="Times New Roman" w:hAnsi="Times New Roman" w:cs="Times New Roman"/>
          <w:sz w:val="24"/>
          <w:szCs w:val="24"/>
          <w:lang w:val="en-GB"/>
        </w:rPr>
        <w:t>consider the following factors before making an inve</w:t>
      </w:r>
      <w:r w:rsidR="004C3993">
        <w:rPr>
          <w:rFonts w:ascii="Times New Roman" w:hAnsi="Times New Roman" w:cs="Times New Roman"/>
          <w:sz w:val="24"/>
          <w:szCs w:val="24"/>
          <w:lang w:val="en-GB"/>
        </w:rPr>
        <w:t>s</w:t>
      </w:r>
      <w:r>
        <w:rPr>
          <w:rFonts w:ascii="Times New Roman" w:hAnsi="Times New Roman" w:cs="Times New Roman"/>
          <w:sz w:val="24"/>
          <w:szCs w:val="24"/>
          <w:lang w:val="en-GB"/>
        </w:rPr>
        <w:t>tme</w:t>
      </w:r>
      <w:r w:rsidR="004C3993">
        <w:rPr>
          <w:rFonts w:ascii="Times New Roman" w:hAnsi="Times New Roman" w:cs="Times New Roman"/>
          <w:sz w:val="24"/>
          <w:szCs w:val="24"/>
          <w:lang w:val="en-GB"/>
        </w:rPr>
        <w:t>n</w:t>
      </w:r>
      <w:r>
        <w:rPr>
          <w:rFonts w:ascii="Times New Roman" w:hAnsi="Times New Roman" w:cs="Times New Roman"/>
          <w:sz w:val="24"/>
          <w:szCs w:val="24"/>
          <w:lang w:val="en-GB"/>
        </w:rPr>
        <w:t xml:space="preserve">t decision: </w:t>
      </w:r>
    </w:p>
    <w:p w14:paraId="7D4F5AD8" w14:textId="19893370" w:rsidR="0016395C" w:rsidRPr="00A762A4" w:rsidRDefault="0016395C" w:rsidP="00A762A4">
      <w:pPr>
        <w:spacing w:line="360" w:lineRule="auto"/>
        <w:jc w:val="both"/>
        <w:rPr>
          <w:rFonts w:ascii="Times New Roman" w:hAnsi="Times New Roman" w:cs="Times New Roman"/>
          <w:sz w:val="24"/>
          <w:szCs w:val="24"/>
        </w:rPr>
      </w:pPr>
      <w:r w:rsidRPr="00A762A4">
        <w:rPr>
          <w:rFonts w:ascii="Times New Roman" w:hAnsi="Times New Roman" w:cs="Times New Roman"/>
          <w:b/>
          <w:bCs/>
          <w:sz w:val="24"/>
          <w:szCs w:val="24"/>
        </w:rPr>
        <w:t xml:space="preserve">Technological Feasibility: </w:t>
      </w:r>
      <w:r w:rsidR="00A762A4" w:rsidRPr="00A762A4">
        <w:rPr>
          <w:rFonts w:ascii="Times New Roman" w:hAnsi="Times New Roman" w:cs="Times New Roman"/>
          <w:sz w:val="24"/>
          <w:szCs w:val="24"/>
        </w:rPr>
        <w:t>Some investment options look</w:t>
      </w:r>
      <w:r w:rsidR="009A27C2" w:rsidRPr="00A762A4">
        <w:rPr>
          <w:rFonts w:ascii="Times New Roman" w:hAnsi="Times New Roman" w:cs="Times New Roman"/>
          <w:sz w:val="24"/>
          <w:szCs w:val="24"/>
        </w:rPr>
        <w:t xml:space="preserve"> very profitable and worthy at the initial stage. </w:t>
      </w:r>
      <w:r w:rsidR="00A762A4" w:rsidRPr="00A762A4">
        <w:rPr>
          <w:rFonts w:ascii="Times New Roman" w:hAnsi="Times New Roman" w:cs="Times New Roman"/>
          <w:sz w:val="24"/>
          <w:szCs w:val="24"/>
        </w:rPr>
        <w:t>However,</w:t>
      </w:r>
      <w:r w:rsidR="009A27C2" w:rsidRPr="00A762A4">
        <w:rPr>
          <w:rFonts w:ascii="Times New Roman" w:hAnsi="Times New Roman" w:cs="Times New Roman"/>
          <w:sz w:val="24"/>
          <w:szCs w:val="24"/>
        </w:rPr>
        <w:t xml:space="preserve"> these investment options may not be technically feasible. Therefore, business organizations also analyze the technical feasibility of any investment option before </w:t>
      </w:r>
      <w:r w:rsidR="00A762A4" w:rsidRPr="00A762A4">
        <w:rPr>
          <w:rFonts w:ascii="Times New Roman" w:hAnsi="Times New Roman" w:cs="Times New Roman"/>
          <w:sz w:val="24"/>
          <w:szCs w:val="24"/>
        </w:rPr>
        <w:t>making</w:t>
      </w:r>
      <w:r w:rsidR="009A27C2" w:rsidRPr="00A762A4">
        <w:rPr>
          <w:rFonts w:ascii="Times New Roman" w:hAnsi="Times New Roman" w:cs="Times New Roman"/>
          <w:sz w:val="24"/>
          <w:szCs w:val="24"/>
        </w:rPr>
        <w:t xml:space="preserve"> that investment decision</w:t>
      </w:r>
      <w:r w:rsidR="00DB58F4" w:rsidRPr="00A762A4">
        <w:rPr>
          <w:rFonts w:ascii="Times New Roman" w:hAnsi="Times New Roman" w:cs="Times New Roman"/>
          <w:sz w:val="24"/>
          <w:szCs w:val="24"/>
        </w:rPr>
        <w:t xml:space="preserve"> (Yoon, 2021)</w:t>
      </w:r>
      <w:r w:rsidR="009A27C2" w:rsidRPr="00A762A4">
        <w:rPr>
          <w:rFonts w:ascii="Times New Roman" w:hAnsi="Times New Roman" w:cs="Times New Roman"/>
          <w:sz w:val="24"/>
          <w:szCs w:val="24"/>
        </w:rPr>
        <w:t xml:space="preserve">. </w:t>
      </w:r>
    </w:p>
    <w:p w14:paraId="685D09B3" w14:textId="4975A25F" w:rsidR="004F3592" w:rsidRPr="00A762A4" w:rsidRDefault="004F3592" w:rsidP="00A762A4">
      <w:pPr>
        <w:spacing w:line="360" w:lineRule="auto"/>
        <w:jc w:val="both"/>
        <w:rPr>
          <w:rFonts w:ascii="Times New Roman" w:hAnsi="Times New Roman" w:cs="Times New Roman"/>
          <w:sz w:val="24"/>
          <w:szCs w:val="24"/>
        </w:rPr>
      </w:pPr>
      <w:r w:rsidRPr="00A762A4">
        <w:rPr>
          <w:rFonts w:ascii="Times New Roman" w:hAnsi="Times New Roman" w:cs="Times New Roman"/>
          <w:b/>
          <w:bCs/>
          <w:sz w:val="24"/>
          <w:szCs w:val="24"/>
        </w:rPr>
        <w:t>Strategic Alignment:</w:t>
      </w:r>
      <w:r w:rsidR="004D3156" w:rsidRPr="00A762A4">
        <w:rPr>
          <w:rFonts w:ascii="Times New Roman" w:hAnsi="Times New Roman" w:cs="Times New Roman"/>
          <w:b/>
          <w:bCs/>
          <w:sz w:val="24"/>
          <w:szCs w:val="24"/>
        </w:rPr>
        <w:t xml:space="preserve"> </w:t>
      </w:r>
      <w:r w:rsidR="00BD610D" w:rsidRPr="00A762A4">
        <w:rPr>
          <w:rFonts w:ascii="Times New Roman" w:hAnsi="Times New Roman" w:cs="Times New Roman"/>
          <w:sz w:val="24"/>
          <w:szCs w:val="24"/>
        </w:rPr>
        <w:t>Business organizations try to take those projects that help a business organization to achieve its strategic goal in the long run</w:t>
      </w:r>
      <w:r w:rsidR="00DB58F4" w:rsidRPr="00A762A4">
        <w:rPr>
          <w:rFonts w:ascii="Times New Roman" w:hAnsi="Times New Roman" w:cs="Times New Roman"/>
          <w:sz w:val="24"/>
          <w:szCs w:val="24"/>
        </w:rPr>
        <w:t xml:space="preserve"> (</w:t>
      </w:r>
      <w:proofErr w:type="spellStart"/>
      <w:r w:rsidR="00DB58F4" w:rsidRPr="00A762A4">
        <w:rPr>
          <w:rFonts w:ascii="Times New Roman" w:hAnsi="Times New Roman" w:cs="Times New Roman"/>
          <w:sz w:val="24"/>
          <w:szCs w:val="24"/>
        </w:rPr>
        <w:t>Alkaraan</w:t>
      </w:r>
      <w:proofErr w:type="spellEnd"/>
      <w:r w:rsidR="00DB58F4" w:rsidRPr="00A762A4">
        <w:rPr>
          <w:rFonts w:ascii="Times New Roman" w:hAnsi="Times New Roman" w:cs="Times New Roman"/>
          <w:sz w:val="24"/>
          <w:szCs w:val="24"/>
        </w:rPr>
        <w:t xml:space="preserve"> &amp; Northcott, 2013)</w:t>
      </w:r>
      <w:r w:rsidR="00BD610D" w:rsidRPr="00A762A4">
        <w:rPr>
          <w:rFonts w:ascii="Times New Roman" w:hAnsi="Times New Roman" w:cs="Times New Roman"/>
          <w:sz w:val="24"/>
          <w:szCs w:val="24"/>
        </w:rPr>
        <w:t xml:space="preserve">. This strategic alignment plays a very crucial role. </w:t>
      </w:r>
      <w:r w:rsidR="000A4984" w:rsidRPr="00A762A4">
        <w:rPr>
          <w:rFonts w:ascii="Times New Roman" w:hAnsi="Times New Roman" w:cs="Times New Roman"/>
          <w:sz w:val="24"/>
          <w:szCs w:val="24"/>
        </w:rPr>
        <w:t xml:space="preserve">For example, in </w:t>
      </w:r>
      <w:r w:rsidR="00A762A4" w:rsidRPr="00A762A4">
        <w:rPr>
          <w:rFonts w:ascii="Times New Roman" w:hAnsi="Times New Roman" w:cs="Times New Roman"/>
          <w:sz w:val="24"/>
          <w:szCs w:val="24"/>
        </w:rPr>
        <w:t xml:space="preserve">the </w:t>
      </w:r>
      <w:r w:rsidR="000A4984" w:rsidRPr="00A762A4">
        <w:rPr>
          <w:rFonts w:ascii="Times New Roman" w:hAnsi="Times New Roman" w:cs="Times New Roman"/>
          <w:sz w:val="24"/>
          <w:szCs w:val="24"/>
        </w:rPr>
        <w:t xml:space="preserve">case of </w:t>
      </w:r>
      <w:r w:rsidR="000A4984" w:rsidRPr="00A762A4">
        <w:rPr>
          <w:rFonts w:ascii="Times New Roman" w:hAnsi="Times New Roman" w:cs="Times New Roman"/>
          <w:sz w:val="24"/>
          <w:szCs w:val="24"/>
          <w:lang w:val="en-GB"/>
        </w:rPr>
        <w:t xml:space="preserve">Greenacres Plc, if the directors select the “Investment Option-B” then they will be able to operate their business in </w:t>
      </w:r>
      <w:r w:rsidR="00A762A4" w:rsidRPr="00A762A4">
        <w:rPr>
          <w:rFonts w:ascii="Times New Roman" w:hAnsi="Times New Roman" w:cs="Times New Roman"/>
          <w:sz w:val="24"/>
          <w:szCs w:val="24"/>
          <w:lang w:val="en-GB"/>
        </w:rPr>
        <w:t xml:space="preserve">a </w:t>
      </w:r>
      <w:r w:rsidR="000A4984" w:rsidRPr="00A762A4">
        <w:rPr>
          <w:rFonts w:ascii="Times New Roman" w:hAnsi="Times New Roman" w:cs="Times New Roman"/>
          <w:sz w:val="24"/>
          <w:szCs w:val="24"/>
          <w:lang w:val="en-GB"/>
        </w:rPr>
        <w:t xml:space="preserve">virtual platform </w:t>
      </w:r>
      <w:r w:rsidR="006C39DC" w:rsidRPr="00A762A4">
        <w:rPr>
          <w:rFonts w:ascii="Times New Roman" w:hAnsi="Times New Roman" w:cs="Times New Roman"/>
          <w:sz w:val="24"/>
          <w:szCs w:val="24"/>
          <w:lang w:val="en-GB"/>
        </w:rPr>
        <w:t xml:space="preserve">also. </w:t>
      </w:r>
      <w:r w:rsidR="00A762A4" w:rsidRPr="00A762A4">
        <w:rPr>
          <w:rFonts w:ascii="Times New Roman" w:hAnsi="Times New Roman" w:cs="Times New Roman"/>
          <w:sz w:val="24"/>
          <w:szCs w:val="24"/>
          <w:lang w:val="en-GB"/>
        </w:rPr>
        <w:t>In</w:t>
      </w:r>
      <w:r w:rsidR="006C39DC" w:rsidRPr="00A762A4">
        <w:rPr>
          <w:rFonts w:ascii="Times New Roman" w:hAnsi="Times New Roman" w:cs="Times New Roman"/>
          <w:sz w:val="24"/>
          <w:szCs w:val="24"/>
          <w:lang w:val="en-GB"/>
        </w:rPr>
        <w:t xml:space="preserve"> this way, Greenacres Plc can expand its existing business and comply with its strategic goal of business expansion. </w:t>
      </w:r>
    </w:p>
    <w:p w14:paraId="544A1455" w14:textId="54E374CD" w:rsidR="00115681" w:rsidRPr="00A762A4" w:rsidRDefault="00115681" w:rsidP="00A762A4">
      <w:pPr>
        <w:spacing w:line="360" w:lineRule="auto"/>
        <w:jc w:val="both"/>
        <w:rPr>
          <w:rFonts w:ascii="Times New Roman" w:hAnsi="Times New Roman" w:cs="Times New Roman"/>
          <w:sz w:val="24"/>
          <w:szCs w:val="24"/>
        </w:rPr>
      </w:pPr>
      <w:r w:rsidRPr="00A762A4">
        <w:rPr>
          <w:rFonts w:ascii="Times New Roman" w:hAnsi="Times New Roman" w:cs="Times New Roman"/>
          <w:b/>
          <w:bCs/>
          <w:sz w:val="24"/>
          <w:szCs w:val="24"/>
        </w:rPr>
        <w:t>Opportunity Cost:</w:t>
      </w:r>
      <w:r w:rsidR="004D3156" w:rsidRPr="00A762A4">
        <w:rPr>
          <w:rFonts w:ascii="Times New Roman" w:hAnsi="Times New Roman" w:cs="Times New Roman"/>
          <w:b/>
          <w:bCs/>
          <w:sz w:val="24"/>
          <w:szCs w:val="24"/>
        </w:rPr>
        <w:t xml:space="preserve"> </w:t>
      </w:r>
      <w:r w:rsidR="005A6C5D" w:rsidRPr="00A762A4">
        <w:rPr>
          <w:rFonts w:ascii="Times New Roman" w:hAnsi="Times New Roman" w:cs="Times New Roman"/>
          <w:sz w:val="24"/>
          <w:szCs w:val="24"/>
        </w:rPr>
        <w:t>Opportunity cost is the lost benefit associated with an investment option that cannot be achieved when selecting a particular investment option and rejecting the others</w:t>
      </w:r>
      <w:r w:rsidR="00DB58F4" w:rsidRPr="00A762A4">
        <w:rPr>
          <w:rFonts w:ascii="Times New Roman" w:hAnsi="Times New Roman" w:cs="Times New Roman"/>
          <w:sz w:val="24"/>
          <w:szCs w:val="24"/>
        </w:rPr>
        <w:t xml:space="preserve"> (Spiller, 2011)</w:t>
      </w:r>
      <w:r w:rsidR="005A6C5D" w:rsidRPr="00A762A4">
        <w:rPr>
          <w:rFonts w:ascii="Times New Roman" w:hAnsi="Times New Roman" w:cs="Times New Roman"/>
          <w:sz w:val="24"/>
          <w:szCs w:val="24"/>
        </w:rPr>
        <w:t xml:space="preserve">. </w:t>
      </w:r>
      <w:r w:rsidR="00CA2BB9" w:rsidRPr="00A762A4">
        <w:rPr>
          <w:rFonts w:ascii="Times New Roman" w:hAnsi="Times New Roman" w:cs="Times New Roman"/>
          <w:sz w:val="24"/>
          <w:szCs w:val="24"/>
        </w:rPr>
        <w:t xml:space="preserve">Finance </w:t>
      </w:r>
      <w:r w:rsidR="00A762A4">
        <w:rPr>
          <w:rFonts w:ascii="Times New Roman" w:hAnsi="Times New Roman" w:cs="Times New Roman"/>
          <w:sz w:val="24"/>
          <w:szCs w:val="24"/>
        </w:rPr>
        <w:t>managers</w:t>
      </w:r>
      <w:r w:rsidR="00CA2BB9" w:rsidRPr="00A762A4">
        <w:rPr>
          <w:rFonts w:ascii="Times New Roman" w:hAnsi="Times New Roman" w:cs="Times New Roman"/>
          <w:sz w:val="24"/>
          <w:szCs w:val="24"/>
        </w:rPr>
        <w:t xml:space="preserve"> analyze the opportunity cost of every investment option and select th</w:t>
      </w:r>
      <w:r w:rsidR="00511853" w:rsidRPr="00A762A4">
        <w:rPr>
          <w:rFonts w:ascii="Times New Roman" w:hAnsi="Times New Roman" w:cs="Times New Roman"/>
          <w:sz w:val="24"/>
          <w:szCs w:val="24"/>
        </w:rPr>
        <w:t xml:space="preserve">e best investment option to minimize the opportunity cost. </w:t>
      </w:r>
    </w:p>
    <w:p w14:paraId="38FAE7D5" w14:textId="76C971EB" w:rsidR="00E45462" w:rsidRDefault="00E45462" w:rsidP="00A762A4">
      <w:pPr>
        <w:spacing w:line="360" w:lineRule="auto"/>
        <w:jc w:val="both"/>
        <w:rPr>
          <w:rFonts w:ascii="Times New Roman" w:hAnsi="Times New Roman" w:cs="Times New Roman"/>
          <w:sz w:val="24"/>
          <w:szCs w:val="24"/>
          <w:lang w:val="en-GB"/>
        </w:rPr>
      </w:pPr>
      <w:r w:rsidRPr="00A762A4">
        <w:rPr>
          <w:rFonts w:ascii="Times New Roman" w:hAnsi="Times New Roman" w:cs="Times New Roman"/>
          <w:b/>
          <w:bCs/>
          <w:sz w:val="24"/>
          <w:szCs w:val="24"/>
        </w:rPr>
        <w:t xml:space="preserve">Legal </w:t>
      </w:r>
      <w:r w:rsidR="006A3D2B" w:rsidRPr="00A762A4">
        <w:rPr>
          <w:rFonts w:ascii="Times New Roman" w:hAnsi="Times New Roman" w:cs="Times New Roman"/>
          <w:b/>
          <w:bCs/>
          <w:sz w:val="24"/>
          <w:szCs w:val="24"/>
        </w:rPr>
        <w:t xml:space="preserve">&amp; Political </w:t>
      </w:r>
      <w:r w:rsidRPr="00A762A4">
        <w:rPr>
          <w:rFonts w:ascii="Times New Roman" w:hAnsi="Times New Roman" w:cs="Times New Roman"/>
          <w:b/>
          <w:bCs/>
          <w:sz w:val="24"/>
          <w:szCs w:val="24"/>
        </w:rPr>
        <w:t>Factors:</w:t>
      </w:r>
      <w:r w:rsidR="004D3156" w:rsidRPr="00A762A4">
        <w:rPr>
          <w:rFonts w:ascii="Times New Roman" w:hAnsi="Times New Roman" w:cs="Times New Roman"/>
          <w:b/>
          <w:bCs/>
          <w:sz w:val="24"/>
          <w:szCs w:val="24"/>
        </w:rPr>
        <w:t xml:space="preserve"> </w:t>
      </w:r>
      <w:r w:rsidR="006A3D2B" w:rsidRPr="00A762A4">
        <w:rPr>
          <w:rFonts w:ascii="Times New Roman" w:hAnsi="Times New Roman" w:cs="Times New Roman"/>
          <w:sz w:val="24"/>
          <w:szCs w:val="24"/>
        </w:rPr>
        <w:t>Government policies, existing laws &amp; regulations, political stability</w:t>
      </w:r>
      <w:r w:rsidR="00A762A4">
        <w:rPr>
          <w:rFonts w:ascii="Times New Roman" w:hAnsi="Times New Roman" w:cs="Times New Roman"/>
          <w:sz w:val="24"/>
          <w:szCs w:val="24"/>
        </w:rPr>
        <w:t>,</w:t>
      </w:r>
      <w:r w:rsidR="006A3D2B" w:rsidRPr="00A762A4">
        <w:rPr>
          <w:rFonts w:ascii="Times New Roman" w:hAnsi="Times New Roman" w:cs="Times New Roman"/>
          <w:sz w:val="24"/>
          <w:szCs w:val="24"/>
        </w:rPr>
        <w:t xml:space="preserve"> etc. play a key role in determining the future profit </w:t>
      </w:r>
      <w:r w:rsidR="00A762A4" w:rsidRPr="00A762A4">
        <w:rPr>
          <w:rFonts w:ascii="Times New Roman" w:hAnsi="Times New Roman" w:cs="Times New Roman"/>
          <w:sz w:val="24"/>
          <w:szCs w:val="24"/>
        </w:rPr>
        <w:t>potential</w:t>
      </w:r>
      <w:r w:rsidR="006A3D2B" w:rsidRPr="00A762A4">
        <w:rPr>
          <w:rFonts w:ascii="Times New Roman" w:hAnsi="Times New Roman" w:cs="Times New Roman"/>
          <w:sz w:val="24"/>
          <w:szCs w:val="24"/>
        </w:rPr>
        <w:t xml:space="preserve"> of any investment option. Along with analyzing the economic factors, business organizations also analyze the legal &amp; political factors to select the most appropriate investment option.</w:t>
      </w:r>
      <w:r w:rsidR="00D34A42" w:rsidRPr="00A762A4">
        <w:rPr>
          <w:rFonts w:ascii="Times New Roman" w:hAnsi="Times New Roman" w:cs="Times New Roman"/>
          <w:sz w:val="24"/>
          <w:szCs w:val="24"/>
        </w:rPr>
        <w:t xml:space="preserve"> For example, the directors of </w:t>
      </w:r>
      <w:r w:rsidR="00D34A42" w:rsidRPr="00A762A4">
        <w:rPr>
          <w:rFonts w:ascii="Times New Roman" w:hAnsi="Times New Roman" w:cs="Times New Roman"/>
          <w:sz w:val="24"/>
          <w:szCs w:val="24"/>
          <w:lang w:val="en-GB"/>
        </w:rPr>
        <w:t xml:space="preserve">Greenacres Plc can </w:t>
      </w:r>
      <w:proofErr w:type="spellStart"/>
      <w:r w:rsidR="00A762A4">
        <w:rPr>
          <w:rFonts w:ascii="Times New Roman" w:hAnsi="Times New Roman" w:cs="Times New Roman"/>
          <w:sz w:val="24"/>
          <w:szCs w:val="24"/>
          <w:lang w:val="en-GB"/>
        </w:rPr>
        <w:t>analyze</w:t>
      </w:r>
      <w:proofErr w:type="spellEnd"/>
      <w:r w:rsidR="00D34A42" w:rsidRPr="00A762A4">
        <w:rPr>
          <w:rFonts w:ascii="Times New Roman" w:hAnsi="Times New Roman" w:cs="Times New Roman"/>
          <w:sz w:val="24"/>
          <w:szCs w:val="24"/>
          <w:lang w:val="en-GB"/>
        </w:rPr>
        <w:t xml:space="preserve"> the </w:t>
      </w:r>
      <w:r w:rsidR="00A762A4" w:rsidRPr="00A762A4">
        <w:rPr>
          <w:rFonts w:ascii="Times New Roman" w:hAnsi="Times New Roman" w:cs="Times New Roman"/>
          <w:sz w:val="24"/>
          <w:szCs w:val="24"/>
          <w:lang w:val="en-GB"/>
        </w:rPr>
        <w:t>exciting</w:t>
      </w:r>
      <w:r w:rsidR="00D34A42" w:rsidRPr="00A762A4">
        <w:rPr>
          <w:rFonts w:ascii="Times New Roman" w:hAnsi="Times New Roman" w:cs="Times New Roman"/>
          <w:sz w:val="24"/>
          <w:szCs w:val="24"/>
          <w:lang w:val="en-GB"/>
        </w:rPr>
        <w:t xml:space="preserve"> legal &amp; political business environment before selecting the appropriate investment option. </w:t>
      </w:r>
    </w:p>
    <w:p w14:paraId="0E5A1F59" w14:textId="77777777" w:rsidR="00A762A4" w:rsidRDefault="00A762A4" w:rsidP="00A762A4">
      <w:pPr>
        <w:spacing w:line="360" w:lineRule="auto"/>
        <w:jc w:val="both"/>
        <w:rPr>
          <w:rFonts w:ascii="Times New Roman" w:hAnsi="Times New Roman" w:cs="Times New Roman"/>
          <w:sz w:val="24"/>
          <w:szCs w:val="24"/>
          <w:lang w:val="en-GB"/>
        </w:rPr>
      </w:pPr>
    </w:p>
    <w:p w14:paraId="3E3DC2A6" w14:textId="77777777" w:rsidR="00A762A4" w:rsidRPr="00A762A4" w:rsidRDefault="00A762A4" w:rsidP="00A762A4">
      <w:pPr>
        <w:spacing w:line="360" w:lineRule="auto"/>
        <w:jc w:val="both"/>
        <w:rPr>
          <w:rFonts w:ascii="Times New Roman" w:hAnsi="Times New Roman" w:cs="Times New Roman"/>
          <w:sz w:val="24"/>
          <w:szCs w:val="24"/>
        </w:rPr>
      </w:pPr>
    </w:p>
    <w:p w14:paraId="0C9C9FE3" w14:textId="77777777" w:rsidR="00340D80" w:rsidRDefault="00340D80" w:rsidP="00B07916">
      <w:pPr>
        <w:jc w:val="both"/>
        <w:rPr>
          <w:rFonts w:ascii="Times New Roman" w:hAnsi="Times New Roman" w:cs="Times New Roman"/>
          <w:sz w:val="24"/>
          <w:szCs w:val="24"/>
        </w:rPr>
      </w:pPr>
    </w:p>
    <w:p w14:paraId="6FAE8235" w14:textId="7E465DC2" w:rsidR="00CC6C68" w:rsidRPr="00A762A4" w:rsidRDefault="00CC6C68" w:rsidP="00A762A4">
      <w:pPr>
        <w:pStyle w:val="Heading2"/>
        <w:numPr>
          <w:ilvl w:val="1"/>
          <w:numId w:val="41"/>
        </w:numPr>
        <w:rPr>
          <w:rFonts w:ascii="Times New Roman" w:hAnsi="Times New Roman" w:cs="Times New Roman"/>
          <w:b/>
          <w:bCs/>
          <w:color w:val="auto"/>
          <w:sz w:val="24"/>
          <w:szCs w:val="24"/>
        </w:rPr>
      </w:pPr>
      <w:bookmarkStart w:id="15" w:name="_Toc187878310"/>
      <w:r w:rsidRPr="00A762A4">
        <w:rPr>
          <w:rFonts w:ascii="Times New Roman" w:hAnsi="Times New Roman" w:cs="Times New Roman"/>
          <w:b/>
          <w:bCs/>
          <w:color w:val="auto"/>
          <w:sz w:val="24"/>
          <w:szCs w:val="24"/>
        </w:rPr>
        <w:lastRenderedPageBreak/>
        <w:t>NPV of Optimal Investment Policy</w:t>
      </w:r>
      <w:bookmarkEnd w:id="15"/>
    </w:p>
    <w:p w14:paraId="705EC206" w14:textId="77777777" w:rsidR="00A762A4" w:rsidRPr="00A762A4" w:rsidRDefault="00A762A4" w:rsidP="00A762A4">
      <w:pPr>
        <w:pStyle w:val="ListParagraph"/>
        <w:ind w:left="480"/>
      </w:pPr>
    </w:p>
    <w:p w14:paraId="14C614AE" w14:textId="1133956B" w:rsidR="00340D80" w:rsidRDefault="00CC6C68" w:rsidP="00A762A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In this case, the investable fund is limited to </w:t>
      </w:r>
      <w:r w:rsidRPr="00CC6C68">
        <w:rPr>
          <w:rFonts w:ascii="Times New Roman" w:hAnsi="Times New Roman" w:cs="Times New Roman"/>
          <w:sz w:val="24"/>
          <w:szCs w:val="24"/>
        </w:rPr>
        <w:t>£2,500,000</w:t>
      </w:r>
      <w:r>
        <w:rPr>
          <w:rFonts w:ascii="Times New Roman" w:hAnsi="Times New Roman" w:cs="Times New Roman"/>
          <w:sz w:val="24"/>
          <w:szCs w:val="24"/>
        </w:rPr>
        <w:t xml:space="preserve"> and it is allowed that the investment options are </w:t>
      </w:r>
      <w:r w:rsidR="00A762A4">
        <w:rPr>
          <w:rFonts w:ascii="Times New Roman" w:hAnsi="Times New Roman" w:cs="Times New Roman"/>
          <w:sz w:val="24"/>
          <w:szCs w:val="24"/>
        </w:rPr>
        <w:t>divisible so</w:t>
      </w:r>
      <w:r>
        <w:rPr>
          <w:rFonts w:ascii="Times New Roman" w:hAnsi="Times New Roman" w:cs="Times New Roman"/>
          <w:sz w:val="24"/>
          <w:szCs w:val="24"/>
        </w:rPr>
        <w:t xml:space="preserve"> that a fraction of the investment option can be funded. </w:t>
      </w:r>
      <w:r w:rsidR="0008049B">
        <w:rPr>
          <w:rFonts w:ascii="Times New Roman" w:hAnsi="Times New Roman" w:cs="Times New Roman"/>
          <w:sz w:val="24"/>
          <w:szCs w:val="24"/>
        </w:rPr>
        <w:t xml:space="preserve">All the investment options of </w:t>
      </w:r>
      <w:r w:rsidR="0008049B" w:rsidRPr="00607A4B">
        <w:rPr>
          <w:rFonts w:ascii="Times New Roman" w:hAnsi="Times New Roman" w:cs="Times New Roman"/>
          <w:sz w:val="24"/>
          <w:szCs w:val="24"/>
          <w:lang w:val="en-GB"/>
        </w:rPr>
        <w:t>Greenacres Plc</w:t>
      </w:r>
      <w:r w:rsidR="0008049B">
        <w:rPr>
          <w:rFonts w:ascii="Times New Roman" w:hAnsi="Times New Roman" w:cs="Times New Roman"/>
          <w:sz w:val="24"/>
          <w:szCs w:val="24"/>
          <w:lang w:val="en-GB"/>
        </w:rPr>
        <w:t xml:space="preserve"> have a positive NPV but due to the limited </w:t>
      </w:r>
      <w:r w:rsidR="00A762A4">
        <w:rPr>
          <w:rFonts w:ascii="Times New Roman" w:hAnsi="Times New Roman" w:cs="Times New Roman"/>
          <w:sz w:val="24"/>
          <w:szCs w:val="24"/>
          <w:lang w:val="en-GB"/>
        </w:rPr>
        <w:t>funds,</w:t>
      </w:r>
      <w:r w:rsidR="0008049B">
        <w:rPr>
          <w:rFonts w:ascii="Times New Roman" w:hAnsi="Times New Roman" w:cs="Times New Roman"/>
          <w:sz w:val="24"/>
          <w:szCs w:val="24"/>
          <w:lang w:val="en-GB"/>
        </w:rPr>
        <w:t xml:space="preserve"> the directors of </w:t>
      </w:r>
      <w:r w:rsidR="0008049B" w:rsidRPr="00607A4B">
        <w:rPr>
          <w:rFonts w:ascii="Times New Roman" w:hAnsi="Times New Roman" w:cs="Times New Roman"/>
          <w:sz w:val="24"/>
          <w:szCs w:val="24"/>
          <w:lang w:val="en-GB"/>
        </w:rPr>
        <w:t>Greenacres Plc</w:t>
      </w:r>
      <w:r w:rsidR="0008049B">
        <w:rPr>
          <w:rFonts w:ascii="Times New Roman" w:hAnsi="Times New Roman" w:cs="Times New Roman"/>
          <w:sz w:val="24"/>
          <w:szCs w:val="24"/>
          <w:lang w:val="en-GB"/>
        </w:rPr>
        <w:t xml:space="preserve"> cannot select all the investment options. In this case, capital rationing can be applied. That is ranking the investment options based on most acceptability and then allocate the funds accordingly. </w:t>
      </w:r>
      <w:r w:rsidR="00131C9C">
        <w:rPr>
          <w:rFonts w:ascii="Times New Roman" w:hAnsi="Times New Roman" w:cs="Times New Roman"/>
          <w:sz w:val="24"/>
          <w:szCs w:val="24"/>
          <w:lang w:val="en-GB"/>
        </w:rPr>
        <w:t>Profitability index (PI)</w:t>
      </w:r>
      <w:r w:rsidR="00E913C8">
        <w:rPr>
          <w:rFonts w:ascii="Times New Roman" w:hAnsi="Times New Roman" w:cs="Times New Roman"/>
          <w:sz w:val="24"/>
          <w:szCs w:val="24"/>
          <w:lang w:val="en-GB"/>
        </w:rPr>
        <w:t xml:space="preserve">, an investment appraisal method calculated </w:t>
      </w:r>
      <w:r w:rsidR="00A762A4">
        <w:rPr>
          <w:rFonts w:ascii="Times New Roman" w:hAnsi="Times New Roman" w:cs="Times New Roman"/>
          <w:sz w:val="24"/>
          <w:szCs w:val="24"/>
          <w:lang w:val="en-GB"/>
        </w:rPr>
        <w:t>by</w:t>
      </w:r>
      <w:r w:rsidR="00E913C8">
        <w:rPr>
          <w:rFonts w:ascii="Times New Roman" w:hAnsi="Times New Roman" w:cs="Times New Roman"/>
          <w:sz w:val="24"/>
          <w:szCs w:val="24"/>
          <w:lang w:val="en-GB"/>
        </w:rPr>
        <w:t xml:space="preserve"> dividing the present value of expected future cash inflows by its initial investment, is used to rank the investment options. </w:t>
      </w:r>
    </w:p>
    <w:p w14:paraId="0E142092" w14:textId="01EDEDB1" w:rsidR="00176D3B" w:rsidRPr="00A762A4" w:rsidRDefault="00176D3B" w:rsidP="00A762A4">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Calculation of PI of Investment Option A: </w:t>
      </w:r>
    </w:p>
    <w:p w14:paraId="4A07E19A" w14:textId="77777777" w:rsidR="00A762A4" w:rsidRPr="004D3156" w:rsidRDefault="00A762A4" w:rsidP="00A762A4">
      <w:pPr>
        <w:pStyle w:val="ListParagraph"/>
        <w:spacing w:line="360" w:lineRule="auto"/>
        <w:ind w:left="360"/>
        <w:jc w:val="both"/>
        <w:rPr>
          <w:rFonts w:ascii="Times New Roman" w:hAnsi="Times New Roman" w:cs="Times New Roman"/>
          <w:sz w:val="24"/>
          <w:szCs w:val="24"/>
        </w:rPr>
      </w:pPr>
    </w:p>
    <w:p w14:paraId="1FC45686" w14:textId="38D776C7" w:rsidR="004D3156" w:rsidRPr="002A15E6" w:rsidRDefault="004D3156" w:rsidP="00A762A4">
      <w:pPr>
        <w:pStyle w:val="ListParagraph"/>
        <w:spacing w:line="360" w:lineRule="auto"/>
        <w:ind w:left="360"/>
        <w:jc w:val="both"/>
        <w:rPr>
          <w:rFonts w:ascii="Times New Roman" w:hAnsi="Times New Roman" w:cs="Times New Roman"/>
          <w:sz w:val="24"/>
          <w:szCs w:val="24"/>
        </w:rPr>
      </w:pPr>
      <w:r>
        <w:rPr>
          <w:noProof/>
        </w:rPr>
        <w:drawing>
          <wp:inline distT="0" distB="0" distL="0" distR="0" wp14:anchorId="3CF48736" wp14:editId="3120C29E">
            <wp:extent cx="4469130" cy="1787652"/>
            <wp:effectExtent l="19050" t="19050" r="7620" b="317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485834" cy="1794333"/>
                    </a:xfrm>
                    <a:prstGeom prst="rect">
                      <a:avLst/>
                    </a:prstGeom>
                    <a:ln>
                      <a:solidFill>
                        <a:schemeClr val="tx1"/>
                      </a:solidFill>
                    </a:ln>
                  </pic:spPr>
                </pic:pic>
              </a:graphicData>
            </a:graphic>
          </wp:inline>
        </w:drawing>
      </w:r>
    </w:p>
    <w:p w14:paraId="79E417E7" w14:textId="77777777" w:rsidR="00A762A4" w:rsidRPr="00A762A4" w:rsidRDefault="00A762A4" w:rsidP="00A762A4">
      <w:pPr>
        <w:pStyle w:val="ListParagraph"/>
        <w:spacing w:line="360" w:lineRule="auto"/>
        <w:ind w:left="360"/>
        <w:jc w:val="both"/>
        <w:rPr>
          <w:rFonts w:ascii="Times New Roman" w:hAnsi="Times New Roman" w:cs="Times New Roman"/>
          <w:sz w:val="24"/>
          <w:szCs w:val="24"/>
        </w:rPr>
      </w:pPr>
    </w:p>
    <w:p w14:paraId="35322DD9" w14:textId="1C4ABA91" w:rsidR="002A15E6" w:rsidRPr="00A762A4" w:rsidRDefault="002A15E6" w:rsidP="00A762A4">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t xml:space="preserve">Calculation of PI of Investment Option </w:t>
      </w:r>
      <w:r w:rsidR="004D3156">
        <w:rPr>
          <w:rFonts w:ascii="Times New Roman" w:hAnsi="Times New Roman" w:cs="Times New Roman"/>
          <w:b/>
          <w:bCs/>
          <w:sz w:val="24"/>
          <w:szCs w:val="24"/>
        </w:rPr>
        <w:t>B</w:t>
      </w:r>
      <w:r>
        <w:rPr>
          <w:rFonts w:ascii="Times New Roman" w:hAnsi="Times New Roman" w:cs="Times New Roman"/>
          <w:b/>
          <w:bCs/>
          <w:sz w:val="24"/>
          <w:szCs w:val="24"/>
        </w:rPr>
        <w:t xml:space="preserve">: </w:t>
      </w:r>
    </w:p>
    <w:p w14:paraId="1C9BB3BA" w14:textId="77777777" w:rsidR="00A762A4" w:rsidRPr="004D3156" w:rsidRDefault="00A762A4" w:rsidP="00A762A4">
      <w:pPr>
        <w:pStyle w:val="ListParagraph"/>
        <w:spacing w:line="360" w:lineRule="auto"/>
        <w:ind w:left="360"/>
        <w:jc w:val="both"/>
        <w:rPr>
          <w:rFonts w:ascii="Times New Roman" w:hAnsi="Times New Roman" w:cs="Times New Roman"/>
          <w:sz w:val="24"/>
          <w:szCs w:val="24"/>
        </w:rPr>
      </w:pPr>
    </w:p>
    <w:p w14:paraId="633C132A" w14:textId="1C0B870B" w:rsidR="00A762A4" w:rsidRPr="00A762A4" w:rsidRDefault="004D3156" w:rsidP="00A762A4">
      <w:pPr>
        <w:pStyle w:val="ListParagraph"/>
        <w:spacing w:line="360" w:lineRule="auto"/>
        <w:ind w:left="360"/>
        <w:jc w:val="both"/>
        <w:rPr>
          <w:rFonts w:ascii="Times New Roman" w:hAnsi="Times New Roman" w:cs="Times New Roman"/>
          <w:sz w:val="24"/>
          <w:szCs w:val="24"/>
        </w:rPr>
      </w:pPr>
      <w:r>
        <w:rPr>
          <w:noProof/>
        </w:rPr>
        <w:drawing>
          <wp:inline distT="0" distB="0" distL="0" distR="0" wp14:anchorId="100BA96E" wp14:editId="278061C0">
            <wp:extent cx="4469130" cy="1885774"/>
            <wp:effectExtent l="19050" t="19050" r="7620" b="63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4478614" cy="1889776"/>
                    </a:xfrm>
                    <a:prstGeom prst="rect">
                      <a:avLst/>
                    </a:prstGeom>
                    <a:ln>
                      <a:solidFill>
                        <a:schemeClr val="tx1"/>
                      </a:solidFill>
                    </a:ln>
                  </pic:spPr>
                </pic:pic>
              </a:graphicData>
            </a:graphic>
          </wp:inline>
        </w:drawing>
      </w:r>
    </w:p>
    <w:p w14:paraId="3EF3505C" w14:textId="77777777" w:rsidR="00A762A4" w:rsidRPr="00A762A4" w:rsidRDefault="00A762A4" w:rsidP="00A762A4">
      <w:pPr>
        <w:pStyle w:val="ListParagraph"/>
        <w:ind w:left="360"/>
        <w:jc w:val="both"/>
        <w:rPr>
          <w:rFonts w:ascii="Times New Roman" w:hAnsi="Times New Roman" w:cs="Times New Roman"/>
          <w:sz w:val="24"/>
          <w:szCs w:val="24"/>
        </w:rPr>
      </w:pPr>
    </w:p>
    <w:p w14:paraId="6115A922" w14:textId="3E75E0D8" w:rsidR="002A15E6" w:rsidRPr="00A762A4" w:rsidRDefault="002A15E6" w:rsidP="00A762A4">
      <w:pPr>
        <w:pStyle w:val="ListParagraph"/>
        <w:numPr>
          <w:ilvl w:val="0"/>
          <w:numId w:val="24"/>
        </w:numPr>
        <w:spacing w:line="360" w:lineRule="auto"/>
        <w:jc w:val="both"/>
        <w:rPr>
          <w:rFonts w:ascii="Times New Roman" w:hAnsi="Times New Roman" w:cs="Times New Roman"/>
          <w:sz w:val="24"/>
          <w:szCs w:val="24"/>
        </w:rPr>
      </w:pPr>
      <w:r>
        <w:rPr>
          <w:rFonts w:ascii="Times New Roman" w:hAnsi="Times New Roman" w:cs="Times New Roman"/>
          <w:b/>
          <w:bCs/>
          <w:sz w:val="24"/>
          <w:szCs w:val="24"/>
        </w:rPr>
        <w:lastRenderedPageBreak/>
        <w:t xml:space="preserve">Calculation of PI of Investment Option </w:t>
      </w:r>
      <w:r w:rsidR="004D3156">
        <w:rPr>
          <w:rFonts w:ascii="Times New Roman" w:hAnsi="Times New Roman" w:cs="Times New Roman"/>
          <w:b/>
          <w:bCs/>
          <w:sz w:val="24"/>
          <w:szCs w:val="24"/>
        </w:rPr>
        <w:t>C</w:t>
      </w:r>
      <w:r>
        <w:rPr>
          <w:rFonts w:ascii="Times New Roman" w:hAnsi="Times New Roman" w:cs="Times New Roman"/>
          <w:b/>
          <w:bCs/>
          <w:sz w:val="24"/>
          <w:szCs w:val="24"/>
        </w:rPr>
        <w:t xml:space="preserve">: </w:t>
      </w:r>
    </w:p>
    <w:p w14:paraId="54E0DDFC" w14:textId="77777777" w:rsidR="00A762A4" w:rsidRPr="004D3156" w:rsidRDefault="00A762A4" w:rsidP="00A762A4">
      <w:pPr>
        <w:pStyle w:val="ListParagraph"/>
        <w:spacing w:line="360" w:lineRule="auto"/>
        <w:ind w:left="360"/>
        <w:jc w:val="both"/>
        <w:rPr>
          <w:rFonts w:ascii="Times New Roman" w:hAnsi="Times New Roman" w:cs="Times New Roman"/>
          <w:sz w:val="24"/>
          <w:szCs w:val="24"/>
        </w:rPr>
      </w:pPr>
    </w:p>
    <w:p w14:paraId="50EC4289" w14:textId="32CE6962" w:rsidR="004D3156" w:rsidRPr="002A15E6" w:rsidRDefault="004D3156" w:rsidP="00A762A4">
      <w:pPr>
        <w:pStyle w:val="ListParagraph"/>
        <w:spacing w:line="360" w:lineRule="auto"/>
        <w:ind w:left="360"/>
        <w:jc w:val="both"/>
        <w:rPr>
          <w:rFonts w:ascii="Times New Roman" w:hAnsi="Times New Roman" w:cs="Times New Roman"/>
          <w:sz w:val="24"/>
          <w:szCs w:val="24"/>
        </w:rPr>
      </w:pPr>
      <w:r>
        <w:rPr>
          <w:noProof/>
        </w:rPr>
        <w:drawing>
          <wp:inline distT="0" distB="0" distL="0" distR="0" wp14:anchorId="33ADB0EA" wp14:editId="499258D3">
            <wp:extent cx="4476750" cy="1869159"/>
            <wp:effectExtent l="19050" t="1905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4481062" cy="1870959"/>
                    </a:xfrm>
                    <a:prstGeom prst="rect">
                      <a:avLst/>
                    </a:prstGeom>
                    <a:ln>
                      <a:solidFill>
                        <a:schemeClr val="tx1"/>
                      </a:solidFill>
                    </a:ln>
                  </pic:spPr>
                </pic:pic>
              </a:graphicData>
            </a:graphic>
          </wp:inline>
        </w:drawing>
      </w:r>
    </w:p>
    <w:p w14:paraId="17066C40" w14:textId="65F7D142" w:rsidR="002A15E6" w:rsidRDefault="006A582D" w:rsidP="00A762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Based on the value of PI, I have ranked the investment options accordingly and </w:t>
      </w:r>
      <w:r w:rsidR="00A762A4">
        <w:rPr>
          <w:rFonts w:ascii="Times New Roman" w:hAnsi="Times New Roman" w:cs="Times New Roman"/>
          <w:sz w:val="24"/>
          <w:szCs w:val="24"/>
        </w:rPr>
        <w:t>invested</w:t>
      </w:r>
      <w:r>
        <w:rPr>
          <w:rFonts w:ascii="Times New Roman" w:hAnsi="Times New Roman" w:cs="Times New Roman"/>
          <w:sz w:val="24"/>
          <w:szCs w:val="24"/>
        </w:rPr>
        <w:t xml:space="preserve"> fully in “Investment Option-A &amp; B” and partially in “Investment Option-C”. </w:t>
      </w:r>
      <w:r w:rsidR="005B2282">
        <w:rPr>
          <w:rFonts w:ascii="Times New Roman" w:hAnsi="Times New Roman" w:cs="Times New Roman"/>
          <w:sz w:val="24"/>
          <w:szCs w:val="24"/>
        </w:rPr>
        <w:t>In summary,</w:t>
      </w:r>
      <w:r w:rsidR="00674A35">
        <w:rPr>
          <w:rFonts w:ascii="Times New Roman" w:hAnsi="Times New Roman" w:cs="Times New Roman"/>
          <w:sz w:val="24"/>
          <w:szCs w:val="24"/>
        </w:rPr>
        <w:t xml:space="preserve"> the optimal investment policy is: </w:t>
      </w:r>
    </w:p>
    <w:p w14:paraId="6C738021" w14:textId="77777777" w:rsidR="00674A35" w:rsidRPr="00A762A4" w:rsidRDefault="00674A35" w:rsidP="00A762A4">
      <w:pPr>
        <w:pStyle w:val="ListParagraph"/>
        <w:numPr>
          <w:ilvl w:val="0"/>
          <w:numId w:val="43"/>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100% investment </w:t>
      </w:r>
      <w:r w:rsidR="006F54BC" w:rsidRPr="00A762A4">
        <w:rPr>
          <w:rFonts w:ascii="Times New Roman" w:hAnsi="Times New Roman" w:cs="Times New Roman"/>
          <w:sz w:val="24"/>
          <w:szCs w:val="24"/>
        </w:rPr>
        <w:t>(</w:t>
      </w:r>
      <w:r w:rsidR="006F54BC" w:rsidRPr="00A762A4">
        <w:rPr>
          <w:rFonts w:ascii="Times New Roman" w:eastAsia="Times New Roman" w:hAnsi="Times New Roman" w:cs="Times New Roman"/>
          <w:color w:val="000000"/>
          <w:sz w:val="24"/>
          <w:szCs w:val="24"/>
          <w:lang w:bidi="bn-BD"/>
        </w:rPr>
        <w:t xml:space="preserve">£ 1,000,000) </w:t>
      </w:r>
      <w:r w:rsidRPr="00A762A4">
        <w:rPr>
          <w:rFonts w:ascii="Times New Roman" w:hAnsi="Times New Roman" w:cs="Times New Roman"/>
          <w:sz w:val="24"/>
          <w:szCs w:val="24"/>
        </w:rPr>
        <w:t>in “Investment Option-</w:t>
      </w:r>
      <w:r w:rsidR="006F54BC" w:rsidRPr="00A762A4">
        <w:rPr>
          <w:rFonts w:ascii="Times New Roman" w:hAnsi="Times New Roman" w:cs="Times New Roman"/>
          <w:sz w:val="24"/>
          <w:szCs w:val="24"/>
        </w:rPr>
        <w:t>B</w:t>
      </w:r>
      <w:r w:rsidRPr="00A762A4">
        <w:rPr>
          <w:rFonts w:ascii="Times New Roman" w:hAnsi="Times New Roman" w:cs="Times New Roman"/>
          <w:sz w:val="24"/>
          <w:szCs w:val="24"/>
        </w:rPr>
        <w:t>”.</w:t>
      </w:r>
    </w:p>
    <w:p w14:paraId="26076AA0" w14:textId="77777777" w:rsidR="00674A35" w:rsidRPr="00A762A4" w:rsidRDefault="00674A35" w:rsidP="00A762A4">
      <w:pPr>
        <w:pStyle w:val="ListParagraph"/>
        <w:numPr>
          <w:ilvl w:val="0"/>
          <w:numId w:val="43"/>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100% investment </w:t>
      </w:r>
      <w:r w:rsidR="006F54BC" w:rsidRPr="00A762A4">
        <w:rPr>
          <w:rFonts w:ascii="Times New Roman" w:hAnsi="Times New Roman" w:cs="Times New Roman"/>
          <w:sz w:val="24"/>
          <w:szCs w:val="24"/>
        </w:rPr>
        <w:t>(</w:t>
      </w:r>
      <w:r w:rsidR="006F54BC" w:rsidRPr="00A762A4">
        <w:rPr>
          <w:rFonts w:ascii="Times New Roman" w:eastAsia="Times New Roman" w:hAnsi="Times New Roman" w:cs="Times New Roman"/>
          <w:color w:val="000000"/>
          <w:sz w:val="24"/>
          <w:szCs w:val="24"/>
          <w:lang w:bidi="bn-BD"/>
        </w:rPr>
        <w:t>£ 660,000</w:t>
      </w:r>
      <w:r w:rsidR="006F54BC" w:rsidRPr="00A762A4">
        <w:rPr>
          <w:rFonts w:ascii="Times New Roman" w:hAnsi="Times New Roman" w:cs="Times New Roman"/>
          <w:sz w:val="24"/>
          <w:szCs w:val="24"/>
        </w:rPr>
        <w:t xml:space="preserve">) in </w:t>
      </w:r>
      <w:r w:rsidRPr="00A762A4">
        <w:rPr>
          <w:rFonts w:ascii="Times New Roman" w:hAnsi="Times New Roman" w:cs="Times New Roman"/>
          <w:sz w:val="24"/>
          <w:szCs w:val="24"/>
        </w:rPr>
        <w:t>“Investment Option-</w:t>
      </w:r>
      <w:r w:rsidR="006F54BC" w:rsidRPr="00A762A4">
        <w:rPr>
          <w:rFonts w:ascii="Times New Roman" w:hAnsi="Times New Roman" w:cs="Times New Roman"/>
          <w:sz w:val="24"/>
          <w:szCs w:val="24"/>
        </w:rPr>
        <w:t xml:space="preserve"> A</w:t>
      </w:r>
      <w:r w:rsidRPr="00A762A4">
        <w:rPr>
          <w:rFonts w:ascii="Times New Roman" w:hAnsi="Times New Roman" w:cs="Times New Roman"/>
          <w:sz w:val="24"/>
          <w:szCs w:val="24"/>
        </w:rPr>
        <w:t>”.</w:t>
      </w:r>
    </w:p>
    <w:p w14:paraId="059240B0" w14:textId="77777777" w:rsidR="00674A35" w:rsidRPr="00A762A4" w:rsidRDefault="00674A35" w:rsidP="00A762A4">
      <w:pPr>
        <w:pStyle w:val="ListParagraph"/>
        <w:numPr>
          <w:ilvl w:val="0"/>
          <w:numId w:val="43"/>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49.41% investment</w:t>
      </w:r>
      <w:r w:rsidR="006F54BC" w:rsidRPr="00A762A4">
        <w:rPr>
          <w:rFonts w:ascii="Times New Roman" w:hAnsi="Times New Roman" w:cs="Times New Roman"/>
          <w:sz w:val="24"/>
          <w:szCs w:val="24"/>
        </w:rPr>
        <w:t xml:space="preserve"> (</w:t>
      </w:r>
      <w:r w:rsidR="006F54BC" w:rsidRPr="00A762A4">
        <w:rPr>
          <w:rFonts w:ascii="Times New Roman" w:eastAsia="Times New Roman" w:hAnsi="Times New Roman" w:cs="Times New Roman"/>
          <w:color w:val="000000"/>
          <w:sz w:val="24"/>
          <w:szCs w:val="24"/>
          <w:lang w:bidi="bn-BD"/>
        </w:rPr>
        <w:t xml:space="preserve">£ 840,000) </w:t>
      </w:r>
      <w:r w:rsidRPr="00A762A4">
        <w:rPr>
          <w:rFonts w:ascii="Times New Roman" w:hAnsi="Times New Roman" w:cs="Times New Roman"/>
          <w:sz w:val="24"/>
          <w:szCs w:val="24"/>
        </w:rPr>
        <w:t>in “Investment Option-C”.</w:t>
      </w:r>
    </w:p>
    <w:p w14:paraId="56C85B21" w14:textId="0B544D1D" w:rsidR="00674A35" w:rsidRPr="00674A35" w:rsidRDefault="00470AD5" w:rsidP="00A762A4">
      <w:pPr>
        <w:spacing w:line="360" w:lineRule="auto"/>
        <w:jc w:val="both"/>
        <w:rPr>
          <w:rFonts w:ascii="Times New Roman" w:hAnsi="Times New Roman" w:cs="Times New Roman"/>
          <w:sz w:val="24"/>
          <w:szCs w:val="24"/>
        </w:rPr>
      </w:pPr>
      <w:r>
        <w:rPr>
          <w:rFonts w:ascii="Times New Roman" w:hAnsi="Times New Roman" w:cs="Times New Roman"/>
          <w:sz w:val="24"/>
          <w:szCs w:val="24"/>
          <w:lang w:val="en-GB"/>
        </w:rPr>
        <w:t xml:space="preserve">The directors of </w:t>
      </w:r>
      <w:r w:rsidRPr="00607A4B">
        <w:rPr>
          <w:rFonts w:ascii="Times New Roman" w:hAnsi="Times New Roman" w:cs="Times New Roman"/>
          <w:sz w:val="24"/>
          <w:szCs w:val="24"/>
          <w:lang w:val="en-GB"/>
        </w:rPr>
        <w:t>Greenacres Plc</w:t>
      </w:r>
      <w:r>
        <w:rPr>
          <w:rFonts w:ascii="Times New Roman" w:hAnsi="Times New Roman" w:cs="Times New Roman"/>
          <w:sz w:val="24"/>
          <w:szCs w:val="24"/>
        </w:rPr>
        <w:t xml:space="preserve"> are expecting </w:t>
      </w:r>
      <w:r w:rsidR="00A762A4">
        <w:rPr>
          <w:rFonts w:ascii="Times New Roman" w:hAnsi="Times New Roman" w:cs="Times New Roman"/>
          <w:sz w:val="24"/>
          <w:szCs w:val="24"/>
        </w:rPr>
        <w:t xml:space="preserve">an </w:t>
      </w:r>
      <w:r w:rsidR="00335FBE">
        <w:rPr>
          <w:rFonts w:ascii="Times New Roman" w:hAnsi="Times New Roman" w:cs="Times New Roman"/>
          <w:sz w:val="24"/>
          <w:szCs w:val="24"/>
        </w:rPr>
        <w:t>NPV</w:t>
      </w:r>
      <w:r w:rsidR="00533424">
        <w:rPr>
          <w:rFonts w:ascii="Times New Roman" w:hAnsi="Times New Roman" w:cs="Times New Roman"/>
          <w:sz w:val="24"/>
          <w:szCs w:val="24"/>
        </w:rPr>
        <w:t xml:space="preserve"> of </w:t>
      </w:r>
      <w:r w:rsidR="00533424" w:rsidRPr="00335FBE">
        <w:rPr>
          <w:rFonts w:ascii="Times New Roman" w:hAnsi="Times New Roman" w:cs="Times New Roman"/>
          <w:sz w:val="24"/>
          <w:szCs w:val="24"/>
        </w:rPr>
        <w:t>£</w:t>
      </w:r>
      <w:r w:rsidR="00A762A4">
        <w:rPr>
          <w:rFonts w:ascii="Times New Roman" w:hAnsi="Times New Roman" w:cs="Times New Roman"/>
          <w:sz w:val="24"/>
          <w:szCs w:val="24"/>
        </w:rPr>
        <w:t xml:space="preserve"> 1,836,495 from</w:t>
      </w:r>
      <w:r w:rsidR="00335FBE">
        <w:rPr>
          <w:rFonts w:ascii="Times New Roman" w:hAnsi="Times New Roman" w:cs="Times New Roman"/>
          <w:sz w:val="24"/>
          <w:szCs w:val="24"/>
        </w:rPr>
        <w:t xml:space="preserve"> this optimal investment policy which is higher than the individual NPV</w:t>
      </w:r>
      <w:r w:rsidR="00533424">
        <w:rPr>
          <w:rFonts w:ascii="Times New Roman" w:hAnsi="Times New Roman" w:cs="Times New Roman"/>
          <w:sz w:val="24"/>
          <w:szCs w:val="24"/>
        </w:rPr>
        <w:t xml:space="preserve"> calculated previously</w:t>
      </w:r>
      <w:r w:rsidR="00335FBE">
        <w:rPr>
          <w:rFonts w:ascii="Times New Roman" w:hAnsi="Times New Roman" w:cs="Times New Roman"/>
          <w:sz w:val="24"/>
          <w:szCs w:val="24"/>
        </w:rPr>
        <w:t xml:space="preserve">.   </w:t>
      </w:r>
    </w:p>
    <w:tbl>
      <w:tblPr>
        <w:tblStyle w:val="PlainTable12"/>
        <w:tblW w:w="10521" w:type="dxa"/>
        <w:tblLook w:val="04A0" w:firstRow="1" w:lastRow="0" w:firstColumn="1" w:lastColumn="0" w:noHBand="0" w:noVBand="1"/>
      </w:tblPr>
      <w:tblGrid>
        <w:gridCol w:w="1268"/>
        <w:gridCol w:w="1072"/>
        <w:gridCol w:w="1610"/>
        <w:gridCol w:w="1498"/>
        <w:gridCol w:w="1096"/>
        <w:gridCol w:w="1309"/>
        <w:gridCol w:w="2763"/>
      </w:tblGrid>
      <w:tr w:rsidR="006A582D" w:rsidRPr="006A582D" w14:paraId="2BA31F44" w14:textId="77777777" w:rsidTr="006A582D">
        <w:trPr>
          <w:cnfStyle w:val="100000000000" w:firstRow="1" w:lastRow="0" w:firstColumn="0" w:lastColumn="0" w:oddVBand="0" w:evenVBand="0" w:oddHBand="0" w:evenHBand="0" w:firstRowFirstColumn="0" w:firstRowLastColumn="0" w:lastRowFirstColumn="0" w:lastRowLastColumn="0"/>
          <w:trHeight w:val="194"/>
        </w:trPr>
        <w:tc>
          <w:tcPr>
            <w:cnfStyle w:val="001000000000" w:firstRow="0" w:lastRow="0" w:firstColumn="1" w:lastColumn="0" w:oddVBand="0" w:evenVBand="0" w:oddHBand="0" w:evenHBand="0" w:firstRowFirstColumn="0" w:firstRowLastColumn="0" w:lastRowFirstColumn="0" w:lastRowLastColumn="0"/>
            <w:tcW w:w="1268" w:type="dxa"/>
            <w:noWrap/>
            <w:hideMark/>
          </w:tcPr>
          <w:p w14:paraId="5F5CEDDC" w14:textId="77777777" w:rsidR="006A582D" w:rsidRPr="006A582D" w:rsidRDefault="006A582D" w:rsidP="00A762A4">
            <w:pPr>
              <w:spacing w:line="360" w:lineRule="auto"/>
              <w:jc w:val="center"/>
              <w:rPr>
                <w:rFonts w:ascii="Times New Roman" w:eastAsia="Times New Roman" w:hAnsi="Times New Roman" w:cs="Times New Roman"/>
                <w:color w:val="000000"/>
                <w:sz w:val="24"/>
                <w:szCs w:val="24"/>
                <w:lang w:bidi="bn-BD"/>
              </w:rPr>
            </w:pPr>
          </w:p>
        </w:tc>
        <w:tc>
          <w:tcPr>
            <w:tcW w:w="1072" w:type="dxa"/>
            <w:noWrap/>
            <w:hideMark/>
          </w:tcPr>
          <w:p w14:paraId="0B1DE7D8" w14:textId="77777777" w:rsidR="006A582D" w:rsidRPr="006A582D" w:rsidRDefault="006A582D" w:rsidP="00A762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PI</w:t>
            </w:r>
          </w:p>
        </w:tc>
        <w:tc>
          <w:tcPr>
            <w:tcW w:w="1610" w:type="dxa"/>
            <w:noWrap/>
            <w:hideMark/>
          </w:tcPr>
          <w:p w14:paraId="1553F18F" w14:textId="77777777" w:rsidR="006A582D" w:rsidRPr="006A582D" w:rsidRDefault="006A582D" w:rsidP="00A762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Required Initial Investment</w:t>
            </w:r>
          </w:p>
        </w:tc>
        <w:tc>
          <w:tcPr>
            <w:tcW w:w="1498" w:type="dxa"/>
            <w:noWrap/>
            <w:hideMark/>
          </w:tcPr>
          <w:p w14:paraId="5066B53E" w14:textId="77777777" w:rsidR="006A582D" w:rsidRPr="006A582D" w:rsidRDefault="006A582D" w:rsidP="00A762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Allowable Initial Investment</w:t>
            </w:r>
          </w:p>
        </w:tc>
        <w:tc>
          <w:tcPr>
            <w:tcW w:w="1001" w:type="dxa"/>
            <w:noWrap/>
            <w:hideMark/>
          </w:tcPr>
          <w:p w14:paraId="0F43F181" w14:textId="77777777" w:rsidR="006A582D" w:rsidRPr="006A582D" w:rsidRDefault="006A582D" w:rsidP="00A762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Fraction of The Option</w:t>
            </w:r>
          </w:p>
        </w:tc>
        <w:tc>
          <w:tcPr>
            <w:tcW w:w="1309" w:type="dxa"/>
            <w:noWrap/>
            <w:hideMark/>
          </w:tcPr>
          <w:p w14:paraId="3C949D82" w14:textId="77777777" w:rsidR="006A582D" w:rsidRPr="006A582D" w:rsidRDefault="006A582D" w:rsidP="00A762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NPV of The Option</w:t>
            </w:r>
          </w:p>
        </w:tc>
        <w:tc>
          <w:tcPr>
            <w:tcW w:w="2763" w:type="dxa"/>
            <w:noWrap/>
            <w:hideMark/>
          </w:tcPr>
          <w:p w14:paraId="2C6B4E2F" w14:textId="77777777" w:rsidR="006A582D" w:rsidRPr="006A582D" w:rsidRDefault="006A582D" w:rsidP="00A762A4">
            <w:pPr>
              <w:spacing w:line="360" w:lineRule="auto"/>
              <w:jc w:val="center"/>
              <w:cnfStyle w:val="100000000000" w:firstRow="1"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Fractional NPV of The Option</w:t>
            </w:r>
          </w:p>
        </w:tc>
      </w:tr>
      <w:tr w:rsidR="006A582D" w:rsidRPr="006A582D" w14:paraId="5373A698" w14:textId="77777777" w:rsidTr="006A582D">
        <w:trPr>
          <w:cnfStyle w:val="000000100000" w:firstRow="0" w:lastRow="0" w:firstColumn="0" w:lastColumn="0" w:oddVBand="0" w:evenVBand="0" w:oddHBand="1" w:evenHBand="0" w:firstRowFirstColumn="0" w:firstRowLastColumn="0" w:lastRowFirstColumn="0" w:lastRowLastColumn="0"/>
          <w:trHeight w:val="194"/>
        </w:trPr>
        <w:tc>
          <w:tcPr>
            <w:cnfStyle w:val="001000000000" w:firstRow="0" w:lastRow="0" w:firstColumn="1" w:lastColumn="0" w:oddVBand="0" w:evenVBand="0" w:oddHBand="0" w:evenHBand="0" w:firstRowFirstColumn="0" w:firstRowLastColumn="0" w:lastRowFirstColumn="0" w:lastRowLastColumn="0"/>
            <w:tcW w:w="1268" w:type="dxa"/>
            <w:noWrap/>
            <w:hideMark/>
          </w:tcPr>
          <w:p w14:paraId="2BF34467" w14:textId="77777777" w:rsidR="006A582D" w:rsidRPr="006A582D" w:rsidRDefault="006A582D" w:rsidP="00A762A4">
            <w:pPr>
              <w:spacing w:line="360" w:lineRule="auto"/>
              <w:jc w:val="center"/>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Option B</w:t>
            </w:r>
          </w:p>
        </w:tc>
        <w:tc>
          <w:tcPr>
            <w:tcW w:w="1072" w:type="dxa"/>
            <w:noWrap/>
            <w:hideMark/>
          </w:tcPr>
          <w:p w14:paraId="2E93EEF2"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6A582D">
              <w:rPr>
                <w:rFonts w:ascii="Times New Roman" w:eastAsia="Times New Roman" w:hAnsi="Times New Roman" w:cs="Times New Roman"/>
                <w:b/>
                <w:bCs/>
                <w:color w:val="000000"/>
                <w:sz w:val="24"/>
                <w:szCs w:val="24"/>
                <w:lang w:bidi="bn-BD"/>
              </w:rPr>
              <w:t>1.8993</w:t>
            </w:r>
          </w:p>
        </w:tc>
        <w:tc>
          <w:tcPr>
            <w:tcW w:w="1610" w:type="dxa"/>
            <w:noWrap/>
            <w:hideMark/>
          </w:tcPr>
          <w:p w14:paraId="7C429759"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1,000,000</w:t>
            </w:r>
          </w:p>
        </w:tc>
        <w:tc>
          <w:tcPr>
            <w:tcW w:w="1498" w:type="dxa"/>
            <w:noWrap/>
            <w:hideMark/>
          </w:tcPr>
          <w:p w14:paraId="21B51E94"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1,000,000</w:t>
            </w:r>
          </w:p>
        </w:tc>
        <w:tc>
          <w:tcPr>
            <w:tcW w:w="1001" w:type="dxa"/>
            <w:noWrap/>
            <w:hideMark/>
          </w:tcPr>
          <w:p w14:paraId="3C62E750"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6A582D">
              <w:rPr>
                <w:rFonts w:ascii="Times New Roman" w:eastAsia="Times New Roman" w:hAnsi="Times New Roman" w:cs="Times New Roman"/>
                <w:b/>
                <w:bCs/>
                <w:color w:val="000000"/>
                <w:sz w:val="24"/>
                <w:szCs w:val="24"/>
                <w:lang w:bidi="bn-BD"/>
              </w:rPr>
              <w:t>1</w:t>
            </w:r>
          </w:p>
        </w:tc>
        <w:tc>
          <w:tcPr>
            <w:tcW w:w="1309" w:type="dxa"/>
            <w:noWrap/>
            <w:hideMark/>
          </w:tcPr>
          <w:p w14:paraId="3950AFD8"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£899,319</w:t>
            </w:r>
          </w:p>
        </w:tc>
        <w:tc>
          <w:tcPr>
            <w:tcW w:w="2763" w:type="dxa"/>
            <w:noWrap/>
            <w:hideMark/>
          </w:tcPr>
          <w:p w14:paraId="6776CBC1"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£899,319</w:t>
            </w:r>
          </w:p>
        </w:tc>
      </w:tr>
      <w:tr w:rsidR="006A582D" w:rsidRPr="006A582D" w14:paraId="61A24D1A" w14:textId="77777777" w:rsidTr="006A582D">
        <w:trPr>
          <w:trHeight w:val="194"/>
        </w:trPr>
        <w:tc>
          <w:tcPr>
            <w:cnfStyle w:val="001000000000" w:firstRow="0" w:lastRow="0" w:firstColumn="1" w:lastColumn="0" w:oddVBand="0" w:evenVBand="0" w:oddHBand="0" w:evenHBand="0" w:firstRowFirstColumn="0" w:firstRowLastColumn="0" w:lastRowFirstColumn="0" w:lastRowLastColumn="0"/>
            <w:tcW w:w="1268" w:type="dxa"/>
            <w:noWrap/>
            <w:hideMark/>
          </w:tcPr>
          <w:p w14:paraId="16CAFC3F" w14:textId="77777777" w:rsidR="006A582D" w:rsidRPr="006A582D" w:rsidRDefault="006A582D" w:rsidP="00A762A4">
            <w:pPr>
              <w:spacing w:line="360" w:lineRule="auto"/>
              <w:jc w:val="center"/>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Option A</w:t>
            </w:r>
          </w:p>
        </w:tc>
        <w:tc>
          <w:tcPr>
            <w:tcW w:w="1072" w:type="dxa"/>
            <w:noWrap/>
            <w:hideMark/>
          </w:tcPr>
          <w:p w14:paraId="043BCD5D"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6A582D">
              <w:rPr>
                <w:rFonts w:ascii="Times New Roman" w:eastAsia="Times New Roman" w:hAnsi="Times New Roman" w:cs="Times New Roman"/>
                <w:b/>
                <w:bCs/>
                <w:color w:val="000000"/>
                <w:sz w:val="24"/>
                <w:szCs w:val="24"/>
                <w:lang w:bidi="bn-BD"/>
              </w:rPr>
              <w:t>1.7788</w:t>
            </w:r>
          </w:p>
        </w:tc>
        <w:tc>
          <w:tcPr>
            <w:tcW w:w="1610" w:type="dxa"/>
            <w:noWrap/>
            <w:hideMark/>
          </w:tcPr>
          <w:p w14:paraId="05421F69"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660,000</w:t>
            </w:r>
          </w:p>
        </w:tc>
        <w:tc>
          <w:tcPr>
            <w:tcW w:w="1498" w:type="dxa"/>
            <w:noWrap/>
            <w:hideMark/>
          </w:tcPr>
          <w:p w14:paraId="54BBC294"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660,000</w:t>
            </w:r>
          </w:p>
        </w:tc>
        <w:tc>
          <w:tcPr>
            <w:tcW w:w="1001" w:type="dxa"/>
            <w:noWrap/>
            <w:hideMark/>
          </w:tcPr>
          <w:p w14:paraId="422493E3"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6A582D">
              <w:rPr>
                <w:rFonts w:ascii="Times New Roman" w:eastAsia="Times New Roman" w:hAnsi="Times New Roman" w:cs="Times New Roman"/>
                <w:b/>
                <w:bCs/>
                <w:color w:val="000000"/>
                <w:sz w:val="24"/>
                <w:szCs w:val="24"/>
                <w:lang w:bidi="bn-BD"/>
              </w:rPr>
              <w:t>1</w:t>
            </w:r>
          </w:p>
        </w:tc>
        <w:tc>
          <w:tcPr>
            <w:tcW w:w="1309" w:type="dxa"/>
            <w:noWrap/>
            <w:hideMark/>
          </w:tcPr>
          <w:p w14:paraId="104A496E"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£514,018</w:t>
            </w:r>
          </w:p>
        </w:tc>
        <w:tc>
          <w:tcPr>
            <w:tcW w:w="2763" w:type="dxa"/>
            <w:noWrap/>
            <w:hideMark/>
          </w:tcPr>
          <w:p w14:paraId="0CEFABE6"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£514,018</w:t>
            </w:r>
          </w:p>
        </w:tc>
      </w:tr>
      <w:tr w:rsidR="006A582D" w:rsidRPr="006A582D" w14:paraId="5F3AE12A" w14:textId="77777777" w:rsidTr="006A582D">
        <w:trPr>
          <w:cnfStyle w:val="000000100000" w:firstRow="0" w:lastRow="0" w:firstColumn="0" w:lastColumn="0" w:oddVBand="0" w:evenVBand="0" w:oddHBand="1" w:evenHBand="0" w:firstRowFirstColumn="0" w:firstRowLastColumn="0" w:lastRowFirstColumn="0" w:lastRowLastColumn="0"/>
          <w:trHeight w:val="194"/>
        </w:trPr>
        <w:tc>
          <w:tcPr>
            <w:cnfStyle w:val="001000000000" w:firstRow="0" w:lastRow="0" w:firstColumn="1" w:lastColumn="0" w:oddVBand="0" w:evenVBand="0" w:oddHBand="0" w:evenHBand="0" w:firstRowFirstColumn="0" w:firstRowLastColumn="0" w:lastRowFirstColumn="0" w:lastRowLastColumn="0"/>
            <w:tcW w:w="1268" w:type="dxa"/>
            <w:noWrap/>
            <w:hideMark/>
          </w:tcPr>
          <w:p w14:paraId="2A74C147" w14:textId="77777777" w:rsidR="006A582D" w:rsidRPr="006A582D" w:rsidRDefault="006A582D" w:rsidP="00A762A4">
            <w:pPr>
              <w:spacing w:line="360" w:lineRule="auto"/>
              <w:jc w:val="center"/>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Option C</w:t>
            </w:r>
          </w:p>
        </w:tc>
        <w:tc>
          <w:tcPr>
            <w:tcW w:w="1072" w:type="dxa"/>
            <w:noWrap/>
            <w:hideMark/>
          </w:tcPr>
          <w:p w14:paraId="5C278AAC"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6A582D">
              <w:rPr>
                <w:rFonts w:ascii="Times New Roman" w:eastAsia="Times New Roman" w:hAnsi="Times New Roman" w:cs="Times New Roman"/>
                <w:b/>
                <w:bCs/>
                <w:color w:val="000000"/>
                <w:sz w:val="24"/>
                <w:szCs w:val="24"/>
                <w:lang w:bidi="bn-BD"/>
              </w:rPr>
              <w:t>1.5038</w:t>
            </w:r>
          </w:p>
        </w:tc>
        <w:tc>
          <w:tcPr>
            <w:tcW w:w="1610" w:type="dxa"/>
            <w:noWrap/>
            <w:hideMark/>
          </w:tcPr>
          <w:p w14:paraId="73FFC611"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1,700,000</w:t>
            </w:r>
          </w:p>
        </w:tc>
        <w:tc>
          <w:tcPr>
            <w:tcW w:w="1498" w:type="dxa"/>
            <w:noWrap/>
            <w:hideMark/>
          </w:tcPr>
          <w:p w14:paraId="365E755C"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840,000</w:t>
            </w:r>
          </w:p>
        </w:tc>
        <w:tc>
          <w:tcPr>
            <w:tcW w:w="1001" w:type="dxa"/>
            <w:noWrap/>
            <w:hideMark/>
          </w:tcPr>
          <w:p w14:paraId="60C91593"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b/>
                <w:bCs/>
                <w:color w:val="000000"/>
                <w:sz w:val="24"/>
                <w:szCs w:val="24"/>
                <w:lang w:bidi="bn-BD"/>
              </w:rPr>
            </w:pPr>
            <w:r w:rsidRPr="006A582D">
              <w:rPr>
                <w:rFonts w:ascii="Times New Roman" w:eastAsia="Times New Roman" w:hAnsi="Times New Roman" w:cs="Times New Roman"/>
                <w:b/>
                <w:bCs/>
                <w:color w:val="000000"/>
                <w:sz w:val="24"/>
                <w:szCs w:val="24"/>
                <w:lang w:bidi="bn-BD"/>
              </w:rPr>
              <w:t>0.4941</w:t>
            </w:r>
          </w:p>
        </w:tc>
        <w:tc>
          <w:tcPr>
            <w:tcW w:w="1309" w:type="dxa"/>
            <w:noWrap/>
            <w:hideMark/>
          </w:tcPr>
          <w:p w14:paraId="1D4D895D"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£856,390</w:t>
            </w:r>
          </w:p>
        </w:tc>
        <w:tc>
          <w:tcPr>
            <w:tcW w:w="2763" w:type="dxa"/>
            <w:noWrap/>
            <w:hideMark/>
          </w:tcPr>
          <w:p w14:paraId="429B69E9" w14:textId="77777777" w:rsidR="006A582D" w:rsidRPr="006A582D" w:rsidRDefault="006A582D" w:rsidP="00A762A4">
            <w:pPr>
              <w:spacing w:line="360" w:lineRule="auto"/>
              <w:jc w:val="center"/>
              <w:cnfStyle w:val="000000100000" w:firstRow="0" w:lastRow="0" w:firstColumn="0" w:lastColumn="0" w:oddVBand="0" w:evenVBand="0" w:oddHBand="1" w:evenHBand="0" w:firstRowFirstColumn="0" w:firstRowLastColumn="0" w:lastRowFirstColumn="0" w:lastRowLastColumn="0"/>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£ 423,157</w:t>
            </w:r>
          </w:p>
        </w:tc>
      </w:tr>
      <w:tr w:rsidR="006A582D" w:rsidRPr="006A582D" w14:paraId="37B91DAA" w14:textId="77777777" w:rsidTr="006A582D">
        <w:trPr>
          <w:trHeight w:val="194"/>
        </w:trPr>
        <w:tc>
          <w:tcPr>
            <w:cnfStyle w:val="001000000000" w:firstRow="0" w:lastRow="0" w:firstColumn="1" w:lastColumn="0" w:oddVBand="0" w:evenVBand="0" w:oddHBand="0" w:evenHBand="0" w:firstRowFirstColumn="0" w:firstRowLastColumn="0" w:lastRowFirstColumn="0" w:lastRowLastColumn="0"/>
            <w:tcW w:w="1268" w:type="dxa"/>
            <w:noWrap/>
            <w:hideMark/>
          </w:tcPr>
          <w:p w14:paraId="70DCFA12" w14:textId="77777777" w:rsidR="006A582D" w:rsidRPr="006A582D" w:rsidRDefault="006A582D" w:rsidP="00A762A4">
            <w:pPr>
              <w:spacing w:line="360" w:lineRule="auto"/>
              <w:jc w:val="center"/>
              <w:rPr>
                <w:rFonts w:ascii="Times New Roman" w:eastAsia="Times New Roman" w:hAnsi="Times New Roman" w:cs="Times New Roman"/>
                <w:color w:val="000000"/>
                <w:sz w:val="24"/>
                <w:szCs w:val="24"/>
                <w:lang w:bidi="bn-BD"/>
              </w:rPr>
            </w:pPr>
            <w:r w:rsidRPr="006A582D">
              <w:rPr>
                <w:rFonts w:ascii="Times New Roman" w:eastAsia="Times New Roman" w:hAnsi="Times New Roman" w:cs="Times New Roman"/>
                <w:color w:val="000000"/>
                <w:sz w:val="24"/>
                <w:szCs w:val="24"/>
                <w:lang w:bidi="bn-BD"/>
              </w:rPr>
              <w:t>Total</w:t>
            </w:r>
          </w:p>
        </w:tc>
        <w:tc>
          <w:tcPr>
            <w:tcW w:w="1072" w:type="dxa"/>
            <w:noWrap/>
            <w:hideMark/>
          </w:tcPr>
          <w:p w14:paraId="6872815E"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p>
        </w:tc>
        <w:tc>
          <w:tcPr>
            <w:tcW w:w="1610" w:type="dxa"/>
            <w:noWrap/>
            <w:hideMark/>
          </w:tcPr>
          <w:p w14:paraId="0BD9E4AB"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u w:val="single"/>
                <w:lang w:bidi="bn-BD"/>
              </w:rPr>
            </w:pPr>
            <w:r w:rsidRPr="006A582D">
              <w:rPr>
                <w:rFonts w:ascii="Times New Roman" w:eastAsia="Times New Roman" w:hAnsi="Times New Roman" w:cs="Times New Roman"/>
                <w:b/>
                <w:bCs/>
                <w:color w:val="000000"/>
                <w:sz w:val="24"/>
                <w:szCs w:val="24"/>
                <w:u w:val="single"/>
                <w:lang w:bidi="bn-BD"/>
              </w:rPr>
              <w:t>£   3,360,000</w:t>
            </w:r>
          </w:p>
        </w:tc>
        <w:tc>
          <w:tcPr>
            <w:tcW w:w="1498" w:type="dxa"/>
            <w:noWrap/>
            <w:hideMark/>
          </w:tcPr>
          <w:p w14:paraId="41262EB7" w14:textId="1257B63B" w:rsidR="006A582D" w:rsidRPr="006A582D" w:rsidRDefault="00A762A4"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u w:val="single"/>
                <w:lang w:bidi="bn-BD"/>
              </w:rPr>
            </w:pPr>
            <w:r w:rsidRPr="006A582D">
              <w:rPr>
                <w:rFonts w:ascii="Times New Roman" w:eastAsia="Times New Roman" w:hAnsi="Times New Roman" w:cs="Times New Roman"/>
                <w:b/>
                <w:bCs/>
                <w:color w:val="000000"/>
                <w:sz w:val="24"/>
                <w:szCs w:val="24"/>
                <w:u w:val="single"/>
                <w:lang w:bidi="bn-BD"/>
              </w:rPr>
              <w:t>£ 2,500,000</w:t>
            </w:r>
          </w:p>
        </w:tc>
        <w:tc>
          <w:tcPr>
            <w:tcW w:w="1001" w:type="dxa"/>
            <w:noWrap/>
            <w:hideMark/>
          </w:tcPr>
          <w:p w14:paraId="70DAFDF7"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p>
        </w:tc>
        <w:tc>
          <w:tcPr>
            <w:tcW w:w="1309" w:type="dxa"/>
            <w:noWrap/>
            <w:hideMark/>
          </w:tcPr>
          <w:p w14:paraId="1C4DE49E" w14:textId="77777777" w:rsidR="006A582D" w:rsidRPr="006A582D" w:rsidRDefault="006A582D"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color w:val="000000"/>
                <w:sz w:val="24"/>
                <w:szCs w:val="24"/>
                <w:lang w:bidi="bn-BD"/>
              </w:rPr>
            </w:pPr>
          </w:p>
        </w:tc>
        <w:tc>
          <w:tcPr>
            <w:tcW w:w="2763" w:type="dxa"/>
            <w:noWrap/>
            <w:hideMark/>
          </w:tcPr>
          <w:p w14:paraId="73484CD9" w14:textId="77777777" w:rsidR="006A582D" w:rsidRPr="006A582D" w:rsidRDefault="00787911" w:rsidP="00A762A4">
            <w:pPr>
              <w:spacing w:line="360" w:lineRule="auto"/>
              <w:jc w:val="center"/>
              <w:cnfStyle w:val="000000000000" w:firstRow="0" w:lastRow="0" w:firstColumn="0" w:lastColumn="0" w:oddVBand="0" w:evenVBand="0" w:oddHBand="0" w:evenHBand="0" w:firstRowFirstColumn="0" w:firstRowLastColumn="0" w:lastRowFirstColumn="0" w:lastRowLastColumn="0"/>
              <w:rPr>
                <w:rFonts w:ascii="Times New Roman" w:eastAsia="Times New Roman" w:hAnsi="Times New Roman" w:cs="Times New Roman"/>
                <w:b/>
                <w:bCs/>
                <w:color w:val="000000"/>
                <w:sz w:val="24"/>
                <w:szCs w:val="24"/>
                <w:u w:val="single"/>
                <w:lang w:bidi="bn-BD"/>
              </w:rPr>
            </w:pPr>
            <w:r w:rsidRPr="00787911">
              <w:rPr>
                <w:rFonts w:ascii="Times New Roman" w:hAnsi="Times New Roman" w:cs="Times New Roman"/>
                <w:b/>
                <w:bCs/>
                <w:sz w:val="24"/>
                <w:szCs w:val="24"/>
              </w:rPr>
              <w:t>£1,836,495</w:t>
            </w:r>
          </w:p>
        </w:tc>
      </w:tr>
    </w:tbl>
    <w:p w14:paraId="15873228" w14:textId="77777777" w:rsidR="00A762A4" w:rsidRDefault="00A762A4" w:rsidP="00A762A4">
      <w:pPr>
        <w:spacing w:line="360" w:lineRule="auto"/>
        <w:jc w:val="center"/>
        <w:rPr>
          <w:rFonts w:ascii="Times New Roman" w:hAnsi="Times New Roman" w:cs="Times New Roman"/>
          <w:sz w:val="24"/>
          <w:szCs w:val="24"/>
        </w:rPr>
      </w:pPr>
    </w:p>
    <w:p w14:paraId="53B3CDE9" w14:textId="49F6A0E4" w:rsidR="006A582D" w:rsidRPr="006A582D" w:rsidRDefault="007C5B3E" w:rsidP="00A762A4">
      <w:pPr>
        <w:spacing w:line="360" w:lineRule="auto"/>
        <w:jc w:val="center"/>
        <w:rPr>
          <w:rFonts w:ascii="Times New Roman" w:hAnsi="Times New Roman" w:cs="Times New Roman"/>
          <w:sz w:val="24"/>
          <w:szCs w:val="24"/>
        </w:rPr>
      </w:pPr>
      <w:r>
        <w:rPr>
          <w:rFonts w:ascii="Times New Roman" w:hAnsi="Times New Roman" w:cs="Times New Roman"/>
          <w:sz w:val="24"/>
          <w:szCs w:val="24"/>
        </w:rPr>
        <w:t>Table</w:t>
      </w:r>
      <w:r w:rsidR="00EF596D">
        <w:rPr>
          <w:rFonts w:ascii="Times New Roman" w:hAnsi="Times New Roman" w:cs="Times New Roman"/>
          <w:sz w:val="24"/>
          <w:szCs w:val="24"/>
        </w:rPr>
        <w:t xml:space="preserve"> 02</w:t>
      </w:r>
      <w:r>
        <w:rPr>
          <w:rFonts w:ascii="Times New Roman" w:hAnsi="Times New Roman" w:cs="Times New Roman"/>
          <w:sz w:val="24"/>
          <w:szCs w:val="24"/>
        </w:rPr>
        <w:t>: Calculation of Optimal NPV.</w:t>
      </w:r>
    </w:p>
    <w:p w14:paraId="33EF449A" w14:textId="77777777" w:rsidR="00340D80" w:rsidRDefault="00340D80" w:rsidP="00B07916">
      <w:pPr>
        <w:jc w:val="both"/>
        <w:rPr>
          <w:rFonts w:ascii="Times New Roman" w:hAnsi="Times New Roman" w:cs="Times New Roman"/>
          <w:sz w:val="24"/>
          <w:szCs w:val="24"/>
        </w:rPr>
      </w:pPr>
    </w:p>
    <w:p w14:paraId="7D27A36E" w14:textId="77777777" w:rsidR="00472002" w:rsidRPr="00A762A4" w:rsidRDefault="00472002" w:rsidP="00A762A4">
      <w:pPr>
        <w:pStyle w:val="Heading2"/>
        <w:spacing w:line="360" w:lineRule="auto"/>
        <w:rPr>
          <w:rFonts w:ascii="Times New Roman" w:hAnsi="Times New Roman" w:cs="Times New Roman"/>
          <w:b/>
          <w:bCs/>
          <w:color w:val="auto"/>
          <w:sz w:val="24"/>
          <w:szCs w:val="24"/>
        </w:rPr>
      </w:pPr>
      <w:bookmarkStart w:id="16" w:name="_Toc187878311"/>
      <w:r w:rsidRPr="00A762A4">
        <w:rPr>
          <w:rFonts w:ascii="Times New Roman" w:hAnsi="Times New Roman" w:cs="Times New Roman"/>
          <w:b/>
          <w:bCs/>
          <w:color w:val="auto"/>
          <w:sz w:val="24"/>
          <w:szCs w:val="24"/>
        </w:rPr>
        <w:lastRenderedPageBreak/>
        <w:t xml:space="preserve">2.6 Appropriate Financing Plan for </w:t>
      </w:r>
      <w:r w:rsidRPr="00A762A4">
        <w:rPr>
          <w:rFonts w:ascii="Times New Roman" w:hAnsi="Times New Roman" w:cs="Times New Roman"/>
          <w:b/>
          <w:bCs/>
          <w:color w:val="auto"/>
          <w:sz w:val="24"/>
          <w:szCs w:val="24"/>
          <w:lang w:val="en-GB"/>
        </w:rPr>
        <w:t>Greenacres Plc</w:t>
      </w:r>
      <w:bookmarkEnd w:id="16"/>
    </w:p>
    <w:p w14:paraId="74B5AAD8" w14:textId="07D903C7" w:rsidR="00753779" w:rsidRPr="00DB58F4" w:rsidRDefault="00472002" w:rsidP="00A762A4">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An efficient finance manager always tries to collect the required </w:t>
      </w:r>
      <w:r w:rsidR="00A762A4">
        <w:rPr>
          <w:rFonts w:ascii="Times New Roman" w:hAnsi="Times New Roman" w:cs="Times New Roman"/>
          <w:sz w:val="24"/>
          <w:szCs w:val="24"/>
        </w:rPr>
        <w:t>funds</w:t>
      </w:r>
      <w:r>
        <w:rPr>
          <w:rFonts w:ascii="Times New Roman" w:hAnsi="Times New Roman" w:cs="Times New Roman"/>
          <w:sz w:val="24"/>
          <w:szCs w:val="24"/>
        </w:rPr>
        <w:t xml:space="preserve"> from </w:t>
      </w:r>
      <w:r w:rsidR="00A762A4">
        <w:rPr>
          <w:rFonts w:ascii="Times New Roman" w:hAnsi="Times New Roman" w:cs="Times New Roman"/>
          <w:sz w:val="24"/>
          <w:szCs w:val="24"/>
        </w:rPr>
        <w:t>sources</w:t>
      </w:r>
      <w:r>
        <w:rPr>
          <w:rFonts w:ascii="Times New Roman" w:hAnsi="Times New Roman" w:cs="Times New Roman"/>
          <w:sz w:val="24"/>
          <w:szCs w:val="24"/>
        </w:rPr>
        <w:t xml:space="preserve"> with</w:t>
      </w:r>
      <w:r w:rsidR="001D58D0">
        <w:rPr>
          <w:rFonts w:ascii="Times New Roman" w:hAnsi="Times New Roman" w:cs="Times New Roman"/>
          <w:sz w:val="24"/>
          <w:szCs w:val="24"/>
        </w:rPr>
        <w:t xml:space="preserve"> the</w:t>
      </w:r>
      <w:r>
        <w:rPr>
          <w:rFonts w:ascii="Times New Roman" w:hAnsi="Times New Roman" w:cs="Times New Roman"/>
          <w:sz w:val="24"/>
          <w:szCs w:val="24"/>
        </w:rPr>
        <w:t xml:space="preserve"> lowest cost </w:t>
      </w:r>
      <w:r w:rsidR="004A6B68">
        <w:rPr>
          <w:rFonts w:ascii="Times New Roman" w:hAnsi="Times New Roman" w:cs="Times New Roman"/>
          <w:sz w:val="24"/>
          <w:szCs w:val="24"/>
        </w:rPr>
        <w:t>feature</w:t>
      </w:r>
      <w:r w:rsidR="00DB58F4">
        <w:rPr>
          <w:rFonts w:ascii="Times New Roman" w:hAnsi="Times New Roman" w:cs="Times New Roman"/>
          <w:sz w:val="24"/>
          <w:szCs w:val="24"/>
        </w:rPr>
        <w:t xml:space="preserve"> </w:t>
      </w:r>
      <w:r w:rsidR="00DB58F4">
        <w:rPr>
          <w:rFonts w:ascii="Times New Roman" w:hAnsi="Times New Roman" w:cs="Times New Roman"/>
          <w:color w:val="222222"/>
          <w:sz w:val="24"/>
          <w:szCs w:val="24"/>
          <w:shd w:val="clear" w:color="auto" w:fill="FFFFFF"/>
        </w:rPr>
        <w:t>(</w:t>
      </w:r>
      <w:r w:rsidR="00DB58F4" w:rsidRPr="00713490">
        <w:rPr>
          <w:rFonts w:ascii="Times New Roman" w:hAnsi="Times New Roman" w:cs="Times New Roman"/>
          <w:color w:val="222222"/>
          <w:sz w:val="24"/>
          <w:szCs w:val="24"/>
          <w:shd w:val="clear" w:color="auto" w:fill="FFFFFF"/>
        </w:rPr>
        <w:t>Margaritis</w:t>
      </w:r>
      <w:r w:rsidR="00DB58F4">
        <w:rPr>
          <w:rFonts w:ascii="Times New Roman" w:hAnsi="Times New Roman" w:cs="Times New Roman"/>
          <w:color w:val="222222"/>
          <w:sz w:val="24"/>
          <w:szCs w:val="24"/>
          <w:shd w:val="clear" w:color="auto" w:fill="FFFFFF"/>
        </w:rPr>
        <w:t xml:space="preserve"> &amp; </w:t>
      </w:r>
      <w:proofErr w:type="spellStart"/>
      <w:r w:rsidR="00DB58F4" w:rsidRPr="00713490">
        <w:rPr>
          <w:rFonts w:ascii="Times New Roman" w:hAnsi="Times New Roman" w:cs="Times New Roman"/>
          <w:color w:val="222222"/>
          <w:sz w:val="24"/>
          <w:szCs w:val="24"/>
          <w:shd w:val="clear" w:color="auto" w:fill="FFFFFF"/>
        </w:rPr>
        <w:t>Psillaki</w:t>
      </w:r>
      <w:proofErr w:type="spellEnd"/>
      <w:r w:rsidR="00DB58F4" w:rsidRPr="00713490">
        <w:rPr>
          <w:rFonts w:ascii="Times New Roman" w:hAnsi="Times New Roman" w:cs="Times New Roman"/>
          <w:color w:val="222222"/>
          <w:sz w:val="24"/>
          <w:szCs w:val="24"/>
          <w:shd w:val="clear" w:color="auto" w:fill="FFFFFF"/>
        </w:rPr>
        <w:t>,</w:t>
      </w:r>
      <w:r w:rsidR="00DB58F4">
        <w:rPr>
          <w:rFonts w:ascii="Times New Roman" w:hAnsi="Times New Roman" w:cs="Times New Roman"/>
          <w:color w:val="222222"/>
          <w:sz w:val="24"/>
          <w:szCs w:val="24"/>
          <w:shd w:val="clear" w:color="auto" w:fill="FFFFFF"/>
        </w:rPr>
        <w:t xml:space="preserve"> 2007)</w:t>
      </w:r>
      <w:r>
        <w:rPr>
          <w:rFonts w:ascii="Times New Roman" w:hAnsi="Times New Roman" w:cs="Times New Roman"/>
          <w:sz w:val="24"/>
          <w:szCs w:val="24"/>
        </w:rPr>
        <w:t xml:space="preserve">. </w:t>
      </w:r>
      <w:r w:rsidR="00B6425D">
        <w:rPr>
          <w:rFonts w:ascii="Times New Roman" w:hAnsi="Times New Roman" w:cs="Times New Roman"/>
          <w:sz w:val="24"/>
          <w:szCs w:val="24"/>
        </w:rPr>
        <w:t xml:space="preserve">Sources of finance can be divided into two broad categories </w:t>
      </w:r>
      <w:r w:rsidR="00753779">
        <w:rPr>
          <w:rFonts w:ascii="Times New Roman" w:hAnsi="Times New Roman" w:cs="Times New Roman"/>
          <w:sz w:val="24"/>
          <w:szCs w:val="24"/>
        </w:rPr>
        <w:t xml:space="preserve">such as: </w:t>
      </w:r>
    </w:p>
    <w:p w14:paraId="78681248" w14:textId="3C89A650" w:rsidR="00753779" w:rsidRPr="00A762A4" w:rsidRDefault="00753779" w:rsidP="00A762A4">
      <w:pPr>
        <w:spacing w:line="360" w:lineRule="auto"/>
        <w:jc w:val="both"/>
        <w:rPr>
          <w:rFonts w:ascii="Times New Roman" w:hAnsi="Times New Roman" w:cs="Times New Roman"/>
          <w:sz w:val="24"/>
          <w:szCs w:val="24"/>
        </w:rPr>
      </w:pPr>
      <w:r w:rsidRPr="00A762A4">
        <w:rPr>
          <w:rFonts w:ascii="Times New Roman" w:hAnsi="Times New Roman" w:cs="Times New Roman"/>
          <w:b/>
          <w:sz w:val="24"/>
          <w:szCs w:val="24"/>
        </w:rPr>
        <w:t xml:space="preserve">Equity </w:t>
      </w:r>
      <w:r w:rsidR="005329BA" w:rsidRPr="00A762A4">
        <w:rPr>
          <w:rFonts w:ascii="Times New Roman" w:hAnsi="Times New Roman" w:cs="Times New Roman"/>
          <w:b/>
          <w:sz w:val="24"/>
          <w:szCs w:val="24"/>
        </w:rPr>
        <w:t>Capital</w:t>
      </w:r>
      <w:r w:rsidRPr="00A762A4">
        <w:rPr>
          <w:rFonts w:ascii="Times New Roman" w:hAnsi="Times New Roman" w:cs="Times New Roman"/>
          <w:b/>
          <w:sz w:val="24"/>
          <w:szCs w:val="24"/>
        </w:rPr>
        <w:t>:</w:t>
      </w:r>
      <w:r w:rsidRPr="00A762A4">
        <w:rPr>
          <w:rFonts w:ascii="Times New Roman" w:hAnsi="Times New Roman" w:cs="Times New Roman"/>
          <w:sz w:val="24"/>
          <w:szCs w:val="24"/>
        </w:rPr>
        <w:t xml:space="preserve"> Equity capital includes owners’ paid</w:t>
      </w:r>
      <w:r w:rsidR="00DB58F4" w:rsidRPr="00A762A4">
        <w:rPr>
          <w:rFonts w:ascii="Times New Roman" w:hAnsi="Times New Roman" w:cs="Times New Roman"/>
          <w:sz w:val="24"/>
          <w:szCs w:val="24"/>
        </w:rPr>
        <w:t>-</w:t>
      </w:r>
      <w:r w:rsidRPr="00A762A4">
        <w:rPr>
          <w:rFonts w:ascii="Times New Roman" w:hAnsi="Times New Roman" w:cs="Times New Roman"/>
          <w:sz w:val="24"/>
          <w:szCs w:val="24"/>
        </w:rPr>
        <w:t>up capital, retained earnings</w:t>
      </w:r>
      <w:r w:rsidR="00A762A4" w:rsidRPr="00A762A4">
        <w:rPr>
          <w:rFonts w:ascii="Times New Roman" w:hAnsi="Times New Roman" w:cs="Times New Roman"/>
          <w:sz w:val="24"/>
          <w:szCs w:val="24"/>
        </w:rPr>
        <w:t>,</w:t>
      </w:r>
      <w:r w:rsidRPr="00A762A4">
        <w:rPr>
          <w:rFonts w:ascii="Times New Roman" w:hAnsi="Times New Roman" w:cs="Times New Roman"/>
          <w:sz w:val="24"/>
          <w:szCs w:val="24"/>
        </w:rPr>
        <w:t xml:space="preserve"> </w:t>
      </w:r>
      <w:proofErr w:type="spellStart"/>
      <w:r w:rsidRPr="00A762A4">
        <w:rPr>
          <w:rFonts w:ascii="Times New Roman" w:hAnsi="Times New Roman" w:cs="Times New Roman"/>
          <w:sz w:val="24"/>
          <w:szCs w:val="24"/>
        </w:rPr>
        <w:t>etc</w:t>
      </w:r>
      <w:proofErr w:type="spellEnd"/>
      <w:r w:rsidR="00DB58F4" w:rsidRPr="00A762A4">
        <w:rPr>
          <w:rFonts w:ascii="Times New Roman" w:hAnsi="Times New Roman" w:cs="Times New Roman"/>
          <w:sz w:val="24"/>
          <w:szCs w:val="24"/>
        </w:rPr>
        <w:t xml:space="preserve"> (Anthony, 1960)</w:t>
      </w:r>
      <w:r w:rsidRPr="00A762A4">
        <w:rPr>
          <w:rFonts w:ascii="Times New Roman" w:hAnsi="Times New Roman" w:cs="Times New Roman"/>
          <w:sz w:val="24"/>
          <w:szCs w:val="24"/>
        </w:rPr>
        <w:t xml:space="preserve">. </w:t>
      </w:r>
    </w:p>
    <w:p w14:paraId="4B925110" w14:textId="3E319C56" w:rsidR="00340D80" w:rsidRPr="00A762A4" w:rsidRDefault="00753779" w:rsidP="00A762A4">
      <w:pPr>
        <w:spacing w:line="360" w:lineRule="auto"/>
        <w:jc w:val="both"/>
        <w:rPr>
          <w:rFonts w:ascii="Times New Roman" w:hAnsi="Times New Roman" w:cs="Times New Roman"/>
          <w:sz w:val="24"/>
          <w:szCs w:val="24"/>
        </w:rPr>
      </w:pPr>
      <w:r w:rsidRPr="00A762A4">
        <w:rPr>
          <w:rFonts w:ascii="Times New Roman" w:hAnsi="Times New Roman" w:cs="Times New Roman"/>
          <w:b/>
          <w:sz w:val="24"/>
          <w:szCs w:val="24"/>
        </w:rPr>
        <w:t xml:space="preserve">Debt </w:t>
      </w:r>
      <w:r w:rsidR="005329BA" w:rsidRPr="00A762A4">
        <w:rPr>
          <w:rFonts w:ascii="Times New Roman" w:hAnsi="Times New Roman" w:cs="Times New Roman"/>
          <w:b/>
          <w:sz w:val="24"/>
          <w:szCs w:val="24"/>
        </w:rPr>
        <w:t>Capital</w:t>
      </w:r>
      <w:r w:rsidRPr="00A762A4">
        <w:rPr>
          <w:rFonts w:ascii="Times New Roman" w:hAnsi="Times New Roman" w:cs="Times New Roman"/>
          <w:b/>
          <w:sz w:val="24"/>
          <w:szCs w:val="24"/>
        </w:rPr>
        <w:t>:</w:t>
      </w:r>
      <w:r w:rsidRPr="00A762A4">
        <w:rPr>
          <w:rFonts w:ascii="Times New Roman" w:hAnsi="Times New Roman" w:cs="Times New Roman"/>
          <w:sz w:val="24"/>
          <w:szCs w:val="24"/>
        </w:rPr>
        <w:t xml:space="preserve"> Debt capital includes bank </w:t>
      </w:r>
      <w:r w:rsidR="00A762A4" w:rsidRPr="00A762A4">
        <w:rPr>
          <w:rFonts w:ascii="Times New Roman" w:hAnsi="Times New Roman" w:cs="Times New Roman"/>
          <w:sz w:val="24"/>
          <w:szCs w:val="24"/>
        </w:rPr>
        <w:t>loans</w:t>
      </w:r>
      <w:r w:rsidRPr="00A762A4">
        <w:rPr>
          <w:rFonts w:ascii="Times New Roman" w:hAnsi="Times New Roman" w:cs="Times New Roman"/>
          <w:sz w:val="24"/>
          <w:szCs w:val="24"/>
        </w:rPr>
        <w:t xml:space="preserve">, </w:t>
      </w:r>
      <w:r w:rsidR="00A762A4" w:rsidRPr="00A762A4">
        <w:rPr>
          <w:rFonts w:ascii="Times New Roman" w:hAnsi="Times New Roman" w:cs="Times New Roman"/>
          <w:sz w:val="24"/>
          <w:szCs w:val="24"/>
        </w:rPr>
        <w:t>bonds</w:t>
      </w:r>
      <w:r w:rsidRPr="00A762A4">
        <w:rPr>
          <w:rFonts w:ascii="Times New Roman" w:hAnsi="Times New Roman" w:cs="Times New Roman"/>
          <w:sz w:val="24"/>
          <w:szCs w:val="24"/>
        </w:rPr>
        <w:t xml:space="preserve">, </w:t>
      </w:r>
      <w:r w:rsidR="00A762A4" w:rsidRPr="00A762A4">
        <w:rPr>
          <w:rFonts w:ascii="Times New Roman" w:hAnsi="Times New Roman" w:cs="Times New Roman"/>
          <w:sz w:val="24"/>
          <w:szCs w:val="24"/>
        </w:rPr>
        <w:t>debentures,</w:t>
      </w:r>
      <w:r w:rsidRPr="00A762A4">
        <w:rPr>
          <w:rFonts w:ascii="Times New Roman" w:hAnsi="Times New Roman" w:cs="Times New Roman"/>
          <w:sz w:val="24"/>
          <w:szCs w:val="24"/>
        </w:rPr>
        <w:t xml:space="preserve"> etc.</w:t>
      </w:r>
    </w:p>
    <w:p w14:paraId="473CA4DC" w14:textId="6D597981" w:rsidR="00126823" w:rsidRDefault="005329BA" w:rsidP="00A762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Every source of finance has its unique characteristics and thereby makes itself appropriate for the diversified requirements of deficit </w:t>
      </w:r>
      <w:r w:rsidR="00A762A4">
        <w:rPr>
          <w:rFonts w:ascii="Times New Roman" w:hAnsi="Times New Roman" w:cs="Times New Roman"/>
          <w:sz w:val="24"/>
          <w:szCs w:val="24"/>
        </w:rPr>
        <w:t>units</w:t>
      </w:r>
      <w:r>
        <w:rPr>
          <w:rFonts w:ascii="Times New Roman" w:hAnsi="Times New Roman" w:cs="Times New Roman"/>
          <w:sz w:val="24"/>
          <w:szCs w:val="24"/>
        </w:rPr>
        <w:t xml:space="preserve">. The advantages and disadvantages of each source of finance are </w:t>
      </w:r>
      <w:r w:rsidR="00650258">
        <w:rPr>
          <w:rFonts w:ascii="Times New Roman" w:hAnsi="Times New Roman" w:cs="Times New Roman"/>
          <w:sz w:val="24"/>
          <w:szCs w:val="24"/>
        </w:rPr>
        <w:t>analyzed</w:t>
      </w:r>
      <w:r>
        <w:rPr>
          <w:rFonts w:ascii="Times New Roman" w:hAnsi="Times New Roman" w:cs="Times New Roman"/>
          <w:sz w:val="24"/>
          <w:szCs w:val="24"/>
        </w:rPr>
        <w:t xml:space="preserve"> below: </w:t>
      </w:r>
    </w:p>
    <w:p w14:paraId="1FA14B4E" w14:textId="77777777" w:rsidR="00EF596D" w:rsidRDefault="00EF596D" w:rsidP="00A762A4">
      <w:pPr>
        <w:spacing w:line="360" w:lineRule="auto"/>
        <w:jc w:val="both"/>
        <w:rPr>
          <w:rFonts w:ascii="Times New Roman" w:hAnsi="Times New Roman" w:cs="Times New Roman"/>
          <w:sz w:val="24"/>
          <w:szCs w:val="24"/>
        </w:rPr>
      </w:pPr>
    </w:p>
    <w:p w14:paraId="7C8D61C9" w14:textId="77777777" w:rsidR="00300E57" w:rsidRPr="00A762A4" w:rsidRDefault="00300E57" w:rsidP="00A762A4">
      <w:pPr>
        <w:spacing w:line="360" w:lineRule="auto"/>
        <w:jc w:val="both"/>
        <w:rPr>
          <w:rFonts w:ascii="Times New Roman" w:hAnsi="Times New Roman" w:cs="Times New Roman"/>
          <w:sz w:val="24"/>
          <w:szCs w:val="24"/>
        </w:rPr>
      </w:pPr>
      <w:r w:rsidRPr="00A762A4">
        <w:rPr>
          <w:rFonts w:ascii="Times New Roman" w:hAnsi="Times New Roman" w:cs="Times New Roman"/>
          <w:b/>
          <w:sz w:val="24"/>
          <w:szCs w:val="24"/>
        </w:rPr>
        <w:t>Equity Capital</w:t>
      </w:r>
    </w:p>
    <w:p w14:paraId="56ED625D" w14:textId="77777777" w:rsidR="005C0F45" w:rsidRPr="00A762A4" w:rsidRDefault="00300E57" w:rsidP="00A762A4">
      <w:p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Equity capital has the following advantages: </w:t>
      </w:r>
    </w:p>
    <w:p w14:paraId="6BE37DD9" w14:textId="49E15E85" w:rsidR="00300E57" w:rsidRPr="00A762A4" w:rsidRDefault="006F0118" w:rsidP="00A762A4">
      <w:pPr>
        <w:pStyle w:val="ListParagraph"/>
        <w:numPr>
          <w:ilvl w:val="0"/>
          <w:numId w:val="45"/>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It will not create any kind of default risk for the </w:t>
      </w:r>
      <w:r w:rsidR="00A762A4" w:rsidRPr="00A762A4">
        <w:rPr>
          <w:rFonts w:ascii="Times New Roman" w:hAnsi="Times New Roman" w:cs="Times New Roman"/>
          <w:sz w:val="24"/>
          <w:szCs w:val="24"/>
        </w:rPr>
        <w:t>fundraiser</w:t>
      </w:r>
      <w:r w:rsidR="00DB58F4" w:rsidRPr="00A762A4">
        <w:rPr>
          <w:rFonts w:ascii="Times New Roman" w:hAnsi="Times New Roman" w:cs="Times New Roman"/>
          <w:sz w:val="24"/>
          <w:szCs w:val="24"/>
        </w:rPr>
        <w:t xml:space="preserve"> (Karmazin &amp; Bondar, 2013)</w:t>
      </w:r>
      <w:r w:rsidRPr="00A762A4">
        <w:rPr>
          <w:rFonts w:ascii="Times New Roman" w:hAnsi="Times New Roman" w:cs="Times New Roman"/>
          <w:sz w:val="24"/>
          <w:szCs w:val="24"/>
        </w:rPr>
        <w:t xml:space="preserve">. </w:t>
      </w:r>
    </w:p>
    <w:p w14:paraId="115FD589" w14:textId="7B4B8314" w:rsidR="00E518AC" w:rsidRPr="00A762A4" w:rsidRDefault="00E518AC" w:rsidP="00A762A4">
      <w:pPr>
        <w:pStyle w:val="ListParagraph"/>
        <w:numPr>
          <w:ilvl w:val="0"/>
          <w:numId w:val="45"/>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will not be required to make any kind of periodic payment to the fund provider. </w:t>
      </w:r>
    </w:p>
    <w:p w14:paraId="248FAB3C" w14:textId="0486D451" w:rsidR="00317338" w:rsidRDefault="00317338" w:rsidP="00A762A4">
      <w:pPr>
        <w:pStyle w:val="ListParagraph"/>
        <w:numPr>
          <w:ilvl w:val="0"/>
          <w:numId w:val="45"/>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It will improve the balance sheet scenario of 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w:t>
      </w:r>
    </w:p>
    <w:p w14:paraId="3B6BF365" w14:textId="77777777" w:rsidR="00A762A4" w:rsidRPr="00A762A4" w:rsidRDefault="00A762A4" w:rsidP="00A762A4">
      <w:pPr>
        <w:pStyle w:val="ListParagraph"/>
        <w:spacing w:line="360" w:lineRule="auto"/>
        <w:jc w:val="both"/>
        <w:rPr>
          <w:rFonts w:ascii="Times New Roman" w:hAnsi="Times New Roman" w:cs="Times New Roman"/>
          <w:sz w:val="24"/>
          <w:szCs w:val="24"/>
        </w:rPr>
      </w:pPr>
    </w:p>
    <w:p w14:paraId="36A8D4B2" w14:textId="77777777" w:rsidR="00F701B5" w:rsidRPr="00A762A4" w:rsidRDefault="00F701B5" w:rsidP="00A762A4">
      <w:p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Equity capital has the following disadvantages: </w:t>
      </w:r>
    </w:p>
    <w:p w14:paraId="05F4777A" w14:textId="18976BE3" w:rsidR="00A46C0E" w:rsidRPr="00A762A4" w:rsidRDefault="00F701B5" w:rsidP="00A762A4">
      <w:pPr>
        <w:pStyle w:val="ListParagraph"/>
        <w:numPr>
          <w:ilvl w:val="0"/>
          <w:numId w:val="47"/>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will not be able to get any kind of tax advantages</w:t>
      </w:r>
      <w:r w:rsidR="00DB58F4" w:rsidRPr="00A762A4">
        <w:rPr>
          <w:rFonts w:ascii="Times New Roman" w:hAnsi="Times New Roman" w:cs="Times New Roman"/>
          <w:sz w:val="24"/>
          <w:szCs w:val="24"/>
        </w:rPr>
        <w:t xml:space="preserve"> </w:t>
      </w:r>
      <w:r w:rsidR="00DB58F4" w:rsidRPr="00A762A4">
        <w:rPr>
          <w:rFonts w:ascii="Times New Roman" w:hAnsi="Times New Roman" w:cs="Times New Roman"/>
          <w:color w:val="222222"/>
          <w:sz w:val="24"/>
          <w:szCs w:val="24"/>
          <w:shd w:val="clear" w:color="auto" w:fill="FFFFFF"/>
        </w:rPr>
        <w:t>(Dhaliwal, Heitzman &amp; Zhen Li, 2006)</w:t>
      </w:r>
      <w:r w:rsidRPr="00A762A4">
        <w:rPr>
          <w:rFonts w:ascii="Times New Roman" w:hAnsi="Times New Roman" w:cs="Times New Roman"/>
          <w:sz w:val="24"/>
          <w:szCs w:val="24"/>
        </w:rPr>
        <w:t>.</w:t>
      </w:r>
      <w:r w:rsidR="00DB58F4" w:rsidRPr="00A762A4">
        <w:rPr>
          <w:rFonts w:ascii="Times New Roman" w:hAnsi="Times New Roman" w:cs="Times New Roman"/>
          <w:sz w:val="24"/>
          <w:szCs w:val="24"/>
        </w:rPr>
        <w:t xml:space="preserve"> </w:t>
      </w:r>
      <w:r w:rsidRPr="00A762A4">
        <w:rPr>
          <w:rFonts w:ascii="Times New Roman" w:hAnsi="Times New Roman" w:cs="Times New Roman"/>
          <w:sz w:val="24"/>
          <w:szCs w:val="24"/>
        </w:rPr>
        <w:t xml:space="preserve"> </w:t>
      </w:r>
    </w:p>
    <w:p w14:paraId="0E982963" w14:textId="77777777" w:rsidR="006052FF" w:rsidRPr="00A762A4" w:rsidRDefault="006052FF" w:rsidP="00A762A4">
      <w:pPr>
        <w:pStyle w:val="ListParagraph"/>
        <w:numPr>
          <w:ilvl w:val="0"/>
          <w:numId w:val="47"/>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The ownership structure will be </w:t>
      </w:r>
      <w:proofErr w:type="gramStart"/>
      <w:r w:rsidRPr="00A762A4">
        <w:rPr>
          <w:rFonts w:ascii="Times New Roman" w:hAnsi="Times New Roman" w:cs="Times New Roman"/>
          <w:sz w:val="24"/>
          <w:szCs w:val="24"/>
        </w:rPr>
        <w:t>diluted</w:t>
      </w:r>
      <w:proofErr w:type="gramEnd"/>
      <w:r w:rsidRPr="00A762A4">
        <w:rPr>
          <w:rFonts w:ascii="Times New Roman" w:hAnsi="Times New Roman" w:cs="Times New Roman"/>
          <w:sz w:val="24"/>
          <w:szCs w:val="24"/>
        </w:rPr>
        <w:t xml:space="preserve"> and the initial founder may lose its majority control. </w:t>
      </w:r>
    </w:p>
    <w:p w14:paraId="6EC4249D" w14:textId="038BAC8C" w:rsidR="00E3267C" w:rsidRPr="00A762A4" w:rsidRDefault="00A23D62" w:rsidP="00A762A4">
      <w:pPr>
        <w:pStyle w:val="ListParagraph"/>
        <w:numPr>
          <w:ilvl w:val="0"/>
          <w:numId w:val="47"/>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The cost of this form of finance is usually higher compared to the other forms of finance because </w:t>
      </w:r>
      <w:r w:rsidR="00A817A2" w:rsidRPr="00A762A4">
        <w:rPr>
          <w:rFonts w:ascii="Times New Roman" w:hAnsi="Times New Roman" w:cs="Times New Roman"/>
          <w:sz w:val="24"/>
          <w:szCs w:val="24"/>
        </w:rPr>
        <w:t xml:space="preserve">we know there is a positive relationship between risk and profit. As this form of finance is low risky, thereby, the cost of this capital is </w:t>
      </w:r>
      <w:r w:rsidR="00AD7A81" w:rsidRPr="00A762A4">
        <w:rPr>
          <w:rFonts w:ascii="Times New Roman" w:hAnsi="Times New Roman" w:cs="Times New Roman"/>
          <w:sz w:val="24"/>
          <w:szCs w:val="24"/>
        </w:rPr>
        <w:t>high,</w:t>
      </w:r>
      <w:r w:rsidR="00A817A2" w:rsidRPr="00A762A4">
        <w:rPr>
          <w:rFonts w:ascii="Times New Roman" w:hAnsi="Times New Roman" w:cs="Times New Roman"/>
          <w:sz w:val="24"/>
          <w:szCs w:val="24"/>
        </w:rPr>
        <w:t xml:space="preserve"> in other words</w:t>
      </w:r>
      <w:r w:rsidR="00553225">
        <w:rPr>
          <w:rFonts w:ascii="Times New Roman" w:hAnsi="Times New Roman" w:cs="Times New Roman"/>
          <w:sz w:val="24"/>
          <w:szCs w:val="24"/>
        </w:rPr>
        <w:t>,</w:t>
      </w:r>
      <w:r w:rsidR="00A817A2" w:rsidRPr="00A762A4">
        <w:rPr>
          <w:rFonts w:ascii="Times New Roman" w:hAnsi="Times New Roman" w:cs="Times New Roman"/>
          <w:sz w:val="24"/>
          <w:szCs w:val="24"/>
        </w:rPr>
        <w:t xml:space="preserve"> least profitable. </w:t>
      </w:r>
      <w:r w:rsidRPr="00A762A4">
        <w:rPr>
          <w:rFonts w:ascii="Times New Roman" w:hAnsi="Times New Roman" w:cs="Times New Roman"/>
          <w:sz w:val="24"/>
          <w:szCs w:val="24"/>
        </w:rPr>
        <w:t xml:space="preserve"> </w:t>
      </w:r>
    </w:p>
    <w:p w14:paraId="75BD9970" w14:textId="77777777" w:rsidR="00E3267C" w:rsidRPr="00A762A4" w:rsidRDefault="00E3267C" w:rsidP="00A762A4">
      <w:pPr>
        <w:spacing w:line="360" w:lineRule="auto"/>
        <w:jc w:val="both"/>
        <w:rPr>
          <w:rFonts w:ascii="Times New Roman" w:hAnsi="Times New Roman" w:cs="Times New Roman"/>
          <w:sz w:val="24"/>
          <w:szCs w:val="24"/>
        </w:rPr>
      </w:pPr>
      <w:r w:rsidRPr="00A762A4">
        <w:rPr>
          <w:rFonts w:ascii="Times New Roman" w:hAnsi="Times New Roman" w:cs="Times New Roman"/>
          <w:b/>
          <w:sz w:val="24"/>
          <w:szCs w:val="24"/>
        </w:rPr>
        <w:lastRenderedPageBreak/>
        <w:t>Debt Capital</w:t>
      </w:r>
    </w:p>
    <w:p w14:paraId="04151D93" w14:textId="395E490F" w:rsidR="00A762A4" w:rsidRPr="00A762A4" w:rsidRDefault="00E3267C" w:rsidP="00A762A4">
      <w:p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Debt capital has the following advantages: </w:t>
      </w:r>
    </w:p>
    <w:p w14:paraId="703B6B56" w14:textId="2409FD13" w:rsidR="00E3267C" w:rsidRPr="00A762A4" w:rsidRDefault="00E3267C" w:rsidP="00A762A4">
      <w:pPr>
        <w:pStyle w:val="ListParagraph"/>
        <w:numPr>
          <w:ilvl w:val="0"/>
          <w:numId w:val="48"/>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will be able to get tax advantages from periodic interest </w:t>
      </w:r>
      <w:r w:rsidR="00A762A4" w:rsidRPr="00A762A4">
        <w:rPr>
          <w:rFonts w:ascii="Times New Roman" w:hAnsi="Times New Roman" w:cs="Times New Roman"/>
          <w:sz w:val="24"/>
          <w:szCs w:val="24"/>
        </w:rPr>
        <w:t>payments</w:t>
      </w:r>
      <w:r w:rsidRPr="00A762A4">
        <w:rPr>
          <w:rFonts w:ascii="Times New Roman" w:hAnsi="Times New Roman" w:cs="Times New Roman"/>
          <w:sz w:val="24"/>
          <w:szCs w:val="24"/>
        </w:rPr>
        <w:t xml:space="preserve"> and thereby reduce its cost of capital</w:t>
      </w:r>
      <w:r w:rsidR="00DB58F4" w:rsidRPr="00A762A4">
        <w:rPr>
          <w:rFonts w:ascii="Times New Roman" w:hAnsi="Times New Roman" w:cs="Times New Roman"/>
          <w:sz w:val="24"/>
          <w:szCs w:val="24"/>
        </w:rPr>
        <w:t xml:space="preserve"> (Cordes &amp; </w:t>
      </w:r>
      <w:proofErr w:type="spellStart"/>
      <w:r w:rsidR="00DB58F4" w:rsidRPr="00A762A4">
        <w:rPr>
          <w:rFonts w:ascii="Times New Roman" w:hAnsi="Times New Roman" w:cs="Times New Roman"/>
          <w:sz w:val="24"/>
          <w:szCs w:val="24"/>
        </w:rPr>
        <w:t>Sheffrin</w:t>
      </w:r>
      <w:proofErr w:type="spellEnd"/>
      <w:r w:rsidR="00DB58F4" w:rsidRPr="00A762A4">
        <w:rPr>
          <w:rFonts w:ascii="Times New Roman" w:hAnsi="Times New Roman" w:cs="Times New Roman"/>
          <w:sz w:val="24"/>
          <w:szCs w:val="24"/>
        </w:rPr>
        <w:t>, 1983)</w:t>
      </w:r>
      <w:r w:rsidRPr="00A762A4">
        <w:rPr>
          <w:rFonts w:ascii="Times New Roman" w:hAnsi="Times New Roman" w:cs="Times New Roman"/>
          <w:sz w:val="24"/>
          <w:szCs w:val="24"/>
        </w:rPr>
        <w:t xml:space="preserve">. </w:t>
      </w:r>
    </w:p>
    <w:p w14:paraId="3291B0B0" w14:textId="331C76E9" w:rsidR="00E3267C" w:rsidRPr="00A762A4" w:rsidRDefault="00E3267C" w:rsidP="00A762A4">
      <w:pPr>
        <w:pStyle w:val="ListParagraph"/>
        <w:numPr>
          <w:ilvl w:val="0"/>
          <w:numId w:val="48"/>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By using this source of </w:t>
      </w:r>
      <w:r w:rsidR="00A762A4" w:rsidRPr="00A762A4">
        <w:rPr>
          <w:rFonts w:ascii="Times New Roman" w:hAnsi="Times New Roman" w:cs="Times New Roman"/>
          <w:sz w:val="24"/>
          <w:szCs w:val="24"/>
        </w:rPr>
        <w:t>funds</w:t>
      </w:r>
      <w:r w:rsidRPr="00A762A4">
        <w:rPr>
          <w:rFonts w:ascii="Times New Roman" w:hAnsi="Times New Roman" w:cs="Times New Roman"/>
          <w:sz w:val="24"/>
          <w:szCs w:val="24"/>
        </w:rPr>
        <w:t xml:space="preserve">, the initial founders may preserve their ownership status and associated voting </w:t>
      </w:r>
      <w:r w:rsidR="00A762A4" w:rsidRPr="00A762A4">
        <w:rPr>
          <w:rFonts w:ascii="Times New Roman" w:hAnsi="Times New Roman" w:cs="Times New Roman"/>
          <w:sz w:val="24"/>
          <w:szCs w:val="24"/>
        </w:rPr>
        <w:t>rights</w:t>
      </w:r>
      <w:r w:rsidRPr="00A762A4">
        <w:rPr>
          <w:rFonts w:ascii="Times New Roman" w:hAnsi="Times New Roman" w:cs="Times New Roman"/>
          <w:sz w:val="24"/>
          <w:szCs w:val="24"/>
        </w:rPr>
        <w:t xml:space="preserve">. </w:t>
      </w:r>
    </w:p>
    <w:p w14:paraId="1A341FE3" w14:textId="0106A34B" w:rsidR="009976EC" w:rsidRDefault="009976EC" w:rsidP="00A762A4">
      <w:pPr>
        <w:pStyle w:val="ListParagraph"/>
        <w:numPr>
          <w:ilvl w:val="0"/>
          <w:numId w:val="48"/>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Through using this debt capital, the </w:t>
      </w:r>
      <w:r w:rsidR="00A762A4" w:rsidRPr="00A762A4">
        <w:rPr>
          <w:rFonts w:ascii="Times New Roman" w:hAnsi="Times New Roman" w:cs="Times New Roman"/>
          <w:sz w:val="24"/>
          <w:szCs w:val="24"/>
        </w:rPr>
        <w:t>fundraisers</w:t>
      </w:r>
      <w:r w:rsidRPr="00A762A4">
        <w:rPr>
          <w:rFonts w:ascii="Times New Roman" w:hAnsi="Times New Roman" w:cs="Times New Roman"/>
          <w:sz w:val="24"/>
          <w:szCs w:val="24"/>
        </w:rPr>
        <w:t xml:space="preserve"> can preserve their net profit and can generate a sufficient balance of retained earnings. Because, in this form of financing, </w:t>
      </w:r>
      <w:r w:rsidR="00A762A4" w:rsidRPr="00A762A4">
        <w:rPr>
          <w:rFonts w:ascii="Times New Roman" w:hAnsi="Times New Roman" w:cs="Times New Roman"/>
          <w:sz w:val="24"/>
          <w:szCs w:val="24"/>
        </w:rPr>
        <w:t>fundraisers</w:t>
      </w:r>
      <w:r w:rsidRPr="00A762A4">
        <w:rPr>
          <w:rFonts w:ascii="Times New Roman" w:hAnsi="Times New Roman" w:cs="Times New Roman"/>
          <w:sz w:val="24"/>
          <w:szCs w:val="24"/>
        </w:rPr>
        <w:t xml:space="preserve"> will be required to pay a pre-defined periodic payment compared to the portion of </w:t>
      </w:r>
      <w:r w:rsidR="00A762A4" w:rsidRPr="00A762A4">
        <w:rPr>
          <w:rFonts w:ascii="Times New Roman" w:hAnsi="Times New Roman" w:cs="Times New Roman"/>
          <w:sz w:val="24"/>
          <w:szCs w:val="24"/>
        </w:rPr>
        <w:t xml:space="preserve">the </w:t>
      </w:r>
      <w:r w:rsidRPr="00A762A4">
        <w:rPr>
          <w:rFonts w:ascii="Times New Roman" w:hAnsi="Times New Roman" w:cs="Times New Roman"/>
          <w:sz w:val="24"/>
          <w:szCs w:val="24"/>
        </w:rPr>
        <w:t xml:space="preserve">profit that is usually paid in </w:t>
      </w:r>
      <w:r w:rsidR="00A762A4" w:rsidRPr="00A762A4">
        <w:rPr>
          <w:rFonts w:ascii="Times New Roman" w:hAnsi="Times New Roman" w:cs="Times New Roman"/>
          <w:sz w:val="24"/>
          <w:szCs w:val="24"/>
        </w:rPr>
        <w:t xml:space="preserve">the </w:t>
      </w:r>
      <w:r w:rsidRPr="00A762A4">
        <w:rPr>
          <w:rFonts w:ascii="Times New Roman" w:hAnsi="Times New Roman" w:cs="Times New Roman"/>
          <w:sz w:val="24"/>
          <w:szCs w:val="24"/>
        </w:rPr>
        <w:t xml:space="preserve">case of equity capital. </w:t>
      </w:r>
    </w:p>
    <w:p w14:paraId="4B7B19F2" w14:textId="77777777" w:rsidR="00A762A4" w:rsidRPr="00A762A4" w:rsidRDefault="00A762A4" w:rsidP="00A762A4">
      <w:pPr>
        <w:pStyle w:val="ListParagraph"/>
        <w:spacing w:line="360" w:lineRule="auto"/>
        <w:jc w:val="both"/>
        <w:rPr>
          <w:rFonts w:ascii="Times New Roman" w:hAnsi="Times New Roman" w:cs="Times New Roman"/>
          <w:sz w:val="24"/>
          <w:szCs w:val="24"/>
        </w:rPr>
      </w:pPr>
    </w:p>
    <w:p w14:paraId="5CB81A09" w14:textId="77777777" w:rsidR="00E3267C" w:rsidRPr="00A762A4" w:rsidRDefault="00E3267C" w:rsidP="00A762A4">
      <w:p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Debt capital has the following disadvantages: </w:t>
      </w:r>
    </w:p>
    <w:p w14:paraId="151CC8C0" w14:textId="77777777" w:rsidR="00A762A4" w:rsidRPr="00E3267C" w:rsidRDefault="00A762A4" w:rsidP="00A762A4">
      <w:pPr>
        <w:pStyle w:val="ListParagraph"/>
        <w:spacing w:line="360" w:lineRule="auto"/>
        <w:ind w:left="360"/>
        <w:jc w:val="both"/>
        <w:rPr>
          <w:rFonts w:ascii="Times New Roman" w:hAnsi="Times New Roman" w:cs="Times New Roman"/>
          <w:sz w:val="24"/>
          <w:szCs w:val="24"/>
        </w:rPr>
      </w:pPr>
    </w:p>
    <w:p w14:paraId="1DCBAB8E" w14:textId="1610673B" w:rsidR="00E3267C" w:rsidRPr="00A762A4" w:rsidRDefault="00E3267C" w:rsidP="00A762A4">
      <w:pPr>
        <w:pStyle w:val="ListParagraph"/>
        <w:numPr>
          <w:ilvl w:val="0"/>
          <w:numId w:val="49"/>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will be required to make periodic </w:t>
      </w:r>
      <w:r w:rsidR="00A762A4" w:rsidRPr="00A762A4">
        <w:rPr>
          <w:rFonts w:ascii="Times New Roman" w:hAnsi="Times New Roman" w:cs="Times New Roman"/>
          <w:sz w:val="24"/>
          <w:szCs w:val="24"/>
        </w:rPr>
        <w:t>payments,</w:t>
      </w:r>
      <w:r w:rsidRPr="00A762A4">
        <w:rPr>
          <w:rFonts w:ascii="Times New Roman" w:hAnsi="Times New Roman" w:cs="Times New Roman"/>
          <w:sz w:val="24"/>
          <w:szCs w:val="24"/>
        </w:rPr>
        <w:t xml:space="preserve"> and 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may be declared bankrupt if 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fails to make the periodic payment</w:t>
      </w:r>
      <w:r w:rsidR="00DB58F4" w:rsidRPr="00A762A4">
        <w:rPr>
          <w:rFonts w:ascii="Times New Roman" w:hAnsi="Times New Roman" w:cs="Times New Roman"/>
          <w:sz w:val="24"/>
          <w:szCs w:val="24"/>
        </w:rPr>
        <w:t xml:space="preserve"> (Leland, 1994)</w:t>
      </w:r>
      <w:r w:rsidRPr="00A762A4">
        <w:rPr>
          <w:rFonts w:ascii="Times New Roman" w:hAnsi="Times New Roman" w:cs="Times New Roman"/>
          <w:sz w:val="24"/>
          <w:szCs w:val="24"/>
        </w:rPr>
        <w:t xml:space="preserve">. </w:t>
      </w:r>
    </w:p>
    <w:p w14:paraId="298129B9" w14:textId="505FE5F8" w:rsidR="008651BB" w:rsidRPr="00A762A4" w:rsidRDefault="004D1BD5" w:rsidP="00A762A4">
      <w:pPr>
        <w:pStyle w:val="ListParagraph"/>
        <w:numPr>
          <w:ilvl w:val="0"/>
          <w:numId w:val="49"/>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If the </w:t>
      </w:r>
      <w:r w:rsidR="00A762A4" w:rsidRPr="00A762A4">
        <w:rPr>
          <w:rFonts w:ascii="Times New Roman" w:hAnsi="Times New Roman" w:cs="Times New Roman"/>
          <w:sz w:val="24"/>
          <w:szCs w:val="24"/>
        </w:rPr>
        <w:t>fundraiser</w:t>
      </w:r>
      <w:r w:rsidRPr="00A762A4">
        <w:rPr>
          <w:rFonts w:ascii="Times New Roman" w:hAnsi="Times New Roman" w:cs="Times New Roman"/>
          <w:sz w:val="24"/>
          <w:szCs w:val="24"/>
        </w:rPr>
        <w:t xml:space="preserve"> fails to make periodic </w:t>
      </w:r>
      <w:r w:rsidR="00A762A4" w:rsidRPr="00A762A4">
        <w:rPr>
          <w:rFonts w:ascii="Times New Roman" w:hAnsi="Times New Roman" w:cs="Times New Roman"/>
          <w:sz w:val="24"/>
          <w:szCs w:val="24"/>
        </w:rPr>
        <w:t>payments</w:t>
      </w:r>
      <w:r w:rsidRPr="00A762A4">
        <w:rPr>
          <w:rFonts w:ascii="Times New Roman" w:hAnsi="Times New Roman" w:cs="Times New Roman"/>
          <w:sz w:val="24"/>
          <w:szCs w:val="24"/>
        </w:rPr>
        <w:t xml:space="preserve"> to the fund provider it will give a negative message to the market and will hamper its reputation</w:t>
      </w:r>
      <w:r w:rsidR="00DB58F4" w:rsidRPr="00A762A4">
        <w:rPr>
          <w:rFonts w:ascii="Times New Roman" w:hAnsi="Times New Roman" w:cs="Times New Roman"/>
          <w:sz w:val="24"/>
          <w:szCs w:val="24"/>
        </w:rPr>
        <w:t xml:space="preserve"> (Dornbusch, 1989)</w:t>
      </w:r>
      <w:r w:rsidRPr="00A762A4">
        <w:rPr>
          <w:rFonts w:ascii="Times New Roman" w:hAnsi="Times New Roman" w:cs="Times New Roman"/>
          <w:sz w:val="24"/>
          <w:szCs w:val="24"/>
        </w:rPr>
        <w:t xml:space="preserve">. </w:t>
      </w:r>
    </w:p>
    <w:p w14:paraId="5B2A6E74" w14:textId="70906C5A" w:rsidR="00A97AF9" w:rsidRPr="00A762A4" w:rsidRDefault="00A97AF9" w:rsidP="00A762A4">
      <w:pPr>
        <w:pStyle w:val="ListParagraph"/>
        <w:numPr>
          <w:ilvl w:val="0"/>
          <w:numId w:val="49"/>
        </w:numPr>
        <w:spacing w:line="360" w:lineRule="auto"/>
        <w:jc w:val="both"/>
        <w:rPr>
          <w:rFonts w:ascii="Times New Roman" w:hAnsi="Times New Roman" w:cs="Times New Roman"/>
          <w:sz w:val="24"/>
          <w:szCs w:val="24"/>
        </w:rPr>
      </w:pPr>
      <w:r w:rsidRPr="00A762A4">
        <w:rPr>
          <w:rFonts w:ascii="Times New Roman" w:hAnsi="Times New Roman" w:cs="Times New Roman"/>
          <w:sz w:val="24"/>
          <w:szCs w:val="24"/>
        </w:rPr>
        <w:t xml:space="preserve">This form of finance </w:t>
      </w:r>
      <w:r w:rsidR="006F7413" w:rsidRPr="00A762A4">
        <w:rPr>
          <w:rFonts w:ascii="Times New Roman" w:hAnsi="Times New Roman" w:cs="Times New Roman"/>
          <w:sz w:val="24"/>
          <w:szCs w:val="24"/>
        </w:rPr>
        <w:t xml:space="preserve">cannot be easily accessed by new entrepreneurs due to the lack of </w:t>
      </w:r>
      <w:r w:rsidR="00E76070" w:rsidRPr="00A762A4">
        <w:rPr>
          <w:rFonts w:ascii="Times New Roman" w:hAnsi="Times New Roman" w:cs="Times New Roman"/>
          <w:sz w:val="24"/>
          <w:szCs w:val="24"/>
        </w:rPr>
        <w:t xml:space="preserve">proven creditworthiness. </w:t>
      </w:r>
      <w:r w:rsidR="006F7413" w:rsidRPr="00A762A4">
        <w:rPr>
          <w:rFonts w:ascii="Times New Roman" w:hAnsi="Times New Roman" w:cs="Times New Roman"/>
          <w:sz w:val="24"/>
          <w:szCs w:val="24"/>
        </w:rPr>
        <w:t xml:space="preserve"> </w:t>
      </w:r>
    </w:p>
    <w:p w14:paraId="05DC4697" w14:textId="77777777" w:rsidR="00A46C0E" w:rsidRDefault="00A46C0E" w:rsidP="00B07916">
      <w:pPr>
        <w:jc w:val="both"/>
        <w:rPr>
          <w:rFonts w:ascii="Times New Roman" w:hAnsi="Times New Roman" w:cs="Times New Roman"/>
          <w:sz w:val="24"/>
          <w:szCs w:val="24"/>
        </w:rPr>
      </w:pPr>
    </w:p>
    <w:p w14:paraId="6E8CB84A" w14:textId="1C935268" w:rsidR="00A46C0E" w:rsidRDefault="007666F2" w:rsidP="00A762A4">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rPr>
        <w:t xml:space="preserve">From the above thorough analysis </w:t>
      </w:r>
      <w:r w:rsidR="00A762A4">
        <w:rPr>
          <w:rFonts w:ascii="Times New Roman" w:hAnsi="Times New Roman" w:cs="Times New Roman"/>
          <w:sz w:val="24"/>
          <w:szCs w:val="24"/>
        </w:rPr>
        <w:t>of</w:t>
      </w:r>
      <w:r>
        <w:rPr>
          <w:rFonts w:ascii="Times New Roman" w:hAnsi="Times New Roman" w:cs="Times New Roman"/>
          <w:sz w:val="24"/>
          <w:szCs w:val="24"/>
        </w:rPr>
        <w:t xml:space="preserve"> the probable advantages and disadvantages associated with different sources of finance, I will recommend the following financing plan to the </w:t>
      </w:r>
      <w:r w:rsidRPr="007666F2">
        <w:rPr>
          <w:rFonts w:ascii="Times New Roman" w:hAnsi="Times New Roman" w:cs="Times New Roman"/>
          <w:sz w:val="24"/>
          <w:szCs w:val="24"/>
          <w:lang w:val="en-GB"/>
        </w:rPr>
        <w:t>Board of Greenacres plc</w:t>
      </w:r>
      <w:r>
        <w:rPr>
          <w:rFonts w:ascii="Times New Roman" w:hAnsi="Times New Roman" w:cs="Times New Roman"/>
          <w:sz w:val="24"/>
          <w:szCs w:val="24"/>
          <w:lang w:val="en-GB"/>
        </w:rPr>
        <w:t xml:space="preserve"> </w:t>
      </w:r>
      <w:r w:rsidR="00A762A4">
        <w:rPr>
          <w:rFonts w:ascii="Times New Roman" w:hAnsi="Times New Roman" w:cs="Times New Roman"/>
          <w:sz w:val="24"/>
          <w:szCs w:val="24"/>
          <w:lang w:val="en-GB"/>
        </w:rPr>
        <w:t>to</w:t>
      </w:r>
      <w:r>
        <w:rPr>
          <w:rFonts w:ascii="Times New Roman" w:hAnsi="Times New Roman" w:cs="Times New Roman"/>
          <w:sz w:val="24"/>
          <w:szCs w:val="24"/>
          <w:lang w:val="en-GB"/>
        </w:rPr>
        <w:t xml:space="preserve"> financing its investment plan: </w:t>
      </w:r>
    </w:p>
    <w:p w14:paraId="2786D9E2" w14:textId="77777777" w:rsidR="00F20C19" w:rsidRPr="00F20C19" w:rsidRDefault="00F20C19" w:rsidP="00A762A4">
      <w:pPr>
        <w:pStyle w:val="ListParagraph"/>
        <w:numPr>
          <w:ilvl w:val="0"/>
          <w:numId w:val="2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60% of the required fund can be raised through equity capital. Whereas, 30% of the equity capital can be raised through issuing ordinary shares (secondary offering) and the rest (70%) can be raised from retained earnings. </w:t>
      </w:r>
    </w:p>
    <w:p w14:paraId="7B617543" w14:textId="46DA5788" w:rsidR="00F75E8E" w:rsidRPr="00F75E8E" w:rsidRDefault="008F2C15" w:rsidP="00A762A4">
      <w:pPr>
        <w:pStyle w:val="ListParagraph"/>
        <w:numPr>
          <w:ilvl w:val="0"/>
          <w:numId w:val="28"/>
        </w:num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40% of the required </w:t>
      </w:r>
      <w:r w:rsidR="00696192">
        <w:rPr>
          <w:rFonts w:ascii="Times New Roman" w:hAnsi="Times New Roman" w:cs="Times New Roman"/>
          <w:sz w:val="24"/>
          <w:szCs w:val="24"/>
        </w:rPr>
        <w:t>funds</w:t>
      </w:r>
      <w:r>
        <w:rPr>
          <w:rFonts w:ascii="Times New Roman" w:hAnsi="Times New Roman" w:cs="Times New Roman"/>
          <w:sz w:val="24"/>
          <w:szCs w:val="24"/>
        </w:rPr>
        <w:t xml:space="preserve"> can be raised through debt capital. To raise debt capital, </w:t>
      </w:r>
      <w:r w:rsidRPr="007666F2">
        <w:rPr>
          <w:rFonts w:ascii="Times New Roman" w:hAnsi="Times New Roman" w:cs="Times New Roman"/>
          <w:sz w:val="24"/>
          <w:szCs w:val="24"/>
          <w:lang w:val="en-GB"/>
        </w:rPr>
        <w:t>Greenacres plc</w:t>
      </w:r>
      <w:r>
        <w:rPr>
          <w:rFonts w:ascii="Times New Roman" w:hAnsi="Times New Roman" w:cs="Times New Roman"/>
          <w:sz w:val="24"/>
          <w:szCs w:val="24"/>
          <w:lang w:val="en-GB"/>
        </w:rPr>
        <w:t xml:space="preserve"> can </w:t>
      </w:r>
      <w:r w:rsidR="000025E4">
        <w:rPr>
          <w:rFonts w:ascii="Times New Roman" w:hAnsi="Times New Roman" w:cs="Times New Roman"/>
          <w:sz w:val="24"/>
          <w:szCs w:val="24"/>
          <w:lang w:val="en-GB"/>
        </w:rPr>
        <w:t xml:space="preserve">issue </w:t>
      </w:r>
      <w:r w:rsidR="00696192">
        <w:rPr>
          <w:rFonts w:ascii="Times New Roman" w:hAnsi="Times New Roman" w:cs="Times New Roman"/>
          <w:sz w:val="24"/>
          <w:szCs w:val="24"/>
          <w:lang w:val="en-GB"/>
        </w:rPr>
        <w:t>bonds</w:t>
      </w:r>
      <w:r w:rsidR="000025E4">
        <w:rPr>
          <w:rFonts w:ascii="Times New Roman" w:hAnsi="Times New Roman" w:cs="Times New Roman"/>
          <w:sz w:val="24"/>
          <w:szCs w:val="24"/>
          <w:lang w:val="en-GB"/>
        </w:rPr>
        <w:t xml:space="preserve">, </w:t>
      </w:r>
      <w:r w:rsidR="00696192">
        <w:rPr>
          <w:rFonts w:ascii="Times New Roman" w:hAnsi="Times New Roman" w:cs="Times New Roman"/>
          <w:sz w:val="24"/>
          <w:szCs w:val="24"/>
          <w:lang w:val="en-GB"/>
        </w:rPr>
        <w:t>and debentures</w:t>
      </w:r>
      <w:r w:rsidR="000025E4">
        <w:rPr>
          <w:rFonts w:ascii="Times New Roman" w:hAnsi="Times New Roman" w:cs="Times New Roman"/>
          <w:sz w:val="24"/>
          <w:szCs w:val="24"/>
          <w:lang w:val="en-GB"/>
        </w:rPr>
        <w:t xml:space="preserve"> and can take long-term </w:t>
      </w:r>
      <w:r w:rsidR="00696192">
        <w:rPr>
          <w:rFonts w:ascii="Times New Roman" w:hAnsi="Times New Roman" w:cs="Times New Roman"/>
          <w:sz w:val="24"/>
          <w:szCs w:val="24"/>
          <w:lang w:val="en-GB"/>
        </w:rPr>
        <w:t>loans</w:t>
      </w:r>
      <w:r w:rsidR="000025E4">
        <w:rPr>
          <w:rFonts w:ascii="Times New Roman" w:hAnsi="Times New Roman" w:cs="Times New Roman"/>
          <w:sz w:val="24"/>
          <w:szCs w:val="24"/>
          <w:lang w:val="en-GB"/>
        </w:rPr>
        <w:t xml:space="preserve"> from </w:t>
      </w:r>
      <w:r w:rsidR="00696192">
        <w:rPr>
          <w:rFonts w:ascii="Times New Roman" w:hAnsi="Times New Roman" w:cs="Times New Roman"/>
          <w:sz w:val="24"/>
          <w:szCs w:val="24"/>
          <w:lang w:val="en-GB"/>
        </w:rPr>
        <w:t>banks</w:t>
      </w:r>
      <w:r w:rsidR="000025E4">
        <w:rPr>
          <w:rFonts w:ascii="Times New Roman" w:hAnsi="Times New Roman" w:cs="Times New Roman"/>
          <w:sz w:val="24"/>
          <w:szCs w:val="24"/>
          <w:lang w:val="en-GB"/>
        </w:rPr>
        <w:t xml:space="preserve">. </w:t>
      </w:r>
    </w:p>
    <w:p w14:paraId="64DC7416" w14:textId="441A6FA9" w:rsidR="008F2C15" w:rsidRPr="00F75E8E" w:rsidRDefault="00F75E8E" w:rsidP="00A762A4">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By using debt capital </w:t>
      </w:r>
      <w:r w:rsidRPr="007666F2">
        <w:rPr>
          <w:rFonts w:ascii="Times New Roman" w:hAnsi="Times New Roman" w:cs="Times New Roman"/>
          <w:sz w:val="24"/>
          <w:szCs w:val="24"/>
          <w:lang w:val="en-GB"/>
        </w:rPr>
        <w:t>Greenacres plc</w:t>
      </w:r>
      <w:r>
        <w:rPr>
          <w:rFonts w:ascii="Times New Roman" w:hAnsi="Times New Roman" w:cs="Times New Roman"/>
          <w:sz w:val="24"/>
          <w:szCs w:val="24"/>
          <w:lang w:val="en-GB"/>
        </w:rPr>
        <w:t xml:space="preserve"> can reduce its cost of capital through enjoying the associated tax benefits. </w:t>
      </w:r>
      <w:r w:rsidR="00696192">
        <w:rPr>
          <w:rFonts w:ascii="Times New Roman" w:hAnsi="Times New Roman" w:cs="Times New Roman"/>
          <w:sz w:val="24"/>
          <w:szCs w:val="24"/>
          <w:lang w:val="en-GB"/>
        </w:rPr>
        <w:t>The</w:t>
      </w:r>
      <w:r w:rsidR="00423C14">
        <w:rPr>
          <w:rFonts w:ascii="Times New Roman" w:hAnsi="Times New Roman" w:cs="Times New Roman"/>
          <w:sz w:val="24"/>
          <w:szCs w:val="24"/>
          <w:lang w:val="en-GB"/>
        </w:rPr>
        <w:t xml:space="preserve"> proposed portfolio of financing sources </w:t>
      </w:r>
      <w:r w:rsidR="00D12FBB">
        <w:rPr>
          <w:rFonts w:ascii="Times New Roman" w:hAnsi="Times New Roman" w:cs="Times New Roman"/>
          <w:sz w:val="24"/>
          <w:szCs w:val="24"/>
          <w:lang w:val="en-GB"/>
        </w:rPr>
        <w:t xml:space="preserve">will enable </w:t>
      </w:r>
      <w:r w:rsidR="00D12FBB" w:rsidRPr="007666F2">
        <w:rPr>
          <w:rFonts w:ascii="Times New Roman" w:hAnsi="Times New Roman" w:cs="Times New Roman"/>
          <w:sz w:val="24"/>
          <w:szCs w:val="24"/>
          <w:lang w:val="en-GB"/>
        </w:rPr>
        <w:t>Greenacres plc</w:t>
      </w:r>
      <w:r w:rsidR="00D12FBB">
        <w:rPr>
          <w:rFonts w:ascii="Times New Roman" w:hAnsi="Times New Roman" w:cs="Times New Roman"/>
          <w:sz w:val="24"/>
          <w:szCs w:val="24"/>
          <w:lang w:val="en-GB"/>
        </w:rPr>
        <w:t xml:space="preserve"> to maintain its debt-equity ratio </w:t>
      </w:r>
      <w:r w:rsidR="00696192">
        <w:rPr>
          <w:rFonts w:ascii="Times New Roman" w:hAnsi="Times New Roman" w:cs="Times New Roman"/>
          <w:sz w:val="24"/>
          <w:szCs w:val="24"/>
          <w:lang w:val="en-GB"/>
        </w:rPr>
        <w:t>at</w:t>
      </w:r>
      <w:r w:rsidR="00D12FBB">
        <w:rPr>
          <w:rFonts w:ascii="Times New Roman" w:hAnsi="Times New Roman" w:cs="Times New Roman"/>
          <w:sz w:val="24"/>
          <w:szCs w:val="24"/>
          <w:lang w:val="en-GB"/>
        </w:rPr>
        <w:t xml:space="preserve"> a standard level and may not pose the company </w:t>
      </w:r>
      <w:r w:rsidR="00553225">
        <w:rPr>
          <w:rFonts w:ascii="Times New Roman" w:hAnsi="Times New Roman" w:cs="Times New Roman"/>
          <w:sz w:val="24"/>
          <w:szCs w:val="24"/>
          <w:lang w:val="en-GB"/>
        </w:rPr>
        <w:t>with</w:t>
      </w:r>
      <w:r w:rsidR="00D12FBB">
        <w:rPr>
          <w:rFonts w:ascii="Times New Roman" w:hAnsi="Times New Roman" w:cs="Times New Roman"/>
          <w:sz w:val="24"/>
          <w:szCs w:val="24"/>
          <w:lang w:val="en-GB"/>
        </w:rPr>
        <w:t xml:space="preserve"> default risk. </w:t>
      </w:r>
    </w:p>
    <w:p w14:paraId="785E6DCB" w14:textId="77777777" w:rsidR="00A46C0E" w:rsidRDefault="00A46C0E" w:rsidP="00B07916">
      <w:pPr>
        <w:jc w:val="both"/>
        <w:rPr>
          <w:rFonts w:ascii="Times New Roman" w:hAnsi="Times New Roman" w:cs="Times New Roman"/>
          <w:sz w:val="24"/>
          <w:szCs w:val="24"/>
        </w:rPr>
      </w:pPr>
    </w:p>
    <w:p w14:paraId="59A703F9" w14:textId="09D2B34D" w:rsidR="00A46C0E" w:rsidRDefault="00A46C0E" w:rsidP="00B07916">
      <w:pPr>
        <w:jc w:val="both"/>
        <w:rPr>
          <w:rFonts w:ascii="Times New Roman" w:hAnsi="Times New Roman" w:cs="Times New Roman"/>
          <w:sz w:val="24"/>
          <w:szCs w:val="24"/>
        </w:rPr>
      </w:pPr>
    </w:p>
    <w:p w14:paraId="73353AC8" w14:textId="5C1CF221" w:rsidR="00EF596D" w:rsidRDefault="00EF596D" w:rsidP="00B07916">
      <w:pPr>
        <w:jc w:val="both"/>
        <w:rPr>
          <w:rFonts w:ascii="Times New Roman" w:hAnsi="Times New Roman" w:cs="Times New Roman"/>
          <w:sz w:val="24"/>
          <w:szCs w:val="24"/>
        </w:rPr>
      </w:pPr>
    </w:p>
    <w:p w14:paraId="5D81D658" w14:textId="5908DF8F" w:rsidR="00EF596D" w:rsidRDefault="00EF596D" w:rsidP="00B07916">
      <w:pPr>
        <w:jc w:val="both"/>
        <w:rPr>
          <w:rFonts w:ascii="Times New Roman" w:hAnsi="Times New Roman" w:cs="Times New Roman"/>
          <w:sz w:val="24"/>
          <w:szCs w:val="24"/>
        </w:rPr>
      </w:pPr>
    </w:p>
    <w:p w14:paraId="447558E0" w14:textId="64DF60BD" w:rsidR="00EF596D" w:rsidRDefault="00EF596D" w:rsidP="00B07916">
      <w:pPr>
        <w:jc w:val="both"/>
        <w:rPr>
          <w:rFonts w:ascii="Times New Roman" w:hAnsi="Times New Roman" w:cs="Times New Roman"/>
          <w:sz w:val="24"/>
          <w:szCs w:val="24"/>
        </w:rPr>
      </w:pPr>
    </w:p>
    <w:p w14:paraId="688F2AEB" w14:textId="576E67AA" w:rsidR="00EF596D" w:rsidRDefault="00EF596D" w:rsidP="00B07916">
      <w:pPr>
        <w:jc w:val="both"/>
        <w:rPr>
          <w:rFonts w:ascii="Times New Roman" w:hAnsi="Times New Roman" w:cs="Times New Roman"/>
          <w:sz w:val="24"/>
          <w:szCs w:val="24"/>
        </w:rPr>
      </w:pPr>
    </w:p>
    <w:p w14:paraId="418BCCFC" w14:textId="2B43AC6D" w:rsidR="00EF596D" w:rsidRDefault="00EF596D" w:rsidP="00B07916">
      <w:pPr>
        <w:jc w:val="both"/>
        <w:rPr>
          <w:rFonts w:ascii="Times New Roman" w:hAnsi="Times New Roman" w:cs="Times New Roman"/>
          <w:sz w:val="24"/>
          <w:szCs w:val="24"/>
        </w:rPr>
      </w:pPr>
    </w:p>
    <w:p w14:paraId="5E3A9302" w14:textId="0826A386" w:rsidR="00EF596D" w:rsidRDefault="00EF596D" w:rsidP="00B07916">
      <w:pPr>
        <w:jc w:val="both"/>
        <w:rPr>
          <w:rFonts w:ascii="Times New Roman" w:hAnsi="Times New Roman" w:cs="Times New Roman"/>
          <w:sz w:val="24"/>
          <w:szCs w:val="24"/>
        </w:rPr>
      </w:pPr>
    </w:p>
    <w:p w14:paraId="4D5BFF74" w14:textId="5D63F2AF" w:rsidR="00EF596D" w:rsidRDefault="00EF596D" w:rsidP="00B07916">
      <w:pPr>
        <w:jc w:val="both"/>
        <w:rPr>
          <w:rFonts w:ascii="Times New Roman" w:hAnsi="Times New Roman" w:cs="Times New Roman"/>
          <w:sz w:val="24"/>
          <w:szCs w:val="24"/>
        </w:rPr>
      </w:pPr>
    </w:p>
    <w:p w14:paraId="5E6212D7" w14:textId="7379B831" w:rsidR="00EF596D" w:rsidRDefault="00EF596D" w:rsidP="00B07916">
      <w:pPr>
        <w:jc w:val="both"/>
        <w:rPr>
          <w:rFonts w:ascii="Times New Roman" w:hAnsi="Times New Roman" w:cs="Times New Roman"/>
          <w:sz w:val="24"/>
          <w:szCs w:val="24"/>
        </w:rPr>
      </w:pPr>
    </w:p>
    <w:p w14:paraId="1F9C13D5" w14:textId="41B198BD" w:rsidR="00EF596D" w:rsidRDefault="00EF596D" w:rsidP="00B07916">
      <w:pPr>
        <w:jc w:val="both"/>
        <w:rPr>
          <w:rFonts w:ascii="Times New Roman" w:hAnsi="Times New Roman" w:cs="Times New Roman"/>
          <w:sz w:val="24"/>
          <w:szCs w:val="24"/>
        </w:rPr>
      </w:pPr>
    </w:p>
    <w:p w14:paraId="553D53A4" w14:textId="2CBE9146" w:rsidR="00EF596D" w:rsidRDefault="00EF596D" w:rsidP="00B07916">
      <w:pPr>
        <w:jc w:val="both"/>
        <w:rPr>
          <w:rFonts w:ascii="Times New Roman" w:hAnsi="Times New Roman" w:cs="Times New Roman"/>
          <w:sz w:val="24"/>
          <w:szCs w:val="24"/>
        </w:rPr>
      </w:pPr>
    </w:p>
    <w:p w14:paraId="25D7E3FA" w14:textId="6651B47A" w:rsidR="00EF596D" w:rsidRDefault="00EF596D" w:rsidP="00B07916">
      <w:pPr>
        <w:jc w:val="both"/>
        <w:rPr>
          <w:rFonts w:ascii="Times New Roman" w:hAnsi="Times New Roman" w:cs="Times New Roman"/>
          <w:sz w:val="24"/>
          <w:szCs w:val="24"/>
        </w:rPr>
      </w:pPr>
    </w:p>
    <w:p w14:paraId="6785912C" w14:textId="0A1F318F" w:rsidR="00EF596D" w:rsidRDefault="00EF596D" w:rsidP="00B07916">
      <w:pPr>
        <w:jc w:val="both"/>
        <w:rPr>
          <w:rFonts w:ascii="Times New Roman" w:hAnsi="Times New Roman" w:cs="Times New Roman"/>
          <w:sz w:val="24"/>
          <w:szCs w:val="24"/>
        </w:rPr>
      </w:pPr>
    </w:p>
    <w:p w14:paraId="69BCF5FE" w14:textId="1135F036" w:rsidR="00EF596D" w:rsidRDefault="00EF596D" w:rsidP="00B07916">
      <w:pPr>
        <w:jc w:val="both"/>
        <w:rPr>
          <w:rFonts w:ascii="Times New Roman" w:hAnsi="Times New Roman" w:cs="Times New Roman"/>
          <w:sz w:val="24"/>
          <w:szCs w:val="24"/>
        </w:rPr>
      </w:pPr>
    </w:p>
    <w:p w14:paraId="5D4D0069" w14:textId="6E15B035" w:rsidR="00EF596D" w:rsidRDefault="00EF596D" w:rsidP="00B07916">
      <w:pPr>
        <w:jc w:val="both"/>
        <w:rPr>
          <w:rFonts w:ascii="Times New Roman" w:hAnsi="Times New Roman" w:cs="Times New Roman"/>
          <w:sz w:val="24"/>
          <w:szCs w:val="24"/>
        </w:rPr>
      </w:pPr>
    </w:p>
    <w:p w14:paraId="5115C8F4" w14:textId="4BCB2177" w:rsidR="00EF596D" w:rsidRDefault="00EF596D" w:rsidP="00B07916">
      <w:pPr>
        <w:jc w:val="both"/>
        <w:rPr>
          <w:rFonts w:ascii="Times New Roman" w:hAnsi="Times New Roman" w:cs="Times New Roman"/>
          <w:sz w:val="24"/>
          <w:szCs w:val="24"/>
        </w:rPr>
      </w:pPr>
    </w:p>
    <w:p w14:paraId="4ACFB07D" w14:textId="1CB29895" w:rsidR="00EF596D" w:rsidRDefault="00EF596D" w:rsidP="00B07916">
      <w:pPr>
        <w:jc w:val="both"/>
        <w:rPr>
          <w:rFonts w:ascii="Times New Roman" w:hAnsi="Times New Roman" w:cs="Times New Roman"/>
          <w:sz w:val="24"/>
          <w:szCs w:val="24"/>
        </w:rPr>
      </w:pPr>
    </w:p>
    <w:p w14:paraId="0A94588F" w14:textId="781623E9" w:rsidR="00EF596D" w:rsidRDefault="00EF596D" w:rsidP="00B07916">
      <w:pPr>
        <w:jc w:val="both"/>
        <w:rPr>
          <w:rFonts w:ascii="Times New Roman" w:hAnsi="Times New Roman" w:cs="Times New Roman"/>
          <w:sz w:val="24"/>
          <w:szCs w:val="24"/>
        </w:rPr>
      </w:pPr>
    </w:p>
    <w:p w14:paraId="046CAA2B" w14:textId="57C8E54C" w:rsidR="00EF596D" w:rsidRDefault="00EF596D" w:rsidP="00B07916">
      <w:pPr>
        <w:jc w:val="both"/>
        <w:rPr>
          <w:rFonts w:ascii="Times New Roman" w:hAnsi="Times New Roman" w:cs="Times New Roman"/>
          <w:sz w:val="24"/>
          <w:szCs w:val="24"/>
        </w:rPr>
      </w:pPr>
    </w:p>
    <w:p w14:paraId="586E160C" w14:textId="77777777" w:rsidR="00A762A4" w:rsidRDefault="00A762A4" w:rsidP="00EC688D">
      <w:pPr>
        <w:pStyle w:val="Heading1"/>
      </w:pPr>
    </w:p>
    <w:p w14:paraId="41F2DFCD" w14:textId="77777777" w:rsidR="00A762A4" w:rsidRDefault="00A762A4" w:rsidP="00A762A4"/>
    <w:p w14:paraId="6A3D409A" w14:textId="77777777" w:rsidR="00A762A4" w:rsidRPr="00A762A4" w:rsidRDefault="00A762A4" w:rsidP="00A762A4"/>
    <w:p w14:paraId="6418F609" w14:textId="77777777" w:rsidR="00A762A4" w:rsidRDefault="00A762A4" w:rsidP="00EC688D">
      <w:pPr>
        <w:pStyle w:val="Heading1"/>
        <w:rPr>
          <w:rFonts w:ascii="Times New Roman" w:hAnsi="Times New Roman" w:cs="Times New Roman"/>
          <w:b/>
          <w:bCs/>
          <w:color w:val="auto"/>
          <w:sz w:val="28"/>
          <w:szCs w:val="28"/>
        </w:rPr>
      </w:pPr>
    </w:p>
    <w:p w14:paraId="1C95FBE2" w14:textId="77777777" w:rsidR="00A762A4" w:rsidRDefault="00A762A4" w:rsidP="00B07916">
      <w:pPr>
        <w:jc w:val="both"/>
      </w:pPr>
    </w:p>
    <w:p w14:paraId="4BE3D32F" w14:textId="43AE9BA6" w:rsidR="00A762A4" w:rsidRPr="00A762A4" w:rsidRDefault="00A762A4" w:rsidP="00B07916">
      <w:pPr>
        <w:jc w:val="both"/>
        <w:rPr>
          <w:rFonts w:ascii="Times New Roman" w:hAnsi="Times New Roman" w:cs="Times New Roman"/>
          <w:b/>
          <w:bCs/>
          <w:sz w:val="28"/>
          <w:szCs w:val="28"/>
        </w:rPr>
      </w:pPr>
      <w:r w:rsidRPr="00A762A4">
        <w:rPr>
          <w:rFonts w:ascii="Times New Roman" w:hAnsi="Times New Roman" w:cs="Times New Roman"/>
          <w:b/>
          <w:bCs/>
          <w:sz w:val="28"/>
          <w:szCs w:val="28"/>
        </w:rPr>
        <w:lastRenderedPageBreak/>
        <w:t>Conclusion</w:t>
      </w:r>
    </w:p>
    <w:p w14:paraId="23E92EA1" w14:textId="77777777" w:rsidR="00A762A4" w:rsidRDefault="00A762A4" w:rsidP="00B07916">
      <w:pPr>
        <w:jc w:val="both"/>
        <w:rPr>
          <w:rFonts w:ascii="Times New Roman" w:hAnsi="Times New Roman" w:cs="Times New Roman"/>
          <w:sz w:val="24"/>
          <w:szCs w:val="24"/>
        </w:rPr>
      </w:pPr>
    </w:p>
    <w:p w14:paraId="5F5E35D4" w14:textId="31274DE3" w:rsidR="00A46C0E" w:rsidRDefault="00EC688D" w:rsidP="00A762A4">
      <w:pPr>
        <w:spacing w:line="360" w:lineRule="auto"/>
        <w:jc w:val="both"/>
        <w:rPr>
          <w:rFonts w:ascii="Times New Roman" w:hAnsi="Times New Roman" w:cs="Times New Roman"/>
          <w:sz w:val="24"/>
          <w:szCs w:val="24"/>
        </w:rPr>
      </w:pPr>
      <w:r>
        <w:rPr>
          <w:rFonts w:ascii="Times New Roman" w:hAnsi="Times New Roman" w:cs="Times New Roman"/>
          <w:sz w:val="24"/>
          <w:szCs w:val="24"/>
        </w:rPr>
        <w:t>Through the completion of this assignment, I have learned a lot about the implications of ratio analysis a</w:t>
      </w:r>
      <w:r w:rsidR="00DD458C">
        <w:rPr>
          <w:rFonts w:ascii="Times New Roman" w:hAnsi="Times New Roman" w:cs="Times New Roman"/>
          <w:sz w:val="24"/>
          <w:szCs w:val="24"/>
        </w:rPr>
        <w:t>n</w:t>
      </w:r>
      <w:r>
        <w:rPr>
          <w:rFonts w:ascii="Times New Roman" w:hAnsi="Times New Roman" w:cs="Times New Roman"/>
          <w:sz w:val="24"/>
          <w:szCs w:val="24"/>
        </w:rPr>
        <w:t xml:space="preserve">d </w:t>
      </w:r>
      <w:r w:rsidR="00A762A4">
        <w:rPr>
          <w:rFonts w:ascii="Times New Roman" w:hAnsi="Times New Roman" w:cs="Times New Roman"/>
          <w:sz w:val="24"/>
          <w:szCs w:val="24"/>
        </w:rPr>
        <w:t>its</w:t>
      </w:r>
      <w:r>
        <w:rPr>
          <w:rFonts w:ascii="Times New Roman" w:hAnsi="Times New Roman" w:cs="Times New Roman"/>
          <w:sz w:val="24"/>
          <w:szCs w:val="24"/>
        </w:rPr>
        <w:t xml:space="preserve"> associated limitations. I have also come to know about different investment appraisal tools. </w:t>
      </w:r>
      <w:r w:rsidR="00A762A4">
        <w:rPr>
          <w:rFonts w:ascii="Times New Roman" w:hAnsi="Times New Roman" w:cs="Times New Roman"/>
          <w:sz w:val="24"/>
          <w:szCs w:val="24"/>
        </w:rPr>
        <w:t>Ultimately</w:t>
      </w:r>
      <w:r>
        <w:rPr>
          <w:rFonts w:ascii="Times New Roman" w:hAnsi="Times New Roman" w:cs="Times New Roman"/>
          <w:sz w:val="24"/>
          <w:szCs w:val="24"/>
        </w:rPr>
        <w:t xml:space="preserve">, I have tried to develop an appropriate capital structure for </w:t>
      </w:r>
      <w:r w:rsidR="00DD458C" w:rsidRPr="007666F2">
        <w:rPr>
          <w:rFonts w:ascii="Times New Roman" w:hAnsi="Times New Roman" w:cs="Times New Roman"/>
          <w:sz w:val="24"/>
          <w:szCs w:val="24"/>
          <w:lang w:val="en-GB"/>
        </w:rPr>
        <w:t>Greenacres plc</w:t>
      </w:r>
      <w:r>
        <w:rPr>
          <w:rFonts w:ascii="Times New Roman" w:hAnsi="Times New Roman" w:cs="Times New Roman"/>
          <w:sz w:val="24"/>
          <w:szCs w:val="24"/>
        </w:rPr>
        <w:t xml:space="preserve"> to finance its investment requirement. </w:t>
      </w:r>
    </w:p>
    <w:p w14:paraId="48921DAF" w14:textId="288992E6" w:rsidR="00F34601" w:rsidRDefault="00F34601" w:rsidP="00A762A4">
      <w:pPr>
        <w:spacing w:line="360" w:lineRule="auto"/>
        <w:jc w:val="both"/>
        <w:rPr>
          <w:rFonts w:ascii="Times New Roman" w:hAnsi="Times New Roman" w:cs="Times New Roman"/>
          <w:sz w:val="24"/>
          <w:szCs w:val="24"/>
        </w:rPr>
      </w:pPr>
    </w:p>
    <w:p w14:paraId="40D5509B" w14:textId="6C40E5FA" w:rsidR="00F34601" w:rsidRDefault="00F34601" w:rsidP="00B07916">
      <w:pPr>
        <w:jc w:val="both"/>
        <w:rPr>
          <w:rFonts w:ascii="Times New Roman" w:hAnsi="Times New Roman" w:cs="Times New Roman"/>
          <w:sz w:val="24"/>
          <w:szCs w:val="24"/>
        </w:rPr>
      </w:pPr>
    </w:p>
    <w:p w14:paraId="10C3A34E" w14:textId="3C5CA800" w:rsidR="00EF596D" w:rsidRDefault="00EF596D" w:rsidP="00B07916">
      <w:pPr>
        <w:jc w:val="both"/>
        <w:rPr>
          <w:rFonts w:ascii="Times New Roman" w:hAnsi="Times New Roman" w:cs="Times New Roman"/>
          <w:sz w:val="24"/>
          <w:szCs w:val="24"/>
        </w:rPr>
      </w:pPr>
    </w:p>
    <w:p w14:paraId="49A5D879" w14:textId="7A6E76F1" w:rsidR="00EF596D" w:rsidRDefault="00EF596D" w:rsidP="00B07916">
      <w:pPr>
        <w:jc w:val="both"/>
        <w:rPr>
          <w:rFonts w:ascii="Times New Roman" w:hAnsi="Times New Roman" w:cs="Times New Roman"/>
          <w:sz w:val="24"/>
          <w:szCs w:val="24"/>
        </w:rPr>
      </w:pPr>
    </w:p>
    <w:p w14:paraId="7AD5E559" w14:textId="7ACC7373" w:rsidR="00EF596D" w:rsidRDefault="00EF596D" w:rsidP="00B07916">
      <w:pPr>
        <w:jc w:val="both"/>
        <w:rPr>
          <w:rFonts w:ascii="Times New Roman" w:hAnsi="Times New Roman" w:cs="Times New Roman"/>
          <w:sz w:val="24"/>
          <w:szCs w:val="24"/>
        </w:rPr>
      </w:pPr>
    </w:p>
    <w:p w14:paraId="1076072E" w14:textId="1AFE21B1" w:rsidR="00EF596D" w:rsidRDefault="00EF596D" w:rsidP="00B07916">
      <w:pPr>
        <w:jc w:val="both"/>
        <w:rPr>
          <w:rFonts w:ascii="Times New Roman" w:hAnsi="Times New Roman" w:cs="Times New Roman"/>
          <w:sz w:val="24"/>
          <w:szCs w:val="24"/>
        </w:rPr>
      </w:pPr>
    </w:p>
    <w:p w14:paraId="225F3CB3" w14:textId="3AA857C0" w:rsidR="00EF596D" w:rsidRDefault="00EF596D" w:rsidP="00B07916">
      <w:pPr>
        <w:jc w:val="both"/>
        <w:rPr>
          <w:rFonts w:ascii="Times New Roman" w:hAnsi="Times New Roman" w:cs="Times New Roman"/>
          <w:sz w:val="24"/>
          <w:szCs w:val="24"/>
        </w:rPr>
      </w:pPr>
    </w:p>
    <w:p w14:paraId="673B277B" w14:textId="63668581" w:rsidR="00EF596D" w:rsidRDefault="00EF596D" w:rsidP="00B07916">
      <w:pPr>
        <w:jc w:val="both"/>
        <w:rPr>
          <w:rFonts w:ascii="Times New Roman" w:hAnsi="Times New Roman" w:cs="Times New Roman"/>
          <w:sz w:val="24"/>
          <w:szCs w:val="24"/>
        </w:rPr>
      </w:pPr>
    </w:p>
    <w:p w14:paraId="6F1C8E50" w14:textId="358C74D8" w:rsidR="00EF596D" w:rsidRDefault="00EF596D" w:rsidP="00B07916">
      <w:pPr>
        <w:jc w:val="both"/>
        <w:rPr>
          <w:rFonts w:ascii="Times New Roman" w:hAnsi="Times New Roman" w:cs="Times New Roman"/>
          <w:sz w:val="24"/>
          <w:szCs w:val="24"/>
        </w:rPr>
      </w:pPr>
    </w:p>
    <w:p w14:paraId="686B5DF4" w14:textId="7A005186" w:rsidR="00EF596D" w:rsidRDefault="00EF596D" w:rsidP="00B07916">
      <w:pPr>
        <w:jc w:val="both"/>
        <w:rPr>
          <w:rFonts w:ascii="Times New Roman" w:hAnsi="Times New Roman" w:cs="Times New Roman"/>
          <w:sz w:val="24"/>
          <w:szCs w:val="24"/>
        </w:rPr>
      </w:pPr>
    </w:p>
    <w:p w14:paraId="7944737E" w14:textId="520FA5AE" w:rsidR="00EF596D" w:rsidRDefault="00EF596D" w:rsidP="00B07916">
      <w:pPr>
        <w:jc w:val="both"/>
        <w:rPr>
          <w:rFonts w:ascii="Times New Roman" w:hAnsi="Times New Roman" w:cs="Times New Roman"/>
          <w:sz w:val="24"/>
          <w:szCs w:val="24"/>
        </w:rPr>
      </w:pPr>
    </w:p>
    <w:p w14:paraId="3D53D642" w14:textId="544F77D8" w:rsidR="00EF596D" w:rsidRDefault="00EF596D" w:rsidP="00B07916">
      <w:pPr>
        <w:jc w:val="both"/>
        <w:rPr>
          <w:rFonts w:ascii="Times New Roman" w:hAnsi="Times New Roman" w:cs="Times New Roman"/>
          <w:sz w:val="24"/>
          <w:szCs w:val="24"/>
        </w:rPr>
      </w:pPr>
    </w:p>
    <w:p w14:paraId="07B57975" w14:textId="580124C4" w:rsidR="00EF596D" w:rsidRDefault="00EF596D" w:rsidP="00B07916">
      <w:pPr>
        <w:jc w:val="both"/>
        <w:rPr>
          <w:rFonts w:ascii="Times New Roman" w:hAnsi="Times New Roman" w:cs="Times New Roman"/>
          <w:sz w:val="24"/>
          <w:szCs w:val="24"/>
        </w:rPr>
      </w:pPr>
    </w:p>
    <w:p w14:paraId="3EEC53F0" w14:textId="0B5CE4C6" w:rsidR="00EF596D" w:rsidRDefault="00EF596D" w:rsidP="00B07916">
      <w:pPr>
        <w:jc w:val="both"/>
        <w:rPr>
          <w:rFonts w:ascii="Times New Roman" w:hAnsi="Times New Roman" w:cs="Times New Roman"/>
          <w:sz w:val="24"/>
          <w:szCs w:val="24"/>
        </w:rPr>
      </w:pPr>
    </w:p>
    <w:p w14:paraId="05C13775" w14:textId="60792778" w:rsidR="00EF596D" w:rsidRDefault="00EF596D" w:rsidP="00B07916">
      <w:pPr>
        <w:jc w:val="both"/>
        <w:rPr>
          <w:rFonts w:ascii="Times New Roman" w:hAnsi="Times New Roman" w:cs="Times New Roman"/>
          <w:sz w:val="24"/>
          <w:szCs w:val="24"/>
        </w:rPr>
      </w:pPr>
    </w:p>
    <w:p w14:paraId="22EC07A1" w14:textId="53ED6794" w:rsidR="00EF596D" w:rsidRDefault="00EF596D" w:rsidP="00B07916">
      <w:pPr>
        <w:jc w:val="both"/>
        <w:rPr>
          <w:rFonts w:ascii="Times New Roman" w:hAnsi="Times New Roman" w:cs="Times New Roman"/>
          <w:sz w:val="24"/>
          <w:szCs w:val="24"/>
        </w:rPr>
      </w:pPr>
    </w:p>
    <w:p w14:paraId="55AB8C87" w14:textId="313B093C" w:rsidR="00EF596D" w:rsidRDefault="00EF596D" w:rsidP="00B07916">
      <w:pPr>
        <w:jc w:val="both"/>
        <w:rPr>
          <w:rFonts w:ascii="Times New Roman" w:hAnsi="Times New Roman" w:cs="Times New Roman"/>
          <w:sz w:val="24"/>
          <w:szCs w:val="24"/>
        </w:rPr>
      </w:pPr>
    </w:p>
    <w:p w14:paraId="40DE15BE" w14:textId="22F4F6C9" w:rsidR="00EF596D" w:rsidRDefault="00EF596D" w:rsidP="00B07916">
      <w:pPr>
        <w:jc w:val="both"/>
        <w:rPr>
          <w:rFonts w:ascii="Times New Roman" w:hAnsi="Times New Roman" w:cs="Times New Roman"/>
          <w:sz w:val="24"/>
          <w:szCs w:val="24"/>
        </w:rPr>
      </w:pPr>
    </w:p>
    <w:p w14:paraId="2AAC51EA" w14:textId="2FCF5021" w:rsidR="00EF596D" w:rsidRDefault="00EF596D" w:rsidP="00B07916">
      <w:pPr>
        <w:jc w:val="both"/>
        <w:rPr>
          <w:rFonts w:ascii="Times New Roman" w:hAnsi="Times New Roman" w:cs="Times New Roman"/>
          <w:sz w:val="24"/>
          <w:szCs w:val="24"/>
        </w:rPr>
      </w:pPr>
    </w:p>
    <w:p w14:paraId="3F41DED3" w14:textId="5D0E2083" w:rsidR="00EF596D" w:rsidRDefault="00EF596D" w:rsidP="00B07916">
      <w:pPr>
        <w:jc w:val="both"/>
        <w:rPr>
          <w:rFonts w:ascii="Times New Roman" w:hAnsi="Times New Roman" w:cs="Times New Roman"/>
          <w:sz w:val="24"/>
          <w:szCs w:val="24"/>
        </w:rPr>
      </w:pPr>
    </w:p>
    <w:p w14:paraId="020235F5" w14:textId="29DCAEDA" w:rsidR="00EF596D" w:rsidRDefault="00EF596D" w:rsidP="00B07916">
      <w:pPr>
        <w:jc w:val="both"/>
        <w:rPr>
          <w:rFonts w:ascii="Times New Roman" w:hAnsi="Times New Roman" w:cs="Times New Roman"/>
          <w:sz w:val="24"/>
          <w:szCs w:val="24"/>
        </w:rPr>
      </w:pPr>
    </w:p>
    <w:p w14:paraId="122CB98B" w14:textId="58D6B388" w:rsidR="00EF596D" w:rsidRDefault="00EF596D" w:rsidP="00B07916">
      <w:pPr>
        <w:jc w:val="both"/>
        <w:rPr>
          <w:rFonts w:ascii="Times New Roman" w:hAnsi="Times New Roman" w:cs="Times New Roman"/>
          <w:sz w:val="24"/>
          <w:szCs w:val="24"/>
        </w:rPr>
      </w:pPr>
    </w:p>
    <w:p w14:paraId="53A76885" w14:textId="77777777" w:rsidR="00EF596D" w:rsidRDefault="00EF596D" w:rsidP="00B07916">
      <w:pPr>
        <w:jc w:val="both"/>
        <w:rPr>
          <w:rFonts w:ascii="Times New Roman" w:hAnsi="Times New Roman" w:cs="Times New Roman"/>
          <w:sz w:val="24"/>
          <w:szCs w:val="24"/>
        </w:rPr>
      </w:pPr>
    </w:p>
    <w:p w14:paraId="2C62D849" w14:textId="657B715B" w:rsidR="00F34601" w:rsidRPr="00A762A4" w:rsidRDefault="00F34601" w:rsidP="00A762A4">
      <w:pPr>
        <w:pStyle w:val="Heading1"/>
        <w:spacing w:line="360" w:lineRule="auto"/>
        <w:rPr>
          <w:rFonts w:ascii="Times New Roman" w:hAnsi="Times New Roman" w:cs="Times New Roman"/>
          <w:b/>
          <w:bCs/>
          <w:color w:val="auto"/>
          <w:sz w:val="28"/>
          <w:szCs w:val="28"/>
        </w:rPr>
      </w:pPr>
      <w:bookmarkStart w:id="17" w:name="_Toc187878312"/>
      <w:r w:rsidRPr="00A762A4">
        <w:rPr>
          <w:rFonts w:ascii="Times New Roman" w:hAnsi="Times New Roman" w:cs="Times New Roman"/>
          <w:b/>
          <w:bCs/>
          <w:color w:val="auto"/>
          <w:sz w:val="28"/>
          <w:szCs w:val="28"/>
        </w:rPr>
        <w:t>Reference</w:t>
      </w:r>
      <w:bookmarkEnd w:id="17"/>
    </w:p>
    <w:p w14:paraId="55EB42F3" w14:textId="102B9AF7" w:rsidR="00947363" w:rsidRDefault="00947363" w:rsidP="00F34601">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Alkaraan</w:t>
      </w:r>
      <w:proofErr w:type="spellEnd"/>
      <w:r w:rsidRPr="00713490">
        <w:rPr>
          <w:rFonts w:ascii="Times New Roman" w:hAnsi="Times New Roman" w:cs="Times New Roman"/>
          <w:color w:val="222222"/>
          <w:sz w:val="24"/>
          <w:szCs w:val="24"/>
          <w:shd w:val="clear" w:color="auto" w:fill="FFFFFF"/>
        </w:rPr>
        <w:t>, F. and Northcott, D., 2013. Strategic investment decision-making processes: The influence of contextual factors. </w:t>
      </w:r>
      <w:proofErr w:type="spellStart"/>
      <w:r w:rsidRPr="00713490">
        <w:rPr>
          <w:rFonts w:ascii="Times New Roman" w:hAnsi="Times New Roman" w:cs="Times New Roman"/>
          <w:i/>
          <w:iCs/>
          <w:color w:val="222222"/>
          <w:sz w:val="24"/>
          <w:szCs w:val="24"/>
          <w:shd w:val="clear" w:color="auto" w:fill="FFFFFF"/>
        </w:rPr>
        <w:t>Meditari</w:t>
      </w:r>
      <w:proofErr w:type="spellEnd"/>
      <w:r w:rsidRPr="00713490">
        <w:rPr>
          <w:rFonts w:ascii="Times New Roman" w:hAnsi="Times New Roman" w:cs="Times New Roman"/>
          <w:i/>
          <w:iCs/>
          <w:color w:val="222222"/>
          <w:sz w:val="24"/>
          <w:szCs w:val="24"/>
          <w:shd w:val="clear" w:color="auto" w:fill="FFFFFF"/>
        </w:rPr>
        <w:t xml:space="preserve"> Accountancy Research</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21</w:t>
      </w:r>
      <w:r w:rsidRPr="00713490">
        <w:rPr>
          <w:rFonts w:ascii="Times New Roman" w:hAnsi="Times New Roman" w:cs="Times New Roman"/>
          <w:color w:val="222222"/>
          <w:sz w:val="24"/>
          <w:szCs w:val="24"/>
          <w:shd w:val="clear" w:color="auto" w:fill="FFFFFF"/>
        </w:rPr>
        <w:t>(2), pp.117-143.</w:t>
      </w:r>
    </w:p>
    <w:p w14:paraId="5A4848A6" w14:textId="3BEEDEEF"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Anthony, E.L. ed., 1960. </w:t>
      </w:r>
      <w:r w:rsidRPr="00713490">
        <w:rPr>
          <w:rFonts w:ascii="Times New Roman" w:hAnsi="Times New Roman" w:cs="Times New Roman"/>
          <w:i/>
          <w:iCs/>
          <w:color w:val="222222"/>
          <w:sz w:val="24"/>
          <w:szCs w:val="24"/>
          <w:shd w:val="clear" w:color="auto" w:fill="FFFFFF"/>
        </w:rPr>
        <w:t>Equity Capital and Small Business</w:t>
      </w:r>
      <w:r w:rsidRPr="00713490">
        <w:rPr>
          <w:rFonts w:ascii="Times New Roman" w:hAnsi="Times New Roman" w:cs="Times New Roman"/>
          <w:color w:val="222222"/>
          <w:sz w:val="24"/>
          <w:szCs w:val="24"/>
          <w:shd w:val="clear" w:color="auto" w:fill="FFFFFF"/>
        </w:rPr>
        <w:t> (No. 24). Small Business Administration.</w:t>
      </w:r>
    </w:p>
    <w:p w14:paraId="1DD85EB3" w14:textId="361E2407"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Arshad, A., 2012. Net present </w:t>
      </w:r>
      <w:proofErr w:type="gramStart"/>
      <w:r w:rsidRPr="00713490">
        <w:rPr>
          <w:rFonts w:ascii="Times New Roman" w:hAnsi="Times New Roman" w:cs="Times New Roman"/>
          <w:color w:val="222222"/>
          <w:sz w:val="24"/>
          <w:szCs w:val="24"/>
          <w:shd w:val="clear" w:color="auto" w:fill="FFFFFF"/>
        </w:rPr>
        <w:t>value</w:t>
      </w:r>
      <w:proofErr w:type="gramEnd"/>
      <w:r w:rsidRPr="00713490">
        <w:rPr>
          <w:rFonts w:ascii="Times New Roman" w:hAnsi="Times New Roman" w:cs="Times New Roman"/>
          <w:color w:val="222222"/>
          <w:sz w:val="24"/>
          <w:szCs w:val="24"/>
          <w:shd w:val="clear" w:color="auto" w:fill="FFFFFF"/>
        </w:rPr>
        <w:t xml:space="preserve"> is better than internal rate of return. </w:t>
      </w:r>
      <w:r w:rsidRPr="00713490">
        <w:rPr>
          <w:rFonts w:ascii="Times New Roman" w:hAnsi="Times New Roman" w:cs="Times New Roman"/>
          <w:i/>
          <w:iCs/>
          <w:color w:val="222222"/>
          <w:sz w:val="24"/>
          <w:szCs w:val="24"/>
          <w:shd w:val="clear" w:color="auto" w:fill="FFFFFF"/>
        </w:rPr>
        <w:t>Interdisciplinary journal of contemporary research in business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4</w:t>
      </w:r>
      <w:r w:rsidRPr="00713490">
        <w:rPr>
          <w:rFonts w:ascii="Times New Roman" w:hAnsi="Times New Roman" w:cs="Times New Roman"/>
          <w:color w:val="222222"/>
          <w:sz w:val="24"/>
          <w:szCs w:val="24"/>
          <w:shd w:val="clear" w:color="auto" w:fill="FFFFFF"/>
        </w:rPr>
        <w:t>(8), pp.211-219.</w:t>
      </w:r>
    </w:p>
    <w:p w14:paraId="3D590253" w14:textId="6E8F53D1" w:rsidR="00947363" w:rsidRDefault="00947363"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Babalola, Y.A. and Abiola, F.R., 2013. Financial ratio analysis of firms: A tool for decision making. </w:t>
      </w:r>
      <w:r w:rsidRPr="00713490">
        <w:rPr>
          <w:rFonts w:ascii="Times New Roman" w:hAnsi="Times New Roman" w:cs="Times New Roman"/>
          <w:i/>
          <w:iCs/>
          <w:color w:val="222222"/>
          <w:sz w:val="24"/>
          <w:szCs w:val="24"/>
          <w:shd w:val="clear" w:color="auto" w:fill="FFFFFF"/>
        </w:rPr>
        <w:t>International journal of management sciences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1</w:t>
      </w:r>
      <w:r w:rsidRPr="00713490">
        <w:rPr>
          <w:rFonts w:ascii="Times New Roman" w:hAnsi="Times New Roman" w:cs="Times New Roman"/>
          <w:color w:val="222222"/>
          <w:sz w:val="24"/>
          <w:szCs w:val="24"/>
          <w:shd w:val="clear" w:color="auto" w:fill="FFFFFF"/>
        </w:rPr>
        <w:t>(4), pp.132-137.</w:t>
      </w:r>
    </w:p>
    <w:p w14:paraId="48BB545B" w14:textId="201E20D5" w:rsidR="00947363" w:rsidRDefault="00947363"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Baker, H.K. ed., 2009. </w:t>
      </w:r>
      <w:r w:rsidRPr="00713490">
        <w:rPr>
          <w:rFonts w:ascii="Times New Roman" w:hAnsi="Times New Roman" w:cs="Times New Roman"/>
          <w:i/>
          <w:iCs/>
          <w:color w:val="222222"/>
          <w:sz w:val="24"/>
          <w:szCs w:val="24"/>
          <w:shd w:val="clear" w:color="auto" w:fill="FFFFFF"/>
        </w:rPr>
        <w:t>Dividends and dividend policy</w:t>
      </w:r>
      <w:r w:rsidRPr="00713490">
        <w:rPr>
          <w:rFonts w:ascii="Times New Roman" w:hAnsi="Times New Roman" w:cs="Times New Roman"/>
          <w:color w:val="222222"/>
          <w:sz w:val="24"/>
          <w:szCs w:val="24"/>
          <w:shd w:val="clear" w:color="auto" w:fill="FFFFFF"/>
        </w:rPr>
        <w:t> (Vol. 1). John Wiley &amp; Sons.</w:t>
      </w:r>
    </w:p>
    <w:p w14:paraId="5604793C" w14:textId="739ED55E"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Barry, P.J. and Robison, L.J., 2014. Economic rates of return and investment analysis. </w:t>
      </w:r>
      <w:r w:rsidRPr="00713490">
        <w:rPr>
          <w:rFonts w:ascii="Times New Roman" w:hAnsi="Times New Roman" w:cs="Times New Roman"/>
          <w:i/>
          <w:iCs/>
          <w:color w:val="222222"/>
          <w:sz w:val="24"/>
          <w:szCs w:val="24"/>
          <w:shd w:val="clear" w:color="auto" w:fill="FFFFFF"/>
        </w:rPr>
        <w:t>The engineering economist</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59</w:t>
      </w:r>
      <w:r w:rsidRPr="00713490">
        <w:rPr>
          <w:rFonts w:ascii="Times New Roman" w:hAnsi="Times New Roman" w:cs="Times New Roman"/>
          <w:color w:val="222222"/>
          <w:sz w:val="24"/>
          <w:szCs w:val="24"/>
          <w:shd w:val="clear" w:color="auto" w:fill="FFFFFF"/>
        </w:rPr>
        <w:t>(3), pp.231-236.</w:t>
      </w:r>
    </w:p>
    <w:p w14:paraId="2F6C73FB" w14:textId="607F79B7" w:rsidR="00947363" w:rsidRDefault="00947363"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Bei, Z. and </w:t>
      </w:r>
      <w:proofErr w:type="spellStart"/>
      <w:r w:rsidRPr="00713490">
        <w:rPr>
          <w:rFonts w:ascii="Times New Roman" w:hAnsi="Times New Roman" w:cs="Times New Roman"/>
          <w:color w:val="222222"/>
          <w:sz w:val="24"/>
          <w:szCs w:val="24"/>
          <w:shd w:val="clear" w:color="auto" w:fill="FFFFFF"/>
        </w:rPr>
        <w:t>Wijewardana</w:t>
      </w:r>
      <w:proofErr w:type="spellEnd"/>
      <w:r w:rsidRPr="00713490">
        <w:rPr>
          <w:rFonts w:ascii="Times New Roman" w:hAnsi="Times New Roman" w:cs="Times New Roman"/>
          <w:color w:val="222222"/>
          <w:sz w:val="24"/>
          <w:szCs w:val="24"/>
          <w:shd w:val="clear" w:color="auto" w:fill="FFFFFF"/>
        </w:rPr>
        <w:t>, W.P., 2012. Financial leverage, firm growth and financial strength in the listed companies in Sri Lanka. </w:t>
      </w:r>
      <w:r w:rsidRPr="00713490">
        <w:rPr>
          <w:rFonts w:ascii="Times New Roman" w:hAnsi="Times New Roman" w:cs="Times New Roman"/>
          <w:i/>
          <w:iCs/>
          <w:color w:val="222222"/>
          <w:sz w:val="24"/>
          <w:szCs w:val="24"/>
          <w:shd w:val="clear" w:color="auto" w:fill="FFFFFF"/>
        </w:rPr>
        <w:t>Procedia-social and behavioral sciences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40</w:t>
      </w:r>
      <w:r w:rsidRPr="00713490">
        <w:rPr>
          <w:rFonts w:ascii="Times New Roman" w:hAnsi="Times New Roman" w:cs="Times New Roman"/>
          <w:color w:val="222222"/>
          <w:sz w:val="24"/>
          <w:szCs w:val="24"/>
          <w:shd w:val="clear" w:color="auto" w:fill="FFFFFF"/>
        </w:rPr>
        <w:t>, pp.709-715.</w:t>
      </w:r>
    </w:p>
    <w:p w14:paraId="79B54504" w14:textId="74DCDCC2" w:rsidR="00F34601" w:rsidRDefault="00F34601" w:rsidP="00F34601">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Benamraoui</w:t>
      </w:r>
      <w:proofErr w:type="spellEnd"/>
      <w:r w:rsidRPr="00713490">
        <w:rPr>
          <w:rFonts w:ascii="Times New Roman" w:hAnsi="Times New Roman" w:cs="Times New Roman"/>
          <w:color w:val="222222"/>
          <w:sz w:val="24"/>
          <w:szCs w:val="24"/>
          <w:shd w:val="clear" w:color="auto" w:fill="FFFFFF"/>
        </w:rPr>
        <w:t xml:space="preserve">, A., Jory, S.R., </w:t>
      </w:r>
      <w:proofErr w:type="spellStart"/>
      <w:r w:rsidRPr="00713490">
        <w:rPr>
          <w:rFonts w:ascii="Times New Roman" w:hAnsi="Times New Roman" w:cs="Times New Roman"/>
          <w:color w:val="222222"/>
          <w:sz w:val="24"/>
          <w:szCs w:val="24"/>
          <w:shd w:val="clear" w:color="auto" w:fill="FFFFFF"/>
        </w:rPr>
        <w:t>Boojihawon</w:t>
      </w:r>
      <w:proofErr w:type="spellEnd"/>
      <w:r w:rsidRPr="00713490">
        <w:rPr>
          <w:rFonts w:ascii="Times New Roman" w:hAnsi="Times New Roman" w:cs="Times New Roman"/>
          <w:color w:val="222222"/>
          <w:sz w:val="24"/>
          <w:szCs w:val="24"/>
          <w:shd w:val="clear" w:color="auto" w:fill="FFFFFF"/>
        </w:rPr>
        <w:t xml:space="preserve">, D.R. and </w:t>
      </w:r>
      <w:proofErr w:type="spellStart"/>
      <w:r w:rsidRPr="00713490">
        <w:rPr>
          <w:rFonts w:ascii="Times New Roman" w:hAnsi="Times New Roman" w:cs="Times New Roman"/>
          <w:color w:val="222222"/>
          <w:sz w:val="24"/>
          <w:szCs w:val="24"/>
          <w:shd w:val="clear" w:color="auto" w:fill="FFFFFF"/>
        </w:rPr>
        <w:t>Madichie</w:t>
      </w:r>
      <w:proofErr w:type="spellEnd"/>
      <w:r w:rsidRPr="00713490">
        <w:rPr>
          <w:rFonts w:ascii="Times New Roman" w:hAnsi="Times New Roman" w:cs="Times New Roman"/>
          <w:color w:val="222222"/>
          <w:sz w:val="24"/>
          <w:szCs w:val="24"/>
          <w:shd w:val="clear" w:color="auto" w:fill="FFFFFF"/>
        </w:rPr>
        <w:t>, N.O., 2016. Net present value analysis and the wealth creation process: a case illustration. </w:t>
      </w:r>
      <w:r w:rsidRPr="00713490">
        <w:rPr>
          <w:rFonts w:ascii="Times New Roman" w:hAnsi="Times New Roman" w:cs="Times New Roman"/>
          <w:i/>
          <w:iCs/>
          <w:color w:val="222222"/>
          <w:sz w:val="24"/>
          <w:szCs w:val="24"/>
          <w:shd w:val="clear" w:color="auto" w:fill="FFFFFF"/>
        </w:rPr>
        <w:t>The Accounting Educators' Journal</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26</w:t>
      </w:r>
      <w:r w:rsidRPr="00713490">
        <w:rPr>
          <w:rFonts w:ascii="Times New Roman" w:hAnsi="Times New Roman" w:cs="Times New Roman"/>
          <w:color w:val="222222"/>
          <w:sz w:val="24"/>
          <w:szCs w:val="24"/>
          <w:shd w:val="clear" w:color="auto" w:fill="FFFFFF"/>
        </w:rPr>
        <w:t>.</w:t>
      </w:r>
    </w:p>
    <w:p w14:paraId="55D2F18C" w14:textId="5CADC633" w:rsidR="00F34601" w:rsidRDefault="00F34601" w:rsidP="00F34601">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Bialowolski</w:t>
      </w:r>
      <w:proofErr w:type="spellEnd"/>
      <w:r w:rsidRPr="00713490">
        <w:rPr>
          <w:rFonts w:ascii="Times New Roman" w:hAnsi="Times New Roman" w:cs="Times New Roman"/>
          <w:color w:val="222222"/>
          <w:sz w:val="24"/>
          <w:szCs w:val="24"/>
          <w:shd w:val="clear" w:color="auto" w:fill="FFFFFF"/>
        </w:rPr>
        <w:t xml:space="preserve">, P. and </w:t>
      </w:r>
      <w:proofErr w:type="spellStart"/>
      <w:r w:rsidRPr="00713490">
        <w:rPr>
          <w:rFonts w:ascii="Times New Roman" w:hAnsi="Times New Roman" w:cs="Times New Roman"/>
          <w:color w:val="222222"/>
          <w:sz w:val="24"/>
          <w:szCs w:val="24"/>
          <w:shd w:val="clear" w:color="auto" w:fill="FFFFFF"/>
        </w:rPr>
        <w:t>Weziak-Bialowolska</w:t>
      </w:r>
      <w:proofErr w:type="spellEnd"/>
      <w:r w:rsidRPr="00713490">
        <w:rPr>
          <w:rFonts w:ascii="Times New Roman" w:hAnsi="Times New Roman" w:cs="Times New Roman"/>
          <w:color w:val="222222"/>
          <w:sz w:val="24"/>
          <w:szCs w:val="24"/>
          <w:shd w:val="clear" w:color="auto" w:fill="FFFFFF"/>
        </w:rPr>
        <w:t>, D., 2014. External factors affecting investment decisions of companies. </w:t>
      </w:r>
      <w:r w:rsidRPr="00713490">
        <w:rPr>
          <w:rFonts w:ascii="Times New Roman" w:hAnsi="Times New Roman" w:cs="Times New Roman"/>
          <w:i/>
          <w:iCs/>
          <w:color w:val="222222"/>
          <w:sz w:val="24"/>
          <w:szCs w:val="24"/>
          <w:shd w:val="clear" w:color="auto" w:fill="FFFFFF"/>
        </w:rPr>
        <w:t>Economics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8</w:t>
      </w:r>
      <w:r w:rsidRPr="00713490">
        <w:rPr>
          <w:rFonts w:ascii="Times New Roman" w:hAnsi="Times New Roman" w:cs="Times New Roman"/>
          <w:color w:val="222222"/>
          <w:sz w:val="24"/>
          <w:szCs w:val="24"/>
          <w:shd w:val="clear" w:color="auto" w:fill="FFFFFF"/>
        </w:rPr>
        <w:t>(1), p.20140011.</w:t>
      </w:r>
    </w:p>
    <w:p w14:paraId="11997343" w14:textId="25BCFF64"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Bierman Jr, H. and Smidt, S., 2012. </w:t>
      </w:r>
      <w:r w:rsidRPr="00713490">
        <w:rPr>
          <w:rFonts w:ascii="Times New Roman" w:hAnsi="Times New Roman" w:cs="Times New Roman"/>
          <w:i/>
          <w:iCs/>
          <w:color w:val="222222"/>
          <w:sz w:val="24"/>
          <w:szCs w:val="24"/>
          <w:shd w:val="clear" w:color="auto" w:fill="FFFFFF"/>
        </w:rPr>
        <w:t>The capital budgeting decision: economic analysis of investment projects</w:t>
      </w:r>
      <w:r w:rsidRPr="00713490">
        <w:rPr>
          <w:rFonts w:ascii="Times New Roman" w:hAnsi="Times New Roman" w:cs="Times New Roman"/>
          <w:color w:val="222222"/>
          <w:sz w:val="24"/>
          <w:szCs w:val="24"/>
          <w:shd w:val="clear" w:color="auto" w:fill="FFFFFF"/>
        </w:rPr>
        <w:t>. Routledge.</w:t>
      </w:r>
    </w:p>
    <w:p w14:paraId="7F1EEF87" w14:textId="1CE52F4E"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Brealey, R.A., Myers, S.C. and Allen, F., 2014. </w:t>
      </w:r>
      <w:r w:rsidRPr="00713490">
        <w:rPr>
          <w:rFonts w:ascii="Times New Roman" w:hAnsi="Times New Roman" w:cs="Times New Roman"/>
          <w:i/>
          <w:iCs/>
          <w:color w:val="222222"/>
          <w:sz w:val="24"/>
          <w:szCs w:val="24"/>
          <w:shd w:val="clear" w:color="auto" w:fill="FFFFFF"/>
        </w:rPr>
        <w:t>Principles of corporate finance</w:t>
      </w:r>
      <w:r w:rsidRPr="00713490">
        <w:rPr>
          <w:rFonts w:ascii="Times New Roman" w:hAnsi="Times New Roman" w:cs="Times New Roman"/>
          <w:color w:val="222222"/>
          <w:sz w:val="24"/>
          <w:szCs w:val="24"/>
          <w:shd w:val="clear" w:color="auto" w:fill="FFFFFF"/>
        </w:rPr>
        <w:t xml:space="preserve">. </w:t>
      </w:r>
      <w:proofErr w:type="spellStart"/>
      <w:r w:rsidRPr="00713490">
        <w:rPr>
          <w:rFonts w:ascii="Times New Roman" w:hAnsi="Times New Roman" w:cs="Times New Roman"/>
          <w:color w:val="222222"/>
          <w:sz w:val="24"/>
          <w:szCs w:val="24"/>
          <w:shd w:val="clear" w:color="auto" w:fill="FFFFFF"/>
        </w:rPr>
        <w:t>McGraw-hill</w:t>
      </w:r>
      <w:proofErr w:type="spellEnd"/>
      <w:r w:rsidRPr="00713490">
        <w:rPr>
          <w:rFonts w:ascii="Times New Roman" w:hAnsi="Times New Roman" w:cs="Times New Roman"/>
          <w:color w:val="222222"/>
          <w:sz w:val="24"/>
          <w:szCs w:val="24"/>
          <w:shd w:val="clear" w:color="auto" w:fill="FFFFFF"/>
        </w:rPr>
        <w:t>.</w:t>
      </w:r>
    </w:p>
    <w:p w14:paraId="1F54874C" w14:textId="1B83A469" w:rsidR="00947363" w:rsidRDefault="00947363"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Breuer, A., </w:t>
      </w:r>
      <w:proofErr w:type="spellStart"/>
      <w:r w:rsidRPr="00713490">
        <w:rPr>
          <w:rFonts w:ascii="Times New Roman" w:hAnsi="Times New Roman" w:cs="Times New Roman"/>
          <w:color w:val="222222"/>
          <w:sz w:val="24"/>
          <w:szCs w:val="24"/>
          <w:shd w:val="clear" w:color="auto" w:fill="FFFFFF"/>
        </w:rPr>
        <w:t>Frumusanu</w:t>
      </w:r>
      <w:proofErr w:type="spellEnd"/>
      <w:r w:rsidRPr="00713490">
        <w:rPr>
          <w:rFonts w:ascii="Times New Roman" w:hAnsi="Times New Roman" w:cs="Times New Roman"/>
          <w:color w:val="222222"/>
          <w:sz w:val="24"/>
          <w:szCs w:val="24"/>
          <w:shd w:val="clear" w:color="auto" w:fill="FFFFFF"/>
        </w:rPr>
        <w:t>, M.L., Breuer, B.L. and Manciu, A., 2012. Cash and liquidity/liquidity and liquidity ratio. </w:t>
      </w:r>
      <w:r w:rsidRPr="00713490">
        <w:rPr>
          <w:rFonts w:ascii="Times New Roman" w:hAnsi="Times New Roman" w:cs="Times New Roman"/>
          <w:i/>
          <w:iCs/>
          <w:color w:val="222222"/>
          <w:sz w:val="24"/>
          <w:szCs w:val="24"/>
          <w:shd w:val="clear" w:color="auto" w:fill="FFFFFF"/>
        </w:rPr>
        <w:t>Annals-Economy Series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4</w:t>
      </w:r>
      <w:r w:rsidRPr="00713490">
        <w:rPr>
          <w:rFonts w:ascii="Times New Roman" w:hAnsi="Times New Roman" w:cs="Times New Roman"/>
          <w:color w:val="222222"/>
          <w:sz w:val="24"/>
          <w:szCs w:val="24"/>
          <w:shd w:val="clear" w:color="auto" w:fill="FFFFFF"/>
        </w:rPr>
        <w:t>, pp.78-82.</w:t>
      </w:r>
    </w:p>
    <w:p w14:paraId="24472172" w14:textId="4A321184" w:rsidR="00947363" w:rsidRDefault="00947363"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Bucci, R.V. and Bucci, R.V., 2014. Financial Ratios. </w:t>
      </w:r>
      <w:r w:rsidRPr="00713490">
        <w:rPr>
          <w:rFonts w:ascii="Times New Roman" w:hAnsi="Times New Roman" w:cs="Times New Roman"/>
          <w:i/>
          <w:iCs/>
          <w:color w:val="222222"/>
          <w:sz w:val="24"/>
          <w:szCs w:val="24"/>
          <w:shd w:val="clear" w:color="auto" w:fill="FFFFFF"/>
        </w:rPr>
        <w:t>Medicine and Business: A Practitioner's Guide</w:t>
      </w:r>
      <w:r w:rsidRPr="00713490">
        <w:rPr>
          <w:rFonts w:ascii="Times New Roman" w:hAnsi="Times New Roman" w:cs="Times New Roman"/>
          <w:color w:val="222222"/>
          <w:sz w:val="24"/>
          <w:szCs w:val="24"/>
          <w:shd w:val="clear" w:color="auto" w:fill="FFFFFF"/>
        </w:rPr>
        <w:t>, pp.69-78.</w:t>
      </w:r>
    </w:p>
    <w:p w14:paraId="48DFA1EF" w14:textId="13970B70"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Coad, A. and Guenther, C., 2013. Diversification patterns and survival as firms mature. </w:t>
      </w:r>
      <w:r w:rsidRPr="00713490">
        <w:rPr>
          <w:rFonts w:ascii="Times New Roman" w:hAnsi="Times New Roman" w:cs="Times New Roman"/>
          <w:i/>
          <w:iCs/>
          <w:color w:val="222222"/>
          <w:sz w:val="24"/>
          <w:szCs w:val="24"/>
          <w:shd w:val="clear" w:color="auto" w:fill="FFFFFF"/>
        </w:rPr>
        <w:t>Small Business Economics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41</w:t>
      </w:r>
      <w:r w:rsidRPr="00713490">
        <w:rPr>
          <w:rFonts w:ascii="Times New Roman" w:hAnsi="Times New Roman" w:cs="Times New Roman"/>
          <w:color w:val="222222"/>
          <w:sz w:val="24"/>
          <w:szCs w:val="24"/>
          <w:shd w:val="clear" w:color="auto" w:fill="FFFFFF"/>
        </w:rPr>
        <w:t>, pp.633-649.</w:t>
      </w:r>
    </w:p>
    <w:p w14:paraId="6C811F69" w14:textId="72434542"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Cordes, J.J. and </w:t>
      </w:r>
      <w:proofErr w:type="spellStart"/>
      <w:r w:rsidRPr="00713490">
        <w:rPr>
          <w:rFonts w:ascii="Times New Roman" w:hAnsi="Times New Roman" w:cs="Times New Roman"/>
          <w:color w:val="222222"/>
          <w:sz w:val="24"/>
          <w:szCs w:val="24"/>
          <w:shd w:val="clear" w:color="auto" w:fill="FFFFFF"/>
        </w:rPr>
        <w:t>Sheffrin</w:t>
      </w:r>
      <w:proofErr w:type="spellEnd"/>
      <w:r w:rsidRPr="00713490">
        <w:rPr>
          <w:rFonts w:ascii="Times New Roman" w:hAnsi="Times New Roman" w:cs="Times New Roman"/>
          <w:color w:val="222222"/>
          <w:sz w:val="24"/>
          <w:szCs w:val="24"/>
          <w:shd w:val="clear" w:color="auto" w:fill="FFFFFF"/>
        </w:rPr>
        <w:t>, S.M., 1983. Estimating the tax advantage of corporate debt. </w:t>
      </w:r>
      <w:r w:rsidRPr="00713490">
        <w:rPr>
          <w:rFonts w:ascii="Times New Roman" w:hAnsi="Times New Roman" w:cs="Times New Roman"/>
          <w:i/>
          <w:iCs/>
          <w:color w:val="222222"/>
          <w:sz w:val="24"/>
          <w:szCs w:val="24"/>
          <w:shd w:val="clear" w:color="auto" w:fill="FFFFFF"/>
        </w:rPr>
        <w:t>The Journal of Finance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38</w:t>
      </w:r>
      <w:r w:rsidRPr="00713490">
        <w:rPr>
          <w:rFonts w:ascii="Times New Roman" w:hAnsi="Times New Roman" w:cs="Times New Roman"/>
          <w:color w:val="222222"/>
          <w:sz w:val="24"/>
          <w:szCs w:val="24"/>
          <w:shd w:val="clear" w:color="auto" w:fill="FFFFFF"/>
        </w:rPr>
        <w:t>(1), pp.95-105.</w:t>
      </w:r>
    </w:p>
    <w:p w14:paraId="19C4F029" w14:textId="396D9D9B"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De Wet, J., 2006. Determining the optimal capital structure: a practical contemporary approach. </w:t>
      </w:r>
      <w:proofErr w:type="spellStart"/>
      <w:r w:rsidRPr="00713490">
        <w:rPr>
          <w:rFonts w:ascii="Times New Roman" w:hAnsi="Times New Roman" w:cs="Times New Roman"/>
          <w:i/>
          <w:iCs/>
          <w:color w:val="222222"/>
          <w:sz w:val="24"/>
          <w:szCs w:val="24"/>
          <w:shd w:val="clear" w:color="auto" w:fill="FFFFFF"/>
        </w:rPr>
        <w:t>Meditari</w:t>
      </w:r>
      <w:proofErr w:type="spellEnd"/>
      <w:r w:rsidRPr="00713490">
        <w:rPr>
          <w:rFonts w:ascii="Times New Roman" w:hAnsi="Times New Roman" w:cs="Times New Roman"/>
          <w:i/>
          <w:iCs/>
          <w:color w:val="222222"/>
          <w:sz w:val="24"/>
          <w:szCs w:val="24"/>
          <w:shd w:val="clear" w:color="auto" w:fill="FFFFFF"/>
        </w:rPr>
        <w:t>: Research Journal of the School of Accounting Sciences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14</w:t>
      </w:r>
      <w:r w:rsidRPr="00713490">
        <w:rPr>
          <w:rFonts w:ascii="Times New Roman" w:hAnsi="Times New Roman" w:cs="Times New Roman"/>
          <w:color w:val="222222"/>
          <w:sz w:val="24"/>
          <w:szCs w:val="24"/>
          <w:shd w:val="clear" w:color="auto" w:fill="FFFFFF"/>
        </w:rPr>
        <w:t>(2), pp.1-16.</w:t>
      </w:r>
    </w:p>
    <w:p w14:paraId="1469B3DB" w14:textId="77777777"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lastRenderedPageBreak/>
        <w:t>Dhaliwal, D., Heitzman, S. and Zhen Li, O.L.I.V.E.R., 2006. Taxes, leverage, and the cost of equity capital. </w:t>
      </w:r>
      <w:r w:rsidRPr="00713490">
        <w:rPr>
          <w:rFonts w:ascii="Times New Roman" w:hAnsi="Times New Roman" w:cs="Times New Roman"/>
          <w:i/>
          <w:iCs/>
          <w:color w:val="222222"/>
          <w:sz w:val="24"/>
          <w:szCs w:val="24"/>
          <w:shd w:val="clear" w:color="auto" w:fill="FFFFFF"/>
        </w:rPr>
        <w:t>Journal of Accounting Research</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44</w:t>
      </w:r>
      <w:r w:rsidRPr="00713490">
        <w:rPr>
          <w:rFonts w:ascii="Times New Roman" w:hAnsi="Times New Roman" w:cs="Times New Roman"/>
          <w:color w:val="222222"/>
          <w:sz w:val="24"/>
          <w:szCs w:val="24"/>
          <w:shd w:val="clear" w:color="auto" w:fill="FFFFFF"/>
        </w:rPr>
        <w:t>(4), pp.691-723.</w:t>
      </w:r>
    </w:p>
    <w:p w14:paraId="6846959E" w14:textId="1874AC31"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Dornbusch, R., 1989. Debt problems and the world macroeconomy. In </w:t>
      </w:r>
      <w:r w:rsidRPr="00713490">
        <w:rPr>
          <w:rFonts w:ascii="Times New Roman" w:hAnsi="Times New Roman" w:cs="Times New Roman"/>
          <w:i/>
          <w:iCs/>
          <w:color w:val="222222"/>
          <w:sz w:val="24"/>
          <w:szCs w:val="24"/>
          <w:shd w:val="clear" w:color="auto" w:fill="FFFFFF"/>
        </w:rPr>
        <w:t>Developing Country Debt and Economic Performance, Volume 1: The International Financial System</w:t>
      </w:r>
      <w:r w:rsidRPr="00713490">
        <w:rPr>
          <w:rFonts w:ascii="Times New Roman" w:hAnsi="Times New Roman" w:cs="Times New Roman"/>
          <w:color w:val="222222"/>
          <w:sz w:val="24"/>
          <w:szCs w:val="24"/>
          <w:shd w:val="clear" w:color="auto" w:fill="FFFFFF"/>
        </w:rPr>
        <w:t> (pp. 331-358). University of Chicago Press.</w:t>
      </w:r>
    </w:p>
    <w:p w14:paraId="4EFE8F4B" w14:textId="7E2CFE72" w:rsidR="00947363" w:rsidRDefault="00947363"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Drury, C. and </w:t>
      </w:r>
      <w:proofErr w:type="spellStart"/>
      <w:r w:rsidRPr="00713490">
        <w:rPr>
          <w:rFonts w:ascii="Times New Roman" w:hAnsi="Times New Roman" w:cs="Times New Roman"/>
          <w:color w:val="222222"/>
          <w:sz w:val="24"/>
          <w:szCs w:val="24"/>
          <w:shd w:val="clear" w:color="auto" w:fill="FFFFFF"/>
        </w:rPr>
        <w:t>Tayles</w:t>
      </w:r>
      <w:proofErr w:type="spellEnd"/>
      <w:r w:rsidRPr="00713490">
        <w:rPr>
          <w:rFonts w:ascii="Times New Roman" w:hAnsi="Times New Roman" w:cs="Times New Roman"/>
          <w:color w:val="222222"/>
          <w:sz w:val="24"/>
          <w:szCs w:val="24"/>
          <w:shd w:val="clear" w:color="auto" w:fill="FFFFFF"/>
        </w:rPr>
        <w:t>, M., 2006. Profitability analysis in UK organizations: an exploratory study. </w:t>
      </w:r>
      <w:r w:rsidRPr="00713490">
        <w:rPr>
          <w:rFonts w:ascii="Times New Roman" w:hAnsi="Times New Roman" w:cs="Times New Roman"/>
          <w:i/>
          <w:iCs/>
          <w:color w:val="222222"/>
          <w:sz w:val="24"/>
          <w:szCs w:val="24"/>
          <w:shd w:val="clear" w:color="auto" w:fill="FFFFFF"/>
        </w:rPr>
        <w:t>The British Accounting Review</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38</w:t>
      </w:r>
      <w:r w:rsidRPr="00713490">
        <w:rPr>
          <w:rFonts w:ascii="Times New Roman" w:hAnsi="Times New Roman" w:cs="Times New Roman"/>
          <w:color w:val="222222"/>
          <w:sz w:val="24"/>
          <w:szCs w:val="24"/>
          <w:shd w:val="clear" w:color="auto" w:fill="FFFFFF"/>
        </w:rPr>
        <w:t>(4), pp.405-425.</w:t>
      </w:r>
    </w:p>
    <w:p w14:paraId="1F2A582C" w14:textId="01EB49EC" w:rsidR="00947363" w:rsidRDefault="00947363" w:rsidP="00F34601">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Ehiedu</w:t>
      </w:r>
      <w:proofErr w:type="spellEnd"/>
      <w:r w:rsidRPr="00713490">
        <w:rPr>
          <w:rFonts w:ascii="Times New Roman" w:hAnsi="Times New Roman" w:cs="Times New Roman"/>
          <w:color w:val="222222"/>
          <w:sz w:val="24"/>
          <w:szCs w:val="24"/>
          <w:shd w:val="clear" w:color="auto" w:fill="FFFFFF"/>
        </w:rPr>
        <w:t>, V.C., 2014. The impact of liquidity on profitability of some selected companies: The financial statement analysis (FSA) approach. </w:t>
      </w:r>
      <w:r w:rsidRPr="00713490">
        <w:rPr>
          <w:rFonts w:ascii="Times New Roman" w:hAnsi="Times New Roman" w:cs="Times New Roman"/>
          <w:i/>
          <w:iCs/>
          <w:color w:val="222222"/>
          <w:sz w:val="24"/>
          <w:szCs w:val="24"/>
          <w:shd w:val="clear" w:color="auto" w:fill="FFFFFF"/>
        </w:rPr>
        <w:t>Research journal of finance and accounting</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5</w:t>
      </w:r>
      <w:r w:rsidRPr="00713490">
        <w:rPr>
          <w:rFonts w:ascii="Times New Roman" w:hAnsi="Times New Roman" w:cs="Times New Roman"/>
          <w:color w:val="222222"/>
          <w:sz w:val="24"/>
          <w:szCs w:val="24"/>
          <w:shd w:val="clear" w:color="auto" w:fill="FFFFFF"/>
        </w:rPr>
        <w:t>(5), pp.81-90.</w:t>
      </w:r>
    </w:p>
    <w:p w14:paraId="78027947" w14:textId="77777777" w:rsidR="00F34601" w:rsidRDefault="00F34601" w:rsidP="00F34601">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Emmanuel, C., Harris, E. and Komakech, S., 2010. Towards a better understanding of capital investment decisions. </w:t>
      </w:r>
      <w:r w:rsidRPr="00713490">
        <w:rPr>
          <w:rFonts w:ascii="Times New Roman" w:hAnsi="Times New Roman" w:cs="Times New Roman"/>
          <w:i/>
          <w:iCs/>
          <w:color w:val="222222"/>
          <w:sz w:val="24"/>
          <w:szCs w:val="24"/>
          <w:shd w:val="clear" w:color="auto" w:fill="FFFFFF"/>
        </w:rPr>
        <w:t>Journal of Accounting &amp; Organizational Change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6</w:t>
      </w:r>
      <w:r w:rsidRPr="00713490">
        <w:rPr>
          <w:rFonts w:ascii="Times New Roman" w:hAnsi="Times New Roman" w:cs="Times New Roman"/>
          <w:color w:val="222222"/>
          <w:sz w:val="24"/>
          <w:szCs w:val="24"/>
          <w:shd w:val="clear" w:color="auto" w:fill="FFFFFF"/>
        </w:rPr>
        <w:t>(4), pp.477-504.</w:t>
      </w:r>
    </w:p>
    <w:p w14:paraId="63CF1FDC" w14:textId="3EEFD515" w:rsidR="00947363" w:rsidRDefault="00947363" w:rsidP="00947363">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Faello</w:t>
      </w:r>
      <w:proofErr w:type="spellEnd"/>
      <w:r w:rsidRPr="00713490">
        <w:rPr>
          <w:rFonts w:ascii="Times New Roman" w:hAnsi="Times New Roman" w:cs="Times New Roman"/>
          <w:color w:val="222222"/>
          <w:sz w:val="24"/>
          <w:szCs w:val="24"/>
          <w:shd w:val="clear" w:color="auto" w:fill="FFFFFF"/>
        </w:rPr>
        <w:t>, J., 2015. Understanding the limitations of financial ratios. </w:t>
      </w:r>
      <w:r w:rsidRPr="00713490">
        <w:rPr>
          <w:rFonts w:ascii="Times New Roman" w:hAnsi="Times New Roman" w:cs="Times New Roman"/>
          <w:i/>
          <w:iCs/>
          <w:color w:val="222222"/>
          <w:sz w:val="24"/>
          <w:szCs w:val="24"/>
          <w:shd w:val="clear" w:color="auto" w:fill="FFFFFF"/>
        </w:rPr>
        <w:t>Academy of accounting and financial studies journal</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19</w:t>
      </w:r>
      <w:r w:rsidRPr="00713490">
        <w:rPr>
          <w:rFonts w:ascii="Times New Roman" w:hAnsi="Times New Roman" w:cs="Times New Roman"/>
          <w:color w:val="222222"/>
          <w:sz w:val="24"/>
          <w:szCs w:val="24"/>
          <w:shd w:val="clear" w:color="auto" w:fill="FFFFFF"/>
        </w:rPr>
        <w:t>(3), p.75.</w:t>
      </w:r>
    </w:p>
    <w:p w14:paraId="11CE6DE2" w14:textId="0807BFE6"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Gallo, A., 2014. A refresher on net present value. </w:t>
      </w:r>
      <w:r w:rsidRPr="00713490">
        <w:rPr>
          <w:rFonts w:ascii="Times New Roman" w:hAnsi="Times New Roman" w:cs="Times New Roman"/>
          <w:i/>
          <w:iCs/>
          <w:color w:val="222222"/>
          <w:sz w:val="24"/>
          <w:szCs w:val="24"/>
          <w:shd w:val="clear" w:color="auto" w:fill="FFFFFF"/>
        </w:rPr>
        <w:t>Harvard Business Review</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19</w:t>
      </w:r>
      <w:r w:rsidRPr="00713490">
        <w:rPr>
          <w:rFonts w:ascii="Times New Roman" w:hAnsi="Times New Roman" w:cs="Times New Roman"/>
          <w:color w:val="222222"/>
          <w:sz w:val="24"/>
          <w:szCs w:val="24"/>
          <w:shd w:val="clear" w:color="auto" w:fill="FFFFFF"/>
        </w:rPr>
        <w:t>, pp.1-6.</w:t>
      </w:r>
    </w:p>
    <w:p w14:paraId="2C599C45" w14:textId="4DF65356"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Gitman, L.J., </w:t>
      </w:r>
      <w:proofErr w:type="spellStart"/>
      <w:r w:rsidRPr="00713490">
        <w:rPr>
          <w:rFonts w:ascii="Times New Roman" w:hAnsi="Times New Roman" w:cs="Times New Roman"/>
          <w:color w:val="222222"/>
          <w:sz w:val="24"/>
          <w:szCs w:val="24"/>
          <w:shd w:val="clear" w:color="auto" w:fill="FFFFFF"/>
        </w:rPr>
        <w:t>Juchau</w:t>
      </w:r>
      <w:proofErr w:type="spellEnd"/>
      <w:r w:rsidRPr="00713490">
        <w:rPr>
          <w:rFonts w:ascii="Times New Roman" w:hAnsi="Times New Roman" w:cs="Times New Roman"/>
          <w:color w:val="222222"/>
          <w:sz w:val="24"/>
          <w:szCs w:val="24"/>
          <w:shd w:val="clear" w:color="auto" w:fill="FFFFFF"/>
        </w:rPr>
        <w:t>, R. and Flanagan, J., 2015. </w:t>
      </w:r>
      <w:r w:rsidRPr="00713490">
        <w:rPr>
          <w:rFonts w:ascii="Times New Roman" w:hAnsi="Times New Roman" w:cs="Times New Roman"/>
          <w:i/>
          <w:iCs/>
          <w:color w:val="222222"/>
          <w:sz w:val="24"/>
          <w:szCs w:val="24"/>
          <w:shd w:val="clear" w:color="auto" w:fill="FFFFFF"/>
        </w:rPr>
        <w:t>Principles of managerial finance</w:t>
      </w:r>
      <w:r w:rsidRPr="00713490">
        <w:rPr>
          <w:rFonts w:ascii="Times New Roman" w:hAnsi="Times New Roman" w:cs="Times New Roman"/>
          <w:color w:val="222222"/>
          <w:sz w:val="24"/>
          <w:szCs w:val="24"/>
          <w:shd w:val="clear" w:color="auto" w:fill="FFFFFF"/>
        </w:rPr>
        <w:t>. Pearson Higher Education AU.</w:t>
      </w:r>
    </w:p>
    <w:p w14:paraId="4D28167B" w14:textId="47870460"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Holden, C.W., Jacobsen, S. and Subrahmanyam, A., 2014. The empirical analysis of liquidity. </w:t>
      </w:r>
      <w:r w:rsidRPr="00713490">
        <w:rPr>
          <w:rFonts w:ascii="Times New Roman" w:hAnsi="Times New Roman" w:cs="Times New Roman"/>
          <w:i/>
          <w:iCs/>
          <w:color w:val="222222"/>
          <w:sz w:val="24"/>
          <w:szCs w:val="24"/>
          <w:shd w:val="clear" w:color="auto" w:fill="FFFFFF"/>
        </w:rPr>
        <w:t>Foundations and Trends® in Finance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8</w:t>
      </w:r>
      <w:r w:rsidRPr="00713490">
        <w:rPr>
          <w:rFonts w:ascii="Times New Roman" w:hAnsi="Times New Roman" w:cs="Times New Roman"/>
          <w:color w:val="222222"/>
          <w:sz w:val="24"/>
          <w:szCs w:val="24"/>
          <w:shd w:val="clear" w:color="auto" w:fill="FFFFFF"/>
        </w:rPr>
        <w:t>(4), pp.263-365.</w:t>
      </w:r>
    </w:p>
    <w:p w14:paraId="21BFA387" w14:textId="25D4AC95"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Jordan, B.D., Ross, S.A. and </w:t>
      </w:r>
      <w:proofErr w:type="spellStart"/>
      <w:r w:rsidRPr="00713490">
        <w:rPr>
          <w:rFonts w:ascii="Times New Roman" w:hAnsi="Times New Roman" w:cs="Times New Roman"/>
          <w:color w:val="222222"/>
          <w:sz w:val="24"/>
          <w:szCs w:val="24"/>
          <w:shd w:val="clear" w:color="auto" w:fill="FFFFFF"/>
        </w:rPr>
        <w:t>Westerfield</w:t>
      </w:r>
      <w:proofErr w:type="spellEnd"/>
      <w:r w:rsidRPr="00713490">
        <w:rPr>
          <w:rFonts w:ascii="Times New Roman" w:hAnsi="Times New Roman" w:cs="Times New Roman"/>
          <w:color w:val="222222"/>
          <w:sz w:val="24"/>
          <w:szCs w:val="24"/>
          <w:shd w:val="clear" w:color="auto" w:fill="FFFFFF"/>
        </w:rPr>
        <w:t>, R.W., 2003. </w:t>
      </w:r>
      <w:r w:rsidRPr="00713490">
        <w:rPr>
          <w:rFonts w:ascii="Times New Roman" w:hAnsi="Times New Roman" w:cs="Times New Roman"/>
          <w:i/>
          <w:iCs/>
          <w:color w:val="222222"/>
          <w:sz w:val="24"/>
          <w:szCs w:val="24"/>
          <w:shd w:val="clear" w:color="auto" w:fill="FFFFFF"/>
        </w:rPr>
        <w:t>Fundamentals of corporate finance</w:t>
      </w:r>
      <w:r w:rsidRPr="00713490">
        <w:rPr>
          <w:rFonts w:ascii="Times New Roman" w:hAnsi="Times New Roman" w:cs="Times New Roman"/>
          <w:color w:val="222222"/>
          <w:sz w:val="24"/>
          <w:szCs w:val="24"/>
          <w:shd w:val="clear" w:color="auto" w:fill="FFFFFF"/>
        </w:rPr>
        <w:t>. McGraw Hill.</w:t>
      </w:r>
    </w:p>
    <w:p w14:paraId="6AEDA492" w14:textId="060F1B62"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Karmazin, V.A. and Bondar, A.O., 2013. The advantages and disadvantages of financing with preferred and common stock. </w:t>
      </w:r>
      <w:proofErr w:type="spellStart"/>
      <w:r w:rsidRPr="00713490">
        <w:rPr>
          <w:rFonts w:ascii="Times New Roman" w:hAnsi="Times New Roman" w:cs="Times New Roman"/>
          <w:i/>
          <w:iCs/>
          <w:color w:val="222222"/>
          <w:sz w:val="24"/>
          <w:szCs w:val="24"/>
          <w:shd w:val="clear" w:color="auto" w:fill="FFFFFF"/>
        </w:rPr>
        <w:t>Економічний</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вісник</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Національного</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технічного</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університету</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України</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Київський</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політехнічний</w:t>
      </w:r>
      <w:proofErr w:type="spellEnd"/>
      <w:r w:rsidRPr="00713490">
        <w:rPr>
          <w:rFonts w:ascii="Times New Roman" w:hAnsi="Times New Roman" w:cs="Times New Roman"/>
          <w:i/>
          <w:iCs/>
          <w:color w:val="222222"/>
          <w:sz w:val="24"/>
          <w:szCs w:val="24"/>
          <w:shd w:val="clear" w:color="auto" w:fill="FFFFFF"/>
        </w:rPr>
        <w:t xml:space="preserve"> </w:t>
      </w:r>
      <w:proofErr w:type="spellStart"/>
      <w:r w:rsidRPr="00713490">
        <w:rPr>
          <w:rFonts w:ascii="Times New Roman" w:hAnsi="Times New Roman" w:cs="Times New Roman"/>
          <w:i/>
          <w:iCs/>
          <w:color w:val="222222"/>
          <w:sz w:val="24"/>
          <w:szCs w:val="24"/>
          <w:shd w:val="clear" w:color="auto" w:fill="FFFFFF"/>
        </w:rPr>
        <w:t>інститут</w:t>
      </w:r>
      <w:proofErr w:type="spellEnd"/>
      <w:r w:rsidRPr="00713490">
        <w:rPr>
          <w:rFonts w:ascii="Times New Roman" w:hAnsi="Times New Roman" w:cs="Times New Roman"/>
          <w:color w:val="222222"/>
          <w:sz w:val="24"/>
          <w:szCs w:val="24"/>
          <w:shd w:val="clear" w:color="auto" w:fill="FFFFFF"/>
        </w:rPr>
        <w:t>, (10), pp.241-244.</w:t>
      </w:r>
    </w:p>
    <w:p w14:paraId="65364F9C" w14:textId="5F4C13C1"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Khan, S., Ahmad Anuar, M., Ramakrishnan, S. and Muhammad, M., 2015. A study on the effect of dividend Payout ratio and firm profitability. </w:t>
      </w:r>
      <w:r w:rsidRPr="00713490">
        <w:rPr>
          <w:rFonts w:ascii="Times New Roman" w:hAnsi="Times New Roman" w:cs="Times New Roman"/>
          <w:i/>
          <w:iCs/>
          <w:color w:val="222222"/>
          <w:sz w:val="24"/>
          <w:szCs w:val="24"/>
          <w:shd w:val="clear" w:color="auto" w:fill="FFFFFF"/>
        </w:rPr>
        <w:t>Sci. Int (Lahore)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27</w:t>
      </w:r>
      <w:r w:rsidRPr="00713490">
        <w:rPr>
          <w:rFonts w:ascii="Times New Roman" w:hAnsi="Times New Roman" w:cs="Times New Roman"/>
          <w:color w:val="222222"/>
          <w:sz w:val="24"/>
          <w:szCs w:val="24"/>
          <w:shd w:val="clear" w:color="auto" w:fill="FFFFFF"/>
        </w:rPr>
        <w:t>(2), pp.1403-1406.</w:t>
      </w:r>
    </w:p>
    <w:p w14:paraId="049EBB44" w14:textId="27F65D62" w:rsidR="00947363" w:rsidRDefault="00947363" w:rsidP="00947363">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Kieso</w:t>
      </w:r>
      <w:proofErr w:type="spellEnd"/>
      <w:r w:rsidRPr="00713490">
        <w:rPr>
          <w:rFonts w:ascii="Times New Roman" w:hAnsi="Times New Roman" w:cs="Times New Roman"/>
          <w:color w:val="222222"/>
          <w:sz w:val="24"/>
          <w:szCs w:val="24"/>
          <w:shd w:val="clear" w:color="auto" w:fill="FFFFFF"/>
        </w:rPr>
        <w:t>, D.E., Weygandt, J.J., Warfield, T.D., Wiecek, I.M. and McConomy, B.J., 2019. </w:t>
      </w:r>
      <w:r w:rsidRPr="00713490">
        <w:rPr>
          <w:rFonts w:ascii="Times New Roman" w:hAnsi="Times New Roman" w:cs="Times New Roman"/>
          <w:i/>
          <w:iCs/>
          <w:color w:val="222222"/>
          <w:sz w:val="24"/>
          <w:szCs w:val="24"/>
          <w:shd w:val="clear" w:color="auto" w:fill="FFFFFF"/>
        </w:rPr>
        <w:t>Intermediate Accounting, Volume 2</w:t>
      </w:r>
      <w:r w:rsidRPr="00713490">
        <w:rPr>
          <w:rFonts w:ascii="Times New Roman" w:hAnsi="Times New Roman" w:cs="Times New Roman"/>
          <w:color w:val="222222"/>
          <w:sz w:val="24"/>
          <w:szCs w:val="24"/>
          <w:shd w:val="clear" w:color="auto" w:fill="FFFFFF"/>
        </w:rPr>
        <w:t>. John Wiley &amp; Sons.</w:t>
      </w:r>
    </w:p>
    <w:p w14:paraId="234B0ABD" w14:textId="7A5F950E"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Kose, M.A., </w:t>
      </w:r>
      <w:proofErr w:type="spellStart"/>
      <w:r w:rsidRPr="00713490">
        <w:rPr>
          <w:rFonts w:ascii="Times New Roman" w:hAnsi="Times New Roman" w:cs="Times New Roman"/>
          <w:color w:val="222222"/>
          <w:sz w:val="24"/>
          <w:szCs w:val="24"/>
          <w:shd w:val="clear" w:color="auto" w:fill="FFFFFF"/>
        </w:rPr>
        <w:t>Ohnsorge</w:t>
      </w:r>
      <w:proofErr w:type="spellEnd"/>
      <w:r w:rsidRPr="00713490">
        <w:rPr>
          <w:rFonts w:ascii="Times New Roman" w:hAnsi="Times New Roman" w:cs="Times New Roman"/>
          <w:color w:val="222222"/>
          <w:sz w:val="24"/>
          <w:szCs w:val="24"/>
          <w:shd w:val="clear" w:color="auto" w:fill="FFFFFF"/>
        </w:rPr>
        <w:t>, F. and Sugawara, N., 2020. Benefits and costs of debt: The dose makes the poison.</w:t>
      </w:r>
    </w:p>
    <w:p w14:paraId="6C09F3AD" w14:textId="03617566"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Krylov, E.I., Vlasova, V.M. and </w:t>
      </w:r>
      <w:proofErr w:type="spellStart"/>
      <w:r w:rsidRPr="00713490">
        <w:rPr>
          <w:rFonts w:ascii="Times New Roman" w:hAnsi="Times New Roman" w:cs="Times New Roman"/>
          <w:color w:val="222222"/>
          <w:sz w:val="24"/>
          <w:szCs w:val="24"/>
          <w:shd w:val="clear" w:color="auto" w:fill="FFFFFF"/>
        </w:rPr>
        <w:t>Vorobiova</w:t>
      </w:r>
      <w:proofErr w:type="spellEnd"/>
      <w:r w:rsidRPr="00713490">
        <w:rPr>
          <w:rFonts w:ascii="Times New Roman" w:hAnsi="Times New Roman" w:cs="Times New Roman"/>
          <w:color w:val="222222"/>
          <w:sz w:val="24"/>
          <w:szCs w:val="24"/>
          <w:shd w:val="clear" w:color="auto" w:fill="FFFFFF"/>
        </w:rPr>
        <w:t xml:space="preserve">, L.S., 2020. Fixed Assets Turnover Ratio Factor Analysis </w:t>
      </w:r>
      <w:proofErr w:type="gramStart"/>
      <w:r w:rsidRPr="00713490">
        <w:rPr>
          <w:rFonts w:ascii="Times New Roman" w:hAnsi="Times New Roman" w:cs="Times New Roman"/>
          <w:color w:val="222222"/>
          <w:sz w:val="24"/>
          <w:szCs w:val="24"/>
          <w:shd w:val="clear" w:color="auto" w:fill="FFFFFF"/>
        </w:rPr>
        <w:t>For</w:t>
      </w:r>
      <w:proofErr w:type="gramEnd"/>
      <w:r w:rsidRPr="00713490">
        <w:rPr>
          <w:rFonts w:ascii="Times New Roman" w:hAnsi="Times New Roman" w:cs="Times New Roman"/>
          <w:color w:val="222222"/>
          <w:sz w:val="24"/>
          <w:szCs w:val="24"/>
          <w:shd w:val="clear" w:color="auto" w:fill="FFFFFF"/>
        </w:rPr>
        <w:t xml:space="preserve"> Hi-Tech Equipment. </w:t>
      </w:r>
      <w:r w:rsidRPr="00713490">
        <w:rPr>
          <w:rFonts w:ascii="Times New Roman" w:hAnsi="Times New Roman" w:cs="Times New Roman"/>
          <w:i/>
          <w:iCs/>
          <w:color w:val="222222"/>
          <w:sz w:val="24"/>
          <w:szCs w:val="24"/>
          <w:shd w:val="clear" w:color="auto" w:fill="FFFFFF"/>
        </w:rPr>
        <w:t xml:space="preserve">European Proceedings of Social and </w:t>
      </w:r>
      <w:proofErr w:type="spellStart"/>
      <w:r w:rsidRPr="00713490">
        <w:rPr>
          <w:rFonts w:ascii="Times New Roman" w:hAnsi="Times New Roman" w:cs="Times New Roman"/>
          <w:i/>
          <w:iCs/>
          <w:color w:val="222222"/>
          <w:sz w:val="24"/>
          <w:szCs w:val="24"/>
          <w:shd w:val="clear" w:color="auto" w:fill="FFFFFF"/>
        </w:rPr>
        <w:t>Behavioural</w:t>
      </w:r>
      <w:proofErr w:type="spellEnd"/>
      <w:r w:rsidRPr="00713490">
        <w:rPr>
          <w:rFonts w:ascii="Times New Roman" w:hAnsi="Times New Roman" w:cs="Times New Roman"/>
          <w:i/>
          <w:iCs/>
          <w:color w:val="222222"/>
          <w:sz w:val="24"/>
          <w:szCs w:val="24"/>
          <w:shd w:val="clear" w:color="auto" w:fill="FFFFFF"/>
        </w:rPr>
        <w:t xml:space="preserve"> Sciences</w:t>
      </w:r>
      <w:r w:rsidRPr="00713490">
        <w:rPr>
          <w:rFonts w:ascii="Times New Roman" w:hAnsi="Times New Roman" w:cs="Times New Roman"/>
          <w:color w:val="222222"/>
          <w:sz w:val="24"/>
          <w:szCs w:val="24"/>
          <w:shd w:val="clear" w:color="auto" w:fill="FFFFFF"/>
        </w:rPr>
        <w:t>.</w:t>
      </w:r>
    </w:p>
    <w:p w14:paraId="702CC841" w14:textId="022C6B3A"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Leland, H.E., 1994. Corporate debt value, bond covenants, and optimal capital structure. </w:t>
      </w:r>
      <w:r w:rsidRPr="00713490">
        <w:rPr>
          <w:rFonts w:ascii="Times New Roman" w:hAnsi="Times New Roman" w:cs="Times New Roman"/>
          <w:i/>
          <w:iCs/>
          <w:color w:val="222222"/>
          <w:sz w:val="24"/>
          <w:szCs w:val="24"/>
          <w:shd w:val="clear" w:color="auto" w:fill="FFFFFF"/>
        </w:rPr>
        <w:t>The journal of finance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49</w:t>
      </w:r>
      <w:r w:rsidRPr="00713490">
        <w:rPr>
          <w:rFonts w:ascii="Times New Roman" w:hAnsi="Times New Roman" w:cs="Times New Roman"/>
          <w:color w:val="222222"/>
          <w:sz w:val="24"/>
          <w:szCs w:val="24"/>
          <w:shd w:val="clear" w:color="auto" w:fill="FFFFFF"/>
        </w:rPr>
        <w:t>(4), pp.1213-1252.</w:t>
      </w:r>
    </w:p>
    <w:p w14:paraId="7D1A529A" w14:textId="1E2FBD78"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lastRenderedPageBreak/>
        <w:t>Magni, C.A., 2009. Investment decisions, net present value and bounded rationality. </w:t>
      </w:r>
      <w:r w:rsidRPr="00713490">
        <w:rPr>
          <w:rFonts w:ascii="Times New Roman" w:hAnsi="Times New Roman" w:cs="Times New Roman"/>
          <w:i/>
          <w:iCs/>
          <w:color w:val="222222"/>
          <w:sz w:val="24"/>
          <w:szCs w:val="24"/>
          <w:shd w:val="clear" w:color="auto" w:fill="FFFFFF"/>
        </w:rPr>
        <w:t>Quantitative Finance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9</w:t>
      </w:r>
      <w:r w:rsidRPr="00713490">
        <w:rPr>
          <w:rFonts w:ascii="Times New Roman" w:hAnsi="Times New Roman" w:cs="Times New Roman"/>
          <w:color w:val="222222"/>
          <w:sz w:val="24"/>
          <w:szCs w:val="24"/>
          <w:shd w:val="clear" w:color="auto" w:fill="FFFFFF"/>
        </w:rPr>
        <w:t>(8), pp.967-979.</w:t>
      </w:r>
    </w:p>
    <w:p w14:paraId="4363A88D" w14:textId="4546E7DC"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Margaritis, D. and </w:t>
      </w:r>
      <w:proofErr w:type="spellStart"/>
      <w:r w:rsidRPr="00713490">
        <w:rPr>
          <w:rFonts w:ascii="Times New Roman" w:hAnsi="Times New Roman" w:cs="Times New Roman"/>
          <w:color w:val="222222"/>
          <w:sz w:val="24"/>
          <w:szCs w:val="24"/>
          <w:shd w:val="clear" w:color="auto" w:fill="FFFFFF"/>
        </w:rPr>
        <w:t>Psillaki</w:t>
      </w:r>
      <w:proofErr w:type="spellEnd"/>
      <w:r w:rsidRPr="00713490">
        <w:rPr>
          <w:rFonts w:ascii="Times New Roman" w:hAnsi="Times New Roman" w:cs="Times New Roman"/>
          <w:color w:val="222222"/>
          <w:sz w:val="24"/>
          <w:szCs w:val="24"/>
          <w:shd w:val="clear" w:color="auto" w:fill="FFFFFF"/>
        </w:rPr>
        <w:t>, M., 2007. Capital structure and firm efficiency. </w:t>
      </w:r>
      <w:r w:rsidRPr="00713490">
        <w:rPr>
          <w:rFonts w:ascii="Times New Roman" w:hAnsi="Times New Roman" w:cs="Times New Roman"/>
          <w:i/>
          <w:iCs/>
          <w:color w:val="222222"/>
          <w:sz w:val="24"/>
          <w:szCs w:val="24"/>
          <w:shd w:val="clear" w:color="auto" w:fill="FFFFFF"/>
        </w:rPr>
        <w:t>Journal of Business finance &amp; accounting</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34</w:t>
      </w:r>
      <w:r w:rsidRPr="00713490">
        <w:rPr>
          <w:rFonts w:ascii="Times New Roman" w:hAnsi="Times New Roman" w:cs="Times New Roman"/>
          <w:color w:val="222222"/>
          <w:sz w:val="24"/>
          <w:szCs w:val="24"/>
          <w:shd w:val="clear" w:color="auto" w:fill="FFFFFF"/>
        </w:rPr>
        <w:t>(9‐10), pp.1447-1469.</w:t>
      </w:r>
    </w:p>
    <w:p w14:paraId="4C39B75E" w14:textId="7B0D4C53"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Monea, M., 2019. Asset management ratios. </w:t>
      </w:r>
      <w:r w:rsidRPr="00713490">
        <w:rPr>
          <w:rFonts w:ascii="Times New Roman" w:hAnsi="Times New Roman" w:cs="Times New Roman"/>
          <w:i/>
          <w:iCs/>
          <w:color w:val="222222"/>
          <w:sz w:val="24"/>
          <w:szCs w:val="24"/>
          <w:shd w:val="clear" w:color="auto" w:fill="FFFFFF"/>
        </w:rPr>
        <w:t xml:space="preserve">Annals of the University of </w:t>
      </w:r>
      <w:proofErr w:type="spellStart"/>
      <w:r w:rsidRPr="00713490">
        <w:rPr>
          <w:rFonts w:ascii="Times New Roman" w:hAnsi="Times New Roman" w:cs="Times New Roman"/>
          <w:i/>
          <w:iCs/>
          <w:color w:val="222222"/>
          <w:sz w:val="24"/>
          <w:szCs w:val="24"/>
          <w:shd w:val="clear" w:color="auto" w:fill="FFFFFF"/>
        </w:rPr>
        <w:t>Petroşani</w:t>
      </w:r>
      <w:proofErr w:type="spellEnd"/>
      <w:r w:rsidRPr="00713490">
        <w:rPr>
          <w:rFonts w:ascii="Times New Roman" w:hAnsi="Times New Roman" w:cs="Times New Roman"/>
          <w:i/>
          <w:iCs/>
          <w:color w:val="222222"/>
          <w:sz w:val="24"/>
          <w:szCs w:val="24"/>
          <w:shd w:val="clear" w:color="auto" w:fill="FFFFFF"/>
        </w:rPr>
        <w:t>. Economics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19</w:t>
      </w:r>
      <w:r w:rsidRPr="00713490">
        <w:rPr>
          <w:rFonts w:ascii="Times New Roman" w:hAnsi="Times New Roman" w:cs="Times New Roman"/>
          <w:color w:val="222222"/>
          <w:sz w:val="24"/>
          <w:szCs w:val="24"/>
          <w:shd w:val="clear" w:color="auto" w:fill="FFFFFF"/>
        </w:rPr>
        <w:t>(2), pp.63-70.</w:t>
      </w:r>
    </w:p>
    <w:p w14:paraId="73619AAE" w14:textId="2B178994"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 xml:space="preserve">Naranjo, A., </w:t>
      </w:r>
      <w:proofErr w:type="spellStart"/>
      <w:r w:rsidRPr="00713490">
        <w:rPr>
          <w:rFonts w:ascii="Times New Roman" w:hAnsi="Times New Roman" w:cs="Times New Roman"/>
          <w:color w:val="222222"/>
          <w:sz w:val="24"/>
          <w:szCs w:val="24"/>
          <w:shd w:val="clear" w:color="auto" w:fill="FFFFFF"/>
        </w:rPr>
        <w:t>Nimalendran</w:t>
      </w:r>
      <w:proofErr w:type="spellEnd"/>
      <w:r w:rsidRPr="00713490">
        <w:rPr>
          <w:rFonts w:ascii="Times New Roman" w:hAnsi="Times New Roman" w:cs="Times New Roman"/>
          <w:color w:val="222222"/>
          <w:sz w:val="24"/>
          <w:szCs w:val="24"/>
          <w:shd w:val="clear" w:color="auto" w:fill="FFFFFF"/>
        </w:rPr>
        <w:t xml:space="preserve">, M. and </w:t>
      </w:r>
      <w:proofErr w:type="spellStart"/>
      <w:r w:rsidRPr="00713490">
        <w:rPr>
          <w:rFonts w:ascii="Times New Roman" w:hAnsi="Times New Roman" w:cs="Times New Roman"/>
          <w:color w:val="222222"/>
          <w:sz w:val="24"/>
          <w:szCs w:val="24"/>
          <w:shd w:val="clear" w:color="auto" w:fill="FFFFFF"/>
        </w:rPr>
        <w:t>Ryngaert</w:t>
      </w:r>
      <w:proofErr w:type="spellEnd"/>
      <w:r w:rsidRPr="00713490">
        <w:rPr>
          <w:rFonts w:ascii="Times New Roman" w:hAnsi="Times New Roman" w:cs="Times New Roman"/>
          <w:color w:val="222222"/>
          <w:sz w:val="24"/>
          <w:szCs w:val="24"/>
          <w:shd w:val="clear" w:color="auto" w:fill="FFFFFF"/>
        </w:rPr>
        <w:t>, M., 1998. Stock returns, dividend yields, and taxes. </w:t>
      </w:r>
      <w:r w:rsidRPr="00713490">
        <w:rPr>
          <w:rFonts w:ascii="Times New Roman" w:hAnsi="Times New Roman" w:cs="Times New Roman"/>
          <w:i/>
          <w:iCs/>
          <w:color w:val="222222"/>
          <w:sz w:val="24"/>
          <w:szCs w:val="24"/>
          <w:shd w:val="clear" w:color="auto" w:fill="FFFFFF"/>
        </w:rPr>
        <w:t>The Journal of Finance</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53</w:t>
      </w:r>
      <w:r w:rsidRPr="00713490">
        <w:rPr>
          <w:rFonts w:ascii="Times New Roman" w:hAnsi="Times New Roman" w:cs="Times New Roman"/>
          <w:color w:val="222222"/>
          <w:sz w:val="24"/>
          <w:szCs w:val="24"/>
          <w:shd w:val="clear" w:color="auto" w:fill="FFFFFF"/>
        </w:rPr>
        <w:t>(6), pp.2029-2057.</w:t>
      </w:r>
    </w:p>
    <w:p w14:paraId="4105ADBC" w14:textId="76C3B3BE"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Needles, B.E., Powers, M. and Crosson, S.V., 2011. </w:t>
      </w:r>
      <w:r w:rsidRPr="00713490">
        <w:rPr>
          <w:rFonts w:ascii="Times New Roman" w:hAnsi="Times New Roman" w:cs="Times New Roman"/>
          <w:i/>
          <w:iCs/>
          <w:color w:val="222222"/>
          <w:sz w:val="24"/>
          <w:szCs w:val="24"/>
          <w:shd w:val="clear" w:color="auto" w:fill="FFFFFF"/>
        </w:rPr>
        <w:t>Principles of accounting</w:t>
      </w:r>
      <w:r w:rsidRPr="00713490">
        <w:rPr>
          <w:rFonts w:ascii="Times New Roman" w:hAnsi="Times New Roman" w:cs="Times New Roman"/>
          <w:color w:val="222222"/>
          <w:sz w:val="24"/>
          <w:szCs w:val="24"/>
          <w:shd w:val="clear" w:color="auto" w:fill="FFFFFF"/>
        </w:rPr>
        <w:t>. Cengage Learning.</w:t>
      </w:r>
    </w:p>
    <w:p w14:paraId="37727F3C" w14:textId="381773E8"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Nickell, S.J., 1978. </w:t>
      </w:r>
      <w:r w:rsidRPr="00713490">
        <w:rPr>
          <w:rFonts w:ascii="Times New Roman" w:hAnsi="Times New Roman" w:cs="Times New Roman"/>
          <w:i/>
          <w:iCs/>
          <w:color w:val="222222"/>
          <w:sz w:val="24"/>
          <w:szCs w:val="24"/>
          <w:shd w:val="clear" w:color="auto" w:fill="FFFFFF"/>
        </w:rPr>
        <w:t>The investment decisions of firms</w:t>
      </w:r>
      <w:r w:rsidRPr="00713490">
        <w:rPr>
          <w:rFonts w:ascii="Times New Roman" w:hAnsi="Times New Roman" w:cs="Times New Roman"/>
          <w:color w:val="222222"/>
          <w:sz w:val="24"/>
          <w:szCs w:val="24"/>
          <w:shd w:val="clear" w:color="auto" w:fill="FFFFFF"/>
        </w:rPr>
        <w:t>. CUP Archive.</w:t>
      </w:r>
    </w:p>
    <w:p w14:paraId="76C65D07" w14:textId="018E1C99"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Paton, W.A., 1928. Limitations of financial and operating ratios. </w:t>
      </w:r>
      <w:r w:rsidRPr="00713490">
        <w:rPr>
          <w:rFonts w:ascii="Times New Roman" w:hAnsi="Times New Roman" w:cs="Times New Roman"/>
          <w:i/>
          <w:iCs/>
          <w:color w:val="222222"/>
          <w:sz w:val="24"/>
          <w:szCs w:val="24"/>
          <w:shd w:val="clear" w:color="auto" w:fill="FFFFFF"/>
        </w:rPr>
        <w:t>Accounting Review</w:t>
      </w:r>
      <w:r w:rsidRPr="00713490">
        <w:rPr>
          <w:rFonts w:ascii="Times New Roman" w:hAnsi="Times New Roman" w:cs="Times New Roman"/>
          <w:color w:val="222222"/>
          <w:sz w:val="24"/>
          <w:szCs w:val="24"/>
          <w:shd w:val="clear" w:color="auto" w:fill="FFFFFF"/>
        </w:rPr>
        <w:t>, pp.252-260.</w:t>
      </w:r>
    </w:p>
    <w:p w14:paraId="43EBDD18" w14:textId="7741132D"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Rist, M. and Pizzica, A.J., 2014. </w:t>
      </w:r>
      <w:r w:rsidRPr="00713490">
        <w:rPr>
          <w:rFonts w:ascii="Times New Roman" w:hAnsi="Times New Roman" w:cs="Times New Roman"/>
          <w:i/>
          <w:iCs/>
          <w:color w:val="222222"/>
          <w:sz w:val="24"/>
          <w:szCs w:val="24"/>
          <w:shd w:val="clear" w:color="auto" w:fill="FFFFFF"/>
        </w:rPr>
        <w:t>Financial ratios for executives: How to assess company strength, fix problems, and make better decisions</w:t>
      </w:r>
      <w:r w:rsidRPr="00713490">
        <w:rPr>
          <w:rFonts w:ascii="Times New Roman" w:hAnsi="Times New Roman" w:cs="Times New Roman"/>
          <w:color w:val="222222"/>
          <w:sz w:val="24"/>
          <w:szCs w:val="24"/>
          <w:shd w:val="clear" w:color="auto" w:fill="FFFFFF"/>
        </w:rPr>
        <w:t xml:space="preserve">. </w:t>
      </w:r>
      <w:proofErr w:type="spellStart"/>
      <w:r w:rsidRPr="00713490">
        <w:rPr>
          <w:rFonts w:ascii="Times New Roman" w:hAnsi="Times New Roman" w:cs="Times New Roman"/>
          <w:color w:val="222222"/>
          <w:sz w:val="24"/>
          <w:szCs w:val="24"/>
          <w:shd w:val="clear" w:color="auto" w:fill="FFFFFF"/>
        </w:rPr>
        <w:t>Apress</w:t>
      </w:r>
      <w:proofErr w:type="spellEnd"/>
      <w:r w:rsidRPr="00713490">
        <w:rPr>
          <w:rFonts w:ascii="Times New Roman" w:hAnsi="Times New Roman" w:cs="Times New Roman"/>
          <w:color w:val="222222"/>
          <w:sz w:val="24"/>
          <w:szCs w:val="24"/>
          <w:shd w:val="clear" w:color="auto" w:fill="FFFFFF"/>
        </w:rPr>
        <w:t>.</w:t>
      </w:r>
    </w:p>
    <w:p w14:paraId="0F1EEFB9" w14:textId="68E1AD58"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Sagner, J.S., 2010. </w:t>
      </w:r>
      <w:r w:rsidRPr="00713490">
        <w:rPr>
          <w:rFonts w:ascii="Times New Roman" w:hAnsi="Times New Roman" w:cs="Times New Roman"/>
          <w:i/>
          <w:iCs/>
          <w:color w:val="222222"/>
          <w:sz w:val="24"/>
          <w:szCs w:val="24"/>
          <w:shd w:val="clear" w:color="auto" w:fill="FFFFFF"/>
        </w:rPr>
        <w:t>Essentials of working capital management</w:t>
      </w:r>
      <w:r w:rsidRPr="00713490">
        <w:rPr>
          <w:rFonts w:ascii="Times New Roman" w:hAnsi="Times New Roman" w:cs="Times New Roman"/>
          <w:color w:val="222222"/>
          <w:sz w:val="24"/>
          <w:szCs w:val="24"/>
          <w:shd w:val="clear" w:color="auto" w:fill="FFFFFF"/>
        </w:rPr>
        <w:t> (Vol. 55). John Wiley &amp; Sons.</w:t>
      </w:r>
    </w:p>
    <w:p w14:paraId="739E8619" w14:textId="34C3E55B"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Spiller, S.A., 2011. Opportunity cost consideration. </w:t>
      </w:r>
      <w:r w:rsidRPr="00713490">
        <w:rPr>
          <w:rFonts w:ascii="Times New Roman" w:hAnsi="Times New Roman" w:cs="Times New Roman"/>
          <w:i/>
          <w:iCs/>
          <w:color w:val="222222"/>
          <w:sz w:val="24"/>
          <w:szCs w:val="24"/>
          <w:shd w:val="clear" w:color="auto" w:fill="FFFFFF"/>
        </w:rPr>
        <w:t>Journal of Consumer Research</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38</w:t>
      </w:r>
      <w:r w:rsidRPr="00713490">
        <w:rPr>
          <w:rFonts w:ascii="Times New Roman" w:hAnsi="Times New Roman" w:cs="Times New Roman"/>
          <w:color w:val="222222"/>
          <w:sz w:val="24"/>
          <w:szCs w:val="24"/>
          <w:shd w:val="clear" w:color="auto" w:fill="FFFFFF"/>
        </w:rPr>
        <w:t>(4), pp.595-610.</w:t>
      </w:r>
    </w:p>
    <w:p w14:paraId="5A42AC79" w14:textId="0E225F63" w:rsidR="00947363" w:rsidRDefault="00947363" w:rsidP="00947363">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Stupnytska</w:t>
      </w:r>
      <w:proofErr w:type="spellEnd"/>
      <w:r w:rsidRPr="00713490">
        <w:rPr>
          <w:rFonts w:ascii="Times New Roman" w:hAnsi="Times New Roman" w:cs="Times New Roman"/>
          <w:color w:val="222222"/>
          <w:sz w:val="24"/>
          <w:szCs w:val="24"/>
          <w:shd w:val="clear" w:color="auto" w:fill="FFFFFF"/>
        </w:rPr>
        <w:t xml:space="preserve">, T., </w:t>
      </w:r>
      <w:proofErr w:type="spellStart"/>
      <w:r w:rsidRPr="00713490">
        <w:rPr>
          <w:rFonts w:ascii="Times New Roman" w:hAnsi="Times New Roman" w:cs="Times New Roman"/>
          <w:color w:val="222222"/>
          <w:sz w:val="24"/>
          <w:szCs w:val="24"/>
          <w:shd w:val="clear" w:color="auto" w:fill="FFFFFF"/>
        </w:rPr>
        <w:t>Kalaman</w:t>
      </w:r>
      <w:proofErr w:type="spellEnd"/>
      <w:r w:rsidRPr="00713490">
        <w:rPr>
          <w:rFonts w:ascii="Times New Roman" w:hAnsi="Times New Roman" w:cs="Times New Roman"/>
          <w:color w:val="222222"/>
          <w:sz w:val="24"/>
          <w:szCs w:val="24"/>
          <w:shd w:val="clear" w:color="auto" w:fill="FFFFFF"/>
        </w:rPr>
        <w:t xml:space="preserve">, O. and Markova, T., 2019. Ensuring of the </w:t>
      </w:r>
      <w:proofErr w:type="spellStart"/>
      <w:r w:rsidRPr="00713490">
        <w:rPr>
          <w:rFonts w:ascii="Times New Roman" w:hAnsi="Times New Roman" w:cs="Times New Roman"/>
          <w:color w:val="222222"/>
          <w:sz w:val="24"/>
          <w:szCs w:val="24"/>
          <w:shd w:val="clear" w:color="auto" w:fill="FFFFFF"/>
        </w:rPr>
        <w:t>enterprisе</w:t>
      </w:r>
      <w:proofErr w:type="spellEnd"/>
      <w:r w:rsidRPr="00713490">
        <w:rPr>
          <w:rFonts w:ascii="Times New Roman" w:hAnsi="Times New Roman" w:cs="Times New Roman"/>
          <w:color w:val="222222"/>
          <w:sz w:val="24"/>
          <w:szCs w:val="24"/>
          <w:shd w:val="clear" w:color="auto" w:fill="FFFFFF"/>
        </w:rPr>
        <w:t xml:space="preserve"> operation </w:t>
      </w:r>
      <w:proofErr w:type="spellStart"/>
      <w:r w:rsidRPr="00713490">
        <w:rPr>
          <w:rFonts w:ascii="Times New Roman" w:hAnsi="Times New Roman" w:cs="Times New Roman"/>
          <w:color w:val="222222"/>
          <w:sz w:val="24"/>
          <w:szCs w:val="24"/>
          <w:shd w:val="clear" w:color="auto" w:fill="FFFFFF"/>
        </w:rPr>
        <w:t>effacacy</w:t>
      </w:r>
      <w:proofErr w:type="spellEnd"/>
      <w:r w:rsidRPr="00713490">
        <w:rPr>
          <w:rFonts w:ascii="Times New Roman" w:hAnsi="Times New Roman" w:cs="Times New Roman"/>
          <w:color w:val="222222"/>
          <w:sz w:val="24"/>
          <w:szCs w:val="24"/>
          <w:shd w:val="clear" w:color="auto" w:fill="FFFFFF"/>
        </w:rPr>
        <w:t>: management aspect. </w:t>
      </w:r>
      <w:r w:rsidRPr="00713490">
        <w:rPr>
          <w:rFonts w:ascii="Times New Roman" w:hAnsi="Times New Roman" w:cs="Times New Roman"/>
          <w:i/>
          <w:iCs/>
          <w:color w:val="222222"/>
          <w:sz w:val="24"/>
          <w:szCs w:val="24"/>
          <w:shd w:val="clear" w:color="auto" w:fill="FFFFFF"/>
        </w:rPr>
        <w:t xml:space="preserve">Periodicals of Engineering and Natural </w:t>
      </w:r>
      <w:proofErr w:type="gramStart"/>
      <w:r w:rsidRPr="00713490">
        <w:rPr>
          <w:rFonts w:ascii="Times New Roman" w:hAnsi="Times New Roman" w:cs="Times New Roman"/>
          <w:i/>
          <w:iCs/>
          <w:color w:val="222222"/>
          <w:sz w:val="24"/>
          <w:szCs w:val="24"/>
          <w:shd w:val="clear" w:color="auto" w:fill="FFFFFF"/>
        </w:rPr>
        <w:t>Sciences.–</w:t>
      </w:r>
      <w:proofErr w:type="gramEnd"/>
      <w:r w:rsidRPr="00713490">
        <w:rPr>
          <w:rFonts w:ascii="Times New Roman" w:hAnsi="Times New Roman" w:cs="Times New Roman"/>
          <w:i/>
          <w:iCs/>
          <w:color w:val="222222"/>
          <w:sz w:val="24"/>
          <w:szCs w:val="24"/>
          <w:shd w:val="clear" w:color="auto" w:fill="FFFFFF"/>
        </w:rPr>
        <w:t>2019</w:t>
      </w:r>
      <w:r w:rsidRPr="00713490">
        <w:rPr>
          <w:rFonts w:ascii="Times New Roman" w:hAnsi="Times New Roman" w:cs="Times New Roman"/>
          <w:color w:val="222222"/>
          <w:sz w:val="24"/>
          <w:szCs w:val="24"/>
          <w:shd w:val="clear" w:color="auto" w:fill="FFFFFF"/>
        </w:rPr>
        <w:t>.</w:t>
      </w:r>
    </w:p>
    <w:p w14:paraId="57B20E8A" w14:textId="73E97C48"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Subramanyam, K.R., 2014. </w:t>
      </w:r>
      <w:r w:rsidRPr="00713490">
        <w:rPr>
          <w:rFonts w:ascii="Times New Roman" w:hAnsi="Times New Roman" w:cs="Times New Roman"/>
          <w:i/>
          <w:iCs/>
          <w:color w:val="222222"/>
          <w:sz w:val="24"/>
          <w:szCs w:val="24"/>
          <w:shd w:val="clear" w:color="auto" w:fill="FFFFFF"/>
        </w:rPr>
        <w:t>Financial statement analysis</w:t>
      </w:r>
      <w:r w:rsidRPr="00713490">
        <w:rPr>
          <w:rFonts w:ascii="Times New Roman" w:hAnsi="Times New Roman" w:cs="Times New Roman"/>
          <w:color w:val="222222"/>
          <w:sz w:val="24"/>
          <w:szCs w:val="24"/>
          <w:shd w:val="clear" w:color="auto" w:fill="FFFFFF"/>
        </w:rPr>
        <w:t>. McGraw-Hill.</w:t>
      </w:r>
    </w:p>
    <w:p w14:paraId="0611C0B2" w14:textId="31C0841C" w:rsidR="00947363" w:rsidRDefault="00947363" w:rsidP="00947363">
      <w:pPr>
        <w:jc w:val="both"/>
        <w:rPr>
          <w:rFonts w:ascii="Times New Roman" w:hAnsi="Times New Roman" w:cs="Times New Roman"/>
          <w:color w:val="222222"/>
          <w:sz w:val="24"/>
          <w:szCs w:val="24"/>
          <w:shd w:val="clear" w:color="auto" w:fill="FFFFFF"/>
        </w:rPr>
      </w:pPr>
      <w:proofErr w:type="spellStart"/>
      <w:r w:rsidRPr="00713490">
        <w:rPr>
          <w:rFonts w:ascii="Times New Roman" w:hAnsi="Times New Roman" w:cs="Times New Roman"/>
          <w:color w:val="222222"/>
          <w:sz w:val="24"/>
          <w:szCs w:val="24"/>
          <w:shd w:val="clear" w:color="auto" w:fill="FFFFFF"/>
        </w:rPr>
        <w:t>Tirole</w:t>
      </w:r>
      <w:proofErr w:type="spellEnd"/>
      <w:r w:rsidRPr="00713490">
        <w:rPr>
          <w:rFonts w:ascii="Times New Roman" w:hAnsi="Times New Roman" w:cs="Times New Roman"/>
          <w:color w:val="222222"/>
          <w:sz w:val="24"/>
          <w:szCs w:val="24"/>
          <w:shd w:val="clear" w:color="auto" w:fill="FFFFFF"/>
        </w:rPr>
        <w:t>, J., 2010. </w:t>
      </w:r>
      <w:r w:rsidRPr="00713490">
        <w:rPr>
          <w:rFonts w:ascii="Times New Roman" w:hAnsi="Times New Roman" w:cs="Times New Roman"/>
          <w:i/>
          <w:iCs/>
          <w:color w:val="222222"/>
          <w:sz w:val="24"/>
          <w:szCs w:val="24"/>
          <w:shd w:val="clear" w:color="auto" w:fill="FFFFFF"/>
        </w:rPr>
        <w:t>The theory of corporate finance</w:t>
      </w:r>
      <w:r w:rsidRPr="00713490">
        <w:rPr>
          <w:rFonts w:ascii="Times New Roman" w:hAnsi="Times New Roman" w:cs="Times New Roman"/>
          <w:color w:val="222222"/>
          <w:sz w:val="24"/>
          <w:szCs w:val="24"/>
          <w:shd w:val="clear" w:color="auto" w:fill="FFFFFF"/>
        </w:rPr>
        <w:t>. Princeton university press.</w:t>
      </w:r>
    </w:p>
    <w:p w14:paraId="4199039C" w14:textId="0A68A0FC"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Titman, S., Wei, K.J. and Xie, F., 2004. Capital investments and stock returns. </w:t>
      </w:r>
      <w:r w:rsidRPr="00713490">
        <w:rPr>
          <w:rFonts w:ascii="Times New Roman" w:hAnsi="Times New Roman" w:cs="Times New Roman"/>
          <w:i/>
          <w:iCs/>
          <w:color w:val="222222"/>
          <w:sz w:val="24"/>
          <w:szCs w:val="24"/>
          <w:shd w:val="clear" w:color="auto" w:fill="FFFFFF"/>
        </w:rPr>
        <w:t>Journal of financial and Quantitative Analysis</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39</w:t>
      </w:r>
      <w:r w:rsidRPr="00713490">
        <w:rPr>
          <w:rFonts w:ascii="Times New Roman" w:hAnsi="Times New Roman" w:cs="Times New Roman"/>
          <w:color w:val="222222"/>
          <w:sz w:val="24"/>
          <w:szCs w:val="24"/>
          <w:shd w:val="clear" w:color="auto" w:fill="FFFFFF"/>
        </w:rPr>
        <w:t>(4), pp.677-700.</w:t>
      </w:r>
    </w:p>
    <w:p w14:paraId="0F34E5F1" w14:textId="32EF23EB"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White, G.I., Sondhi, A.C. and Fried, D., 2002. </w:t>
      </w:r>
      <w:r w:rsidRPr="00713490">
        <w:rPr>
          <w:rFonts w:ascii="Times New Roman" w:hAnsi="Times New Roman" w:cs="Times New Roman"/>
          <w:i/>
          <w:iCs/>
          <w:color w:val="222222"/>
          <w:sz w:val="24"/>
          <w:szCs w:val="24"/>
          <w:shd w:val="clear" w:color="auto" w:fill="FFFFFF"/>
        </w:rPr>
        <w:t>The analysis and use of financial statements</w:t>
      </w:r>
      <w:r w:rsidRPr="00713490">
        <w:rPr>
          <w:rFonts w:ascii="Times New Roman" w:hAnsi="Times New Roman" w:cs="Times New Roman"/>
          <w:color w:val="222222"/>
          <w:sz w:val="24"/>
          <w:szCs w:val="24"/>
          <w:shd w:val="clear" w:color="auto" w:fill="FFFFFF"/>
        </w:rPr>
        <w:t>. John Wiley &amp; Sons.</w:t>
      </w:r>
    </w:p>
    <w:p w14:paraId="1B41CA9C" w14:textId="0461D9C7" w:rsidR="00EF596D" w:rsidRDefault="00EF596D"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Yoon, D., 2021. Technical Feasibility Analysis Model. In </w:t>
      </w:r>
      <w:r w:rsidRPr="00713490">
        <w:rPr>
          <w:rFonts w:ascii="Times New Roman" w:hAnsi="Times New Roman" w:cs="Times New Roman"/>
          <w:i/>
          <w:iCs/>
          <w:color w:val="222222"/>
          <w:sz w:val="24"/>
          <w:szCs w:val="24"/>
          <w:shd w:val="clear" w:color="auto" w:fill="FFFFFF"/>
        </w:rPr>
        <w:t>Preliminary Feasibility for Public Research and Development Projects</w:t>
      </w:r>
      <w:r w:rsidRPr="00713490">
        <w:rPr>
          <w:rFonts w:ascii="Times New Roman" w:hAnsi="Times New Roman" w:cs="Times New Roman"/>
          <w:color w:val="222222"/>
          <w:sz w:val="24"/>
          <w:szCs w:val="24"/>
          <w:shd w:val="clear" w:color="auto" w:fill="FFFFFF"/>
        </w:rPr>
        <w:t> (pp. 59-69). Emerald Publishing Limited.</w:t>
      </w:r>
    </w:p>
    <w:p w14:paraId="0346AF86" w14:textId="59B1242D"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Zhang, G., 2000. Accounting information, capital investment decisions, and equity valuation: Theory and empirical implications. </w:t>
      </w:r>
      <w:r w:rsidRPr="00713490">
        <w:rPr>
          <w:rFonts w:ascii="Times New Roman" w:hAnsi="Times New Roman" w:cs="Times New Roman"/>
          <w:i/>
          <w:iCs/>
          <w:color w:val="222222"/>
          <w:sz w:val="24"/>
          <w:szCs w:val="24"/>
          <w:shd w:val="clear" w:color="auto" w:fill="FFFFFF"/>
        </w:rPr>
        <w:t>Journal of accounting Research</w:t>
      </w:r>
      <w:r w:rsidRPr="00713490">
        <w:rPr>
          <w:rFonts w:ascii="Times New Roman" w:hAnsi="Times New Roman" w:cs="Times New Roman"/>
          <w:color w:val="222222"/>
          <w:sz w:val="24"/>
          <w:szCs w:val="24"/>
          <w:shd w:val="clear" w:color="auto" w:fill="FFFFFF"/>
        </w:rPr>
        <w:t>, </w:t>
      </w:r>
      <w:r w:rsidRPr="00713490">
        <w:rPr>
          <w:rFonts w:ascii="Times New Roman" w:hAnsi="Times New Roman" w:cs="Times New Roman"/>
          <w:i/>
          <w:iCs/>
          <w:color w:val="222222"/>
          <w:sz w:val="24"/>
          <w:szCs w:val="24"/>
          <w:shd w:val="clear" w:color="auto" w:fill="FFFFFF"/>
        </w:rPr>
        <w:t>38</w:t>
      </w:r>
      <w:r w:rsidRPr="00713490">
        <w:rPr>
          <w:rFonts w:ascii="Times New Roman" w:hAnsi="Times New Roman" w:cs="Times New Roman"/>
          <w:color w:val="222222"/>
          <w:sz w:val="24"/>
          <w:szCs w:val="24"/>
          <w:shd w:val="clear" w:color="auto" w:fill="FFFFFF"/>
        </w:rPr>
        <w:t>(2), pp.271-295.</w:t>
      </w:r>
    </w:p>
    <w:p w14:paraId="261F3D1D" w14:textId="77777777" w:rsidR="00947363" w:rsidRDefault="00947363" w:rsidP="00947363">
      <w:pPr>
        <w:jc w:val="both"/>
        <w:rPr>
          <w:rFonts w:ascii="Times New Roman" w:hAnsi="Times New Roman" w:cs="Times New Roman"/>
          <w:color w:val="222222"/>
          <w:sz w:val="24"/>
          <w:szCs w:val="24"/>
          <w:shd w:val="clear" w:color="auto" w:fill="FFFFFF"/>
        </w:rPr>
      </w:pPr>
      <w:r w:rsidRPr="00713490">
        <w:rPr>
          <w:rFonts w:ascii="Times New Roman" w:hAnsi="Times New Roman" w:cs="Times New Roman"/>
          <w:color w:val="222222"/>
          <w:sz w:val="24"/>
          <w:szCs w:val="24"/>
          <w:shd w:val="clear" w:color="auto" w:fill="FFFFFF"/>
        </w:rPr>
        <w:t>Zutter, C.J. and Smart, S.B., 2019. </w:t>
      </w:r>
      <w:r w:rsidRPr="00713490">
        <w:rPr>
          <w:rFonts w:ascii="Times New Roman" w:hAnsi="Times New Roman" w:cs="Times New Roman"/>
          <w:i/>
          <w:iCs/>
          <w:color w:val="222222"/>
          <w:sz w:val="24"/>
          <w:szCs w:val="24"/>
          <w:shd w:val="clear" w:color="auto" w:fill="FFFFFF"/>
        </w:rPr>
        <w:t>Principles of managerial finance</w:t>
      </w:r>
      <w:r w:rsidRPr="00713490">
        <w:rPr>
          <w:rFonts w:ascii="Times New Roman" w:hAnsi="Times New Roman" w:cs="Times New Roman"/>
          <w:color w:val="222222"/>
          <w:sz w:val="24"/>
          <w:szCs w:val="24"/>
          <w:shd w:val="clear" w:color="auto" w:fill="FFFFFF"/>
        </w:rPr>
        <w:t>. London, UK: Pearson.</w:t>
      </w:r>
    </w:p>
    <w:p w14:paraId="1F468A1A" w14:textId="77777777" w:rsidR="00947363" w:rsidRDefault="00947363" w:rsidP="00947363">
      <w:pPr>
        <w:jc w:val="both"/>
        <w:rPr>
          <w:rFonts w:ascii="Times New Roman" w:hAnsi="Times New Roman" w:cs="Times New Roman"/>
          <w:color w:val="222222"/>
          <w:sz w:val="24"/>
          <w:szCs w:val="24"/>
          <w:shd w:val="clear" w:color="auto" w:fill="FFFFFF"/>
        </w:rPr>
      </w:pPr>
    </w:p>
    <w:p w14:paraId="15008E70" w14:textId="0E6671D8" w:rsidR="00A46C0E" w:rsidRDefault="00A46C0E" w:rsidP="00B07916">
      <w:pPr>
        <w:jc w:val="both"/>
        <w:rPr>
          <w:rFonts w:ascii="Times New Roman" w:hAnsi="Times New Roman" w:cs="Times New Roman"/>
          <w:sz w:val="24"/>
          <w:szCs w:val="24"/>
        </w:rPr>
      </w:pPr>
    </w:p>
    <w:p w14:paraId="0B2A211F" w14:textId="2E0D2877" w:rsidR="004D3156" w:rsidRDefault="004D3156" w:rsidP="004D3156">
      <w:pPr>
        <w:pStyle w:val="Heading1"/>
      </w:pPr>
      <w:bookmarkStart w:id="18" w:name="_Toc187878313"/>
      <w:r>
        <w:lastRenderedPageBreak/>
        <w:t>Appendix</w:t>
      </w:r>
      <w:bookmarkEnd w:id="18"/>
    </w:p>
    <w:p w14:paraId="51651AB4" w14:textId="7A95DF34" w:rsidR="00A46C0E" w:rsidRDefault="004D3156" w:rsidP="004D3156">
      <w:pPr>
        <w:pStyle w:val="Heading2"/>
      </w:pPr>
      <w:bookmarkStart w:id="19" w:name="_Toc187878314"/>
      <w:r>
        <w:t xml:space="preserve">a) Financial Statement of </w:t>
      </w:r>
      <w:r w:rsidRPr="004D3156">
        <w:t>Reckitt Benckiser Group plc</w:t>
      </w:r>
      <w:bookmarkEnd w:id="19"/>
    </w:p>
    <w:p w14:paraId="2EBE5830" w14:textId="31992C6C" w:rsidR="00A46C0E" w:rsidRDefault="006B567B" w:rsidP="006B567B">
      <w:pPr>
        <w:pStyle w:val="Heading3"/>
      </w:pPr>
      <w:bookmarkStart w:id="20" w:name="_Toc187878315"/>
      <w:r>
        <w:t>I. Group Income Statement</w:t>
      </w:r>
      <w:bookmarkEnd w:id="20"/>
    </w:p>
    <w:p w14:paraId="5C49FF4E" w14:textId="3E09776C" w:rsidR="006B567B" w:rsidRDefault="006B567B" w:rsidP="006B567B">
      <w:pPr>
        <w:jc w:val="center"/>
      </w:pPr>
      <w:r>
        <w:rPr>
          <w:noProof/>
        </w:rPr>
        <w:drawing>
          <wp:inline distT="0" distB="0" distL="0" distR="0" wp14:anchorId="0C3752B0" wp14:editId="2969E2DA">
            <wp:extent cx="5113013" cy="5566410"/>
            <wp:effectExtent l="19050" t="1905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119391" cy="5573353"/>
                    </a:xfrm>
                    <a:prstGeom prst="rect">
                      <a:avLst/>
                    </a:prstGeom>
                    <a:ln>
                      <a:solidFill>
                        <a:schemeClr val="tx1"/>
                      </a:solidFill>
                    </a:ln>
                  </pic:spPr>
                </pic:pic>
              </a:graphicData>
            </a:graphic>
          </wp:inline>
        </w:drawing>
      </w:r>
    </w:p>
    <w:p w14:paraId="7069F265" w14:textId="10D3A85D" w:rsidR="006B567B" w:rsidRDefault="006B567B" w:rsidP="006B567B">
      <w:pPr>
        <w:pStyle w:val="Heading3"/>
      </w:pPr>
      <w:bookmarkStart w:id="21" w:name="_Toc187878316"/>
      <w:r>
        <w:lastRenderedPageBreak/>
        <w:t>II. Group Balance Sheet</w:t>
      </w:r>
      <w:bookmarkEnd w:id="21"/>
    </w:p>
    <w:p w14:paraId="22EEA38C" w14:textId="0437B788" w:rsidR="006B567B" w:rsidRPr="006B567B" w:rsidRDefault="006B567B" w:rsidP="006B567B">
      <w:r>
        <w:rPr>
          <w:noProof/>
        </w:rPr>
        <w:drawing>
          <wp:inline distT="0" distB="0" distL="0" distR="0" wp14:anchorId="68888B3C" wp14:editId="33133F03">
            <wp:extent cx="6076950" cy="3781863"/>
            <wp:effectExtent l="19050" t="1905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6078507" cy="3782832"/>
                    </a:xfrm>
                    <a:prstGeom prst="rect">
                      <a:avLst/>
                    </a:prstGeom>
                    <a:ln>
                      <a:solidFill>
                        <a:schemeClr val="tx1"/>
                      </a:solidFill>
                    </a:ln>
                  </pic:spPr>
                </pic:pic>
              </a:graphicData>
            </a:graphic>
          </wp:inline>
        </w:drawing>
      </w:r>
    </w:p>
    <w:p w14:paraId="79369E35" w14:textId="635FE67C" w:rsidR="004D3156" w:rsidRDefault="006B567B" w:rsidP="006B567B">
      <w:pPr>
        <w:pStyle w:val="Heading2"/>
      </w:pPr>
      <w:bookmarkStart w:id="22" w:name="_Toc187878317"/>
      <w:r>
        <w:t>b) Ratio Analysis</w:t>
      </w:r>
      <w:bookmarkEnd w:id="22"/>
    </w:p>
    <w:p w14:paraId="5749F963" w14:textId="20E26F69" w:rsidR="00A46C0E" w:rsidRDefault="006B567B" w:rsidP="006B567B">
      <w:pPr>
        <w:pStyle w:val="Heading3"/>
      </w:pPr>
      <w:bookmarkStart w:id="23" w:name="_Toc187878318"/>
      <w:r>
        <w:t>I. Profitability Ratio</w:t>
      </w:r>
      <w:bookmarkEnd w:id="23"/>
    </w:p>
    <w:p w14:paraId="4BF11D89" w14:textId="35BF2D4E" w:rsidR="00A46C0E" w:rsidRDefault="006B567B" w:rsidP="00B07916">
      <w:pPr>
        <w:jc w:val="both"/>
        <w:rPr>
          <w:rFonts w:ascii="Times New Roman" w:hAnsi="Times New Roman" w:cs="Times New Roman"/>
          <w:sz w:val="24"/>
          <w:szCs w:val="24"/>
        </w:rPr>
      </w:pPr>
      <w:r>
        <w:rPr>
          <w:noProof/>
        </w:rPr>
        <w:drawing>
          <wp:inline distT="0" distB="0" distL="0" distR="0" wp14:anchorId="0239DDB6" wp14:editId="7189459E">
            <wp:extent cx="5364480" cy="3619305"/>
            <wp:effectExtent l="0" t="0" r="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369046" cy="3622385"/>
                    </a:xfrm>
                    <a:prstGeom prst="rect">
                      <a:avLst/>
                    </a:prstGeom>
                  </pic:spPr>
                </pic:pic>
              </a:graphicData>
            </a:graphic>
          </wp:inline>
        </w:drawing>
      </w:r>
    </w:p>
    <w:p w14:paraId="4403962A" w14:textId="73E238B4" w:rsidR="006B567B" w:rsidRDefault="006B567B" w:rsidP="006B567B">
      <w:pPr>
        <w:pStyle w:val="Heading3"/>
      </w:pPr>
      <w:bookmarkStart w:id="24" w:name="_Toc187878319"/>
      <w:r>
        <w:lastRenderedPageBreak/>
        <w:t>II. Liquidity Ratio</w:t>
      </w:r>
      <w:bookmarkEnd w:id="24"/>
    </w:p>
    <w:p w14:paraId="7C06F10D" w14:textId="703BE818" w:rsidR="00A46C0E" w:rsidRDefault="006B567B" w:rsidP="00B07916">
      <w:pPr>
        <w:jc w:val="both"/>
        <w:rPr>
          <w:rFonts w:ascii="Times New Roman" w:hAnsi="Times New Roman" w:cs="Times New Roman"/>
          <w:sz w:val="24"/>
          <w:szCs w:val="24"/>
        </w:rPr>
      </w:pPr>
      <w:r>
        <w:rPr>
          <w:noProof/>
        </w:rPr>
        <w:drawing>
          <wp:inline distT="0" distB="0" distL="0" distR="0" wp14:anchorId="4543E292" wp14:editId="35555AB6">
            <wp:extent cx="5631180" cy="296960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636900" cy="2972621"/>
                    </a:xfrm>
                    <a:prstGeom prst="rect">
                      <a:avLst/>
                    </a:prstGeom>
                  </pic:spPr>
                </pic:pic>
              </a:graphicData>
            </a:graphic>
          </wp:inline>
        </w:drawing>
      </w:r>
    </w:p>
    <w:p w14:paraId="315A6939" w14:textId="6FD86D19" w:rsidR="00A46C0E" w:rsidRDefault="006B567B" w:rsidP="006B567B">
      <w:pPr>
        <w:pStyle w:val="Heading3"/>
      </w:pPr>
      <w:bookmarkStart w:id="25" w:name="_Toc187878320"/>
      <w:r>
        <w:t>III. Gearing Ratio</w:t>
      </w:r>
      <w:bookmarkEnd w:id="25"/>
    </w:p>
    <w:p w14:paraId="50E6E30A" w14:textId="372494A7" w:rsidR="006B567B" w:rsidRDefault="006B567B" w:rsidP="00B07916">
      <w:pPr>
        <w:jc w:val="both"/>
        <w:rPr>
          <w:rFonts w:ascii="Times New Roman" w:hAnsi="Times New Roman" w:cs="Times New Roman"/>
          <w:sz w:val="24"/>
          <w:szCs w:val="24"/>
        </w:rPr>
      </w:pPr>
      <w:r>
        <w:rPr>
          <w:noProof/>
        </w:rPr>
        <w:drawing>
          <wp:inline distT="0" distB="0" distL="0" distR="0" wp14:anchorId="11679599" wp14:editId="54856B51">
            <wp:extent cx="5581553" cy="2819400"/>
            <wp:effectExtent l="0" t="0" r="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596330" cy="2826864"/>
                    </a:xfrm>
                    <a:prstGeom prst="rect">
                      <a:avLst/>
                    </a:prstGeom>
                  </pic:spPr>
                </pic:pic>
              </a:graphicData>
            </a:graphic>
          </wp:inline>
        </w:drawing>
      </w:r>
    </w:p>
    <w:p w14:paraId="5971F451" w14:textId="3A088247" w:rsidR="006B567B" w:rsidRPr="00DD157E" w:rsidRDefault="006B567B" w:rsidP="006B567B">
      <w:pPr>
        <w:pStyle w:val="Heading3"/>
        <w:rPr>
          <w:rFonts w:ascii="Times New Roman" w:hAnsi="Times New Roman" w:cs="Times New Roman"/>
          <w:color w:val="000000" w:themeColor="text1"/>
        </w:rPr>
      </w:pPr>
      <w:bookmarkStart w:id="26" w:name="_Toc187878321"/>
      <w:r w:rsidRPr="00DD157E">
        <w:rPr>
          <w:rFonts w:ascii="Times New Roman" w:hAnsi="Times New Roman" w:cs="Times New Roman"/>
          <w:color w:val="000000" w:themeColor="text1"/>
        </w:rPr>
        <w:lastRenderedPageBreak/>
        <w:t>IV. Efficiency Ratio</w:t>
      </w:r>
      <w:bookmarkEnd w:id="26"/>
    </w:p>
    <w:p w14:paraId="482FCC1F" w14:textId="77777777" w:rsidR="00377CCE" w:rsidRDefault="006B567B" w:rsidP="00377CCE">
      <w:pPr>
        <w:jc w:val="both"/>
      </w:pPr>
      <w:r>
        <w:rPr>
          <w:noProof/>
        </w:rPr>
        <w:drawing>
          <wp:inline distT="0" distB="0" distL="0" distR="0" wp14:anchorId="1B021A9C" wp14:editId="3C74EEFC">
            <wp:extent cx="4991100" cy="514733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4997795" cy="5154243"/>
                    </a:xfrm>
                    <a:prstGeom prst="rect">
                      <a:avLst/>
                    </a:prstGeom>
                  </pic:spPr>
                </pic:pic>
              </a:graphicData>
            </a:graphic>
          </wp:inline>
        </w:drawing>
      </w:r>
    </w:p>
    <w:p w14:paraId="73321791" w14:textId="77777777" w:rsidR="00615530" w:rsidRDefault="00615530" w:rsidP="00377CCE">
      <w:pPr>
        <w:jc w:val="both"/>
        <w:rPr>
          <w:rFonts w:ascii="Times New Roman" w:hAnsi="Times New Roman" w:cs="Times New Roman"/>
          <w:sz w:val="24"/>
          <w:szCs w:val="24"/>
        </w:rPr>
      </w:pPr>
    </w:p>
    <w:p w14:paraId="343E6FEB" w14:textId="77777777" w:rsidR="00615530" w:rsidRDefault="00615530" w:rsidP="00377CCE">
      <w:pPr>
        <w:jc w:val="both"/>
        <w:rPr>
          <w:rFonts w:ascii="Times New Roman" w:hAnsi="Times New Roman" w:cs="Times New Roman"/>
          <w:sz w:val="24"/>
          <w:szCs w:val="24"/>
        </w:rPr>
      </w:pPr>
    </w:p>
    <w:p w14:paraId="0A34B25F" w14:textId="77777777" w:rsidR="00615530" w:rsidRDefault="00615530" w:rsidP="00377CCE">
      <w:pPr>
        <w:jc w:val="both"/>
        <w:rPr>
          <w:rFonts w:ascii="Times New Roman" w:hAnsi="Times New Roman" w:cs="Times New Roman"/>
          <w:sz w:val="24"/>
          <w:szCs w:val="24"/>
        </w:rPr>
      </w:pPr>
    </w:p>
    <w:p w14:paraId="2F1C4F9B" w14:textId="77777777" w:rsidR="00615530" w:rsidRDefault="00615530" w:rsidP="00377CCE">
      <w:pPr>
        <w:jc w:val="both"/>
        <w:rPr>
          <w:rFonts w:ascii="Times New Roman" w:hAnsi="Times New Roman" w:cs="Times New Roman"/>
          <w:sz w:val="24"/>
          <w:szCs w:val="24"/>
        </w:rPr>
      </w:pPr>
    </w:p>
    <w:p w14:paraId="245FC940" w14:textId="77777777" w:rsidR="00615530" w:rsidRDefault="00615530" w:rsidP="00377CCE">
      <w:pPr>
        <w:jc w:val="both"/>
        <w:rPr>
          <w:rFonts w:ascii="Times New Roman" w:hAnsi="Times New Roman" w:cs="Times New Roman"/>
          <w:sz w:val="24"/>
          <w:szCs w:val="24"/>
        </w:rPr>
      </w:pPr>
    </w:p>
    <w:p w14:paraId="0024D53F" w14:textId="77777777" w:rsidR="00615530" w:rsidRDefault="00615530" w:rsidP="00377CCE">
      <w:pPr>
        <w:jc w:val="both"/>
        <w:rPr>
          <w:rFonts w:ascii="Times New Roman" w:hAnsi="Times New Roman" w:cs="Times New Roman"/>
          <w:sz w:val="24"/>
          <w:szCs w:val="24"/>
        </w:rPr>
      </w:pPr>
    </w:p>
    <w:p w14:paraId="71F271C1" w14:textId="77777777" w:rsidR="00615530" w:rsidRDefault="00615530" w:rsidP="00377CCE">
      <w:pPr>
        <w:jc w:val="both"/>
        <w:rPr>
          <w:rFonts w:ascii="Times New Roman" w:hAnsi="Times New Roman" w:cs="Times New Roman"/>
          <w:sz w:val="24"/>
          <w:szCs w:val="24"/>
        </w:rPr>
      </w:pPr>
    </w:p>
    <w:p w14:paraId="72749497" w14:textId="77777777" w:rsidR="00615530" w:rsidRDefault="00615530" w:rsidP="00377CCE">
      <w:pPr>
        <w:jc w:val="both"/>
        <w:rPr>
          <w:rFonts w:ascii="Times New Roman" w:hAnsi="Times New Roman" w:cs="Times New Roman"/>
          <w:sz w:val="24"/>
          <w:szCs w:val="24"/>
        </w:rPr>
      </w:pPr>
    </w:p>
    <w:p w14:paraId="1848E984" w14:textId="77777777" w:rsidR="00615530" w:rsidRDefault="00615530" w:rsidP="00377CCE">
      <w:pPr>
        <w:jc w:val="both"/>
        <w:rPr>
          <w:rFonts w:ascii="Times New Roman" w:hAnsi="Times New Roman" w:cs="Times New Roman"/>
          <w:sz w:val="24"/>
          <w:szCs w:val="24"/>
        </w:rPr>
      </w:pPr>
    </w:p>
    <w:p w14:paraId="42D5B6B3" w14:textId="7D754E47" w:rsidR="006B567B" w:rsidRPr="00F36659" w:rsidRDefault="006B567B" w:rsidP="00377CCE">
      <w:pPr>
        <w:jc w:val="both"/>
        <w:rPr>
          <w:rFonts w:ascii="Times New Roman" w:hAnsi="Times New Roman" w:cs="Times New Roman"/>
          <w:sz w:val="24"/>
          <w:szCs w:val="24"/>
        </w:rPr>
      </w:pPr>
      <w:r w:rsidRPr="00F36659">
        <w:rPr>
          <w:rFonts w:ascii="Times New Roman" w:hAnsi="Times New Roman" w:cs="Times New Roman"/>
          <w:sz w:val="24"/>
          <w:szCs w:val="24"/>
        </w:rPr>
        <w:lastRenderedPageBreak/>
        <w:t>V. Investment Ratio</w:t>
      </w:r>
    </w:p>
    <w:p w14:paraId="33A829A7" w14:textId="527274B4" w:rsidR="006B567B" w:rsidRDefault="006B567B" w:rsidP="0017150F">
      <w:pPr>
        <w:jc w:val="center"/>
        <w:rPr>
          <w:rFonts w:ascii="Times New Roman" w:hAnsi="Times New Roman" w:cs="Times New Roman"/>
          <w:sz w:val="24"/>
          <w:szCs w:val="24"/>
        </w:rPr>
      </w:pPr>
      <w:r>
        <w:rPr>
          <w:noProof/>
        </w:rPr>
        <w:drawing>
          <wp:inline distT="0" distB="0" distL="0" distR="0" wp14:anchorId="0BF407CB" wp14:editId="4616FF24">
            <wp:extent cx="5943600" cy="431292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943600" cy="4312920"/>
                    </a:xfrm>
                    <a:prstGeom prst="rect">
                      <a:avLst/>
                    </a:prstGeom>
                  </pic:spPr>
                </pic:pic>
              </a:graphicData>
            </a:graphic>
          </wp:inline>
        </w:drawing>
      </w:r>
    </w:p>
    <w:p w14:paraId="11A9FAE3" w14:textId="77777777" w:rsidR="00A46C0E" w:rsidRPr="00A46C0E" w:rsidRDefault="00A46C0E" w:rsidP="00B07916">
      <w:pPr>
        <w:jc w:val="both"/>
        <w:rPr>
          <w:rFonts w:ascii="Times New Roman" w:hAnsi="Times New Roman" w:cs="Times New Roman"/>
          <w:sz w:val="24"/>
          <w:szCs w:val="24"/>
        </w:rPr>
      </w:pPr>
    </w:p>
    <w:sectPr w:rsidR="00A46C0E" w:rsidRPr="00A46C0E" w:rsidSect="00511EBC">
      <w:footerReference w:type="default" r:id="rId3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17C2D" w14:textId="77777777" w:rsidR="0004750F" w:rsidRDefault="0004750F" w:rsidP="00B151A8">
      <w:pPr>
        <w:spacing w:after="0" w:line="240" w:lineRule="auto"/>
      </w:pPr>
      <w:r>
        <w:separator/>
      </w:r>
    </w:p>
  </w:endnote>
  <w:endnote w:type="continuationSeparator" w:id="0">
    <w:p w14:paraId="5AF778FE" w14:textId="77777777" w:rsidR="0004750F" w:rsidRDefault="0004750F" w:rsidP="00B151A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61257559"/>
      <w:docPartObj>
        <w:docPartGallery w:val="Page Numbers (Bottom of Page)"/>
        <w:docPartUnique/>
      </w:docPartObj>
    </w:sdtPr>
    <w:sdtEndPr>
      <w:rPr>
        <w:noProof/>
      </w:rPr>
    </w:sdtEndPr>
    <w:sdtContent>
      <w:p w14:paraId="009D6037" w14:textId="77777777" w:rsidR="00300E57" w:rsidRDefault="001B0815">
        <w:pPr>
          <w:pStyle w:val="Footer"/>
          <w:jc w:val="center"/>
        </w:pPr>
        <w:r>
          <w:fldChar w:fldCharType="begin"/>
        </w:r>
        <w:r>
          <w:instrText xml:space="preserve"> PAGE   \* MERGEFORMAT </w:instrText>
        </w:r>
        <w:r>
          <w:fldChar w:fldCharType="separate"/>
        </w:r>
        <w:r w:rsidR="00D12FBB">
          <w:rPr>
            <w:noProof/>
          </w:rPr>
          <w:t>9</w:t>
        </w:r>
        <w:r>
          <w:rPr>
            <w:noProof/>
          </w:rPr>
          <w:fldChar w:fldCharType="end"/>
        </w:r>
      </w:p>
    </w:sdtContent>
  </w:sdt>
  <w:p w14:paraId="3080D49B" w14:textId="77777777" w:rsidR="00300E57" w:rsidRDefault="00300E5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404EA4" w14:textId="77777777" w:rsidR="0004750F" w:rsidRDefault="0004750F" w:rsidP="00B151A8">
      <w:pPr>
        <w:spacing w:after="0" w:line="240" w:lineRule="auto"/>
      </w:pPr>
      <w:r>
        <w:separator/>
      </w:r>
    </w:p>
  </w:footnote>
  <w:footnote w:type="continuationSeparator" w:id="0">
    <w:p w14:paraId="5E7DF6F9" w14:textId="77777777" w:rsidR="0004750F" w:rsidRDefault="0004750F" w:rsidP="00B151A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8F7418"/>
    <w:multiLevelType w:val="hybridMultilevel"/>
    <w:tmpl w:val="3C4A2DB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 w15:restartNumberingAfterBreak="0">
    <w:nsid w:val="01E9648C"/>
    <w:multiLevelType w:val="hybridMultilevel"/>
    <w:tmpl w:val="306E5486"/>
    <w:lvl w:ilvl="0" w:tplc="04090001">
      <w:start w:val="1"/>
      <w:numFmt w:val="bullet"/>
      <w:lvlText w:val=""/>
      <w:lvlJc w:val="left"/>
      <w:pPr>
        <w:ind w:left="780" w:hanging="360"/>
      </w:pPr>
      <w:rPr>
        <w:rFonts w:ascii="Symbol" w:hAnsi="Symbol"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2" w15:restartNumberingAfterBreak="0">
    <w:nsid w:val="03F56C29"/>
    <w:multiLevelType w:val="hybridMultilevel"/>
    <w:tmpl w:val="588EB730"/>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6DE126D"/>
    <w:multiLevelType w:val="hybridMultilevel"/>
    <w:tmpl w:val="25B262B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08960FCD"/>
    <w:multiLevelType w:val="hybridMultilevel"/>
    <w:tmpl w:val="D5282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DEE134C"/>
    <w:multiLevelType w:val="hybridMultilevel"/>
    <w:tmpl w:val="E8C2E17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0E8A7673"/>
    <w:multiLevelType w:val="hybridMultilevel"/>
    <w:tmpl w:val="955EAA3C"/>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0FCB14E7"/>
    <w:multiLevelType w:val="hybridMultilevel"/>
    <w:tmpl w:val="18B8A672"/>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8" w15:restartNumberingAfterBreak="0">
    <w:nsid w:val="10CD4ED4"/>
    <w:multiLevelType w:val="hybridMultilevel"/>
    <w:tmpl w:val="56F2F71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1874412F"/>
    <w:multiLevelType w:val="hybridMultilevel"/>
    <w:tmpl w:val="B58C5AE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0" w15:restartNumberingAfterBreak="0">
    <w:nsid w:val="1D741677"/>
    <w:multiLevelType w:val="hybridMultilevel"/>
    <w:tmpl w:val="0ADCD5C4"/>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1" w15:restartNumberingAfterBreak="0">
    <w:nsid w:val="1ED5153C"/>
    <w:multiLevelType w:val="hybridMultilevel"/>
    <w:tmpl w:val="5DB08C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1F9561DA"/>
    <w:multiLevelType w:val="hybridMultilevel"/>
    <w:tmpl w:val="88F6BF0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21D7622B"/>
    <w:multiLevelType w:val="hybridMultilevel"/>
    <w:tmpl w:val="8C7E5D9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4" w15:restartNumberingAfterBreak="0">
    <w:nsid w:val="256E1EB1"/>
    <w:multiLevelType w:val="hybridMultilevel"/>
    <w:tmpl w:val="3642105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5" w15:restartNumberingAfterBreak="0">
    <w:nsid w:val="25BF3D9E"/>
    <w:multiLevelType w:val="hybridMultilevel"/>
    <w:tmpl w:val="0FFA6826"/>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6" w15:restartNumberingAfterBreak="0">
    <w:nsid w:val="280A3F6D"/>
    <w:multiLevelType w:val="hybridMultilevel"/>
    <w:tmpl w:val="F44CB154"/>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17" w15:restartNumberingAfterBreak="0">
    <w:nsid w:val="2E274F48"/>
    <w:multiLevelType w:val="hybridMultilevel"/>
    <w:tmpl w:val="8AA2074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EC8791D"/>
    <w:multiLevelType w:val="hybridMultilevel"/>
    <w:tmpl w:val="31087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2F8B298C"/>
    <w:multiLevelType w:val="hybridMultilevel"/>
    <w:tmpl w:val="11647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25826DC"/>
    <w:multiLevelType w:val="hybridMultilevel"/>
    <w:tmpl w:val="F5B241B2"/>
    <w:lvl w:ilvl="0" w:tplc="04090009">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1" w15:restartNumberingAfterBreak="0">
    <w:nsid w:val="38E02C64"/>
    <w:multiLevelType w:val="hybridMultilevel"/>
    <w:tmpl w:val="6172AF9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3BA14428"/>
    <w:multiLevelType w:val="hybridMultilevel"/>
    <w:tmpl w:val="D54C611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3" w15:restartNumberingAfterBreak="0">
    <w:nsid w:val="3BE56E49"/>
    <w:multiLevelType w:val="hybridMultilevel"/>
    <w:tmpl w:val="437665D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4" w15:restartNumberingAfterBreak="0">
    <w:nsid w:val="3CB40E38"/>
    <w:multiLevelType w:val="hybridMultilevel"/>
    <w:tmpl w:val="5D841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3D604150"/>
    <w:multiLevelType w:val="hybridMultilevel"/>
    <w:tmpl w:val="BD562D5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6" w15:restartNumberingAfterBreak="0">
    <w:nsid w:val="3F5277E5"/>
    <w:multiLevelType w:val="hybridMultilevel"/>
    <w:tmpl w:val="87181456"/>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458F2F68"/>
    <w:multiLevelType w:val="hybridMultilevel"/>
    <w:tmpl w:val="B4B897F4"/>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46026DB6"/>
    <w:multiLevelType w:val="hybridMultilevel"/>
    <w:tmpl w:val="4F0AB74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9" w15:restartNumberingAfterBreak="0">
    <w:nsid w:val="473C1816"/>
    <w:multiLevelType w:val="hybridMultilevel"/>
    <w:tmpl w:val="128E53A6"/>
    <w:lvl w:ilvl="0" w:tplc="04090001">
      <w:start w:val="1"/>
      <w:numFmt w:val="bullet"/>
      <w:lvlText w:val=""/>
      <w:lvlJc w:val="left"/>
      <w:pPr>
        <w:ind w:left="360" w:hanging="360"/>
      </w:pPr>
      <w:rPr>
        <w:rFonts w:ascii="Symbol" w:hAnsi="Symbol" w:hint="default"/>
      </w:rPr>
    </w:lvl>
    <w:lvl w:ilvl="1" w:tplc="0409000B">
      <w:start w:val="1"/>
      <w:numFmt w:val="bullet"/>
      <w:lvlText w:val=""/>
      <w:lvlJc w:val="left"/>
      <w:pPr>
        <w:ind w:left="1080" w:hanging="360"/>
      </w:pPr>
      <w:rPr>
        <w:rFonts w:ascii="Wingdings" w:hAnsi="Wingdings"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0" w15:restartNumberingAfterBreak="0">
    <w:nsid w:val="4FA06552"/>
    <w:multiLevelType w:val="hybridMultilevel"/>
    <w:tmpl w:val="4B5C97C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1" w15:restartNumberingAfterBreak="0">
    <w:nsid w:val="535825F4"/>
    <w:multiLevelType w:val="hybridMultilevel"/>
    <w:tmpl w:val="C1A08B72"/>
    <w:lvl w:ilvl="0" w:tplc="0409000B">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32" w15:restartNumberingAfterBreak="0">
    <w:nsid w:val="55167C77"/>
    <w:multiLevelType w:val="hybridMultilevel"/>
    <w:tmpl w:val="447CB2C2"/>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3" w15:restartNumberingAfterBreak="0">
    <w:nsid w:val="55B6785A"/>
    <w:multiLevelType w:val="hybridMultilevel"/>
    <w:tmpl w:val="BB90108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4" w15:restartNumberingAfterBreak="0">
    <w:nsid w:val="5CFF7E8C"/>
    <w:multiLevelType w:val="hybridMultilevel"/>
    <w:tmpl w:val="3EF6ECBA"/>
    <w:lvl w:ilvl="0" w:tplc="0409000B">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5" w15:restartNumberingAfterBreak="0">
    <w:nsid w:val="5F5C1E40"/>
    <w:multiLevelType w:val="hybridMultilevel"/>
    <w:tmpl w:val="ACBE75FE"/>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6" w15:restartNumberingAfterBreak="0">
    <w:nsid w:val="621D3365"/>
    <w:multiLevelType w:val="hybridMultilevel"/>
    <w:tmpl w:val="0E30893C"/>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7" w15:restartNumberingAfterBreak="0">
    <w:nsid w:val="62535F7E"/>
    <w:multiLevelType w:val="hybridMultilevel"/>
    <w:tmpl w:val="6C9C14B8"/>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38" w15:restartNumberingAfterBreak="0">
    <w:nsid w:val="65D56731"/>
    <w:multiLevelType w:val="hybridMultilevel"/>
    <w:tmpl w:val="0C2A24F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CA66D60"/>
    <w:multiLevelType w:val="hybridMultilevel"/>
    <w:tmpl w:val="88B65996"/>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0" w15:restartNumberingAfterBreak="0">
    <w:nsid w:val="6E8B1441"/>
    <w:multiLevelType w:val="hybridMultilevel"/>
    <w:tmpl w:val="21EA8AF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41" w15:restartNumberingAfterBreak="0">
    <w:nsid w:val="706A60C9"/>
    <w:multiLevelType w:val="hybridMultilevel"/>
    <w:tmpl w:val="BA04A6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0720810"/>
    <w:multiLevelType w:val="multilevel"/>
    <w:tmpl w:val="1F601B62"/>
    <w:lvl w:ilvl="0">
      <w:start w:val="2"/>
      <w:numFmt w:val="decimal"/>
      <w:lvlText w:val="%1"/>
      <w:lvlJc w:val="left"/>
      <w:pPr>
        <w:ind w:left="480" w:hanging="480"/>
      </w:pPr>
      <w:rPr>
        <w:rFonts w:hint="default"/>
      </w:rPr>
    </w:lvl>
    <w:lvl w:ilvl="1">
      <w:start w:val="3"/>
      <w:numFmt w:val="decimal"/>
      <w:lvlText w:val="%1.%2"/>
      <w:lvlJc w:val="left"/>
      <w:pPr>
        <w:ind w:left="480" w:hanging="48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3" w15:restartNumberingAfterBreak="0">
    <w:nsid w:val="72C073E0"/>
    <w:multiLevelType w:val="hybridMultilevel"/>
    <w:tmpl w:val="35649F0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4" w15:restartNumberingAfterBreak="0">
    <w:nsid w:val="74CA3D2D"/>
    <w:multiLevelType w:val="hybridMultilevel"/>
    <w:tmpl w:val="4B4E4E9A"/>
    <w:lvl w:ilvl="0" w:tplc="04090009">
      <w:start w:val="1"/>
      <w:numFmt w:val="bullet"/>
      <w:lvlText w:val=""/>
      <w:lvlJc w:val="left"/>
      <w:pPr>
        <w:ind w:left="780" w:hanging="360"/>
      </w:pPr>
      <w:rPr>
        <w:rFonts w:ascii="Wingdings" w:hAnsi="Wingdings" w:hint="default"/>
      </w:rPr>
    </w:lvl>
    <w:lvl w:ilvl="1" w:tplc="04090003" w:tentative="1">
      <w:start w:val="1"/>
      <w:numFmt w:val="bullet"/>
      <w:lvlText w:val="o"/>
      <w:lvlJc w:val="left"/>
      <w:pPr>
        <w:ind w:left="1500" w:hanging="360"/>
      </w:pPr>
      <w:rPr>
        <w:rFonts w:ascii="Courier New" w:hAnsi="Courier New" w:cs="Courier New" w:hint="default"/>
      </w:rPr>
    </w:lvl>
    <w:lvl w:ilvl="2" w:tplc="04090005" w:tentative="1">
      <w:start w:val="1"/>
      <w:numFmt w:val="bullet"/>
      <w:lvlText w:val=""/>
      <w:lvlJc w:val="left"/>
      <w:pPr>
        <w:ind w:left="2220" w:hanging="360"/>
      </w:pPr>
      <w:rPr>
        <w:rFonts w:ascii="Wingdings" w:hAnsi="Wingdings" w:hint="default"/>
      </w:rPr>
    </w:lvl>
    <w:lvl w:ilvl="3" w:tplc="04090001" w:tentative="1">
      <w:start w:val="1"/>
      <w:numFmt w:val="bullet"/>
      <w:lvlText w:val=""/>
      <w:lvlJc w:val="left"/>
      <w:pPr>
        <w:ind w:left="2940" w:hanging="360"/>
      </w:pPr>
      <w:rPr>
        <w:rFonts w:ascii="Symbol" w:hAnsi="Symbol" w:hint="default"/>
      </w:rPr>
    </w:lvl>
    <w:lvl w:ilvl="4" w:tplc="04090003" w:tentative="1">
      <w:start w:val="1"/>
      <w:numFmt w:val="bullet"/>
      <w:lvlText w:val="o"/>
      <w:lvlJc w:val="left"/>
      <w:pPr>
        <w:ind w:left="3660" w:hanging="360"/>
      </w:pPr>
      <w:rPr>
        <w:rFonts w:ascii="Courier New" w:hAnsi="Courier New" w:cs="Courier New" w:hint="default"/>
      </w:rPr>
    </w:lvl>
    <w:lvl w:ilvl="5" w:tplc="04090005" w:tentative="1">
      <w:start w:val="1"/>
      <w:numFmt w:val="bullet"/>
      <w:lvlText w:val=""/>
      <w:lvlJc w:val="left"/>
      <w:pPr>
        <w:ind w:left="4380" w:hanging="360"/>
      </w:pPr>
      <w:rPr>
        <w:rFonts w:ascii="Wingdings" w:hAnsi="Wingdings" w:hint="default"/>
      </w:rPr>
    </w:lvl>
    <w:lvl w:ilvl="6" w:tplc="04090001" w:tentative="1">
      <w:start w:val="1"/>
      <w:numFmt w:val="bullet"/>
      <w:lvlText w:val=""/>
      <w:lvlJc w:val="left"/>
      <w:pPr>
        <w:ind w:left="5100" w:hanging="360"/>
      </w:pPr>
      <w:rPr>
        <w:rFonts w:ascii="Symbol" w:hAnsi="Symbol" w:hint="default"/>
      </w:rPr>
    </w:lvl>
    <w:lvl w:ilvl="7" w:tplc="04090003" w:tentative="1">
      <w:start w:val="1"/>
      <w:numFmt w:val="bullet"/>
      <w:lvlText w:val="o"/>
      <w:lvlJc w:val="left"/>
      <w:pPr>
        <w:ind w:left="5820" w:hanging="360"/>
      </w:pPr>
      <w:rPr>
        <w:rFonts w:ascii="Courier New" w:hAnsi="Courier New" w:cs="Courier New" w:hint="default"/>
      </w:rPr>
    </w:lvl>
    <w:lvl w:ilvl="8" w:tplc="04090005" w:tentative="1">
      <w:start w:val="1"/>
      <w:numFmt w:val="bullet"/>
      <w:lvlText w:val=""/>
      <w:lvlJc w:val="left"/>
      <w:pPr>
        <w:ind w:left="6540" w:hanging="360"/>
      </w:pPr>
      <w:rPr>
        <w:rFonts w:ascii="Wingdings" w:hAnsi="Wingdings" w:hint="default"/>
      </w:rPr>
    </w:lvl>
  </w:abstractNum>
  <w:abstractNum w:abstractNumId="45" w15:restartNumberingAfterBreak="0">
    <w:nsid w:val="75A21802"/>
    <w:multiLevelType w:val="hybridMultilevel"/>
    <w:tmpl w:val="968CDEDE"/>
    <w:lvl w:ilvl="0" w:tplc="04090009">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6" w15:restartNumberingAfterBreak="0">
    <w:nsid w:val="785C4277"/>
    <w:multiLevelType w:val="hybridMultilevel"/>
    <w:tmpl w:val="88E64BA4"/>
    <w:lvl w:ilvl="0" w:tplc="08090001">
      <w:start w:val="1"/>
      <w:numFmt w:val="bullet"/>
      <w:lvlText w:val=""/>
      <w:lvlJc w:val="left"/>
      <w:pPr>
        <w:ind w:left="360" w:hanging="360"/>
      </w:pPr>
      <w:rPr>
        <w:rFonts w:ascii="Symbol" w:hAnsi="Symbol" w:hint="default"/>
      </w:rPr>
    </w:lvl>
    <w:lvl w:ilvl="1" w:tplc="FFFFFFFF" w:tentative="1">
      <w:start w:val="1"/>
      <w:numFmt w:val="bullet"/>
      <w:lvlText w:val="o"/>
      <w:lvlJc w:val="left"/>
      <w:pPr>
        <w:ind w:left="1080" w:hanging="360"/>
      </w:pPr>
      <w:rPr>
        <w:rFonts w:ascii="Courier New" w:hAnsi="Courier New" w:cs="Courier New" w:hint="default"/>
      </w:rPr>
    </w:lvl>
    <w:lvl w:ilvl="2" w:tplc="FFFFFFFF" w:tentative="1">
      <w:start w:val="1"/>
      <w:numFmt w:val="bullet"/>
      <w:lvlText w:val=""/>
      <w:lvlJc w:val="left"/>
      <w:pPr>
        <w:ind w:left="1800" w:hanging="360"/>
      </w:pPr>
      <w:rPr>
        <w:rFonts w:ascii="Wingdings" w:hAnsi="Wingdings" w:hint="default"/>
      </w:rPr>
    </w:lvl>
    <w:lvl w:ilvl="3" w:tplc="FFFFFFFF" w:tentative="1">
      <w:start w:val="1"/>
      <w:numFmt w:val="bullet"/>
      <w:lvlText w:val=""/>
      <w:lvlJc w:val="left"/>
      <w:pPr>
        <w:ind w:left="2520" w:hanging="360"/>
      </w:pPr>
      <w:rPr>
        <w:rFonts w:ascii="Symbol" w:hAnsi="Symbol" w:hint="default"/>
      </w:rPr>
    </w:lvl>
    <w:lvl w:ilvl="4" w:tplc="FFFFFFFF" w:tentative="1">
      <w:start w:val="1"/>
      <w:numFmt w:val="bullet"/>
      <w:lvlText w:val="o"/>
      <w:lvlJc w:val="left"/>
      <w:pPr>
        <w:ind w:left="3240" w:hanging="360"/>
      </w:pPr>
      <w:rPr>
        <w:rFonts w:ascii="Courier New" w:hAnsi="Courier New" w:cs="Courier New" w:hint="default"/>
      </w:rPr>
    </w:lvl>
    <w:lvl w:ilvl="5" w:tplc="FFFFFFFF" w:tentative="1">
      <w:start w:val="1"/>
      <w:numFmt w:val="bullet"/>
      <w:lvlText w:val=""/>
      <w:lvlJc w:val="left"/>
      <w:pPr>
        <w:ind w:left="3960" w:hanging="360"/>
      </w:pPr>
      <w:rPr>
        <w:rFonts w:ascii="Wingdings" w:hAnsi="Wingdings" w:hint="default"/>
      </w:rPr>
    </w:lvl>
    <w:lvl w:ilvl="6" w:tplc="FFFFFFFF" w:tentative="1">
      <w:start w:val="1"/>
      <w:numFmt w:val="bullet"/>
      <w:lvlText w:val=""/>
      <w:lvlJc w:val="left"/>
      <w:pPr>
        <w:ind w:left="4680" w:hanging="360"/>
      </w:pPr>
      <w:rPr>
        <w:rFonts w:ascii="Symbol" w:hAnsi="Symbol" w:hint="default"/>
      </w:rPr>
    </w:lvl>
    <w:lvl w:ilvl="7" w:tplc="FFFFFFFF" w:tentative="1">
      <w:start w:val="1"/>
      <w:numFmt w:val="bullet"/>
      <w:lvlText w:val="o"/>
      <w:lvlJc w:val="left"/>
      <w:pPr>
        <w:ind w:left="5400" w:hanging="360"/>
      </w:pPr>
      <w:rPr>
        <w:rFonts w:ascii="Courier New" w:hAnsi="Courier New" w:cs="Courier New" w:hint="default"/>
      </w:rPr>
    </w:lvl>
    <w:lvl w:ilvl="8" w:tplc="FFFFFFFF" w:tentative="1">
      <w:start w:val="1"/>
      <w:numFmt w:val="bullet"/>
      <w:lvlText w:val=""/>
      <w:lvlJc w:val="left"/>
      <w:pPr>
        <w:ind w:left="6120" w:hanging="360"/>
      </w:pPr>
      <w:rPr>
        <w:rFonts w:ascii="Wingdings" w:hAnsi="Wingdings" w:hint="default"/>
      </w:rPr>
    </w:lvl>
  </w:abstractNum>
  <w:abstractNum w:abstractNumId="47" w15:restartNumberingAfterBreak="0">
    <w:nsid w:val="7A514C64"/>
    <w:multiLevelType w:val="hybridMultilevel"/>
    <w:tmpl w:val="C64AB9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8" w15:restartNumberingAfterBreak="0">
    <w:nsid w:val="7DD52A95"/>
    <w:multiLevelType w:val="hybridMultilevel"/>
    <w:tmpl w:val="C5A6EB1A"/>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num w:numId="1" w16cid:durableId="2002266773">
    <w:abstractNumId w:val="8"/>
  </w:num>
  <w:num w:numId="2" w16cid:durableId="954410765">
    <w:abstractNumId w:val="45"/>
  </w:num>
  <w:num w:numId="3" w16cid:durableId="342170496">
    <w:abstractNumId w:val="30"/>
  </w:num>
  <w:num w:numId="4" w16cid:durableId="517157664">
    <w:abstractNumId w:val="26"/>
  </w:num>
  <w:num w:numId="5" w16cid:durableId="1016804989">
    <w:abstractNumId w:val="25"/>
  </w:num>
  <w:num w:numId="6" w16cid:durableId="1858426651">
    <w:abstractNumId w:val="44"/>
  </w:num>
  <w:num w:numId="7" w16cid:durableId="1844203090">
    <w:abstractNumId w:val="3"/>
  </w:num>
  <w:num w:numId="8" w16cid:durableId="1063140255">
    <w:abstractNumId w:val="11"/>
  </w:num>
  <w:num w:numId="9" w16cid:durableId="409471045">
    <w:abstractNumId w:val="6"/>
  </w:num>
  <w:num w:numId="10" w16cid:durableId="1752001400">
    <w:abstractNumId w:val="27"/>
  </w:num>
  <w:num w:numId="11" w16cid:durableId="1228302268">
    <w:abstractNumId w:val="31"/>
  </w:num>
  <w:num w:numId="12" w16cid:durableId="959800175">
    <w:abstractNumId w:val="2"/>
  </w:num>
  <w:num w:numId="13" w16cid:durableId="1737776525">
    <w:abstractNumId w:val="0"/>
  </w:num>
  <w:num w:numId="14" w16cid:durableId="1659310258">
    <w:abstractNumId w:val="10"/>
  </w:num>
  <w:num w:numId="15" w16cid:durableId="2020883317">
    <w:abstractNumId w:val="37"/>
  </w:num>
  <w:num w:numId="16" w16cid:durableId="382826876">
    <w:abstractNumId w:val="40"/>
  </w:num>
  <w:num w:numId="17" w16cid:durableId="614948067">
    <w:abstractNumId w:val="28"/>
  </w:num>
  <w:num w:numId="18" w16cid:durableId="834801992">
    <w:abstractNumId w:val="1"/>
  </w:num>
  <w:num w:numId="19" w16cid:durableId="1243490277">
    <w:abstractNumId w:val="32"/>
  </w:num>
  <w:num w:numId="20" w16cid:durableId="1947274207">
    <w:abstractNumId w:val="5"/>
  </w:num>
  <w:num w:numId="21" w16cid:durableId="761610017">
    <w:abstractNumId w:val="48"/>
  </w:num>
  <w:num w:numId="22" w16cid:durableId="1190945441">
    <w:abstractNumId w:val="23"/>
  </w:num>
  <w:num w:numId="23" w16cid:durableId="872302551">
    <w:abstractNumId w:val="39"/>
  </w:num>
  <w:num w:numId="24" w16cid:durableId="1064527676">
    <w:abstractNumId w:val="9"/>
  </w:num>
  <w:num w:numId="25" w16cid:durableId="1290624961">
    <w:abstractNumId w:val="43"/>
  </w:num>
  <w:num w:numId="26" w16cid:durableId="374963787">
    <w:abstractNumId w:val="36"/>
  </w:num>
  <w:num w:numId="27" w16cid:durableId="2052143885">
    <w:abstractNumId w:val="29"/>
  </w:num>
  <w:num w:numId="28" w16cid:durableId="287930325">
    <w:abstractNumId w:val="35"/>
  </w:num>
  <w:num w:numId="29" w16cid:durableId="2040084661">
    <w:abstractNumId w:val="14"/>
  </w:num>
  <w:num w:numId="30" w16cid:durableId="37291616">
    <w:abstractNumId w:val="15"/>
  </w:num>
  <w:num w:numId="31" w16cid:durableId="769618890">
    <w:abstractNumId w:val="16"/>
  </w:num>
  <w:num w:numId="32" w16cid:durableId="1788230289">
    <w:abstractNumId w:val="7"/>
  </w:num>
  <w:num w:numId="33" w16cid:durableId="717046644">
    <w:abstractNumId w:val="13"/>
  </w:num>
  <w:num w:numId="34" w16cid:durableId="1178499356">
    <w:abstractNumId w:val="20"/>
  </w:num>
  <w:num w:numId="35" w16cid:durableId="1834835842">
    <w:abstractNumId w:val="34"/>
  </w:num>
  <w:num w:numId="36" w16cid:durableId="1538926695">
    <w:abstractNumId w:val="22"/>
  </w:num>
  <w:num w:numId="37" w16cid:durableId="2023435381">
    <w:abstractNumId w:val="19"/>
  </w:num>
  <w:num w:numId="38" w16cid:durableId="148788522">
    <w:abstractNumId w:val="47"/>
  </w:num>
  <w:num w:numId="39" w16cid:durableId="1393233563">
    <w:abstractNumId w:val="41"/>
  </w:num>
  <w:num w:numId="40" w16cid:durableId="376659925">
    <w:abstractNumId w:val="46"/>
  </w:num>
  <w:num w:numId="41" w16cid:durableId="24141689">
    <w:abstractNumId w:val="42"/>
  </w:num>
  <w:num w:numId="42" w16cid:durableId="444353211">
    <w:abstractNumId w:val="17"/>
  </w:num>
  <w:num w:numId="43" w16cid:durableId="438991553">
    <w:abstractNumId w:val="12"/>
  </w:num>
  <w:num w:numId="44" w16cid:durableId="480535349">
    <w:abstractNumId w:val="21"/>
  </w:num>
  <w:num w:numId="45" w16cid:durableId="982153224">
    <w:abstractNumId w:val="18"/>
  </w:num>
  <w:num w:numId="46" w16cid:durableId="457337221">
    <w:abstractNumId w:val="33"/>
  </w:num>
  <w:num w:numId="47" w16cid:durableId="2030905519">
    <w:abstractNumId w:val="4"/>
  </w:num>
  <w:num w:numId="48" w16cid:durableId="730275740">
    <w:abstractNumId w:val="38"/>
  </w:num>
  <w:num w:numId="49" w16cid:durableId="265163991">
    <w:abstractNumId w:val="24"/>
  </w:num>
  <w:numIdMacAtCleanup w:val="12"/>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4162C"/>
    <w:rsid w:val="00001233"/>
    <w:rsid w:val="0000177D"/>
    <w:rsid w:val="00001AF9"/>
    <w:rsid w:val="00001DF9"/>
    <w:rsid w:val="00002455"/>
    <w:rsid w:val="000025E4"/>
    <w:rsid w:val="00002938"/>
    <w:rsid w:val="00002D25"/>
    <w:rsid w:val="00002D65"/>
    <w:rsid w:val="00002D7B"/>
    <w:rsid w:val="00002E5F"/>
    <w:rsid w:val="00003122"/>
    <w:rsid w:val="00003771"/>
    <w:rsid w:val="00003DD5"/>
    <w:rsid w:val="000046E6"/>
    <w:rsid w:val="00004CB2"/>
    <w:rsid w:val="00004CD0"/>
    <w:rsid w:val="0000528A"/>
    <w:rsid w:val="0000529F"/>
    <w:rsid w:val="0000551C"/>
    <w:rsid w:val="000056E6"/>
    <w:rsid w:val="00005A6F"/>
    <w:rsid w:val="00005D33"/>
    <w:rsid w:val="00005F1B"/>
    <w:rsid w:val="00006855"/>
    <w:rsid w:val="00006C89"/>
    <w:rsid w:val="0000735D"/>
    <w:rsid w:val="00007732"/>
    <w:rsid w:val="00007B05"/>
    <w:rsid w:val="00007F9C"/>
    <w:rsid w:val="000115A4"/>
    <w:rsid w:val="00011858"/>
    <w:rsid w:val="00011ADA"/>
    <w:rsid w:val="00011E13"/>
    <w:rsid w:val="000127B1"/>
    <w:rsid w:val="0001378A"/>
    <w:rsid w:val="000141D9"/>
    <w:rsid w:val="00015BE7"/>
    <w:rsid w:val="00015C6B"/>
    <w:rsid w:val="00015D2C"/>
    <w:rsid w:val="00015EDE"/>
    <w:rsid w:val="000166DE"/>
    <w:rsid w:val="00017120"/>
    <w:rsid w:val="0001729A"/>
    <w:rsid w:val="00017520"/>
    <w:rsid w:val="00017CBC"/>
    <w:rsid w:val="00017E78"/>
    <w:rsid w:val="00017EA1"/>
    <w:rsid w:val="00020074"/>
    <w:rsid w:val="00020595"/>
    <w:rsid w:val="00021315"/>
    <w:rsid w:val="000215A1"/>
    <w:rsid w:val="00021C8B"/>
    <w:rsid w:val="00021E6E"/>
    <w:rsid w:val="00022041"/>
    <w:rsid w:val="0002232A"/>
    <w:rsid w:val="000223FF"/>
    <w:rsid w:val="00022A5E"/>
    <w:rsid w:val="00022BB3"/>
    <w:rsid w:val="00023026"/>
    <w:rsid w:val="0002320A"/>
    <w:rsid w:val="0002371F"/>
    <w:rsid w:val="0002383F"/>
    <w:rsid w:val="00024355"/>
    <w:rsid w:val="00024502"/>
    <w:rsid w:val="00024876"/>
    <w:rsid w:val="00024AE2"/>
    <w:rsid w:val="000251E5"/>
    <w:rsid w:val="00025827"/>
    <w:rsid w:val="00026416"/>
    <w:rsid w:val="000267B3"/>
    <w:rsid w:val="00026B09"/>
    <w:rsid w:val="00026B11"/>
    <w:rsid w:val="00027400"/>
    <w:rsid w:val="00027CD9"/>
    <w:rsid w:val="000300E4"/>
    <w:rsid w:val="00030110"/>
    <w:rsid w:val="0003163C"/>
    <w:rsid w:val="00031FA8"/>
    <w:rsid w:val="0003265A"/>
    <w:rsid w:val="00032C38"/>
    <w:rsid w:val="0003408C"/>
    <w:rsid w:val="000348A6"/>
    <w:rsid w:val="00034BF1"/>
    <w:rsid w:val="000356B6"/>
    <w:rsid w:val="0003696D"/>
    <w:rsid w:val="00036E39"/>
    <w:rsid w:val="00036FB0"/>
    <w:rsid w:val="000406FC"/>
    <w:rsid w:val="00041119"/>
    <w:rsid w:val="00041516"/>
    <w:rsid w:val="000419E2"/>
    <w:rsid w:val="00042E5D"/>
    <w:rsid w:val="00043264"/>
    <w:rsid w:val="00043607"/>
    <w:rsid w:val="00043804"/>
    <w:rsid w:val="000444CD"/>
    <w:rsid w:val="00044DB3"/>
    <w:rsid w:val="000450C3"/>
    <w:rsid w:val="0004515D"/>
    <w:rsid w:val="00045ACC"/>
    <w:rsid w:val="000468DE"/>
    <w:rsid w:val="00046CE1"/>
    <w:rsid w:val="00046D2F"/>
    <w:rsid w:val="0004750F"/>
    <w:rsid w:val="0004766A"/>
    <w:rsid w:val="000477D3"/>
    <w:rsid w:val="000512C8"/>
    <w:rsid w:val="00051462"/>
    <w:rsid w:val="000516DA"/>
    <w:rsid w:val="00052F39"/>
    <w:rsid w:val="00053952"/>
    <w:rsid w:val="00053A64"/>
    <w:rsid w:val="00053E6B"/>
    <w:rsid w:val="0005491D"/>
    <w:rsid w:val="00054C11"/>
    <w:rsid w:val="0005527F"/>
    <w:rsid w:val="00057F13"/>
    <w:rsid w:val="00060586"/>
    <w:rsid w:val="00060980"/>
    <w:rsid w:val="00060F93"/>
    <w:rsid w:val="00061403"/>
    <w:rsid w:val="000614D7"/>
    <w:rsid w:val="00061926"/>
    <w:rsid w:val="000625F9"/>
    <w:rsid w:val="00063147"/>
    <w:rsid w:val="00063D49"/>
    <w:rsid w:val="00063E88"/>
    <w:rsid w:val="00065F98"/>
    <w:rsid w:val="00066049"/>
    <w:rsid w:val="0006625F"/>
    <w:rsid w:val="00066EB6"/>
    <w:rsid w:val="0006729A"/>
    <w:rsid w:val="000672FC"/>
    <w:rsid w:val="0006799E"/>
    <w:rsid w:val="000679E5"/>
    <w:rsid w:val="00070426"/>
    <w:rsid w:val="00070F41"/>
    <w:rsid w:val="00071DCF"/>
    <w:rsid w:val="00071E3D"/>
    <w:rsid w:val="00073255"/>
    <w:rsid w:val="00073423"/>
    <w:rsid w:val="00073459"/>
    <w:rsid w:val="0007426A"/>
    <w:rsid w:val="00074E59"/>
    <w:rsid w:val="0007523A"/>
    <w:rsid w:val="0007533F"/>
    <w:rsid w:val="00075D93"/>
    <w:rsid w:val="00075DCA"/>
    <w:rsid w:val="0007600E"/>
    <w:rsid w:val="0007613F"/>
    <w:rsid w:val="00076670"/>
    <w:rsid w:val="00077710"/>
    <w:rsid w:val="0007786A"/>
    <w:rsid w:val="00077D3F"/>
    <w:rsid w:val="00077FCD"/>
    <w:rsid w:val="00080066"/>
    <w:rsid w:val="0008049B"/>
    <w:rsid w:val="000811A3"/>
    <w:rsid w:val="000812CB"/>
    <w:rsid w:val="00081370"/>
    <w:rsid w:val="000817ED"/>
    <w:rsid w:val="0008210F"/>
    <w:rsid w:val="000827B8"/>
    <w:rsid w:val="000830D2"/>
    <w:rsid w:val="00083B0F"/>
    <w:rsid w:val="00083CA7"/>
    <w:rsid w:val="0008477A"/>
    <w:rsid w:val="00085406"/>
    <w:rsid w:val="00085B35"/>
    <w:rsid w:val="00086586"/>
    <w:rsid w:val="00086931"/>
    <w:rsid w:val="00087011"/>
    <w:rsid w:val="00087BF1"/>
    <w:rsid w:val="00087DD6"/>
    <w:rsid w:val="00090698"/>
    <w:rsid w:val="000907B1"/>
    <w:rsid w:val="00091046"/>
    <w:rsid w:val="0009151A"/>
    <w:rsid w:val="00091614"/>
    <w:rsid w:val="00091BBC"/>
    <w:rsid w:val="0009200A"/>
    <w:rsid w:val="000924E8"/>
    <w:rsid w:val="000930DE"/>
    <w:rsid w:val="000932EE"/>
    <w:rsid w:val="00093458"/>
    <w:rsid w:val="000936A5"/>
    <w:rsid w:val="00094486"/>
    <w:rsid w:val="000946A2"/>
    <w:rsid w:val="0009548C"/>
    <w:rsid w:val="00095793"/>
    <w:rsid w:val="00095912"/>
    <w:rsid w:val="00095B39"/>
    <w:rsid w:val="00095FB4"/>
    <w:rsid w:val="0009632C"/>
    <w:rsid w:val="0009775B"/>
    <w:rsid w:val="00097A96"/>
    <w:rsid w:val="00097F8D"/>
    <w:rsid w:val="000A0C35"/>
    <w:rsid w:val="000A0D92"/>
    <w:rsid w:val="000A1A09"/>
    <w:rsid w:val="000A1EAB"/>
    <w:rsid w:val="000A2789"/>
    <w:rsid w:val="000A2CBD"/>
    <w:rsid w:val="000A368D"/>
    <w:rsid w:val="000A3E4A"/>
    <w:rsid w:val="000A471B"/>
    <w:rsid w:val="000A4984"/>
    <w:rsid w:val="000A4BFD"/>
    <w:rsid w:val="000A602B"/>
    <w:rsid w:val="000A6471"/>
    <w:rsid w:val="000A699F"/>
    <w:rsid w:val="000A6A46"/>
    <w:rsid w:val="000A7D33"/>
    <w:rsid w:val="000A7E59"/>
    <w:rsid w:val="000B1834"/>
    <w:rsid w:val="000B1D0F"/>
    <w:rsid w:val="000B1DDD"/>
    <w:rsid w:val="000B286A"/>
    <w:rsid w:val="000B2AB3"/>
    <w:rsid w:val="000B3F95"/>
    <w:rsid w:val="000B4390"/>
    <w:rsid w:val="000B498D"/>
    <w:rsid w:val="000B49F5"/>
    <w:rsid w:val="000B4A7F"/>
    <w:rsid w:val="000B502D"/>
    <w:rsid w:val="000B5539"/>
    <w:rsid w:val="000B5698"/>
    <w:rsid w:val="000B581D"/>
    <w:rsid w:val="000B5E64"/>
    <w:rsid w:val="000B62D1"/>
    <w:rsid w:val="000B69B9"/>
    <w:rsid w:val="000B6AA4"/>
    <w:rsid w:val="000B7F47"/>
    <w:rsid w:val="000C0180"/>
    <w:rsid w:val="000C0A85"/>
    <w:rsid w:val="000C1500"/>
    <w:rsid w:val="000C15F8"/>
    <w:rsid w:val="000C22AA"/>
    <w:rsid w:val="000C2B05"/>
    <w:rsid w:val="000C2D4C"/>
    <w:rsid w:val="000C3D82"/>
    <w:rsid w:val="000C4831"/>
    <w:rsid w:val="000C4ADC"/>
    <w:rsid w:val="000C56F3"/>
    <w:rsid w:val="000C5A6D"/>
    <w:rsid w:val="000C6363"/>
    <w:rsid w:val="000C690C"/>
    <w:rsid w:val="000C6A27"/>
    <w:rsid w:val="000C6F7A"/>
    <w:rsid w:val="000C7AE4"/>
    <w:rsid w:val="000C7BE4"/>
    <w:rsid w:val="000C7DFD"/>
    <w:rsid w:val="000C7FD6"/>
    <w:rsid w:val="000D00C9"/>
    <w:rsid w:val="000D113A"/>
    <w:rsid w:val="000D134A"/>
    <w:rsid w:val="000D1694"/>
    <w:rsid w:val="000D1A89"/>
    <w:rsid w:val="000D2BAB"/>
    <w:rsid w:val="000D2C0B"/>
    <w:rsid w:val="000D2DB6"/>
    <w:rsid w:val="000D445C"/>
    <w:rsid w:val="000D4801"/>
    <w:rsid w:val="000D497B"/>
    <w:rsid w:val="000D4CEC"/>
    <w:rsid w:val="000D6EA4"/>
    <w:rsid w:val="000D6F4D"/>
    <w:rsid w:val="000D7E4C"/>
    <w:rsid w:val="000D7F5F"/>
    <w:rsid w:val="000E07D5"/>
    <w:rsid w:val="000E0A11"/>
    <w:rsid w:val="000E0DE1"/>
    <w:rsid w:val="000E12AF"/>
    <w:rsid w:val="000E1306"/>
    <w:rsid w:val="000E1777"/>
    <w:rsid w:val="000E240C"/>
    <w:rsid w:val="000E2869"/>
    <w:rsid w:val="000E3BD9"/>
    <w:rsid w:val="000E3DE0"/>
    <w:rsid w:val="000E4966"/>
    <w:rsid w:val="000E5045"/>
    <w:rsid w:val="000E5191"/>
    <w:rsid w:val="000E55CC"/>
    <w:rsid w:val="000E6AD4"/>
    <w:rsid w:val="000E709F"/>
    <w:rsid w:val="000E76FF"/>
    <w:rsid w:val="000E7B32"/>
    <w:rsid w:val="000E7F80"/>
    <w:rsid w:val="000F0688"/>
    <w:rsid w:val="000F08CD"/>
    <w:rsid w:val="000F09DC"/>
    <w:rsid w:val="000F0B9B"/>
    <w:rsid w:val="000F0DED"/>
    <w:rsid w:val="000F0E35"/>
    <w:rsid w:val="000F1020"/>
    <w:rsid w:val="000F13F3"/>
    <w:rsid w:val="000F1827"/>
    <w:rsid w:val="000F28F0"/>
    <w:rsid w:val="000F2B71"/>
    <w:rsid w:val="000F35ED"/>
    <w:rsid w:val="000F3ACE"/>
    <w:rsid w:val="000F42D3"/>
    <w:rsid w:val="000F4352"/>
    <w:rsid w:val="000F4510"/>
    <w:rsid w:val="000F466D"/>
    <w:rsid w:val="000F4896"/>
    <w:rsid w:val="000F4D92"/>
    <w:rsid w:val="000F52E8"/>
    <w:rsid w:val="000F5BD3"/>
    <w:rsid w:val="000F6563"/>
    <w:rsid w:val="000F68BE"/>
    <w:rsid w:val="000F6B8E"/>
    <w:rsid w:val="000F7286"/>
    <w:rsid w:val="000F75E2"/>
    <w:rsid w:val="00100BB4"/>
    <w:rsid w:val="001013C9"/>
    <w:rsid w:val="001022F2"/>
    <w:rsid w:val="0010235E"/>
    <w:rsid w:val="001024E8"/>
    <w:rsid w:val="0010275D"/>
    <w:rsid w:val="001028FF"/>
    <w:rsid w:val="00102D92"/>
    <w:rsid w:val="0010327F"/>
    <w:rsid w:val="001035E6"/>
    <w:rsid w:val="00104388"/>
    <w:rsid w:val="001051BD"/>
    <w:rsid w:val="00105708"/>
    <w:rsid w:val="00106331"/>
    <w:rsid w:val="001064A5"/>
    <w:rsid w:val="001066FD"/>
    <w:rsid w:val="00106D03"/>
    <w:rsid w:val="00106DB5"/>
    <w:rsid w:val="00107478"/>
    <w:rsid w:val="00107F82"/>
    <w:rsid w:val="00110685"/>
    <w:rsid w:val="001109FC"/>
    <w:rsid w:val="00110AF4"/>
    <w:rsid w:val="00110FF8"/>
    <w:rsid w:val="001112EB"/>
    <w:rsid w:val="00112092"/>
    <w:rsid w:val="001123BC"/>
    <w:rsid w:val="00112D0A"/>
    <w:rsid w:val="00113112"/>
    <w:rsid w:val="00113477"/>
    <w:rsid w:val="001135DA"/>
    <w:rsid w:val="00113C5B"/>
    <w:rsid w:val="00113CA7"/>
    <w:rsid w:val="00113D16"/>
    <w:rsid w:val="00113D3B"/>
    <w:rsid w:val="00113E01"/>
    <w:rsid w:val="0011432A"/>
    <w:rsid w:val="00115198"/>
    <w:rsid w:val="00115681"/>
    <w:rsid w:val="00115749"/>
    <w:rsid w:val="00115A4F"/>
    <w:rsid w:val="00115D45"/>
    <w:rsid w:val="001162BF"/>
    <w:rsid w:val="00116422"/>
    <w:rsid w:val="0011682A"/>
    <w:rsid w:val="00116CF4"/>
    <w:rsid w:val="00116E11"/>
    <w:rsid w:val="00117A27"/>
    <w:rsid w:val="00117B4E"/>
    <w:rsid w:val="00117CDD"/>
    <w:rsid w:val="00117F3D"/>
    <w:rsid w:val="00120235"/>
    <w:rsid w:val="00120B08"/>
    <w:rsid w:val="0012115D"/>
    <w:rsid w:val="001212D6"/>
    <w:rsid w:val="001213CE"/>
    <w:rsid w:val="001216BB"/>
    <w:rsid w:val="0012262C"/>
    <w:rsid w:val="00122885"/>
    <w:rsid w:val="00122912"/>
    <w:rsid w:val="001230B2"/>
    <w:rsid w:val="0012310B"/>
    <w:rsid w:val="0012375F"/>
    <w:rsid w:val="00123821"/>
    <w:rsid w:val="00123ACB"/>
    <w:rsid w:val="001241B0"/>
    <w:rsid w:val="0012427F"/>
    <w:rsid w:val="001244DE"/>
    <w:rsid w:val="00124A52"/>
    <w:rsid w:val="00124AAC"/>
    <w:rsid w:val="00124D17"/>
    <w:rsid w:val="00124FF2"/>
    <w:rsid w:val="001256D4"/>
    <w:rsid w:val="001257DB"/>
    <w:rsid w:val="00125E9C"/>
    <w:rsid w:val="00126823"/>
    <w:rsid w:val="00130209"/>
    <w:rsid w:val="00130C3C"/>
    <w:rsid w:val="00131050"/>
    <w:rsid w:val="00131580"/>
    <w:rsid w:val="00131C9C"/>
    <w:rsid w:val="0013211A"/>
    <w:rsid w:val="001326C3"/>
    <w:rsid w:val="001327E6"/>
    <w:rsid w:val="001329CC"/>
    <w:rsid w:val="00132FFA"/>
    <w:rsid w:val="001332B4"/>
    <w:rsid w:val="0013333A"/>
    <w:rsid w:val="00133410"/>
    <w:rsid w:val="00133D78"/>
    <w:rsid w:val="00133E6E"/>
    <w:rsid w:val="00134EA1"/>
    <w:rsid w:val="001358A8"/>
    <w:rsid w:val="00135970"/>
    <w:rsid w:val="00135A8B"/>
    <w:rsid w:val="00135E86"/>
    <w:rsid w:val="001365E7"/>
    <w:rsid w:val="00136DD8"/>
    <w:rsid w:val="00136DFE"/>
    <w:rsid w:val="001370D6"/>
    <w:rsid w:val="001372DC"/>
    <w:rsid w:val="00137A59"/>
    <w:rsid w:val="00137EDD"/>
    <w:rsid w:val="00140265"/>
    <w:rsid w:val="00140B75"/>
    <w:rsid w:val="00140F6A"/>
    <w:rsid w:val="0014120F"/>
    <w:rsid w:val="001416BD"/>
    <w:rsid w:val="001418E3"/>
    <w:rsid w:val="00141B39"/>
    <w:rsid w:val="00141BF9"/>
    <w:rsid w:val="00142DC5"/>
    <w:rsid w:val="00143824"/>
    <w:rsid w:val="00143CDB"/>
    <w:rsid w:val="00143DBF"/>
    <w:rsid w:val="00144161"/>
    <w:rsid w:val="0014559F"/>
    <w:rsid w:val="0014568C"/>
    <w:rsid w:val="00145712"/>
    <w:rsid w:val="0014664A"/>
    <w:rsid w:val="0014676D"/>
    <w:rsid w:val="0014692D"/>
    <w:rsid w:val="00146A6D"/>
    <w:rsid w:val="00147376"/>
    <w:rsid w:val="001474F0"/>
    <w:rsid w:val="001479E4"/>
    <w:rsid w:val="00147CC6"/>
    <w:rsid w:val="00152CBE"/>
    <w:rsid w:val="00153105"/>
    <w:rsid w:val="0015339C"/>
    <w:rsid w:val="001535AD"/>
    <w:rsid w:val="00153DFE"/>
    <w:rsid w:val="00154219"/>
    <w:rsid w:val="00154F32"/>
    <w:rsid w:val="00155236"/>
    <w:rsid w:val="0015536F"/>
    <w:rsid w:val="001556FE"/>
    <w:rsid w:val="00155C4A"/>
    <w:rsid w:val="00155D4B"/>
    <w:rsid w:val="0015658F"/>
    <w:rsid w:val="00156B2E"/>
    <w:rsid w:val="00156FD1"/>
    <w:rsid w:val="00157007"/>
    <w:rsid w:val="001578E7"/>
    <w:rsid w:val="0016022A"/>
    <w:rsid w:val="00160295"/>
    <w:rsid w:val="00160599"/>
    <w:rsid w:val="001606E1"/>
    <w:rsid w:val="00160D67"/>
    <w:rsid w:val="00160EB6"/>
    <w:rsid w:val="00162B18"/>
    <w:rsid w:val="001636B2"/>
    <w:rsid w:val="0016395C"/>
    <w:rsid w:val="001646AA"/>
    <w:rsid w:val="00165232"/>
    <w:rsid w:val="00165A6C"/>
    <w:rsid w:val="00165B91"/>
    <w:rsid w:val="001674E7"/>
    <w:rsid w:val="0016776B"/>
    <w:rsid w:val="001678CC"/>
    <w:rsid w:val="001701B4"/>
    <w:rsid w:val="0017119D"/>
    <w:rsid w:val="0017150F"/>
    <w:rsid w:val="001725D4"/>
    <w:rsid w:val="00172C6F"/>
    <w:rsid w:val="00173A34"/>
    <w:rsid w:val="00173CBD"/>
    <w:rsid w:val="00174285"/>
    <w:rsid w:val="0017437F"/>
    <w:rsid w:val="0017450A"/>
    <w:rsid w:val="00174672"/>
    <w:rsid w:val="0017475D"/>
    <w:rsid w:val="001747F7"/>
    <w:rsid w:val="00174CB4"/>
    <w:rsid w:val="00175808"/>
    <w:rsid w:val="00175AF2"/>
    <w:rsid w:val="00175EB7"/>
    <w:rsid w:val="00175F53"/>
    <w:rsid w:val="001762A8"/>
    <w:rsid w:val="001766A5"/>
    <w:rsid w:val="00176798"/>
    <w:rsid w:val="00176D3B"/>
    <w:rsid w:val="00176ECF"/>
    <w:rsid w:val="00177735"/>
    <w:rsid w:val="00177763"/>
    <w:rsid w:val="00180093"/>
    <w:rsid w:val="00180A1A"/>
    <w:rsid w:val="0018108C"/>
    <w:rsid w:val="001818D6"/>
    <w:rsid w:val="00181E95"/>
    <w:rsid w:val="00181E99"/>
    <w:rsid w:val="0018235B"/>
    <w:rsid w:val="001826DE"/>
    <w:rsid w:val="00182A05"/>
    <w:rsid w:val="00182F5B"/>
    <w:rsid w:val="00184367"/>
    <w:rsid w:val="00185A20"/>
    <w:rsid w:val="0018649D"/>
    <w:rsid w:val="00186A21"/>
    <w:rsid w:val="00186CA0"/>
    <w:rsid w:val="00186E00"/>
    <w:rsid w:val="001871C7"/>
    <w:rsid w:val="00187642"/>
    <w:rsid w:val="001901E2"/>
    <w:rsid w:val="00190592"/>
    <w:rsid w:val="00190ADA"/>
    <w:rsid w:val="00190ADD"/>
    <w:rsid w:val="00190C35"/>
    <w:rsid w:val="00190DB3"/>
    <w:rsid w:val="001911D8"/>
    <w:rsid w:val="00191493"/>
    <w:rsid w:val="00191B0E"/>
    <w:rsid w:val="00191BCB"/>
    <w:rsid w:val="00192036"/>
    <w:rsid w:val="001921CF"/>
    <w:rsid w:val="001929B7"/>
    <w:rsid w:val="00193A77"/>
    <w:rsid w:val="00193C09"/>
    <w:rsid w:val="00194701"/>
    <w:rsid w:val="00195138"/>
    <w:rsid w:val="0019513E"/>
    <w:rsid w:val="001954D3"/>
    <w:rsid w:val="00195AFF"/>
    <w:rsid w:val="00196226"/>
    <w:rsid w:val="0019677D"/>
    <w:rsid w:val="00196B17"/>
    <w:rsid w:val="0019731E"/>
    <w:rsid w:val="00197D87"/>
    <w:rsid w:val="001A0051"/>
    <w:rsid w:val="001A057A"/>
    <w:rsid w:val="001A0ACE"/>
    <w:rsid w:val="001A0D76"/>
    <w:rsid w:val="001A1E67"/>
    <w:rsid w:val="001A1F78"/>
    <w:rsid w:val="001A203B"/>
    <w:rsid w:val="001A2E1C"/>
    <w:rsid w:val="001A2E6C"/>
    <w:rsid w:val="001A3570"/>
    <w:rsid w:val="001A385C"/>
    <w:rsid w:val="001A3F6B"/>
    <w:rsid w:val="001A4165"/>
    <w:rsid w:val="001A50E5"/>
    <w:rsid w:val="001A5377"/>
    <w:rsid w:val="001A614B"/>
    <w:rsid w:val="001A68A6"/>
    <w:rsid w:val="001A6D65"/>
    <w:rsid w:val="001A7080"/>
    <w:rsid w:val="001B01E5"/>
    <w:rsid w:val="001B0815"/>
    <w:rsid w:val="001B0B10"/>
    <w:rsid w:val="001B1062"/>
    <w:rsid w:val="001B16AA"/>
    <w:rsid w:val="001B213D"/>
    <w:rsid w:val="001B263E"/>
    <w:rsid w:val="001B36B4"/>
    <w:rsid w:val="001B3914"/>
    <w:rsid w:val="001B3A28"/>
    <w:rsid w:val="001B3BC5"/>
    <w:rsid w:val="001B44FD"/>
    <w:rsid w:val="001B5566"/>
    <w:rsid w:val="001B5805"/>
    <w:rsid w:val="001B5D11"/>
    <w:rsid w:val="001B60A2"/>
    <w:rsid w:val="001B67E0"/>
    <w:rsid w:val="001B69A1"/>
    <w:rsid w:val="001B7949"/>
    <w:rsid w:val="001C0065"/>
    <w:rsid w:val="001C09C9"/>
    <w:rsid w:val="001C2171"/>
    <w:rsid w:val="001C2904"/>
    <w:rsid w:val="001C3632"/>
    <w:rsid w:val="001C3D26"/>
    <w:rsid w:val="001C3F96"/>
    <w:rsid w:val="001C4183"/>
    <w:rsid w:val="001C51E1"/>
    <w:rsid w:val="001C5343"/>
    <w:rsid w:val="001C53CB"/>
    <w:rsid w:val="001C5A0A"/>
    <w:rsid w:val="001C6356"/>
    <w:rsid w:val="001C64F2"/>
    <w:rsid w:val="001C6FBE"/>
    <w:rsid w:val="001C6FCF"/>
    <w:rsid w:val="001C73B6"/>
    <w:rsid w:val="001C7F87"/>
    <w:rsid w:val="001D0075"/>
    <w:rsid w:val="001D03C9"/>
    <w:rsid w:val="001D06BF"/>
    <w:rsid w:val="001D2BA5"/>
    <w:rsid w:val="001D2BE2"/>
    <w:rsid w:val="001D2D03"/>
    <w:rsid w:val="001D4E64"/>
    <w:rsid w:val="001D50D6"/>
    <w:rsid w:val="001D51D5"/>
    <w:rsid w:val="001D573F"/>
    <w:rsid w:val="001D58D0"/>
    <w:rsid w:val="001D59AC"/>
    <w:rsid w:val="001D640A"/>
    <w:rsid w:val="001D66AE"/>
    <w:rsid w:val="001D7D1B"/>
    <w:rsid w:val="001D7E62"/>
    <w:rsid w:val="001E0CB4"/>
    <w:rsid w:val="001E1D15"/>
    <w:rsid w:val="001E23FB"/>
    <w:rsid w:val="001E2520"/>
    <w:rsid w:val="001E26A8"/>
    <w:rsid w:val="001E26D7"/>
    <w:rsid w:val="001E6167"/>
    <w:rsid w:val="001E668E"/>
    <w:rsid w:val="001E673B"/>
    <w:rsid w:val="001E6868"/>
    <w:rsid w:val="001E6A7D"/>
    <w:rsid w:val="001E6DE5"/>
    <w:rsid w:val="001E6F17"/>
    <w:rsid w:val="001F0319"/>
    <w:rsid w:val="001F0DAC"/>
    <w:rsid w:val="001F0DEF"/>
    <w:rsid w:val="001F12A3"/>
    <w:rsid w:val="001F13C2"/>
    <w:rsid w:val="001F174E"/>
    <w:rsid w:val="001F2040"/>
    <w:rsid w:val="001F23C8"/>
    <w:rsid w:val="001F26BB"/>
    <w:rsid w:val="001F2B6B"/>
    <w:rsid w:val="001F2D61"/>
    <w:rsid w:val="001F4AB4"/>
    <w:rsid w:val="001F4B04"/>
    <w:rsid w:val="001F61E0"/>
    <w:rsid w:val="001F6BF0"/>
    <w:rsid w:val="001F6C0C"/>
    <w:rsid w:val="001F6F3A"/>
    <w:rsid w:val="001F6F78"/>
    <w:rsid w:val="001F7043"/>
    <w:rsid w:val="001F7531"/>
    <w:rsid w:val="001F7D21"/>
    <w:rsid w:val="001F7E79"/>
    <w:rsid w:val="00200846"/>
    <w:rsid w:val="0020088C"/>
    <w:rsid w:val="00200E99"/>
    <w:rsid w:val="00200F89"/>
    <w:rsid w:val="00201A9B"/>
    <w:rsid w:val="0020213E"/>
    <w:rsid w:val="0020310C"/>
    <w:rsid w:val="00203404"/>
    <w:rsid w:val="002038D3"/>
    <w:rsid w:val="00203BDE"/>
    <w:rsid w:val="00203FA5"/>
    <w:rsid w:val="002041C0"/>
    <w:rsid w:val="00204F74"/>
    <w:rsid w:val="002059B8"/>
    <w:rsid w:val="00206204"/>
    <w:rsid w:val="0020671F"/>
    <w:rsid w:val="002068F7"/>
    <w:rsid w:val="002072EF"/>
    <w:rsid w:val="00207F7C"/>
    <w:rsid w:val="002104EA"/>
    <w:rsid w:val="002106DE"/>
    <w:rsid w:val="002108C9"/>
    <w:rsid w:val="002112ED"/>
    <w:rsid w:val="00211555"/>
    <w:rsid w:val="00211BFB"/>
    <w:rsid w:val="0021277F"/>
    <w:rsid w:val="002128A6"/>
    <w:rsid w:val="00213518"/>
    <w:rsid w:val="00214169"/>
    <w:rsid w:val="002147FD"/>
    <w:rsid w:val="002149B7"/>
    <w:rsid w:val="00214E2E"/>
    <w:rsid w:val="002159FC"/>
    <w:rsid w:val="002167DE"/>
    <w:rsid w:val="00216F4F"/>
    <w:rsid w:val="00217573"/>
    <w:rsid w:val="00217986"/>
    <w:rsid w:val="0022018D"/>
    <w:rsid w:val="00220428"/>
    <w:rsid w:val="002205D5"/>
    <w:rsid w:val="002206A0"/>
    <w:rsid w:val="002208A3"/>
    <w:rsid w:val="0022125C"/>
    <w:rsid w:val="002222BA"/>
    <w:rsid w:val="0022294C"/>
    <w:rsid w:val="00222CAF"/>
    <w:rsid w:val="00223302"/>
    <w:rsid w:val="00223B3B"/>
    <w:rsid w:val="0022422F"/>
    <w:rsid w:val="002245C1"/>
    <w:rsid w:val="002247C4"/>
    <w:rsid w:val="00224D6A"/>
    <w:rsid w:val="00224EA5"/>
    <w:rsid w:val="002252B7"/>
    <w:rsid w:val="002263E4"/>
    <w:rsid w:val="0022656A"/>
    <w:rsid w:val="0022711B"/>
    <w:rsid w:val="0022736E"/>
    <w:rsid w:val="002275C3"/>
    <w:rsid w:val="002279BA"/>
    <w:rsid w:val="002301ED"/>
    <w:rsid w:val="002302B3"/>
    <w:rsid w:val="00231013"/>
    <w:rsid w:val="00232268"/>
    <w:rsid w:val="00232357"/>
    <w:rsid w:val="0023321A"/>
    <w:rsid w:val="00233F73"/>
    <w:rsid w:val="00234C85"/>
    <w:rsid w:val="00235192"/>
    <w:rsid w:val="00235670"/>
    <w:rsid w:val="00235C1D"/>
    <w:rsid w:val="0023658F"/>
    <w:rsid w:val="002375D4"/>
    <w:rsid w:val="00240584"/>
    <w:rsid w:val="00240A1B"/>
    <w:rsid w:val="00240C73"/>
    <w:rsid w:val="002410FF"/>
    <w:rsid w:val="00241E07"/>
    <w:rsid w:val="002420FF"/>
    <w:rsid w:val="00242593"/>
    <w:rsid w:val="002428B6"/>
    <w:rsid w:val="00243C9D"/>
    <w:rsid w:val="0024466C"/>
    <w:rsid w:val="00244718"/>
    <w:rsid w:val="00244AE7"/>
    <w:rsid w:val="00245464"/>
    <w:rsid w:val="00245853"/>
    <w:rsid w:val="0024586D"/>
    <w:rsid w:val="00245A74"/>
    <w:rsid w:val="002460A2"/>
    <w:rsid w:val="0024652E"/>
    <w:rsid w:val="002469D2"/>
    <w:rsid w:val="00247301"/>
    <w:rsid w:val="0024734C"/>
    <w:rsid w:val="00250549"/>
    <w:rsid w:val="002511C0"/>
    <w:rsid w:val="002512EE"/>
    <w:rsid w:val="0025135C"/>
    <w:rsid w:val="002516BE"/>
    <w:rsid w:val="00252077"/>
    <w:rsid w:val="002522DB"/>
    <w:rsid w:val="002528D0"/>
    <w:rsid w:val="00253303"/>
    <w:rsid w:val="00253D83"/>
    <w:rsid w:val="0025423A"/>
    <w:rsid w:val="0025428D"/>
    <w:rsid w:val="00254B33"/>
    <w:rsid w:val="00254BCE"/>
    <w:rsid w:val="00254CDF"/>
    <w:rsid w:val="00254DDF"/>
    <w:rsid w:val="00254FF4"/>
    <w:rsid w:val="00255046"/>
    <w:rsid w:val="00255221"/>
    <w:rsid w:val="002555AB"/>
    <w:rsid w:val="00255A8E"/>
    <w:rsid w:val="0025603E"/>
    <w:rsid w:val="0025647A"/>
    <w:rsid w:val="00256F03"/>
    <w:rsid w:val="00257B88"/>
    <w:rsid w:val="00257CB3"/>
    <w:rsid w:val="00257DD2"/>
    <w:rsid w:val="00260727"/>
    <w:rsid w:val="00260954"/>
    <w:rsid w:val="002609F2"/>
    <w:rsid w:val="00260D43"/>
    <w:rsid w:val="00260F46"/>
    <w:rsid w:val="00261221"/>
    <w:rsid w:val="0026179E"/>
    <w:rsid w:val="00261BC0"/>
    <w:rsid w:val="00261D2F"/>
    <w:rsid w:val="00262053"/>
    <w:rsid w:val="002636AE"/>
    <w:rsid w:val="00263746"/>
    <w:rsid w:val="00263ECE"/>
    <w:rsid w:val="002641C5"/>
    <w:rsid w:val="00264654"/>
    <w:rsid w:val="00264C4D"/>
    <w:rsid w:val="00264C94"/>
    <w:rsid w:val="002655A4"/>
    <w:rsid w:val="00265817"/>
    <w:rsid w:val="00265DDC"/>
    <w:rsid w:val="00266621"/>
    <w:rsid w:val="00266C6E"/>
    <w:rsid w:val="0026752B"/>
    <w:rsid w:val="002678EC"/>
    <w:rsid w:val="00270492"/>
    <w:rsid w:val="00270744"/>
    <w:rsid w:val="00270C58"/>
    <w:rsid w:val="002713D6"/>
    <w:rsid w:val="00271C10"/>
    <w:rsid w:val="00272047"/>
    <w:rsid w:val="0027303A"/>
    <w:rsid w:val="00273434"/>
    <w:rsid w:val="002744EE"/>
    <w:rsid w:val="002748A6"/>
    <w:rsid w:val="00274F96"/>
    <w:rsid w:val="002750EB"/>
    <w:rsid w:val="00275498"/>
    <w:rsid w:val="002762F8"/>
    <w:rsid w:val="002768E6"/>
    <w:rsid w:val="00276ED3"/>
    <w:rsid w:val="00276F1D"/>
    <w:rsid w:val="00276F23"/>
    <w:rsid w:val="00277FE5"/>
    <w:rsid w:val="00280299"/>
    <w:rsid w:val="00281328"/>
    <w:rsid w:val="002815F6"/>
    <w:rsid w:val="00282180"/>
    <w:rsid w:val="002826AD"/>
    <w:rsid w:val="00282928"/>
    <w:rsid w:val="00282C42"/>
    <w:rsid w:val="00283C56"/>
    <w:rsid w:val="00283DE5"/>
    <w:rsid w:val="00284658"/>
    <w:rsid w:val="002870BC"/>
    <w:rsid w:val="00287651"/>
    <w:rsid w:val="00287B86"/>
    <w:rsid w:val="00290093"/>
    <w:rsid w:val="00291EC2"/>
    <w:rsid w:val="0029213C"/>
    <w:rsid w:val="002922D9"/>
    <w:rsid w:val="0029267C"/>
    <w:rsid w:val="00293055"/>
    <w:rsid w:val="00293887"/>
    <w:rsid w:val="0029413B"/>
    <w:rsid w:val="0029562D"/>
    <w:rsid w:val="00295978"/>
    <w:rsid w:val="002959EE"/>
    <w:rsid w:val="0029680D"/>
    <w:rsid w:val="00296ED7"/>
    <w:rsid w:val="002971FE"/>
    <w:rsid w:val="00297671"/>
    <w:rsid w:val="00297D27"/>
    <w:rsid w:val="002A03A3"/>
    <w:rsid w:val="002A111E"/>
    <w:rsid w:val="002A15E6"/>
    <w:rsid w:val="002A20E7"/>
    <w:rsid w:val="002A2563"/>
    <w:rsid w:val="002A2D80"/>
    <w:rsid w:val="002A2F78"/>
    <w:rsid w:val="002A33DB"/>
    <w:rsid w:val="002A3EDB"/>
    <w:rsid w:val="002A42D2"/>
    <w:rsid w:val="002A4617"/>
    <w:rsid w:val="002A489C"/>
    <w:rsid w:val="002A499B"/>
    <w:rsid w:val="002A4A18"/>
    <w:rsid w:val="002A523E"/>
    <w:rsid w:val="002A53EC"/>
    <w:rsid w:val="002A5B9E"/>
    <w:rsid w:val="002A5DA9"/>
    <w:rsid w:val="002A5DD6"/>
    <w:rsid w:val="002A5EAA"/>
    <w:rsid w:val="002A71D9"/>
    <w:rsid w:val="002A767E"/>
    <w:rsid w:val="002A77F6"/>
    <w:rsid w:val="002B0566"/>
    <w:rsid w:val="002B056B"/>
    <w:rsid w:val="002B0583"/>
    <w:rsid w:val="002B0617"/>
    <w:rsid w:val="002B0900"/>
    <w:rsid w:val="002B0A1B"/>
    <w:rsid w:val="002B0DD8"/>
    <w:rsid w:val="002B19D4"/>
    <w:rsid w:val="002B1BA9"/>
    <w:rsid w:val="002B2187"/>
    <w:rsid w:val="002B2222"/>
    <w:rsid w:val="002B27AC"/>
    <w:rsid w:val="002B33A8"/>
    <w:rsid w:val="002B3A2D"/>
    <w:rsid w:val="002B45F1"/>
    <w:rsid w:val="002B46B4"/>
    <w:rsid w:val="002B5597"/>
    <w:rsid w:val="002B5AAA"/>
    <w:rsid w:val="002B5D87"/>
    <w:rsid w:val="002B60AE"/>
    <w:rsid w:val="002B6910"/>
    <w:rsid w:val="002B7F56"/>
    <w:rsid w:val="002C06E4"/>
    <w:rsid w:val="002C12C5"/>
    <w:rsid w:val="002C1C4B"/>
    <w:rsid w:val="002C21D2"/>
    <w:rsid w:val="002C2904"/>
    <w:rsid w:val="002C2C92"/>
    <w:rsid w:val="002C3145"/>
    <w:rsid w:val="002C33E8"/>
    <w:rsid w:val="002C3861"/>
    <w:rsid w:val="002C3B38"/>
    <w:rsid w:val="002C40BE"/>
    <w:rsid w:val="002C4112"/>
    <w:rsid w:val="002C4EEC"/>
    <w:rsid w:val="002C581D"/>
    <w:rsid w:val="002C5EE1"/>
    <w:rsid w:val="002C6213"/>
    <w:rsid w:val="002C626B"/>
    <w:rsid w:val="002C6900"/>
    <w:rsid w:val="002C7398"/>
    <w:rsid w:val="002C751B"/>
    <w:rsid w:val="002C791A"/>
    <w:rsid w:val="002C79CA"/>
    <w:rsid w:val="002D0034"/>
    <w:rsid w:val="002D075B"/>
    <w:rsid w:val="002D2394"/>
    <w:rsid w:val="002D2440"/>
    <w:rsid w:val="002D276C"/>
    <w:rsid w:val="002D2AD0"/>
    <w:rsid w:val="002D36D5"/>
    <w:rsid w:val="002D374A"/>
    <w:rsid w:val="002D3B40"/>
    <w:rsid w:val="002D3DB1"/>
    <w:rsid w:val="002D44D8"/>
    <w:rsid w:val="002D450E"/>
    <w:rsid w:val="002D4C99"/>
    <w:rsid w:val="002D4D1C"/>
    <w:rsid w:val="002D5401"/>
    <w:rsid w:val="002D5E94"/>
    <w:rsid w:val="002D6CED"/>
    <w:rsid w:val="002D70EA"/>
    <w:rsid w:val="002D715A"/>
    <w:rsid w:val="002D7A5B"/>
    <w:rsid w:val="002D7DAB"/>
    <w:rsid w:val="002D7E0A"/>
    <w:rsid w:val="002E0505"/>
    <w:rsid w:val="002E0701"/>
    <w:rsid w:val="002E0DA5"/>
    <w:rsid w:val="002E142B"/>
    <w:rsid w:val="002E1DF5"/>
    <w:rsid w:val="002E40E9"/>
    <w:rsid w:val="002E4DD1"/>
    <w:rsid w:val="002E532E"/>
    <w:rsid w:val="002E5EEB"/>
    <w:rsid w:val="002E5F26"/>
    <w:rsid w:val="002E60CF"/>
    <w:rsid w:val="002E6C22"/>
    <w:rsid w:val="002E6ED9"/>
    <w:rsid w:val="002E7488"/>
    <w:rsid w:val="002E74B8"/>
    <w:rsid w:val="002E777C"/>
    <w:rsid w:val="002F020C"/>
    <w:rsid w:val="002F03D5"/>
    <w:rsid w:val="002F08BD"/>
    <w:rsid w:val="002F109B"/>
    <w:rsid w:val="002F1367"/>
    <w:rsid w:val="002F1839"/>
    <w:rsid w:val="002F2147"/>
    <w:rsid w:val="002F2200"/>
    <w:rsid w:val="002F24E9"/>
    <w:rsid w:val="002F258C"/>
    <w:rsid w:val="002F27C8"/>
    <w:rsid w:val="002F32B2"/>
    <w:rsid w:val="002F36F1"/>
    <w:rsid w:val="002F3852"/>
    <w:rsid w:val="002F4348"/>
    <w:rsid w:val="002F44BB"/>
    <w:rsid w:val="002F4950"/>
    <w:rsid w:val="002F4BF4"/>
    <w:rsid w:val="002F5AEC"/>
    <w:rsid w:val="002F6723"/>
    <w:rsid w:val="002F6EFE"/>
    <w:rsid w:val="002F7CF4"/>
    <w:rsid w:val="002F7D01"/>
    <w:rsid w:val="002F7D61"/>
    <w:rsid w:val="002F7DDD"/>
    <w:rsid w:val="002F7F7B"/>
    <w:rsid w:val="002F7FC1"/>
    <w:rsid w:val="003001A1"/>
    <w:rsid w:val="003007B9"/>
    <w:rsid w:val="003008BE"/>
    <w:rsid w:val="003008E1"/>
    <w:rsid w:val="00300A4A"/>
    <w:rsid w:val="00300A75"/>
    <w:rsid w:val="00300E57"/>
    <w:rsid w:val="003010A9"/>
    <w:rsid w:val="003017AE"/>
    <w:rsid w:val="00301AB5"/>
    <w:rsid w:val="00301BED"/>
    <w:rsid w:val="00302168"/>
    <w:rsid w:val="00302776"/>
    <w:rsid w:val="00302DC9"/>
    <w:rsid w:val="003034DC"/>
    <w:rsid w:val="00303ECB"/>
    <w:rsid w:val="0030431E"/>
    <w:rsid w:val="003046CF"/>
    <w:rsid w:val="003049B9"/>
    <w:rsid w:val="003057E4"/>
    <w:rsid w:val="00305A54"/>
    <w:rsid w:val="00305B3A"/>
    <w:rsid w:val="00306311"/>
    <w:rsid w:val="003065F4"/>
    <w:rsid w:val="00306603"/>
    <w:rsid w:val="0030660F"/>
    <w:rsid w:val="00307513"/>
    <w:rsid w:val="0030751A"/>
    <w:rsid w:val="00307D2A"/>
    <w:rsid w:val="00310CBF"/>
    <w:rsid w:val="00310D54"/>
    <w:rsid w:val="00310E89"/>
    <w:rsid w:val="0031171C"/>
    <w:rsid w:val="00312F41"/>
    <w:rsid w:val="003136FE"/>
    <w:rsid w:val="0031390E"/>
    <w:rsid w:val="0031398B"/>
    <w:rsid w:val="00313B46"/>
    <w:rsid w:val="00313DDC"/>
    <w:rsid w:val="003147C0"/>
    <w:rsid w:val="00314BFC"/>
    <w:rsid w:val="00315B6F"/>
    <w:rsid w:val="00315F25"/>
    <w:rsid w:val="0031616D"/>
    <w:rsid w:val="003163DA"/>
    <w:rsid w:val="00316C5C"/>
    <w:rsid w:val="00316CCA"/>
    <w:rsid w:val="00316D1D"/>
    <w:rsid w:val="0031708B"/>
    <w:rsid w:val="00317338"/>
    <w:rsid w:val="003205A1"/>
    <w:rsid w:val="00320AAA"/>
    <w:rsid w:val="003216F5"/>
    <w:rsid w:val="00321D77"/>
    <w:rsid w:val="00322B10"/>
    <w:rsid w:val="00322C99"/>
    <w:rsid w:val="00322DCB"/>
    <w:rsid w:val="00324ADC"/>
    <w:rsid w:val="00324B19"/>
    <w:rsid w:val="00324FBC"/>
    <w:rsid w:val="0032546C"/>
    <w:rsid w:val="00325A5C"/>
    <w:rsid w:val="00325B01"/>
    <w:rsid w:val="00326392"/>
    <w:rsid w:val="0032677F"/>
    <w:rsid w:val="00326980"/>
    <w:rsid w:val="0032766E"/>
    <w:rsid w:val="0032789F"/>
    <w:rsid w:val="003303A9"/>
    <w:rsid w:val="003303D3"/>
    <w:rsid w:val="00330A05"/>
    <w:rsid w:val="00331594"/>
    <w:rsid w:val="00331803"/>
    <w:rsid w:val="00331FB5"/>
    <w:rsid w:val="003324A7"/>
    <w:rsid w:val="00332681"/>
    <w:rsid w:val="0033396F"/>
    <w:rsid w:val="00334114"/>
    <w:rsid w:val="00334897"/>
    <w:rsid w:val="00335289"/>
    <w:rsid w:val="00335FBE"/>
    <w:rsid w:val="00335FFA"/>
    <w:rsid w:val="00336247"/>
    <w:rsid w:val="003364DD"/>
    <w:rsid w:val="003368A6"/>
    <w:rsid w:val="003369DA"/>
    <w:rsid w:val="00336F30"/>
    <w:rsid w:val="00337CA3"/>
    <w:rsid w:val="00340D80"/>
    <w:rsid w:val="003415C3"/>
    <w:rsid w:val="0034204B"/>
    <w:rsid w:val="003424AE"/>
    <w:rsid w:val="00342663"/>
    <w:rsid w:val="003429DC"/>
    <w:rsid w:val="00342E2B"/>
    <w:rsid w:val="00343589"/>
    <w:rsid w:val="00343686"/>
    <w:rsid w:val="003444BF"/>
    <w:rsid w:val="00344B6D"/>
    <w:rsid w:val="00344D3E"/>
    <w:rsid w:val="00344E08"/>
    <w:rsid w:val="0034500A"/>
    <w:rsid w:val="00345383"/>
    <w:rsid w:val="00345BF2"/>
    <w:rsid w:val="003460FA"/>
    <w:rsid w:val="00346B8B"/>
    <w:rsid w:val="00346C42"/>
    <w:rsid w:val="0034720B"/>
    <w:rsid w:val="0035078C"/>
    <w:rsid w:val="00351769"/>
    <w:rsid w:val="00352735"/>
    <w:rsid w:val="0035485F"/>
    <w:rsid w:val="003557F8"/>
    <w:rsid w:val="00356A5F"/>
    <w:rsid w:val="00356B81"/>
    <w:rsid w:val="00356FD2"/>
    <w:rsid w:val="00357053"/>
    <w:rsid w:val="00357293"/>
    <w:rsid w:val="00357759"/>
    <w:rsid w:val="00360959"/>
    <w:rsid w:val="00360B4E"/>
    <w:rsid w:val="00361933"/>
    <w:rsid w:val="0036248C"/>
    <w:rsid w:val="00362B5C"/>
    <w:rsid w:val="00362C90"/>
    <w:rsid w:val="00362D14"/>
    <w:rsid w:val="003630F5"/>
    <w:rsid w:val="00363706"/>
    <w:rsid w:val="00364BF3"/>
    <w:rsid w:val="00364DB9"/>
    <w:rsid w:val="00365145"/>
    <w:rsid w:val="00365219"/>
    <w:rsid w:val="00365386"/>
    <w:rsid w:val="0036596C"/>
    <w:rsid w:val="00366917"/>
    <w:rsid w:val="00366EE1"/>
    <w:rsid w:val="00366FC3"/>
    <w:rsid w:val="003670C9"/>
    <w:rsid w:val="003675D7"/>
    <w:rsid w:val="003676A8"/>
    <w:rsid w:val="003677F1"/>
    <w:rsid w:val="00367EAA"/>
    <w:rsid w:val="003700A6"/>
    <w:rsid w:val="00370645"/>
    <w:rsid w:val="00370A31"/>
    <w:rsid w:val="00370B3F"/>
    <w:rsid w:val="00371A82"/>
    <w:rsid w:val="003730C1"/>
    <w:rsid w:val="00373219"/>
    <w:rsid w:val="00373BA5"/>
    <w:rsid w:val="003744E4"/>
    <w:rsid w:val="00375647"/>
    <w:rsid w:val="00375E0E"/>
    <w:rsid w:val="00376B48"/>
    <w:rsid w:val="00377266"/>
    <w:rsid w:val="003774DB"/>
    <w:rsid w:val="00377AF4"/>
    <w:rsid w:val="00377CCE"/>
    <w:rsid w:val="00377E2C"/>
    <w:rsid w:val="003803DF"/>
    <w:rsid w:val="00380608"/>
    <w:rsid w:val="00381381"/>
    <w:rsid w:val="003816FA"/>
    <w:rsid w:val="003819BD"/>
    <w:rsid w:val="00382C73"/>
    <w:rsid w:val="00382F7B"/>
    <w:rsid w:val="003831FC"/>
    <w:rsid w:val="00383A49"/>
    <w:rsid w:val="003842CE"/>
    <w:rsid w:val="003844A5"/>
    <w:rsid w:val="0038481F"/>
    <w:rsid w:val="00384A38"/>
    <w:rsid w:val="00384B0D"/>
    <w:rsid w:val="0038550C"/>
    <w:rsid w:val="00386641"/>
    <w:rsid w:val="003878B3"/>
    <w:rsid w:val="003906DC"/>
    <w:rsid w:val="0039076E"/>
    <w:rsid w:val="00390DCE"/>
    <w:rsid w:val="00390F0C"/>
    <w:rsid w:val="00394338"/>
    <w:rsid w:val="0039477B"/>
    <w:rsid w:val="00394839"/>
    <w:rsid w:val="00394E46"/>
    <w:rsid w:val="00394E79"/>
    <w:rsid w:val="00395C96"/>
    <w:rsid w:val="00396110"/>
    <w:rsid w:val="00396F97"/>
    <w:rsid w:val="0039798D"/>
    <w:rsid w:val="00397A38"/>
    <w:rsid w:val="00397B90"/>
    <w:rsid w:val="003A01DE"/>
    <w:rsid w:val="003A0D47"/>
    <w:rsid w:val="003A0F6E"/>
    <w:rsid w:val="003A143C"/>
    <w:rsid w:val="003A1B5B"/>
    <w:rsid w:val="003A2251"/>
    <w:rsid w:val="003A2BD2"/>
    <w:rsid w:val="003A2F86"/>
    <w:rsid w:val="003A386A"/>
    <w:rsid w:val="003A3D77"/>
    <w:rsid w:val="003A441F"/>
    <w:rsid w:val="003A4525"/>
    <w:rsid w:val="003A4FA1"/>
    <w:rsid w:val="003A547E"/>
    <w:rsid w:val="003A5682"/>
    <w:rsid w:val="003A5A9E"/>
    <w:rsid w:val="003A6667"/>
    <w:rsid w:val="003A7451"/>
    <w:rsid w:val="003A74DE"/>
    <w:rsid w:val="003B0524"/>
    <w:rsid w:val="003B0932"/>
    <w:rsid w:val="003B1035"/>
    <w:rsid w:val="003B1278"/>
    <w:rsid w:val="003B15B5"/>
    <w:rsid w:val="003B2AB0"/>
    <w:rsid w:val="003B2BD6"/>
    <w:rsid w:val="003B3EA5"/>
    <w:rsid w:val="003B3FFC"/>
    <w:rsid w:val="003B42F3"/>
    <w:rsid w:val="003B47A6"/>
    <w:rsid w:val="003B4813"/>
    <w:rsid w:val="003B574B"/>
    <w:rsid w:val="003B5ABE"/>
    <w:rsid w:val="003B5C31"/>
    <w:rsid w:val="003B5C71"/>
    <w:rsid w:val="003B7545"/>
    <w:rsid w:val="003B76CE"/>
    <w:rsid w:val="003B7937"/>
    <w:rsid w:val="003C00CB"/>
    <w:rsid w:val="003C05AA"/>
    <w:rsid w:val="003C0641"/>
    <w:rsid w:val="003C0993"/>
    <w:rsid w:val="003C0E04"/>
    <w:rsid w:val="003C0F2D"/>
    <w:rsid w:val="003C1097"/>
    <w:rsid w:val="003C1226"/>
    <w:rsid w:val="003C146B"/>
    <w:rsid w:val="003C2C90"/>
    <w:rsid w:val="003C3094"/>
    <w:rsid w:val="003C32E4"/>
    <w:rsid w:val="003C3F1C"/>
    <w:rsid w:val="003C420C"/>
    <w:rsid w:val="003C4BC2"/>
    <w:rsid w:val="003C583F"/>
    <w:rsid w:val="003C60D1"/>
    <w:rsid w:val="003C616E"/>
    <w:rsid w:val="003C6A38"/>
    <w:rsid w:val="003C7250"/>
    <w:rsid w:val="003C789B"/>
    <w:rsid w:val="003D0121"/>
    <w:rsid w:val="003D04AE"/>
    <w:rsid w:val="003D07C7"/>
    <w:rsid w:val="003D1FC2"/>
    <w:rsid w:val="003D27D4"/>
    <w:rsid w:val="003D2E6C"/>
    <w:rsid w:val="003D2FCA"/>
    <w:rsid w:val="003D37D7"/>
    <w:rsid w:val="003D3B3E"/>
    <w:rsid w:val="003D3EE9"/>
    <w:rsid w:val="003D4107"/>
    <w:rsid w:val="003D459A"/>
    <w:rsid w:val="003D48A3"/>
    <w:rsid w:val="003D4E4F"/>
    <w:rsid w:val="003D508C"/>
    <w:rsid w:val="003D51DB"/>
    <w:rsid w:val="003D5273"/>
    <w:rsid w:val="003D5617"/>
    <w:rsid w:val="003D5674"/>
    <w:rsid w:val="003D5792"/>
    <w:rsid w:val="003D57B9"/>
    <w:rsid w:val="003D5A3F"/>
    <w:rsid w:val="003D5C19"/>
    <w:rsid w:val="003D5CA7"/>
    <w:rsid w:val="003D6046"/>
    <w:rsid w:val="003D6B39"/>
    <w:rsid w:val="003D7568"/>
    <w:rsid w:val="003D757E"/>
    <w:rsid w:val="003E02EC"/>
    <w:rsid w:val="003E0412"/>
    <w:rsid w:val="003E0E82"/>
    <w:rsid w:val="003E157E"/>
    <w:rsid w:val="003E19A1"/>
    <w:rsid w:val="003E2001"/>
    <w:rsid w:val="003E2236"/>
    <w:rsid w:val="003E2707"/>
    <w:rsid w:val="003E2992"/>
    <w:rsid w:val="003E2B49"/>
    <w:rsid w:val="003E34EE"/>
    <w:rsid w:val="003E3DDF"/>
    <w:rsid w:val="003E3FC8"/>
    <w:rsid w:val="003E4662"/>
    <w:rsid w:val="003E591C"/>
    <w:rsid w:val="003E5EFA"/>
    <w:rsid w:val="003E61B0"/>
    <w:rsid w:val="003E6F0E"/>
    <w:rsid w:val="003E784D"/>
    <w:rsid w:val="003E7960"/>
    <w:rsid w:val="003F0E51"/>
    <w:rsid w:val="003F18BC"/>
    <w:rsid w:val="003F1B13"/>
    <w:rsid w:val="003F2419"/>
    <w:rsid w:val="003F2521"/>
    <w:rsid w:val="003F2712"/>
    <w:rsid w:val="003F296A"/>
    <w:rsid w:val="003F2AAB"/>
    <w:rsid w:val="003F36C4"/>
    <w:rsid w:val="003F46B6"/>
    <w:rsid w:val="003F566B"/>
    <w:rsid w:val="003F5729"/>
    <w:rsid w:val="003F58FF"/>
    <w:rsid w:val="003F634B"/>
    <w:rsid w:val="003F6356"/>
    <w:rsid w:val="003F65D2"/>
    <w:rsid w:val="003F6B57"/>
    <w:rsid w:val="003F6F6C"/>
    <w:rsid w:val="003F74EC"/>
    <w:rsid w:val="003F76BF"/>
    <w:rsid w:val="004009C3"/>
    <w:rsid w:val="00400B6B"/>
    <w:rsid w:val="00400D32"/>
    <w:rsid w:val="00401425"/>
    <w:rsid w:val="00402025"/>
    <w:rsid w:val="0040216D"/>
    <w:rsid w:val="00402A6C"/>
    <w:rsid w:val="00403370"/>
    <w:rsid w:val="004033B5"/>
    <w:rsid w:val="00403611"/>
    <w:rsid w:val="004039D2"/>
    <w:rsid w:val="00404C39"/>
    <w:rsid w:val="0040500A"/>
    <w:rsid w:val="004050F2"/>
    <w:rsid w:val="0040544B"/>
    <w:rsid w:val="00407246"/>
    <w:rsid w:val="0040789C"/>
    <w:rsid w:val="00407D28"/>
    <w:rsid w:val="00410C35"/>
    <w:rsid w:val="00410D97"/>
    <w:rsid w:val="004118B1"/>
    <w:rsid w:val="00411EA8"/>
    <w:rsid w:val="00411EDE"/>
    <w:rsid w:val="004121D3"/>
    <w:rsid w:val="0041231F"/>
    <w:rsid w:val="004134CC"/>
    <w:rsid w:val="00413D92"/>
    <w:rsid w:val="00414A09"/>
    <w:rsid w:val="004154DB"/>
    <w:rsid w:val="00415D18"/>
    <w:rsid w:val="00416368"/>
    <w:rsid w:val="00416AF9"/>
    <w:rsid w:val="00416BE5"/>
    <w:rsid w:val="00416C56"/>
    <w:rsid w:val="00417132"/>
    <w:rsid w:val="00417F39"/>
    <w:rsid w:val="0042025F"/>
    <w:rsid w:val="004210EA"/>
    <w:rsid w:val="004217D4"/>
    <w:rsid w:val="0042199E"/>
    <w:rsid w:val="00421A7E"/>
    <w:rsid w:val="00422312"/>
    <w:rsid w:val="00422F55"/>
    <w:rsid w:val="004230A5"/>
    <w:rsid w:val="00423C14"/>
    <w:rsid w:val="00423D14"/>
    <w:rsid w:val="004241EC"/>
    <w:rsid w:val="0042444E"/>
    <w:rsid w:val="00424D29"/>
    <w:rsid w:val="004252CC"/>
    <w:rsid w:val="00425ED2"/>
    <w:rsid w:val="004264D3"/>
    <w:rsid w:val="00426E62"/>
    <w:rsid w:val="004270DD"/>
    <w:rsid w:val="00427C17"/>
    <w:rsid w:val="00427D33"/>
    <w:rsid w:val="00430223"/>
    <w:rsid w:val="00430C08"/>
    <w:rsid w:val="00431111"/>
    <w:rsid w:val="00431A63"/>
    <w:rsid w:val="00431D9D"/>
    <w:rsid w:val="00431DE2"/>
    <w:rsid w:val="00431F7C"/>
    <w:rsid w:val="0043220E"/>
    <w:rsid w:val="00432BB2"/>
    <w:rsid w:val="00432CFE"/>
    <w:rsid w:val="00432EEC"/>
    <w:rsid w:val="00432FDB"/>
    <w:rsid w:val="0043313A"/>
    <w:rsid w:val="00433367"/>
    <w:rsid w:val="00434933"/>
    <w:rsid w:val="00434E25"/>
    <w:rsid w:val="00435412"/>
    <w:rsid w:val="004374E2"/>
    <w:rsid w:val="0043792E"/>
    <w:rsid w:val="00440375"/>
    <w:rsid w:val="00440847"/>
    <w:rsid w:val="00441967"/>
    <w:rsid w:val="0044198B"/>
    <w:rsid w:val="004422DA"/>
    <w:rsid w:val="004423A4"/>
    <w:rsid w:val="00442734"/>
    <w:rsid w:val="00442EE0"/>
    <w:rsid w:val="0044325A"/>
    <w:rsid w:val="0044363B"/>
    <w:rsid w:val="00444571"/>
    <w:rsid w:val="0044460E"/>
    <w:rsid w:val="00444722"/>
    <w:rsid w:val="00444EF7"/>
    <w:rsid w:val="004453AC"/>
    <w:rsid w:val="00445769"/>
    <w:rsid w:val="00445E65"/>
    <w:rsid w:val="00445F6D"/>
    <w:rsid w:val="00446141"/>
    <w:rsid w:val="00446979"/>
    <w:rsid w:val="00446E54"/>
    <w:rsid w:val="00450333"/>
    <w:rsid w:val="00450789"/>
    <w:rsid w:val="00450DFA"/>
    <w:rsid w:val="00451168"/>
    <w:rsid w:val="0045137A"/>
    <w:rsid w:val="004522D1"/>
    <w:rsid w:val="00452806"/>
    <w:rsid w:val="00452973"/>
    <w:rsid w:val="00452BBE"/>
    <w:rsid w:val="00452CBF"/>
    <w:rsid w:val="00453386"/>
    <w:rsid w:val="00453EB8"/>
    <w:rsid w:val="004544CB"/>
    <w:rsid w:val="00454ACD"/>
    <w:rsid w:val="00454CC3"/>
    <w:rsid w:val="00454EF9"/>
    <w:rsid w:val="004550E2"/>
    <w:rsid w:val="004555A1"/>
    <w:rsid w:val="004555DA"/>
    <w:rsid w:val="00455A9B"/>
    <w:rsid w:val="00455B61"/>
    <w:rsid w:val="00455C46"/>
    <w:rsid w:val="0045623E"/>
    <w:rsid w:val="00456EC9"/>
    <w:rsid w:val="00457211"/>
    <w:rsid w:val="0045756E"/>
    <w:rsid w:val="00457A55"/>
    <w:rsid w:val="0046007C"/>
    <w:rsid w:val="00460976"/>
    <w:rsid w:val="00460A83"/>
    <w:rsid w:val="00460E9F"/>
    <w:rsid w:val="00461ABA"/>
    <w:rsid w:val="00461C6C"/>
    <w:rsid w:val="00461FA9"/>
    <w:rsid w:val="004623D8"/>
    <w:rsid w:val="004633E2"/>
    <w:rsid w:val="00463981"/>
    <w:rsid w:val="00464082"/>
    <w:rsid w:val="00464F7D"/>
    <w:rsid w:val="004654B3"/>
    <w:rsid w:val="00465815"/>
    <w:rsid w:val="00465AFE"/>
    <w:rsid w:val="00465C7E"/>
    <w:rsid w:val="00465D24"/>
    <w:rsid w:val="00466892"/>
    <w:rsid w:val="00466B40"/>
    <w:rsid w:val="00466C54"/>
    <w:rsid w:val="0046726A"/>
    <w:rsid w:val="00467899"/>
    <w:rsid w:val="00470AD5"/>
    <w:rsid w:val="00470C6A"/>
    <w:rsid w:val="00470EBA"/>
    <w:rsid w:val="00471091"/>
    <w:rsid w:val="004710C8"/>
    <w:rsid w:val="00471500"/>
    <w:rsid w:val="004719F9"/>
    <w:rsid w:val="00472002"/>
    <w:rsid w:val="00473DC0"/>
    <w:rsid w:val="00474271"/>
    <w:rsid w:val="0047493C"/>
    <w:rsid w:val="00474F63"/>
    <w:rsid w:val="00475076"/>
    <w:rsid w:val="004751DD"/>
    <w:rsid w:val="00475292"/>
    <w:rsid w:val="00475A10"/>
    <w:rsid w:val="00475E21"/>
    <w:rsid w:val="0047649E"/>
    <w:rsid w:val="0047654D"/>
    <w:rsid w:val="004765A4"/>
    <w:rsid w:val="00476659"/>
    <w:rsid w:val="00476A8C"/>
    <w:rsid w:val="00476E8F"/>
    <w:rsid w:val="004778B9"/>
    <w:rsid w:val="00477B4D"/>
    <w:rsid w:val="00480121"/>
    <w:rsid w:val="004802C0"/>
    <w:rsid w:val="00480A1C"/>
    <w:rsid w:val="00480BA0"/>
    <w:rsid w:val="00480BF9"/>
    <w:rsid w:val="00481311"/>
    <w:rsid w:val="0048157F"/>
    <w:rsid w:val="004818F9"/>
    <w:rsid w:val="00481B05"/>
    <w:rsid w:val="00482237"/>
    <w:rsid w:val="004826DD"/>
    <w:rsid w:val="0048304D"/>
    <w:rsid w:val="00483760"/>
    <w:rsid w:val="00483B64"/>
    <w:rsid w:val="00483C19"/>
    <w:rsid w:val="00483CF2"/>
    <w:rsid w:val="00483DC4"/>
    <w:rsid w:val="00483DFA"/>
    <w:rsid w:val="00484455"/>
    <w:rsid w:val="00484DA7"/>
    <w:rsid w:val="00485480"/>
    <w:rsid w:val="004857E3"/>
    <w:rsid w:val="004857FE"/>
    <w:rsid w:val="00485C36"/>
    <w:rsid w:val="00486447"/>
    <w:rsid w:val="00487A2F"/>
    <w:rsid w:val="004902A1"/>
    <w:rsid w:val="00490EAC"/>
    <w:rsid w:val="0049108D"/>
    <w:rsid w:val="00492086"/>
    <w:rsid w:val="00492459"/>
    <w:rsid w:val="004927C8"/>
    <w:rsid w:val="00492811"/>
    <w:rsid w:val="00492AFF"/>
    <w:rsid w:val="00492B7E"/>
    <w:rsid w:val="004936D6"/>
    <w:rsid w:val="00493E5E"/>
    <w:rsid w:val="00493F03"/>
    <w:rsid w:val="00494991"/>
    <w:rsid w:val="00494FC4"/>
    <w:rsid w:val="00496134"/>
    <w:rsid w:val="00496751"/>
    <w:rsid w:val="00496B2C"/>
    <w:rsid w:val="00496CFC"/>
    <w:rsid w:val="00496DFE"/>
    <w:rsid w:val="00496E28"/>
    <w:rsid w:val="00497023"/>
    <w:rsid w:val="00497DF4"/>
    <w:rsid w:val="00497FD7"/>
    <w:rsid w:val="004A1C2B"/>
    <w:rsid w:val="004A2207"/>
    <w:rsid w:val="004A2608"/>
    <w:rsid w:val="004A2BDC"/>
    <w:rsid w:val="004A357F"/>
    <w:rsid w:val="004A3CEE"/>
    <w:rsid w:val="004A3E6B"/>
    <w:rsid w:val="004A43CE"/>
    <w:rsid w:val="004A46B1"/>
    <w:rsid w:val="004A4DC5"/>
    <w:rsid w:val="004A5141"/>
    <w:rsid w:val="004A539B"/>
    <w:rsid w:val="004A6386"/>
    <w:rsid w:val="004A6440"/>
    <w:rsid w:val="004A6821"/>
    <w:rsid w:val="004A6B68"/>
    <w:rsid w:val="004A6D0D"/>
    <w:rsid w:val="004A6EEE"/>
    <w:rsid w:val="004A70B3"/>
    <w:rsid w:val="004A74DD"/>
    <w:rsid w:val="004A7951"/>
    <w:rsid w:val="004A7C91"/>
    <w:rsid w:val="004B017A"/>
    <w:rsid w:val="004B07AB"/>
    <w:rsid w:val="004B0833"/>
    <w:rsid w:val="004B0BC2"/>
    <w:rsid w:val="004B11D7"/>
    <w:rsid w:val="004B1503"/>
    <w:rsid w:val="004B16E2"/>
    <w:rsid w:val="004B1C32"/>
    <w:rsid w:val="004B1EED"/>
    <w:rsid w:val="004B2751"/>
    <w:rsid w:val="004B2B2A"/>
    <w:rsid w:val="004B326F"/>
    <w:rsid w:val="004B363C"/>
    <w:rsid w:val="004B3ADC"/>
    <w:rsid w:val="004B3E6A"/>
    <w:rsid w:val="004B4C30"/>
    <w:rsid w:val="004B4E0F"/>
    <w:rsid w:val="004B4F06"/>
    <w:rsid w:val="004B68FA"/>
    <w:rsid w:val="004B69DA"/>
    <w:rsid w:val="004B6C25"/>
    <w:rsid w:val="004B6D70"/>
    <w:rsid w:val="004B779C"/>
    <w:rsid w:val="004B7EC6"/>
    <w:rsid w:val="004C01A3"/>
    <w:rsid w:val="004C071B"/>
    <w:rsid w:val="004C088F"/>
    <w:rsid w:val="004C098D"/>
    <w:rsid w:val="004C0DE3"/>
    <w:rsid w:val="004C108F"/>
    <w:rsid w:val="004C1397"/>
    <w:rsid w:val="004C1742"/>
    <w:rsid w:val="004C1BB6"/>
    <w:rsid w:val="004C22BB"/>
    <w:rsid w:val="004C23B1"/>
    <w:rsid w:val="004C261A"/>
    <w:rsid w:val="004C297E"/>
    <w:rsid w:val="004C3182"/>
    <w:rsid w:val="004C33E5"/>
    <w:rsid w:val="004C3993"/>
    <w:rsid w:val="004C3B8A"/>
    <w:rsid w:val="004C4168"/>
    <w:rsid w:val="004C4396"/>
    <w:rsid w:val="004C447B"/>
    <w:rsid w:val="004C464E"/>
    <w:rsid w:val="004C4906"/>
    <w:rsid w:val="004C4DB1"/>
    <w:rsid w:val="004C51FA"/>
    <w:rsid w:val="004C57E6"/>
    <w:rsid w:val="004C5CA3"/>
    <w:rsid w:val="004C5E79"/>
    <w:rsid w:val="004C643B"/>
    <w:rsid w:val="004C74F5"/>
    <w:rsid w:val="004D0215"/>
    <w:rsid w:val="004D043B"/>
    <w:rsid w:val="004D0E5C"/>
    <w:rsid w:val="004D14B9"/>
    <w:rsid w:val="004D1BD5"/>
    <w:rsid w:val="004D27CC"/>
    <w:rsid w:val="004D2CCC"/>
    <w:rsid w:val="004D3156"/>
    <w:rsid w:val="004D364E"/>
    <w:rsid w:val="004D398A"/>
    <w:rsid w:val="004D3D80"/>
    <w:rsid w:val="004D41D5"/>
    <w:rsid w:val="004D4660"/>
    <w:rsid w:val="004D4AD1"/>
    <w:rsid w:val="004D5B7C"/>
    <w:rsid w:val="004D62EE"/>
    <w:rsid w:val="004D64DB"/>
    <w:rsid w:val="004D70C9"/>
    <w:rsid w:val="004D7228"/>
    <w:rsid w:val="004D73A4"/>
    <w:rsid w:val="004D7557"/>
    <w:rsid w:val="004E0899"/>
    <w:rsid w:val="004E091B"/>
    <w:rsid w:val="004E0B1A"/>
    <w:rsid w:val="004E0F25"/>
    <w:rsid w:val="004E0FB3"/>
    <w:rsid w:val="004E1AAC"/>
    <w:rsid w:val="004E1B6C"/>
    <w:rsid w:val="004E1C35"/>
    <w:rsid w:val="004E1EB7"/>
    <w:rsid w:val="004E288D"/>
    <w:rsid w:val="004E2C1B"/>
    <w:rsid w:val="004E2EC7"/>
    <w:rsid w:val="004E3D20"/>
    <w:rsid w:val="004E480E"/>
    <w:rsid w:val="004E48BC"/>
    <w:rsid w:val="004E4995"/>
    <w:rsid w:val="004E4BC6"/>
    <w:rsid w:val="004E4C7A"/>
    <w:rsid w:val="004E5294"/>
    <w:rsid w:val="004E655C"/>
    <w:rsid w:val="004E6B21"/>
    <w:rsid w:val="004E7BAB"/>
    <w:rsid w:val="004E7C2C"/>
    <w:rsid w:val="004E7D7A"/>
    <w:rsid w:val="004F0281"/>
    <w:rsid w:val="004F03BE"/>
    <w:rsid w:val="004F0764"/>
    <w:rsid w:val="004F078B"/>
    <w:rsid w:val="004F10E3"/>
    <w:rsid w:val="004F21C8"/>
    <w:rsid w:val="004F276D"/>
    <w:rsid w:val="004F2BEE"/>
    <w:rsid w:val="004F2E70"/>
    <w:rsid w:val="004F30D5"/>
    <w:rsid w:val="004F3528"/>
    <w:rsid w:val="004F3592"/>
    <w:rsid w:val="004F3B4D"/>
    <w:rsid w:val="004F3B7B"/>
    <w:rsid w:val="004F3F88"/>
    <w:rsid w:val="004F42D6"/>
    <w:rsid w:val="004F4616"/>
    <w:rsid w:val="004F4618"/>
    <w:rsid w:val="004F570E"/>
    <w:rsid w:val="004F5CF7"/>
    <w:rsid w:val="004F6A71"/>
    <w:rsid w:val="004F6FC6"/>
    <w:rsid w:val="004F70D4"/>
    <w:rsid w:val="004F7BB8"/>
    <w:rsid w:val="004F7CE8"/>
    <w:rsid w:val="004F7D93"/>
    <w:rsid w:val="0050058E"/>
    <w:rsid w:val="005005D6"/>
    <w:rsid w:val="005006AF"/>
    <w:rsid w:val="00500729"/>
    <w:rsid w:val="0050093A"/>
    <w:rsid w:val="00500BE1"/>
    <w:rsid w:val="00501561"/>
    <w:rsid w:val="00501C74"/>
    <w:rsid w:val="00501D74"/>
    <w:rsid w:val="00501EF7"/>
    <w:rsid w:val="00502338"/>
    <w:rsid w:val="0050240D"/>
    <w:rsid w:val="0050243F"/>
    <w:rsid w:val="005034DE"/>
    <w:rsid w:val="005035ED"/>
    <w:rsid w:val="00503BC5"/>
    <w:rsid w:val="00503C2F"/>
    <w:rsid w:val="005051F4"/>
    <w:rsid w:val="005058D4"/>
    <w:rsid w:val="00505BF4"/>
    <w:rsid w:val="00505C4C"/>
    <w:rsid w:val="00506AF9"/>
    <w:rsid w:val="00506CE8"/>
    <w:rsid w:val="0050721A"/>
    <w:rsid w:val="0050737E"/>
    <w:rsid w:val="0050765C"/>
    <w:rsid w:val="00507666"/>
    <w:rsid w:val="0050770E"/>
    <w:rsid w:val="005079E7"/>
    <w:rsid w:val="00510420"/>
    <w:rsid w:val="00510529"/>
    <w:rsid w:val="00510910"/>
    <w:rsid w:val="00511853"/>
    <w:rsid w:val="00511EBC"/>
    <w:rsid w:val="00512003"/>
    <w:rsid w:val="00513CBD"/>
    <w:rsid w:val="00514C46"/>
    <w:rsid w:val="00514EA0"/>
    <w:rsid w:val="00515407"/>
    <w:rsid w:val="0051542B"/>
    <w:rsid w:val="00515E38"/>
    <w:rsid w:val="005161D4"/>
    <w:rsid w:val="00516693"/>
    <w:rsid w:val="00516776"/>
    <w:rsid w:val="00516A46"/>
    <w:rsid w:val="005176F2"/>
    <w:rsid w:val="00517C55"/>
    <w:rsid w:val="005208E1"/>
    <w:rsid w:val="00520AC0"/>
    <w:rsid w:val="005210E2"/>
    <w:rsid w:val="005213D0"/>
    <w:rsid w:val="00521911"/>
    <w:rsid w:val="00521D7E"/>
    <w:rsid w:val="00521DF2"/>
    <w:rsid w:val="00522093"/>
    <w:rsid w:val="005220F6"/>
    <w:rsid w:val="00522590"/>
    <w:rsid w:val="005229E2"/>
    <w:rsid w:val="00522DF3"/>
    <w:rsid w:val="00522E44"/>
    <w:rsid w:val="00523AF0"/>
    <w:rsid w:val="00523BFF"/>
    <w:rsid w:val="00524043"/>
    <w:rsid w:val="00524E62"/>
    <w:rsid w:val="00524EAB"/>
    <w:rsid w:val="005259DD"/>
    <w:rsid w:val="00525E7A"/>
    <w:rsid w:val="0052607F"/>
    <w:rsid w:val="0052627F"/>
    <w:rsid w:val="00526F12"/>
    <w:rsid w:val="00527297"/>
    <w:rsid w:val="005304A8"/>
    <w:rsid w:val="005308CD"/>
    <w:rsid w:val="00530E6A"/>
    <w:rsid w:val="0053112F"/>
    <w:rsid w:val="005315F3"/>
    <w:rsid w:val="005317DD"/>
    <w:rsid w:val="005329BA"/>
    <w:rsid w:val="005332B9"/>
    <w:rsid w:val="005333E6"/>
    <w:rsid w:val="00533424"/>
    <w:rsid w:val="0053370A"/>
    <w:rsid w:val="00533935"/>
    <w:rsid w:val="00533B81"/>
    <w:rsid w:val="005347B7"/>
    <w:rsid w:val="00535C08"/>
    <w:rsid w:val="005370C1"/>
    <w:rsid w:val="00537AED"/>
    <w:rsid w:val="0054025B"/>
    <w:rsid w:val="0054078B"/>
    <w:rsid w:val="00540EBE"/>
    <w:rsid w:val="005410E5"/>
    <w:rsid w:val="0054145D"/>
    <w:rsid w:val="00541651"/>
    <w:rsid w:val="00541A19"/>
    <w:rsid w:val="00541B10"/>
    <w:rsid w:val="00541E2B"/>
    <w:rsid w:val="00541F00"/>
    <w:rsid w:val="005421B3"/>
    <w:rsid w:val="005422A4"/>
    <w:rsid w:val="005434DA"/>
    <w:rsid w:val="005435F4"/>
    <w:rsid w:val="00543DE0"/>
    <w:rsid w:val="0054474C"/>
    <w:rsid w:val="00544EE5"/>
    <w:rsid w:val="0054536A"/>
    <w:rsid w:val="005453AD"/>
    <w:rsid w:val="005457D4"/>
    <w:rsid w:val="00545B16"/>
    <w:rsid w:val="0054604D"/>
    <w:rsid w:val="00546A14"/>
    <w:rsid w:val="00546DE3"/>
    <w:rsid w:val="00546E63"/>
    <w:rsid w:val="00547509"/>
    <w:rsid w:val="0054756D"/>
    <w:rsid w:val="005478B0"/>
    <w:rsid w:val="005478CA"/>
    <w:rsid w:val="00547AB8"/>
    <w:rsid w:val="0055061A"/>
    <w:rsid w:val="00550893"/>
    <w:rsid w:val="00550C17"/>
    <w:rsid w:val="005512D7"/>
    <w:rsid w:val="00551CFF"/>
    <w:rsid w:val="00551D99"/>
    <w:rsid w:val="00551EF8"/>
    <w:rsid w:val="005524B4"/>
    <w:rsid w:val="00553225"/>
    <w:rsid w:val="00553664"/>
    <w:rsid w:val="00553D99"/>
    <w:rsid w:val="00553E18"/>
    <w:rsid w:val="005550C0"/>
    <w:rsid w:val="005555EC"/>
    <w:rsid w:val="005557A0"/>
    <w:rsid w:val="00556108"/>
    <w:rsid w:val="00556ECF"/>
    <w:rsid w:val="00560516"/>
    <w:rsid w:val="00560855"/>
    <w:rsid w:val="00560935"/>
    <w:rsid w:val="00560C62"/>
    <w:rsid w:val="00561BB5"/>
    <w:rsid w:val="00561FB3"/>
    <w:rsid w:val="00562126"/>
    <w:rsid w:val="00562288"/>
    <w:rsid w:val="00562347"/>
    <w:rsid w:val="005626E3"/>
    <w:rsid w:val="00562D47"/>
    <w:rsid w:val="00563408"/>
    <w:rsid w:val="00563C39"/>
    <w:rsid w:val="00563E93"/>
    <w:rsid w:val="00564290"/>
    <w:rsid w:val="005646AE"/>
    <w:rsid w:val="005649AF"/>
    <w:rsid w:val="00564AFB"/>
    <w:rsid w:val="00564CBB"/>
    <w:rsid w:val="00565963"/>
    <w:rsid w:val="005659CB"/>
    <w:rsid w:val="0056620F"/>
    <w:rsid w:val="00566DE1"/>
    <w:rsid w:val="005671D7"/>
    <w:rsid w:val="005674E9"/>
    <w:rsid w:val="00567C84"/>
    <w:rsid w:val="00570AF5"/>
    <w:rsid w:val="00570F16"/>
    <w:rsid w:val="00571551"/>
    <w:rsid w:val="00571A2B"/>
    <w:rsid w:val="00571FC5"/>
    <w:rsid w:val="00572658"/>
    <w:rsid w:val="00572A3D"/>
    <w:rsid w:val="00572CEA"/>
    <w:rsid w:val="00572D6C"/>
    <w:rsid w:val="00572ED4"/>
    <w:rsid w:val="0057533E"/>
    <w:rsid w:val="00575591"/>
    <w:rsid w:val="005755A3"/>
    <w:rsid w:val="005759F3"/>
    <w:rsid w:val="00576E02"/>
    <w:rsid w:val="00576EBB"/>
    <w:rsid w:val="00576EFC"/>
    <w:rsid w:val="0057722A"/>
    <w:rsid w:val="005816D5"/>
    <w:rsid w:val="00581E71"/>
    <w:rsid w:val="005820B8"/>
    <w:rsid w:val="00582417"/>
    <w:rsid w:val="00582D74"/>
    <w:rsid w:val="005830CA"/>
    <w:rsid w:val="0058325B"/>
    <w:rsid w:val="005833C3"/>
    <w:rsid w:val="005836C4"/>
    <w:rsid w:val="00583DA7"/>
    <w:rsid w:val="0058481D"/>
    <w:rsid w:val="00585B50"/>
    <w:rsid w:val="00585B5B"/>
    <w:rsid w:val="00585D57"/>
    <w:rsid w:val="00586BB3"/>
    <w:rsid w:val="00586DBC"/>
    <w:rsid w:val="005900AA"/>
    <w:rsid w:val="00590312"/>
    <w:rsid w:val="00590351"/>
    <w:rsid w:val="005913F7"/>
    <w:rsid w:val="00591548"/>
    <w:rsid w:val="00591FA4"/>
    <w:rsid w:val="00591FFA"/>
    <w:rsid w:val="00592AB6"/>
    <w:rsid w:val="005938D1"/>
    <w:rsid w:val="00593F22"/>
    <w:rsid w:val="0059407A"/>
    <w:rsid w:val="005948D6"/>
    <w:rsid w:val="0059557F"/>
    <w:rsid w:val="005959E3"/>
    <w:rsid w:val="005961DF"/>
    <w:rsid w:val="005963C9"/>
    <w:rsid w:val="00596511"/>
    <w:rsid w:val="00596A79"/>
    <w:rsid w:val="00597196"/>
    <w:rsid w:val="00597716"/>
    <w:rsid w:val="00597A0E"/>
    <w:rsid w:val="005A0091"/>
    <w:rsid w:val="005A05F2"/>
    <w:rsid w:val="005A0CCD"/>
    <w:rsid w:val="005A0FA6"/>
    <w:rsid w:val="005A1E2A"/>
    <w:rsid w:val="005A2FAA"/>
    <w:rsid w:val="005A313A"/>
    <w:rsid w:val="005A35E0"/>
    <w:rsid w:val="005A4494"/>
    <w:rsid w:val="005A44AA"/>
    <w:rsid w:val="005A4BAF"/>
    <w:rsid w:val="005A573D"/>
    <w:rsid w:val="005A5FCA"/>
    <w:rsid w:val="005A6313"/>
    <w:rsid w:val="005A64EA"/>
    <w:rsid w:val="005A6B35"/>
    <w:rsid w:val="005A6C5D"/>
    <w:rsid w:val="005A6F4E"/>
    <w:rsid w:val="005A7E46"/>
    <w:rsid w:val="005B00E8"/>
    <w:rsid w:val="005B0A24"/>
    <w:rsid w:val="005B1316"/>
    <w:rsid w:val="005B1A9A"/>
    <w:rsid w:val="005B1F03"/>
    <w:rsid w:val="005B2282"/>
    <w:rsid w:val="005B2652"/>
    <w:rsid w:val="005B2D58"/>
    <w:rsid w:val="005B3190"/>
    <w:rsid w:val="005B33B4"/>
    <w:rsid w:val="005B35C7"/>
    <w:rsid w:val="005B3EA9"/>
    <w:rsid w:val="005B531B"/>
    <w:rsid w:val="005B53DC"/>
    <w:rsid w:val="005B541B"/>
    <w:rsid w:val="005B5B34"/>
    <w:rsid w:val="005B6221"/>
    <w:rsid w:val="005B66C5"/>
    <w:rsid w:val="005B6723"/>
    <w:rsid w:val="005B67D1"/>
    <w:rsid w:val="005B6F19"/>
    <w:rsid w:val="005B742F"/>
    <w:rsid w:val="005B7E2F"/>
    <w:rsid w:val="005C0F45"/>
    <w:rsid w:val="005C1314"/>
    <w:rsid w:val="005C22D5"/>
    <w:rsid w:val="005C2451"/>
    <w:rsid w:val="005C246D"/>
    <w:rsid w:val="005C2A21"/>
    <w:rsid w:val="005C2E25"/>
    <w:rsid w:val="005C2E2C"/>
    <w:rsid w:val="005C3733"/>
    <w:rsid w:val="005C37E2"/>
    <w:rsid w:val="005C41CE"/>
    <w:rsid w:val="005C48EC"/>
    <w:rsid w:val="005C4C3C"/>
    <w:rsid w:val="005C4DED"/>
    <w:rsid w:val="005C50A2"/>
    <w:rsid w:val="005C55BC"/>
    <w:rsid w:val="005C57F9"/>
    <w:rsid w:val="005C6E85"/>
    <w:rsid w:val="005C6FB6"/>
    <w:rsid w:val="005C73B3"/>
    <w:rsid w:val="005C7A06"/>
    <w:rsid w:val="005C7A2D"/>
    <w:rsid w:val="005D0D44"/>
    <w:rsid w:val="005D1106"/>
    <w:rsid w:val="005D11C3"/>
    <w:rsid w:val="005D18B6"/>
    <w:rsid w:val="005D1AF7"/>
    <w:rsid w:val="005D1DDC"/>
    <w:rsid w:val="005D21AA"/>
    <w:rsid w:val="005D26E8"/>
    <w:rsid w:val="005D26FE"/>
    <w:rsid w:val="005D29E1"/>
    <w:rsid w:val="005D2B9F"/>
    <w:rsid w:val="005D310B"/>
    <w:rsid w:val="005D31DD"/>
    <w:rsid w:val="005D3A4F"/>
    <w:rsid w:val="005D3DB2"/>
    <w:rsid w:val="005D40A1"/>
    <w:rsid w:val="005D482D"/>
    <w:rsid w:val="005D4BA4"/>
    <w:rsid w:val="005D4C79"/>
    <w:rsid w:val="005D5169"/>
    <w:rsid w:val="005D5224"/>
    <w:rsid w:val="005D5254"/>
    <w:rsid w:val="005D589E"/>
    <w:rsid w:val="005D58F8"/>
    <w:rsid w:val="005D5A90"/>
    <w:rsid w:val="005D5DF8"/>
    <w:rsid w:val="005D6179"/>
    <w:rsid w:val="005D660A"/>
    <w:rsid w:val="005D68F0"/>
    <w:rsid w:val="005D78F2"/>
    <w:rsid w:val="005D78F6"/>
    <w:rsid w:val="005D7E95"/>
    <w:rsid w:val="005E0375"/>
    <w:rsid w:val="005E0D1F"/>
    <w:rsid w:val="005E124B"/>
    <w:rsid w:val="005E250F"/>
    <w:rsid w:val="005E2B0B"/>
    <w:rsid w:val="005E2B49"/>
    <w:rsid w:val="005E30BA"/>
    <w:rsid w:val="005E3293"/>
    <w:rsid w:val="005E333E"/>
    <w:rsid w:val="005E3376"/>
    <w:rsid w:val="005E34F2"/>
    <w:rsid w:val="005E3874"/>
    <w:rsid w:val="005E4851"/>
    <w:rsid w:val="005E4970"/>
    <w:rsid w:val="005E58DA"/>
    <w:rsid w:val="005E5A8E"/>
    <w:rsid w:val="005E5C85"/>
    <w:rsid w:val="005E5E0D"/>
    <w:rsid w:val="005E5EB1"/>
    <w:rsid w:val="005E6186"/>
    <w:rsid w:val="005E636A"/>
    <w:rsid w:val="005E66B9"/>
    <w:rsid w:val="005E683D"/>
    <w:rsid w:val="005E6B0C"/>
    <w:rsid w:val="005E6DDC"/>
    <w:rsid w:val="005E7086"/>
    <w:rsid w:val="005E764C"/>
    <w:rsid w:val="005E7A99"/>
    <w:rsid w:val="005E7B45"/>
    <w:rsid w:val="005E7D1B"/>
    <w:rsid w:val="005E7E9E"/>
    <w:rsid w:val="005E7F05"/>
    <w:rsid w:val="005F05F3"/>
    <w:rsid w:val="005F0BAF"/>
    <w:rsid w:val="005F0E7E"/>
    <w:rsid w:val="005F1EB1"/>
    <w:rsid w:val="005F1F45"/>
    <w:rsid w:val="005F21EA"/>
    <w:rsid w:val="005F21F7"/>
    <w:rsid w:val="005F2796"/>
    <w:rsid w:val="005F311F"/>
    <w:rsid w:val="005F3265"/>
    <w:rsid w:val="005F3A9E"/>
    <w:rsid w:val="005F4489"/>
    <w:rsid w:val="005F48A3"/>
    <w:rsid w:val="005F49FF"/>
    <w:rsid w:val="005F4B07"/>
    <w:rsid w:val="005F4DED"/>
    <w:rsid w:val="005F4F0A"/>
    <w:rsid w:val="005F5CC7"/>
    <w:rsid w:val="005F6678"/>
    <w:rsid w:val="005F6782"/>
    <w:rsid w:val="005F6AC5"/>
    <w:rsid w:val="005F6FEA"/>
    <w:rsid w:val="0060000A"/>
    <w:rsid w:val="00600BF1"/>
    <w:rsid w:val="00601009"/>
    <w:rsid w:val="006018E9"/>
    <w:rsid w:val="006019A4"/>
    <w:rsid w:val="00601C0B"/>
    <w:rsid w:val="00601C5F"/>
    <w:rsid w:val="00602305"/>
    <w:rsid w:val="00602331"/>
    <w:rsid w:val="006027DE"/>
    <w:rsid w:val="00602DC0"/>
    <w:rsid w:val="006030B1"/>
    <w:rsid w:val="0060393C"/>
    <w:rsid w:val="00603A67"/>
    <w:rsid w:val="00603F4C"/>
    <w:rsid w:val="00604499"/>
    <w:rsid w:val="00604DE7"/>
    <w:rsid w:val="006052FF"/>
    <w:rsid w:val="006064A6"/>
    <w:rsid w:val="006070D8"/>
    <w:rsid w:val="006077A6"/>
    <w:rsid w:val="00607A4B"/>
    <w:rsid w:val="00607FED"/>
    <w:rsid w:val="00610031"/>
    <w:rsid w:val="00610131"/>
    <w:rsid w:val="00610132"/>
    <w:rsid w:val="006112F8"/>
    <w:rsid w:val="0061164C"/>
    <w:rsid w:val="006116A5"/>
    <w:rsid w:val="00611AC2"/>
    <w:rsid w:val="00611C41"/>
    <w:rsid w:val="00612298"/>
    <w:rsid w:val="006123DE"/>
    <w:rsid w:val="006124A2"/>
    <w:rsid w:val="00612719"/>
    <w:rsid w:val="00612E72"/>
    <w:rsid w:val="006133DD"/>
    <w:rsid w:val="006134D1"/>
    <w:rsid w:val="00613E0F"/>
    <w:rsid w:val="00614993"/>
    <w:rsid w:val="00614A61"/>
    <w:rsid w:val="00614EDC"/>
    <w:rsid w:val="00615530"/>
    <w:rsid w:val="006158B6"/>
    <w:rsid w:val="00615CF0"/>
    <w:rsid w:val="00615F53"/>
    <w:rsid w:val="00616B72"/>
    <w:rsid w:val="00616F5B"/>
    <w:rsid w:val="006171B6"/>
    <w:rsid w:val="0061765E"/>
    <w:rsid w:val="00617777"/>
    <w:rsid w:val="006177FA"/>
    <w:rsid w:val="00617803"/>
    <w:rsid w:val="00617F48"/>
    <w:rsid w:val="00617FE8"/>
    <w:rsid w:val="00620062"/>
    <w:rsid w:val="00620C4E"/>
    <w:rsid w:val="006219E1"/>
    <w:rsid w:val="00621CB7"/>
    <w:rsid w:val="00621F36"/>
    <w:rsid w:val="00622E16"/>
    <w:rsid w:val="00622E3A"/>
    <w:rsid w:val="00622F88"/>
    <w:rsid w:val="00623176"/>
    <w:rsid w:val="006234E7"/>
    <w:rsid w:val="0062456E"/>
    <w:rsid w:val="006264B9"/>
    <w:rsid w:val="0062681A"/>
    <w:rsid w:val="00626C31"/>
    <w:rsid w:val="00630B64"/>
    <w:rsid w:val="00630B73"/>
    <w:rsid w:val="00630D55"/>
    <w:rsid w:val="0063171E"/>
    <w:rsid w:val="006319B5"/>
    <w:rsid w:val="00632AE0"/>
    <w:rsid w:val="00633E99"/>
    <w:rsid w:val="00633F77"/>
    <w:rsid w:val="00634DEC"/>
    <w:rsid w:val="00634FCB"/>
    <w:rsid w:val="0063534F"/>
    <w:rsid w:val="00635946"/>
    <w:rsid w:val="006359B4"/>
    <w:rsid w:val="00635E98"/>
    <w:rsid w:val="006363DA"/>
    <w:rsid w:val="00637049"/>
    <w:rsid w:val="0063773F"/>
    <w:rsid w:val="00640033"/>
    <w:rsid w:val="00640A7F"/>
    <w:rsid w:val="00640F69"/>
    <w:rsid w:val="006417E1"/>
    <w:rsid w:val="006418AA"/>
    <w:rsid w:val="00643A49"/>
    <w:rsid w:val="00643B7E"/>
    <w:rsid w:val="00644B90"/>
    <w:rsid w:val="006451FD"/>
    <w:rsid w:val="0064531C"/>
    <w:rsid w:val="00645774"/>
    <w:rsid w:val="006458FD"/>
    <w:rsid w:val="006459B3"/>
    <w:rsid w:val="006459C9"/>
    <w:rsid w:val="00645E91"/>
    <w:rsid w:val="00646B1C"/>
    <w:rsid w:val="00647649"/>
    <w:rsid w:val="00647863"/>
    <w:rsid w:val="00647ADC"/>
    <w:rsid w:val="00650258"/>
    <w:rsid w:val="006511FB"/>
    <w:rsid w:val="00651762"/>
    <w:rsid w:val="00651A0B"/>
    <w:rsid w:val="006520E8"/>
    <w:rsid w:val="00652D95"/>
    <w:rsid w:val="00654891"/>
    <w:rsid w:val="00655595"/>
    <w:rsid w:val="00655C25"/>
    <w:rsid w:val="00656105"/>
    <w:rsid w:val="00656D8C"/>
    <w:rsid w:val="00656F25"/>
    <w:rsid w:val="006570D7"/>
    <w:rsid w:val="006602EB"/>
    <w:rsid w:val="006610B1"/>
    <w:rsid w:val="006626D8"/>
    <w:rsid w:val="00662908"/>
    <w:rsid w:val="00662B0A"/>
    <w:rsid w:val="00663B5C"/>
    <w:rsid w:val="006642D9"/>
    <w:rsid w:val="006647B6"/>
    <w:rsid w:val="00664F25"/>
    <w:rsid w:val="00665060"/>
    <w:rsid w:val="0066592B"/>
    <w:rsid w:val="00665B11"/>
    <w:rsid w:val="00666480"/>
    <w:rsid w:val="0066651B"/>
    <w:rsid w:val="00666584"/>
    <w:rsid w:val="00666B74"/>
    <w:rsid w:val="00666C13"/>
    <w:rsid w:val="00666D4A"/>
    <w:rsid w:val="00667316"/>
    <w:rsid w:val="00667F2C"/>
    <w:rsid w:val="006712A1"/>
    <w:rsid w:val="00671418"/>
    <w:rsid w:val="006716CD"/>
    <w:rsid w:val="00671997"/>
    <w:rsid w:val="00671D66"/>
    <w:rsid w:val="006723B9"/>
    <w:rsid w:val="00672F6F"/>
    <w:rsid w:val="0067353A"/>
    <w:rsid w:val="00673C95"/>
    <w:rsid w:val="00673CDE"/>
    <w:rsid w:val="00674614"/>
    <w:rsid w:val="00674A35"/>
    <w:rsid w:val="0067521A"/>
    <w:rsid w:val="00675514"/>
    <w:rsid w:val="0067580E"/>
    <w:rsid w:val="00675B30"/>
    <w:rsid w:val="006773AE"/>
    <w:rsid w:val="00677BB0"/>
    <w:rsid w:val="006800AE"/>
    <w:rsid w:val="00680686"/>
    <w:rsid w:val="00680810"/>
    <w:rsid w:val="00680880"/>
    <w:rsid w:val="00680971"/>
    <w:rsid w:val="00680A1A"/>
    <w:rsid w:val="00680EE6"/>
    <w:rsid w:val="00681228"/>
    <w:rsid w:val="00681474"/>
    <w:rsid w:val="00681A8A"/>
    <w:rsid w:val="00681C9B"/>
    <w:rsid w:val="006820C2"/>
    <w:rsid w:val="006821FE"/>
    <w:rsid w:val="00682D18"/>
    <w:rsid w:val="00682F78"/>
    <w:rsid w:val="00683248"/>
    <w:rsid w:val="00683A8C"/>
    <w:rsid w:val="00684363"/>
    <w:rsid w:val="006843A2"/>
    <w:rsid w:val="00684D69"/>
    <w:rsid w:val="00684DEE"/>
    <w:rsid w:val="00684DF9"/>
    <w:rsid w:val="00685645"/>
    <w:rsid w:val="00685743"/>
    <w:rsid w:val="00685D22"/>
    <w:rsid w:val="00686084"/>
    <w:rsid w:val="00686AA6"/>
    <w:rsid w:val="0068715E"/>
    <w:rsid w:val="00687A07"/>
    <w:rsid w:val="0069082C"/>
    <w:rsid w:val="00690CFE"/>
    <w:rsid w:val="006916A0"/>
    <w:rsid w:val="00691728"/>
    <w:rsid w:val="0069194C"/>
    <w:rsid w:val="00691B4E"/>
    <w:rsid w:val="00692071"/>
    <w:rsid w:val="006922E5"/>
    <w:rsid w:val="00692A46"/>
    <w:rsid w:val="00693736"/>
    <w:rsid w:val="00693A8F"/>
    <w:rsid w:val="00693C14"/>
    <w:rsid w:val="00694645"/>
    <w:rsid w:val="00695007"/>
    <w:rsid w:val="006951F2"/>
    <w:rsid w:val="00695373"/>
    <w:rsid w:val="00695682"/>
    <w:rsid w:val="006958A5"/>
    <w:rsid w:val="00695A03"/>
    <w:rsid w:val="00696192"/>
    <w:rsid w:val="00696FBD"/>
    <w:rsid w:val="006970CA"/>
    <w:rsid w:val="006A010C"/>
    <w:rsid w:val="006A0149"/>
    <w:rsid w:val="006A1835"/>
    <w:rsid w:val="006A1924"/>
    <w:rsid w:val="006A1BAB"/>
    <w:rsid w:val="006A1D86"/>
    <w:rsid w:val="006A26DC"/>
    <w:rsid w:val="006A288A"/>
    <w:rsid w:val="006A36CC"/>
    <w:rsid w:val="006A3B36"/>
    <w:rsid w:val="006A3C78"/>
    <w:rsid w:val="006A3D2B"/>
    <w:rsid w:val="006A3DA4"/>
    <w:rsid w:val="006A444A"/>
    <w:rsid w:val="006A4CD8"/>
    <w:rsid w:val="006A5694"/>
    <w:rsid w:val="006A582D"/>
    <w:rsid w:val="006A5C99"/>
    <w:rsid w:val="006A5C9C"/>
    <w:rsid w:val="006A5D4D"/>
    <w:rsid w:val="006A6722"/>
    <w:rsid w:val="006A6D95"/>
    <w:rsid w:val="006A7323"/>
    <w:rsid w:val="006A7417"/>
    <w:rsid w:val="006A7479"/>
    <w:rsid w:val="006A79A4"/>
    <w:rsid w:val="006A7EE0"/>
    <w:rsid w:val="006A7F37"/>
    <w:rsid w:val="006B0010"/>
    <w:rsid w:val="006B0043"/>
    <w:rsid w:val="006B02BB"/>
    <w:rsid w:val="006B0540"/>
    <w:rsid w:val="006B07F0"/>
    <w:rsid w:val="006B1CFC"/>
    <w:rsid w:val="006B26B4"/>
    <w:rsid w:val="006B2E38"/>
    <w:rsid w:val="006B370F"/>
    <w:rsid w:val="006B3B93"/>
    <w:rsid w:val="006B4095"/>
    <w:rsid w:val="006B4C6D"/>
    <w:rsid w:val="006B567B"/>
    <w:rsid w:val="006B5730"/>
    <w:rsid w:val="006B5FDC"/>
    <w:rsid w:val="006B6346"/>
    <w:rsid w:val="006B6462"/>
    <w:rsid w:val="006B74FA"/>
    <w:rsid w:val="006C0163"/>
    <w:rsid w:val="006C1E05"/>
    <w:rsid w:val="006C1FB5"/>
    <w:rsid w:val="006C238A"/>
    <w:rsid w:val="006C29D7"/>
    <w:rsid w:val="006C3204"/>
    <w:rsid w:val="006C39DC"/>
    <w:rsid w:val="006C39E5"/>
    <w:rsid w:val="006C3E94"/>
    <w:rsid w:val="006C46F5"/>
    <w:rsid w:val="006C4BAB"/>
    <w:rsid w:val="006C4BE0"/>
    <w:rsid w:val="006C4CFC"/>
    <w:rsid w:val="006C5779"/>
    <w:rsid w:val="006C58F6"/>
    <w:rsid w:val="006C5AFC"/>
    <w:rsid w:val="006C72D4"/>
    <w:rsid w:val="006C7623"/>
    <w:rsid w:val="006C7B3E"/>
    <w:rsid w:val="006C7CA2"/>
    <w:rsid w:val="006D0F49"/>
    <w:rsid w:val="006D180D"/>
    <w:rsid w:val="006D1FF0"/>
    <w:rsid w:val="006D204D"/>
    <w:rsid w:val="006D2414"/>
    <w:rsid w:val="006D274C"/>
    <w:rsid w:val="006D3E15"/>
    <w:rsid w:val="006D434F"/>
    <w:rsid w:val="006D48AF"/>
    <w:rsid w:val="006D48DE"/>
    <w:rsid w:val="006D4CE6"/>
    <w:rsid w:val="006D5073"/>
    <w:rsid w:val="006D52B7"/>
    <w:rsid w:val="006D56EB"/>
    <w:rsid w:val="006D5DB4"/>
    <w:rsid w:val="006D622D"/>
    <w:rsid w:val="006D718A"/>
    <w:rsid w:val="006D7709"/>
    <w:rsid w:val="006D78BB"/>
    <w:rsid w:val="006D7BFC"/>
    <w:rsid w:val="006E0151"/>
    <w:rsid w:val="006E05D9"/>
    <w:rsid w:val="006E0840"/>
    <w:rsid w:val="006E1514"/>
    <w:rsid w:val="006E15CB"/>
    <w:rsid w:val="006E173B"/>
    <w:rsid w:val="006E1787"/>
    <w:rsid w:val="006E1E7D"/>
    <w:rsid w:val="006E23F3"/>
    <w:rsid w:val="006E2897"/>
    <w:rsid w:val="006E2AA6"/>
    <w:rsid w:val="006E3020"/>
    <w:rsid w:val="006E3606"/>
    <w:rsid w:val="006E3E60"/>
    <w:rsid w:val="006E4C9C"/>
    <w:rsid w:val="006E5DB2"/>
    <w:rsid w:val="006E5E2C"/>
    <w:rsid w:val="006E5EC7"/>
    <w:rsid w:val="006E62CE"/>
    <w:rsid w:val="006E6316"/>
    <w:rsid w:val="006E71BD"/>
    <w:rsid w:val="006E73D2"/>
    <w:rsid w:val="006E75DE"/>
    <w:rsid w:val="006E79DD"/>
    <w:rsid w:val="006F0118"/>
    <w:rsid w:val="006F0DD1"/>
    <w:rsid w:val="006F0E44"/>
    <w:rsid w:val="006F0FE4"/>
    <w:rsid w:val="006F20FC"/>
    <w:rsid w:val="006F2405"/>
    <w:rsid w:val="006F27C7"/>
    <w:rsid w:val="006F324B"/>
    <w:rsid w:val="006F35C3"/>
    <w:rsid w:val="006F460F"/>
    <w:rsid w:val="006F5186"/>
    <w:rsid w:val="006F54BC"/>
    <w:rsid w:val="006F5876"/>
    <w:rsid w:val="006F5C97"/>
    <w:rsid w:val="006F65DC"/>
    <w:rsid w:val="006F6697"/>
    <w:rsid w:val="006F6810"/>
    <w:rsid w:val="006F6D2F"/>
    <w:rsid w:val="006F7413"/>
    <w:rsid w:val="007001B4"/>
    <w:rsid w:val="007012BC"/>
    <w:rsid w:val="00701823"/>
    <w:rsid w:val="007019EE"/>
    <w:rsid w:val="00701F74"/>
    <w:rsid w:val="0070210B"/>
    <w:rsid w:val="007024BE"/>
    <w:rsid w:val="00702672"/>
    <w:rsid w:val="007026D1"/>
    <w:rsid w:val="00702AC2"/>
    <w:rsid w:val="00702B5F"/>
    <w:rsid w:val="00702C7C"/>
    <w:rsid w:val="0070357F"/>
    <w:rsid w:val="007041A5"/>
    <w:rsid w:val="0070448C"/>
    <w:rsid w:val="007046BA"/>
    <w:rsid w:val="007048DA"/>
    <w:rsid w:val="00704DC5"/>
    <w:rsid w:val="007058A8"/>
    <w:rsid w:val="00705DA5"/>
    <w:rsid w:val="00706091"/>
    <w:rsid w:val="007061EC"/>
    <w:rsid w:val="0070766D"/>
    <w:rsid w:val="007105B8"/>
    <w:rsid w:val="0071098B"/>
    <w:rsid w:val="00711C44"/>
    <w:rsid w:val="00712557"/>
    <w:rsid w:val="0071268A"/>
    <w:rsid w:val="00712D22"/>
    <w:rsid w:val="007135E5"/>
    <w:rsid w:val="007138AF"/>
    <w:rsid w:val="00713D33"/>
    <w:rsid w:val="00714323"/>
    <w:rsid w:val="00714F4D"/>
    <w:rsid w:val="00715299"/>
    <w:rsid w:val="00715573"/>
    <w:rsid w:val="00715743"/>
    <w:rsid w:val="007157F6"/>
    <w:rsid w:val="0071590F"/>
    <w:rsid w:val="00715AAB"/>
    <w:rsid w:val="00716ECA"/>
    <w:rsid w:val="00717CA6"/>
    <w:rsid w:val="00717D4D"/>
    <w:rsid w:val="007206C3"/>
    <w:rsid w:val="0072079C"/>
    <w:rsid w:val="00720847"/>
    <w:rsid w:val="00720FB5"/>
    <w:rsid w:val="0072106E"/>
    <w:rsid w:val="0072152B"/>
    <w:rsid w:val="00722330"/>
    <w:rsid w:val="00722912"/>
    <w:rsid w:val="00722F14"/>
    <w:rsid w:val="00722F90"/>
    <w:rsid w:val="0072342F"/>
    <w:rsid w:val="00723D79"/>
    <w:rsid w:val="007245D4"/>
    <w:rsid w:val="00724614"/>
    <w:rsid w:val="0072468B"/>
    <w:rsid w:val="00725401"/>
    <w:rsid w:val="007258BC"/>
    <w:rsid w:val="00725918"/>
    <w:rsid w:val="00726924"/>
    <w:rsid w:val="007271C0"/>
    <w:rsid w:val="00730622"/>
    <w:rsid w:val="007309AA"/>
    <w:rsid w:val="00730F87"/>
    <w:rsid w:val="00730FC7"/>
    <w:rsid w:val="00731302"/>
    <w:rsid w:val="00731E19"/>
    <w:rsid w:val="0073400E"/>
    <w:rsid w:val="007342FF"/>
    <w:rsid w:val="00734A2D"/>
    <w:rsid w:val="007356C8"/>
    <w:rsid w:val="00735723"/>
    <w:rsid w:val="00736D15"/>
    <w:rsid w:val="00737205"/>
    <w:rsid w:val="007379AB"/>
    <w:rsid w:val="00737B37"/>
    <w:rsid w:val="00740EF8"/>
    <w:rsid w:val="007411F9"/>
    <w:rsid w:val="00741F69"/>
    <w:rsid w:val="00742171"/>
    <w:rsid w:val="00742399"/>
    <w:rsid w:val="00742865"/>
    <w:rsid w:val="0074305D"/>
    <w:rsid w:val="007433BB"/>
    <w:rsid w:val="007434DC"/>
    <w:rsid w:val="00743A03"/>
    <w:rsid w:val="00743B36"/>
    <w:rsid w:val="00744BAE"/>
    <w:rsid w:val="00744D9D"/>
    <w:rsid w:val="007456CB"/>
    <w:rsid w:val="007459BF"/>
    <w:rsid w:val="007503F8"/>
    <w:rsid w:val="007510C7"/>
    <w:rsid w:val="0075110F"/>
    <w:rsid w:val="00751453"/>
    <w:rsid w:val="00751D86"/>
    <w:rsid w:val="00751F8C"/>
    <w:rsid w:val="0075207A"/>
    <w:rsid w:val="0075236B"/>
    <w:rsid w:val="00752FDA"/>
    <w:rsid w:val="007531D9"/>
    <w:rsid w:val="00753779"/>
    <w:rsid w:val="0075399D"/>
    <w:rsid w:val="00754FD8"/>
    <w:rsid w:val="00755161"/>
    <w:rsid w:val="0075525A"/>
    <w:rsid w:val="007558A2"/>
    <w:rsid w:val="00755902"/>
    <w:rsid w:val="0075596C"/>
    <w:rsid w:val="00756506"/>
    <w:rsid w:val="00757126"/>
    <w:rsid w:val="00757218"/>
    <w:rsid w:val="00757A1C"/>
    <w:rsid w:val="00757A2B"/>
    <w:rsid w:val="00757B9C"/>
    <w:rsid w:val="00761A42"/>
    <w:rsid w:val="007622F4"/>
    <w:rsid w:val="00762AAA"/>
    <w:rsid w:val="00762C85"/>
    <w:rsid w:val="007632FD"/>
    <w:rsid w:val="007636B0"/>
    <w:rsid w:val="00763779"/>
    <w:rsid w:val="007638D0"/>
    <w:rsid w:val="00763E1A"/>
    <w:rsid w:val="00764356"/>
    <w:rsid w:val="00764855"/>
    <w:rsid w:val="00765472"/>
    <w:rsid w:val="00765632"/>
    <w:rsid w:val="00765E21"/>
    <w:rsid w:val="00765FA2"/>
    <w:rsid w:val="007666F2"/>
    <w:rsid w:val="00767B27"/>
    <w:rsid w:val="0077062E"/>
    <w:rsid w:val="00770733"/>
    <w:rsid w:val="00770746"/>
    <w:rsid w:val="00770D2D"/>
    <w:rsid w:val="00771012"/>
    <w:rsid w:val="007716ED"/>
    <w:rsid w:val="00772083"/>
    <w:rsid w:val="007725B6"/>
    <w:rsid w:val="0077268A"/>
    <w:rsid w:val="00773A43"/>
    <w:rsid w:val="007742DB"/>
    <w:rsid w:val="00774FDF"/>
    <w:rsid w:val="007752DB"/>
    <w:rsid w:val="00775891"/>
    <w:rsid w:val="007758E1"/>
    <w:rsid w:val="00775B4D"/>
    <w:rsid w:val="00775F41"/>
    <w:rsid w:val="00776117"/>
    <w:rsid w:val="00776661"/>
    <w:rsid w:val="0077692F"/>
    <w:rsid w:val="007772D1"/>
    <w:rsid w:val="007774B4"/>
    <w:rsid w:val="00777C4B"/>
    <w:rsid w:val="00780021"/>
    <w:rsid w:val="00780EDF"/>
    <w:rsid w:val="007826F3"/>
    <w:rsid w:val="00782E8B"/>
    <w:rsid w:val="00783881"/>
    <w:rsid w:val="007848C0"/>
    <w:rsid w:val="00785238"/>
    <w:rsid w:val="007853C7"/>
    <w:rsid w:val="00785484"/>
    <w:rsid w:val="00786676"/>
    <w:rsid w:val="007866D5"/>
    <w:rsid w:val="00786FFE"/>
    <w:rsid w:val="00787911"/>
    <w:rsid w:val="00787B65"/>
    <w:rsid w:val="00787E17"/>
    <w:rsid w:val="0079060C"/>
    <w:rsid w:val="00790F4F"/>
    <w:rsid w:val="00790F6F"/>
    <w:rsid w:val="00791533"/>
    <w:rsid w:val="0079155A"/>
    <w:rsid w:val="00791629"/>
    <w:rsid w:val="00791888"/>
    <w:rsid w:val="0079188F"/>
    <w:rsid w:val="00791DB7"/>
    <w:rsid w:val="00792DF8"/>
    <w:rsid w:val="00793389"/>
    <w:rsid w:val="00793E2F"/>
    <w:rsid w:val="00794833"/>
    <w:rsid w:val="0079501D"/>
    <w:rsid w:val="0079553D"/>
    <w:rsid w:val="00795817"/>
    <w:rsid w:val="0079584A"/>
    <w:rsid w:val="00795E31"/>
    <w:rsid w:val="0079615D"/>
    <w:rsid w:val="007963FE"/>
    <w:rsid w:val="00796CFD"/>
    <w:rsid w:val="00797440"/>
    <w:rsid w:val="00797A6A"/>
    <w:rsid w:val="00797FDC"/>
    <w:rsid w:val="007A04FE"/>
    <w:rsid w:val="007A0C89"/>
    <w:rsid w:val="007A0D2A"/>
    <w:rsid w:val="007A18B6"/>
    <w:rsid w:val="007A18D6"/>
    <w:rsid w:val="007A2CA1"/>
    <w:rsid w:val="007A35BD"/>
    <w:rsid w:val="007A3780"/>
    <w:rsid w:val="007A4082"/>
    <w:rsid w:val="007A4597"/>
    <w:rsid w:val="007A49C0"/>
    <w:rsid w:val="007A4F54"/>
    <w:rsid w:val="007A5452"/>
    <w:rsid w:val="007A61EA"/>
    <w:rsid w:val="007A6A52"/>
    <w:rsid w:val="007A6C00"/>
    <w:rsid w:val="007A6C82"/>
    <w:rsid w:val="007A7153"/>
    <w:rsid w:val="007A7459"/>
    <w:rsid w:val="007A74B5"/>
    <w:rsid w:val="007A7C32"/>
    <w:rsid w:val="007A7DD0"/>
    <w:rsid w:val="007A7DEB"/>
    <w:rsid w:val="007A7EAB"/>
    <w:rsid w:val="007B0253"/>
    <w:rsid w:val="007B04F8"/>
    <w:rsid w:val="007B0C81"/>
    <w:rsid w:val="007B1567"/>
    <w:rsid w:val="007B17B4"/>
    <w:rsid w:val="007B1E2A"/>
    <w:rsid w:val="007B214F"/>
    <w:rsid w:val="007B28BD"/>
    <w:rsid w:val="007B2E66"/>
    <w:rsid w:val="007B36FC"/>
    <w:rsid w:val="007B387C"/>
    <w:rsid w:val="007B3B8D"/>
    <w:rsid w:val="007B3DD5"/>
    <w:rsid w:val="007B438D"/>
    <w:rsid w:val="007B4961"/>
    <w:rsid w:val="007B49D1"/>
    <w:rsid w:val="007B4E6A"/>
    <w:rsid w:val="007B5395"/>
    <w:rsid w:val="007B53C3"/>
    <w:rsid w:val="007B5554"/>
    <w:rsid w:val="007B59A1"/>
    <w:rsid w:val="007B6433"/>
    <w:rsid w:val="007B6BC3"/>
    <w:rsid w:val="007B74A9"/>
    <w:rsid w:val="007B7F65"/>
    <w:rsid w:val="007C014F"/>
    <w:rsid w:val="007C06DC"/>
    <w:rsid w:val="007C0C70"/>
    <w:rsid w:val="007C28D6"/>
    <w:rsid w:val="007C2963"/>
    <w:rsid w:val="007C3028"/>
    <w:rsid w:val="007C30C7"/>
    <w:rsid w:val="007C337F"/>
    <w:rsid w:val="007C3440"/>
    <w:rsid w:val="007C3DBA"/>
    <w:rsid w:val="007C3F8C"/>
    <w:rsid w:val="007C3FAB"/>
    <w:rsid w:val="007C4949"/>
    <w:rsid w:val="007C5ABA"/>
    <w:rsid w:val="007C5B3E"/>
    <w:rsid w:val="007C60F5"/>
    <w:rsid w:val="007C6369"/>
    <w:rsid w:val="007C64B6"/>
    <w:rsid w:val="007C6C58"/>
    <w:rsid w:val="007C6F9C"/>
    <w:rsid w:val="007C73ED"/>
    <w:rsid w:val="007C7874"/>
    <w:rsid w:val="007D0298"/>
    <w:rsid w:val="007D04DC"/>
    <w:rsid w:val="007D0639"/>
    <w:rsid w:val="007D0813"/>
    <w:rsid w:val="007D0878"/>
    <w:rsid w:val="007D08DB"/>
    <w:rsid w:val="007D171D"/>
    <w:rsid w:val="007D1F23"/>
    <w:rsid w:val="007D2B83"/>
    <w:rsid w:val="007D3787"/>
    <w:rsid w:val="007D45AA"/>
    <w:rsid w:val="007D47D6"/>
    <w:rsid w:val="007D4E89"/>
    <w:rsid w:val="007D54D8"/>
    <w:rsid w:val="007D5A62"/>
    <w:rsid w:val="007D79D3"/>
    <w:rsid w:val="007D7CDB"/>
    <w:rsid w:val="007E0398"/>
    <w:rsid w:val="007E0FC2"/>
    <w:rsid w:val="007E1008"/>
    <w:rsid w:val="007E10DE"/>
    <w:rsid w:val="007E1349"/>
    <w:rsid w:val="007E1752"/>
    <w:rsid w:val="007E1B82"/>
    <w:rsid w:val="007E26ED"/>
    <w:rsid w:val="007E2DA1"/>
    <w:rsid w:val="007E322B"/>
    <w:rsid w:val="007E32EE"/>
    <w:rsid w:val="007E3384"/>
    <w:rsid w:val="007E3BA3"/>
    <w:rsid w:val="007E3E28"/>
    <w:rsid w:val="007E709A"/>
    <w:rsid w:val="007E7386"/>
    <w:rsid w:val="007E772B"/>
    <w:rsid w:val="007F047D"/>
    <w:rsid w:val="007F05A5"/>
    <w:rsid w:val="007F061D"/>
    <w:rsid w:val="007F07D8"/>
    <w:rsid w:val="007F29D8"/>
    <w:rsid w:val="007F2E07"/>
    <w:rsid w:val="007F3695"/>
    <w:rsid w:val="007F470A"/>
    <w:rsid w:val="007F4981"/>
    <w:rsid w:val="007F4DCB"/>
    <w:rsid w:val="007F52CB"/>
    <w:rsid w:val="007F586E"/>
    <w:rsid w:val="007F5DD7"/>
    <w:rsid w:val="007F5E3F"/>
    <w:rsid w:val="007F7A5A"/>
    <w:rsid w:val="0080029D"/>
    <w:rsid w:val="008005D2"/>
    <w:rsid w:val="008007FA"/>
    <w:rsid w:val="00800807"/>
    <w:rsid w:val="00800E79"/>
    <w:rsid w:val="0080192E"/>
    <w:rsid w:val="00801972"/>
    <w:rsid w:val="00801E9B"/>
    <w:rsid w:val="00802257"/>
    <w:rsid w:val="00802915"/>
    <w:rsid w:val="00802ACD"/>
    <w:rsid w:val="008035C5"/>
    <w:rsid w:val="0080377C"/>
    <w:rsid w:val="008037F3"/>
    <w:rsid w:val="00803F2A"/>
    <w:rsid w:val="00804078"/>
    <w:rsid w:val="00804A87"/>
    <w:rsid w:val="00805DB4"/>
    <w:rsid w:val="00806352"/>
    <w:rsid w:val="00807049"/>
    <w:rsid w:val="00807638"/>
    <w:rsid w:val="00807643"/>
    <w:rsid w:val="00807C29"/>
    <w:rsid w:val="008106B0"/>
    <w:rsid w:val="00810917"/>
    <w:rsid w:val="00811276"/>
    <w:rsid w:val="0081169D"/>
    <w:rsid w:val="00811B41"/>
    <w:rsid w:val="00811BCB"/>
    <w:rsid w:val="00812213"/>
    <w:rsid w:val="00812CE3"/>
    <w:rsid w:val="008134B5"/>
    <w:rsid w:val="00814AA2"/>
    <w:rsid w:val="00814EA3"/>
    <w:rsid w:val="00815AAD"/>
    <w:rsid w:val="00815AC5"/>
    <w:rsid w:val="00815BD8"/>
    <w:rsid w:val="00816418"/>
    <w:rsid w:val="008164B0"/>
    <w:rsid w:val="00816783"/>
    <w:rsid w:val="00816901"/>
    <w:rsid w:val="008179DA"/>
    <w:rsid w:val="00817C39"/>
    <w:rsid w:val="008205E7"/>
    <w:rsid w:val="008211A1"/>
    <w:rsid w:val="00821449"/>
    <w:rsid w:val="00822219"/>
    <w:rsid w:val="00822BD1"/>
    <w:rsid w:val="0082370D"/>
    <w:rsid w:val="00823877"/>
    <w:rsid w:val="00823987"/>
    <w:rsid w:val="00824080"/>
    <w:rsid w:val="00824B56"/>
    <w:rsid w:val="00824B66"/>
    <w:rsid w:val="00824BF5"/>
    <w:rsid w:val="00824DD1"/>
    <w:rsid w:val="00825591"/>
    <w:rsid w:val="008255D2"/>
    <w:rsid w:val="008256BE"/>
    <w:rsid w:val="008257B0"/>
    <w:rsid w:val="00825B9A"/>
    <w:rsid w:val="00825CA3"/>
    <w:rsid w:val="00825FA5"/>
    <w:rsid w:val="0082619C"/>
    <w:rsid w:val="00826A71"/>
    <w:rsid w:val="00826D26"/>
    <w:rsid w:val="00827778"/>
    <w:rsid w:val="008277E1"/>
    <w:rsid w:val="00827DAD"/>
    <w:rsid w:val="008303A7"/>
    <w:rsid w:val="00830766"/>
    <w:rsid w:val="00830980"/>
    <w:rsid w:val="00830A9C"/>
    <w:rsid w:val="00830EDC"/>
    <w:rsid w:val="00830F55"/>
    <w:rsid w:val="00831031"/>
    <w:rsid w:val="00831CEF"/>
    <w:rsid w:val="00832C93"/>
    <w:rsid w:val="00832F10"/>
    <w:rsid w:val="00833455"/>
    <w:rsid w:val="00834110"/>
    <w:rsid w:val="008342E1"/>
    <w:rsid w:val="00834B65"/>
    <w:rsid w:val="00835383"/>
    <w:rsid w:val="008365B2"/>
    <w:rsid w:val="00836BC6"/>
    <w:rsid w:val="00836E23"/>
    <w:rsid w:val="00837FDB"/>
    <w:rsid w:val="00840ACD"/>
    <w:rsid w:val="00841AFA"/>
    <w:rsid w:val="0084229D"/>
    <w:rsid w:val="00842A30"/>
    <w:rsid w:val="00842B30"/>
    <w:rsid w:val="00842C30"/>
    <w:rsid w:val="008433D3"/>
    <w:rsid w:val="0084402B"/>
    <w:rsid w:val="00845268"/>
    <w:rsid w:val="0084536B"/>
    <w:rsid w:val="0084565F"/>
    <w:rsid w:val="008458F2"/>
    <w:rsid w:val="008468C6"/>
    <w:rsid w:val="0084709D"/>
    <w:rsid w:val="008475DC"/>
    <w:rsid w:val="00847707"/>
    <w:rsid w:val="008479D1"/>
    <w:rsid w:val="00847D9C"/>
    <w:rsid w:val="00850510"/>
    <w:rsid w:val="00850589"/>
    <w:rsid w:val="008505B8"/>
    <w:rsid w:val="00850686"/>
    <w:rsid w:val="00850996"/>
    <w:rsid w:val="00850A0B"/>
    <w:rsid w:val="00851C08"/>
    <w:rsid w:val="00851CC9"/>
    <w:rsid w:val="00852592"/>
    <w:rsid w:val="00852AA8"/>
    <w:rsid w:val="00852BA4"/>
    <w:rsid w:val="008530CB"/>
    <w:rsid w:val="00853120"/>
    <w:rsid w:val="008532DB"/>
    <w:rsid w:val="00853661"/>
    <w:rsid w:val="00853AF2"/>
    <w:rsid w:val="00853B64"/>
    <w:rsid w:val="00853CEE"/>
    <w:rsid w:val="00853F79"/>
    <w:rsid w:val="0085481E"/>
    <w:rsid w:val="00855578"/>
    <w:rsid w:val="00855905"/>
    <w:rsid w:val="0085765A"/>
    <w:rsid w:val="008576DA"/>
    <w:rsid w:val="00857CE0"/>
    <w:rsid w:val="008604C6"/>
    <w:rsid w:val="00860882"/>
    <w:rsid w:val="00860EF1"/>
    <w:rsid w:val="00861B47"/>
    <w:rsid w:val="00861C6C"/>
    <w:rsid w:val="00861EC4"/>
    <w:rsid w:val="008621CC"/>
    <w:rsid w:val="00862494"/>
    <w:rsid w:val="008644E2"/>
    <w:rsid w:val="00864CEE"/>
    <w:rsid w:val="008651BB"/>
    <w:rsid w:val="00865622"/>
    <w:rsid w:val="0086562A"/>
    <w:rsid w:val="00865B51"/>
    <w:rsid w:val="00866112"/>
    <w:rsid w:val="00867EFD"/>
    <w:rsid w:val="0087028F"/>
    <w:rsid w:val="008704E8"/>
    <w:rsid w:val="00870C57"/>
    <w:rsid w:val="0087123A"/>
    <w:rsid w:val="008716EF"/>
    <w:rsid w:val="0087187D"/>
    <w:rsid w:val="00872320"/>
    <w:rsid w:val="00872B6D"/>
    <w:rsid w:val="00872DFD"/>
    <w:rsid w:val="008732B6"/>
    <w:rsid w:val="0087364F"/>
    <w:rsid w:val="00873B92"/>
    <w:rsid w:val="00873C82"/>
    <w:rsid w:val="008744D1"/>
    <w:rsid w:val="008757ED"/>
    <w:rsid w:val="00875DA7"/>
    <w:rsid w:val="00876054"/>
    <w:rsid w:val="0087612C"/>
    <w:rsid w:val="008762A3"/>
    <w:rsid w:val="00876895"/>
    <w:rsid w:val="008769BD"/>
    <w:rsid w:val="00877558"/>
    <w:rsid w:val="008778A1"/>
    <w:rsid w:val="00877A4D"/>
    <w:rsid w:val="00877ABF"/>
    <w:rsid w:val="008809E7"/>
    <w:rsid w:val="00880AB1"/>
    <w:rsid w:val="00880D81"/>
    <w:rsid w:val="008816EC"/>
    <w:rsid w:val="00882484"/>
    <w:rsid w:val="00882818"/>
    <w:rsid w:val="00882984"/>
    <w:rsid w:val="00882C1E"/>
    <w:rsid w:val="00882C2F"/>
    <w:rsid w:val="00882D08"/>
    <w:rsid w:val="00883531"/>
    <w:rsid w:val="00883570"/>
    <w:rsid w:val="0088371D"/>
    <w:rsid w:val="0088397A"/>
    <w:rsid w:val="00883C1A"/>
    <w:rsid w:val="0088454A"/>
    <w:rsid w:val="00885051"/>
    <w:rsid w:val="00885321"/>
    <w:rsid w:val="00886275"/>
    <w:rsid w:val="008873FA"/>
    <w:rsid w:val="008874FC"/>
    <w:rsid w:val="00887747"/>
    <w:rsid w:val="00887C8A"/>
    <w:rsid w:val="00890FA3"/>
    <w:rsid w:val="0089103F"/>
    <w:rsid w:val="008916F8"/>
    <w:rsid w:val="008919AF"/>
    <w:rsid w:val="00891C17"/>
    <w:rsid w:val="0089271E"/>
    <w:rsid w:val="00892C39"/>
    <w:rsid w:val="00892F29"/>
    <w:rsid w:val="008932F9"/>
    <w:rsid w:val="00893E1A"/>
    <w:rsid w:val="008943E5"/>
    <w:rsid w:val="00894574"/>
    <w:rsid w:val="00894A03"/>
    <w:rsid w:val="00894B00"/>
    <w:rsid w:val="008951BE"/>
    <w:rsid w:val="00895649"/>
    <w:rsid w:val="008972CA"/>
    <w:rsid w:val="0089759C"/>
    <w:rsid w:val="008A0CF8"/>
    <w:rsid w:val="008A1049"/>
    <w:rsid w:val="008A16FC"/>
    <w:rsid w:val="008A27A7"/>
    <w:rsid w:val="008A2921"/>
    <w:rsid w:val="008A3048"/>
    <w:rsid w:val="008A34AB"/>
    <w:rsid w:val="008A52EF"/>
    <w:rsid w:val="008A5A50"/>
    <w:rsid w:val="008A7416"/>
    <w:rsid w:val="008A7843"/>
    <w:rsid w:val="008A7E7C"/>
    <w:rsid w:val="008B0478"/>
    <w:rsid w:val="008B072A"/>
    <w:rsid w:val="008B0CCB"/>
    <w:rsid w:val="008B1894"/>
    <w:rsid w:val="008B1AC3"/>
    <w:rsid w:val="008B3431"/>
    <w:rsid w:val="008B353B"/>
    <w:rsid w:val="008B3D12"/>
    <w:rsid w:val="008B450D"/>
    <w:rsid w:val="008B4A6D"/>
    <w:rsid w:val="008B4B87"/>
    <w:rsid w:val="008B4BF6"/>
    <w:rsid w:val="008B5311"/>
    <w:rsid w:val="008B57CE"/>
    <w:rsid w:val="008B59F8"/>
    <w:rsid w:val="008B5C2D"/>
    <w:rsid w:val="008B5E4D"/>
    <w:rsid w:val="008B6C92"/>
    <w:rsid w:val="008B78EE"/>
    <w:rsid w:val="008B7937"/>
    <w:rsid w:val="008B7A41"/>
    <w:rsid w:val="008C00C1"/>
    <w:rsid w:val="008C1342"/>
    <w:rsid w:val="008C1565"/>
    <w:rsid w:val="008C1DBD"/>
    <w:rsid w:val="008C2673"/>
    <w:rsid w:val="008C28D0"/>
    <w:rsid w:val="008C2913"/>
    <w:rsid w:val="008C2EA8"/>
    <w:rsid w:val="008C3B72"/>
    <w:rsid w:val="008C3C3F"/>
    <w:rsid w:val="008C3EAE"/>
    <w:rsid w:val="008C447C"/>
    <w:rsid w:val="008C4508"/>
    <w:rsid w:val="008C57F3"/>
    <w:rsid w:val="008C5E87"/>
    <w:rsid w:val="008C5EDD"/>
    <w:rsid w:val="008C60AB"/>
    <w:rsid w:val="008C6986"/>
    <w:rsid w:val="008C73A7"/>
    <w:rsid w:val="008C7688"/>
    <w:rsid w:val="008D0916"/>
    <w:rsid w:val="008D1402"/>
    <w:rsid w:val="008D1430"/>
    <w:rsid w:val="008D1C7D"/>
    <w:rsid w:val="008D1F12"/>
    <w:rsid w:val="008D216A"/>
    <w:rsid w:val="008D24EF"/>
    <w:rsid w:val="008D2964"/>
    <w:rsid w:val="008D29F0"/>
    <w:rsid w:val="008D2B3C"/>
    <w:rsid w:val="008D2DC6"/>
    <w:rsid w:val="008D3277"/>
    <w:rsid w:val="008D3B8D"/>
    <w:rsid w:val="008D4845"/>
    <w:rsid w:val="008D5123"/>
    <w:rsid w:val="008D51AD"/>
    <w:rsid w:val="008D52DC"/>
    <w:rsid w:val="008D571A"/>
    <w:rsid w:val="008D57D6"/>
    <w:rsid w:val="008D632B"/>
    <w:rsid w:val="008D669C"/>
    <w:rsid w:val="008E124D"/>
    <w:rsid w:val="008E1330"/>
    <w:rsid w:val="008E18AB"/>
    <w:rsid w:val="008E1B85"/>
    <w:rsid w:val="008E20A7"/>
    <w:rsid w:val="008E2FAD"/>
    <w:rsid w:val="008E3404"/>
    <w:rsid w:val="008E45F7"/>
    <w:rsid w:val="008E4E61"/>
    <w:rsid w:val="008E5199"/>
    <w:rsid w:val="008E54CD"/>
    <w:rsid w:val="008E55A0"/>
    <w:rsid w:val="008E568E"/>
    <w:rsid w:val="008E5766"/>
    <w:rsid w:val="008E6A3D"/>
    <w:rsid w:val="008E7154"/>
    <w:rsid w:val="008E76BE"/>
    <w:rsid w:val="008E7B66"/>
    <w:rsid w:val="008E7CFA"/>
    <w:rsid w:val="008E7E46"/>
    <w:rsid w:val="008F0A49"/>
    <w:rsid w:val="008F0B1B"/>
    <w:rsid w:val="008F16C4"/>
    <w:rsid w:val="008F1A33"/>
    <w:rsid w:val="008F21E4"/>
    <w:rsid w:val="008F2412"/>
    <w:rsid w:val="008F2608"/>
    <w:rsid w:val="008F2C15"/>
    <w:rsid w:val="008F3721"/>
    <w:rsid w:val="008F43F7"/>
    <w:rsid w:val="008F4EBD"/>
    <w:rsid w:val="008F528D"/>
    <w:rsid w:val="008F590F"/>
    <w:rsid w:val="008F5B53"/>
    <w:rsid w:val="008F5C18"/>
    <w:rsid w:val="008F6243"/>
    <w:rsid w:val="008F65D4"/>
    <w:rsid w:val="008F65FA"/>
    <w:rsid w:val="008F6820"/>
    <w:rsid w:val="008F6F71"/>
    <w:rsid w:val="00900235"/>
    <w:rsid w:val="00900ACE"/>
    <w:rsid w:val="00900C67"/>
    <w:rsid w:val="00900D99"/>
    <w:rsid w:val="00900DAB"/>
    <w:rsid w:val="009011B8"/>
    <w:rsid w:val="0090120B"/>
    <w:rsid w:val="0090138B"/>
    <w:rsid w:val="00901461"/>
    <w:rsid w:val="00901E98"/>
    <w:rsid w:val="00901E9A"/>
    <w:rsid w:val="00902262"/>
    <w:rsid w:val="00902495"/>
    <w:rsid w:val="00902CAB"/>
    <w:rsid w:val="00902E55"/>
    <w:rsid w:val="00903228"/>
    <w:rsid w:val="0090345F"/>
    <w:rsid w:val="00903D03"/>
    <w:rsid w:val="009049E8"/>
    <w:rsid w:val="00904DEE"/>
    <w:rsid w:val="009050E0"/>
    <w:rsid w:val="0090518C"/>
    <w:rsid w:val="00906392"/>
    <w:rsid w:val="0090680F"/>
    <w:rsid w:val="009068AE"/>
    <w:rsid w:val="00906FAC"/>
    <w:rsid w:val="0090752A"/>
    <w:rsid w:val="009102DF"/>
    <w:rsid w:val="00910BF4"/>
    <w:rsid w:val="00910C7F"/>
    <w:rsid w:val="00911E8D"/>
    <w:rsid w:val="00911F3C"/>
    <w:rsid w:val="00912732"/>
    <w:rsid w:val="00913378"/>
    <w:rsid w:val="00913AE7"/>
    <w:rsid w:val="00913F47"/>
    <w:rsid w:val="00914640"/>
    <w:rsid w:val="00914F2B"/>
    <w:rsid w:val="00914FFC"/>
    <w:rsid w:val="009153D1"/>
    <w:rsid w:val="009154DF"/>
    <w:rsid w:val="00915BC3"/>
    <w:rsid w:val="00915E5C"/>
    <w:rsid w:val="00916027"/>
    <w:rsid w:val="009161D7"/>
    <w:rsid w:val="009168B0"/>
    <w:rsid w:val="00916CC4"/>
    <w:rsid w:val="00916F7D"/>
    <w:rsid w:val="00917071"/>
    <w:rsid w:val="00917AFE"/>
    <w:rsid w:val="009208A9"/>
    <w:rsid w:val="00921962"/>
    <w:rsid w:val="00921981"/>
    <w:rsid w:val="00921B07"/>
    <w:rsid w:val="0092245D"/>
    <w:rsid w:val="00922711"/>
    <w:rsid w:val="00922A18"/>
    <w:rsid w:val="00922C9F"/>
    <w:rsid w:val="00922CFA"/>
    <w:rsid w:val="00923AF5"/>
    <w:rsid w:val="00923CF2"/>
    <w:rsid w:val="00923ED5"/>
    <w:rsid w:val="00924036"/>
    <w:rsid w:val="0092404E"/>
    <w:rsid w:val="00924B32"/>
    <w:rsid w:val="00924CEE"/>
    <w:rsid w:val="0092581D"/>
    <w:rsid w:val="009258BE"/>
    <w:rsid w:val="00925B29"/>
    <w:rsid w:val="0092634C"/>
    <w:rsid w:val="00926928"/>
    <w:rsid w:val="00926CF2"/>
    <w:rsid w:val="00930D9D"/>
    <w:rsid w:val="00931080"/>
    <w:rsid w:val="0093118E"/>
    <w:rsid w:val="00931E7B"/>
    <w:rsid w:val="00932495"/>
    <w:rsid w:val="009329DB"/>
    <w:rsid w:val="00932C7D"/>
    <w:rsid w:val="0093309D"/>
    <w:rsid w:val="00933C8C"/>
    <w:rsid w:val="00933DE8"/>
    <w:rsid w:val="0093436A"/>
    <w:rsid w:val="00934DF3"/>
    <w:rsid w:val="009351DA"/>
    <w:rsid w:val="00935741"/>
    <w:rsid w:val="00935B8E"/>
    <w:rsid w:val="00935C1E"/>
    <w:rsid w:val="00936B9D"/>
    <w:rsid w:val="009375B0"/>
    <w:rsid w:val="009378A5"/>
    <w:rsid w:val="00940084"/>
    <w:rsid w:val="00940508"/>
    <w:rsid w:val="009408AB"/>
    <w:rsid w:val="009410FD"/>
    <w:rsid w:val="009416AB"/>
    <w:rsid w:val="00941C2E"/>
    <w:rsid w:val="00941EC6"/>
    <w:rsid w:val="0094264C"/>
    <w:rsid w:val="0094314A"/>
    <w:rsid w:val="009440B2"/>
    <w:rsid w:val="009441DA"/>
    <w:rsid w:val="0094494E"/>
    <w:rsid w:val="00944C6D"/>
    <w:rsid w:val="009458D9"/>
    <w:rsid w:val="0094598E"/>
    <w:rsid w:val="00946492"/>
    <w:rsid w:val="009464D1"/>
    <w:rsid w:val="009466B7"/>
    <w:rsid w:val="00946C10"/>
    <w:rsid w:val="00946E33"/>
    <w:rsid w:val="00947056"/>
    <w:rsid w:val="00947172"/>
    <w:rsid w:val="00947363"/>
    <w:rsid w:val="009478CD"/>
    <w:rsid w:val="00947EEC"/>
    <w:rsid w:val="00947FE4"/>
    <w:rsid w:val="0095060F"/>
    <w:rsid w:val="00950810"/>
    <w:rsid w:val="00950D95"/>
    <w:rsid w:val="00951DD2"/>
    <w:rsid w:val="00951E0D"/>
    <w:rsid w:val="009520B1"/>
    <w:rsid w:val="00952665"/>
    <w:rsid w:val="00952965"/>
    <w:rsid w:val="0095310E"/>
    <w:rsid w:val="009531F7"/>
    <w:rsid w:val="009533D9"/>
    <w:rsid w:val="0095451D"/>
    <w:rsid w:val="00954E01"/>
    <w:rsid w:val="00954EE5"/>
    <w:rsid w:val="0095517C"/>
    <w:rsid w:val="00955CDE"/>
    <w:rsid w:val="00956384"/>
    <w:rsid w:val="009563FA"/>
    <w:rsid w:val="009566BD"/>
    <w:rsid w:val="009575D4"/>
    <w:rsid w:val="009576DA"/>
    <w:rsid w:val="00957F9B"/>
    <w:rsid w:val="009600E4"/>
    <w:rsid w:val="00961425"/>
    <w:rsid w:val="00961A3B"/>
    <w:rsid w:val="00961FA8"/>
    <w:rsid w:val="009620F2"/>
    <w:rsid w:val="009622AE"/>
    <w:rsid w:val="00962901"/>
    <w:rsid w:val="00962F4E"/>
    <w:rsid w:val="0096323B"/>
    <w:rsid w:val="00963363"/>
    <w:rsid w:val="00963BEA"/>
    <w:rsid w:val="009649CD"/>
    <w:rsid w:val="00964A98"/>
    <w:rsid w:val="00964DAE"/>
    <w:rsid w:val="00964EE1"/>
    <w:rsid w:val="00964F97"/>
    <w:rsid w:val="00965399"/>
    <w:rsid w:val="00965A2E"/>
    <w:rsid w:val="00965C96"/>
    <w:rsid w:val="00965CF4"/>
    <w:rsid w:val="009661A1"/>
    <w:rsid w:val="00966A3B"/>
    <w:rsid w:val="00966C86"/>
    <w:rsid w:val="009670C6"/>
    <w:rsid w:val="0096781A"/>
    <w:rsid w:val="00967979"/>
    <w:rsid w:val="00967D58"/>
    <w:rsid w:val="009704B4"/>
    <w:rsid w:val="00970585"/>
    <w:rsid w:val="00970992"/>
    <w:rsid w:val="009713E7"/>
    <w:rsid w:val="00971A85"/>
    <w:rsid w:val="00971E71"/>
    <w:rsid w:val="00972AA9"/>
    <w:rsid w:val="0097301B"/>
    <w:rsid w:val="009730C6"/>
    <w:rsid w:val="00973DF7"/>
    <w:rsid w:val="00974065"/>
    <w:rsid w:val="009745B4"/>
    <w:rsid w:val="00974B68"/>
    <w:rsid w:val="009755B9"/>
    <w:rsid w:val="0097570C"/>
    <w:rsid w:val="00975AD5"/>
    <w:rsid w:val="00975CA9"/>
    <w:rsid w:val="009763B2"/>
    <w:rsid w:val="0097652C"/>
    <w:rsid w:val="00976CD3"/>
    <w:rsid w:val="009772A2"/>
    <w:rsid w:val="00977C21"/>
    <w:rsid w:val="00977FA8"/>
    <w:rsid w:val="00980378"/>
    <w:rsid w:val="00980D3F"/>
    <w:rsid w:val="00980FFF"/>
    <w:rsid w:val="00981459"/>
    <w:rsid w:val="00981998"/>
    <w:rsid w:val="00981B29"/>
    <w:rsid w:val="00982ED2"/>
    <w:rsid w:val="009842D4"/>
    <w:rsid w:val="00984369"/>
    <w:rsid w:val="00985F00"/>
    <w:rsid w:val="00986444"/>
    <w:rsid w:val="009865DE"/>
    <w:rsid w:val="00986906"/>
    <w:rsid w:val="00987C29"/>
    <w:rsid w:val="00990032"/>
    <w:rsid w:val="009901B2"/>
    <w:rsid w:val="009906B5"/>
    <w:rsid w:val="00990B9C"/>
    <w:rsid w:val="00990BB6"/>
    <w:rsid w:val="00991328"/>
    <w:rsid w:val="00991774"/>
    <w:rsid w:val="00992926"/>
    <w:rsid w:val="00992A4B"/>
    <w:rsid w:val="00992D95"/>
    <w:rsid w:val="00992F40"/>
    <w:rsid w:val="009932CA"/>
    <w:rsid w:val="00993B42"/>
    <w:rsid w:val="00993E47"/>
    <w:rsid w:val="009941D4"/>
    <w:rsid w:val="0099599A"/>
    <w:rsid w:val="00995D90"/>
    <w:rsid w:val="00995E0D"/>
    <w:rsid w:val="00996A60"/>
    <w:rsid w:val="009976D3"/>
    <w:rsid w:val="009976EC"/>
    <w:rsid w:val="009977CB"/>
    <w:rsid w:val="0099788F"/>
    <w:rsid w:val="009A011B"/>
    <w:rsid w:val="009A0672"/>
    <w:rsid w:val="009A08A0"/>
    <w:rsid w:val="009A09A2"/>
    <w:rsid w:val="009A0BC0"/>
    <w:rsid w:val="009A0DEF"/>
    <w:rsid w:val="009A175E"/>
    <w:rsid w:val="009A179D"/>
    <w:rsid w:val="009A1B92"/>
    <w:rsid w:val="009A2104"/>
    <w:rsid w:val="009A2131"/>
    <w:rsid w:val="009A21BF"/>
    <w:rsid w:val="009A27C2"/>
    <w:rsid w:val="009A2E2B"/>
    <w:rsid w:val="009A2ECE"/>
    <w:rsid w:val="009A33AE"/>
    <w:rsid w:val="009A36C9"/>
    <w:rsid w:val="009A37B5"/>
    <w:rsid w:val="009A398D"/>
    <w:rsid w:val="009A3C79"/>
    <w:rsid w:val="009A3EC6"/>
    <w:rsid w:val="009A3ECB"/>
    <w:rsid w:val="009A406D"/>
    <w:rsid w:val="009A46AD"/>
    <w:rsid w:val="009A4A89"/>
    <w:rsid w:val="009A4D36"/>
    <w:rsid w:val="009A5582"/>
    <w:rsid w:val="009A56ED"/>
    <w:rsid w:val="009A586B"/>
    <w:rsid w:val="009A6611"/>
    <w:rsid w:val="009A6B2E"/>
    <w:rsid w:val="009A6EEC"/>
    <w:rsid w:val="009A7247"/>
    <w:rsid w:val="009A7A87"/>
    <w:rsid w:val="009B0081"/>
    <w:rsid w:val="009B0221"/>
    <w:rsid w:val="009B0881"/>
    <w:rsid w:val="009B0DCC"/>
    <w:rsid w:val="009B2C6C"/>
    <w:rsid w:val="009B38E6"/>
    <w:rsid w:val="009B396F"/>
    <w:rsid w:val="009B3E0D"/>
    <w:rsid w:val="009B4337"/>
    <w:rsid w:val="009B5EB7"/>
    <w:rsid w:val="009B6071"/>
    <w:rsid w:val="009B6182"/>
    <w:rsid w:val="009B653C"/>
    <w:rsid w:val="009B6B46"/>
    <w:rsid w:val="009B6FDB"/>
    <w:rsid w:val="009B702F"/>
    <w:rsid w:val="009B7481"/>
    <w:rsid w:val="009B75B6"/>
    <w:rsid w:val="009B762E"/>
    <w:rsid w:val="009B792D"/>
    <w:rsid w:val="009C0AEE"/>
    <w:rsid w:val="009C0E85"/>
    <w:rsid w:val="009C1568"/>
    <w:rsid w:val="009C1E23"/>
    <w:rsid w:val="009C2306"/>
    <w:rsid w:val="009C25F3"/>
    <w:rsid w:val="009C2B80"/>
    <w:rsid w:val="009C3C7F"/>
    <w:rsid w:val="009C48E1"/>
    <w:rsid w:val="009C4C19"/>
    <w:rsid w:val="009C50A7"/>
    <w:rsid w:val="009C5923"/>
    <w:rsid w:val="009C6BE8"/>
    <w:rsid w:val="009C700D"/>
    <w:rsid w:val="009C7A1C"/>
    <w:rsid w:val="009D02CF"/>
    <w:rsid w:val="009D05FB"/>
    <w:rsid w:val="009D0756"/>
    <w:rsid w:val="009D0CE1"/>
    <w:rsid w:val="009D1910"/>
    <w:rsid w:val="009D1EE8"/>
    <w:rsid w:val="009D25C6"/>
    <w:rsid w:val="009D3952"/>
    <w:rsid w:val="009D39B1"/>
    <w:rsid w:val="009D3E08"/>
    <w:rsid w:val="009D43B3"/>
    <w:rsid w:val="009D4DE1"/>
    <w:rsid w:val="009D59B4"/>
    <w:rsid w:val="009D6535"/>
    <w:rsid w:val="009D6A81"/>
    <w:rsid w:val="009D6FA5"/>
    <w:rsid w:val="009D71C8"/>
    <w:rsid w:val="009D7832"/>
    <w:rsid w:val="009D7A4D"/>
    <w:rsid w:val="009E0B7C"/>
    <w:rsid w:val="009E1956"/>
    <w:rsid w:val="009E20EE"/>
    <w:rsid w:val="009E2818"/>
    <w:rsid w:val="009E3103"/>
    <w:rsid w:val="009E3172"/>
    <w:rsid w:val="009E3265"/>
    <w:rsid w:val="009E37D3"/>
    <w:rsid w:val="009E399E"/>
    <w:rsid w:val="009E39E1"/>
    <w:rsid w:val="009E4479"/>
    <w:rsid w:val="009E4E9E"/>
    <w:rsid w:val="009E4FB9"/>
    <w:rsid w:val="009E52B1"/>
    <w:rsid w:val="009E5444"/>
    <w:rsid w:val="009E5936"/>
    <w:rsid w:val="009E5C06"/>
    <w:rsid w:val="009E5EB9"/>
    <w:rsid w:val="009E6A8C"/>
    <w:rsid w:val="009E76E3"/>
    <w:rsid w:val="009E7B8A"/>
    <w:rsid w:val="009F042F"/>
    <w:rsid w:val="009F0F51"/>
    <w:rsid w:val="009F1AA4"/>
    <w:rsid w:val="009F268E"/>
    <w:rsid w:val="009F2C07"/>
    <w:rsid w:val="009F2EA1"/>
    <w:rsid w:val="009F326A"/>
    <w:rsid w:val="009F3479"/>
    <w:rsid w:val="009F3676"/>
    <w:rsid w:val="009F3EAF"/>
    <w:rsid w:val="009F4C3E"/>
    <w:rsid w:val="009F562B"/>
    <w:rsid w:val="009F5EBE"/>
    <w:rsid w:val="009F6152"/>
    <w:rsid w:val="009F6497"/>
    <w:rsid w:val="009F7AA8"/>
    <w:rsid w:val="00A00085"/>
    <w:rsid w:val="00A00E20"/>
    <w:rsid w:val="00A0130B"/>
    <w:rsid w:val="00A02D5F"/>
    <w:rsid w:val="00A02DEF"/>
    <w:rsid w:val="00A04297"/>
    <w:rsid w:val="00A047D4"/>
    <w:rsid w:val="00A05DB9"/>
    <w:rsid w:val="00A06CB0"/>
    <w:rsid w:val="00A110D1"/>
    <w:rsid w:val="00A11727"/>
    <w:rsid w:val="00A11887"/>
    <w:rsid w:val="00A11EAA"/>
    <w:rsid w:val="00A11FF0"/>
    <w:rsid w:val="00A1446B"/>
    <w:rsid w:val="00A14525"/>
    <w:rsid w:val="00A14C99"/>
    <w:rsid w:val="00A1537E"/>
    <w:rsid w:val="00A1543A"/>
    <w:rsid w:val="00A1548D"/>
    <w:rsid w:val="00A15A75"/>
    <w:rsid w:val="00A161A5"/>
    <w:rsid w:val="00A16549"/>
    <w:rsid w:val="00A17805"/>
    <w:rsid w:val="00A17EFD"/>
    <w:rsid w:val="00A20020"/>
    <w:rsid w:val="00A20FC7"/>
    <w:rsid w:val="00A20FE8"/>
    <w:rsid w:val="00A2154D"/>
    <w:rsid w:val="00A219BF"/>
    <w:rsid w:val="00A22079"/>
    <w:rsid w:val="00A22192"/>
    <w:rsid w:val="00A2266C"/>
    <w:rsid w:val="00A226B2"/>
    <w:rsid w:val="00A229F2"/>
    <w:rsid w:val="00A22E16"/>
    <w:rsid w:val="00A23BA5"/>
    <w:rsid w:val="00A23D62"/>
    <w:rsid w:val="00A242CC"/>
    <w:rsid w:val="00A245B3"/>
    <w:rsid w:val="00A24B72"/>
    <w:rsid w:val="00A25369"/>
    <w:rsid w:val="00A25712"/>
    <w:rsid w:val="00A25B0D"/>
    <w:rsid w:val="00A267B4"/>
    <w:rsid w:val="00A26E7C"/>
    <w:rsid w:val="00A275AB"/>
    <w:rsid w:val="00A2767B"/>
    <w:rsid w:val="00A2790B"/>
    <w:rsid w:val="00A303C6"/>
    <w:rsid w:val="00A3090E"/>
    <w:rsid w:val="00A3137C"/>
    <w:rsid w:val="00A3195C"/>
    <w:rsid w:val="00A31EA6"/>
    <w:rsid w:val="00A32192"/>
    <w:rsid w:val="00A32BF0"/>
    <w:rsid w:val="00A33482"/>
    <w:rsid w:val="00A352BB"/>
    <w:rsid w:val="00A35DD6"/>
    <w:rsid w:val="00A35F29"/>
    <w:rsid w:val="00A3778D"/>
    <w:rsid w:val="00A40393"/>
    <w:rsid w:val="00A403AE"/>
    <w:rsid w:val="00A408D3"/>
    <w:rsid w:val="00A40BA9"/>
    <w:rsid w:val="00A4162C"/>
    <w:rsid w:val="00A416D6"/>
    <w:rsid w:val="00A41B17"/>
    <w:rsid w:val="00A41B99"/>
    <w:rsid w:val="00A41CE8"/>
    <w:rsid w:val="00A41F4F"/>
    <w:rsid w:val="00A41FC3"/>
    <w:rsid w:val="00A42095"/>
    <w:rsid w:val="00A420AD"/>
    <w:rsid w:val="00A427DC"/>
    <w:rsid w:val="00A43379"/>
    <w:rsid w:val="00A434BC"/>
    <w:rsid w:val="00A43C26"/>
    <w:rsid w:val="00A43CBF"/>
    <w:rsid w:val="00A440B6"/>
    <w:rsid w:val="00A44BEB"/>
    <w:rsid w:val="00A44C24"/>
    <w:rsid w:val="00A44F0E"/>
    <w:rsid w:val="00A45255"/>
    <w:rsid w:val="00A455B2"/>
    <w:rsid w:val="00A455E4"/>
    <w:rsid w:val="00A45B6E"/>
    <w:rsid w:val="00A46A90"/>
    <w:rsid w:val="00A46BCF"/>
    <w:rsid w:val="00A46C0E"/>
    <w:rsid w:val="00A471DF"/>
    <w:rsid w:val="00A476B5"/>
    <w:rsid w:val="00A4780A"/>
    <w:rsid w:val="00A500DA"/>
    <w:rsid w:val="00A5043B"/>
    <w:rsid w:val="00A52102"/>
    <w:rsid w:val="00A52488"/>
    <w:rsid w:val="00A524B0"/>
    <w:rsid w:val="00A52C7E"/>
    <w:rsid w:val="00A52D08"/>
    <w:rsid w:val="00A52EBB"/>
    <w:rsid w:val="00A53D42"/>
    <w:rsid w:val="00A53DB2"/>
    <w:rsid w:val="00A54B0C"/>
    <w:rsid w:val="00A54C14"/>
    <w:rsid w:val="00A5512A"/>
    <w:rsid w:val="00A55497"/>
    <w:rsid w:val="00A5575C"/>
    <w:rsid w:val="00A55EB2"/>
    <w:rsid w:val="00A560BF"/>
    <w:rsid w:val="00A563FC"/>
    <w:rsid w:val="00A56E32"/>
    <w:rsid w:val="00A571AA"/>
    <w:rsid w:val="00A5751A"/>
    <w:rsid w:val="00A60711"/>
    <w:rsid w:val="00A616A1"/>
    <w:rsid w:val="00A61B75"/>
    <w:rsid w:val="00A61BB1"/>
    <w:rsid w:val="00A623D7"/>
    <w:rsid w:val="00A627E6"/>
    <w:rsid w:val="00A62954"/>
    <w:rsid w:val="00A63185"/>
    <w:rsid w:val="00A63241"/>
    <w:rsid w:val="00A632CE"/>
    <w:rsid w:val="00A63BC4"/>
    <w:rsid w:val="00A640D5"/>
    <w:rsid w:val="00A64567"/>
    <w:rsid w:val="00A6477C"/>
    <w:rsid w:val="00A64ABF"/>
    <w:rsid w:val="00A64B77"/>
    <w:rsid w:val="00A64D3E"/>
    <w:rsid w:val="00A658F0"/>
    <w:rsid w:val="00A67A0B"/>
    <w:rsid w:val="00A67C8B"/>
    <w:rsid w:val="00A67D25"/>
    <w:rsid w:val="00A7162F"/>
    <w:rsid w:val="00A7199E"/>
    <w:rsid w:val="00A723CC"/>
    <w:rsid w:val="00A724AF"/>
    <w:rsid w:val="00A72F0E"/>
    <w:rsid w:val="00A73271"/>
    <w:rsid w:val="00A736B0"/>
    <w:rsid w:val="00A736B6"/>
    <w:rsid w:val="00A73AFB"/>
    <w:rsid w:val="00A7474F"/>
    <w:rsid w:val="00A74CD2"/>
    <w:rsid w:val="00A750A8"/>
    <w:rsid w:val="00A7568B"/>
    <w:rsid w:val="00A75E4E"/>
    <w:rsid w:val="00A762A4"/>
    <w:rsid w:val="00A76697"/>
    <w:rsid w:val="00A766C7"/>
    <w:rsid w:val="00A76F80"/>
    <w:rsid w:val="00A774D7"/>
    <w:rsid w:val="00A7785A"/>
    <w:rsid w:val="00A778D0"/>
    <w:rsid w:val="00A77DA8"/>
    <w:rsid w:val="00A804E8"/>
    <w:rsid w:val="00A807F7"/>
    <w:rsid w:val="00A808D0"/>
    <w:rsid w:val="00A80BD3"/>
    <w:rsid w:val="00A81309"/>
    <w:rsid w:val="00A817A2"/>
    <w:rsid w:val="00A817B9"/>
    <w:rsid w:val="00A81A5B"/>
    <w:rsid w:val="00A81AEB"/>
    <w:rsid w:val="00A81DBB"/>
    <w:rsid w:val="00A821D5"/>
    <w:rsid w:val="00A82891"/>
    <w:rsid w:val="00A82A10"/>
    <w:rsid w:val="00A82AAB"/>
    <w:rsid w:val="00A82BEB"/>
    <w:rsid w:val="00A83145"/>
    <w:rsid w:val="00A83741"/>
    <w:rsid w:val="00A83FC9"/>
    <w:rsid w:val="00A844C5"/>
    <w:rsid w:val="00A84BB2"/>
    <w:rsid w:val="00A84CC4"/>
    <w:rsid w:val="00A84D3F"/>
    <w:rsid w:val="00A84DCA"/>
    <w:rsid w:val="00A85862"/>
    <w:rsid w:val="00A85958"/>
    <w:rsid w:val="00A85D7B"/>
    <w:rsid w:val="00A862A4"/>
    <w:rsid w:val="00A86FE7"/>
    <w:rsid w:val="00A87611"/>
    <w:rsid w:val="00A87927"/>
    <w:rsid w:val="00A9034F"/>
    <w:rsid w:val="00A9339C"/>
    <w:rsid w:val="00A93491"/>
    <w:rsid w:val="00A93995"/>
    <w:rsid w:val="00A93A04"/>
    <w:rsid w:val="00A93CB3"/>
    <w:rsid w:val="00A94D9A"/>
    <w:rsid w:val="00A95A2F"/>
    <w:rsid w:val="00A95AEB"/>
    <w:rsid w:val="00A95D79"/>
    <w:rsid w:val="00A963ED"/>
    <w:rsid w:val="00A966F9"/>
    <w:rsid w:val="00A96DEA"/>
    <w:rsid w:val="00A96E52"/>
    <w:rsid w:val="00A976FD"/>
    <w:rsid w:val="00A97AF9"/>
    <w:rsid w:val="00A97FD3"/>
    <w:rsid w:val="00AA00D1"/>
    <w:rsid w:val="00AA0629"/>
    <w:rsid w:val="00AA068A"/>
    <w:rsid w:val="00AA0E7B"/>
    <w:rsid w:val="00AA0E81"/>
    <w:rsid w:val="00AA17AE"/>
    <w:rsid w:val="00AA1FB2"/>
    <w:rsid w:val="00AA2228"/>
    <w:rsid w:val="00AA287A"/>
    <w:rsid w:val="00AA34A6"/>
    <w:rsid w:val="00AA35A5"/>
    <w:rsid w:val="00AA36E7"/>
    <w:rsid w:val="00AA4432"/>
    <w:rsid w:val="00AA4D1B"/>
    <w:rsid w:val="00AA54C2"/>
    <w:rsid w:val="00AA56FF"/>
    <w:rsid w:val="00AA5F99"/>
    <w:rsid w:val="00AA6027"/>
    <w:rsid w:val="00AA67A6"/>
    <w:rsid w:val="00AA6962"/>
    <w:rsid w:val="00AA69A5"/>
    <w:rsid w:val="00AA6CFC"/>
    <w:rsid w:val="00AA7269"/>
    <w:rsid w:val="00AA7BAB"/>
    <w:rsid w:val="00AB07FE"/>
    <w:rsid w:val="00AB0D19"/>
    <w:rsid w:val="00AB0F64"/>
    <w:rsid w:val="00AB1158"/>
    <w:rsid w:val="00AB17BA"/>
    <w:rsid w:val="00AB1BD3"/>
    <w:rsid w:val="00AB1EC4"/>
    <w:rsid w:val="00AB205A"/>
    <w:rsid w:val="00AB2295"/>
    <w:rsid w:val="00AB2CFE"/>
    <w:rsid w:val="00AB2D96"/>
    <w:rsid w:val="00AB480D"/>
    <w:rsid w:val="00AB5209"/>
    <w:rsid w:val="00AB52F3"/>
    <w:rsid w:val="00AB53D7"/>
    <w:rsid w:val="00AB56E9"/>
    <w:rsid w:val="00AB6213"/>
    <w:rsid w:val="00AB64B1"/>
    <w:rsid w:val="00AB6C4D"/>
    <w:rsid w:val="00AB719B"/>
    <w:rsid w:val="00AB74B6"/>
    <w:rsid w:val="00AB7992"/>
    <w:rsid w:val="00AB7D3C"/>
    <w:rsid w:val="00AB7F44"/>
    <w:rsid w:val="00AC1400"/>
    <w:rsid w:val="00AC1735"/>
    <w:rsid w:val="00AC1B01"/>
    <w:rsid w:val="00AC24B5"/>
    <w:rsid w:val="00AC25AE"/>
    <w:rsid w:val="00AC2913"/>
    <w:rsid w:val="00AC2E38"/>
    <w:rsid w:val="00AC2F0B"/>
    <w:rsid w:val="00AC362B"/>
    <w:rsid w:val="00AC3E70"/>
    <w:rsid w:val="00AC421F"/>
    <w:rsid w:val="00AC44A1"/>
    <w:rsid w:val="00AC4930"/>
    <w:rsid w:val="00AC56D6"/>
    <w:rsid w:val="00AC56E6"/>
    <w:rsid w:val="00AC5D73"/>
    <w:rsid w:val="00AC5DAD"/>
    <w:rsid w:val="00AC604F"/>
    <w:rsid w:val="00AC7A09"/>
    <w:rsid w:val="00AC7AB1"/>
    <w:rsid w:val="00AC7F8F"/>
    <w:rsid w:val="00AD0016"/>
    <w:rsid w:val="00AD0133"/>
    <w:rsid w:val="00AD0F32"/>
    <w:rsid w:val="00AD105A"/>
    <w:rsid w:val="00AD1BB9"/>
    <w:rsid w:val="00AD24EC"/>
    <w:rsid w:val="00AD39D0"/>
    <w:rsid w:val="00AD3C21"/>
    <w:rsid w:val="00AD4055"/>
    <w:rsid w:val="00AD466E"/>
    <w:rsid w:val="00AD4833"/>
    <w:rsid w:val="00AD504E"/>
    <w:rsid w:val="00AD5223"/>
    <w:rsid w:val="00AD60E5"/>
    <w:rsid w:val="00AD6BD8"/>
    <w:rsid w:val="00AD6C61"/>
    <w:rsid w:val="00AD71F3"/>
    <w:rsid w:val="00AD7A81"/>
    <w:rsid w:val="00AE06BD"/>
    <w:rsid w:val="00AE076E"/>
    <w:rsid w:val="00AE07B0"/>
    <w:rsid w:val="00AE0B30"/>
    <w:rsid w:val="00AE124E"/>
    <w:rsid w:val="00AE13C8"/>
    <w:rsid w:val="00AE1BB1"/>
    <w:rsid w:val="00AE1C9E"/>
    <w:rsid w:val="00AE30D5"/>
    <w:rsid w:val="00AE315E"/>
    <w:rsid w:val="00AE34E2"/>
    <w:rsid w:val="00AE3A15"/>
    <w:rsid w:val="00AE3C99"/>
    <w:rsid w:val="00AE466A"/>
    <w:rsid w:val="00AE616E"/>
    <w:rsid w:val="00AE629A"/>
    <w:rsid w:val="00AE6600"/>
    <w:rsid w:val="00AE6715"/>
    <w:rsid w:val="00AE6E15"/>
    <w:rsid w:val="00AE6F0F"/>
    <w:rsid w:val="00AE70DA"/>
    <w:rsid w:val="00AE72F3"/>
    <w:rsid w:val="00AE7901"/>
    <w:rsid w:val="00AE7907"/>
    <w:rsid w:val="00AE7E44"/>
    <w:rsid w:val="00AF0B8D"/>
    <w:rsid w:val="00AF0D6C"/>
    <w:rsid w:val="00AF12EA"/>
    <w:rsid w:val="00AF1CD2"/>
    <w:rsid w:val="00AF2036"/>
    <w:rsid w:val="00AF325E"/>
    <w:rsid w:val="00AF3822"/>
    <w:rsid w:val="00AF3BF9"/>
    <w:rsid w:val="00AF41EB"/>
    <w:rsid w:val="00AF4EDA"/>
    <w:rsid w:val="00AF5381"/>
    <w:rsid w:val="00AF5876"/>
    <w:rsid w:val="00AF59B1"/>
    <w:rsid w:val="00AF5CBD"/>
    <w:rsid w:val="00AF6392"/>
    <w:rsid w:val="00AF6665"/>
    <w:rsid w:val="00AF66A5"/>
    <w:rsid w:val="00AF68B4"/>
    <w:rsid w:val="00AF6947"/>
    <w:rsid w:val="00AF7011"/>
    <w:rsid w:val="00AF7214"/>
    <w:rsid w:val="00AF766E"/>
    <w:rsid w:val="00B00815"/>
    <w:rsid w:val="00B0096F"/>
    <w:rsid w:val="00B01442"/>
    <w:rsid w:val="00B015CD"/>
    <w:rsid w:val="00B01E28"/>
    <w:rsid w:val="00B022C7"/>
    <w:rsid w:val="00B024DA"/>
    <w:rsid w:val="00B027A5"/>
    <w:rsid w:val="00B02C34"/>
    <w:rsid w:val="00B02D0F"/>
    <w:rsid w:val="00B04253"/>
    <w:rsid w:val="00B0429A"/>
    <w:rsid w:val="00B04498"/>
    <w:rsid w:val="00B04AA8"/>
    <w:rsid w:val="00B04AD3"/>
    <w:rsid w:val="00B05086"/>
    <w:rsid w:val="00B051E6"/>
    <w:rsid w:val="00B05D20"/>
    <w:rsid w:val="00B05E23"/>
    <w:rsid w:val="00B0635C"/>
    <w:rsid w:val="00B0645C"/>
    <w:rsid w:val="00B06BD0"/>
    <w:rsid w:val="00B0788E"/>
    <w:rsid w:val="00B078AA"/>
    <w:rsid w:val="00B07916"/>
    <w:rsid w:val="00B100C5"/>
    <w:rsid w:val="00B107DD"/>
    <w:rsid w:val="00B1132E"/>
    <w:rsid w:val="00B114CF"/>
    <w:rsid w:val="00B11ABE"/>
    <w:rsid w:val="00B11E71"/>
    <w:rsid w:val="00B12EEE"/>
    <w:rsid w:val="00B13564"/>
    <w:rsid w:val="00B1387A"/>
    <w:rsid w:val="00B13CF6"/>
    <w:rsid w:val="00B13F05"/>
    <w:rsid w:val="00B14321"/>
    <w:rsid w:val="00B145E6"/>
    <w:rsid w:val="00B1471F"/>
    <w:rsid w:val="00B151A8"/>
    <w:rsid w:val="00B15A8A"/>
    <w:rsid w:val="00B17352"/>
    <w:rsid w:val="00B17416"/>
    <w:rsid w:val="00B17B2C"/>
    <w:rsid w:val="00B217F6"/>
    <w:rsid w:val="00B21C78"/>
    <w:rsid w:val="00B22359"/>
    <w:rsid w:val="00B224AA"/>
    <w:rsid w:val="00B2250E"/>
    <w:rsid w:val="00B22DC8"/>
    <w:rsid w:val="00B22E0A"/>
    <w:rsid w:val="00B22FA4"/>
    <w:rsid w:val="00B23A6B"/>
    <w:rsid w:val="00B2412C"/>
    <w:rsid w:val="00B24C36"/>
    <w:rsid w:val="00B25116"/>
    <w:rsid w:val="00B25352"/>
    <w:rsid w:val="00B2557F"/>
    <w:rsid w:val="00B25B57"/>
    <w:rsid w:val="00B25C83"/>
    <w:rsid w:val="00B25EEE"/>
    <w:rsid w:val="00B25F5C"/>
    <w:rsid w:val="00B25FC4"/>
    <w:rsid w:val="00B26654"/>
    <w:rsid w:val="00B27026"/>
    <w:rsid w:val="00B27430"/>
    <w:rsid w:val="00B27449"/>
    <w:rsid w:val="00B275AC"/>
    <w:rsid w:val="00B276D2"/>
    <w:rsid w:val="00B27BB0"/>
    <w:rsid w:val="00B27EC4"/>
    <w:rsid w:val="00B30207"/>
    <w:rsid w:val="00B303C6"/>
    <w:rsid w:val="00B30923"/>
    <w:rsid w:val="00B30D18"/>
    <w:rsid w:val="00B310AF"/>
    <w:rsid w:val="00B3168B"/>
    <w:rsid w:val="00B319B2"/>
    <w:rsid w:val="00B31BB2"/>
    <w:rsid w:val="00B31FF7"/>
    <w:rsid w:val="00B322AE"/>
    <w:rsid w:val="00B327BF"/>
    <w:rsid w:val="00B32C6B"/>
    <w:rsid w:val="00B33686"/>
    <w:rsid w:val="00B3380F"/>
    <w:rsid w:val="00B3402D"/>
    <w:rsid w:val="00B34B04"/>
    <w:rsid w:val="00B34D73"/>
    <w:rsid w:val="00B35C33"/>
    <w:rsid w:val="00B35E61"/>
    <w:rsid w:val="00B3629D"/>
    <w:rsid w:val="00B36B2F"/>
    <w:rsid w:val="00B377CB"/>
    <w:rsid w:val="00B37C56"/>
    <w:rsid w:val="00B402D0"/>
    <w:rsid w:val="00B40C33"/>
    <w:rsid w:val="00B4107E"/>
    <w:rsid w:val="00B41C03"/>
    <w:rsid w:val="00B42773"/>
    <w:rsid w:val="00B42AB5"/>
    <w:rsid w:val="00B42EAF"/>
    <w:rsid w:val="00B430C8"/>
    <w:rsid w:val="00B4315D"/>
    <w:rsid w:val="00B43932"/>
    <w:rsid w:val="00B43B67"/>
    <w:rsid w:val="00B442B4"/>
    <w:rsid w:val="00B44FDF"/>
    <w:rsid w:val="00B46259"/>
    <w:rsid w:val="00B46402"/>
    <w:rsid w:val="00B466CD"/>
    <w:rsid w:val="00B46BD7"/>
    <w:rsid w:val="00B473A2"/>
    <w:rsid w:val="00B476F3"/>
    <w:rsid w:val="00B47DEC"/>
    <w:rsid w:val="00B504D8"/>
    <w:rsid w:val="00B50E2B"/>
    <w:rsid w:val="00B51145"/>
    <w:rsid w:val="00B51857"/>
    <w:rsid w:val="00B51E05"/>
    <w:rsid w:val="00B53C73"/>
    <w:rsid w:val="00B5401F"/>
    <w:rsid w:val="00B54B76"/>
    <w:rsid w:val="00B56DA4"/>
    <w:rsid w:val="00B60A07"/>
    <w:rsid w:val="00B60C8C"/>
    <w:rsid w:val="00B61107"/>
    <w:rsid w:val="00B6160A"/>
    <w:rsid w:val="00B61752"/>
    <w:rsid w:val="00B61847"/>
    <w:rsid w:val="00B6186A"/>
    <w:rsid w:val="00B624DA"/>
    <w:rsid w:val="00B6287C"/>
    <w:rsid w:val="00B632FC"/>
    <w:rsid w:val="00B6357F"/>
    <w:rsid w:val="00B63D0C"/>
    <w:rsid w:val="00B640DC"/>
    <w:rsid w:val="00B6425D"/>
    <w:rsid w:val="00B642F0"/>
    <w:rsid w:val="00B644D4"/>
    <w:rsid w:val="00B64701"/>
    <w:rsid w:val="00B64919"/>
    <w:rsid w:val="00B64FC1"/>
    <w:rsid w:val="00B65968"/>
    <w:rsid w:val="00B65BB8"/>
    <w:rsid w:val="00B65CE6"/>
    <w:rsid w:val="00B6677B"/>
    <w:rsid w:val="00B66EAD"/>
    <w:rsid w:val="00B67208"/>
    <w:rsid w:val="00B6766A"/>
    <w:rsid w:val="00B6772F"/>
    <w:rsid w:val="00B67805"/>
    <w:rsid w:val="00B67D68"/>
    <w:rsid w:val="00B67F41"/>
    <w:rsid w:val="00B70F5B"/>
    <w:rsid w:val="00B70FD3"/>
    <w:rsid w:val="00B710C8"/>
    <w:rsid w:val="00B71326"/>
    <w:rsid w:val="00B7134B"/>
    <w:rsid w:val="00B7216B"/>
    <w:rsid w:val="00B72CF4"/>
    <w:rsid w:val="00B7310B"/>
    <w:rsid w:val="00B73378"/>
    <w:rsid w:val="00B734B7"/>
    <w:rsid w:val="00B740EE"/>
    <w:rsid w:val="00B74DDE"/>
    <w:rsid w:val="00B75197"/>
    <w:rsid w:val="00B761DD"/>
    <w:rsid w:val="00B766A4"/>
    <w:rsid w:val="00B768F6"/>
    <w:rsid w:val="00B76F32"/>
    <w:rsid w:val="00B77062"/>
    <w:rsid w:val="00B774E0"/>
    <w:rsid w:val="00B77CE5"/>
    <w:rsid w:val="00B80088"/>
    <w:rsid w:val="00B8047E"/>
    <w:rsid w:val="00B814DA"/>
    <w:rsid w:val="00B81534"/>
    <w:rsid w:val="00B829E8"/>
    <w:rsid w:val="00B82B0E"/>
    <w:rsid w:val="00B82F6B"/>
    <w:rsid w:val="00B830A6"/>
    <w:rsid w:val="00B832B2"/>
    <w:rsid w:val="00B834C4"/>
    <w:rsid w:val="00B83A9D"/>
    <w:rsid w:val="00B83B14"/>
    <w:rsid w:val="00B8448E"/>
    <w:rsid w:val="00B84DDB"/>
    <w:rsid w:val="00B84F3C"/>
    <w:rsid w:val="00B855C9"/>
    <w:rsid w:val="00B857C6"/>
    <w:rsid w:val="00B85A5F"/>
    <w:rsid w:val="00B864DB"/>
    <w:rsid w:val="00B865D6"/>
    <w:rsid w:val="00B86824"/>
    <w:rsid w:val="00B86EFB"/>
    <w:rsid w:val="00B879B1"/>
    <w:rsid w:val="00B907FF"/>
    <w:rsid w:val="00B91A3C"/>
    <w:rsid w:val="00B923AE"/>
    <w:rsid w:val="00B92424"/>
    <w:rsid w:val="00B94138"/>
    <w:rsid w:val="00B9448D"/>
    <w:rsid w:val="00B94A2A"/>
    <w:rsid w:val="00B94EEC"/>
    <w:rsid w:val="00B95026"/>
    <w:rsid w:val="00B95228"/>
    <w:rsid w:val="00B96240"/>
    <w:rsid w:val="00B9630A"/>
    <w:rsid w:val="00B96F77"/>
    <w:rsid w:val="00B970EA"/>
    <w:rsid w:val="00B975A7"/>
    <w:rsid w:val="00B97BD1"/>
    <w:rsid w:val="00BA0713"/>
    <w:rsid w:val="00BA0A0F"/>
    <w:rsid w:val="00BA0C87"/>
    <w:rsid w:val="00BA0F79"/>
    <w:rsid w:val="00BA1536"/>
    <w:rsid w:val="00BA1780"/>
    <w:rsid w:val="00BA18DA"/>
    <w:rsid w:val="00BA2714"/>
    <w:rsid w:val="00BA3368"/>
    <w:rsid w:val="00BA35F6"/>
    <w:rsid w:val="00BA3B99"/>
    <w:rsid w:val="00BA42B8"/>
    <w:rsid w:val="00BA49FA"/>
    <w:rsid w:val="00BA4CAF"/>
    <w:rsid w:val="00BA4D61"/>
    <w:rsid w:val="00BA5144"/>
    <w:rsid w:val="00BA53DA"/>
    <w:rsid w:val="00BA53EF"/>
    <w:rsid w:val="00BA58A5"/>
    <w:rsid w:val="00BA5F29"/>
    <w:rsid w:val="00BA618C"/>
    <w:rsid w:val="00BA65AF"/>
    <w:rsid w:val="00BA6A02"/>
    <w:rsid w:val="00BA77DC"/>
    <w:rsid w:val="00BA77DF"/>
    <w:rsid w:val="00BA7C88"/>
    <w:rsid w:val="00BA7DE0"/>
    <w:rsid w:val="00BB0543"/>
    <w:rsid w:val="00BB0892"/>
    <w:rsid w:val="00BB0C2D"/>
    <w:rsid w:val="00BB0D16"/>
    <w:rsid w:val="00BB0E4E"/>
    <w:rsid w:val="00BB0EEA"/>
    <w:rsid w:val="00BB127E"/>
    <w:rsid w:val="00BB2580"/>
    <w:rsid w:val="00BB2850"/>
    <w:rsid w:val="00BB29D8"/>
    <w:rsid w:val="00BB3F68"/>
    <w:rsid w:val="00BB46BB"/>
    <w:rsid w:val="00BB4EA9"/>
    <w:rsid w:val="00BB53C2"/>
    <w:rsid w:val="00BB655B"/>
    <w:rsid w:val="00BB72E5"/>
    <w:rsid w:val="00BB73B3"/>
    <w:rsid w:val="00BB77C1"/>
    <w:rsid w:val="00BB788D"/>
    <w:rsid w:val="00BC04C1"/>
    <w:rsid w:val="00BC07C6"/>
    <w:rsid w:val="00BC09F5"/>
    <w:rsid w:val="00BC0A63"/>
    <w:rsid w:val="00BC0DC2"/>
    <w:rsid w:val="00BC0DE7"/>
    <w:rsid w:val="00BC1FBF"/>
    <w:rsid w:val="00BC238D"/>
    <w:rsid w:val="00BC290E"/>
    <w:rsid w:val="00BC2B27"/>
    <w:rsid w:val="00BC30FC"/>
    <w:rsid w:val="00BC3ADA"/>
    <w:rsid w:val="00BC4789"/>
    <w:rsid w:val="00BC49DC"/>
    <w:rsid w:val="00BC5B57"/>
    <w:rsid w:val="00BC6061"/>
    <w:rsid w:val="00BC64B1"/>
    <w:rsid w:val="00BD025C"/>
    <w:rsid w:val="00BD0A8D"/>
    <w:rsid w:val="00BD1ACB"/>
    <w:rsid w:val="00BD1D57"/>
    <w:rsid w:val="00BD340E"/>
    <w:rsid w:val="00BD361F"/>
    <w:rsid w:val="00BD3CCB"/>
    <w:rsid w:val="00BD3DEB"/>
    <w:rsid w:val="00BD4223"/>
    <w:rsid w:val="00BD43AD"/>
    <w:rsid w:val="00BD4477"/>
    <w:rsid w:val="00BD48B4"/>
    <w:rsid w:val="00BD52BF"/>
    <w:rsid w:val="00BD556C"/>
    <w:rsid w:val="00BD610D"/>
    <w:rsid w:val="00BD6831"/>
    <w:rsid w:val="00BD6F9E"/>
    <w:rsid w:val="00BD74CA"/>
    <w:rsid w:val="00BD7947"/>
    <w:rsid w:val="00BE0743"/>
    <w:rsid w:val="00BE08D3"/>
    <w:rsid w:val="00BE121C"/>
    <w:rsid w:val="00BE18E7"/>
    <w:rsid w:val="00BE1D6A"/>
    <w:rsid w:val="00BE21DD"/>
    <w:rsid w:val="00BE22CF"/>
    <w:rsid w:val="00BE24D7"/>
    <w:rsid w:val="00BE2866"/>
    <w:rsid w:val="00BE2CB2"/>
    <w:rsid w:val="00BE2CB9"/>
    <w:rsid w:val="00BE2F56"/>
    <w:rsid w:val="00BE2F58"/>
    <w:rsid w:val="00BE30A3"/>
    <w:rsid w:val="00BE33E3"/>
    <w:rsid w:val="00BE3EBB"/>
    <w:rsid w:val="00BE3F17"/>
    <w:rsid w:val="00BE492F"/>
    <w:rsid w:val="00BE49D7"/>
    <w:rsid w:val="00BE5262"/>
    <w:rsid w:val="00BE5354"/>
    <w:rsid w:val="00BE5851"/>
    <w:rsid w:val="00BE6470"/>
    <w:rsid w:val="00BE65C0"/>
    <w:rsid w:val="00BE677B"/>
    <w:rsid w:val="00BE6E81"/>
    <w:rsid w:val="00BE715E"/>
    <w:rsid w:val="00BE71BD"/>
    <w:rsid w:val="00BE78BD"/>
    <w:rsid w:val="00BE795B"/>
    <w:rsid w:val="00BE7C5A"/>
    <w:rsid w:val="00BE7F41"/>
    <w:rsid w:val="00BF19E9"/>
    <w:rsid w:val="00BF1A30"/>
    <w:rsid w:val="00BF1FF1"/>
    <w:rsid w:val="00BF2125"/>
    <w:rsid w:val="00BF235D"/>
    <w:rsid w:val="00BF27B7"/>
    <w:rsid w:val="00BF2A36"/>
    <w:rsid w:val="00BF333E"/>
    <w:rsid w:val="00BF42BA"/>
    <w:rsid w:val="00BF44F2"/>
    <w:rsid w:val="00BF4707"/>
    <w:rsid w:val="00BF4F42"/>
    <w:rsid w:val="00BF5543"/>
    <w:rsid w:val="00BF6AF7"/>
    <w:rsid w:val="00BF6F43"/>
    <w:rsid w:val="00BF758E"/>
    <w:rsid w:val="00BF791B"/>
    <w:rsid w:val="00BF7B93"/>
    <w:rsid w:val="00C00162"/>
    <w:rsid w:val="00C00739"/>
    <w:rsid w:val="00C008CB"/>
    <w:rsid w:val="00C00C96"/>
    <w:rsid w:val="00C0250D"/>
    <w:rsid w:val="00C026DB"/>
    <w:rsid w:val="00C02D56"/>
    <w:rsid w:val="00C02DE8"/>
    <w:rsid w:val="00C03425"/>
    <w:rsid w:val="00C039E4"/>
    <w:rsid w:val="00C03FC8"/>
    <w:rsid w:val="00C0431B"/>
    <w:rsid w:val="00C0473A"/>
    <w:rsid w:val="00C04DE9"/>
    <w:rsid w:val="00C04E39"/>
    <w:rsid w:val="00C0531F"/>
    <w:rsid w:val="00C0576C"/>
    <w:rsid w:val="00C05AF9"/>
    <w:rsid w:val="00C05CBF"/>
    <w:rsid w:val="00C07484"/>
    <w:rsid w:val="00C07733"/>
    <w:rsid w:val="00C07D3E"/>
    <w:rsid w:val="00C10224"/>
    <w:rsid w:val="00C10AD4"/>
    <w:rsid w:val="00C10DEA"/>
    <w:rsid w:val="00C1122C"/>
    <w:rsid w:val="00C11C80"/>
    <w:rsid w:val="00C120EC"/>
    <w:rsid w:val="00C123E4"/>
    <w:rsid w:val="00C128A5"/>
    <w:rsid w:val="00C12A58"/>
    <w:rsid w:val="00C12E32"/>
    <w:rsid w:val="00C12ECD"/>
    <w:rsid w:val="00C12FAF"/>
    <w:rsid w:val="00C13060"/>
    <w:rsid w:val="00C13461"/>
    <w:rsid w:val="00C1349C"/>
    <w:rsid w:val="00C1399C"/>
    <w:rsid w:val="00C139A2"/>
    <w:rsid w:val="00C13D1F"/>
    <w:rsid w:val="00C13DE7"/>
    <w:rsid w:val="00C14219"/>
    <w:rsid w:val="00C143C0"/>
    <w:rsid w:val="00C15AC2"/>
    <w:rsid w:val="00C16240"/>
    <w:rsid w:val="00C16A55"/>
    <w:rsid w:val="00C16C9C"/>
    <w:rsid w:val="00C177CB"/>
    <w:rsid w:val="00C20B40"/>
    <w:rsid w:val="00C20EEB"/>
    <w:rsid w:val="00C21313"/>
    <w:rsid w:val="00C21F8C"/>
    <w:rsid w:val="00C2288A"/>
    <w:rsid w:val="00C23252"/>
    <w:rsid w:val="00C232E9"/>
    <w:rsid w:val="00C233E0"/>
    <w:rsid w:val="00C2344F"/>
    <w:rsid w:val="00C235C1"/>
    <w:rsid w:val="00C238AD"/>
    <w:rsid w:val="00C23936"/>
    <w:rsid w:val="00C25AF9"/>
    <w:rsid w:val="00C263B6"/>
    <w:rsid w:val="00C269E6"/>
    <w:rsid w:val="00C26DEC"/>
    <w:rsid w:val="00C27930"/>
    <w:rsid w:val="00C300B3"/>
    <w:rsid w:val="00C30C64"/>
    <w:rsid w:val="00C31DBA"/>
    <w:rsid w:val="00C32112"/>
    <w:rsid w:val="00C327BA"/>
    <w:rsid w:val="00C32F54"/>
    <w:rsid w:val="00C33985"/>
    <w:rsid w:val="00C34F8E"/>
    <w:rsid w:val="00C35637"/>
    <w:rsid w:val="00C3570F"/>
    <w:rsid w:val="00C369BD"/>
    <w:rsid w:val="00C36BA7"/>
    <w:rsid w:val="00C370F1"/>
    <w:rsid w:val="00C37C47"/>
    <w:rsid w:val="00C40560"/>
    <w:rsid w:val="00C42951"/>
    <w:rsid w:val="00C42C49"/>
    <w:rsid w:val="00C43083"/>
    <w:rsid w:val="00C4322D"/>
    <w:rsid w:val="00C438D6"/>
    <w:rsid w:val="00C43B6A"/>
    <w:rsid w:val="00C4474A"/>
    <w:rsid w:val="00C456AB"/>
    <w:rsid w:val="00C4575B"/>
    <w:rsid w:val="00C45FE6"/>
    <w:rsid w:val="00C46137"/>
    <w:rsid w:val="00C462C6"/>
    <w:rsid w:val="00C4642C"/>
    <w:rsid w:val="00C467D2"/>
    <w:rsid w:val="00C46B2A"/>
    <w:rsid w:val="00C47978"/>
    <w:rsid w:val="00C47CB1"/>
    <w:rsid w:val="00C47E87"/>
    <w:rsid w:val="00C505D7"/>
    <w:rsid w:val="00C5082C"/>
    <w:rsid w:val="00C50B16"/>
    <w:rsid w:val="00C51EDB"/>
    <w:rsid w:val="00C520EE"/>
    <w:rsid w:val="00C528AF"/>
    <w:rsid w:val="00C528D6"/>
    <w:rsid w:val="00C529A7"/>
    <w:rsid w:val="00C53115"/>
    <w:rsid w:val="00C53FE3"/>
    <w:rsid w:val="00C5468E"/>
    <w:rsid w:val="00C5502A"/>
    <w:rsid w:val="00C55353"/>
    <w:rsid w:val="00C55804"/>
    <w:rsid w:val="00C55950"/>
    <w:rsid w:val="00C55C3D"/>
    <w:rsid w:val="00C5604D"/>
    <w:rsid w:val="00C56527"/>
    <w:rsid w:val="00C569CB"/>
    <w:rsid w:val="00C56B3F"/>
    <w:rsid w:val="00C576F6"/>
    <w:rsid w:val="00C61126"/>
    <w:rsid w:val="00C62634"/>
    <w:rsid w:val="00C628A4"/>
    <w:rsid w:val="00C62CAD"/>
    <w:rsid w:val="00C62E27"/>
    <w:rsid w:val="00C6377D"/>
    <w:rsid w:val="00C637AD"/>
    <w:rsid w:val="00C63B7E"/>
    <w:rsid w:val="00C63C30"/>
    <w:rsid w:val="00C63FE1"/>
    <w:rsid w:val="00C647C5"/>
    <w:rsid w:val="00C64CAE"/>
    <w:rsid w:val="00C6524A"/>
    <w:rsid w:val="00C65C53"/>
    <w:rsid w:val="00C65E8C"/>
    <w:rsid w:val="00C6614A"/>
    <w:rsid w:val="00C6615A"/>
    <w:rsid w:val="00C6627E"/>
    <w:rsid w:val="00C66ACA"/>
    <w:rsid w:val="00C670FF"/>
    <w:rsid w:val="00C67376"/>
    <w:rsid w:val="00C67806"/>
    <w:rsid w:val="00C67F6B"/>
    <w:rsid w:val="00C702E6"/>
    <w:rsid w:val="00C70694"/>
    <w:rsid w:val="00C708A9"/>
    <w:rsid w:val="00C708F1"/>
    <w:rsid w:val="00C70EBB"/>
    <w:rsid w:val="00C718DD"/>
    <w:rsid w:val="00C72383"/>
    <w:rsid w:val="00C72DBF"/>
    <w:rsid w:val="00C73510"/>
    <w:rsid w:val="00C7479A"/>
    <w:rsid w:val="00C74D83"/>
    <w:rsid w:val="00C75AF3"/>
    <w:rsid w:val="00C75CFA"/>
    <w:rsid w:val="00C75FE4"/>
    <w:rsid w:val="00C76036"/>
    <w:rsid w:val="00C762B9"/>
    <w:rsid w:val="00C7640E"/>
    <w:rsid w:val="00C76433"/>
    <w:rsid w:val="00C76B19"/>
    <w:rsid w:val="00C76E1F"/>
    <w:rsid w:val="00C77121"/>
    <w:rsid w:val="00C77261"/>
    <w:rsid w:val="00C775D1"/>
    <w:rsid w:val="00C77648"/>
    <w:rsid w:val="00C77A35"/>
    <w:rsid w:val="00C77B86"/>
    <w:rsid w:val="00C80DBF"/>
    <w:rsid w:val="00C82EFF"/>
    <w:rsid w:val="00C83AB5"/>
    <w:rsid w:val="00C83B6E"/>
    <w:rsid w:val="00C83EC5"/>
    <w:rsid w:val="00C84E70"/>
    <w:rsid w:val="00C84F7B"/>
    <w:rsid w:val="00C8506E"/>
    <w:rsid w:val="00C85157"/>
    <w:rsid w:val="00C861C7"/>
    <w:rsid w:val="00C86261"/>
    <w:rsid w:val="00C86D07"/>
    <w:rsid w:val="00C86D92"/>
    <w:rsid w:val="00C87B7C"/>
    <w:rsid w:val="00C87BB1"/>
    <w:rsid w:val="00C90DAA"/>
    <w:rsid w:val="00C90E27"/>
    <w:rsid w:val="00C9185D"/>
    <w:rsid w:val="00C91966"/>
    <w:rsid w:val="00C9250A"/>
    <w:rsid w:val="00C92646"/>
    <w:rsid w:val="00C92B24"/>
    <w:rsid w:val="00C92D19"/>
    <w:rsid w:val="00C93DD9"/>
    <w:rsid w:val="00C94AE7"/>
    <w:rsid w:val="00C95375"/>
    <w:rsid w:val="00C95929"/>
    <w:rsid w:val="00C95A74"/>
    <w:rsid w:val="00C95ADC"/>
    <w:rsid w:val="00C96305"/>
    <w:rsid w:val="00C9672A"/>
    <w:rsid w:val="00C968BD"/>
    <w:rsid w:val="00C96F45"/>
    <w:rsid w:val="00C9732B"/>
    <w:rsid w:val="00C97909"/>
    <w:rsid w:val="00C97EF8"/>
    <w:rsid w:val="00CA00CE"/>
    <w:rsid w:val="00CA0F5F"/>
    <w:rsid w:val="00CA1700"/>
    <w:rsid w:val="00CA2B21"/>
    <w:rsid w:val="00CA2B65"/>
    <w:rsid w:val="00CA2BB9"/>
    <w:rsid w:val="00CA2ECA"/>
    <w:rsid w:val="00CA30D5"/>
    <w:rsid w:val="00CA3490"/>
    <w:rsid w:val="00CA3BCC"/>
    <w:rsid w:val="00CA3BCE"/>
    <w:rsid w:val="00CA417A"/>
    <w:rsid w:val="00CA51E0"/>
    <w:rsid w:val="00CA6C25"/>
    <w:rsid w:val="00CB0087"/>
    <w:rsid w:val="00CB01FC"/>
    <w:rsid w:val="00CB0498"/>
    <w:rsid w:val="00CB0D67"/>
    <w:rsid w:val="00CB0EBB"/>
    <w:rsid w:val="00CB1B38"/>
    <w:rsid w:val="00CB1CAE"/>
    <w:rsid w:val="00CB1F54"/>
    <w:rsid w:val="00CB2755"/>
    <w:rsid w:val="00CB2AC4"/>
    <w:rsid w:val="00CB2D20"/>
    <w:rsid w:val="00CB36CE"/>
    <w:rsid w:val="00CB466F"/>
    <w:rsid w:val="00CB55CF"/>
    <w:rsid w:val="00CB5AD9"/>
    <w:rsid w:val="00CB6297"/>
    <w:rsid w:val="00CB6BB6"/>
    <w:rsid w:val="00CB7BCA"/>
    <w:rsid w:val="00CC00C0"/>
    <w:rsid w:val="00CC0692"/>
    <w:rsid w:val="00CC0CEE"/>
    <w:rsid w:val="00CC107B"/>
    <w:rsid w:val="00CC22FC"/>
    <w:rsid w:val="00CC27B1"/>
    <w:rsid w:val="00CC3504"/>
    <w:rsid w:val="00CC45EB"/>
    <w:rsid w:val="00CC4B74"/>
    <w:rsid w:val="00CC5806"/>
    <w:rsid w:val="00CC61C6"/>
    <w:rsid w:val="00CC642F"/>
    <w:rsid w:val="00CC6683"/>
    <w:rsid w:val="00CC677E"/>
    <w:rsid w:val="00CC6C68"/>
    <w:rsid w:val="00CC6EB8"/>
    <w:rsid w:val="00CC7534"/>
    <w:rsid w:val="00CC7D0A"/>
    <w:rsid w:val="00CD0172"/>
    <w:rsid w:val="00CD0C90"/>
    <w:rsid w:val="00CD24F0"/>
    <w:rsid w:val="00CD26D1"/>
    <w:rsid w:val="00CD31DA"/>
    <w:rsid w:val="00CD33A7"/>
    <w:rsid w:val="00CD3B68"/>
    <w:rsid w:val="00CD3B98"/>
    <w:rsid w:val="00CD3BBC"/>
    <w:rsid w:val="00CD3E8F"/>
    <w:rsid w:val="00CD4118"/>
    <w:rsid w:val="00CD4AB7"/>
    <w:rsid w:val="00CD4E90"/>
    <w:rsid w:val="00CD5556"/>
    <w:rsid w:val="00CD6064"/>
    <w:rsid w:val="00CD61A6"/>
    <w:rsid w:val="00CD661E"/>
    <w:rsid w:val="00CD6ECE"/>
    <w:rsid w:val="00CD707A"/>
    <w:rsid w:val="00CE0192"/>
    <w:rsid w:val="00CE0718"/>
    <w:rsid w:val="00CE2DFA"/>
    <w:rsid w:val="00CE4549"/>
    <w:rsid w:val="00CE64ED"/>
    <w:rsid w:val="00CE6768"/>
    <w:rsid w:val="00CE737A"/>
    <w:rsid w:val="00CE7606"/>
    <w:rsid w:val="00CE77DD"/>
    <w:rsid w:val="00CE7D86"/>
    <w:rsid w:val="00CF05AB"/>
    <w:rsid w:val="00CF0E11"/>
    <w:rsid w:val="00CF0F53"/>
    <w:rsid w:val="00CF0FFF"/>
    <w:rsid w:val="00CF1209"/>
    <w:rsid w:val="00CF17A7"/>
    <w:rsid w:val="00CF18D5"/>
    <w:rsid w:val="00CF1A8B"/>
    <w:rsid w:val="00CF343C"/>
    <w:rsid w:val="00CF36A6"/>
    <w:rsid w:val="00CF3858"/>
    <w:rsid w:val="00CF39AA"/>
    <w:rsid w:val="00CF39DB"/>
    <w:rsid w:val="00CF3D70"/>
    <w:rsid w:val="00CF433A"/>
    <w:rsid w:val="00CF4672"/>
    <w:rsid w:val="00CF4CF3"/>
    <w:rsid w:val="00CF4E86"/>
    <w:rsid w:val="00CF5CE6"/>
    <w:rsid w:val="00CF6308"/>
    <w:rsid w:val="00CF6EB8"/>
    <w:rsid w:val="00CF6F22"/>
    <w:rsid w:val="00CF736A"/>
    <w:rsid w:val="00CF783D"/>
    <w:rsid w:val="00D00921"/>
    <w:rsid w:val="00D00F47"/>
    <w:rsid w:val="00D01E91"/>
    <w:rsid w:val="00D023FF"/>
    <w:rsid w:val="00D028CB"/>
    <w:rsid w:val="00D02DE5"/>
    <w:rsid w:val="00D03271"/>
    <w:rsid w:val="00D038F1"/>
    <w:rsid w:val="00D049DB"/>
    <w:rsid w:val="00D05D86"/>
    <w:rsid w:val="00D05F8F"/>
    <w:rsid w:val="00D0654F"/>
    <w:rsid w:val="00D06B98"/>
    <w:rsid w:val="00D06D88"/>
    <w:rsid w:val="00D06FF7"/>
    <w:rsid w:val="00D0745D"/>
    <w:rsid w:val="00D07698"/>
    <w:rsid w:val="00D101C1"/>
    <w:rsid w:val="00D10314"/>
    <w:rsid w:val="00D10454"/>
    <w:rsid w:val="00D104E3"/>
    <w:rsid w:val="00D10BE2"/>
    <w:rsid w:val="00D10C40"/>
    <w:rsid w:val="00D10F73"/>
    <w:rsid w:val="00D10FC1"/>
    <w:rsid w:val="00D11948"/>
    <w:rsid w:val="00D121CE"/>
    <w:rsid w:val="00D12B14"/>
    <w:rsid w:val="00D12CA5"/>
    <w:rsid w:val="00D12FBB"/>
    <w:rsid w:val="00D1351B"/>
    <w:rsid w:val="00D1404C"/>
    <w:rsid w:val="00D141B8"/>
    <w:rsid w:val="00D1455B"/>
    <w:rsid w:val="00D14754"/>
    <w:rsid w:val="00D14863"/>
    <w:rsid w:val="00D14F06"/>
    <w:rsid w:val="00D15477"/>
    <w:rsid w:val="00D15935"/>
    <w:rsid w:val="00D15C0A"/>
    <w:rsid w:val="00D15F29"/>
    <w:rsid w:val="00D16B45"/>
    <w:rsid w:val="00D173DE"/>
    <w:rsid w:val="00D176D9"/>
    <w:rsid w:val="00D20349"/>
    <w:rsid w:val="00D20543"/>
    <w:rsid w:val="00D206D1"/>
    <w:rsid w:val="00D20D08"/>
    <w:rsid w:val="00D20D82"/>
    <w:rsid w:val="00D210BE"/>
    <w:rsid w:val="00D21434"/>
    <w:rsid w:val="00D21A3B"/>
    <w:rsid w:val="00D2250F"/>
    <w:rsid w:val="00D23C39"/>
    <w:rsid w:val="00D23F23"/>
    <w:rsid w:val="00D240AD"/>
    <w:rsid w:val="00D2427B"/>
    <w:rsid w:val="00D24626"/>
    <w:rsid w:val="00D24682"/>
    <w:rsid w:val="00D25150"/>
    <w:rsid w:val="00D266D7"/>
    <w:rsid w:val="00D2679C"/>
    <w:rsid w:val="00D26951"/>
    <w:rsid w:val="00D26CE1"/>
    <w:rsid w:val="00D27B45"/>
    <w:rsid w:val="00D27CB7"/>
    <w:rsid w:val="00D30132"/>
    <w:rsid w:val="00D305A4"/>
    <w:rsid w:val="00D307D6"/>
    <w:rsid w:val="00D31557"/>
    <w:rsid w:val="00D3184C"/>
    <w:rsid w:val="00D31F1C"/>
    <w:rsid w:val="00D31F64"/>
    <w:rsid w:val="00D3357B"/>
    <w:rsid w:val="00D33671"/>
    <w:rsid w:val="00D33976"/>
    <w:rsid w:val="00D34565"/>
    <w:rsid w:val="00D34A42"/>
    <w:rsid w:val="00D34DB2"/>
    <w:rsid w:val="00D35291"/>
    <w:rsid w:val="00D357A3"/>
    <w:rsid w:val="00D35D91"/>
    <w:rsid w:val="00D369D1"/>
    <w:rsid w:val="00D371A3"/>
    <w:rsid w:val="00D37245"/>
    <w:rsid w:val="00D4211A"/>
    <w:rsid w:val="00D42B40"/>
    <w:rsid w:val="00D432F3"/>
    <w:rsid w:val="00D43542"/>
    <w:rsid w:val="00D441D2"/>
    <w:rsid w:val="00D442F0"/>
    <w:rsid w:val="00D4444C"/>
    <w:rsid w:val="00D445CA"/>
    <w:rsid w:val="00D45534"/>
    <w:rsid w:val="00D464CE"/>
    <w:rsid w:val="00D474A9"/>
    <w:rsid w:val="00D47F03"/>
    <w:rsid w:val="00D500F4"/>
    <w:rsid w:val="00D50327"/>
    <w:rsid w:val="00D50469"/>
    <w:rsid w:val="00D50DA2"/>
    <w:rsid w:val="00D51950"/>
    <w:rsid w:val="00D51D89"/>
    <w:rsid w:val="00D529A0"/>
    <w:rsid w:val="00D53261"/>
    <w:rsid w:val="00D53407"/>
    <w:rsid w:val="00D54CBD"/>
    <w:rsid w:val="00D54CF2"/>
    <w:rsid w:val="00D5529F"/>
    <w:rsid w:val="00D558C9"/>
    <w:rsid w:val="00D55A60"/>
    <w:rsid w:val="00D56D6D"/>
    <w:rsid w:val="00D6050E"/>
    <w:rsid w:val="00D60C5D"/>
    <w:rsid w:val="00D6113F"/>
    <w:rsid w:val="00D6161F"/>
    <w:rsid w:val="00D6164B"/>
    <w:rsid w:val="00D61ED4"/>
    <w:rsid w:val="00D61F84"/>
    <w:rsid w:val="00D6232F"/>
    <w:rsid w:val="00D62E8A"/>
    <w:rsid w:val="00D63EBF"/>
    <w:rsid w:val="00D6526E"/>
    <w:rsid w:val="00D652CE"/>
    <w:rsid w:val="00D657C9"/>
    <w:rsid w:val="00D66415"/>
    <w:rsid w:val="00D6672D"/>
    <w:rsid w:val="00D66BED"/>
    <w:rsid w:val="00D66F85"/>
    <w:rsid w:val="00D705D8"/>
    <w:rsid w:val="00D70954"/>
    <w:rsid w:val="00D70B09"/>
    <w:rsid w:val="00D70FD0"/>
    <w:rsid w:val="00D7121C"/>
    <w:rsid w:val="00D7122C"/>
    <w:rsid w:val="00D714EC"/>
    <w:rsid w:val="00D71B53"/>
    <w:rsid w:val="00D71D3E"/>
    <w:rsid w:val="00D71E21"/>
    <w:rsid w:val="00D71E37"/>
    <w:rsid w:val="00D71F69"/>
    <w:rsid w:val="00D726A2"/>
    <w:rsid w:val="00D727DF"/>
    <w:rsid w:val="00D72BEA"/>
    <w:rsid w:val="00D73A83"/>
    <w:rsid w:val="00D7453D"/>
    <w:rsid w:val="00D74588"/>
    <w:rsid w:val="00D74A53"/>
    <w:rsid w:val="00D76E6F"/>
    <w:rsid w:val="00D7768C"/>
    <w:rsid w:val="00D77B5B"/>
    <w:rsid w:val="00D77E6D"/>
    <w:rsid w:val="00D80846"/>
    <w:rsid w:val="00D80BA3"/>
    <w:rsid w:val="00D80CD8"/>
    <w:rsid w:val="00D8154D"/>
    <w:rsid w:val="00D81D5C"/>
    <w:rsid w:val="00D82360"/>
    <w:rsid w:val="00D82BD7"/>
    <w:rsid w:val="00D82E97"/>
    <w:rsid w:val="00D83E15"/>
    <w:rsid w:val="00D83F4C"/>
    <w:rsid w:val="00D8448E"/>
    <w:rsid w:val="00D84500"/>
    <w:rsid w:val="00D8504D"/>
    <w:rsid w:val="00D850AD"/>
    <w:rsid w:val="00D85162"/>
    <w:rsid w:val="00D85959"/>
    <w:rsid w:val="00D86596"/>
    <w:rsid w:val="00D86922"/>
    <w:rsid w:val="00D8712C"/>
    <w:rsid w:val="00D87670"/>
    <w:rsid w:val="00D87703"/>
    <w:rsid w:val="00D87A83"/>
    <w:rsid w:val="00D87B02"/>
    <w:rsid w:val="00D87DC4"/>
    <w:rsid w:val="00D87E63"/>
    <w:rsid w:val="00D9035A"/>
    <w:rsid w:val="00D908FA"/>
    <w:rsid w:val="00D90940"/>
    <w:rsid w:val="00D91193"/>
    <w:rsid w:val="00D91995"/>
    <w:rsid w:val="00D92271"/>
    <w:rsid w:val="00D92379"/>
    <w:rsid w:val="00D92AD9"/>
    <w:rsid w:val="00D93139"/>
    <w:rsid w:val="00D94063"/>
    <w:rsid w:val="00D942D6"/>
    <w:rsid w:val="00D948C4"/>
    <w:rsid w:val="00D958BF"/>
    <w:rsid w:val="00D9616E"/>
    <w:rsid w:val="00D976EF"/>
    <w:rsid w:val="00D97987"/>
    <w:rsid w:val="00DA037D"/>
    <w:rsid w:val="00DA041F"/>
    <w:rsid w:val="00DA053D"/>
    <w:rsid w:val="00DA0E60"/>
    <w:rsid w:val="00DA1115"/>
    <w:rsid w:val="00DA1785"/>
    <w:rsid w:val="00DA1ACE"/>
    <w:rsid w:val="00DA1D3A"/>
    <w:rsid w:val="00DA22FC"/>
    <w:rsid w:val="00DA37A3"/>
    <w:rsid w:val="00DA39C6"/>
    <w:rsid w:val="00DA47D9"/>
    <w:rsid w:val="00DA5C08"/>
    <w:rsid w:val="00DA5C33"/>
    <w:rsid w:val="00DA5DBF"/>
    <w:rsid w:val="00DA61FE"/>
    <w:rsid w:val="00DA6FF4"/>
    <w:rsid w:val="00DA7369"/>
    <w:rsid w:val="00DA7B59"/>
    <w:rsid w:val="00DA7BA7"/>
    <w:rsid w:val="00DA7D6D"/>
    <w:rsid w:val="00DB01F4"/>
    <w:rsid w:val="00DB0C68"/>
    <w:rsid w:val="00DB1503"/>
    <w:rsid w:val="00DB1688"/>
    <w:rsid w:val="00DB2BAF"/>
    <w:rsid w:val="00DB415B"/>
    <w:rsid w:val="00DB4395"/>
    <w:rsid w:val="00DB45E3"/>
    <w:rsid w:val="00DB4C73"/>
    <w:rsid w:val="00DB58F4"/>
    <w:rsid w:val="00DB69B3"/>
    <w:rsid w:val="00DB75BB"/>
    <w:rsid w:val="00DB78BF"/>
    <w:rsid w:val="00DB7D1C"/>
    <w:rsid w:val="00DC025F"/>
    <w:rsid w:val="00DC07E1"/>
    <w:rsid w:val="00DC172D"/>
    <w:rsid w:val="00DC1DE5"/>
    <w:rsid w:val="00DC2764"/>
    <w:rsid w:val="00DC2781"/>
    <w:rsid w:val="00DC27F8"/>
    <w:rsid w:val="00DC2DD6"/>
    <w:rsid w:val="00DC32C5"/>
    <w:rsid w:val="00DC3FB5"/>
    <w:rsid w:val="00DC4891"/>
    <w:rsid w:val="00DC4D0E"/>
    <w:rsid w:val="00DC4D4C"/>
    <w:rsid w:val="00DC513B"/>
    <w:rsid w:val="00DC55EE"/>
    <w:rsid w:val="00DC565C"/>
    <w:rsid w:val="00DC57F5"/>
    <w:rsid w:val="00DC612F"/>
    <w:rsid w:val="00DC6CB2"/>
    <w:rsid w:val="00DC7BDC"/>
    <w:rsid w:val="00DC7CB7"/>
    <w:rsid w:val="00DC7FF8"/>
    <w:rsid w:val="00DD006D"/>
    <w:rsid w:val="00DD009E"/>
    <w:rsid w:val="00DD04A1"/>
    <w:rsid w:val="00DD157E"/>
    <w:rsid w:val="00DD187E"/>
    <w:rsid w:val="00DD1BF0"/>
    <w:rsid w:val="00DD27F9"/>
    <w:rsid w:val="00DD2975"/>
    <w:rsid w:val="00DD2C2B"/>
    <w:rsid w:val="00DD3D5B"/>
    <w:rsid w:val="00DD425E"/>
    <w:rsid w:val="00DD458C"/>
    <w:rsid w:val="00DD48C0"/>
    <w:rsid w:val="00DD4BBF"/>
    <w:rsid w:val="00DD4E63"/>
    <w:rsid w:val="00DD66B4"/>
    <w:rsid w:val="00DD6711"/>
    <w:rsid w:val="00DD690E"/>
    <w:rsid w:val="00DD6AD4"/>
    <w:rsid w:val="00DD7550"/>
    <w:rsid w:val="00DD7826"/>
    <w:rsid w:val="00DD7E70"/>
    <w:rsid w:val="00DE0095"/>
    <w:rsid w:val="00DE1344"/>
    <w:rsid w:val="00DE140A"/>
    <w:rsid w:val="00DE2FEF"/>
    <w:rsid w:val="00DE3127"/>
    <w:rsid w:val="00DE3FE2"/>
    <w:rsid w:val="00DE40AB"/>
    <w:rsid w:val="00DE44C1"/>
    <w:rsid w:val="00DE4CB0"/>
    <w:rsid w:val="00DE55F3"/>
    <w:rsid w:val="00DE57F0"/>
    <w:rsid w:val="00DE65CD"/>
    <w:rsid w:val="00DE697F"/>
    <w:rsid w:val="00DE7197"/>
    <w:rsid w:val="00DF026D"/>
    <w:rsid w:val="00DF0963"/>
    <w:rsid w:val="00DF0D11"/>
    <w:rsid w:val="00DF1183"/>
    <w:rsid w:val="00DF16B6"/>
    <w:rsid w:val="00DF2213"/>
    <w:rsid w:val="00DF261F"/>
    <w:rsid w:val="00DF27EC"/>
    <w:rsid w:val="00DF2F0A"/>
    <w:rsid w:val="00DF32D6"/>
    <w:rsid w:val="00DF38FF"/>
    <w:rsid w:val="00DF3A97"/>
    <w:rsid w:val="00DF3ED8"/>
    <w:rsid w:val="00DF440F"/>
    <w:rsid w:val="00DF46AC"/>
    <w:rsid w:val="00DF49C9"/>
    <w:rsid w:val="00DF536B"/>
    <w:rsid w:val="00DF55A1"/>
    <w:rsid w:val="00DF59A4"/>
    <w:rsid w:val="00DF5CAF"/>
    <w:rsid w:val="00DF6544"/>
    <w:rsid w:val="00DF751C"/>
    <w:rsid w:val="00DF7B27"/>
    <w:rsid w:val="00E00055"/>
    <w:rsid w:val="00E0028D"/>
    <w:rsid w:val="00E002D3"/>
    <w:rsid w:val="00E0041B"/>
    <w:rsid w:val="00E007B0"/>
    <w:rsid w:val="00E00B53"/>
    <w:rsid w:val="00E00CA7"/>
    <w:rsid w:val="00E00DDA"/>
    <w:rsid w:val="00E01343"/>
    <w:rsid w:val="00E013C0"/>
    <w:rsid w:val="00E01636"/>
    <w:rsid w:val="00E01699"/>
    <w:rsid w:val="00E0252E"/>
    <w:rsid w:val="00E027EE"/>
    <w:rsid w:val="00E030F2"/>
    <w:rsid w:val="00E032CE"/>
    <w:rsid w:val="00E03A97"/>
    <w:rsid w:val="00E03F98"/>
    <w:rsid w:val="00E0468F"/>
    <w:rsid w:val="00E048BA"/>
    <w:rsid w:val="00E04B6E"/>
    <w:rsid w:val="00E061EB"/>
    <w:rsid w:val="00E062C0"/>
    <w:rsid w:val="00E063A8"/>
    <w:rsid w:val="00E06E42"/>
    <w:rsid w:val="00E0744D"/>
    <w:rsid w:val="00E07ADF"/>
    <w:rsid w:val="00E10393"/>
    <w:rsid w:val="00E10528"/>
    <w:rsid w:val="00E10ABC"/>
    <w:rsid w:val="00E112B0"/>
    <w:rsid w:val="00E120BB"/>
    <w:rsid w:val="00E128D0"/>
    <w:rsid w:val="00E12AB0"/>
    <w:rsid w:val="00E12BB7"/>
    <w:rsid w:val="00E12E56"/>
    <w:rsid w:val="00E1345F"/>
    <w:rsid w:val="00E13CB5"/>
    <w:rsid w:val="00E13CE4"/>
    <w:rsid w:val="00E14402"/>
    <w:rsid w:val="00E147FE"/>
    <w:rsid w:val="00E14D49"/>
    <w:rsid w:val="00E158E9"/>
    <w:rsid w:val="00E158F7"/>
    <w:rsid w:val="00E164ED"/>
    <w:rsid w:val="00E16DF5"/>
    <w:rsid w:val="00E16E11"/>
    <w:rsid w:val="00E20357"/>
    <w:rsid w:val="00E20526"/>
    <w:rsid w:val="00E207B4"/>
    <w:rsid w:val="00E208EF"/>
    <w:rsid w:val="00E209B3"/>
    <w:rsid w:val="00E2131D"/>
    <w:rsid w:val="00E2165E"/>
    <w:rsid w:val="00E21740"/>
    <w:rsid w:val="00E21959"/>
    <w:rsid w:val="00E22D48"/>
    <w:rsid w:val="00E22D81"/>
    <w:rsid w:val="00E23827"/>
    <w:rsid w:val="00E239B0"/>
    <w:rsid w:val="00E23F65"/>
    <w:rsid w:val="00E243A2"/>
    <w:rsid w:val="00E246DB"/>
    <w:rsid w:val="00E24F2E"/>
    <w:rsid w:val="00E251D9"/>
    <w:rsid w:val="00E25DD0"/>
    <w:rsid w:val="00E26169"/>
    <w:rsid w:val="00E26356"/>
    <w:rsid w:val="00E26FC6"/>
    <w:rsid w:val="00E27364"/>
    <w:rsid w:val="00E2758C"/>
    <w:rsid w:val="00E3044F"/>
    <w:rsid w:val="00E30D44"/>
    <w:rsid w:val="00E30E2E"/>
    <w:rsid w:val="00E30EBA"/>
    <w:rsid w:val="00E31B68"/>
    <w:rsid w:val="00E31D5F"/>
    <w:rsid w:val="00E3267C"/>
    <w:rsid w:val="00E34171"/>
    <w:rsid w:val="00E34AF2"/>
    <w:rsid w:val="00E34DC7"/>
    <w:rsid w:val="00E35171"/>
    <w:rsid w:val="00E352D0"/>
    <w:rsid w:val="00E35330"/>
    <w:rsid w:val="00E3550F"/>
    <w:rsid w:val="00E35AD4"/>
    <w:rsid w:val="00E35D6B"/>
    <w:rsid w:val="00E36531"/>
    <w:rsid w:val="00E372AF"/>
    <w:rsid w:val="00E37EB1"/>
    <w:rsid w:val="00E4054A"/>
    <w:rsid w:val="00E408FB"/>
    <w:rsid w:val="00E41E68"/>
    <w:rsid w:val="00E429AC"/>
    <w:rsid w:val="00E42AC8"/>
    <w:rsid w:val="00E42B06"/>
    <w:rsid w:val="00E42B93"/>
    <w:rsid w:val="00E42D70"/>
    <w:rsid w:val="00E4368F"/>
    <w:rsid w:val="00E439E5"/>
    <w:rsid w:val="00E44BB3"/>
    <w:rsid w:val="00E450C9"/>
    <w:rsid w:val="00E45462"/>
    <w:rsid w:val="00E46730"/>
    <w:rsid w:val="00E468C6"/>
    <w:rsid w:val="00E46933"/>
    <w:rsid w:val="00E46A89"/>
    <w:rsid w:val="00E4709F"/>
    <w:rsid w:val="00E4737C"/>
    <w:rsid w:val="00E473CA"/>
    <w:rsid w:val="00E474FB"/>
    <w:rsid w:val="00E506F5"/>
    <w:rsid w:val="00E509FF"/>
    <w:rsid w:val="00E50E18"/>
    <w:rsid w:val="00E518AC"/>
    <w:rsid w:val="00E5210D"/>
    <w:rsid w:val="00E525F6"/>
    <w:rsid w:val="00E52CF0"/>
    <w:rsid w:val="00E52ECB"/>
    <w:rsid w:val="00E533C8"/>
    <w:rsid w:val="00E54A06"/>
    <w:rsid w:val="00E54D01"/>
    <w:rsid w:val="00E55180"/>
    <w:rsid w:val="00E55759"/>
    <w:rsid w:val="00E564F8"/>
    <w:rsid w:val="00E56574"/>
    <w:rsid w:val="00E568C1"/>
    <w:rsid w:val="00E5691A"/>
    <w:rsid w:val="00E56C80"/>
    <w:rsid w:val="00E56CC7"/>
    <w:rsid w:val="00E576B5"/>
    <w:rsid w:val="00E57DA2"/>
    <w:rsid w:val="00E628A4"/>
    <w:rsid w:val="00E62C8F"/>
    <w:rsid w:val="00E645F0"/>
    <w:rsid w:val="00E645FA"/>
    <w:rsid w:val="00E648B4"/>
    <w:rsid w:val="00E64B3F"/>
    <w:rsid w:val="00E6565D"/>
    <w:rsid w:val="00E657CA"/>
    <w:rsid w:val="00E65A0E"/>
    <w:rsid w:val="00E65E4A"/>
    <w:rsid w:val="00E660B4"/>
    <w:rsid w:val="00E662C6"/>
    <w:rsid w:val="00E6653D"/>
    <w:rsid w:val="00E66E3F"/>
    <w:rsid w:val="00E67165"/>
    <w:rsid w:val="00E674DE"/>
    <w:rsid w:val="00E700F4"/>
    <w:rsid w:val="00E703F9"/>
    <w:rsid w:val="00E706DC"/>
    <w:rsid w:val="00E70B56"/>
    <w:rsid w:val="00E70EDC"/>
    <w:rsid w:val="00E70F7C"/>
    <w:rsid w:val="00E70FD8"/>
    <w:rsid w:val="00E71628"/>
    <w:rsid w:val="00E71760"/>
    <w:rsid w:val="00E71BD2"/>
    <w:rsid w:val="00E71F20"/>
    <w:rsid w:val="00E730EE"/>
    <w:rsid w:val="00E738A3"/>
    <w:rsid w:val="00E73AB9"/>
    <w:rsid w:val="00E73CC4"/>
    <w:rsid w:val="00E73F12"/>
    <w:rsid w:val="00E74246"/>
    <w:rsid w:val="00E7494B"/>
    <w:rsid w:val="00E74E2C"/>
    <w:rsid w:val="00E751D1"/>
    <w:rsid w:val="00E75938"/>
    <w:rsid w:val="00E76070"/>
    <w:rsid w:val="00E761E8"/>
    <w:rsid w:val="00E7642C"/>
    <w:rsid w:val="00E768B4"/>
    <w:rsid w:val="00E76D9B"/>
    <w:rsid w:val="00E771A9"/>
    <w:rsid w:val="00E7720D"/>
    <w:rsid w:val="00E77734"/>
    <w:rsid w:val="00E777AE"/>
    <w:rsid w:val="00E7795C"/>
    <w:rsid w:val="00E80132"/>
    <w:rsid w:val="00E80501"/>
    <w:rsid w:val="00E806FB"/>
    <w:rsid w:val="00E80EFB"/>
    <w:rsid w:val="00E819B1"/>
    <w:rsid w:val="00E81FF9"/>
    <w:rsid w:val="00E82050"/>
    <w:rsid w:val="00E821BE"/>
    <w:rsid w:val="00E82D4E"/>
    <w:rsid w:val="00E831E9"/>
    <w:rsid w:val="00E83266"/>
    <w:rsid w:val="00E83CC3"/>
    <w:rsid w:val="00E8411E"/>
    <w:rsid w:val="00E84154"/>
    <w:rsid w:val="00E84478"/>
    <w:rsid w:val="00E84571"/>
    <w:rsid w:val="00E847BA"/>
    <w:rsid w:val="00E847F4"/>
    <w:rsid w:val="00E84CF1"/>
    <w:rsid w:val="00E8541C"/>
    <w:rsid w:val="00E85962"/>
    <w:rsid w:val="00E85AC3"/>
    <w:rsid w:val="00E85CEA"/>
    <w:rsid w:val="00E86627"/>
    <w:rsid w:val="00E86696"/>
    <w:rsid w:val="00E86AC3"/>
    <w:rsid w:val="00E86B7C"/>
    <w:rsid w:val="00E871DC"/>
    <w:rsid w:val="00E87534"/>
    <w:rsid w:val="00E90086"/>
    <w:rsid w:val="00E902CB"/>
    <w:rsid w:val="00E903BD"/>
    <w:rsid w:val="00E90BFA"/>
    <w:rsid w:val="00E90F90"/>
    <w:rsid w:val="00E913C8"/>
    <w:rsid w:val="00E9160E"/>
    <w:rsid w:val="00E918F5"/>
    <w:rsid w:val="00E92452"/>
    <w:rsid w:val="00E92D02"/>
    <w:rsid w:val="00E9375D"/>
    <w:rsid w:val="00E93960"/>
    <w:rsid w:val="00E94359"/>
    <w:rsid w:val="00E94456"/>
    <w:rsid w:val="00E94892"/>
    <w:rsid w:val="00E94BC2"/>
    <w:rsid w:val="00E94C8E"/>
    <w:rsid w:val="00E94F70"/>
    <w:rsid w:val="00E9556B"/>
    <w:rsid w:val="00E95C8F"/>
    <w:rsid w:val="00E96104"/>
    <w:rsid w:val="00E961F8"/>
    <w:rsid w:val="00E964AF"/>
    <w:rsid w:val="00E96C60"/>
    <w:rsid w:val="00E9734B"/>
    <w:rsid w:val="00E979EC"/>
    <w:rsid w:val="00EA045F"/>
    <w:rsid w:val="00EA0B87"/>
    <w:rsid w:val="00EA0CEF"/>
    <w:rsid w:val="00EA1745"/>
    <w:rsid w:val="00EA1B7C"/>
    <w:rsid w:val="00EA2AA4"/>
    <w:rsid w:val="00EA33CA"/>
    <w:rsid w:val="00EA35C1"/>
    <w:rsid w:val="00EA376B"/>
    <w:rsid w:val="00EA3B5E"/>
    <w:rsid w:val="00EA4209"/>
    <w:rsid w:val="00EA44FC"/>
    <w:rsid w:val="00EA4828"/>
    <w:rsid w:val="00EA5273"/>
    <w:rsid w:val="00EA6739"/>
    <w:rsid w:val="00EA67D6"/>
    <w:rsid w:val="00EA75DC"/>
    <w:rsid w:val="00EA7A28"/>
    <w:rsid w:val="00EB0B22"/>
    <w:rsid w:val="00EB0EE3"/>
    <w:rsid w:val="00EB192B"/>
    <w:rsid w:val="00EB1DA0"/>
    <w:rsid w:val="00EB1F4F"/>
    <w:rsid w:val="00EB2118"/>
    <w:rsid w:val="00EB3594"/>
    <w:rsid w:val="00EB3A44"/>
    <w:rsid w:val="00EB4193"/>
    <w:rsid w:val="00EB4E6E"/>
    <w:rsid w:val="00EB536C"/>
    <w:rsid w:val="00EB538D"/>
    <w:rsid w:val="00EB5810"/>
    <w:rsid w:val="00EB6591"/>
    <w:rsid w:val="00EB65B4"/>
    <w:rsid w:val="00EB66CA"/>
    <w:rsid w:val="00EB68EA"/>
    <w:rsid w:val="00EB699F"/>
    <w:rsid w:val="00EB7119"/>
    <w:rsid w:val="00EB7875"/>
    <w:rsid w:val="00EC1336"/>
    <w:rsid w:val="00EC15AB"/>
    <w:rsid w:val="00EC1C66"/>
    <w:rsid w:val="00EC1E28"/>
    <w:rsid w:val="00EC2851"/>
    <w:rsid w:val="00EC29C1"/>
    <w:rsid w:val="00EC2B59"/>
    <w:rsid w:val="00EC3113"/>
    <w:rsid w:val="00EC34C4"/>
    <w:rsid w:val="00EC3575"/>
    <w:rsid w:val="00EC3E38"/>
    <w:rsid w:val="00EC4998"/>
    <w:rsid w:val="00EC50B6"/>
    <w:rsid w:val="00EC52D3"/>
    <w:rsid w:val="00EC5E89"/>
    <w:rsid w:val="00EC62A1"/>
    <w:rsid w:val="00EC688D"/>
    <w:rsid w:val="00EC6BAC"/>
    <w:rsid w:val="00EC6C1D"/>
    <w:rsid w:val="00EC6C25"/>
    <w:rsid w:val="00EC6EE1"/>
    <w:rsid w:val="00EC72F6"/>
    <w:rsid w:val="00EC755F"/>
    <w:rsid w:val="00EC756D"/>
    <w:rsid w:val="00ED0370"/>
    <w:rsid w:val="00ED03DA"/>
    <w:rsid w:val="00ED04B8"/>
    <w:rsid w:val="00ED0562"/>
    <w:rsid w:val="00ED12B7"/>
    <w:rsid w:val="00ED1C7B"/>
    <w:rsid w:val="00ED1FE2"/>
    <w:rsid w:val="00ED2202"/>
    <w:rsid w:val="00ED24AB"/>
    <w:rsid w:val="00ED24BF"/>
    <w:rsid w:val="00ED3591"/>
    <w:rsid w:val="00ED3B4E"/>
    <w:rsid w:val="00ED3DB8"/>
    <w:rsid w:val="00ED408C"/>
    <w:rsid w:val="00ED42BC"/>
    <w:rsid w:val="00ED4EF8"/>
    <w:rsid w:val="00ED52AB"/>
    <w:rsid w:val="00ED5A1B"/>
    <w:rsid w:val="00ED5A88"/>
    <w:rsid w:val="00ED7028"/>
    <w:rsid w:val="00ED74F0"/>
    <w:rsid w:val="00ED75B3"/>
    <w:rsid w:val="00ED793C"/>
    <w:rsid w:val="00ED7AF9"/>
    <w:rsid w:val="00ED7B6D"/>
    <w:rsid w:val="00ED7C8E"/>
    <w:rsid w:val="00EE06E7"/>
    <w:rsid w:val="00EE1B66"/>
    <w:rsid w:val="00EE1ED8"/>
    <w:rsid w:val="00EE1F81"/>
    <w:rsid w:val="00EE237D"/>
    <w:rsid w:val="00EE2C55"/>
    <w:rsid w:val="00EE3178"/>
    <w:rsid w:val="00EE32FB"/>
    <w:rsid w:val="00EE3B27"/>
    <w:rsid w:val="00EE3DD5"/>
    <w:rsid w:val="00EE4051"/>
    <w:rsid w:val="00EE4C8B"/>
    <w:rsid w:val="00EE4E11"/>
    <w:rsid w:val="00EE53A2"/>
    <w:rsid w:val="00EE5B85"/>
    <w:rsid w:val="00EE6716"/>
    <w:rsid w:val="00EE6A9E"/>
    <w:rsid w:val="00EE7A76"/>
    <w:rsid w:val="00EE7ACC"/>
    <w:rsid w:val="00EF069A"/>
    <w:rsid w:val="00EF075D"/>
    <w:rsid w:val="00EF07EF"/>
    <w:rsid w:val="00EF0CA5"/>
    <w:rsid w:val="00EF1686"/>
    <w:rsid w:val="00EF1969"/>
    <w:rsid w:val="00EF2929"/>
    <w:rsid w:val="00EF3381"/>
    <w:rsid w:val="00EF34B4"/>
    <w:rsid w:val="00EF3520"/>
    <w:rsid w:val="00EF491B"/>
    <w:rsid w:val="00EF4927"/>
    <w:rsid w:val="00EF51D5"/>
    <w:rsid w:val="00EF5701"/>
    <w:rsid w:val="00EF596D"/>
    <w:rsid w:val="00EF5E92"/>
    <w:rsid w:val="00EF6C1D"/>
    <w:rsid w:val="00EF6E78"/>
    <w:rsid w:val="00EF77F6"/>
    <w:rsid w:val="00EF7EB1"/>
    <w:rsid w:val="00EF7FD1"/>
    <w:rsid w:val="00F00795"/>
    <w:rsid w:val="00F00C32"/>
    <w:rsid w:val="00F018DB"/>
    <w:rsid w:val="00F01F50"/>
    <w:rsid w:val="00F020A9"/>
    <w:rsid w:val="00F029E2"/>
    <w:rsid w:val="00F04053"/>
    <w:rsid w:val="00F04AA7"/>
    <w:rsid w:val="00F04DE0"/>
    <w:rsid w:val="00F04E2D"/>
    <w:rsid w:val="00F05930"/>
    <w:rsid w:val="00F05F2E"/>
    <w:rsid w:val="00F061B6"/>
    <w:rsid w:val="00F06473"/>
    <w:rsid w:val="00F06BBC"/>
    <w:rsid w:val="00F06CAE"/>
    <w:rsid w:val="00F074EC"/>
    <w:rsid w:val="00F075A3"/>
    <w:rsid w:val="00F1002B"/>
    <w:rsid w:val="00F10D1E"/>
    <w:rsid w:val="00F10D33"/>
    <w:rsid w:val="00F112CA"/>
    <w:rsid w:val="00F1217F"/>
    <w:rsid w:val="00F1262F"/>
    <w:rsid w:val="00F12962"/>
    <w:rsid w:val="00F12FEE"/>
    <w:rsid w:val="00F135B3"/>
    <w:rsid w:val="00F137A7"/>
    <w:rsid w:val="00F13833"/>
    <w:rsid w:val="00F145C5"/>
    <w:rsid w:val="00F15AF3"/>
    <w:rsid w:val="00F15D43"/>
    <w:rsid w:val="00F16F80"/>
    <w:rsid w:val="00F177DD"/>
    <w:rsid w:val="00F17B7A"/>
    <w:rsid w:val="00F20026"/>
    <w:rsid w:val="00F203E0"/>
    <w:rsid w:val="00F2050D"/>
    <w:rsid w:val="00F206C1"/>
    <w:rsid w:val="00F20C19"/>
    <w:rsid w:val="00F20F70"/>
    <w:rsid w:val="00F21039"/>
    <w:rsid w:val="00F21452"/>
    <w:rsid w:val="00F21AE7"/>
    <w:rsid w:val="00F22618"/>
    <w:rsid w:val="00F243BB"/>
    <w:rsid w:val="00F247E1"/>
    <w:rsid w:val="00F25175"/>
    <w:rsid w:val="00F2586F"/>
    <w:rsid w:val="00F25E0A"/>
    <w:rsid w:val="00F277F6"/>
    <w:rsid w:val="00F27D80"/>
    <w:rsid w:val="00F27EB7"/>
    <w:rsid w:val="00F30537"/>
    <w:rsid w:val="00F31274"/>
    <w:rsid w:val="00F32464"/>
    <w:rsid w:val="00F325D3"/>
    <w:rsid w:val="00F32B1C"/>
    <w:rsid w:val="00F33397"/>
    <w:rsid w:val="00F34601"/>
    <w:rsid w:val="00F35C2C"/>
    <w:rsid w:val="00F361D7"/>
    <w:rsid w:val="00F36659"/>
    <w:rsid w:val="00F377DD"/>
    <w:rsid w:val="00F40724"/>
    <w:rsid w:val="00F4078D"/>
    <w:rsid w:val="00F40CA5"/>
    <w:rsid w:val="00F41052"/>
    <w:rsid w:val="00F41104"/>
    <w:rsid w:val="00F416A2"/>
    <w:rsid w:val="00F41E49"/>
    <w:rsid w:val="00F42855"/>
    <w:rsid w:val="00F42F73"/>
    <w:rsid w:val="00F44BE2"/>
    <w:rsid w:val="00F466EC"/>
    <w:rsid w:val="00F47123"/>
    <w:rsid w:val="00F476F0"/>
    <w:rsid w:val="00F47A33"/>
    <w:rsid w:val="00F47A9C"/>
    <w:rsid w:val="00F50EA1"/>
    <w:rsid w:val="00F51173"/>
    <w:rsid w:val="00F511AC"/>
    <w:rsid w:val="00F51809"/>
    <w:rsid w:val="00F520B2"/>
    <w:rsid w:val="00F53177"/>
    <w:rsid w:val="00F53E91"/>
    <w:rsid w:val="00F55D75"/>
    <w:rsid w:val="00F55D8D"/>
    <w:rsid w:val="00F55D8E"/>
    <w:rsid w:val="00F574AC"/>
    <w:rsid w:val="00F61198"/>
    <w:rsid w:val="00F61275"/>
    <w:rsid w:val="00F61426"/>
    <w:rsid w:val="00F6147A"/>
    <w:rsid w:val="00F614C6"/>
    <w:rsid w:val="00F62608"/>
    <w:rsid w:val="00F63E4E"/>
    <w:rsid w:val="00F640D2"/>
    <w:rsid w:val="00F64851"/>
    <w:rsid w:val="00F64F92"/>
    <w:rsid w:val="00F6521E"/>
    <w:rsid w:val="00F656B0"/>
    <w:rsid w:val="00F6631A"/>
    <w:rsid w:val="00F664B8"/>
    <w:rsid w:val="00F6693C"/>
    <w:rsid w:val="00F679AB"/>
    <w:rsid w:val="00F70142"/>
    <w:rsid w:val="00F701B5"/>
    <w:rsid w:val="00F701F2"/>
    <w:rsid w:val="00F7071F"/>
    <w:rsid w:val="00F70A11"/>
    <w:rsid w:val="00F70C2B"/>
    <w:rsid w:val="00F70C53"/>
    <w:rsid w:val="00F71149"/>
    <w:rsid w:val="00F71555"/>
    <w:rsid w:val="00F71E95"/>
    <w:rsid w:val="00F72EB3"/>
    <w:rsid w:val="00F73BBB"/>
    <w:rsid w:val="00F7447C"/>
    <w:rsid w:val="00F752CF"/>
    <w:rsid w:val="00F75447"/>
    <w:rsid w:val="00F75E8E"/>
    <w:rsid w:val="00F766CA"/>
    <w:rsid w:val="00F76EAD"/>
    <w:rsid w:val="00F76EFA"/>
    <w:rsid w:val="00F77201"/>
    <w:rsid w:val="00F778D5"/>
    <w:rsid w:val="00F80713"/>
    <w:rsid w:val="00F81831"/>
    <w:rsid w:val="00F81DB3"/>
    <w:rsid w:val="00F82241"/>
    <w:rsid w:val="00F82C5C"/>
    <w:rsid w:val="00F82E55"/>
    <w:rsid w:val="00F83FC6"/>
    <w:rsid w:val="00F84111"/>
    <w:rsid w:val="00F8459E"/>
    <w:rsid w:val="00F84C9C"/>
    <w:rsid w:val="00F863D8"/>
    <w:rsid w:val="00F864EC"/>
    <w:rsid w:val="00F86684"/>
    <w:rsid w:val="00F86A64"/>
    <w:rsid w:val="00F86BC7"/>
    <w:rsid w:val="00F86C5C"/>
    <w:rsid w:val="00F87217"/>
    <w:rsid w:val="00F87667"/>
    <w:rsid w:val="00F905E1"/>
    <w:rsid w:val="00F91344"/>
    <w:rsid w:val="00F91589"/>
    <w:rsid w:val="00F91E32"/>
    <w:rsid w:val="00F927BE"/>
    <w:rsid w:val="00F92FF3"/>
    <w:rsid w:val="00F9350F"/>
    <w:rsid w:val="00F9495A"/>
    <w:rsid w:val="00F94A95"/>
    <w:rsid w:val="00F95D91"/>
    <w:rsid w:val="00F95F81"/>
    <w:rsid w:val="00F96034"/>
    <w:rsid w:val="00F961C6"/>
    <w:rsid w:val="00F96778"/>
    <w:rsid w:val="00F96AD0"/>
    <w:rsid w:val="00F96DF7"/>
    <w:rsid w:val="00F96EE7"/>
    <w:rsid w:val="00F97356"/>
    <w:rsid w:val="00F9758F"/>
    <w:rsid w:val="00F976D1"/>
    <w:rsid w:val="00FA071D"/>
    <w:rsid w:val="00FA1499"/>
    <w:rsid w:val="00FA157C"/>
    <w:rsid w:val="00FA183A"/>
    <w:rsid w:val="00FA1BD4"/>
    <w:rsid w:val="00FA1C8D"/>
    <w:rsid w:val="00FA1F64"/>
    <w:rsid w:val="00FA278E"/>
    <w:rsid w:val="00FA2D4E"/>
    <w:rsid w:val="00FA2DB8"/>
    <w:rsid w:val="00FA32CE"/>
    <w:rsid w:val="00FA339F"/>
    <w:rsid w:val="00FA349A"/>
    <w:rsid w:val="00FA36B7"/>
    <w:rsid w:val="00FA3DC0"/>
    <w:rsid w:val="00FA4250"/>
    <w:rsid w:val="00FA561B"/>
    <w:rsid w:val="00FA5721"/>
    <w:rsid w:val="00FA5B40"/>
    <w:rsid w:val="00FA5C73"/>
    <w:rsid w:val="00FA5D9D"/>
    <w:rsid w:val="00FA5D9E"/>
    <w:rsid w:val="00FA6677"/>
    <w:rsid w:val="00FA68AF"/>
    <w:rsid w:val="00FA6CAF"/>
    <w:rsid w:val="00FA7C4D"/>
    <w:rsid w:val="00FB0500"/>
    <w:rsid w:val="00FB11BC"/>
    <w:rsid w:val="00FB15F7"/>
    <w:rsid w:val="00FB1943"/>
    <w:rsid w:val="00FB1A5E"/>
    <w:rsid w:val="00FB34B9"/>
    <w:rsid w:val="00FB35B9"/>
    <w:rsid w:val="00FB37C9"/>
    <w:rsid w:val="00FB3B07"/>
    <w:rsid w:val="00FB4FE0"/>
    <w:rsid w:val="00FB5177"/>
    <w:rsid w:val="00FB551A"/>
    <w:rsid w:val="00FB6182"/>
    <w:rsid w:val="00FB72D7"/>
    <w:rsid w:val="00FB752E"/>
    <w:rsid w:val="00FB7710"/>
    <w:rsid w:val="00FC0110"/>
    <w:rsid w:val="00FC0204"/>
    <w:rsid w:val="00FC0B8A"/>
    <w:rsid w:val="00FC0D78"/>
    <w:rsid w:val="00FC1435"/>
    <w:rsid w:val="00FC1579"/>
    <w:rsid w:val="00FC1C16"/>
    <w:rsid w:val="00FC1CC5"/>
    <w:rsid w:val="00FC2223"/>
    <w:rsid w:val="00FC39CA"/>
    <w:rsid w:val="00FC3C26"/>
    <w:rsid w:val="00FC3DC8"/>
    <w:rsid w:val="00FC3EA1"/>
    <w:rsid w:val="00FC4329"/>
    <w:rsid w:val="00FC531B"/>
    <w:rsid w:val="00FC5BA8"/>
    <w:rsid w:val="00FC5E7C"/>
    <w:rsid w:val="00FC5F48"/>
    <w:rsid w:val="00FC5FCD"/>
    <w:rsid w:val="00FC6E40"/>
    <w:rsid w:val="00FC73C5"/>
    <w:rsid w:val="00FC76B5"/>
    <w:rsid w:val="00FC79B9"/>
    <w:rsid w:val="00FC7A72"/>
    <w:rsid w:val="00FC7F85"/>
    <w:rsid w:val="00FD0DB3"/>
    <w:rsid w:val="00FD0EE9"/>
    <w:rsid w:val="00FD145A"/>
    <w:rsid w:val="00FD14DA"/>
    <w:rsid w:val="00FD15F9"/>
    <w:rsid w:val="00FD1A27"/>
    <w:rsid w:val="00FD1B34"/>
    <w:rsid w:val="00FD220B"/>
    <w:rsid w:val="00FD2279"/>
    <w:rsid w:val="00FD26B6"/>
    <w:rsid w:val="00FD3224"/>
    <w:rsid w:val="00FD3862"/>
    <w:rsid w:val="00FD5164"/>
    <w:rsid w:val="00FD5A08"/>
    <w:rsid w:val="00FD5A3A"/>
    <w:rsid w:val="00FD6AE6"/>
    <w:rsid w:val="00FD7298"/>
    <w:rsid w:val="00FD7624"/>
    <w:rsid w:val="00FD7B5D"/>
    <w:rsid w:val="00FD7BF2"/>
    <w:rsid w:val="00FD7DFB"/>
    <w:rsid w:val="00FE11D5"/>
    <w:rsid w:val="00FE2240"/>
    <w:rsid w:val="00FE26F6"/>
    <w:rsid w:val="00FE2801"/>
    <w:rsid w:val="00FE2853"/>
    <w:rsid w:val="00FE3179"/>
    <w:rsid w:val="00FE479F"/>
    <w:rsid w:val="00FE4FA0"/>
    <w:rsid w:val="00FE5D7D"/>
    <w:rsid w:val="00FE5F5A"/>
    <w:rsid w:val="00FE642F"/>
    <w:rsid w:val="00FE68C7"/>
    <w:rsid w:val="00FE6CD2"/>
    <w:rsid w:val="00FE6FE4"/>
    <w:rsid w:val="00FE70FD"/>
    <w:rsid w:val="00FE7903"/>
    <w:rsid w:val="00FE7DDC"/>
    <w:rsid w:val="00FE7E78"/>
    <w:rsid w:val="00FF07F7"/>
    <w:rsid w:val="00FF0D3B"/>
    <w:rsid w:val="00FF0EA4"/>
    <w:rsid w:val="00FF1712"/>
    <w:rsid w:val="00FF280D"/>
    <w:rsid w:val="00FF282F"/>
    <w:rsid w:val="00FF3529"/>
    <w:rsid w:val="00FF3593"/>
    <w:rsid w:val="00FF3FF8"/>
    <w:rsid w:val="00FF403B"/>
    <w:rsid w:val="00FF5F1C"/>
    <w:rsid w:val="00FF5F6B"/>
    <w:rsid w:val="00FF6123"/>
    <w:rsid w:val="00FF7FAA"/>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482A5DF"/>
  <w15:docId w15:val="{49D147D7-D0A0-4980-B009-A26DDAF909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22BB3"/>
  </w:style>
  <w:style w:type="paragraph" w:styleId="Heading1">
    <w:name w:val="heading 1"/>
    <w:basedOn w:val="Normal"/>
    <w:next w:val="Normal"/>
    <w:link w:val="Heading1Char"/>
    <w:uiPriority w:val="9"/>
    <w:qFormat/>
    <w:rsid w:val="00A4162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4162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235C1"/>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1556FE"/>
    <w:pPr>
      <w:keepNext/>
      <w:keepLines/>
      <w:spacing w:before="40" w:after="0"/>
      <w:outlineLvl w:val="3"/>
    </w:pPr>
    <w:rPr>
      <w:rFonts w:asciiTheme="majorHAnsi" w:eastAsiaTheme="majorEastAsia" w:hAnsiTheme="majorHAnsi" w:cstheme="majorBidi"/>
      <w:iCs/>
      <w:color w:val="2F5496" w:themeColor="accent1" w:themeShade="BF"/>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4162C"/>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A4162C"/>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235C1"/>
    <w:rPr>
      <w:rFonts w:asciiTheme="majorHAnsi" w:eastAsiaTheme="majorEastAsia" w:hAnsiTheme="majorHAnsi" w:cstheme="majorBidi"/>
      <w:color w:val="1F3763" w:themeColor="accent1" w:themeShade="7F"/>
      <w:sz w:val="24"/>
      <w:szCs w:val="24"/>
    </w:rPr>
  </w:style>
  <w:style w:type="table" w:customStyle="1" w:styleId="PlainTable11">
    <w:name w:val="Plain Table 11"/>
    <w:basedOn w:val="TableNormal"/>
    <w:uiPriority w:val="41"/>
    <w:rsid w:val="00C235C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PlaceholderText">
    <w:name w:val="Placeholder Text"/>
    <w:basedOn w:val="DefaultParagraphFont"/>
    <w:uiPriority w:val="99"/>
    <w:semiHidden/>
    <w:rsid w:val="00796CFD"/>
    <w:rPr>
      <w:color w:val="808080"/>
    </w:rPr>
  </w:style>
  <w:style w:type="paragraph" w:styleId="ListParagraph">
    <w:name w:val="List Paragraph"/>
    <w:basedOn w:val="Normal"/>
    <w:uiPriority w:val="34"/>
    <w:qFormat/>
    <w:rsid w:val="00796CFD"/>
    <w:pPr>
      <w:ind w:left="720"/>
      <w:contextualSpacing/>
    </w:pPr>
  </w:style>
  <w:style w:type="character" w:customStyle="1" w:styleId="Heading4Char">
    <w:name w:val="Heading 4 Char"/>
    <w:basedOn w:val="DefaultParagraphFont"/>
    <w:link w:val="Heading4"/>
    <w:uiPriority w:val="9"/>
    <w:rsid w:val="001556FE"/>
    <w:rPr>
      <w:rFonts w:asciiTheme="majorHAnsi" w:eastAsiaTheme="majorEastAsia" w:hAnsiTheme="majorHAnsi" w:cstheme="majorBidi"/>
      <w:iCs/>
      <w:color w:val="2F5496" w:themeColor="accent1" w:themeShade="BF"/>
      <w:sz w:val="24"/>
    </w:rPr>
  </w:style>
  <w:style w:type="paragraph" w:styleId="Header">
    <w:name w:val="header"/>
    <w:basedOn w:val="Normal"/>
    <w:link w:val="HeaderChar"/>
    <w:uiPriority w:val="99"/>
    <w:unhideWhenUsed/>
    <w:rsid w:val="00B151A8"/>
    <w:pPr>
      <w:tabs>
        <w:tab w:val="center" w:pos="4680"/>
        <w:tab w:val="right" w:pos="9360"/>
      </w:tabs>
      <w:spacing w:after="0" w:line="240" w:lineRule="auto"/>
    </w:pPr>
  </w:style>
  <w:style w:type="character" w:customStyle="1" w:styleId="HeaderChar">
    <w:name w:val="Header Char"/>
    <w:basedOn w:val="DefaultParagraphFont"/>
    <w:link w:val="Header"/>
    <w:uiPriority w:val="99"/>
    <w:rsid w:val="00B151A8"/>
  </w:style>
  <w:style w:type="paragraph" w:styleId="Footer">
    <w:name w:val="footer"/>
    <w:basedOn w:val="Normal"/>
    <w:link w:val="FooterChar"/>
    <w:uiPriority w:val="99"/>
    <w:unhideWhenUsed/>
    <w:rsid w:val="00B151A8"/>
    <w:pPr>
      <w:tabs>
        <w:tab w:val="center" w:pos="4680"/>
        <w:tab w:val="right" w:pos="9360"/>
      </w:tabs>
      <w:spacing w:after="0" w:line="240" w:lineRule="auto"/>
    </w:pPr>
  </w:style>
  <w:style w:type="character" w:customStyle="1" w:styleId="FooterChar">
    <w:name w:val="Footer Char"/>
    <w:basedOn w:val="DefaultParagraphFont"/>
    <w:link w:val="Footer"/>
    <w:uiPriority w:val="99"/>
    <w:rsid w:val="00B151A8"/>
  </w:style>
  <w:style w:type="paragraph" w:styleId="TOCHeading">
    <w:name w:val="TOC Heading"/>
    <w:basedOn w:val="Heading1"/>
    <w:next w:val="Normal"/>
    <w:uiPriority w:val="39"/>
    <w:unhideWhenUsed/>
    <w:qFormat/>
    <w:rsid w:val="00B151A8"/>
    <w:pPr>
      <w:outlineLvl w:val="9"/>
    </w:pPr>
  </w:style>
  <w:style w:type="paragraph" w:styleId="TOC1">
    <w:name w:val="toc 1"/>
    <w:basedOn w:val="Normal"/>
    <w:next w:val="Normal"/>
    <w:autoRedefine/>
    <w:uiPriority w:val="39"/>
    <w:unhideWhenUsed/>
    <w:rsid w:val="00B151A8"/>
    <w:pPr>
      <w:spacing w:after="100"/>
    </w:pPr>
  </w:style>
  <w:style w:type="paragraph" w:styleId="TOC2">
    <w:name w:val="toc 2"/>
    <w:basedOn w:val="Normal"/>
    <w:next w:val="Normal"/>
    <w:autoRedefine/>
    <w:uiPriority w:val="39"/>
    <w:unhideWhenUsed/>
    <w:rsid w:val="0050765C"/>
    <w:pPr>
      <w:shd w:val="clear" w:color="auto" w:fill="FFFFFF" w:themeFill="background1"/>
      <w:tabs>
        <w:tab w:val="right" w:leader="dot" w:pos="9350"/>
      </w:tabs>
      <w:spacing w:after="100" w:line="240" w:lineRule="auto"/>
      <w:ind w:left="220"/>
    </w:pPr>
  </w:style>
  <w:style w:type="paragraph" w:styleId="TOC3">
    <w:name w:val="toc 3"/>
    <w:basedOn w:val="Normal"/>
    <w:next w:val="Normal"/>
    <w:autoRedefine/>
    <w:uiPriority w:val="39"/>
    <w:unhideWhenUsed/>
    <w:rsid w:val="00B151A8"/>
    <w:pPr>
      <w:spacing w:after="100"/>
      <w:ind w:left="440"/>
    </w:pPr>
  </w:style>
  <w:style w:type="character" w:styleId="Hyperlink">
    <w:name w:val="Hyperlink"/>
    <w:basedOn w:val="DefaultParagraphFont"/>
    <w:uiPriority w:val="99"/>
    <w:unhideWhenUsed/>
    <w:rsid w:val="00B151A8"/>
    <w:rPr>
      <w:color w:val="0563C1" w:themeColor="hyperlink"/>
      <w:u w:val="single"/>
    </w:rPr>
  </w:style>
  <w:style w:type="paragraph" w:styleId="NormalWeb">
    <w:name w:val="Normal (Web)"/>
    <w:basedOn w:val="Normal"/>
    <w:uiPriority w:val="99"/>
    <w:unhideWhenUsed/>
    <w:rsid w:val="00F33397"/>
    <w:pPr>
      <w:spacing w:before="100" w:beforeAutospacing="1" w:after="100" w:afterAutospacing="1" w:line="240" w:lineRule="auto"/>
    </w:pPr>
    <w:rPr>
      <w:rFonts w:ascii="Times New Roman" w:eastAsia="Times New Roman" w:hAnsi="Times New Roman" w:cs="Times New Roman"/>
      <w:sz w:val="24"/>
      <w:szCs w:val="24"/>
    </w:rPr>
  </w:style>
  <w:style w:type="table" w:styleId="TableGrid">
    <w:name w:val="Table Grid"/>
    <w:basedOn w:val="TableNormal"/>
    <w:uiPriority w:val="39"/>
    <w:rsid w:val="00634DE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063D4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63D49"/>
    <w:rPr>
      <w:rFonts w:ascii="Tahoma" w:hAnsi="Tahoma" w:cs="Tahoma"/>
      <w:sz w:val="16"/>
      <w:szCs w:val="16"/>
    </w:rPr>
  </w:style>
  <w:style w:type="paragraph" w:styleId="NoSpacing">
    <w:name w:val="No Spacing"/>
    <w:link w:val="NoSpacingChar"/>
    <w:uiPriority w:val="1"/>
    <w:qFormat/>
    <w:rsid w:val="003E157E"/>
    <w:pPr>
      <w:spacing w:after="0" w:line="240" w:lineRule="auto"/>
    </w:pPr>
  </w:style>
  <w:style w:type="table" w:customStyle="1" w:styleId="PlainTable12">
    <w:name w:val="Plain Table 12"/>
    <w:basedOn w:val="TableNormal"/>
    <w:uiPriority w:val="41"/>
    <w:rsid w:val="0027303A"/>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FootnoteText">
    <w:name w:val="footnote text"/>
    <w:basedOn w:val="Normal"/>
    <w:link w:val="FootnoteTextChar"/>
    <w:uiPriority w:val="99"/>
    <w:semiHidden/>
    <w:unhideWhenUsed/>
    <w:rsid w:val="00C9250A"/>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9250A"/>
    <w:rPr>
      <w:sz w:val="20"/>
      <w:szCs w:val="20"/>
    </w:rPr>
  </w:style>
  <w:style w:type="character" w:styleId="FootnoteReference">
    <w:name w:val="footnote reference"/>
    <w:basedOn w:val="DefaultParagraphFont"/>
    <w:uiPriority w:val="99"/>
    <w:semiHidden/>
    <w:unhideWhenUsed/>
    <w:rsid w:val="00C9250A"/>
    <w:rPr>
      <w:vertAlign w:val="superscript"/>
    </w:rPr>
  </w:style>
  <w:style w:type="table" w:customStyle="1" w:styleId="PlainTable13">
    <w:name w:val="Plain Table 13"/>
    <w:basedOn w:val="TableNormal"/>
    <w:uiPriority w:val="41"/>
    <w:rsid w:val="00065F98"/>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NoSpacingChar">
    <w:name w:val="No Spacing Char"/>
    <w:basedOn w:val="DefaultParagraphFont"/>
    <w:link w:val="NoSpacing"/>
    <w:uiPriority w:val="1"/>
    <w:rsid w:val="00511EB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7487726">
      <w:bodyDiv w:val="1"/>
      <w:marLeft w:val="0"/>
      <w:marRight w:val="0"/>
      <w:marTop w:val="0"/>
      <w:marBottom w:val="0"/>
      <w:divBdr>
        <w:top w:val="none" w:sz="0" w:space="0" w:color="auto"/>
        <w:left w:val="none" w:sz="0" w:space="0" w:color="auto"/>
        <w:bottom w:val="none" w:sz="0" w:space="0" w:color="auto"/>
        <w:right w:val="none" w:sz="0" w:space="0" w:color="auto"/>
      </w:divBdr>
    </w:div>
    <w:div w:id="61486981">
      <w:bodyDiv w:val="1"/>
      <w:marLeft w:val="0"/>
      <w:marRight w:val="0"/>
      <w:marTop w:val="0"/>
      <w:marBottom w:val="0"/>
      <w:divBdr>
        <w:top w:val="none" w:sz="0" w:space="0" w:color="auto"/>
        <w:left w:val="none" w:sz="0" w:space="0" w:color="auto"/>
        <w:bottom w:val="none" w:sz="0" w:space="0" w:color="auto"/>
        <w:right w:val="none" w:sz="0" w:space="0" w:color="auto"/>
      </w:divBdr>
    </w:div>
    <w:div w:id="90468415">
      <w:bodyDiv w:val="1"/>
      <w:marLeft w:val="0"/>
      <w:marRight w:val="0"/>
      <w:marTop w:val="0"/>
      <w:marBottom w:val="0"/>
      <w:divBdr>
        <w:top w:val="none" w:sz="0" w:space="0" w:color="auto"/>
        <w:left w:val="none" w:sz="0" w:space="0" w:color="auto"/>
        <w:bottom w:val="none" w:sz="0" w:space="0" w:color="auto"/>
        <w:right w:val="none" w:sz="0" w:space="0" w:color="auto"/>
      </w:divBdr>
    </w:div>
    <w:div w:id="103310772">
      <w:bodyDiv w:val="1"/>
      <w:marLeft w:val="0"/>
      <w:marRight w:val="0"/>
      <w:marTop w:val="0"/>
      <w:marBottom w:val="0"/>
      <w:divBdr>
        <w:top w:val="none" w:sz="0" w:space="0" w:color="auto"/>
        <w:left w:val="none" w:sz="0" w:space="0" w:color="auto"/>
        <w:bottom w:val="none" w:sz="0" w:space="0" w:color="auto"/>
        <w:right w:val="none" w:sz="0" w:space="0" w:color="auto"/>
      </w:divBdr>
    </w:div>
    <w:div w:id="153836573">
      <w:bodyDiv w:val="1"/>
      <w:marLeft w:val="0"/>
      <w:marRight w:val="0"/>
      <w:marTop w:val="0"/>
      <w:marBottom w:val="0"/>
      <w:divBdr>
        <w:top w:val="none" w:sz="0" w:space="0" w:color="auto"/>
        <w:left w:val="none" w:sz="0" w:space="0" w:color="auto"/>
        <w:bottom w:val="none" w:sz="0" w:space="0" w:color="auto"/>
        <w:right w:val="none" w:sz="0" w:space="0" w:color="auto"/>
      </w:divBdr>
    </w:div>
    <w:div w:id="160239046">
      <w:bodyDiv w:val="1"/>
      <w:marLeft w:val="0"/>
      <w:marRight w:val="0"/>
      <w:marTop w:val="0"/>
      <w:marBottom w:val="0"/>
      <w:divBdr>
        <w:top w:val="none" w:sz="0" w:space="0" w:color="auto"/>
        <w:left w:val="none" w:sz="0" w:space="0" w:color="auto"/>
        <w:bottom w:val="none" w:sz="0" w:space="0" w:color="auto"/>
        <w:right w:val="none" w:sz="0" w:space="0" w:color="auto"/>
      </w:divBdr>
    </w:div>
    <w:div w:id="190077512">
      <w:bodyDiv w:val="1"/>
      <w:marLeft w:val="0"/>
      <w:marRight w:val="0"/>
      <w:marTop w:val="0"/>
      <w:marBottom w:val="0"/>
      <w:divBdr>
        <w:top w:val="none" w:sz="0" w:space="0" w:color="auto"/>
        <w:left w:val="none" w:sz="0" w:space="0" w:color="auto"/>
        <w:bottom w:val="none" w:sz="0" w:space="0" w:color="auto"/>
        <w:right w:val="none" w:sz="0" w:space="0" w:color="auto"/>
      </w:divBdr>
    </w:div>
    <w:div w:id="284120170">
      <w:bodyDiv w:val="1"/>
      <w:marLeft w:val="0"/>
      <w:marRight w:val="0"/>
      <w:marTop w:val="0"/>
      <w:marBottom w:val="0"/>
      <w:divBdr>
        <w:top w:val="none" w:sz="0" w:space="0" w:color="auto"/>
        <w:left w:val="none" w:sz="0" w:space="0" w:color="auto"/>
        <w:bottom w:val="none" w:sz="0" w:space="0" w:color="auto"/>
        <w:right w:val="none" w:sz="0" w:space="0" w:color="auto"/>
      </w:divBdr>
    </w:div>
    <w:div w:id="365495115">
      <w:bodyDiv w:val="1"/>
      <w:marLeft w:val="0"/>
      <w:marRight w:val="0"/>
      <w:marTop w:val="0"/>
      <w:marBottom w:val="0"/>
      <w:divBdr>
        <w:top w:val="none" w:sz="0" w:space="0" w:color="auto"/>
        <w:left w:val="none" w:sz="0" w:space="0" w:color="auto"/>
        <w:bottom w:val="none" w:sz="0" w:space="0" w:color="auto"/>
        <w:right w:val="none" w:sz="0" w:space="0" w:color="auto"/>
      </w:divBdr>
    </w:div>
    <w:div w:id="470485897">
      <w:bodyDiv w:val="1"/>
      <w:marLeft w:val="0"/>
      <w:marRight w:val="0"/>
      <w:marTop w:val="0"/>
      <w:marBottom w:val="0"/>
      <w:divBdr>
        <w:top w:val="none" w:sz="0" w:space="0" w:color="auto"/>
        <w:left w:val="none" w:sz="0" w:space="0" w:color="auto"/>
        <w:bottom w:val="none" w:sz="0" w:space="0" w:color="auto"/>
        <w:right w:val="none" w:sz="0" w:space="0" w:color="auto"/>
      </w:divBdr>
    </w:div>
    <w:div w:id="475220645">
      <w:bodyDiv w:val="1"/>
      <w:marLeft w:val="0"/>
      <w:marRight w:val="0"/>
      <w:marTop w:val="0"/>
      <w:marBottom w:val="0"/>
      <w:divBdr>
        <w:top w:val="none" w:sz="0" w:space="0" w:color="auto"/>
        <w:left w:val="none" w:sz="0" w:space="0" w:color="auto"/>
        <w:bottom w:val="none" w:sz="0" w:space="0" w:color="auto"/>
        <w:right w:val="none" w:sz="0" w:space="0" w:color="auto"/>
      </w:divBdr>
    </w:div>
    <w:div w:id="511845412">
      <w:bodyDiv w:val="1"/>
      <w:marLeft w:val="0"/>
      <w:marRight w:val="0"/>
      <w:marTop w:val="0"/>
      <w:marBottom w:val="0"/>
      <w:divBdr>
        <w:top w:val="none" w:sz="0" w:space="0" w:color="auto"/>
        <w:left w:val="none" w:sz="0" w:space="0" w:color="auto"/>
        <w:bottom w:val="none" w:sz="0" w:space="0" w:color="auto"/>
        <w:right w:val="none" w:sz="0" w:space="0" w:color="auto"/>
      </w:divBdr>
    </w:div>
    <w:div w:id="523522223">
      <w:bodyDiv w:val="1"/>
      <w:marLeft w:val="0"/>
      <w:marRight w:val="0"/>
      <w:marTop w:val="0"/>
      <w:marBottom w:val="0"/>
      <w:divBdr>
        <w:top w:val="none" w:sz="0" w:space="0" w:color="auto"/>
        <w:left w:val="none" w:sz="0" w:space="0" w:color="auto"/>
        <w:bottom w:val="none" w:sz="0" w:space="0" w:color="auto"/>
        <w:right w:val="none" w:sz="0" w:space="0" w:color="auto"/>
      </w:divBdr>
    </w:div>
    <w:div w:id="537741096">
      <w:bodyDiv w:val="1"/>
      <w:marLeft w:val="0"/>
      <w:marRight w:val="0"/>
      <w:marTop w:val="0"/>
      <w:marBottom w:val="0"/>
      <w:divBdr>
        <w:top w:val="none" w:sz="0" w:space="0" w:color="auto"/>
        <w:left w:val="none" w:sz="0" w:space="0" w:color="auto"/>
        <w:bottom w:val="none" w:sz="0" w:space="0" w:color="auto"/>
        <w:right w:val="none" w:sz="0" w:space="0" w:color="auto"/>
      </w:divBdr>
    </w:div>
    <w:div w:id="567766054">
      <w:bodyDiv w:val="1"/>
      <w:marLeft w:val="0"/>
      <w:marRight w:val="0"/>
      <w:marTop w:val="0"/>
      <w:marBottom w:val="0"/>
      <w:divBdr>
        <w:top w:val="none" w:sz="0" w:space="0" w:color="auto"/>
        <w:left w:val="none" w:sz="0" w:space="0" w:color="auto"/>
        <w:bottom w:val="none" w:sz="0" w:space="0" w:color="auto"/>
        <w:right w:val="none" w:sz="0" w:space="0" w:color="auto"/>
      </w:divBdr>
    </w:div>
    <w:div w:id="570121548">
      <w:bodyDiv w:val="1"/>
      <w:marLeft w:val="0"/>
      <w:marRight w:val="0"/>
      <w:marTop w:val="0"/>
      <w:marBottom w:val="0"/>
      <w:divBdr>
        <w:top w:val="none" w:sz="0" w:space="0" w:color="auto"/>
        <w:left w:val="none" w:sz="0" w:space="0" w:color="auto"/>
        <w:bottom w:val="none" w:sz="0" w:space="0" w:color="auto"/>
        <w:right w:val="none" w:sz="0" w:space="0" w:color="auto"/>
      </w:divBdr>
    </w:div>
    <w:div w:id="627585844">
      <w:bodyDiv w:val="1"/>
      <w:marLeft w:val="0"/>
      <w:marRight w:val="0"/>
      <w:marTop w:val="0"/>
      <w:marBottom w:val="0"/>
      <w:divBdr>
        <w:top w:val="none" w:sz="0" w:space="0" w:color="auto"/>
        <w:left w:val="none" w:sz="0" w:space="0" w:color="auto"/>
        <w:bottom w:val="none" w:sz="0" w:space="0" w:color="auto"/>
        <w:right w:val="none" w:sz="0" w:space="0" w:color="auto"/>
      </w:divBdr>
    </w:div>
    <w:div w:id="641547525">
      <w:bodyDiv w:val="1"/>
      <w:marLeft w:val="0"/>
      <w:marRight w:val="0"/>
      <w:marTop w:val="0"/>
      <w:marBottom w:val="0"/>
      <w:divBdr>
        <w:top w:val="none" w:sz="0" w:space="0" w:color="auto"/>
        <w:left w:val="none" w:sz="0" w:space="0" w:color="auto"/>
        <w:bottom w:val="none" w:sz="0" w:space="0" w:color="auto"/>
        <w:right w:val="none" w:sz="0" w:space="0" w:color="auto"/>
      </w:divBdr>
    </w:div>
    <w:div w:id="725880184">
      <w:bodyDiv w:val="1"/>
      <w:marLeft w:val="0"/>
      <w:marRight w:val="0"/>
      <w:marTop w:val="0"/>
      <w:marBottom w:val="0"/>
      <w:divBdr>
        <w:top w:val="none" w:sz="0" w:space="0" w:color="auto"/>
        <w:left w:val="none" w:sz="0" w:space="0" w:color="auto"/>
        <w:bottom w:val="none" w:sz="0" w:space="0" w:color="auto"/>
        <w:right w:val="none" w:sz="0" w:space="0" w:color="auto"/>
      </w:divBdr>
    </w:div>
    <w:div w:id="728188082">
      <w:bodyDiv w:val="1"/>
      <w:marLeft w:val="0"/>
      <w:marRight w:val="0"/>
      <w:marTop w:val="0"/>
      <w:marBottom w:val="0"/>
      <w:divBdr>
        <w:top w:val="none" w:sz="0" w:space="0" w:color="auto"/>
        <w:left w:val="none" w:sz="0" w:space="0" w:color="auto"/>
        <w:bottom w:val="none" w:sz="0" w:space="0" w:color="auto"/>
        <w:right w:val="none" w:sz="0" w:space="0" w:color="auto"/>
      </w:divBdr>
    </w:div>
    <w:div w:id="741218116">
      <w:bodyDiv w:val="1"/>
      <w:marLeft w:val="0"/>
      <w:marRight w:val="0"/>
      <w:marTop w:val="0"/>
      <w:marBottom w:val="0"/>
      <w:divBdr>
        <w:top w:val="none" w:sz="0" w:space="0" w:color="auto"/>
        <w:left w:val="none" w:sz="0" w:space="0" w:color="auto"/>
        <w:bottom w:val="none" w:sz="0" w:space="0" w:color="auto"/>
        <w:right w:val="none" w:sz="0" w:space="0" w:color="auto"/>
      </w:divBdr>
    </w:div>
    <w:div w:id="746805512">
      <w:bodyDiv w:val="1"/>
      <w:marLeft w:val="0"/>
      <w:marRight w:val="0"/>
      <w:marTop w:val="0"/>
      <w:marBottom w:val="0"/>
      <w:divBdr>
        <w:top w:val="none" w:sz="0" w:space="0" w:color="auto"/>
        <w:left w:val="none" w:sz="0" w:space="0" w:color="auto"/>
        <w:bottom w:val="none" w:sz="0" w:space="0" w:color="auto"/>
        <w:right w:val="none" w:sz="0" w:space="0" w:color="auto"/>
      </w:divBdr>
    </w:div>
    <w:div w:id="807432322">
      <w:bodyDiv w:val="1"/>
      <w:marLeft w:val="0"/>
      <w:marRight w:val="0"/>
      <w:marTop w:val="0"/>
      <w:marBottom w:val="0"/>
      <w:divBdr>
        <w:top w:val="none" w:sz="0" w:space="0" w:color="auto"/>
        <w:left w:val="none" w:sz="0" w:space="0" w:color="auto"/>
        <w:bottom w:val="none" w:sz="0" w:space="0" w:color="auto"/>
        <w:right w:val="none" w:sz="0" w:space="0" w:color="auto"/>
      </w:divBdr>
    </w:div>
    <w:div w:id="876355588">
      <w:bodyDiv w:val="1"/>
      <w:marLeft w:val="0"/>
      <w:marRight w:val="0"/>
      <w:marTop w:val="0"/>
      <w:marBottom w:val="0"/>
      <w:divBdr>
        <w:top w:val="none" w:sz="0" w:space="0" w:color="auto"/>
        <w:left w:val="none" w:sz="0" w:space="0" w:color="auto"/>
        <w:bottom w:val="none" w:sz="0" w:space="0" w:color="auto"/>
        <w:right w:val="none" w:sz="0" w:space="0" w:color="auto"/>
      </w:divBdr>
    </w:div>
    <w:div w:id="920987662">
      <w:bodyDiv w:val="1"/>
      <w:marLeft w:val="0"/>
      <w:marRight w:val="0"/>
      <w:marTop w:val="0"/>
      <w:marBottom w:val="0"/>
      <w:divBdr>
        <w:top w:val="none" w:sz="0" w:space="0" w:color="auto"/>
        <w:left w:val="none" w:sz="0" w:space="0" w:color="auto"/>
        <w:bottom w:val="none" w:sz="0" w:space="0" w:color="auto"/>
        <w:right w:val="none" w:sz="0" w:space="0" w:color="auto"/>
      </w:divBdr>
    </w:div>
    <w:div w:id="922183669">
      <w:bodyDiv w:val="1"/>
      <w:marLeft w:val="0"/>
      <w:marRight w:val="0"/>
      <w:marTop w:val="0"/>
      <w:marBottom w:val="0"/>
      <w:divBdr>
        <w:top w:val="none" w:sz="0" w:space="0" w:color="auto"/>
        <w:left w:val="none" w:sz="0" w:space="0" w:color="auto"/>
        <w:bottom w:val="none" w:sz="0" w:space="0" w:color="auto"/>
        <w:right w:val="none" w:sz="0" w:space="0" w:color="auto"/>
      </w:divBdr>
    </w:div>
    <w:div w:id="940185496">
      <w:bodyDiv w:val="1"/>
      <w:marLeft w:val="0"/>
      <w:marRight w:val="0"/>
      <w:marTop w:val="0"/>
      <w:marBottom w:val="0"/>
      <w:divBdr>
        <w:top w:val="none" w:sz="0" w:space="0" w:color="auto"/>
        <w:left w:val="none" w:sz="0" w:space="0" w:color="auto"/>
        <w:bottom w:val="none" w:sz="0" w:space="0" w:color="auto"/>
        <w:right w:val="none" w:sz="0" w:space="0" w:color="auto"/>
      </w:divBdr>
    </w:div>
    <w:div w:id="946542275">
      <w:bodyDiv w:val="1"/>
      <w:marLeft w:val="0"/>
      <w:marRight w:val="0"/>
      <w:marTop w:val="0"/>
      <w:marBottom w:val="0"/>
      <w:divBdr>
        <w:top w:val="none" w:sz="0" w:space="0" w:color="auto"/>
        <w:left w:val="none" w:sz="0" w:space="0" w:color="auto"/>
        <w:bottom w:val="none" w:sz="0" w:space="0" w:color="auto"/>
        <w:right w:val="none" w:sz="0" w:space="0" w:color="auto"/>
      </w:divBdr>
    </w:div>
    <w:div w:id="986318864">
      <w:bodyDiv w:val="1"/>
      <w:marLeft w:val="0"/>
      <w:marRight w:val="0"/>
      <w:marTop w:val="0"/>
      <w:marBottom w:val="0"/>
      <w:divBdr>
        <w:top w:val="none" w:sz="0" w:space="0" w:color="auto"/>
        <w:left w:val="none" w:sz="0" w:space="0" w:color="auto"/>
        <w:bottom w:val="none" w:sz="0" w:space="0" w:color="auto"/>
        <w:right w:val="none" w:sz="0" w:space="0" w:color="auto"/>
      </w:divBdr>
    </w:div>
    <w:div w:id="1091782721">
      <w:bodyDiv w:val="1"/>
      <w:marLeft w:val="0"/>
      <w:marRight w:val="0"/>
      <w:marTop w:val="0"/>
      <w:marBottom w:val="0"/>
      <w:divBdr>
        <w:top w:val="none" w:sz="0" w:space="0" w:color="auto"/>
        <w:left w:val="none" w:sz="0" w:space="0" w:color="auto"/>
        <w:bottom w:val="none" w:sz="0" w:space="0" w:color="auto"/>
        <w:right w:val="none" w:sz="0" w:space="0" w:color="auto"/>
      </w:divBdr>
    </w:div>
    <w:div w:id="1109355019">
      <w:bodyDiv w:val="1"/>
      <w:marLeft w:val="0"/>
      <w:marRight w:val="0"/>
      <w:marTop w:val="0"/>
      <w:marBottom w:val="0"/>
      <w:divBdr>
        <w:top w:val="none" w:sz="0" w:space="0" w:color="auto"/>
        <w:left w:val="none" w:sz="0" w:space="0" w:color="auto"/>
        <w:bottom w:val="none" w:sz="0" w:space="0" w:color="auto"/>
        <w:right w:val="none" w:sz="0" w:space="0" w:color="auto"/>
      </w:divBdr>
    </w:div>
    <w:div w:id="1141000527">
      <w:bodyDiv w:val="1"/>
      <w:marLeft w:val="0"/>
      <w:marRight w:val="0"/>
      <w:marTop w:val="0"/>
      <w:marBottom w:val="0"/>
      <w:divBdr>
        <w:top w:val="none" w:sz="0" w:space="0" w:color="auto"/>
        <w:left w:val="none" w:sz="0" w:space="0" w:color="auto"/>
        <w:bottom w:val="none" w:sz="0" w:space="0" w:color="auto"/>
        <w:right w:val="none" w:sz="0" w:space="0" w:color="auto"/>
      </w:divBdr>
    </w:div>
    <w:div w:id="1152868999">
      <w:bodyDiv w:val="1"/>
      <w:marLeft w:val="0"/>
      <w:marRight w:val="0"/>
      <w:marTop w:val="0"/>
      <w:marBottom w:val="0"/>
      <w:divBdr>
        <w:top w:val="none" w:sz="0" w:space="0" w:color="auto"/>
        <w:left w:val="none" w:sz="0" w:space="0" w:color="auto"/>
        <w:bottom w:val="none" w:sz="0" w:space="0" w:color="auto"/>
        <w:right w:val="none" w:sz="0" w:space="0" w:color="auto"/>
      </w:divBdr>
    </w:div>
    <w:div w:id="1182013288">
      <w:bodyDiv w:val="1"/>
      <w:marLeft w:val="0"/>
      <w:marRight w:val="0"/>
      <w:marTop w:val="0"/>
      <w:marBottom w:val="0"/>
      <w:divBdr>
        <w:top w:val="none" w:sz="0" w:space="0" w:color="auto"/>
        <w:left w:val="none" w:sz="0" w:space="0" w:color="auto"/>
        <w:bottom w:val="none" w:sz="0" w:space="0" w:color="auto"/>
        <w:right w:val="none" w:sz="0" w:space="0" w:color="auto"/>
      </w:divBdr>
    </w:div>
    <w:div w:id="1184981198">
      <w:bodyDiv w:val="1"/>
      <w:marLeft w:val="0"/>
      <w:marRight w:val="0"/>
      <w:marTop w:val="0"/>
      <w:marBottom w:val="0"/>
      <w:divBdr>
        <w:top w:val="none" w:sz="0" w:space="0" w:color="auto"/>
        <w:left w:val="none" w:sz="0" w:space="0" w:color="auto"/>
        <w:bottom w:val="none" w:sz="0" w:space="0" w:color="auto"/>
        <w:right w:val="none" w:sz="0" w:space="0" w:color="auto"/>
      </w:divBdr>
    </w:div>
    <w:div w:id="1187787485">
      <w:bodyDiv w:val="1"/>
      <w:marLeft w:val="0"/>
      <w:marRight w:val="0"/>
      <w:marTop w:val="0"/>
      <w:marBottom w:val="0"/>
      <w:divBdr>
        <w:top w:val="none" w:sz="0" w:space="0" w:color="auto"/>
        <w:left w:val="none" w:sz="0" w:space="0" w:color="auto"/>
        <w:bottom w:val="none" w:sz="0" w:space="0" w:color="auto"/>
        <w:right w:val="none" w:sz="0" w:space="0" w:color="auto"/>
      </w:divBdr>
    </w:div>
    <w:div w:id="1193570638">
      <w:bodyDiv w:val="1"/>
      <w:marLeft w:val="0"/>
      <w:marRight w:val="0"/>
      <w:marTop w:val="0"/>
      <w:marBottom w:val="0"/>
      <w:divBdr>
        <w:top w:val="none" w:sz="0" w:space="0" w:color="auto"/>
        <w:left w:val="none" w:sz="0" w:space="0" w:color="auto"/>
        <w:bottom w:val="none" w:sz="0" w:space="0" w:color="auto"/>
        <w:right w:val="none" w:sz="0" w:space="0" w:color="auto"/>
      </w:divBdr>
    </w:div>
    <w:div w:id="1203135456">
      <w:bodyDiv w:val="1"/>
      <w:marLeft w:val="0"/>
      <w:marRight w:val="0"/>
      <w:marTop w:val="0"/>
      <w:marBottom w:val="0"/>
      <w:divBdr>
        <w:top w:val="none" w:sz="0" w:space="0" w:color="auto"/>
        <w:left w:val="none" w:sz="0" w:space="0" w:color="auto"/>
        <w:bottom w:val="none" w:sz="0" w:space="0" w:color="auto"/>
        <w:right w:val="none" w:sz="0" w:space="0" w:color="auto"/>
      </w:divBdr>
    </w:div>
    <w:div w:id="1208378366">
      <w:bodyDiv w:val="1"/>
      <w:marLeft w:val="0"/>
      <w:marRight w:val="0"/>
      <w:marTop w:val="0"/>
      <w:marBottom w:val="0"/>
      <w:divBdr>
        <w:top w:val="none" w:sz="0" w:space="0" w:color="auto"/>
        <w:left w:val="none" w:sz="0" w:space="0" w:color="auto"/>
        <w:bottom w:val="none" w:sz="0" w:space="0" w:color="auto"/>
        <w:right w:val="none" w:sz="0" w:space="0" w:color="auto"/>
      </w:divBdr>
    </w:div>
    <w:div w:id="1246844483">
      <w:bodyDiv w:val="1"/>
      <w:marLeft w:val="0"/>
      <w:marRight w:val="0"/>
      <w:marTop w:val="0"/>
      <w:marBottom w:val="0"/>
      <w:divBdr>
        <w:top w:val="none" w:sz="0" w:space="0" w:color="auto"/>
        <w:left w:val="none" w:sz="0" w:space="0" w:color="auto"/>
        <w:bottom w:val="none" w:sz="0" w:space="0" w:color="auto"/>
        <w:right w:val="none" w:sz="0" w:space="0" w:color="auto"/>
      </w:divBdr>
    </w:div>
    <w:div w:id="1267807779">
      <w:bodyDiv w:val="1"/>
      <w:marLeft w:val="0"/>
      <w:marRight w:val="0"/>
      <w:marTop w:val="0"/>
      <w:marBottom w:val="0"/>
      <w:divBdr>
        <w:top w:val="none" w:sz="0" w:space="0" w:color="auto"/>
        <w:left w:val="none" w:sz="0" w:space="0" w:color="auto"/>
        <w:bottom w:val="none" w:sz="0" w:space="0" w:color="auto"/>
        <w:right w:val="none" w:sz="0" w:space="0" w:color="auto"/>
      </w:divBdr>
    </w:div>
    <w:div w:id="1304309280">
      <w:bodyDiv w:val="1"/>
      <w:marLeft w:val="0"/>
      <w:marRight w:val="0"/>
      <w:marTop w:val="0"/>
      <w:marBottom w:val="0"/>
      <w:divBdr>
        <w:top w:val="none" w:sz="0" w:space="0" w:color="auto"/>
        <w:left w:val="none" w:sz="0" w:space="0" w:color="auto"/>
        <w:bottom w:val="none" w:sz="0" w:space="0" w:color="auto"/>
        <w:right w:val="none" w:sz="0" w:space="0" w:color="auto"/>
      </w:divBdr>
    </w:div>
    <w:div w:id="1401365981">
      <w:bodyDiv w:val="1"/>
      <w:marLeft w:val="0"/>
      <w:marRight w:val="0"/>
      <w:marTop w:val="0"/>
      <w:marBottom w:val="0"/>
      <w:divBdr>
        <w:top w:val="none" w:sz="0" w:space="0" w:color="auto"/>
        <w:left w:val="none" w:sz="0" w:space="0" w:color="auto"/>
        <w:bottom w:val="none" w:sz="0" w:space="0" w:color="auto"/>
        <w:right w:val="none" w:sz="0" w:space="0" w:color="auto"/>
      </w:divBdr>
    </w:div>
    <w:div w:id="1419600982">
      <w:bodyDiv w:val="1"/>
      <w:marLeft w:val="0"/>
      <w:marRight w:val="0"/>
      <w:marTop w:val="0"/>
      <w:marBottom w:val="0"/>
      <w:divBdr>
        <w:top w:val="none" w:sz="0" w:space="0" w:color="auto"/>
        <w:left w:val="none" w:sz="0" w:space="0" w:color="auto"/>
        <w:bottom w:val="none" w:sz="0" w:space="0" w:color="auto"/>
        <w:right w:val="none" w:sz="0" w:space="0" w:color="auto"/>
      </w:divBdr>
    </w:div>
    <w:div w:id="1420173344">
      <w:bodyDiv w:val="1"/>
      <w:marLeft w:val="0"/>
      <w:marRight w:val="0"/>
      <w:marTop w:val="0"/>
      <w:marBottom w:val="0"/>
      <w:divBdr>
        <w:top w:val="none" w:sz="0" w:space="0" w:color="auto"/>
        <w:left w:val="none" w:sz="0" w:space="0" w:color="auto"/>
        <w:bottom w:val="none" w:sz="0" w:space="0" w:color="auto"/>
        <w:right w:val="none" w:sz="0" w:space="0" w:color="auto"/>
      </w:divBdr>
    </w:div>
    <w:div w:id="1458064428">
      <w:bodyDiv w:val="1"/>
      <w:marLeft w:val="0"/>
      <w:marRight w:val="0"/>
      <w:marTop w:val="0"/>
      <w:marBottom w:val="0"/>
      <w:divBdr>
        <w:top w:val="none" w:sz="0" w:space="0" w:color="auto"/>
        <w:left w:val="none" w:sz="0" w:space="0" w:color="auto"/>
        <w:bottom w:val="none" w:sz="0" w:space="0" w:color="auto"/>
        <w:right w:val="none" w:sz="0" w:space="0" w:color="auto"/>
      </w:divBdr>
    </w:div>
    <w:div w:id="1472753041">
      <w:bodyDiv w:val="1"/>
      <w:marLeft w:val="0"/>
      <w:marRight w:val="0"/>
      <w:marTop w:val="0"/>
      <w:marBottom w:val="0"/>
      <w:divBdr>
        <w:top w:val="none" w:sz="0" w:space="0" w:color="auto"/>
        <w:left w:val="none" w:sz="0" w:space="0" w:color="auto"/>
        <w:bottom w:val="none" w:sz="0" w:space="0" w:color="auto"/>
        <w:right w:val="none" w:sz="0" w:space="0" w:color="auto"/>
      </w:divBdr>
    </w:div>
    <w:div w:id="1597782194">
      <w:bodyDiv w:val="1"/>
      <w:marLeft w:val="0"/>
      <w:marRight w:val="0"/>
      <w:marTop w:val="0"/>
      <w:marBottom w:val="0"/>
      <w:divBdr>
        <w:top w:val="none" w:sz="0" w:space="0" w:color="auto"/>
        <w:left w:val="none" w:sz="0" w:space="0" w:color="auto"/>
        <w:bottom w:val="none" w:sz="0" w:space="0" w:color="auto"/>
        <w:right w:val="none" w:sz="0" w:space="0" w:color="auto"/>
      </w:divBdr>
    </w:div>
    <w:div w:id="1725445302">
      <w:bodyDiv w:val="1"/>
      <w:marLeft w:val="0"/>
      <w:marRight w:val="0"/>
      <w:marTop w:val="0"/>
      <w:marBottom w:val="0"/>
      <w:divBdr>
        <w:top w:val="none" w:sz="0" w:space="0" w:color="auto"/>
        <w:left w:val="none" w:sz="0" w:space="0" w:color="auto"/>
        <w:bottom w:val="none" w:sz="0" w:space="0" w:color="auto"/>
        <w:right w:val="none" w:sz="0" w:space="0" w:color="auto"/>
      </w:divBdr>
    </w:div>
    <w:div w:id="1805197167">
      <w:bodyDiv w:val="1"/>
      <w:marLeft w:val="0"/>
      <w:marRight w:val="0"/>
      <w:marTop w:val="0"/>
      <w:marBottom w:val="0"/>
      <w:divBdr>
        <w:top w:val="none" w:sz="0" w:space="0" w:color="auto"/>
        <w:left w:val="none" w:sz="0" w:space="0" w:color="auto"/>
        <w:bottom w:val="none" w:sz="0" w:space="0" w:color="auto"/>
        <w:right w:val="none" w:sz="0" w:space="0" w:color="auto"/>
      </w:divBdr>
    </w:div>
    <w:div w:id="1879512801">
      <w:bodyDiv w:val="1"/>
      <w:marLeft w:val="0"/>
      <w:marRight w:val="0"/>
      <w:marTop w:val="0"/>
      <w:marBottom w:val="0"/>
      <w:divBdr>
        <w:top w:val="none" w:sz="0" w:space="0" w:color="auto"/>
        <w:left w:val="none" w:sz="0" w:space="0" w:color="auto"/>
        <w:bottom w:val="none" w:sz="0" w:space="0" w:color="auto"/>
        <w:right w:val="none" w:sz="0" w:space="0" w:color="auto"/>
      </w:divBdr>
    </w:div>
    <w:div w:id="2018992831">
      <w:bodyDiv w:val="1"/>
      <w:marLeft w:val="0"/>
      <w:marRight w:val="0"/>
      <w:marTop w:val="0"/>
      <w:marBottom w:val="0"/>
      <w:divBdr>
        <w:top w:val="none" w:sz="0" w:space="0" w:color="auto"/>
        <w:left w:val="none" w:sz="0" w:space="0" w:color="auto"/>
        <w:bottom w:val="none" w:sz="0" w:space="0" w:color="auto"/>
        <w:right w:val="none" w:sz="0" w:space="0" w:color="auto"/>
      </w:divBdr>
    </w:div>
    <w:div w:id="2069719575">
      <w:bodyDiv w:val="1"/>
      <w:marLeft w:val="0"/>
      <w:marRight w:val="0"/>
      <w:marTop w:val="0"/>
      <w:marBottom w:val="0"/>
      <w:divBdr>
        <w:top w:val="none" w:sz="0" w:space="0" w:color="auto"/>
        <w:left w:val="none" w:sz="0" w:space="0" w:color="auto"/>
        <w:bottom w:val="none" w:sz="0" w:space="0" w:color="auto"/>
        <w:right w:val="none" w:sz="0" w:space="0" w:color="auto"/>
      </w:divBdr>
    </w:div>
    <w:div w:id="21228453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6.xml"/><Relationship Id="rId18" Type="http://schemas.openxmlformats.org/officeDocument/2006/relationships/chart" Target="charts/chart11.xml"/><Relationship Id="rId26" Type="http://schemas.openxmlformats.org/officeDocument/2006/relationships/image" Target="media/image6.png"/><Relationship Id="rId39" Type="http://schemas.openxmlformats.org/officeDocument/2006/relationships/fontTable" Target="fontTable.xml"/><Relationship Id="rId21" Type="http://schemas.openxmlformats.org/officeDocument/2006/relationships/image" Target="media/image1.jpeg"/><Relationship Id="rId34"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chart" Target="charts/chart5.xml"/><Relationship Id="rId17" Type="http://schemas.openxmlformats.org/officeDocument/2006/relationships/chart" Target="charts/chart10.xml"/><Relationship Id="rId25" Type="http://schemas.openxmlformats.org/officeDocument/2006/relationships/image" Target="media/image5.png"/><Relationship Id="rId33" Type="http://schemas.openxmlformats.org/officeDocument/2006/relationships/image" Target="media/image13.png"/><Relationship Id="rId38"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chart" Target="charts/chart9.xml"/><Relationship Id="rId20" Type="http://schemas.openxmlformats.org/officeDocument/2006/relationships/chart" Target="charts/chart13.xml"/><Relationship Id="rId29" Type="http://schemas.openxmlformats.org/officeDocument/2006/relationships/image" Target="media/image9.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4.xml"/><Relationship Id="rId24" Type="http://schemas.openxmlformats.org/officeDocument/2006/relationships/image" Target="media/image4.png"/><Relationship Id="rId32" Type="http://schemas.openxmlformats.org/officeDocument/2006/relationships/image" Target="media/image12.png"/><Relationship Id="rId37" Type="http://schemas.openxmlformats.org/officeDocument/2006/relationships/image" Target="media/image17.png"/><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chart" Target="charts/chart8.xml"/><Relationship Id="rId23" Type="http://schemas.openxmlformats.org/officeDocument/2006/relationships/image" Target="media/image3.png"/><Relationship Id="rId28" Type="http://schemas.openxmlformats.org/officeDocument/2006/relationships/image" Target="media/image8.png"/><Relationship Id="rId36" Type="http://schemas.openxmlformats.org/officeDocument/2006/relationships/image" Target="media/image16.png"/><Relationship Id="rId10" Type="http://schemas.openxmlformats.org/officeDocument/2006/relationships/chart" Target="charts/chart3.xml"/><Relationship Id="rId19" Type="http://schemas.openxmlformats.org/officeDocument/2006/relationships/chart" Target="charts/chart12.xml"/><Relationship Id="rId31"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chart" Target="charts/chart2.xml"/><Relationship Id="rId14" Type="http://schemas.openxmlformats.org/officeDocument/2006/relationships/chart" Target="charts/chart7.xml"/><Relationship Id="rId22" Type="http://schemas.openxmlformats.org/officeDocument/2006/relationships/image" Target="media/image2.png"/><Relationship Id="rId27" Type="http://schemas.openxmlformats.org/officeDocument/2006/relationships/image" Target="media/image7.png"/><Relationship Id="rId30" Type="http://schemas.openxmlformats.org/officeDocument/2006/relationships/image" Target="media/image10.png"/><Relationship Id="rId35" Type="http://schemas.openxmlformats.org/officeDocument/2006/relationships/image" Target="media/image15.png"/><Relationship Id="rId8" Type="http://schemas.openxmlformats.org/officeDocument/2006/relationships/chart" Target="charts/chart1.xml"/><Relationship Id="rId3" Type="http://schemas.openxmlformats.org/officeDocument/2006/relationships/styles" Target="styles.xml"/></Relationships>
</file>

<file path=word/charts/_rels/chart1.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Anik%20Basak\Desktop\Finance%205000\Assign%205000.xlsx" TargetMode="External"/><Relationship Id="rId2" Type="http://schemas.microsoft.com/office/2011/relationships/chartColorStyle" Target="colors13.xml"/><Relationship Id="rId1" Type="http://schemas.microsoft.com/office/2011/relationships/chartStyle" Target="style1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Analysis'!$K$5</c:f>
              <c:strCache>
                <c:ptCount val="1"/>
                <c:pt idx="0">
                  <c:v>Opearting Profit Margin</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E188-44DF-89C3-2CF916A13DEE}"/>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Analysis'!$L$5:$M$5</c:f>
              <c:numCache>
                <c:formatCode>0.00%</c:formatCode>
                <c:ptCount val="2"/>
                <c:pt idx="0">
                  <c:v>0.224797619871307</c:v>
                </c:pt>
                <c:pt idx="1">
                  <c:v>0.17327308824536181</c:v>
                </c:pt>
              </c:numCache>
            </c:numRef>
          </c:val>
          <c:extLst>
            <c:ext xmlns:c16="http://schemas.microsoft.com/office/drawing/2014/chart" uri="{C3380CC4-5D6E-409C-BE32-E72D297353CC}">
              <c16:uniqueId val="{00000003-E188-44DF-89C3-2CF916A13DEE}"/>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Analysis'!$K$7</c:f>
              <c:strCache>
                <c:ptCount val="1"/>
                <c:pt idx="0">
                  <c:v>Net Profit Margin</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5803-46A4-A61B-5860CE066CF2}"/>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5803-46A4-A61B-5860CE066CF2}"/>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Analysis'!$L$7:$M$7</c:f>
              <c:numCache>
                <c:formatCode>0.00%</c:formatCode>
                <c:ptCount val="2"/>
                <c:pt idx="0">
                  <c:v>0.16252681104269009</c:v>
                </c:pt>
                <c:pt idx="1">
                  <c:v>0.1134387622372835</c:v>
                </c:pt>
              </c:numCache>
            </c:numRef>
          </c:val>
          <c:extLst>
            <c:ext xmlns:c16="http://schemas.microsoft.com/office/drawing/2014/chart" uri="{C3380CC4-5D6E-409C-BE32-E72D297353CC}">
              <c16:uniqueId val="{00000005-5803-46A4-A61B-5860CE066CF2}"/>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08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Analysis'!$K$9</c:f>
              <c:strCache>
                <c:ptCount val="1"/>
                <c:pt idx="0">
                  <c:v>Return on Assets</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363E-4ABF-88D7-1BA42101664C}"/>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363E-4ABF-88D7-1BA42101664C}"/>
              </c:ext>
            </c:extLst>
          </c:dPt>
          <c:dLbls>
            <c:spPr>
              <a:noFill/>
              <a:ln>
                <a:noFill/>
              </a:ln>
              <a:effectLst/>
            </c:spPr>
            <c:txPr>
              <a:bodyPr rot="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Analysis'!$L$9:$M$9</c:f>
              <c:numCache>
                <c:formatCode>0.00%</c:formatCode>
                <c:ptCount val="2"/>
                <c:pt idx="0">
                  <c:v>0.11304015030269292</c:v>
                </c:pt>
                <c:pt idx="1">
                  <c:v>9.3270931603773588E-2</c:v>
                </c:pt>
              </c:numCache>
            </c:numRef>
          </c:val>
          <c:extLst>
            <c:ext xmlns:c16="http://schemas.microsoft.com/office/drawing/2014/chart" uri="{C3380CC4-5D6E-409C-BE32-E72D297353CC}">
              <c16:uniqueId val="{00000005-363E-4ABF-88D7-1BA42101664C}"/>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sz="900">
          <a:solidFill>
            <a:schemeClr val="tx1"/>
          </a:solidFill>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Analysis'!$K$11</c:f>
              <c:strCache>
                <c:ptCount val="1"/>
                <c:pt idx="0">
                  <c:v>Current Ratio</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06DC-4069-89BE-587FA62D3ED7}"/>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06DC-4069-89BE-587FA62D3ED7}"/>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Analysis'!$L$11:$M$11</c:f>
              <c:numCache>
                <c:formatCode>0.0000</c:formatCode>
                <c:ptCount val="2"/>
                <c:pt idx="0">
                  <c:v>0.63361707229348996</c:v>
                </c:pt>
                <c:pt idx="1">
                  <c:v>0.63588390501319259</c:v>
                </c:pt>
              </c:numCache>
            </c:numRef>
          </c:val>
          <c:extLst>
            <c:ext xmlns:c16="http://schemas.microsoft.com/office/drawing/2014/chart" uri="{C3380CC4-5D6E-409C-BE32-E72D297353CC}">
              <c16:uniqueId val="{00000005-06DC-4069-89BE-587FA62D3ED7}"/>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2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Analysis'!$K$13</c:f>
              <c:strCache>
                <c:ptCount val="1"/>
                <c:pt idx="0">
                  <c:v>Quick Ratio</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E5E1-4203-93D3-894F2E7140DF}"/>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E5E1-4203-93D3-894F2E7140DF}"/>
              </c:ext>
            </c:extLst>
          </c:dPt>
          <c:dLbls>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extLst>
                <c:ext xmlns:c16="http://schemas.microsoft.com/office/drawing/2014/chart" uri="{C3380CC4-5D6E-409C-BE32-E72D297353CC}">
                  <c16:uniqueId val="{00000001-E5E1-4203-93D3-894F2E7140DF}"/>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Analysis'!$L$13:$M$13</c:f>
              <c:numCache>
                <c:formatCode>0.0000</c:formatCode>
                <c:ptCount val="2"/>
                <c:pt idx="0">
                  <c:v>0.41481836710226594</c:v>
                </c:pt>
                <c:pt idx="1">
                  <c:v>0.4395538498440873</c:v>
                </c:pt>
              </c:numCache>
            </c:numRef>
          </c:val>
          <c:extLst>
            <c:ext xmlns:c16="http://schemas.microsoft.com/office/drawing/2014/chart" uri="{C3380CC4-5D6E-409C-BE32-E72D297353CC}">
              <c16:uniqueId val="{00000005-E5E1-4203-93D3-894F2E7140DF}"/>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tx>
        <c:rich>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r>
              <a:rPr lang="en-US" sz="1100" b="0">
                <a:solidFill>
                  <a:schemeClr val="tx1"/>
                </a:solidFill>
                <a:latin typeface="Times New Roman" panose="02020603050405020304" pitchFamily="18" charset="0"/>
                <a:cs typeface="Times New Roman" panose="02020603050405020304" pitchFamily="18" charset="0"/>
              </a:rPr>
              <a:t>Interest</a:t>
            </a:r>
            <a:r>
              <a:rPr lang="en-US" sz="1100" b="0">
                <a:latin typeface="Times New Roman" panose="02020603050405020304" pitchFamily="18" charset="0"/>
                <a:cs typeface="Times New Roman" panose="02020603050405020304" pitchFamily="18" charset="0"/>
              </a:rPr>
              <a:t> </a:t>
            </a:r>
            <a:r>
              <a:rPr lang="en-US" sz="1100" b="0">
                <a:solidFill>
                  <a:schemeClr val="tx1"/>
                </a:solidFill>
                <a:latin typeface="Times New Roman" panose="02020603050405020304" pitchFamily="18" charset="0"/>
                <a:cs typeface="Times New Roman" panose="02020603050405020304" pitchFamily="18" charset="0"/>
              </a:rPr>
              <a:t>Coverage</a:t>
            </a:r>
            <a:r>
              <a:rPr lang="en-US" sz="1100" b="0">
                <a:latin typeface="Times New Roman" panose="02020603050405020304" pitchFamily="18" charset="0"/>
                <a:cs typeface="Times New Roman" panose="02020603050405020304" pitchFamily="18" charset="0"/>
              </a:rPr>
              <a:t> </a:t>
            </a:r>
            <a:r>
              <a:rPr lang="en-US" sz="1100" b="0">
                <a:solidFill>
                  <a:schemeClr val="tx1"/>
                </a:solidFill>
                <a:latin typeface="Times New Roman" panose="02020603050405020304" pitchFamily="18" charset="0"/>
                <a:cs typeface="Times New Roman" panose="02020603050405020304" pitchFamily="18" charset="0"/>
              </a:rPr>
              <a:t>Ratio</a:t>
            </a:r>
          </a:p>
        </c:rich>
      </c:tx>
      <c:layout>
        <c:manualLayout>
          <c:xMode val="edge"/>
          <c:yMode val="edge"/>
          <c:x val="0.20383631713554987"/>
          <c:y val="2.2148394241417499E-2"/>
        </c:manualLayout>
      </c:layout>
      <c:overlay val="0"/>
      <c:spPr>
        <a:noFill/>
        <a:ln>
          <a:noFill/>
        </a:ln>
        <a:effectLst/>
      </c:spPr>
      <c:txPr>
        <a:bodyPr rot="0" spcFirstLastPara="1" vertOverflow="ellipsis" vert="horz" wrap="square" anchor="ctr" anchorCtr="1"/>
        <a:lstStyle/>
        <a:p>
          <a:pPr>
            <a:defRPr sz="1100" b="0" i="0" u="none" strike="noStrike" kern="1200" spc="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Analysis'!$K$16</c:f>
              <c:strCache>
                <c:ptCount val="1"/>
                <c:pt idx="0">
                  <c:v>Interest Coverage Ratio</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1E4E-48AC-8592-0EEC69C5A344}"/>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1E4E-48AC-8592-0EEC69C5A344}"/>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Analysis'!$L$16:$M$16</c:f>
              <c:numCache>
                <c:formatCode>0.0000</c:formatCode>
                <c:ptCount val="2"/>
                <c:pt idx="0">
                  <c:v>11.164948453608247</c:v>
                </c:pt>
                <c:pt idx="1">
                  <c:v>7.4441176470588237</c:v>
                </c:pt>
              </c:numCache>
            </c:numRef>
          </c:val>
          <c:extLst>
            <c:ext xmlns:c16="http://schemas.microsoft.com/office/drawing/2014/chart" uri="{C3380CC4-5D6E-409C-BE32-E72D297353CC}">
              <c16:uniqueId val="{00000005-1E4E-48AC-8592-0EEC69C5A344}"/>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Analysis'!$K$19</c:f>
              <c:strCache>
                <c:ptCount val="1"/>
                <c:pt idx="0">
                  <c:v>Debt Ratio</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577E-4A44-A174-67D790610CDD}"/>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577E-4A44-A174-67D790610CDD}"/>
              </c:ext>
            </c:extLst>
          </c:dPt>
          <c:dLbls>
            <c:spPr>
              <a:noFill/>
              <a:ln>
                <a:noFill/>
              </a:ln>
              <a:effectLst/>
            </c:spPr>
            <c:txPr>
              <a:bodyPr rot="0" spcFirstLastPara="1" vertOverflow="ellipsis" vert="horz" wrap="square" anchor="ctr" anchorCtr="1"/>
              <a:lstStyle/>
              <a:p>
                <a:pPr>
                  <a:defRPr sz="1000" b="0" i="0" u="none" strike="noStrike" kern="1200" baseline="0">
                    <a:solidFill>
                      <a:schemeClr val="tx1">
                        <a:lumMod val="75000"/>
                        <a:lumOff val="25000"/>
                      </a:schemeClr>
                    </a:solidFill>
                    <a:latin typeface="Times New Roman" panose="02020603050405020304" pitchFamily="18" charset="0"/>
                    <a:ea typeface="+mn-ea"/>
                    <a:cs typeface="Times New Roman" panose="02020603050405020304" pitchFamily="18" charset="0"/>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Analysis'!$L$19:$M$19</c:f>
              <c:numCache>
                <c:formatCode>0.0000</c:formatCode>
                <c:ptCount val="2"/>
                <c:pt idx="0">
                  <c:v>0.67006471365945308</c:v>
                </c:pt>
                <c:pt idx="1">
                  <c:v>0.68790536556603776</c:v>
                </c:pt>
              </c:numCache>
            </c:numRef>
          </c:val>
          <c:extLst>
            <c:ext xmlns:c16="http://schemas.microsoft.com/office/drawing/2014/chart" uri="{C3380CC4-5D6E-409C-BE32-E72D297353CC}">
              <c16:uniqueId val="{00000005-577E-4A44-A174-67D790610CDD}"/>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1000" b="0" i="0" u="none" strike="noStrike" kern="1200" baseline="0">
                <a:solidFill>
                  <a:schemeClr val="tx1">
                    <a:lumMod val="65000"/>
                    <a:lumOff val="35000"/>
                  </a:schemeClr>
                </a:solidFill>
                <a:latin typeface="Times New Roman" panose="02020603050405020304" pitchFamily="18" charset="0"/>
                <a:ea typeface="+mn-ea"/>
                <a:cs typeface="Times New Roman" panose="02020603050405020304" pitchFamily="18" charset="0"/>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10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sz="1000">
          <a:latin typeface="Times New Roman" panose="02020603050405020304" pitchFamily="18" charset="0"/>
          <a:cs typeface="Times New Roman" panose="02020603050405020304" pitchFamily="18" charset="0"/>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Analysis'!$K$21</c:f>
              <c:strCache>
                <c:ptCount val="1"/>
                <c:pt idx="0">
                  <c:v>Debtor Days</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FDDA-4397-AD0B-4201ABCD158B}"/>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FDDA-4397-AD0B-4201ABCD158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Analysis'!$L$21:$M$21</c:f>
              <c:numCache>
                <c:formatCode>0.00</c:formatCode>
                <c:ptCount val="2"/>
                <c:pt idx="0">
                  <c:v>52.579395281256488</c:v>
                </c:pt>
                <c:pt idx="1">
                  <c:v>51.525296090915319</c:v>
                </c:pt>
              </c:numCache>
            </c:numRef>
          </c:val>
          <c:extLst>
            <c:ext xmlns:c16="http://schemas.microsoft.com/office/drawing/2014/chart" uri="{C3380CC4-5D6E-409C-BE32-E72D297353CC}">
              <c16:uniqueId val="{00000005-FDDA-4397-AD0B-4201ABCD158B}"/>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Analysis'!$K$23</c:f>
              <c:strCache>
                <c:ptCount val="1"/>
                <c:pt idx="0">
                  <c:v>Inventory Days</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11FD-46A9-8DBE-88E4F8B0242D}"/>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11FD-46A9-8DBE-88E4F8B0242D}"/>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Analysis'!$L$23:$M$23</c:f>
              <c:numCache>
                <c:formatCode>0.00</c:formatCode>
                <c:ptCount val="2"/>
                <c:pt idx="0">
                  <c:v>109.34422193040052</c:v>
                </c:pt>
                <c:pt idx="1">
                  <c:v>102.19001197195144</c:v>
                </c:pt>
              </c:numCache>
            </c:numRef>
          </c:val>
          <c:extLst>
            <c:ext xmlns:c16="http://schemas.microsoft.com/office/drawing/2014/chart" uri="{C3380CC4-5D6E-409C-BE32-E72D297353CC}">
              <c16:uniqueId val="{00000005-11FD-46A9-8DBE-88E4F8B0242D}"/>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Analysis'!$K$25</c:f>
              <c:strCache>
                <c:ptCount val="1"/>
                <c:pt idx="0">
                  <c:v>Asset Turnover</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0B6B-4923-B7C6-713F9559B27B}"/>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0B6B-4923-B7C6-713F9559B27B}"/>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Analysis'!$L$25:$M$25</c:f>
              <c:numCache>
                <c:formatCode>0.0000</c:formatCode>
                <c:ptCount val="2"/>
                <c:pt idx="0">
                  <c:v>0.50285296778233946</c:v>
                </c:pt>
                <c:pt idx="1">
                  <c:v>0.53828862028301883</c:v>
                </c:pt>
              </c:numCache>
            </c:numRef>
          </c:val>
          <c:extLst>
            <c:ext xmlns:c16="http://schemas.microsoft.com/office/drawing/2014/chart" uri="{C3380CC4-5D6E-409C-BE32-E72D297353CC}">
              <c16:uniqueId val="{00000005-0B6B-4923-B7C6-713F9559B27B}"/>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Analysis'!$K$27</c:f>
              <c:strCache>
                <c:ptCount val="1"/>
                <c:pt idx="0">
                  <c:v>Fixed Asset Turnover</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9F8C-43BC-936F-F6B38D61B040}"/>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9F8C-43BC-936F-F6B38D61B04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Analysis'!$L$27:$M$27</c:f>
              <c:numCache>
                <c:formatCode>0.0000</c:formatCode>
                <c:ptCount val="2"/>
                <c:pt idx="0">
                  <c:v>0.61614869761691604</c:v>
                </c:pt>
                <c:pt idx="1">
                  <c:v>0.66900247320692496</c:v>
                </c:pt>
              </c:numCache>
            </c:numRef>
          </c:val>
          <c:extLst>
            <c:ext xmlns:c16="http://schemas.microsoft.com/office/drawing/2014/chart" uri="{C3380CC4-5D6E-409C-BE32-E72D297353CC}">
              <c16:uniqueId val="{00000005-9F8C-43BC-936F-F6B38D61B040}"/>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Analysis'!$K$29</c:f>
              <c:strCache>
                <c:ptCount val="1"/>
                <c:pt idx="0">
                  <c:v>Basic EPS (in pence)</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3197-49C5-B986-BC50A9B8C545}"/>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3197-49C5-B986-BC50A9B8C545}"/>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Analysis'!$L$29:$M$29</c:f>
              <c:numCache>
                <c:formatCode>0.00</c:formatCode>
                <c:ptCount val="2"/>
                <c:pt idx="0">
                  <c:v>325.74446590909412</c:v>
                </c:pt>
                <c:pt idx="1">
                  <c:v>229.24515138830751</c:v>
                </c:pt>
              </c:numCache>
            </c:numRef>
          </c:val>
          <c:extLst>
            <c:ext xmlns:c16="http://schemas.microsoft.com/office/drawing/2014/chart" uri="{C3380CC4-5D6E-409C-BE32-E72D297353CC}">
              <c16:uniqueId val="{00000005-3197-49C5-B986-BC50A9B8C545}"/>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3"/>
    </mc:Choice>
    <mc:Fallback>
      <c:style val="3"/>
    </mc:Fallback>
  </mc:AlternateContent>
  <c:chart>
    <c:title>
      <c:overlay val="0"/>
      <c:spPr>
        <a:noFill/>
        <a:ln>
          <a:noFill/>
        </a:ln>
        <a:effectLst/>
      </c:spPr>
      <c:txPr>
        <a:bodyPr rot="0" spcFirstLastPara="1" vertOverflow="ellipsis" vert="horz" wrap="square" anchor="ctr" anchorCtr="1"/>
        <a:lstStyle/>
        <a:p>
          <a:pPr algn="just">
            <a:defRPr sz="1100" b="0" i="0" u="none" strike="noStrike" kern="1200" spc="0" baseline="0">
              <a:solidFill>
                <a:schemeClr val="tx1"/>
              </a:solidFill>
              <a:latin typeface="Times New Roman" panose="02020603050405020304" pitchFamily="18" charset="0"/>
              <a:ea typeface="+mn-ea"/>
              <a:cs typeface="Times New Roman" panose="02020603050405020304" pitchFamily="18" charset="0"/>
            </a:defRPr>
          </a:pPr>
          <a:endParaRPr lang="en-US"/>
        </a:p>
      </c:txPr>
    </c:title>
    <c:autoTitleDeleted val="0"/>
    <c:plotArea>
      <c:layout/>
      <c:barChart>
        <c:barDir val="col"/>
        <c:grouping val="clustered"/>
        <c:varyColors val="0"/>
        <c:ser>
          <c:idx val="0"/>
          <c:order val="0"/>
          <c:tx>
            <c:strRef>
              <c:f>'Ratio Analysis'!$K$31</c:f>
              <c:strCache>
                <c:ptCount val="1"/>
                <c:pt idx="0">
                  <c:v>Dividend Cover Ratio</c:v>
                </c:pt>
              </c:strCache>
            </c:strRef>
          </c:tx>
          <c:spPr>
            <a:solidFill>
              <a:schemeClr val="accent5">
                <a:lumMod val="60000"/>
                <a:lumOff val="40000"/>
              </a:schemeClr>
            </a:solidFill>
            <a:ln>
              <a:noFill/>
            </a:ln>
            <a:effectLst/>
          </c:spPr>
          <c:invertIfNegative val="0"/>
          <c:dPt>
            <c:idx val="0"/>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1-D8B5-4F38-853B-487967E5A156}"/>
              </c:ext>
            </c:extLst>
          </c:dPt>
          <c:dPt>
            <c:idx val="1"/>
            <c:invertIfNegative val="0"/>
            <c:bubble3D val="0"/>
            <c:spPr>
              <a:solidFill>
                <a:schemeClr val="accent5">
                  <a:lumMod val="60000"/>
                  <a:lumOff val="40000"/>
                </a:schemeClr>
              </a:solidFill>
              <a:ln>
                <a:noFill/>
              </a:ln>
              <a:effectLst/>
            </c:spPr>
            <c:extLst>
              <c:ext xmlns:c16="http://schemas.microsoft.com/office/drawing/2014/chart" uri="{C3380CC4-5D6E-409C-BE32-E72D297353CC}">
                <c16:uniqueId val="{00000003-D8B5-4F38-853B-487967E5A156}"/>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trendline>
            <c:spPr>
              <a:ln w="19050" cap="rnd">
                <a:solidFill>
                  <a:schemeClr val="accent1"/>
                </a:solidFill>
                <a:prstDash val="sysDot"/>
              </a:ln>
              <a:effectLst/>
            </c:spPr>
            <c:trendlineType val="linear"/>
            <c:dispRSqr val="0"/>
            <c:dispEq val="0"/>
          </c:trendline>
          <c:cat>
            <c:numRef>
              <c:f>'Ratio Analysis'!$L$4:$M$4</c:f>
              <c:numCache>
                <c:formatCode>General</c:formatCode>
                <c:ptCount val="2"/>
                <c:pt idx="0">
                  <c:v>2022</c:v>
                </c:pt>
                <c:pt idx="1">
                  <c:v>2023</c:v>
                </c:pt>
              </c:numCache>
            </c:numRef>
          </c:cat>
          <c:val>
            <c:numRef>
              <c:f>'Ratio Analysis'!$L$31:$M$31</c:f>
              <c:numCache>
                <c:formatCode>0.0000</c:formatCode>
                <c:ptCount val="2"/>
                <c:pt idx="0">
                  <c:v>1.8654923939151322</c:v>
                </c:pt>
                <c:pt idx="1">
                  <c:v>1.2270351008215086</c:v>
                </c:pt>
              </c:numCache>
            </c:numRef>
          </c:val>
          <c:extLst>
            <c:ext xmlns:c16="http://schemas.microsoft.com/office/drawing/2014/chart" uri="{C3380CC4-5D6E-409C-BE32-E72D297353CC}">
              <c16:uniqueId val="{00000005-D8B5-4F38-853B-487967E5A156}"/>
            </c:ext>
          </c:extLst>
        </c:ser>
        <c:dLbls>
          <c:showLegendKey val="0"/>
          <c:showVal val="0"/>
          <c:showCatName val="0"/>
          <c:showSerName val="0"/>
          <c:showPercent val="0"/>
          <c:showBubbleSize val="0"/>
        </c:dLbls>
        <c:gapWidth val="219"/>
        <c:overlap val="-27"/>
        <c:axId val="1997528304"/>
        <c:axId val="1997534128"/>
      </c:barChart>
      <c:catAx>
        <c:axId val="199752830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97534128"/>
        <c:crosses val="autoZero"/>
        <c:auto val="1"/>
        <c:lblAlgn val="ctr"/>
        <c:lblOffset val="100"/>
        <c:noMultiLvlLbl val="0"/>
      </c:catAx>
      <c:valAx>
        <c:axId val="1997534128"/>
        <c:scaling>
          <c:orientation val="minMax"/>
        </c:scaling>
        <c:delete val="0"/>
        <c:axPos val="l"/>
        <c:majorGridlines>
          <c:spPr>
            <a:ln w="9525" cap="flat" cmpd="sng" algn="ctr">
              <a:solidFill>
                <a:schemeClr val="tx1">
                  <a:lumMod val="15000"/>
                  <a:lumOff val="85000"/>
                </a:schemeClr>
              </a:solidFill>
              <a:round/>
            </a:ln>
            <a:effectLst/>
          </c:spPr>
        </c:majorGridlines>
        <c:numFmt formatCode="0.0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solidFill>
                <a:latin typeface="Times New Roman" panose="02020603050405020304" pitchFamily="18" charset="0"/>
                <a:ea typeface="+mn-ea"/>
                <a:cs typeface="Times New Roman" panose="02020603050405020304" pitchFamily="18" charset="0"/>
              </a:defRPr>
            </a:pPr>
            <a:endParaRPr lang="en-US"/>
          </a:p>
        </c:txPr>
        <c:crossAx val="1997528304"/>
        <c:crosses val="autoZero"/>
        <c:crossBetween val="between"/>
      </c:valAx>
      <c:spPr>
        <a:noFill/>
        <a:ln>
          <a:noFill/>
        </a:ln>
        <a:effectLst/>
      </c:spPr>
    </c:plotArea>
    <c:plotVisOnly val="1"/>
    <c:dispBlanksAs val="gap"/>
    <c:showDLblsOverMax val="0"/>
  </c:chart>
  <c:spPr>
    <a:solidFill>
      <a:schemeClr val="bg1"/>
    </a:solidFill>
    <a:ln w="9525" cap="flat" cmpd="sng" algn="ctr">
      <a:solidFill>
        <a:schemeClr val="tx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withinLinear" id="14">
  <a:schemeClr val="accent1"/>
</cs:colorStyle>
</file>

<file path=word/charts/colors2.xml><?xml version="1.0" encoding="utf-8"?>
<cs:colorStyle xmlns:cs="http://schemas.microsoft.com/office/drawing/2012/chartStyle" xmlns:a="http://schemas.openxmlformats.org/drawingml/2006/main" meth="withinLinear" id="14">
  <a:schemeClr val="accent1"/>
</cs:colorStyle>
</file>

<file path=word/charts/colors3.xml><?xml version="1.0" encoding="utf-8"?>
<cs:colorStyle xmlns:cs="http://schemas.microsoft.com/office/drawing/2012/chartStyle" xmlns:a="http://schemas.openxmlformats.org/drawingml/2006/main" meth="withinLinear" id="14">
  <a:schemeClr val="accent1"/>
</cs:colorStyle>
</file>

<file path=word/charts/colors4.xml><?xml version="1.0" encoding="utf-8"?>
<cs:colorStyle xmlns:cs="http://schemas.microsoft.com/office/drawing/2012/chartStyle" xmlns:a="http://schemas.openxmlformats.org/drawingml/2006/main" meth="withinLinear" id="14">
  <a:schemeClr val="accent1"/>
</cs:colorStyle>
</file>

<file path=word/charts/colors5.xml><?xml version="1.0" encoding="utf-8"?>
<cs:colorStyle xmlns:cs="http://schemas.microsoft.com/office/drawing/2012/chartStyle" xmlns:a="http://schemas.openxmlformats.org/drawingml/2006/main" meth="withinLinear" id="14">
  <a:schemeClr val="accent1"/>
</cs:colorStyle>
</file>

<file path=word/charts/colors6.xml><?xml version="1.0" encoding="utf-8"?>
<cs:colorStyle xmlns:cs="http://schemas.microsoft.com/office/drawing/2012/chartStyle" xmlns:a="http://schemas.openxmlformats.org/drawingml/2006/main" meth="withinLinear" id="14">
  <a:schemeClr val="accent1"/>
</cs:colorStyle>
</file>

<file path=word/charts/colors7.xml><?xml version="1.0" encoding="utf-8"?>
<cs:colorStyle xmlns:cs="http://schemas.microsoft.com/office/drawing/2012/chartStyle" xmlns:a="http://schemas.openxmlformats.org/drawingml/2006/main" meth="withinLinear" id="14">
  <a:schemeClr val="accent1"/>
</cs:colorStyle>
</file>

<file path=word/charts/colors8.xml><?xml version="1.0" encoding="utf-8"?>
<cs:colorStyle xmlns:cs="http://schemas.microsoft.com/office/drawing/2012/chartStyle" xmlns:a="http://schemas.openxmlformats.org/drawingml/2006/main" meth="withinLinear" id="14">
  <a:schemeClr val="accent1"/>
</cs:colorStyle>
</file>

<file path=word/charts/colors9.xml><?xml version="1.0" encoding="utf-8"?>
<cs:colorStyle xmlns:cs="http://schemas.microsoft.com/office/drawing/2012/chartStyle" xmlns:a="http://schemas.openxmlformats.org/drawingml/2006/main" meth="withinLinear" id="14">
  <a:schemeClr val="accent1"/>
</cs:colorStyle>
</file>

<file path=word/charts/colors10.xml><?xml version="1.0" encoding="utf-8"?>
<cs:colorStyle xmlns:cs="http://schemas.microsoft.com/office/drawing/2012/chartStyle" xmlns:a="http://schemas.openxmlformats.org/drawingml/2006/main" meth="withinLinear" id="14">
  <a:schemeClr val="accent1"/>
</cs:colorStyle>
</file>

<file path=word/charts/colors11.xml><?xml version="1.0" encoding="utf-8"?>
<cs:colorStyle xmlns:cs="http://schemas.microsoft.com/office/drawing/2012/chartStyle" xmlns:a="http://schemas.openxmlformats.org/drawingml/2006/main" meth="withinLinear" id="14">
  <a:schemeClr val="accent1"/>
</cs:colorStyle>
</file>

<file path=word/charts/colors12.xml><?xml version="1.0" encoding="utf-8"?>
<cs:colorStyle xmlns:cs="http://schemas.microsoft.com/office/drawing/2012/chartStyle" xmlns:a="http://schemas.openxmlformats.org/drawingml/2006/main" meth="withinLinear" id="14">
  <a:schemeClr val="accent1"/>
</cs:colorStyle>
</file>

<file path=word/charts/colors13.xml><?xml version="1.0" encoding="utf-8"?>
<cs:colorStyle xmlns:cs="http://schemas.microsoft.com/office/drawing/2012/chartStyle" xmlns:a="http://schemas.openxmlformats.org/drawingml/2006/main" meth="withinLinear" id="14">
  <a:schemeClr val="accent1"/>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22A7DE-C8A3-4BCF-8B32-E4ED3DE609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12045</TotalTime>
  <Pages>36</Pages>
  <Words>6837</Words>
  <Characters>38427</Characters>
  <Application>Microsoft Office Word</Application>
  <DocSecurity>0</DocSecurity>
  <Lines>835</Lines>
  <Paragraphs>353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Student Name: Zakera Begum Simu                                                    Student ID: 2409952                                                                              Module Title: Managing Marketing Change                                      Module Code:  BMMB7026                                                                  Module Leader: Gwyneth Jones                                                        Programme: MBA                                                                           Submission deadline: Friday 13th January 2025                                       Student Declaration                                                                                        I confirm that I have not used any AI tools in the research and creation of this assignment. I confirm that I have not presented any AI-generated materials as my work. I confirm I have copies of my drafts, notes, and other resources I used, which I may be asked to provide in evidence.</dc:subject>
  <dc:creator>Anik</dc:creator>
  <cp:keywords/>
  <dc:description/>
  <cp:lastModifiedBy>zakera begum simu</cp:lastModifiedBy>
  <cp:revision>6312</cp:revision>
  <dcterms:created xsi:type="dcterms:W3CDTF">2023-01-12T06:23:00Z</dcterms:created>
  <dcterms:modified xsi:type="dcterms:W3CDTF">2025-01-18T20:00:00Z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65ac06ef3742ce4b0dc3747a1b6bafd802d323ccbc327b4583c751019d8f6d2f</vt:lpwstr>
  </property>
</Properties>
</file>