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bCs w:val="1"/>
        </w:rPr>
      </w:pPr>
      <w:r w:rsidDel="00000000" w:rsidR="00000000" w:rsidRPr="00000000">
        <w:rPr>
          <w:rtl w:val="0"/>
        </w:rPr>
      </w:r>
    </w:p>
    <w:p w:rsidR="00000000" w:rsidDel="00000000" w:rsidP="00000000" w:rsidRDefault="00000000" w:rsidRPr="00000000" w14:paraId="00000002">
      <w:pPr>
        <w:jc w:val="center"/>
        <w:rPr>
          <w:b w:val="1"/>
          <w:bCs w:val="1"/>
        </w:rPr>
      </w:pPr>
      <w:r w:rsidDel="00000000" w:rsidR="00000000" w:rsidRPr="00000000">
        <w:rPr>
          <w:rtl w:val="0"/>
        </w:rPr>
      </w:r>
    </w:p>
    <w:p w:rsidR="00000000" w:rsidDel="00000000" w:rsidP="00000000" w:rsidRDefault="00000000" w:rsidRPr="00000000" w14:paraId="00000003">
      <w:pPr>
        <w:jc w:val="center"/>
        <w:rPr>
          <w:b w:val="1"/>
          <w:bCs w:val="1"/>
        </w:rPr>
      </w:pPr>
      <w:r w:rsidDel="00000000" w:rsidR="00000000" w:rsidRPr="00000000">
        <w:rPr>
          <w:rtl w:val="0"/>
        </w:rPr>
      </w:r>
    </w:p>
    <w:p w:rsidR="00000000" w:rsidDel="00000000" w:rsidP="00000000" w:rsidRDefault="00000000" w:rsidRPr="00000000" w14:paraId="00000004">
      <w:pPr>
        <w:jc w:val="center"/>
        <w:rPr>
          <w:b w:val="1"/>
          <w:bCs w:val="1"/>
        </w:rPr>
      </w:pPr>
      <w:r w:rsidDel="00000000" w:rsidR="00000000" w:rsidRPr="00000000">
        <w:rPr>
          <w:rtl w:val="0"/>
        </w:rPr>
      </w:r>
    </w:p>
    <w:p w:rsidR="00000000" w:rsidDel="00000000" w:rsidP="00000000" w:rsidRDefault="00000000" w:rsidRPr="00000000" w14:paraId="00000005">
      <w:pPr>
        <w:jc w:val="center"/>
        <w:rPr>
          <w:b w:val="1"/>
          <w:bCs w:val="1"/>
        </w:rPr>
      </w:pPr>
      <w:r w:rsidDel="00000000" w:rsidR="00000000" w:rsidRPr="00000000">
        <w:rPr>
          <w:rtl w:val="0"/>
        </w:rPr>
      </w:r>
    </w:p>
    <w:p w:rsidR="00000000" w:rsidDel="00000000" w:rsidP="00000000" w:rsidRDefault="00000000" w:rsidRPr="00000000" w14:paraId="00000006">
      <w:pPr>
        <w:jc w:val="center"/>
        <w:rPr>
          <w:b w:val="1"/>
          <w:bCs w:val="1"/>
        </w:rPr>
      </w:pPr>
      <w:r w:rsidDel="00000000" w:rsidR="00000000" w:rsidRPr="00000000">
        <w:rPr>
          <w:rtl w:val="0"/>
        </w:rPr>
      </w:r>
    </w:p>
    <w:p w:rsidR="00000000" w:rsidDel="00000000" w:rsidP="00000000" w:rsidRDefault="00000000" w:rsidRPr="00000000" w14:paraId="00000007">
      <w:pPr>
        <w:jc w:val="center"/>
        <w:rPr>
          <w:b w:val="1"/>
          <w:bCs w:val="1"/>
        </w:rPr>
      </w:pPr>
      <w:r w:rsidDel="00000000" w:rsidR="00000000" w:rsidRPr="00000000">
        <w:rPr>
          <w:rtl w:val="0"/>
        </w:rPr>
      </w:r>
    </w:p>
    <w:p w:rsidR="00000000" w:rsidDel="00000000" w:rsidP="00000000" w:rsidRDefault="00000000" w:rsidRPr="00000000" w14:paraId="00000008">
      <w:pPr>
        <w:jc w:val="center"/>
        <w:rPr>
          <w:b w:val="1"/>
          <w:bCs w:val="1"/>
        </w:rPr>
      </w:pPr>
      <w:r w:rsidDel="00000000" w:rsidR="00000000" w:rsidRPr="00000000">
        <w:rPr>
          <w:rtl w:val="0"/>
        </w:rPr>
      </w:r>
    </w:p>
    <w:p w:rsidR="00000000" w:rsidDel="00000000" w:rsidP="00000000" w:rsidRDefault="00000000" w:rsidRPr="00000000" w14:paraId="00000009">
      <w:pPr>
        <w:jc w:val="center"/>
        <w:rPr>
          <w:b w:val="1"/>
          <w:bCs w:val="1"/>
        </w:rPr>
      </w:pPr>
      <w:r w:rsidDel="00000000" w:rsidR="00000000" w:rsidRPr="00000000">
        <w:rPr>
          <w:rtl w:val="0"/>
        </w:rPr>
      </w:r>
    </w:p>
    <w:p w:rsidR="00000000" w:rsidDel="00000000" w:rsidP="00000000" w:rsidRDefault="00000000" w:rsidRPr="00000000" w14:paraId="0000000A">
      <w:pPr>
        <w:jc w:val="center"/>
        <w:rPr>
          <w:b w:val="1"/>
          <w:bCs w:val="1"/>
        </w:rPr>
      </w:pPr>
      <w:r w:rsidDel="00000000" w:rsidR="00000000" w:rsidRPr="00000000">
        <w:rPr>
          <w:rtl w:val="0"/>
        </w:rPr>
      </w:r>
    </w:p>
    <w:p w:rsidR="00000000" w:rsidDel="00000000" w:rsidP="00000000" w:rsidRDefault="00000000" w:rsidRPr="00000000" w14:paraId="0000000B">
      <w:pPr>
        <w:jc w:val="center"/>
        <w:rPr>
          <w:b w:val="1"/>
          <w:bCs w:val="1"/>
        </w:rPr>
      </w:pPr>
      <w:r w:rsidDel="00000000" w:rsidR="00000000" w:rsidRPr="00000000">
        <w:rPr>
          <w:b w:val="1"/>
          <w:bCs w:val="1"/>
          <w:rtl w:val="0"/>
        </w:rPr>
        <w:t xml:space="preserve">Leadership, Systems Thinking and Patient Safety in Healthcare</w:t>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D">
      <w:pPr>
        <w:jc w:val="center"/>
        <w:rPr/>
      </w:pPr>
      <w:r w:rsidDel="00000000" w:rsidR="00000000" w:rsidRPr="00000000">
        <w:rPr>
          <w:rtl w:val="0"/>
        </w:rPr>
        <w:t xml:space="preserve">By Bilonda Bijoux Konzo </w:t>
      </w:r>
    </w:p>
    <w:p w:rsidR="00000000" w:rsidDel="00000000" w:rsidP="00000000" w:rsidRDefault="00000000" w:rsidRPr="00000000" w14:paraId="0000000E">
      <w:pPr>
        <w:jc w:val="center"/>
        <w:rPr/>
      </w:pPr>
      <w:r w:rsidDel="00000000" w:rsidR="00000000" w:rsidRPr="00000000">
        <w:rPr>
          <w:rtl w:val="0"/>
        </w:rPr>
        <w:t xml:space="preserve">Student number: 2518836</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spacing w:line="360" w:lineRule="auto"/>
        <w:rPr/>
      </w:pPr>
      <w:r w:rsidDel="00000000" w:rsidR="00000000" w:rsidRPr="00000000">
        <w:rPr>
          <w:rtl w:val="0"/>
        </w:rPr>
      </w:r>
    </w:p>
    <w:p w:rsidR="00000000" w:rsidDel="00000000" w:rsidP="00000000" w:rsidRDefault="00000000" w:rsidRPr="00000000" w14:paraId="00000011">
      <w:pPr>
        <w:spacing w:line="360" w:lineRule="auto"/>
        <w:rPr/>
      </w:pPr>
      <w:r w:rsidDel="00000000" w:rsidR="00000000" w:rsidRPr="00000000">
        <w:rPr>
          <w:rtl w:val="0"/>
        </w:rPr>
      </w:r>
    </w:p>
    <w:p w:rsidR="00000000" w:rsidDel="00000000" w:rsidP="00000000" w:rsidRDefault="00000000" w:rsidRPr="00000000" w14:paraId="00000012">
      <w:pPr>
        <w:spacing w:line="360" w:lineRule="auto"/>
        <w:rPr/>
      </w:pPr>
      <w:r w:rsidDel="00000000" w:rsidR="00000000" w:rsidRPr="00000000">
        <w:rPr>
          <w:rtl w:val="0"/>
        </w:rPr>
      </w:r>
    </w:p>
    <w:p w:rsidR="00000000" w:rsidDel="00000000" w:rsidP="00000000" w:rsidRDefault="00000000" w:rsidRPr="00000000" w14:paraId="00000013">
      <w:pPr>
        <w:spacing w:line="360" w:lineRule="auto"/>
        <w:rPr/>
      </w:pPr>
      <w:r w:rsidDel="00000000" w:rsidR="00000000" w:rsidRPr="00000000">
        <w:rPr>
          <w:rtl w:val="0"/>
        </w:rPr>
      </w:r>
    </w:p>
    <w:p w:rsidR="00000000" w:rsidDel="00000000" w:rsidP="00000000" w:rsidRDefault="00000000" w:rsidRPr="00000000" w14:paraId="00000014">
      <w:pPr>
        <w:spacing w:line="360" w:lineRule="auto"/>
        <w:rPr/>
      </w:pPr>
      <w:r w:rsidDel="00000000" w:rsidR="00000000" w:rsidRPr="00000000">
        <w:rPr>
          <w:rtl w:val="0"/>
        </w:rPr>
      </w:r>
    </w:p>
    <w:p w:rsidR="00000000" w:rsidDel="00000000" w:rsidP="00000000" w:rsidRDefault="00000000" w:rsidRPr="00000000" w14:paraId="00000015">
      <w:pPr>
        <w:spacing w:line="360" w:lineRule="auto"/>
        <w:rPr/>
      </w:pPr>
      <w:r w:rsidDel="00000000" w:rsidR="00000000" w:rsidRPr="00000000">
        <w:rPr>
          <w:rtl w:val="0"/>
        </w:rPr>
      </w:r>
    </w:p>
    <w:p w:rsidR="00000000" w:rsidDel="00000000" w:rsidP="00000000" w:rsidRDefault="00000000" w:rsidRPr="00000000" w14:paraId="00000016">
      <w:pPr>
        <w:spacing w:line="360" w:lineRule="auto"/>
        <w:rPr/>
      </w:pPr>
      <w:r w:rsidDel="00000000" w:rsidR="00000000" w:rsidRPr="00000000">
        <w:rPr>
          <w:rtl w:val="0"/>
        </w:rPr>
      </w:r>
    </w:p>
    <w:p w:rsidR="00000000" w:rsidDel="00000000" w:rsidP="00000000" w:rsidRDefault="00000000" w:rsidRPr="00000000" w14:paraId="00000017">
      <w:pPr>
        <w:spacing w:line="360" w:lineRule="auto"/>
        <w:rPr/>
      </w:pPr>
      <w:r w:rsidDel="00000000" w:rsidR="00000000" w:rsidRPr="00000000">
        <w:rPr>
          <w:rtl w:val="0"/>
        </w:rPr>
      </w:r>
    </w:p>
    <w:p w:rsidR="00000000" w:rsidDel="00000000" w:rsidP="00000000" w:rsidRDefault="00000000" w:rsidRPr="00000000" w14:paraId="00000018">
      <w:pPr>
        <w:spacing w:line="360" w:lineRule="auto"/>
        <w:rPr/>
      </w:pPr>
      <w:r w:rsidDel="00000000" w:rsidR="00000000" w:rsidRPr="00000000">
        <w:rPr>
          <w:rtl w:val="0"/>
        </w:rPr>
      </w:r>
    </w:p>
    <w:p w:rsidR="00000000" w:rsidDel="00000000" w:rsidP="00000000" w:rsidRDefault="00000000" w:rsidRPr="00000000" w14:paraId="0000001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Table of Contents</w:t>
      </w:r>
    </w:p>
    <w:sdt>
      <w:sdtPr>
        <w:id w:val="1916163882"/>
        <w:docPartObj>
          <w:docPartGallery w:val="Table of Contents"/>
          <w:docPartUnique w:val="1"/>
        </w:docPartObj>
      </w:sdtPr>
      <w:sdtContent>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7zjie62wksm6">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 Introduction</w:t>
              <w:tab/>
              <w:t xml:space="preserve">3</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sknsd99jo9zt">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 Main Body and Analysis</w:t>
              <w:tab/>
              <w:t xml:space="preserve">4</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2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sajy12g93bjo">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 Identifying the Problem and Setting the System Context: Applying Systems Thinking and the Rich Picture</w:t>
              <w:tab/>
              <w:t xml:space="preserve">4</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2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ee7187fthe2x">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B. Centralisation or Decentralisation within the Case Study</w:t>
              <w:tab/>
              <w:t xml:space="preserve">7</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2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a5jqdai6xvgf">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 Leadership Theories and Application to the Case Study</w:t>
              <w:tab/>
              <w:t xml:space="preserve">9</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2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a1mjo93h9afh">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 Improvement, and Lessons Learned</w:t>
              <w:tab/>
              <w:t xml:space="preserve">12</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qfuomyynlpo9">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 Recommendation</w:t>
              <w:tab/>
              <w:t xml:space="preserve">14</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ua6tcwpucx0">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 Conclusion</w:t>
              <w:tab/>
              <w:t xml:space="preserve">15</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tlq1pmysp1tf">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 References</w:t>
              <w:tab/>
              <w:t xml:space="preserve">17</w:t>
            </w:r>
          </w:hyperlink>
          <w:r w:rsidDel="00000000" w:rsidR="00000000" w:rsidRPr="00000000">
            <w:rPr>
              <w:rtl w:val="0"/>
            </w:rPr>
          </w:r>
        </w:p>
        <w:p w:rsidR="00000000" w:rsidDel="00000000" w:rsidP="00000000" w:rsidRDefault="00000000" w:rsidRPr="00000000" w14:paraId="00000023">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4">
      <w:pPr>
        <w:spacing w:line="360" w:lineRule="auto"/>
        <w:rPr/>
      </w:pPr>
      <w:r w:rsidDel="00000000" w:rsidR="00000000" w:rsidRPr="00000000">
        <w:rPr>
          <w:rtl w:val="0"/>
        </w:rPr>
      </w:r>
    </w:p>
    <w:p w:rsidR="00000000" w:rsidDel="00000000" w:rsidP="00000000" w:rsidRDefault="00000000" w:rsidRPr="00000000" w14:paraId="00000025">
      <w:pPr>
        <w:spacing w:line="360" w:lineRule="auto"/>
        <w:rPr/>
      </w:pPr>
      <w:r w:rsidDel="00000000" w:rsidR="00000000" w:rsidRPr="00000000">
        <w:rPr>
          <w:rtl w:val="0"/>
        </w:rPr>
      </w:r>
    </w:p>
    <w:p w:rsidR="00000000" w:rsidDel="00000000" w:rsidP="00000000" w:rsidRDefault="00000000" w:rsidRPr="00000000" w14:paraId="00000026">
      <w:pPr>
        <w:spacing w:line="360" w:lineRule="auto"/>
        <w:rPr/>
      </w:pPr>
      <w:r w:rsidDel="00000000" w:rsidR="00000000" w:rsidRPr="00000000">
        <w:rPr>
          <w:rtl w:val="0"/>
        </w:rPr>
      </w:r>
    </w:p>
    <w:p w:rsidR="00000000" w:rsidDel="00000000" w:rsidP="00000000" w:rsidRDefault="00000000" w:rsidRPr="00000000" w14:paraId="00000027">
      <w:pPr>
        <w:spacing w:line="360" w:lineRule="auto"/>
        <w:rPr/>
      </w:pPr>
      <w:r w:rsidDel="00000000" w:rsidR="00000000" w:rsidRPr="00000000">
        <w:rPr>
          <w:rtl w:val="0"/>
        </w:rPr>
      </w:r>
    </w:p>
    <w:p w:rsidR="00000000" w:rsidDel="00000000" w:rsidP="00000000" w:rsidRDefault="00000000" w:rsidRPr="00000000" w14:paraId="00000028">
      <w:pPr>
        <w:spacing w:line="360" w:lineRule="auto"/>
        <w:rPr/>
      </w:pPr>
      <w:r w:rsidDel="00000000" w:rsidR="00000000" w:rsidRPr="00000000">
        <w:rPr>
          <w:rtl w:val="0"/>
        </w:rPr>
      </w:r>
    </w:p>
    <w:p w:rsidR="00000000" w:rsidDel="00000000" w:rsidP="00000000" w:rsidRDefault="00000000" w:rsidRPr="00000000" w14:paraId="00000029">
      <w:pPr>
        <w:spacing w:line="360" w:lineRule="auto"/>
        <w:rPr/>
      </w:pPr>
      <w:r w:rsidDel="00000000" w:rsidR="00000000" w:rsidRPr="00000000">
        <w:rPr>
          <w:rtl w:val="0"/>
        </w:rPr>
      </w:r>
    </w:p>
    <w:p w:rsidR="00000000" w:rsidDel="00000000" w:rsidP="00000000" w:rsidRDefault="00000000" w:rsidRPr="00000000" w14:paraId="0000002A">
      <w:pPr>
        <w:spacing w:line="360" w:lineRule="auto"/>
        <w:rPr/>
      </w:pPr>
      <w:r w:rsidDel="00000000" w:rsidR="00000000" w:rsidRPr="00000000">
        <w:rPr>
          <w:rtl w:val="0"/>
        </w:rPr>
      </w:r>
    </w:p>
    <w:p w:rsidR="00000000" w:rsidDel="00000000" w:rsidP="00000000" w:rsidRDefault="00000000" w:rsidRPr="00000000" w14:paraId="0000002B">
      <w:pPr>
        <w:spacing w:line="360" w:lineRule="auto"/>
        <w:rPr/>
      </w:pPr>
      <w:r w:rsidDel="00000000" w:rsidR="00000000" w:rsidRPr="00000000">
        <w:rPr>
          <w:rtl w:val="0"/>
        </w:rPr>
      </w:r>
    </w:p>
    <w:p w:rsidR="00000000" w:rsidDel="00000000" w:rsidP="00000000" w:rsidRDefault="00000000" w:rsidRPr="00000000" w14:paraId="0000002C">
      <w:pPr>
        <w:spacing w:line="360" w:lineRule="auto"/>
        <w:rPr/>
      </w:pPr>
      <w:r w:rsidDel="00000000" w:rsidR="00000000" w:rsidRPr="00000000">
        <w:rPr>
          <w:rtl w:val="0"/>
        </w:rPr>
      </w:r>
    </w:p>
    <w:p w:rsidR="00000000" w:rsidDel="00000000" w:rsidP="00000000" w:rsidRDefault="00000000" w:rsidRPr="00000000" w14:paraId="0000002D">
      <w:pPr>
        <w:spacing w:line="360" w:lineRule="auto"/>
        <w:rPr/>
      </w:pPr>
      <w:r w:rsidDel="00000000" w:rsidR="00000000" w:rsidRPr="00000000">
        <w:rPr>
          <w:rtl w:val="0"/>
        </w:rPr>
      </w:r>
    </w:p>
    <w:p w:rsidR="00000000" w:rsidDel="00000000" w:rsidP="00000000" w:rsidRDefault="00000000" w:rsidRPr="00000000" w14:paraId="0000002E">
      <w:pPr>
        <w:spacing w:line="360" w:lineRule="auto"/>
        <w:rPr/>
      </w:pPr>
      <w:r w:rsidDel="00000000" w:rsidR="00000000" w:rsidRPr="00000000">
        <w:rPr>
          <w:rtl w:val="0"/>
        </w:rPr>
      </w:r>
    </w:p>
    <w:p w:rsidR="00000000" w:rsidDel="00000000" w:rsidP="00000000" w:rsidRDefault="00000000" w:rsidRPr="00000000" w14:paraId="0000002F">
      <w:pPr>
        <w:spacing w:line="360" w:lineRule="auto"/>
        <w:rPr/>
      </w:pPr>
      <w:r w:rsidDel="00000000" w:rsidR="00000000" w:rsidRPr="00000000">
        <w:rPr>
          <w:rtl w:val="0"/>
        </w:rPr>
      </w:r>
    </w:p>
    <w:p w:rsidR="00000000" w:rsidDel="00000000" w:rsidP="00000000" w:rsidRDefault="00000000" w:rsidRPr="00000000" w14:paraId="00000030">
      <w:pPr>
        <w:spacing w:line="360" w:lineRule="auto"/>
        <w:rPr/>
      </w:pPr>
      <w:r w:rsidDel="00000000" w:rsidR="00000000" w:rsidRPr="00000000">
        <w:rPr>
          <w:rtl w:val="0"/>
        </w:rPr>
      </w:r>
    </w:p>
    <w:p w:rsidR="00000000" w:rsidDel="00000000" w:rsidP="00000000" w:rsidRDefault="00000000" w:rsidRPr="00000000" w14:paraId="00000031">
      <w:pPr>
        <w:pStyle w:val="Heading1"/>
        <w:spacing w:line="360" w:lineRule="auto"/>
        <w:rPr/>
      </w:pPr>
      <w:bookmarkStart w:colFirst="0" w:colLast="0" w:name="_7zjie62wksm6" w:id="0"/>
      <w:bookmarkEnd w:id="0"/>
      <w:r w:rsidDel="00000000" w:rsidR="00000000" w:rsidRPr="00000000">
        <w:rPr>
          <w:rtl w:val="0"/>
        </w:rPr>
        <w:t xml:space="preserve">1. Introduction</w:t>
      </w:r>
    </w:p>
    <w:p w:rsidR="00000000" w:rsidDel="00000000" w:rsidP="00000000" w:rsidRDefault="00000000" w:rsidRPr="00000000" w14:paraId="00000032">
      <w:pPr>
        <w:spacing w:after="120" w:line="360" w:lineRule="auto"/>
        <w:jc w:val="both"/>
        <w:rPr/>
      </w:pPr>
      <w:r w:rsidDel="00000000" w:rsidR="00000000" w:rsidRPr="00000000">
        <w:rPr>
          <w:rtl w:val="0"/>
        </w:rPr>
        <w:t xml:space="preserve">The case study report under analysis is on the death of Len, an 89-year-old male patient who was prescribed morphine oral solution following a fall, chest pain, and breathlessness, but later consumed a significantly higher amount than the 10 mg ordered due to a misunderstanding of the label as understood between him and his wife. What is important about the case is that it cannot be characterised as an isolated human error. It demonstrates a broader breakdown in communication across prescribing, dispensing design, patient education, medication governance, and leadership, spanning organisational borders. Medication error is a significant cause of preventable injury in modern health care systems, and an estimated 237 million medication error events occur annually throughout the entire medication pathway in England, with significant clinical and financial outcomes (Elliott,2021). The case is hence fit to undergo a leadership and systems approach analysis since it demonstrates how the evil may take root when unsafe design is combined with the vulnerable patients who may be dealing with high-risk medicines at home.</w:t>
      </w:r>
    </w:p>
    <w:p w:rsidR="00000000" w:rsidDel="00000000" w:rsidP="00000000" w:rsidRDefault="00000000" w:rsidRPr="00000000" w14:paraId="00000033">
      <w:pPr>
        <w:spacing w:after="120" w:line="360" w:lineRule="auto"/>
        <w:jc w:val="both"/>
        <w:rPr/>
      </w:pPr>
      <w:r w:rsidDel="00000000" w:rsidR="00000000" w:rsidRPr="00000000">
        <w:rPr>
          <w:rtl w:val="0"/>
        </w:rPr>
        <w:t xml:space="preserve">Health and social care leadership is the act of influencing individuals and groups to meet the common purpose, ensuring safe, effective, and caring care. Leadership is important for medication safety, as leaders influence culture, attention allocation, confusion over responsibility, and organisational learning, thereby driving redesign rather than repetition. It means that safety leadership is needed at the bedside and at the board level, as a leader can seldom avert patient harm with policies alone; they can do so by, for example, making risk visible, challenging, and reliable systems built around hazards (Murray, 2021). In this instance, the leadership programme applies to top managers, prescribers, pharmacists, nurses, and governance teams, impacting the safety of the opioid pathway.</w:t>
      </w:r>
    </w:p>
    <w:p w:rsidR="00000000" w:rsidDel="00000000" w:rsidP="00000000" w:rsidRDefault="00000000" w:rsidRPr="00000000" w14:paraId="00000034">
      <w:pPr>
        <w:spacing w:after="120" w:line="360" w:lineRule="auto"/>
        <w:jc w:val="both"/>
        <w:rPr/>
      </w:pPr>
      <w:r w:rsidDel="00000000" w:rsidR="00000000" w:rsidRPr="00000000">
        <w:rPr>
          <w:rtl w:val="0"/>
        </w:rPr>
        <w:t xml:space="preserve">Centralisation and decentralisation are also considered in the report. Centralisation is a scenario in which decision-making and control are carried out at a higher organisational or national level. Decentralisation spreads power further to frontline services and staff. The healthcare sector could benefit from centralisation, increasing standardisation and control, and from decentralisation, increasing responsiveness and the use of context. Recent evidence indicates that both methods are not necessarily better or worse, and the consequences of governance arrangements, information systems, and local capabilities are determined by their alignment with the risks being addressed (Sapkota, 2023). This case raises the question of whether the current trade-off between local flexibility and central control is suitable for high-risk medications like morphine oral solution.</w:t>
      </w:r>
    </w:p>
    <w:p w:rsidR="00000000" w:rsidDel="00000000" w:rsidP="00000000" w:rsidRDefault="00000000" w:rsidRPr="00000000" w14:paraId="00000035">
      <w:pPr>
        <w:spacing w:after="120" w:line="360" w:lineRule="auto"/>
        <w:jc w:val="both"/>
        <w:rPr/>
      </w:pPr>
      <w:r w:rsidDel="00000000" w:rsidR="00000000" w:rsidRPr="00000000">
        <w:rPr>
          <w:rtl w:val="0"/>
        </w:rPr>
        <w:t xml:space="preserve">Three leadership styles are particularly applicable to the report. Transformational leadership is vision-oriented, focused on changing engagement and culture, and correlates with more robust safety behaviours and a patient safety climate, which are relevant to nursing and hospital environments (Ystaas, 2023). </w:t>
      </w:r>
    </w:p>
    <w:p w:rsidR="00000000" w:rsidDel="00000000" w:rsidP="00000000" w:rsidRDefault="00000000" w:rsidRPr="00000000" w14:paraId="00000036">
      <w:pPr>
        <w:pStyle w:val="Heading1"/>
        <w:spacing w:line="360" w:lineRule="auto"/>
        <w:rPr/>
      </w:pPr>
      <w:bookmarkStart w:colFirst="0" w:colLast="0" w:name="_sknsd99jo9zt" w:id="1"/>
      <w:bookmarkEnd w:id="1"/>
      <w:r w:rsidDel="00000000" w:rsidR="00000000" w:rsidRPr="00000000">
        <w:rPr>
          <w:rtl w:val="0"/>
        </w:rPr>
        <w:t xml:space="preserve">2. Main Body and Analysis</w:t>
      </w:r>
    </w:p>
    <w:p w:rsidR="00000000" w:rsidDel="00000000" w:rsidP="00000000" w:rsidRDefault="00000000" w:rsidRPr="00000000" w14:paraId="00000037">
      <w:pPr>
        <w:pStyle w:val="Heading2"/>
        <w:spacing w:line="360" w:lineRule="auto"/>
        <w:rPr/>
      </w:pPr>
      <w:bookmarkStart w:colFirst="0" w:colLast="0" w:name="_sajy12g93bjo" w:id="2"/>
      <w:bookmarkEnd w:id="2"/>
      <w:r w:rsidDel="00000000" w:rsidR="00000000" w:rsidRPr="00000000">
        <w:rPr>
          <w:rtl w:val="0"/>
        </w:rPr>
        <w:t xml:space="preserve">A. Identifying the Problem and Setting the System Context: Applying Systems Thinking and the Rich Picture</w:t>
      </w:r>
    </w:p>
    <w:p w:rsidR="00000000" w:rsidDel="00000000" w:rsidP="00000000" w:rsidRDefault="00000000" w:rsidRPr="00000000" w14:paraId="00000038">
      <w:pPr>
        <w:spacing w:after="120" w:line="360" w:lineRule="auto"/>
        <w:jc w:val="both"/>
        <w:rPr/>
      </w:pPr>
      <w:r w:rsidDel="00000000" w:rsidR="00000000" w:rsidRPr="00000000">
        <w:rPr>
          <w:rtl w:val="0"/>
        </w:rPr>
        <w:t xml:space="preserve">The main issue in the case was that through the prescribing communication, dispensing clarity, carer understanding, and organisational safety controls failures, the frail older adult accidentally overdosed on morphine sulphate oral solution. The immediate incident might seem to be a miscomprehension of directions; however, systems thinking demonstrates that the accident that led to the overdose was caused by several interplaying frailties and not a single error. They entailed the choice of a high-risk opioid, the lack of translation of dose data into a comprehensible patient-facing format, the presence of a low strength of verification as to whether Len and his wife knew how to measure and consume the medicine, and a shortcoming of organisational barriers to prevent unsafe use before severe deterioration happened. (Machen,2023).</w:t>
      </w:r>
    </w:p>
    <w:p w:rsidR="00000000" w:rsidDel="00000000" w:rsidP="00000000" w:rsidRDefault="00000000" w:rsidRPr="00000000" w14:paraId="00000039">
      <w:pPr>
        <w:spacing w:after="120" w:line="360" w:lineRule="auto"/>
        <w:jc w:val="both"/>
        <w:rPr/>
      </w:pPr>
      <w:r w:rsidDel="00000000" w:rsidR="00000000" w:rsidRPr="00000000">
        <w:rPr>
          <w:rtl w:val="0"/>
        </w:rPr>
        <w:t xml:space="preserve">On the international scale, the case is indicative of the ongoing magnitude of drug-related injuries. However, recent patient safety research continues to document that approximately every ten patients suffer some injury during hospital care, and that drugs are one of the most frequent preventable injuries, leading to long-term residence and fatality (Bates,2023). Recent contributions to the research of prevention of medication-related harm also indicate that issues are concentrated around transfers of care, polypharmacy, communication breakdown and vulnerable patient populations, especially older adults (Dhingra-Kumar,2021). The national statistics support the example's importance. The 237 million medication errors estimated in England every year are concentrated in primary and community care, where the burden falls on patients and carers who self-administer care with no direct clinician attention (Elliott,2021). This is very applicable as the overdose of Len took place after the medication found its way to the home set up where safety relies much on clear guidelines, workable gadgets, as well as real knowledge. There are also severe cases of medication error studies in which older people are overrepresented across high-harm events. One of the recent reviews of severe medication error reports revealed that over 50 per cent of the cases led to death or serious injuries and that the majority of those cases were of patients aged over 60 years (Linden-Lahti,2021). </w:t>
      </w:r>
    </w:p>
    <w:p w:rsidR="00000000" w:rsidDel="00000000" w:rsidP="00000000" w:rsidRDefault="00000000" w:rsidRPr="00000000" w14:paraId="0000003A">
      <w:pPr>
        <w:spacing w:after="120" w:line="360" w:lineRule="auto"/>
        <w:jc w:val="both"/>
        <w:rPr/>
      </w:pPr>
      <w:r w:rsidDel="00000000" w:rsidR="00000000" w:rsidRPr="00000000">
        <w:rPr>
          <w:rtl w:val="0"/>
        </w:rPr>
        <w:t xml:space="preserve">Of particular importance is the opioid dimension. Current analyses of opioid-related adverse events still show that wrong dosage, confusion between formulations, lack of counselling, and monitoring prove to be mostly the repeated factors of such serious damage (Gustafsson,2024). Morphine oral solution is subject to misinterpretation, as different strengths and quantities may be encountered in practice,  and there is a risk of error when the relationship between milligrams, millilitres and frequency is not clarified in a manner that patients and other carers can understand. New guidelines on the pharmacological use of morphine, either orally or via the intravenous route, caution that any mistake in the concentration of oral morphine solutions may be associated with overdose, and as a solution to this problem, the use of calibrated oral syringes and educating the patients is crucial (Murphy,2025). Even in a younger or healthier patient, a lapse in communication can be risky. The room for error is even less in a weak 89-year-old.</w:t>
      </w:r>
    </w:p>
    <w:p w:rsidR="00000000" w:rsidDel="00000000" w:rsidP="00000000" w:rsidRDefault="00000000" w:rsidRPr="00000000" w14:paraId="0000003B">
      <w:pPr>
        <w:spacing w:after="120" w:line="360" w:lineRule="auto"/>
        <w:jc w:val="both"/>
        <w:rPr/>
      </w:pPr>
      <w:r w:rsidDel="00000000" w:rsidR="00000000" w:rsidRPr="00000000">
        <w:rPr>
          <w:rtl w:val="0"/>
        </w:rPr>
        <w:t xml:space="preserve">Several weaknesses in the systems are also depicted in the case. The former is a communication breakdown. The safe opioid use is reliant on a chain of mutual understanding between prescriber, dispenser, patient and carer, but it was obvious that that chain was not complete. According to evidence from the medical safety field, poor communication is consistently identified as a significant factor in preventing avoidable harm, particularly when medication use at home cannot be closely monitored by a professional (Tariq, 2024). The second weakness is poor accountability. Whether it was the assurance from the owner, who later stated there was no danger in using the medicine at home, the device itself, or the verbal account of the medicine and its use is unclear. Third, it was a poorly designed, vulnerable system. When a label may be misread, when the computation of a dose is still cognitively challenging, or when the staff believe they have understood it and does not challenge their understanding of the dose, then the route is based on optimal human performance rather than solid safety barriers. Fourth, the governance was too weak to convert familiar opioid risks to low-level protective measures.</w:t>
      </w:r>
    </w:p>
    <w:p w:rsidR="00000000" w:rsidDel="00000000" w:rsidP="00000000" w:rsidRDefault="00000000" w:rsidRPr="00000000" w14:paraId="0000003C">
      <w:pPr>
        <w:spacing w:after="120" w:line="360" w:lineRule="auto"/>
        <w:jc w:val="both"/>
        <w:rPr/>
      </w:pPr>
      <w:r w:rsidDel="00000000" w:rsidR="00000000" w:rsidRPr="00000000">
        <w:rPr>
          <w:rtl w:val="0"/>
        </w:rPr>
        <w:t xml:space="preserve">Various levels of governance altered the problem. Local governance effectively supported the execution of counselling, checking, and follow-up. Prescribing guidance, the adoption of high-risk opioid processes and standards, incident learning, and organisations' overall safety expectations were influenced by regional and national governance. This is important since local failures are also indicative of system-wide failures. Local safety in multi-level health systems is facilitated or restricted by decisions at higher levels regarding policy, information flows, and accountability design (Carroll, 2025). That is, rather than just local failure, the overdose of Len should be interpreted as indicative of the broader system having failed to adequately standardise the safe handling of high-alert opioid solutions.</w:t>
      </w:r>
    </w:p>
    <w:p w:rsidR="00000000" w:rsidDel="00000000" w:rsidP="00000000" w:rsidRDefault="00000000" w:rsidRPr="00000000" w14:paraId="0000003D">
      <w:pPr>
        <w:spacing w:after="120" w:line="360" w:lineRule="auto"/>
        <w:jc w:val="both"/>
        <w:rPr/>
      </w:pPr>
      <w:r w:rsidDel="00000000" w:rsidR="00000000" w:rsidRPr="00000000">
        <w:rPr>
          <w:rtl w:val="0"/>
        </w:rPr>
        <w:t xml:space="preserve">The fact that underlying pressures were higher also heightened the chances of failure. Multimorbidity, frailty and treatment burden are common in older adults, and make communication and managing medication more complicated. The recent literature on geriatric medication safety emphasises that the quality and safety of prescriptions deteriorate when complex regimens are managed in fragmented systems that give little consideration to patients' capabilities and caregivers' supportive care (Hart, 2025). </w:t>
      </w:r>
    </w:p>
    <w:p w:rsidR="00000000" w:rsidDel="00000000" w:rsidP="00000000" w:rsidRDefault="00000000" w:rsidRPr="00000000" w14:paraId="0000003E">
      <w:pPr>
        <w:spacing w:after="120" w:line="360" w:lineRule="auto"/>
        <w:rPr/>
      </w:pPr>
      <w:r w:rsidDel="00000000" w:rsidR="00000000" w:rsidRPr="00000000">
        <w:rPr>
          <w:b w:val="1"/>
          <w:bCs w:val="1"/>
          <w:sz w:val="21"/>
          <w:szCs w:val="21"/>
          <w:rtl w:val="0"/>
        </w:rPr>
        <w:t xml:space="preserve">Table 1. National and International Data Supporting Problem Analysis in the Morphine Oral Solution Case</w:t>
      </w:r>
      <w:r w:rsidDel="00000000" w:rsidR="00000000" w:rsidRPr="00000000">
        <w:rPr>
          <w:rtl w:val="0"/>
        </w:rPr>
      </w:r>
    </w:p>
    <w:tbl>
      <w:tblPr>
        <w:tblStyle w:val="Table1"/>
        <w:tblW w:w="9350.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014"/>
        <w:gridCol w:w="3740"/>
        <w:gridCol w:w="3596"/>
        <w:tblGridChange w:id="0">
          <w:tblGrid>
            <w:gridCol w:w="2014"/>
            <w:gridCol w:w="3740"/>
            <w:gridCol w:w="3596"/>
          </w:tblGrid>
        </w:tblGridChange>
      </w:tblGrid>
      <w:tr>
        <w:trPr>
          <w:cantSplit w:val="0"/>
          <w:tblHeader w:val="0"/>
        </w:trPr>
        <w:tc>
          <w:tcPr>
            <w:shd w:fill="d9eaf7" w:val="clear"/>
            <w:vAlign w:val="center"/>
          </w:tcPr>
          <w:p w:rsidR="00000000" w:rsidDel="00000000" w:rsidP="00000000" w:rsidRDefault="00000000" w:rsidRPr="00000000" w14:paraId="0000003F">
            <w:pPr>
              <w:spacing w:after="120" w:line="360" w:lineRule="auto"/>
              <w:rPr/>
            </w:pPr>
            <w:r w:rsidDel="00000000" w:rsidR="00000000" w:rsidRPr="00000000">
              <w:rPr>
                <w:b w:val="1"/>
                <w:bCs w:val="1"/>
                <w:sz w:val="20"/>
                <w:szCs w:val="20"/>
                <w:rtl w:val="0"/>
              </w:rPr>
              <w:t xml:space="preserve">Source</w:t>
            </w:r>
            <w:r w:rsidDel="00000000" w:rsidR="00000000" w:rsidRPr="00000000">
              <w:rPr>
                <w:rtl w:val="0"/>
              </w:rPr>
            </w:r>
          </w:p>
        </w:tc>
        <w:tc>
          <w:tcPr>
            <w:shd w:fill="d9eaf7" w:val="clear"/>
            <w:vAlign w:val="center"/>
          </w:tcPr>
          <w:p w:rsidR="00000000" w:rsidDel="00000000" w:rsidP="00000000" w:rsidRDefault="00000000" w:rsidRPr="00000000" w14:paraId="00000040">
            <w:pPr>
              <w:spacing w:after="120" w:line="360" w:lineRule="auto"/>
              <w:rPr/>
            </w:pPr>
            <w:r w:rsidDel="00000000" w:rsidR="00000000" w:rsidRPr="00000000">
              <w:rPr>
                <w:b w:val="1"/>
                <w:bCs w:val="1"/>
                <w:sz w:val="20"/>
                <w:szCs w:val="20"/>
                <w:rtl w:val="0"/>
              </w:rPr>
              <w:t xml:space="preserve">Statistic or Key Finding</w:t>
            </w:r>
            <w:r w:rsidDel="00000000" w:rsidR="00000000" w:rsidRPr="00000000">
              <w:rPr>
                <w:rtl w:val="0"/>
              </w:rPr>
            </w:r>
          </w:p>
        </w:tc>
        <w:tc>
          <w:tcPr>
            <w:shd w:fill="d9eaf7" w:val="clear"/>
            <w:vAlign w:val="center"/>
          </w:tcPr>
          <w:p w:rsidR="00000000" w:rsidDel="00000000" w:rsidP="00000000" w:rsidRDefault="00000000" w:rsidRPr="00000000" w14:paraId="00000041">
            <w:pPr>
              <w:spacing w:after="120" w:line="360" w:lineRule="auto"/>
              <w:rPr/>
            </w:pPr>
            <w:r w:rsidDel="00000000" w:rsidR="00000000" w:rsidRPr="00000000">
              <w:rPr>
                <w:b w:val="1"/>
                <w:bCs w:val="1"/>
                <w:sz w:val="20"/>
                <w:szCs w:val="20"/>
                <w:rtl w:val="0"/>
              </w:rPr>
              <w:t xml:space="preserve">Relevance to the Case</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42">
            <w:pPr>
              <w:spacing w:after="120" w:line="360" w:lineRule="auto"/>
              <w:rPr/>
            </w:pPr>
            <w:r w:rsidDel="00000000" w:rsidR="00000000" w:rsidRPr="00000000">
              <w:rPr>
                <w:sz w:val="20"/>
                <w:szCs w:val="20"/>
                <w:rtl w:val="0"/>
              </w:rPr>
              <w:t xml:space="preserve">Source</w:t>
            </w:r>
            <w:r w:rsidDel="00000000" w:rsidR="00000000" w:rsidRPr="00000000">
              <w:rPr>
                <w:rtl w:val="0"/>
              </w:rPr>
            </w:r>
          </w:p>
        </w:tc>
        <w:tc>
          <w:tcPr>
            <w:vAlign w:val="center"/>
          </w:tcPr>
          <w:p w:rsidR="00000000" w:rsidDel="00000000" w:rsidP="00000000" w:rsidRDefault="00000000" w:rsidRPr="00000000" w14:paraId="00000043">
            <w:pPr>
              <w:spacing w:after="120" w:line="360" w:lineRule="auto"/>
              <w:rPr/>
            </w:pPr>
            <w:r w:rsidDel="00000000" w:rsidR="00000000" w:rsidRPr="00000000">
              <w:rPr>
                <w:sz w:val="20"/>
                <w:szCs w:val="20"/>
                <w:rtl w:val="0"/>
              </w:rPr>
              <w:t xml:space="preserve">Statistic or Key Finding</w:t>
            </w:r>
            <w:r w:rsidDel="00000000" w:rsidR="00000000" w:rsidRPr="00000000">
              <w:rPr>
                <w:rtl w:val="0"/>
              </w:rPr>
            </w:r>
          </w:p>
        </w:tc>
        <w:tc>
          <w:tcPr>
            <w:vAlign w:val="center"/>
          </w:tcPr>
          <w:p w:rsidR="00000000" w:rsidDel="00000000" w:rsidP="00000000" w:rsidRDefault="00000000" w:rsidRPr="00000000" w14:paraId="00000044">
            <w:pPr>
              <w:spacing w:after="120" w:line="360" w:lineRule="auto"/>
              <w:rPr/>
            </w:pPr>
            <w:r w:rsidDel="00000000" w:rsidR="00000000" w:rsidRPr="00000000">
              <w:rPr>
                <w:sz w:val="20"/>
                <w:szCs w:val="20"/>
                <w:rtl w:val="0"/>
              </w:rPr>
              <w:t xml:space="preserve">Relevance to the Case</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45">
            <w:pPr>
              <w:spacing w:after="120" w:line="360" w:lineRule="auto"/>
              <w:rPr/>
            </w:pPr>
            <w:r w:rsidDel="00000000" w:rsidR="00000000" w:rsidRPr="00000000">
              <w:rPr>
                <w:sz w:val="20"/>
                <w:szCs w:val="20"/>
                <w:rtl w:val="0"/>
              </w:rPr>
              <w:t xml:space="preserve">Bates (2023)</w:t>
            </w:r>
            <w:r w:rsidDel="00000000" w:rsidR="00000000" w:rsidRPr="00000000">
              <w:rPr>
                <w:rtl w:val="0"/>
              </w:rPr>
            </w:r>
          </w:p>
        </w:tc>
        <w:tc>
          <w:tcPr>
            <w:vAlign w:val="center"/>
          </w:tcPr>
          <w:p w:rsidR="00000000" w:rsidDel="00000000" w:rsidP="00000000" w:rsidRDefault="00000000" w:rsidRPr="00000000" w14:paraId="00000046">
            <w:pPr>
              <w:spacing w:after="120" w:line="360" w:lineRule="auto"/>
              <w:rPr/>
            </w:pPr>
            <w:r w:rsidDel="00000000" w:rsidR="00000000" w:rsidRPr="00000000">
              <w:rPr>
                <w:sz w:val="20"/>
                <w:szCs w:val="20"/>
                <w:rtl w:val="0"/>
              </w:rPr>
              <w:t xml:space="preserve">Around 1 in 10 patients are harmed during hospital care, with medicines remaining a major cause of preventable injury.</w:t>
            </w:r>
            <w:r w:rsidDel="00000000" w:rsidR="00000000" w:rsidRPr="00000000">
              <w:rPr>
                <w:rtl w:val="0"/>
              </w:rPr>
            </w:r>
          </w:p>
        </w:tc>
        <w:tc>
          <w:tcPr>
            <w:vAlign w:val="center"/>
          </w:tcPr>
          <w:p w:rsidR="00000000" w:rsidDel="00000000" w:rsidP="00000000" w:rsidRDefault="00000000" w:rsidRPr="00000000" w14:paraId="00000047">
            <w:pPr>
              <w:spacing w:after="120" w:line="360" w:lineRule="auto"/>
              <w:rPr/>
            </w:pPr>
            <w:r w:rsidDel="00000000" w:rsidR="00000000" w:rsidRPr="00000000">
              <w:rPr>
                <w:sz w:val="20"/>
                <w:szCs w:val="20"/>
                <w:rtl w:val="0"/>
              </w:rPr>
              <w:t xml:space="preserve">Establishes the global importance of medication safety</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48">
            <w:pPr>
              <w:spacing w:after="120" w:line="360" w:lineRule="auto"/>
              <w:rPr/>
            </w:pPr>
            <w:r w:rsidDel="00000000" w:rsidR="00000000" w:rsidRPr="00000000">
              <w:rPr>
                <w:sz w:val="20"/>
                <w:szCs w:val="20"/>
                <w:rtl w:val="0"/>
              </w:rPr>
              <w:t xml:space="preserve">Dhingra-Kumar (2021)</w:t>
            </w:r>
            <w:r w:rsidDel="00000000" w:rsidR="00000000" w:rsidRPr="00000000">
              <w:rPr>
                <w:rtl w:val="0"/>
              </w:rPr>
            </w:r>
          </w:p>
        </w:tc>
        <w:tc>
          <w:tcPr>
            <w:vAlign w:val="center"/>
          </w:tcPr>
          <w:p w:rsidR="00000000" w:rsidDel="00000000" w:rsidP="00000000" w:rsidRDefault="00000000" w:rsidRPr="00000000" w14:paraId="00000049">
            <w:pPr>
              <w:spacing w:after="120" w:line="360" w:lineRule="auto"/>
              <w:rPr/>
            </w:pPr>
            <w:r w:rsidDel="00000000" w:rsidR="00000000" w:rsidRPr="00000000">
              <w:rPr>
                <w:sz w:val="20"/>
                <w:szCs w:val="20"/>
                <w:rtl w:val="0"/>
              </w:rPr>
              <w:t xml:space="preserve">Preventable medication-related harm remains common internationally, especially at care transitions and among vulnerable groups.</w:t>
            </w:r>
            <w:r w:rsidDel="00000000" w:rsidR="00000000" w:rsidRPr="00000000">
              <w:rPr>
                <w:rtl w:val="0"/>
              </w:rPr>
            </w:r>
          </w:p>
        </w:tc>
        <w:tc>
          <w:tcPr>
            <w:vAlign w:val="center"/>
          </w:tcPr>
          <w:p w:rsidR="00000000" w:rsidDel="00000000" w:rsidP="00000000" w:rsidRDefault="00000000" w:rsidRPr="00000000" w14:paraId="0000004A">
            <w:pPr>
              <w:spacing w:after="120" w:line="360" w:lineRule="auto"/>
              <w:rPr/>
            </w:pPr>
            <w:r w:rsidDel="00000000" w:rsidR="00000000" w:rsidRPr="00000000">
              <w:rPr>
                <w:sz w:val="20"/>
                <w:szCs w:val="20"/>
                <w:rtl w:val="0"/>
              </w:rPr>
              <w:t xml:space="preserve">Shows why opioid safety in older adults is a global systems issue</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4B">
            <w:pPr>
              <w:spacing w:after="120" w:line="360" w:lineRule="auto"/>
              <w:rPr/>
            </w:pPr>
            <w:r w:rsidDel="00000000" w:rsidR="00000000" w:rsidRPr="00000000">
              <w:rPr>
                <w:sz w:val="20"/>
                <w:szCs w:val="20"/>
                <w:rtl w:val="0"/>
              </w:rPr>
              <w:t xml:space="preserve">Elliott (2021)</w:t>
            </w:r>
            <w:r w:rsidDel="00000000" w:rsidR="00000000" w:rsidRPr="00000000">
              <w:rPr>
                <w:rtl w:val="0"/>
              </w:rPr>
            </w:r>
          </w:p>
        </w:tc>
        <w:tc>
          <w:tcPr>
            <w:vAlign w:val="center"/>
          </w:tcPr>
          <w:p w:rsidR="00000000" w:rsidDel="00000000" w:rsidP="00000000" w:rsidRDefault="00000000" w:rsidRPr="00000000" w14:paraId="0000004C">
            <w:pPr>
              <w:spacing w:after="120" w:line="360" w:lineRule="auto"/>
              <w:rPr/>
            </w:pPr>
            <w:r w:rsidDel="00000000" w:rsidR="00000000" w:rsidRPr="00000000">
              <w:rPr>
                <w:sz w:val="20"/>
                <w:szCs w:val="20"/>
                <w:rtl w:val="0"/>
              </w:rPr>
              <w:t xml:space="preserve">In England, about 237 million medication errors occur annually, of which 66 million are potentially clinically significant.</w:t>
            </w:r>
            <w:r w:rsidDel="00000000" w:rsidR="00000000" w:rsidRPr="00000000">
              <w:rPr>
                <w:rtl w:val="0"/>
              </w:rPr>
            </w:r>
          </w:p>
        </w:tc>
        <w:tc>
          <w:tcPr>
            <w:vAlign w:val="center"/>
          </w:tcPr>
          <w:p w:rsidR="00000000" w:rsidDel="00000000" w:rsidP="00000000" w:rsidRDefault="00000000" w:rsidRPr="00000000" w14:paraId="0000004D">
            <w:pPr>
              <w:spacing w:after="120" w:line="360" w:lineRule="auto"/>
              <w:rPr/>
            </w:pPr>
            <w:r w:rsidDel="00000000" w:rsidR="00000000" w:rsidRPr="00000000">
              <w:rPr>
                <w:sz w:val="20"/>
                <w:szCs w:val="20"/>
                <w:rtl w:val="0"/>
              </w:rPr>
              <w:t xml:space="preserve">Demonstrates the national scale of the problem</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4E">
            <w:pPr>
              <w:spacing w:after="120" w:line="360" w:lineRule="auto"/>
              <w:rPr/>
            </w:pPr>
            <w:r w:rsidDel="00000000" w:rsidR="00000000" w:rsidRPr="00000000">
              <w:rPr>
                <w:sz w:val="20"/>
                <w:szCs w:val="20"/>
                <w:rtl w:val="0"/>
              </w:rPr>
              <w:t xml:space="preserve">Linden-Lahti (2021)</w:t>
            </w:r>
            <w:r w:rsidDel="00000000" w:rsidR="00000000" w:rsidRPr="00000000">
              <w:rPr>
                <w:rtl w:val="0"/>
              </w:rPr>
            </w:r>
          </w:p>
        </w:tc>
        <w:tc>
          <w:tcPr>
            <w:vAlign w:val="center"/>
          </w:tcPr>
          <w:p w:rsidR="00000000" w:rsidDel="00000000" w:rsidP="00000000" w:rsidRDefault="00000000" w:rsidRPr="00000000" w14:paraId="0000004F">
            <w:pPr>
              <w:spacing w:after="120" w:line="360" w:lineRule="auto"/>
              <w:rPr/>
            </w:pPr>
            <w:r w:rsidDel="00000000" w:rsidR="00000000" w:rsidRPr="00000000">
              <w:rPr>
                <w:sz w:val="20"/>
                <w:szCs w:val="20"/>
                <w:rtl w:val="0"/>
              </w:rPr>
              <w:t xml:space="preserve">Severe medication errors frequently cause death or severe harm and mainly affect older adults.</w:t>
            </w:r>
            <w:r w:rsidDel="00000000" w:rsidR="00000000" w:rsidRPr="00000000">
              <w:rPr>
                <w:rtl w:val="0"/>
              </w:rPr>
            </w:r>
          </w:p>
        </w:tc>
        <w:tc>
          <w:tcPr>
            <w:vAlign w:val="center"/>
          </w:tcPr>
          <w:p w:rsidR="00000000" w:rsidDel="00000000" w:rsidP="00000000" w:rsidRDefault="00000000" w:rsidRPr="00000000" w14:paraId="00000050">
            <w:pPr>
              <w:spacing w:after="120" w:line="360" w:lineRule="auto"/>
              <w:rPr/>
            </w:pPr>
            <w:r w:rsidDel="00000000" w:rsidR="00000000" w:rsidRPr="00000000">
              <w:rPr>
                <w:sz w:val="20"/>
                <w:szCs w:val="20"/>
                <w:rtl w:val="0"/>
              </w:rPr>
              <w:t xml:space="preserve">Links the case directly to high-harm patterns in ageing populations</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51">
            <w:pPr>
              <w:spacing w:after="120" w:line="360" w:lineRule="auto"/>
              <w:rPr/>
            </w:pPr>
            <w:r w:rsidDel="00000000" w:rsidR="00000000" w:rsidRPr="00000000">
              <w:rPr>
                <w:sz w:val="20"/>
                <w:szCs w:val="20"/>
                <w:rtl w:val="0"/>
              </w:rPr>
              <w:t xml:space="preserve">Gustafsson (2024)</w:t>
            </w:r>
            <w:r w:rsidDel="00000000" w:rsidR="00000000" w:rsidRPr="00000000">
              <w:rPr>
                <w:rtl w:val="0"/>
              </w:rPr>
            </w:r>
          </w:p>
        </w:tc>
        <w:tc>
          <w:tcPr>
            <w:vAlign w:val="center"/>
          </w:tcPr>
          <w:p w:rsidR="00000000" w:rsidDel="00000000" w:rsidP="00000000" w:rsidRDefault="00000000" w:rsidRPr="00000000" w14:paraId="00000052">
            <w:pPr>
              <w:spacing w:after="120" w:line="360" w:lineRule="auto"/>
              <w:rPr/>
            </w:pPr>
            <w:r w:rsidDel="00000000" w:rsidR="00000000" w:rsidRPr="00000000">
              <w:rPr>
                <w:sz w:val="20"/>
                <w:szCs w:val="20"/>
                <w:rtl w:val="0"/>
              </w:rPr>
              <w:t xml:space="preserve">Incorrect opioid dose, formulation confusion and communication failures remain common in serious opioid events.</w:t>
            </w:r>
            <w:r w:rsidDel="00000000" w:rsidR="00000000" w:rsidRPr="00000000">
              <w:rPr>
                <w:rtl w:val="0"/>
              </w:rPr>
            </w:r>
          </w:p>
        </w:tc>
        <w:tc>
          <w:tcPr>
            <w:vAlign w:val="center"/>
          </w:tcPr>
          <w:p w:rsidR="00000000" w:rsidDel="00000000" w:rsidP="00000000" w:rsidRDefault="00000000" w:rsidRPr="00000000" w14:paraId="00000053">
            <w:pPr>
              <w:spacing w:after="120" w:line="360" w:lineRule="auto"/>
              <w:rPr/>
            </w:pPr>
            <w:r w:rsidDel="00000000" w:rsidR="00000000" w:rsidRPr="00000000">
              <w:rPr>
                <w:sz w:val="20"/>
                <w:szCs w:val="20"/>
                <w:rtl w:val="0"/>
              </w:rPr>
              <w:t xml:space="preserve">Connects the case to the wider opioid safety literature</w:t>
            </w:r>
            <w:r w:rsidDel="00000000" w:rsidR="00000000" w:rsidRPr="00000000">
              <w:rPr>
                <w:rtl w:val="0"/>
              </w:rPr>
            </w:r>
          </w:p>
        </w:tc>
      </w:tr>
    </w:tbl>
    <w:p w:rsidR="00000000" w:rsidDel="00000000" w:rsidP="00000000" w:rsidRDefault="00000000" w:rsidRPr="00000000" w14:paraId="00000054">
      <w:pPr>
        <w:spacing w:line="360" w:lineRule="auto"/>
        <w:rPr/>
      </w:pPr>
      <w:r w:rsidDel="00000000" w:rsidR="00000000" w:rsidRPr="00000000">
        <w:rPr>
          <w:rtl w:val="0"/>
        </w:rPr>
      </w:r>
    </w:p>
    <w:p w:rsidR="00000000" w:rsidDel="00000000" w:rsidP="00000000" w:rsidRDefault="00000000" w:rsidRPr="00000000" w14:paraId="00000055">
      <w:pPr>
        <w:spacing w:after="120" w:line="360" w:lineRule="auto"/>
        <w:jc w:val="both"/>
        <w:rPr/>
      </w:pPr>
      <w:r w:rsidDel="00000000" w:rsidR="00000000" w:rsidRPr="00000000">
        <w:rPr>
          <w:rtl w:val="0"/>
        </w:rPr>
        <w:t xml:space="preserve">A rich picture helps develop a picture of how people, processes, structures, and emotions interact. Len, his wife, prescribers, pharmacists, nurses, managers and governance leads of Medicines, were the primary protagonists. They included clinical assessment, prescribing, dispensing, labelling, counselling, home administration, monitoring, and escalation. The structures comprised prescribing protocols, pharmacy cheques, package design, a reporting system, and governance committees. Feelings were also an issue: Len was not in good shape and in need; the patient was probably nervous and unconfident, and staff might have been under workload stress. </w:t>
      </w:r>
    </w:p>
    <w:p w:rsidR="00000000" w:rsidDel="00000000" w:rsidP="00000000" w:rsidRDefault="00000000" w:rsidRPr="00000000" w14:paraId="00000056">
      <w:pPr>
        <w:spacing w:after="120" w:line="360" w:lineRule="auto"/>
        <w:jc w:val="both"/>
        <w:rPr/>
      </w:pPr>
      <w:r w:rsidDel="00000000" w:rsidR="00000000" w:rsidRPr="00000000">
        <w:rPr/>
        <w:drawing>
          <wp:inline distB="0" distT="0" distL="0" distR="0">
            <wp:extent cx="5943600" cy="2867025"/>
            <wp:effectExtent b="0" l="0" r="0" t="0"/>
            <wp:docPr id="1" name="image1.png"/>
            <a:graphic>
              <a:graphicData uri="http://schemas.openxmlformats.org/drawingml/2006/picture">
                <pic:pic>
                  <pic:nvPicPr>
                    <pic:cNvPr id="0" name="image1.png"/>
                    <pic:cNvPicPr preferRelativeResize="0"/>
                  </pic:nvPicPr>
                  <pic:blipFill>
                    <a:blip r:embed="rId6"/>
                    <a:srcRect b="27644" l="0" r="0" t="0"/>
                    <a:stretch>
                      <a:fillRect/>
                    </a:stretch>
                  </pic:blipFill>
                  <pic:spPr>
                    <a:xfrm>
                      <a:off x="0" y="0"/>
                      <a:ext cx="5943600" cy="2867025"/>
                    </a:xfrm>
                    <a:prstGeom prst="rect"/>
                    <a:ln/>
                  </pic:spPr>
                </pic:pic>
              </a:graphicData>
            </a:graphic>
          </wp:inline>
        </w:drawing>
      </w:r>
      <w:r w:rsidDel="00000000" w:rsidR="00000000" w:rsidRPr="00000000">
        <w:rPr>
          <w:rtl w:val="0"/>
        </w:rPr>
      </w:r>
    </w:p>
    <w:p w:rsidR="00000000" w:rsidDel="00000000" w:rsidP="00000000" w:rsidRDefault="00000000" w:rsidRPr="00000000" w14:paraId="00000057">
      <w:pPr>
        <w:spacing w:after="120" w:line="360" w:lineRule="auto"/>
        <w:jc w:val="center"/>
        <w:rPr/>
      </w:pPr>
      <w:r w:rsidDel="00000000" w:rsidR="00000000" w:rsidRPr="00000000">
        <w:rPr>
          <w:b w:val="1"/>
          <w:bCs w:val="1"/>
          <w:i w:val="1"/>
          <w:iCs w:val="1"/>
          <w:sz w:val="21"/>
          <w:szCs w:val="21"/>
          <w:rtl w:val="0"/>
        </w:rPr>
        <w:t xml:space="preserve">Figure 1. Rich Picture of the Morphine Oral Solution Overdose System</w:t>
      </w:r>
      <w:r w:rsidDel="00000000" w:rsidR="00000000" w:rsidRPr="00000000">
        <w:rPr>
          <w:rtl w:val="0"/>
        </w:rPr>
      </w:r>
    </w:p>
    <w:p w:rsidR="00000000" w:rsidDel="00000000" w:rsidP="00000000" w:rsidRDefault="00000000" w:rsidRPr="00000000" w14:paraId="00000058">
      <w:pPr>
        <w:spacing w:after="120" w:line="360" w:lineRule="auto"/>
        <w:jc w:val="both"/>
        <w:rPr/>
      </w:pPr>
      <w:r w:rsidDel="00000000" w:rsidR="00000000" w:rsidRPr="00000000">
        <w:rPr>
          <w:rtl w:val="0"/>
        </w:rPr>
        <w:t xml:space="preserve">Through this pathway, workload pressure, confusion of concentration, fragmented accountability, weak teach-back, limited follow-up, and inefficient conversion of prior learning into more effective controls were active.</w:t>
      </w:r>
    </w:p>
    <w:p w:rsidR="00000000" w:rsidDel="00000000" w:rsidP="00000000" w:rsidRDefault="00000000" w:rsidRPr="00000000" w14:paraId="00000059">
      <w:pPr>
        <w:spacing w:after="120" w:line="360" w:lineRule="auto"/>
        <w:jc w:val="both"/>
        <w:rPr/>
      </w:pPr>
      <w:r w:rsidDel="00000000" w:rsidR="00000000" w:rsidRPr="00000000">
        <w:rPr>
          <w:rtl w:val="0"/>
        </w:rPr>
        <w:t xml:space="preserve">The rich picture reveals that the overdose was an outcome of the emergent system. It further visualises the missing feedback loops: insufficient confirmation of understanding, poor prospective overview of opioid hazards and poor governance education. The conclusion to the problem underlying the application of systems thinking is thus that it was both locally critical and internationally important, since the issue was a recurring, high-risk problem in the health care system, namely, how to make high-risk medicines safe for vulnerable patients who are not under direct supervision.</w:t>
      </w:r>
    </w:p>
    <w:p w:rsidR="00000000" w:rsidDel="00000000" w:rsidP="00000000" w:rsidRDefault="00000000" w:rsidRPr="00000000" w14:paraId="0000005A">
      <w:pPr>
        <w:pStyle w:val="Heading2"/>
        <w:spacing w:line="360" w:lineRule="auto"/>
        <w:rPr/>
      </w:pPr>
      <w:bookmarkStart w:colFirst="0" w:colLast="0" w:name="_ee7187fthe2x" w:id="3"/>
      <w:bookmarkEnd w:id="3"/>
      <w:r w:rsidDel="00000000" w:rsidR="00000000" w:rsidRPr="00000000">
        <w:rPr>
          <w:rtl w:val="0"/>
        </w:rPr>
        <w:t xml:space="preserve">B. Centralisation or Decentralisation within the Case Study</w:t>
      </w:r>
    </w:p>
    <w:p w:rsidR="00000000" w:rsidDel="00000000" w:rsidP="00000000" w:rsidRDefault="00000000" w:rsidRPr="00000000" w14:paraId="0000005B">
      <w:pPr>
        <w:spacing w:after="120" w:line="360" w:lineRule="auto"/>
        <w:jc w:val="both"/>
        <w:rPr/>
      </w:pPr>
      <w:r w:rsidDel="00000000" w:rsidR="00000000" w:rsidRPr="00000000">
        <w:rPr>
          <w:rtl w:val="0"/>
        </w:rPr>
        <w:t xml:space="preserve">The pharmaceutical channel here worked in a mixed governance system, yet in practice it exhibited a high level of decentralisation. National and regional bodies partly influence medical policy, but, to a large extent, operational responsibility for opioid prescribing, dispensing, and patient education is delegated to local clinicians, pharmacy teams, and care settings. That setup would be appropriate for numerous over-the-counter drugs. However, in a high-risk opioid route, the variations in labelling, counselling and follow-up may be brought about through decentralisation unless accompanied by powerful common safeguards. The morphine overdose indicates that there was local flexibility, but the central controls were insufficient to eliminate dangerous variation.</w:t>
      </w:r>
    </w:p>
    <w:p w:rsidR="00000000" w:rsidDel="00000000" w:rsidP="00000000" w:rsidRDefault="00000000" w:rsidRPr="00000000" w14:paraId="0000005C">
      <w:pPr>
        <w:spacing w:after="120" w:line="360" w:lineRule="auto"/>
        <w:jc w:val="both"/>
        <w:rPr/>
      </w:pPr>
      <w:r w:rsidDel="00000000" w:rsidR="00000000" w:rsidRPr="00000000">
        <w:rPr>
          <w:rtl w:val="0"/>
        </w:rPr>
        <w:t xml:space="preserve">Decentralisation devolves power to the front line. This, in principle, has significant merits. Local clinicians can respond rapidly to patient demand and customise information to the situation, taking into account the capacity of a frail older adult and family carer. Problem-solving and professional ownership can also be encouraged in a decentralised system. Recent publications in the literature on public administration and health systemshealth systems continue to argue that decentralised governance can enhance responsiveness and decision-making based on local context where local capacity is high (Dick-Sagoe, 2021). comprehension levels and organise follow-up accordingly based on the observed vulnerability.</w:t>
      </w:r>
    </w:p>
    <w:p w:rsidR="00000000" w:rsidDel="00000000" w:rsidP="00000000" w:rsidRDefault="00000000" w:rsidRPr="00000000" w14:paraId="0000005D">
      <w:pPr>
        <w:spacing w:after="120" w:line="360" w:lineRule="auto"/>
        <w:jc w:val="both"/>
        <w:rPr/>
      </w:pPr>
      <w:r w:rsidDel="00000000" w:rsidR="00000000" w:rsidRPr="00000000">
        <w:rPr>
          <w:rtl w:val="0"/>
        </w:rPr>
        <w:t xml:space="preserve">Nonetheless, there are risks to decentralisation, particularly when that process extends beyond a single organisation, and a single agent does not hold end-to-end safety. A recent survey of health-system decentralisation has revealed that it largely depends on institutional culture, information systems, and financial and managerial capacity; when weak, it can lead to fragmentation and reduced coherence (Sapkota, 2023). A second-generation review also established that decentralised governance could only promote equity and efficiency when steering mechanisms are robust enough to regulate quality variation (Oliveira, 2023). </w:t>
      </w:r>
    </w:p>
    <w:p w:rsidR="00000000" w:rsidDel="00000000" w:rsidP="00000000" w:rsidRDefault="00000000" w:rsidRPr="00000000" w14:paraId="0000005E">
      <w:pPr>
        <w:spacing w:after="120" w:line="360" w:lineRule="auto"/>
        <w:jc w:val="both"/>
        <w:rPr/>
      </w:pPr>
      <w:r w:rsidDel="00000000" w:rsidR="00000000" w:rsidRPr="00000000">
        <w:rPr>
          <w:rtl w:val="0"/>
        </w:rPr>
        <w:t xml:space="preserve">The drawbacks of decentralisation were also evident in accountability. Len had his medication course through cross-assessment, prescription, dispensing, and home delivery. Distributed authority along such paths is likely to result in diffused responsibility. No member of the nursing team is to bear the full responsibility for ensuring that the patient and carer are capable of measuring and taking the medicine safely. Decentralisation may also lead to inconsistent adoption of safeguards, such as teach-back, routine use of standard counselling scripts, clear focus on written records of concentration and volume, or early follow-up of weak patients. The current experience in low- and middle-income environments has demonstrated that, except in situations where authority is combined with clear functions, capability, and support, decentralised committees and local governance institutions enhance performance (Kesale, 2022). </w:t>
      </w:r>
    </w:p>
    <w:p w:rsidR="00000000" w:rsidDel="00000000" w:rsidP="00000000" w:rsidRDefault="00000000" w:rsidRPr="00000000" w14:paraId="0000005F">
      <w:pPr>
        <w:spacing w:after="120" w:line="360" w:lineRule="auto"/>
        <w:jc w:val="both"/>
        <w:rPr/>
      </w:pPr>
      <w:r w:rsidDel="00000000" w:rsidR="00000000" w:rsidRPr="00000000">
        <w:rPr>
          <w:rtl w:val="0"/>
        </w:rPr>
        <w:t xml:space="preserve">A more centralised approach would have focused control on the critical opioid safety standards. Such centralisation may involve the standard concentrations, the obligatory patient-facing labels, obligatory oral syringes, the standard counselling requirements and auditing triggers of the high-risk use of opioids in the elderly adult. In this regard, there are several benefits of centralisation. First, it minimises unhealthy variance. Second, it explains expectations. Third, it enhances control, as organisations can check adherence to the core standards rather than making assumptions about practice in core areas. A proponent of centralising healthcare argues that healthcare may be centrally controlled to enhance consistency and accountability, but should not be directed at impairing effective local modification (Scarffe, 2022). </w:t>
      </w:r>
    </w:p>
    <w:p w:rsidR="00000000" w:rsidDel="00000000" w:rsidP="00000000" w:rsidRDefault="00000000" w:rsidRPr="00000000" w14:paraId="00000060">
      <w:pPr>
        <w:spacing w:after="120" w:line="360" w:lineRule="auto"/>
        <w:jc w:val="both"/>
        <w:rPr/>
      </w:pPr>
      <w:r w:rsidDel="00000000" w:rsidR="00000000" w:rsidRPr="00000000">
        <w:rPr>
          <w:rtl w:val="0"/>
        </w:rPr>
        <w:t xml:space="preserve">Centralisation has its negative sides, however. Too inflexible systems can slow care, decrease clinician autonomy and give an illusion that written rules are the sole guarantee of care safety. Frontline teams have yet to be given the space to adapt to patients' needs, including sensory impairment, literacy, cognition, and family support. This issue of centralisation may also squash initiative if staff believe the policymakers' safety comes before the entire care team's. </w:t>
      </w:r>
    </w:p>
    <w:p w:rsidR="00000000" w:rsidDel="00000000" w:rsidP="00000000" w:rsidRDefault="00000000" w:rsidRPr="00000000" w14:paraId="00000061">
      <w:pPr>
        <w:spacing w:after="120" w:line="360" w:lineRule="auto"/>
        <w:jc w:val="both"/>
        <w:rPr/>
      </w:pPr>
      <w:r w:rsidDel="00000000" w:rsidR="00000000" w:rsidRPr="00000000">
        <w:rPr>
          <w:rtl w:val="0"/>
        </w:rPr>
        <w:t xml:space="preserve">The structure of the system has also been identified as having determined crisis management, accountability, and decision-making in the case. Before the overdose, the issue of decentralisation hampered the effort to prevent risks since risks were spread in settings but not addressed through unified supervision. There was decentralisation of decision-making, but the feedback required to ensure safe use failed to pass across the pathway. As soon as the system worsened, it turned reactive and crisis-oriented. This trend aligns with the body of literature on decentralisation, which indicates that distributed systems cannot perform well in coordination and information assimilation (Sapkota, 2023). </w:t>
      </w:r>
    </w:p>
    <w:p w:rsidR="00000000" w:rsidDel="00000000" w:rsidP="00000000" w:rsidRDefault="00000000" w:rsidRPr="00000000" w14:paraId="00000062">
      <w:pPr>
        <w:spacing w:after="120" w:line="360" w:lineRule="auto"/>
        <w:jc w:val="both"/>
        <w:rPr/>
      </w:pPr>
      <w:r w:rsidDel="00000000" w:rsidR="00000000" w:rsidRPr="00000000">
        <w:rPr>
          <w:rtl w:val="0"/>
        </w:rPr>
        <w:t xml:space="preserve">Greater numerical data confirms this. Medication errors in England are largely concentrated at stages such as prescribing, dispensing, and administration, and frequently occur at interfaces rather than at a single place where they are closely monitored (Elliott, 2021). Extreme datasets of medication errors indicate that older adults are particularly prone to high-harm events in case of failure of such interfaces (Linden-Lahti,2021). In recurring dosage and communication errors in a variety of settings are being reported in opioid safety reviews, suggesting that existing governance arrangements are failing to ensure that the known hazards are firmly managed (Gustafsson,2024). </w:t>
      </w:r>
    </w:p>
    <w:p w:rsidR="00000000" w:rsidDel="00000000" w:rsidP="00000000" w:rsidRDefault="00000000" w:rsidRPr="00000000" w14:paraId="00000063">
      <w:pPr>
        <w:pStyle w:val="Heading2"/>
        <w:spacing w:line="360" w:lineRule="auto"/>
        <w:rPr/>
      </w:pPr>
      <w:bookmarkStart w:colFirst="0" w:colLast="0" w:name="_a5jqdai6xvgf" w:id="4"/>
      <w:bookmarkEnd w:id="4"/>
      <w:r w:rsidDel="00000000" w:rsidR="00000000" w:rsidRPr="00000000">
        <w:rPr>
          <w:rtl w:val="0"/>
        </w:rPr>
        <w:t xml:space="preserve">C. Leadership Theories and Application to the Case Study</w:t>
      </w:r>
    </w:p>
    <w:p w:rsidR="00000000" w:rsidDel="00000000" w:rsidP="00000000" w:rsidRDefault="00000000" w:rsidRPr="00000000" w14:paraId="00000064">
      <w:pPr>
        <w:spacing w:after="120" w:line="360" w:lineRule="auto"/>
        <w:jc w:val="both"/>
        <w:rPr/>
      </w:pPr>
      <w:r w:rsidDel="00000000" w:rsidR="00000000" w:rsidRPr="00000000">
        <w:rPr>
          <w:rtl w:val="0"/>
        </w:rPr>
        <w:t xml:space="preserve">The theory of leadership can explain why the implementation of risky practises was not transformed into safer ones. Transformational, transactional, and situational leadership theories are most useful. They all bring another aspect of the case to light, and together they demonstrate that the failure was not purely technical. It was also cultural, organisational, and relational.</w:t>
      </w:r>
    </w:p>
    <w:p w:rsidR="00000000" w:rsidDel="00000000" w:rsidP="00000000" w:rsidRDefault="00000000" w:rsidRPr="00000000" w14:paraId="00000065">
      <w:pPr>
        <w:spacing w:after="120" w:line="360" w:lineRule="auto"/>
        <w:jc w:val="both"/>
        <w:rPr/>
      </w:pPr>
      <w:r w:rsidDel="00000000" w:rsidR="00000000" w:rsidRPr="00000000">
        <w:rPr>
          <w:rtl w:val="0"/>
        </w:rPr>
        <w:t xml:space="preserve">Transformational leadership is vision-oriented, values-oriented, learning and individually considered. Transformational leaders develop cultures where staff are empowered to challenge unsafe practises, learn to correct mistakes, and apply daily practice to a broader ethical commitment to safe patient safety. Current data indicate that transformational leadership in nursing settings is associated with increased empowerment, improved work conditions, and positive safety-related outcomes (Ystaas, 2023). A recent study found significant positive correlations between transformational leadership and patient safety culture, with safety culture partially mediating that connection (Hamdan, 2024). In the case of Len, the idea that such leadership was even actively developing an opioid pathway is hard to suggest. </w:t>
      </w:r>
    </w:p>
    <w:p w:rsidR="00000000" w:rsidDel="00000000" w:rsidP="00000000" w:rsidRDefault="00000000" w:rsidRPr="00000000" w14:paraId="00000066">
      <w:pPr>
        <w:spacing w:after="120" w:line="360" w:lineRule="auto"/>
        <w:jc w:val="both"/>
        <w:rPr/>
      </w:pPr>
      <w:r w:rsidDel="00000000" w:rsidR="00000000" w:rsidRPr="00000000">
        <w:rPr>
          <w:rtl w:val="0"/>
        </w:rPr>
        <w:t xml:space="preserve">The lack of this style can be traced to the system's reactivity. The pathway appears to have been generous with ambiguity until it became harmful, instead of expecting an opioid risk that can be foreseen. Transformational leadership would not have superseded technical safeguards, but would have ensured an enhanced culture in which such safeguards were anticipated, observed, and refined. Recent research on transformational leadership and nurse outcomes indicates that transformational leadership is not only directly related to patient safety but also indirectly through its capacity to enhance the work climate and promote trust, engagement, and safety climate (Labrague, 2024). </w:t>
      </w:r>
    </w:p>
    <w:p w:rsidR="00000000" w:rsidDel="00000000" w:rsidP="00000000" w:rsidRDefault="00000000" w:rsidRPr="00000000" w14:paraId="00000067">
      <w:pPr>
        <w:spacing w:after="120" w:line="360" w:lineRule="auto"/>
        <w:jc w:val="both"/>
        <w:rPr/>
      </w:pPr>
      <w:r w:rsidDel="00000000" w:rsidR="00000000" w:rsidRPr="00000000">
        <w:rPr>
          <w:rtl w:val="0"/>
        </w:rPr>
        <w:t xml:space="preserve">A second lens is transactional leadership. This model focuses on standards, role clarity, checking and corrective action. Transactional leadership becomes necessary in a high-risk medication process, as safety-critical activities must be carried out consistently each time. A transactional style of the morphine pathway would involve recording the concentration and intended volume to be used, enforcing dispensing processes, ensuring the supply of appropriate measuring instruments, and checking that counselling had taken place. Literature on medication safety frequently emphasises that the standardisation of medication administration, the use of monitoring, and the elimination of errors and error prevention are needed to reduce reliance on attention or memory (Tariq, 2024). </w:t>
      </w:r>
    </w:p>
    <w:p w:rsidR="00000000" w:rsidDel="00000000" w:rsidP="00000000" w:rsidRDefault="00000000" w:rsidRPr="00000000" w14:paraId="00000068">
      <w:pPr>
        <w:spacing w:after="120" w:line="360" w:lineRule="auto"/>
        <w:rPr/>
      </w:pPr>
      <w:r w:rsidDel="00000000" w:rsidR="00000000" w:rsidRPr="00000000">
        <w:rPr>
          <w:b w:val="1"/>
          <w:bCs w:val="1"/>
          <w:sz w:val="21"/>
          <w:szCs w:val="21"/>
          <w:rtl w:val="0"/>
        </w:rPr>
        <w:t xml:space="preserve">Table 2. Leadership Theory Application to the Morphine Oral Solution Case</w:t>
      </w:r>
      <w:r w:rsidDel="00000000" w:rsidR="00000000" w:rsidRPr="00000000">
        <w:rPr>
          <w:rtl w:val="0"/>
        </w:rPr>
      </w:r>
    </w:p>
    <w:tbl>
      <w:tblPr>
        <w:tblStyle w:val="Table2"/>
        <w:tblW w:w="9350.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303"/>
        <w:gridCol w:w="3164"/>
        <w:gridCol w:w="3883"/>
        <w:tblGridChange w:id="0">
          <w:tblGrid>
            <w:gridCol w:w="2303"/>
            <w:gridCol w:w="3164"/>
            <w:gridCol w:w="3883"/>
          </w:tblGrid>
        </w:tblGridChange>
      </w:tblGrid>
      <w:tr>
        <w:trPr>
          <w:cantSplit w:val="0"/>
          <w:tblHeader w:val="0"/>
        </w:trPr>
        <w:tc>
          <w:tcPr>
            <w:shd w:fill="d9eaf7" w:val="clear"/>
            <w:vAlign w:val="center"/>
          </w:tcPr>
          <w:p w:rsidR="00000000" w:rsidDel="00000000" w:rsidP="00000000" w:rsidRDefault="00000000" w:rsidRPr="00000000" w14:paraId="00000069">
            <w:pPr>
              <w:spacing w:after="120" w:line="360" w:lineRule="auto"/>
              <w:rPr/>
            </w:pPr>
            <w:r w:rsidDel="00000000" w:rsidR="00000000" w:rsidRPr="00000000">
              <w:rPr>
                <w:b w:val="1"/>
                <w:bCs w:val="1"/>
                <w:sz w:val="20"/>
                <w:szCs w:val="20"/>
                <w:rtl w:val="0"/>
              </w:rPr>
              <w:t xml:space="preserve">Theory / Model</w:t>
            </w:r>
            <w:r w:rsidDel="00000000" w:rsidR="00000000" w:rsidRPr="00000000">
              <w:rPr>
                <w:rtl w:val="0"/>
              </w:rPr>
            </w:r>
          </w:p>
        </w:tc>
        <w:tc>
          <w:tcPr>
            <w:shd w:fill="d9eaf7" w:val="clear"/>
            <w:vAlign w:val="center"/>
          </w:tcPr>
          <w:p w:rsidR="00000000" w:rsidDel="00000000" w:rsidP="00000000" w:rsidRDefault="00000000" w:rsidRPr="00000000" w14:paraId="0000006A">
            <w:pPr>
              <w:spacing w:after="120" w:line="360" w:lineRule="auto"/>
              <w:rPr/>
            </w:pPr>
            <w:r w:rsidDel="00000000" w:rsidR="00000000" w:rsidRPr="00000000">
              <w:rPr>
                <w:b w:val="1"/>
                <w:bCs w:val="1"/>
                <w:sz w:val="20"/>
                <w:szCs w:val="20"/>
                <w:rtl w:val="0"/>
              </w:rPr>
              <w:t xml:space="preserve">Application to the Case</w:t>
            </w:r>
            <w:r w:rsidDel="00000000" w:rsidR="00000000" w:rsidRPr="00000000">
              <w:rPr>
                <w:rtl w:val="0"/>
              </w:rPr>
            </w:r>
          </w:p>
        </w:tc>
        <w:tc>
          <w:tcPr>
            <w:shd w:fill="d9eaf7" w:val="clear"/>
            <w:vAlign w:val="center"/>
          </w:tcPr>
          <w:p w:rsidR="00000000" w:rsidDel="00000000" w:rsidP="00000000" w:rsidRDefault="00000000" w:rsidRPr="00000000" w14:paraId="0000006B">
            <w:pPr>
              <w:spacing w:after="120" w:line="360" w:lineRule="auto"/>
              <w:rPr/>
            </w:pPr>
            <w:r w:rsidDel="00000000" w:rsidR="00000000" w:rsidRPr="00000000">
              <w:rPr>
                <w:b w:val="1"/>
                <w:bCs w:val="1"/>
                <w:sz w:val="20"/>
                <w:szCs w:val="20"/>
                <w:rtl w:val="0"/>
              </w:rPr>
              <w:t xml:space="preserve">Supporting Data and Critique</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6C">
            <w:pPr>
              <w:spacing w:after="120" w:line="360" w:lineRule="auto"/>
              <w:rPr/>
            </w:pPr>
            <w:r w:rsidDel="00000000" w:rsidR="00000000" w:rsidRPr="00000000">
              <w:rPr>
                <w:sz w:val="20"/>
                <w:szCs w:val="20"/>
                <w:rtl w:val="0"/>
              </w:rPr>
              <w:t xml:space="preserve">Theory / Model</w:t>
            </w:r>
            <w:r w:rsidDel="00000000" w:rsidR="00000000" w:rsidRPr="00000000">
              <w:rPr>
                <w:rtl w:val="0"/>
              </w:rPr>
            </w:r>
          </w:p>
        </w:tc>
        <w:tc>
          <w:tcPr>
            <w:vAlign w:val="center"/>
          </w:tcPr>
          <w:p w:rsidR="00000000" w:rsidDel="00000000" w:rsidP="00000000" w:rsidRDefault="00000000" w:rsidRPr="00000000" w14:paraId="0000006D">
            <w:pPr>
              <w:spacing w:after="120" w:line="360" w:lineRule="auto"/>
              <w:rPr/>
            </w:pPr>
            <w:r w:rsidDel="00000000" w:rsidR="00000000" w:rsidRPr="00000000">
              <w:rPr>
                <w:sz w:val="20"/>
                <w:szCs w:val="20"/>
                <w:rtl w:val="0"/>
              </w:rPr>
              <w:t xml:space="preserve">Application to the Case</w:t>
            </w:r>
            <w:r w:rsidDel="00000000" w:rsidR="00000000" w:rsidRPr="00000000">
              <w:rPr>
                <w:rtl w:val="0"/>
              </w:rPr>
            </w:r>
          </w:p>
        </w:tc>
        <w:tc>
          <w:tcPr>
            <w:vAlign w:val="center"/>
          </w:tcPr>
          <w:p w:rsidR="00000000" w:rsidDel="00000000" w:rsidP="00000000" w:rsidRDefault="00000000" w:rsidRPr="00000000" w14:paraId="0000006E">
            <w:pPr>
              <w:spacing w:after="120" w:line="360" w:lineRule="auto"/>
              <w:rPr/>
            </w:pPr>
            <w:r w:rsidDel="00000000" w:rsidR="00000000" w:rsidRPr="00000000">
              <w:rPr>
                <w:sz w:val="20"/>
                <w:szCs w:val="20"/>
                <w:rtl w:val="0"/>
              </w:rPr>
              <w:t xml:space="preserve">Supporting Data and Critique</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6F">
            <w:pPr>
              <w:spacing w:after="120" w:line="360" w:lineRule="auto"/>
              <w:rPr/>
            </w:pPr>
            <w:r w:rsidDel="00000000" w:rsidR="00000000" w:rsidRPr="00000000">
              <w:rPr>
                <w:sz w:val="20"/>
                <w:szCs w:val="20"/>
                <w:rtl w:val="0"/>
              </w:rPr>
              <w:t xml:space="preserve">Transformational leadership</w:t>
            </w:r>
            <w:r w:rsidDel="00000000" w:rsidR="00000000" w:rsidRPr="00000000">
              <w:rPr>
                <w:rtl w:val="0"/>
              </w:rPr>
            </w:r>
          </w:p>
        </w:tc>
        <w:tc>
          <w:tcPr>
            <w:vAlign w:val="center"/>
          </w:tcPr>
          <w:p w:rsidR="00000000" w:rsidDel="00000000" w:rsidP="00000000" w:rsidRDefault="00000000" w:rsidRPr="00000000" w14:paraId="00000070">
            <w:pPr>
              <w:spacing w:after="120" w:line="360" w:lineRule="auto"/>
              <w:rPr/>
            </w:pPr>
            <w:r w:rsidDel="00000000" w:rsidR="00000000" w:rsidRPr="00000000">
              <w:rPr>
                <w:sz w:val="20"/>
                <w:szCs w:val="20"/>
                <w:rtl w:val="0"/>
              </w:rPr>
              <w:t xml:space="preserve">Could have created a strong safety vision around high-risk opioid use, patient understanding and speaking up</w:t>
            </w:r>
            <w:r w:rsidDel="00000000" w:rsidR="00000000" w:rsidRPr="00000000">
              <w:rPr>
                <w:rtl w:val="0"/>
              </w:rPr>
            </w:r>
          </w:p>
        </w:tc>
        <w:tc>
          <w:tcPr>
            <w:vAlign w:val="center"/>
          </w:tcPr>
          <w:p w:rsidR="00000000" w:rsidDel="00000000" w:rsidP="00000000" w:rsidRDefault="00000000" w:rsidRPr="00000000" w14:paraId="00000071">
            <w:pPr>
              <w:spacing w:after="120" w:line="360" w:lineRule="auto"/>
              <w:rPr/>
            </w:pPr>
            <w:r w:rsidDel="00000000" w:rsidR="00000000" w:rsidRPr="00000000">
              <w:rPr>
                <w:sz w:val="20"/>
                <w:szCs w:val="20"/>
                <w:rtl w:val="0"/>
              </w:rPr>
              <w:t xml:space="preserve">Transformational leadership is linked to better safety culture and safer nursing practices, suggesting that a stronger safety climate may have prevented ambiguity around morphine use (Hamdan,2024)</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72">
            <w:pPr>
              <w:spacing w:after="120" w:line="360" w:lineRule="auto"/>
              <w:rPr/>
            </w:pPr>
            <w:r w:rsidDel="00000000" w:rsidR="00000000" w:rsidRPr="00000000">
              <w:rPr>
                <w:sz w:val="20"/>
                <w:szCs w:val="20"/>
                <w:rtl w:val="0"/>
              </w:rPr>
              <w:t xml:space="preserve">Transactional leadership</w:t>
            </w:r>
            <w:r w:rsidDel="00000000" w:rsidR="00000000" w:rsidRPr="00000000">
              <w:rPr>
                <w:rtl w:val="0"/>
              </w:rPr>
            </w:r>
          </w:p>
        </w:tc>
        <w:tc>
          <w:tcPr>
            <w:vAlign w:val="center"/>
          </w:tcPr>
          <w:p w:rsidR="00000000" w:rsidDel="00000000" w:rsidP="00000000" w:rsidRDefault="00000000" w:rsidRPr="00000000" w14:paraId="00000073">
            <w:pPr>
              <w:spacing w:after="120" w:line="360" w:lineRule="auto"/>
              <w:rPr/>
            </w:pPr>
            <w:r w:rsidDel="00000000" w:rsidR="00000000" w:rsidRPr="00000000">
              <w:rPr>
                <w:sz w:val="20"/>
                <w:szCs w:val="20"/>
                <w:rtl w:val="0"/>
              </w:rPr>
              <w:t xml:space="preserve">Could have enforced mandatory checks on concentration, labelling, device supply and teach-back before issue</w:t>
            </w:r>
            <w:r w:rsidDel="00000000" w:rsidR="00000000" w:rsidRPr="00000000">
              <w:rPr>
                <w:rtl w:val="0"/>
              </w:rPr>
            </w:r>
          </w:p>
        </w:tc>
        <w:tc>
          <w:tcPr>
            <w:vAlign w:val="center"/>
          </w:tcPr>
          <w:p w:rsidR="00000000" w:rsidDel="00000000" w:rsidP="00000000" w:rsidRDefault="00000000" w:rsidRPr="00000000" w14:paraId="00000074">
            <w:pPr>
              <w:spacing w:after="120" w:line="360" w:lineRule="auto"/>
              <w:rPr/>
            </w:pPr>
            <w:r w:rsidDel="00000000" w:rsidR="00000000" w:rsidRPr="00000000">
              <w:rPr>
                <w:sz w:val="20"/>
                <w:szCs w:val="20"/>
                <w:rtl w:val="0"/>
              </w:rPr>
              <w:t xml:space="preserve">Necessary for standardisation, but insufficient alone if staff and families still feel unable to disclose confusion (Tariq,2024)</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75">
            <w:pPr>
              <w:spacing w:after="120" w:line="360" w:lineRule="auto"/>
              <w:rPr/>
            </w:pPr>
            <w:r w:rsidDel="00000000" w:rsidR="00000000" w:rsidRPr="00000000">
              <w:rPr>
                <w:sz w:val="20"/>
                <w:szCs w:val="20"/>
                <w:rtl w:val="0"/>
              </w:rPr>
              <w:t xml:space="preserve">Situational leadership</w:t>
            </w:r>
            <w:r w:rsidDel="00000000" w:rsidR="00000000" w:rsidRPr="00000000">
              <w:rPr>
                <w:rtl w:val="0"/>
              </w:rPr>
            </w:r>
          </w:p>
        </w:tc>
        <w:tc>
          <w:tcPr>
            <w:vAlign w:val="center"/>
          </w:tcPr>
          <w:p w:rsidR="00000000" w:rsidDel="00000000" w:rsidP="00000000" w:rsidRDefault="00000000" w:rsidRPr="00000000" w14:paraId="00000076">
            <w:pPr>
              <w:spacing w:after="120" w:line="360" w:lineRule="auto"/>
              <w:rPr/>
            </w:pPr>
            <w:r w:rsidDel="00000000" w:rsidR="00000000" w:rsidRPr="00000000">
              <w:rPr>
                <w:sz w:val="20"/>
                <w:szCs w:val="20"/>
                <w:rtl w:val="0"/>
              </w:rPr>
              <w:t xml:space="preserve">Could have adapted the level of support and verification to the vulnerability of Len and his wife</w:t>
            </w:r>
            <w:r w:rsidDel="00000000" w:rsidR="00000000" w:rsidRPr="00000000">
              <w:rPr>
                <w:rtl w:val="0"/>
              </w:rPr>
            </w:r>
          </w:p>
        </w:tc>
        <w:tc>
          <w:tcPr>
            <w:vAlign w:val="center"/>
          </w:tcPr>
          <w:p w:rsidR="00000000" w:rsidDel="00000000" w:rsidP="00000000" w:rsidRDefault="00000000" w:rsidRPr="00000000" w14:paraId="00000077">
            <w:pPr>
              <w:spacing w:after="120" w:line="360" w:lineRule="auto"/>
              <w:rPr/>
            </w:pPr>
            <w:r w:rsidDel="00000000" w:rsidR="00000000" w:rsidRPr="00000000">
              <w:rPr>
                <w:sz w:val="20"/>
                <w:szCs w:val="20"/>
                <w:rtl w:val="0"/>
              </w:rPr>
              <w:t xml:space="preserve">Appropriate because frail older adults using opioids need more directive and supportive communication than lower-risk patients (Virnes,2022)</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78">
            <w:pPr>
              <w:spacing w:after="120" w:line="360" w:lineRule="auto"/>
              <w:rPr/>
            </w:pPr>
            <w:r w:rsidDel="00000000" w:rsidR="00000000" w:rsidRPr="00000000">
              <w:rPr>
                <w:sz w:val="20"/>
                <w:szCs w:val="20"/>
                <w:rtl w:val="0"/>
              </w:rPr>
              <w:t xml:space="preserve">Distributed leadership</w:t>
            </w:r>
            <w:r w:rsidDel="00000000" w:rsidR="00000000" w:rsidRPr="00000000">
              <w:rPr>
                <w:rtl w:val="0"/>
              </w:rPr>
            </w:r>
          </w:p>
        </w:tc>
        <w:tc>
          <w:tcPr>
            <w:vAlign w:val="center"/>
          </w:tcPr>
          <w:p w:rsidR="00000000" w:rsidDel="00000000" w:rsidP="00000000" w:rsidRDefault="00000000" w:rsidRPr="00000000" w14:paraId="00000079">
            <w:pPr>
              <w:spacing w:after="120" w:line="360" w:lineRule="auto"/>
              <w:rPr/>
            </w:pPr>
            <w:r w:rsidDel="00000000" w:rsidR="00000000" w:rsidRPr="00000000">
              <w:rPr>
                <w:sz w:val="20"/>
                <w:szCs w:val="20"/>
                <w:rtl w:val="0"/>
              </w:rPr>
              <w:t xml:space="preserve">Could have empowered pharmacists, nurses and prescribers to pause the pathway when understanding was uncertain</w:t>
            </w:r>
            <w:r w:rsidDel="00000000" w:rsidR="00000000" w:rsidRPr="00000000">
              <w:rPr>
                <w:rtl w:val="0"/>
              </w:rPr>
            </w:r>
          </w:p>
        </w:tc>
        <w:tc>
          <w:tcPr>
            <w:vAlign w:val="center"/>
          </w:tcPr>
          <w:p w:rsidR="00000000" w:rsidDel="00000000" w:rsidP="00000000" w:rsidRDefault="00000000" w:rsidRPr="00000000" w14:paraId="0000007A">
            <w:pPr>
              <w:spacing w:after="120" w:line="360" w:lineRule="auto"/>
              <w:rPr/>
            </w:pPr>
            <w:r w:rsidDel="00000000" w:rsidR="00000000" w:rsidRPr="00000000">
              <w:rPr>
                <w:sz w:val="20"/>
                <w:szCs w:val="20"/>
                <w:rtl w:val="0"/>
              </w:rPr>
              <w:t xml:space="preserve">Cross-boundary medication systems require shared authority because risk is generated across professional interfaces (Guibert-Lacasa,2022)</w:t>
            </w:r>
            <w:r w:rsidDel="00000000" w:rsidR="00000000" w:rsidRPr="00000000">
              <w:rPr>
                <w:rtl w:val="0"/>
              </w:rPr>
            </w:r>
          </w:p>
        </w:tc>
      </w:tr>
    </w:tbl>
    <w:p w:rsidR="00000000" w:rsidDel="00000000" w:rsidP="00000000" w:rsidRDefault="00000000" w:rsidRPr="00000000" w14:paraId="0000007B">
      <w:pPr>
        <w:spacing w:line="360" w:lineRule="auto"/>
        <w:rPr/>
      </w:pPr>
      <w:r w:rsidDel="00000000" w:rsidR="00000000" w:rsidRPr="00000000">
        <w:rPr>
          <w:rtl w:val="0"/>
        </w:rPr>
      </w:r>
    </w:p>
    <w:p w:rsidR="00000000" w:rsidDel="00000000" w:rsidP="00000000" w:rsidRDefault="00000000" w:rsidRPr="00000000" w14:paraId="0000007C">
      <w:pPr>
        <w:spacing w:after="120" w:line="360" w:lineRule="auto"/>
        <w:jc w:val="both"/>
        <w:rPr/>
      </w:pPr>
      <w:r w:rsidDel="00000000" w:rsidR="00000000" w:rsidRPr="00000000">
        <w:rPr>
          <w:rtl w:val="0"/>
        </w:rPr>
        <w:t xml:space="preserve">This is particularly true of situational leadership, which focuses on tailoring the style to the situation. An elderly, weak patient, aged 89 years, under a powerful opioid drug, does not need the same amount of clarification and validation as a risk-free generic drug. Situational leadership would thus facilitate a more directive, structured approach to the high-risk components of the process, while simultaneously using supportive coaching to gauge Len and his wife's confidence in managing the medicine at home. This theory is appropriate to the realities of the health care field, in which leaders should know when to be stricter and when to be more collaborative with teams and patients. The primary failure in the case was that the leadership's response was not deemed adequately adjusted to the degree of vulnerability and risk.</w:t>
      </w:r>
    </w:p>
    <w:p w:rsidR="00000000" w:rsidDel="00000000" w:rsidP="00000000" w:rsidRDefault="00000000" w:rsidRPr="00000000" w14:paraId="0000007D">
      <w:pPr>
        <w:spacing w:after="120" w:line="360" w:lineRule="auto"/>
        <w:jc w:val="both"/>
        <w:rPr/>
      </w:pPr>
      <w:r w:rsidDel="00000000" w:rsidR="00000000" w:rsidRPr="00000000">
        <w:rPr>
          <w:rtl w:val="0"/>
        </w:rPr>
        <w:t xml:space="preserve">Another way to look at the case is through the distinction between reactive and proactive leadership. Reactive leaders respond to damage and react frequently by increasing regulations or reorganising employees. Proactive leaders rely on data and past events to predict risks, identify weak areas, and build resilience before negative incidents. The morphine pathway seems to have been done on a reactive basis. Extra drastic medication error studies, opioid negative event literature and pharmacological advice already provided blatant caution that misunderstanding with morphine dosage may be perilous, particularly in the elderly (Linden-Lahti,2021). </w:t>
      </w:r>
    </w:p>
    <w:p w:rsidR="00000000" w:rsidDel="00000000" w:rsidP="00000000" w:rsidRDefault="00000000" w:rsidRPr="00000000" w14:paraId="0000007E">
      <w:pPr>
        <w:spacing w:after="120" w:line="360" w:lineRule="auto"/>
        <w:jc w:val="both"/>
        <w:rPr/>
      </w:pPr>
      <w:r w:rsidDel="00000000" w:rsidR="00000000" w:rsidRPr="00000000">
        <w:rPr>
          <w:rtl w:val="0"/>
        </w:rPr>
        <w:t xml:space="preserve">Evidence regarding staff conduct and safety outcomes can also be used to assess leadership effectiveness. The literature consistently indicates that the patient safety culture is positively associated with reporting, reduced adverse events, and safer practises, and that leadership style is a significant factor contributing to the patient safety culture (Hamdan, 2024). Recent studies on genuine nursing leadership show comparable relationships between observable and credible leadership and better safety climate and teamwork (Medeiros, 2024). Though data regarding the staff survey is not given in the case itself, the serious outcome of harm is a strong indicator that the leadership and culture related to the subject of opioid safety were not efficient enough. Such a misunderstanding is too serious to go through in a resilient organisation without being detectable before the medicine leads to life-threatening deterioration.</w:t>
      </w:r>
    </w:p>
    <w:p w:rsidR="00000000" w:rsidDel="00000000" w:rsidP="00000000" w:rsidRDefault="00000000" w:rsidRPr="00000000" w14:paraId="0000007F">
      <w:pPr>
        <w:pStyle w:val="Heading2"/>
        <w:spacing w:line="360" w:lineRule="auto"/>
        <w:rPr/>
      </w:pPr>
      <w:bookmarkStart w:colFirst="0" w:colLast="0" w:name="_a1mjo93h9afh" w:id="5"/>
      <w:bookmarkEnd w:id="5"/>
      <w:r w:rsidDel="00000000" w:rsidR="00000000" w:rsidRPr="00000000">
        <w:rPr>
          <w:rtl w:val="0"/>
        </w:rPr>
        <w:t xml:space="preserve">D. Improvement, and Lessons Learned</w:t>
      </w:r>
    </w:p>
    <w:p w:rsidR="00000000" w:rsidDel="00000000" w:rsidP="00000000" w:rsidRDefault="00000000" w:rsidRPr="00000000" w14:paraId="00000080">
      <w:pPr>
        <w:spacing w:after="120" w:line="360" w:lineRule="auto"/>
        <w:rPr/>
      </w:pPr>
      <w:r w:rsidDel="00000000" w:rsidR="00000000" w:rsidRPr="00000000">
        <w:rPr>
          <w:rtl w:val="0"/>
        </w:rPr>
        <w:t xml:space="preserve">The results of this situation were the product of poor quality governance and less active leadership. The rules, accountability, and assurance mechanisms for high-risk opioid use should have been specified in governance and then translated into daily priorities, behaviours, and learning by leadership. Rather, governance seems to have tolerated ambiguity, and leadership was unable to counter it by redesigning the pathway to circumvent familiar weaknesses. It is typical of most patient safety failures in that, by the time the governance is not deemed to cover all the gaps, and the leadership fails to spot or seal the gaps, the risks continue to multiply until the risk occurs, namely a patient who is vulnerable but becomes harmed (Bates,2023).</w:t>
      </w:r>
    </w:p>
    <w:p w:rsidR="00000000" w:rsidDel="00000000" w:rsidP="00000000" w:rsidRDefault="00000000" w:rsidRPr="00000000" w14:paraId="00000081">
      <w:pPr>
        <w:spacing w:after="120" w:line="360" w:lineRule="auto"/>
        <w:rPr/>
      </w:pPr>
      <w:r w:rsidDel="00000000" w:rsidR="00000000" w:rsidRPr="00000000">
        <w:rPr>
          <w:rtl w:val="0"/>
        </w:rPr>
        <w:t xml:space="preserve">The unrecognition of oral morphine in the elderly patients as an anticipated risk area that needs stronger control was also an obvious missed observation. The previous body of literature already associated opioids, weakness, home care and lack of communication with severe injury, but these indications have not been converted into common protection measures. Thematic review of incidents and near misses is increasingly supported by improvement science, as isolated event review often fails to reveal recurrent patterns within a system (Machen, 2023). Potential and actual risks that took place before the terminal episode, such as confusion of concentration, inconsistent counselling and poor verification of the carer, would have been identified in a thematic examination of opioid incidences.</w:t>
      </w:r>
    </w:p>
    <w:p w:rsidR="00000000" w:rsidDel="00000000" w:rsidP="00000000" w:rsidRDefault="00000000" w:rsidRPr="00000000" w14:paraId="00000082">
      <w:pPr>
        <w:spacing w:after="120" w:line="360" w:lineRule="auto"/>
        <w:rPr/>
      </w:pPr>
      <w:r w:rsidDel="00000000" w:rsidR="00000000" w:rsidRPr="00000000">
        <w:rPr>
          <w:rtl w:val="0"/>
        </w:rPr>
        <w:t xml:space="preserve">A second opportunity that was not taken was on patient and carer understanding. The route has seemingly assumed that a nomenclature and a description were sufficient. In the case of a high-risk opioid, particularly with a frail elderly person, that is an unsafe assumption. A more robust system would mandate the use of teach-back and demonstration with the oral syringe, ensuring that the patient and carer can explain dose, timing, and escalation. In modern medication-safety literature, it has been established that inspiring counselling requires validating usable insight rather than simply transmitting information (Tariq, 2024). It is a leadership challenge as well as a technical one, since organisations have to decide whether knowledge is something worth measuring and guaranteeing.</w:t>
      </w:r>
    </w:p>
    <w:p w:rsidR="00000000" w:rsidDel="00000000" w:rsidP="00000000" w:rsidRDefault="00000000" w:rsidRPr="00000000" w14:paraId="00000083">
      <w:pPr>
        <w:spacing w:after="120" w:line="360" w:lineRule="auto"/>
        <w:rPr/>
      </w:pPr>
      <w:r w:rsidDel="00000000" w:rsidR="00000000" w:rsidRPr="00000000">
        <w:rPr>
          <w:rtl w:val="0"/>
        </w:rPr>
        <w:t xml:space="preserve">Another opportunity that was not utilised was design simplification. When the concentration, dose, and volume can be mixed, such a system is not yet designed to be safe. The enhancement should then focus on improving the label layout, formulations, devices, and documentation, rather than reminding staff to exercise more caution. This strategy is supported by recent opioid safety surveys since the wrong medication dosage and confusion with formulations are a recursive etiological factor of severe adverse events (Gustafsson,2024). </w:t>
      </w:r>
    </w:p>
    <w:p w:rsidR="00000000" w:rsidDel="00000000" w:rsidP="00000000" w:rsidRDefault="00000000" w:rsidRPr="00000000" w14:paraId="00000084">
      <w:pPr>
        <w:spacing w:after="120" w:line="360" w:lineRule="auto"/>
        <w:rPr/>
      </w:pPr>
      <w:r w:rsidDel="00000000" w:rsidR="00000000" w:rsidRPr="00000000">
        <w:rPr>
          <w:b w:val="1"/>
          <w:bCs w:val="1"/>
          <w:sz w:val="21"/>
          <w:szCs w:val="21"/>
          <w:rtl w:val="0"/>
        </w:rPr>
        <w:t xml:space="preserve">Table 3. Problem, Evidence and Improvement Analysis for the Morphine Oral Solution Case</w:t>
      </w:r>
      <w:r w:rsidDel="00000000" w:rsidR="00000000" w:rsidRPr="00000000">
        <w:rPr>
          <w:rtl w:val="0"/>
        </w:rPr>
      </w:r>
    </w:p>
    <w:tbl>
      <w:tblPr>
        <w:tblStyle w:val="Table3"/>
        <w:tblW w:w="9350.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667"/>
        <w:gridCol w:w="3345"/>
        <w:gridCol w:w="3338"/>
        <w:tblGridChange w:id="0">
          <w:tblGrid>
            <w:gridCol w:w="2667"/>
            <w:gridCol w:w="3345"/>
            <w:gridCol w:w="3338"/>
          </w:tblGrid>
        </w:tblGridChange>
      </w:tblGrid>
      <w:tr>
        <w:trPr>
          <w:cantSplit w:val="0"/>
          <w:tblHeader w:val="0"/>
        </w:trPr>
        <w:tc>
          <w:tcPr>
            <w:shd w:fill="d9eaf7" w:val="clear"/>
            <w:vAlign w:val="center"/>
          </w:tcPr>
          <w:p w:rsidR="00000000" w:rsidDel="00000000" w:rsidP="00000000" w:rsidRDefault="00000000" w:rsidRPr="00000000" w14:paraId="00000085">
            <w:pPr>
              <w:spacing w:after="120" w:line="360" w:lineRule="auto"/>
              <w:rPr/>
            </w:pPr>
            <w:r w:rsidDel="00000000" w:rsidR="00000000" w:rsidRPr="00000000">
              <w:rPr>
                <w:b w:val="1"/>
                <w:bCs w:val="1"/>
                <w:sz w:val="20"/>
                <w:szCs w:val="20"/>
                <w:rtl w:val="0"/>
              </w:rPr>
              <w:t xml:space="preserve">Problem</w:t>
            </w:r>
            <w:r w:rsidDel="00000000" w:rsidR="00000000" w:rsidRPr="00000000">
              <w:rPr>
                <w:rtl w:val="0"/>
              </w:rPr>
            </w:r>
          </w:p>
        </w:tc>
        <w:tc>
          <w:tcPr>
            <w:shd w:fill="d9eaf7" w:val="clear"/>
            <w:vAlign w:val="center"/>
          </w:tcPr>
          <w:p w:rsidR="00000000" w:rsidDel="00000000" w:rsidP="00000000" w:rsidRDefault="00000000" w:rsidRPr="00000000" w14:paraId="00000086">
            <w:pPr>
              <w:spacing w:after="120" w:line="360" w:lineRule="auto"/>
              <w:rPr/>
            </w:pPr>
            <w:r w:rsidDel="00000000" w:rsidR="00000000" w:rsidRPr="00000000">
              <w:rPr>
                <w:b w:val="1"/>
                <w:bCs w:val="1"/>
                <w:sz w:val="20"/>
                <w:szCs w:val="20"/>
                <w:rtl w:val="0"/>
              </w:rPr>
              <w:t xml:space="preserve">Evidence/Data</w:t>
            </w:r>
            <w:r w:rsidDel="00000000" w:rsidR="00000000" w:rsidRPr="00000000">
              <w:rPr>
                <w:rtl w:val="0"/>
              </w:rPr>
            </w:r>
          </w:p>
        </w:tc>
        <w:tc>
          <w:tcPr>
            <w:shd w:fill="d9eaf7" w:val="clear"/>
            <w:vAlign w:val="center"/>
          </w:tcPr>
          <w:p w:rsidR="00000000" w:rsidDel="00000000" w:rsidP="00000000" w:rsidRDefault="00000000" w:rsidRPr="00000000" w14:paraId="00000087">
            <w:pPr>
              <w:spacing w:after="120" w:line="360" w:lineRule="auto"/>
              <w:rPr/>
            </w:pPr>
            <w:r w:rsidDel="00000000" w:rsidR="00000000" w:rsidRPr="00000000">
              <w:rPr>
                <w:b w:val="1"/>
                <w:bCs w:val="1"/>
                <w:sz w:val="20"/>
                <w:szCs w:val="20"/>
                <w:rtl w:val="0"/>
              </w:rPr>
              <w:t xml:space="preserve">Improvement Strategy</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88">
            <w:pPr>
              <w:spacing w:after="120" w:line="360" w:lineRule="auto"/>
              <w:rPr/>
            </w:pPr>
            <w:r w:rsidDel="00000000" w:rsidR="00000000" w:rsidRPr="00000000">
              <w:rPr>
                <w:sz w:val="20"/>
                <w:szCs w:val="20"/>
                <w:rtl w:val="0"/>
              </w:rPr>
              <w:t xml:space="preserve">Problem</w:t>
            </w:r>
            <w:r w:rsidDel="00000000" w:rsidR="00000000" w:rsidRPr="00000000">
              <w:rPr>
                <w:rtl w:val="0"/>
              </w:rPr>
            </w:r>
          </w:p>
        </w:tc>
        <w:tc>
          <w:tcPr>
            <w:vAlign w:val="center"/>
          </w:tcPr>
          <w:p w:rsidR="00000000" w:rsidDel="00000000" w:rsidP="00000000" w:rsidRDefault="00000000" w:rsidRPr="00000000" w14:paraId="00000089">
            <w:pPr>
              <w:spacing w:after="120" w:line="360" w:lineRule="auto"/>
              <w:rPr/>
            </w:pPr>
            <w:r w:rsidDel="00000000" w:rsidR="00000000" w:rsidRPr="00000000">
              <w:rPr>
                <w:sz w:val="20"/>
                <w:szCs w:val="20"/>
                <w:rtl w:val="0"/>
              </w:rPr>
              <w:t xml:space="preserve">Evidence/Data</w:t>
            </w:r>
            <w:r w:rsidDel="00000000" w:rsidR="00000000" w:rsidRPr="00000000">
              <w:rPr>
                <w:rtl w:val="0"/>
              </w:rPr>
            </w:r>
          </w:p>
        </w:tc>
        <w:tc>
          <w:tcPr>
            <w:vAlign w:val="center"/>
          </w:tcPr>
          <w:p w:rsidR="00000000" w:rsidDel="00000000" w:rsidP="00000000" w:rsidRDefault="00000000" w:rsidRPr="00000000" w14:paraId="0000008A">
            <w:pPr>
              <w:spacing w:after="120" w:line="360" w:lineRule="auto"/>
              <w:rPr/>
            </w:pPr>
            <w:r w:rsidDel="00000000" w:rsidR="00000000" w:rsidRPr="00000000">
              <w:rPr>
                <w:sz w:val="20"/>
                <w:szCs w:val="20"/>
                <w:rtl w:val="0"/>
              </w:rPr>
              <w:t xml:space="preserve">Improvement Strategy</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8B">
            <w:pPr>
              <w:spacing w:after="120" w:line="360" w:lineRule="auto"/>
              <w:rPr/>
            </w:pPr>
            <w:r w:rsidDel="00000000" w:rsidR="00000000" w:rsidRPr="00000000">
              <w:rPr>
                <w:sz w:val="20"/>
                <w:szCs w:val="20"/>
                <w:rtl w:val="0"/>
              </w:rPr>
              <w:t xml:space="preserve">Unclear opioid dosing and concentration communication</w:t>
            </w:r>
            <w:r w:rsidDel="00000000" w:rsidR="00000000" w:rsidRPr="00000000">
              <w:rPr>
                <w:rtl w:val="0"/>
              </w:rPr>
            </w:r>
          </w:p>
        </w:tc>
        <w:tc>
          <w:tcPr>
            <w:vAlign w:val="center"/>
          </w:tcPr>
          <w:p w:rsidR="00000000" w:rsidDel="00000000" w:rsidP="00000000" w:rsidRDefault="00000000" w:rsidRPr="00000000" w14:paraId="0000008C">
            <w:pPr>
              <w:spacing w:after="120" w:line="360" w:lineRule="auto"/>
              <w:rPr/>
            </w:pPr>
            <w:r w:rsidDel="00000000" w:rsidR="00000000" w:rsidRPr="00000000">
              <w:rPr>
                <w:sz w:val="20"/>
                <w:szCs w:val="20"/>
                <w:rtl w:val="0"/>
              </w:rPr>
              <w:t xml:space="preserve">Severe medication errors and opioid reviews show recurrent dose confusion and high harm in older adults</w:t>
            </w:r>
            <w:r w:rsidDel="00000000" w:rsidR="00000000" w:rsidRPr="00000000">
              <w:rPr>
                <w:rtl w:val="0"/>
              </w:rPr>
            </w:r>
          </w:p>
        </w:tc>
        <w:tc>
          <w:tcPr>
            <w:vAlign w:val="center"/>
          </w:tcPr>
          <w:p w:rsidR="00000000" w:rsidDel="00000000" w:rsidP="00000000" w:rsidRDefault="00000000" w:rsidRPr="00000000" w14:paraId="0000008D">
            <w:pPr>
              <w:spacing w:after="120" w:line="360" w:lineRule="auto"/>
              <w:rPr/>
            </w:pPr>
            <w:r w:rsidDel="00000000" w:rsidR="00000000" w:rsidRPr="00000000">
              <w:rPr>
                <w:sz w:val="20"/>
                <w:szCs w:val="20"/>
                <w:rtl w:val="0"/>
              </w:rPr>
              <w:t xml:space="preserve">Standardised labels, oral syringes and compulsory teach-back</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8E">
            <w:pPr>
              <w:spacing w:after="120" w:line="360" w:lineRule="auto"/>
              <w:rPr/>
            </w:pPr>
            <w:r w:rsidDel="00000000" w:rsidR="00000000" w:rsidRPr="00000000">
              <w:rPr>
                <w:sz w:val="20"/>
                <w:szCs w:val="20"/>
                <w:rtl w:val="0"/>
              </w:rPr>
              <w:t xml:space="preserve">Fragmented accountability across care settings</w:t>
            </w:r>
            <w:r w:rsidDel="00000000" w:rsidR="00000000" w:rsidRPr="00000000">
              <w:rPr>
                <w:rtl w:val="0"/>
              </w:rPr>
            </w:r>
          </w:p>
        </w:tc>
        <w:tc>
          <w:tcPr>
            <w:vAlign w:val="center"/>
          </w:tcPr>
          <w:p w:rsidR="00000000" w:rsidDel="00000000" w:rsidP="00000000" w:rsidRDefault="00000000" w:rsidRPr="00000000" w14:paraId="0000008F">
            <w:pPr>
              <w:spacing w:after="120" w:line="360" w:lineRule="auto"/>
              <w:rPr/>
            </w:pPr>
            <w:r w:rsidDel="00000000" w:rsidR="00000000" w:rsidRPr="00000000">
              <w:rPr>
                <w:sz w:val="20"/>
                <w:szCs w:val="20"/>
                <w:rtl w:val="0"/>
              </w:rPr>
              <w:t xml:space="preserve">England’s medication error burden is concentrated at interfaces between prescribing, dispensing and administration.</w:t>
            </w:r>
            <w:r w:rsidDel="00000000" w:rsidR="00000000" w:rsidRPr="00000000">
              <w:rPr>
                <w:rtl w:val="0"/>
              </w:rPr>
            </w:r>
          </w:p>
        </w:tc>
        <w:tc>
          <w:tcPr>
            <w:vAlign w:val="center"/>
          </w:tcPr>
          <w:p w:rsidR="00000000" w:rsidDel="00000000" w:rsidP="00000000" w:rsidRDefault="00000000" w:rsidRPr="00000000" w14:paraId="00000090">
            <w:pPr>
              <w:spacing w:after="120" w:line="360" w:lineRule="auto"/>
              <w:rPr/>
            </w:pPr>
            <w:r w:rsidDel="00000000" w:rsidR="00000000" w:rsidRPr="00000000">
              <w:rPr>
                <w:sz w:val="20"/>
                <w:szCs w:val="20"/>
                <w:rtl w:val="0"/>
              </w:rPr>
              <w:t xml:space="preserve">End-to-end pathway ownership and cross-setting audit</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91">
            <w:pPr>
              <w:spacing w:after="120" w:line="360" w:lineRule="auto"/>
              <w:rPr/>
            </w:pPr>
            <w:r w:rsidDel="00000000" w:rsidR="00000000" w:rsidRPr="00000000">
              <w:rPr>
                <w:sz w:val="20"/>
                <w:szCs w:val="20"/>
                <w:rtl w:val="0"/>
              </w:rPr>
              <w:t xml:space="preserve">Reactive rather than proactive learning</w:t>
            </w:r>
            <w:r w:rsidDel="00000000" w:rsidR="00000000" w:rsidRPr="00000000">
              <w:rPr>
                <w:rtl w:val="0"/>
              </w:rPr>
            </w:r>
          </w:p>
        </w:tc>
        <w:tc>
          <w:tcPr>
            <w:vAlign w:val="center"/>
          </w:tcPr>
          <w:p w:rsidR="00000000" w:rsidDel="00000000" w:rsidP="00000000" w:rsidRDefault="00000000" w:rsidRPr="00000000" w14:paraId="00000092">
            <w:pPr>
              <w:spacing w:after="120" w:line="360" w:lineRule="auto"/>
              <w:rPr/>
            </w:pPr>
            <w:r w:rsidDel="00000000" w:rsidR="00000000" w:rsidRPr="00000000">
              <w:rPr>
                <w:sz w:val="20"/>
                <w:szCs w:val="20"/>
                <w:rtl w:val="0"/>
              </w:rPr>
              <w:t xml:space="preserve">A systems review of the literature shows that thematic analysis leads to better organisational learning.</w:t>
            </w:r>
            <w:r w:rsidDel="00000000" w:rsidR="00000000" w:rsidRPr="00000000">
              <w:rPr>
                <w:rtl w:val="0"/>
              </w:rPr>
            </w:r>
          </w:p>
        </w:tc>
        <w:tc>
          <w:tcPr>
            <w:vAlign w:val="center"/>
          </w:tcPr>
          <w:p w:rsidR="00000000" w:rsidDel="00000000" w:rsidP="00000000" w:rsidRDefault="00000000" w:rsidRPr="00000000" w14:paraId="00000093">
            <w:pPr>
              <w:spacing w:after="120" w:line="360" w:lineRule="auto"/>
              <w:rPr/>
            </w:pPr>
            <w:r w:rsidDel="00000000" w:rsidR="00000000" w:rsidRPr="00000000">
              <w:rPr>
                <w:sz w:val="20"/>
                <w:szCs w:val="20"/>
                <w:rtl w:val="0"/>
              </w:rPr>
              <w:t xml:space="preserve">Routine thematic review of opioid incidents and near misses</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94">
            <w:pPr>
              <w:spacing w:after="120" w:line="360" w:lineRule="auto"/>
              <w:rPr/>
            </w:pPr>
            <w:r w:rsidDel="00000000" w:rsidR="00000000" w:rsidRPr="00000000">
              <w:rPr>
                <w:sz w:val="20"/>
                <w:szCs w:val="20"/>
                <w:rtl w:val="0"/>
              </w:rPr>
              <w:t xml:space="preserve">Weak culture for speaking up and checking understanding</w:t>
            </w:r>
            <w:r w:rsidDel="00000000" w:rsidR="00000000" w:rsidRPr="00000000">
              <w:rPr>
                <w:rtl w:val="0"/>
              </w:rPr>
            </w:r>
          </w:p>
        </w:tc>
        <w:tc>
          <w:tcPr>
            <w:vAlign w:val="center"/>
          </w:tcPr>
          <w:p w:rsidR="00000000" w:rsidDel="00000000" w:rsidP="00000000" w:rsidRDefault="00000000" w:rsidRPr="00000000" w14:paraId="00000095">
            <w:pPr>
              <w:spacing w:after="120" w:line="360" w:lineRule="auto"/>
              <w:rPr/>
            </w:pPr>
            <w:r w:rsidDel="00000000" w:rsidR="00000000" w:rsidRPr="00000000">
              <w:rPr>
                <w:sz w:val="20"/>
                <w:szCs w:val="20"/>
                <w:rtl w:val="0"/>
              </w:rPr>
              <w:t xml:space="preserve">Leadership and safety-culture studies show that reporting and safe practice improve when leaders are visible and non-punitive</w:t>
            </w:r>
            <w:r w:rsidDel="00000000" w:rsidR="00000000" w:rsidRPr="00000000">
              <w:rPr>
                <w:rtl w:val="0"/>
              </w:rPr>
            </w:r>
          </w:p>
        </w:tc>
        <w:tc>
          <w:tcPr>
            <w:vAlign w:val="center"/>
          </w:tcPr>
          <w:p w:rsidR="00000000" w:rsidDel="00000000" w:rsidP="00000000" w:rsidRDefault="00000000" w:rsidRPr="00000000" w14:paraId="00000096">
            <w:pPr>
              <w:spacing w:after="120" w:line="360" w:lineRule="auto"/>
              <w:rPr/>
            </w:pPr>
            <w:r w:rsidDel="00000000" w:rsidR="00000000" w:rsidRPr="00000000">
              <w:rPr>
                <w:sz w:val="20"/>
                <w:szCs w:val="20"/>
                <w:rtl w:val="0"/>
              </w:rPr>
              <w:t xml:space="preserve">Leadership development, safety huddles and just-culture reporting</w:t>
            </w:r>
            <w:r w:rsidDel="00000000" w:rsidR="00000000" w:rsidRPr="00000000">
              <w:rPr>
                <w:rtl w:val="0"/>
              </w:rPr>
            </w:r>
          </w:p>
        </w:tc>
      </w:tr>
    </w:tbl>
    <w:p w:rsidR="00000000" w:rsidDel="00000000" w:rsidP="00000000" w:rsidRDefault="00000000" w:rsidRPr="00000000" w14:paraId="00000097">
      <w:pPr>
        <w:spacing w:line="360" w:lineRule="auto"/>
        <w:rPr/>
      </w:pPr>
      <w:r w:rsidDel="00000000" w:rsidR="00000000" w:rsidRPr="00000000">
        <w:rPr>
          <w:rtl w:val="0"/>
        </w:rPr>
      </w:r>
    </w:p>
    <w:p w:rsidR="00000000" w:rsidDel="00000000" w:rsidP="00000000" w:rsidRDefault="00000000" w:rsidRPr="00000000" w14:paraId="00000098">
      <w:pPr>
        <w:spacing w:after="120" w:line="360" w:lineRule="auto"/>
        <w:jc w:val="both"/>
        <w:rPr/>
      </w:pPr>
      <w:r w:rsidDel="00000000" w:rsidR="00000000" w:rsidRPr="00000000">
        <w:rPr>
          <w:rtl w:val="0"/>
        </w:rPr>
        <w:t xml:space="preserve">Several general lessons can be drawn. To begin with, it cannot be a matter of one man pitting themselves. Even in a state of uncertainty for staff and patients, a safe pathway must remain reliable. Studies of complexity in pharmaceutical systems indicate that medical activities are highly networked and rely on a few players in most cases, making resilience by design critical (Stevens, 2023). Second, there needs to be openness to accountability. Sharing responsibility can only be safe when roles, escalation paths and mechanisms of assurance are both explicit. Third, there is the issue of psychological safety and co-production. (Fukami,2023).</w:t>
      </w:r>
    </w:p>
    <w:p w:rsidR="00000000" w:rsidDel="00000000" w:rsidP="00000000" w:rsidRDefault="00000000" w:rsidRPr="00000000" w14:paraId="00000099">
      <w:pPr>
        <w:pStyle w:val="Heading1"/>
        <w:spacing w:line="360" w:lineRule="auto"/>
        <w:rPr/>
      </w:pPr>
      <w:bookmarkStart w:colFirst="0" w:colLast="0" w:name="_qfuomyynlpo9" w:id="6"/>
      <w:bookmarkEnd w:id="6"/>
      <w:r w:rsidDel="00000000" w:rsidR="00000000" w:rsidRPr="00000000">
        <w:rPr>
          <w:rtl w:val="0"/>
        </w:rPr>
        <w:t xml:space="preserve">3. Recommendation</w:t>
      </w:r>
    </w:p>
    <w:p w:rsidR="00000000" w:rsidDel="00000000" w:rsidP="00000000" w:rsidRDefault="00000000" w:rsidRPr="00000000" w14:paraId="0000009A">
      <w:pPr>
        <w:spacing w:after="120" w:line="360" w:lineRule="auto"/>
        <w:jc w:val="both"/>
        <w:rPr/>
      </w:pPr>
      <w:r w:rsidDel="00000000" w:rsidR="00000000" w:rsidRPr="00000000">
        <w:rPr>
          <w:rtl w:val="0"/>
        </w:rPr>
        <w:t xml:space="preserve">Redesign of the high-risk opioid pathway of older adults should be regarded as the priority patient-safety programme in the organisation. All opioid supplies of oral morphine and similar preparations must be of standard concentration wherever feasible, contain a calibrated oral syringe, include simplified instructions printed in millilitres and timing, and be taught back to the patient or carer before the medication is no longer under the professional's supervision. This is a recommendation that weak elderly persons who are initiated on opioids ought to be provided with a structured follow-up within a span of 24-48 hours, especially when opioids are to be used at their own residence. All these measures are feasible and directly connected to the fact that dose confusion and communication failures continue to be the principal sources of avoidable opioid damage (Gustafsson,2024).</w:t>
      </w:r>
    </w:p>
    <w:p w:rsidR="00000000" w:rsidDel="00000000" w:rsidP="00000000" w:rsidRDefault="00000000" w:rsidRPr="00000000" w14:paraId="0000009B">
      <w:pPr>
        <w:spacing w:after="120" w:line="360" w:lineRule="auto"/>
        <w:jc w:val="both"/>
        <w:rPr/>
      </w:pPr>
      <w:r w:rsidDel="00000000" w:rsidR="00000000" w:rsidRPr="00000000">
        <w:rPr>
          <w:rtl w:val="0"/>
        </w:rPr>
        <w:t xml:space="preserve">A combination of a transformational model and a situational model with transactional controls would be the best leadership strategy for maintaining the improvement. It requires transformational leadership to establish a culture in which safety, speaking up, and learning are the organisation's prior values. Adaptation of support, supervision and communication has to be adjusted to suit the capacity and weakness of individual patients and families, which requires situational leadership. In high-risk pathways, transactional leadership is still required, as standards, documentation, and audit need to be dependable. It is not advisable to use culture-building, structured control, and context-specific practise separately; they should be combined.</w:t>
      </w:r>
    </w:p>
    <w:p w:rsidR="00000000" w:rsidDel="00000000" w:rsidP="00000000" w:rsidRDefault="00000000" w:rsidRPr="00000000" w14:paraId="0000009C">
      <w:pPr>
        <w:spacing w:after="120" w:line="360" w:lineRule="auto"/>
        <w:jc w:val="both"/>
        <w:rPr/>
      </w:pPr>
      <w:r w:rsidDel="00000000" w:rsidR="00000000" w:rsidRPr="00000000">
        <w:rPr>
          <w:rtl w:val="0"/>
        </w:rPr>
        <w:t xml:space="preserve">Clear ownership and frequent assurance should be used to enhance governance. The opioid safety group should be a named multidisciplinary group of the entire pathway of prescribing, dispensing, counselling and follow-up. This team is expected to examine incidents, near misses, audit records and patient feedback monthly and report straight to the clinical governance committee. They should apply thematic review approaches to enable the organisation to examine opioid-related occurrences as patterns rather than cases (Machen, 2023). The key indicators for auditors should include device delivery, concentration documentation, teaching back, first follow-up, and trend.</w:t>
      </w:r>
    </w:p>
    <w:p w:rsidR="00000000" w:rsidDel="00000000" w:rsidP="00000000" w:rsidRDefault="00000000" w:rsidRPr="00000000" w14:paraId="0000009D">
      <w:pPr>
        <w:spacing w:after="120" w:line="360" w:lineRule="auto"/>
        <w:jc w:val="both"/>
        <w:rPr/>
      </w:pPr>
      <w:r w:rsidDel="00000000" w:rsidR="00000000" w:rsidRPr="00000000">
        <w:rPr>
          <w:rtl w:val="0"/>
        </w:rPr>
        <w:t xml:space="preserve">Increase communication and systems integration should also be enhanced. High-risk opioid solutions should be identified by the electronic prescribing and pharmacy systems and require compulsory safety checks before issue. Safety huddles on concerns and learning should be reinforced daily or weekly. Training on opioid risk, human factors, teach-back communication, communication with older adults, and just culture principles should be taught interprofessionally. The involvement of patients and carers in the co-production of labels, information materials, and escalation advice should ensure that the redesigned pathway reflects real-world knowledge rather than the assumptions of professionals alone.</w:t>
      </w:r>
    </w:p>
    <w:p w:rsidR="00000000" w:rsidDel="00000000" w:rsidP="00000000" w:rsidRDefault="00000000" w:rsidRPr="00000000" w14:paraId="0000009E">
      <w:pPr>
        <w:spacing w:after="120" w:line="360" w:lineRule="auto"/>
        <w:jc w:val="both"/>
        <w:rPr/>
      </w:pPr>
      <w:r w:rsidDel="00000000" w:rsidR="00000000" w:rsidRPr="00000000">
        <w:rPr>
          <w:rtl w:val="0"/>
        </w:rPr>
        <w:t xml:space="preserve">Lastly, the organisation should engage in continuous learning to enhance technical and allocative efficiency. One serious opioid event prevents unnecessary admission, prolonged therapy and reputation loss, and redirects the commitment to the most risky components of the pathway. Walk-rounds by leaders, visible effort to take action on identified issues and regular feedback to employees will foster the impetus. Indeed, improvement needs to be considered a continuous governance activity rather than a single response to an outrageous incident.</w:t>
      </w:r>
    </w:p>
    <w:p w:rsidR="00000000" w:rsidDel="00000000" w:rsidP="00000000" w:rsidRDefault="00000000" w:rsidRPr="00000000" w14:paraId="0000009F">
      <w:pPr>
        <w:pStyle w:val="Heading1"/>
        <w:spacing w:line="360" w:lineRule="auto"/>
        <w:rPr/>
      </w:pPr>
      <w:bookmarkStart w:colFirst="0" w:colLast="0" w:name="_ua6tcwpucx0" w:id="7"/>
      <w:bookmarkEnd w:id="7"/>
      <w:r w:rsidDel="00000000" w:rsidR="00000000" w:rsidRPr="00000000">
        <w:rPr>
          <w:rtl w:val="0"/>
        </w:rPr>
        <w:t xml:space="preserve">4. Conclusion</w:t>
      </w:r>
    </w:p>
    <w:p w:rsidR="00000000" w:rsidDel="00000000" w:rsidP="00000000" w:rsidRDefault="00000000" w:rsidRPr="00000000" w14:paraId="000000A0">
      <w:pPr>
        <w:spacing w:after="120" w:line="360" w:lineRule="auto"/>
        <w:jc w:val="both"/>
        <w:rPr/>
      </w:pPr>
      <w:r w:rsidDel="00000000" w:rsidR="00000000" w:rsidRPr="00000000">
        <w:rPr>
          <w:rtl w:val="0"/>
        </w:rPr>
        <w:t xml:space="preserve">The case study has demonstrated that the overdose of morphine oral solution caused by Len was due to failures in the leadership, governance, and system design to interact. Lowly safe route to a risky drug that a frail elder patient requires, poor communication, disjointed and insufficient accountability, and insufficient verification of comprehension and organisational learning are the critical issues. Systems thinking has shown that the occurrence occurred across the entire prescribing, dispensing, counselling, home administration, and escalation process, not a single mistake.</w:t>
      </w:r>
    </w:p>
    <w:p w:rsidR="00000000" w:rsidDel="00000000" w:rsidP="00000000" w:rsidRDefault="00000000" w:rsidRPr="00000000" w14:paraId="000000A1">
      <w:pPr>
        <w:spacing w:after="120" w:line="360" w:lineRule="auto"/>
        <w:jc w:val="both"/>
        <w:rPr/>
      </w:pPr>
      <w:r w:rsidDel="00000000" w:rsidR="00000000" w:rsidRPr="00000000">
        <w:rPr>
          <w:rtl w:val="0"/>
        </w:rPr>
        <w:t xml:space="preserve">The review also revealed that the mostly decentralised route interfered with safety, as the local flexibility was not accompanied by adequately robust central protective actions against a dangerous opioid. Leadership also came in high. There was a greater need for more proactive transformational leadership to ensure opioid safety was visible as a priority, more transactional leadership to standardise and audit the controls, and situational leadership to calibrate support to the patients' and carers' vulnerability. Governance and leadership had to collaborate, but in this instance, they were not effective enough to avoid serious damage.</w:t>
      </w:r>
    </w:p>
    <w:p w:rsidR="00000000" w:rsidDel="00000000" w:rsidP="00000000" w:rsidRDefault="00000000" w:rsidRPr="00000000" w14:paraId="000000A2">
      <w:pPr>
        <w:spacing w:after="120" w:line="360" w:lineRule="auto"/>
        <w:jc w:val="both"/>
        <w:rPr/>
      </w:pPr>
      <w:r w:rsidDel="00000000" w:rsidR="00000000" w:rsidRPr="00000000">
        <w:rPr>
          <w:rtl w:val="0"/>
        </w:rPr>
        <w:t xml:space="preserve">The broader message is that individual vigilance cannot be used to develop health and social care organisations. Systems thinking, explicit governance, psychologically safe communication and redesign grounded in evidence combine to help develop sustainable improvement. The resilience in the way high-risk medicines are entrenched should ensure that a misconception is hard to sustain, rather than relying on the hope that patients and staff always read such complex instructions correctly.</w:t>
      </w:r>
    </w:p>
    <w:p w:rsidR="00000000" w:rsidDel="00000000" w:rsidP="00000000" w:rsidRDefault="00000000" w:rsidRPr="00000000" w14:paraId="000000A3">
      <w:pPr>
        <w:spacing w:after="120" w:line="360" w:lineRule="auto"/>
        <w:jc w:val="both"/>
        <w:rPr/>
      </w:pPr>
      <w:r w:rsidDel="00000000" w:rsidR="00000000" w:rsidRPr="00000000">
        <w:rPr>
          <w:rtl w:val="0"/>
        </w:rPr>
      </w:r>
    </w:p>
    <w:p w:rsidR="00000000" w:rsidDel="00000000" w:rsidP="00000000" w:rsidRDefault="00000000" w:rsidRPr="00000000" w14:paraId="000000A4">
      <w:pPr>
        <w:spacing w:after="120" w:line="360" w:lineRule="auto"/>
        <w:jc w:val="both"/>
        <w:rPr/>
      </w:pPr>
      <w:r w:rsidDel="00000000" w:rsidR="00000000" w:rsidRPr="00000000">
        <w:rPr>
          <w:rtl w:val="0"/>
        </w:rPr>
      </w:r>
    </w:p>
    <w:p w:rsidR="00000000" w:rsidDel="00000000" w:rsidP="00000000" w:rsidRDefault="00000000" w:rsidRPr="00000000" w14:paraId="000000A5">
      <w:pPr>
        <w:spacing w:after="120" w:line="360" w:lineRule="auto"/>
        <w:jc w:val="both"/>
        <w:rPr/>
      </w:pPr>
      <w:r w:rsidDel="00000000" w:rsidR="00000000" w:rsidRPr="00000000">
        <w:rPr>
          <w:rtl w:val="0"/>
        </w:rPr>
      </w:r>
    </w:p>
    <w:p w:rsidR="00000000" w:rsidDel="00000000" w:rsidP="00000000" w:rsidRDefault="00000000" w:rsidRPr="00000000" w14:paraId="000000A6">
      <w:pPr>
        <w:spacing w:after="120" w:line="360" w:lineRule="auto"/>
        <w:jc w:val="both"/>
        <w:rPr/>
      </w:pPr>
      <w:r w:rsidDel="00000000" w:rsidR="00000000" w:rsidRPr="00000000">
        <w:rPr>
          <w:rtl w:val="0"/>
        </w:rPr>
      </w:r>
    </w:p>
    <w:p w:rsidR="00000000" w:rsidDel="00000000" w:rsidP="00000000" w:rsidRDefault="00000000" w:rsidRPr="00000000" w14:paraId="000000A7">
      <w:pPr>
        <w:spacing w:after="120" w:line="360" w:lineRule="auto"/>
        <w:jc w:val="both"/>
        <w:rPr/>
      </w:pPr>
      <w:r w:rsidDel="00000000" w:rsidR="00000000" w:rsidRPr="00000000">
        <w:rPr>
          <w:rtl w:val="0"/>
        </w:rPr>
      </w:r>
    </w:p>
    <w:p w:rsidR="00000000" w:rsidDel="00000000" w:rsidP="00000000" w:rsidRDefault="00000000" w:rsidRPr="00000000" w14:paraId="000000A8">
      <w:pPr>
        <w:spacing w:after="120" w:line="360" w:lineRule="auto"/>
        <w:jc w:val="both"/>
        <w:rPr/>
      </w:pPr>
      <w:r w:rsidDel="00000000" w:rsidR="00000000" w:rsidRPr="00000000">
        <w:rPr>
          <w:rtl w:val="0"/>
        </w:rPr>
      </w:r>
    </w:p>
    <w:p w:rsidR="00000000" w:rsidDel="00000000" w:rsidP="00000000" w:rsidRDefault="00000000" w:rsidRPr="00000000" w14:paraId="000000A9">
      <w:pPr>
        <w:spacing w:after="120" w:line="360" w:lineRule="auto"/>
        <w:jc w:val="both"/>
        <w:rPr/>
      </w:pPr>
      <w:r w:rsidDel="00000000" w:rsidR="00000000" w:rsidRPr="00000000">
        <w:rPr>
          <w:rtl w:val="0"/>
        </w:rPr>
      </w:r>
    </w:p>
    <w:p w:rsidR="00000000" w:rsidDel="00000000" w:rsidP="00000000" w:rsidRDefault="00000000" w:rsidRPr="00000000" w14:paraId="000000AA">
      <w:pPr>
        <w:spacing w:after="120" w:line="360" w:lineRule="auto"/>
        <w:jc w:val="both"/>
        <w:rPr/>
      </w:pPr>
      <w:r w:rsidDel="00000000" w:rsidR="00000000" w:rsidRPr="00000000">
        <w:rPr>
          <w:rtl w:val="0"/>
        </w:rPr>
      </w:r>
    </w:p>
    <w:p w:rsidR="00000000" w:rsidDel="00000000" w:rsidP="00000000" w:rsidRDefault="00000000" w:rsidRPr="00000000" w14:paraId="000000AB">
      <w:pPr>
        <w:spacing w:after="120" w:line="360" w:lineRule="auto"/>
        <w:jc w:val="both"/>
        <w:rPr/>
      </w:pPr>
      <w:r w:rsidDel="00000000" w:rsidR="00000000" w:rsidRPr="00000000">
        <w:rPr>
          <w:rtl w:val="0"/>
        </w:rPr>
      </w:r>
    </w:p>
    <w:p w:rsidR="00000000" w:rsidDel="00000000" w:rsidP="00000000" w:rsidRDefault="00000000" w:rsidRPr="00000000" w14:paraId="000000AC">
      <w:pPr>
        <w:spacing w:after="120" w:line="360" w:lineRule="auto"/>
        <w:jc w:val="both"/>
        <w:rPr/>
      </w:pPr>
      <w:r w:rsidDel="00000000" w:rsidR="00000000" w:rsidRPr="00000000">
        <w:rPr>
          <w:rtl w:val="0"/>
        </w:rPr>
      </w:r>
    </w:p>
    <w:p w:rsidR="00000000" w:rsidDel="00000000" w:rsidP="00000000" w:rsidRDefault="00000000" w:rsidRPr="00000000" w14:paraId="000000AD">
      <w:pPr>
        <w:spacing w:after="120" w:line="360" w:lineRule="auto"/>
        <w:jc w:val="both"/>
        <w:rPr/>
      </w:pPr>
      <w:r w:rsidDel="00000000" w:rsidR="00000000" w:rsidRPr="00000000">
        <w:rPr>
          <w:rtl w:val="0"/>
        </w:rPr>
      </w:r>
    </w:p>
    <w:p w:rsidR="00000000" w:rsidDel="00000000" w:rsidP="00000000" w:rsidRDefault="00000000" w:rsidRPr="00000000" w14:paraId="000000AE">
      <w:pPr>
        <w:spacing w:after="120" w:line="360" w:lineRule="auto"/>
        <w:jc w:val="both"/>
        <w:rPr/>
      </w:pPr>
      <w:r w:rsidDel="00000000" w:rsidR="00000000" w:rsidRPr="00000000">
        <w:rPr>
          <w:rtl w:val="0"/>
        </w:rPr>
      </w:r>
    </w:p>
    <w:p w:rsidR="00000000" w:rsidDel="00000000" w:rsidP="00000000" w:rsidRDefault="00000000" w:rsidRPr="00000000" w14:paraId="000000AF">
      <w:pPr>
        <w:spacing w:after="120" w:line="360" w:lineRule="auto"/>
        <w:jc w:val="both"/>
        <w:rPr/>
      </w:pPr>
      <w:r w:rsidDel="00000000" w:rsidR="00000000" w:rsidRPr="00000000">
        <w:rPr>
          <w:rtl w:val="0"/>
        </w:rPr>
      </w:r>
    </w:p>
    <w:p w:rsidR="00000000" w:rsidDel="00000000" w:rsidP="00000000" w:rsidRDefault="00000000" w:rsidRPr="00000000" w14:paraId="000000B0">
      <w:pPr>
        <w:spacing w:after="120" w:line="360" w:lineRule="auto"/>
        <w:jc w:val="both"/>
        <w:rPr/>
      </w:pPr>
      <w:r w:rsidDel="00000000" w:rsidR="00000000" w:rsidRPr="00000000">
        <w:rPr>
          <w:rtl w:val="0"/>
        </w:rPr>
      </w:r>
    </w:p>
    <w:p w:rsidR="00000000" w:rsidDel="00000000" w:rsidP="00000000" w:rsidRDefault="00000000" w:rsidRPr="00000000" w14:paraId="000000B1">
      <w:pPr>
        <w:spacing w:after="120" w:line="360" w:lineRule="auto"/>
        <w:jc w:val="both"/>
        <w:rPr/>
      </w:pPr>
      <w:r w:rsidDel="00000000" w:rsidR="00000000" w:rsidRPr="00000000">
        <w:rPr>
          <w:rtl w:val="0"/>
        </w:rPr>
      </w:r>
    </w:p>
    <w:p w:rsidR="00000000" w:rsidDel="00000000" w:rsidP="00000000" w:rsidRDefault="00000000" w:rsidRPr="00000000" w14:paraId="000000B2">
      <w:pPr>
        <w:spacing w:after="120" w:line="360" w:lineRule="auto"/>
        <w:jc w:val="both"/>
        <w:rPr/>
      </w:pPr>
      <w:r w:rsidDel="00000000" w:rsidR="00000000" w:rsidRPr="00000000">
        <w:rPr>
          <w:rtl w:val="0"/>
        </w:rPr>
      </w:r>
    </w:p>
    <w:p w:rsidR="00000000" w:rsidDel="00000000" w:rsidP="00000000" w:rsidRDefault="00000000" w:rsidRPr="00000000" w14:paraId="000000B3">
      <w:pPr>
        <w:spacing w:after="120" w:line="360" w:lineRule="auto"/>
        <w:jc w:val="both"/>
        <w:rPr/>
      </w:pPr>
      <w:r w:rsidDel="00000000" w:rsidR="00000000" w:rsidRPr="00000000">
        <w:rPr>
          <w:rtl w:val="0"/>
        </w:rPr>
      </w:r>
    </w:p>
    <w:p w:rsidR="00000000" w:rsidDel="00000000" w:rsidP="00000000" w:rsidRDefault="00000000" w:rsidRPr="00000000" w14:paraId="000000B4">
      <w:pPr>
        <w:spacing w:after="120" w:line="360" w:lineRule="auto"/>
        <w:jc w:val="both"/>
        <w:rPr/>
      </w:pPr>
      <w:r w:rsidDel="00000000" w:rsidR="00000000" w:rsidRPr="00000000">
        <w:rPr>
          <w:rtl w:val="0"/>
        </w:rPr>
      </w:r>
    </w:p>
    <w:p w:rsidR="00000000" w:rsidDel="00000000" w:rsidP="00000000" w:rsidRDefault="00000000" w:rsidRPr="00000000" w14:paraId="000000B5">
      <w:pPr>
        <w:spacing w:after="120" w:line="360" w:lineRule="auto"/>
        <w:jc w:val="both"/>
        <w:rPr/>
      </w:pPr>
      <w:r w:rsidDel="00000000" w:rsidR="00000000" w:rsidRPr="00000000">
        <w:rPr>
          <w:rtl w:val="0"/>
        </w:rPr>
      </w:r>
    </w:p>
    <w:p w:rsidR="00000000" w:rsidDel="00000000" w:rsidP="00000000" w:rsidRDefault="00000000" w:rsidRPr="00000000" w14:paraId="000000B6">
      <w:pPr>
        <w:spacing w:after="120" w:line="360" w:lineRule="auto"/>
        <w:jc w:val="both"/>
        <w:rPr/>
      </w:pPr>
      <w:r w:rsidDel="00000000" w:rsidR="00000000" w:rsidRPr="00000000">
        <w:rPr>
          <w:rtl w:val="0"/>
        </w:rPr>
      </w:r>
    </w:p>
    <w:p w:rsidR="00000000" w:rsidDel="00000000" w:rsidP="00000000" w:rsidRDefault="00000000" w:rsidRPr="00000000" w14:paraId="000000B7">
      <w:pPr>
        <w:pStyle w:val="Heading1"/>
        <w:spacing w:line="360" w:lineRule="auto"/>
        <w:rPr/>
      </w:pPr>
      <w:bookmarkStart w:colFirst="0" w:colLast="0" w:name="_tlq1pmysp1tf" w:id="8"/>
      <w:bookmarkEnd w:id="8"/>
      <w:r w:rsidDel="00000000" w:rsidR="00000000" w:rsidRPr="00000000">
        <w:rPr>
          <w:rtl w:val="0"/>
        </w:rPr>
        <w:t xml:space="preserve">5. References</w:t>
      </w:r>
    </w:p>
    <w:p w:rsidR="00000000" w:rsidDel="00000000" w:rsidP="00000000" w:rsidRDefault="00000000" w:rsidRPr="00000000" w14:paraId="000000B8">
      <w:pPr>
        <w:spacing w:after="120" w:line="360" w:lineRule="auto"/>
        <w:ind w:left="425" w:hanging="425"/>
        <w:jc w:val="both"/>
        <w:rPr/>
      </w:pPr>
      <w:r w:rsidDel="00000000" w:rsidR="00000000" w:rsidRPr="00000000">
        <w:rPr>
          <w:rtl w:val="0"/>
        </w:rPr>
        <w:t xml:space="preserve">Al Mutair, A., Al-Omari, A., Alharbi, J., Almutairi, A., Alqahtani, A., Shamsan, A., Salih, S. and Alshammari, F. (2021) ‘The effective strategies to avoid medication errors and improving reporting systems’, Medicines, 8(9), pp. 46-58.</w:t>
      </w:r>
    </w:p>
    <w:p w:rsidR="00000000" w:rsidDel="00000000" w:rsidP="00000000" w:rsidRDefault="00000000" w:rsidRPr="00000000" w14:paraId="000000B9">
      <w:pPr>
        <w:spacing w:after="120" w:line="360" w:lineRule="auto"/>
        <w:ind w:left="425" w:hanging="425"/>
        <w:jc w:val="both"/>
        <w:rPr/>
      </w:pPr>
      <w:r w:rsidDel="00000000" w:rsidR="00000000" w:rsidRPr="00000000">
        <w:rPr>
          <w:rtl w:val="0"/>
        </w:rPr>
        <w:t xml:space="preserve">Bates, D.W., Singh, H. and Twohig, B. (2023) ‘The safety of inpatient health care’, New England Journal of Medicine, 388(2), pp. 142-153.</w:t>
      </w:r>
    </w:p>
    <w:p w:rsidR="00000000" w:rsidDel="00000000" w:rsidP="00000000" w:rsidRDefault="00000000" w:rsidRPr="00000000" w14:paraId="000000BA">
      <w:pPr>
        <w:spacing w:after="120" w:line="360" w:lineRule="auto"/>
        <w:ind w:left="425" w:hanging="425"/>
        <w:jc w:val="both"/>
        <w:rPr/>
      </w:pPr>
      <w:r w:rsidDel="00000000" w:rsidR="00000000" w:rsidRPr="00000000">
        <w:rPr>
          <w:rtl w:val="0"/>
        </w:rPr>
        <w:t xml:space="preserve">Carroll, B.J., Cradock-Henry, N.A. and Rawlins, G. (2025) ‘Multilevel governance and responses to the COVID-19 pandemic: a systematic literature review’, Journal of Risk Research, 28(1), pp. 1-20.</w:t>
      </w:r>
    </w:p>
    <w:p w:rsidR="00000000" w:rsidDel="00000000" w:rsidP="00000000" w:rsidRDefault="00000000" w:rsidRPr="00000000" w14:paraId="000000BB">
      <w:pPr>
        <w:spacing w:after="120" w:line="360" w:lineRule="auto"/>
        <w:ind w:left="425" w:hanging="425"/>
        <w:jc w:val="both"/>
        <w:rPr/>
      </w:pPr>
      <w:r w:rsidDel="00000000" w:rsidR="00000000" w:rsidRPr="00000000">
        <w:rPr>
          <w:rtl w:val="0"/>
        </w:rPr>
        <w:t xml:space="preserve">Dick-Sagoe, C. (2021) ‘Public choice and decentralised healthcare service delivery in Ghana’, Cogent Social Sciences, 7(1), pp. 1969737.</w:t>
      </w:r>
    </w:p>
    <w:p w:rsidR="00000000" w:rsidDel="00000000" w:rsidP="00000000" w:rsidRDefault="00000000" w:rsidRPr="00000000" w14:paraId="000000BC">
      <w:pPr>
        <w:spacing w:after="120" w:line="360" w:lineRule="auto"/>
        <w:ind w:left="425" w:hanging="425"/>
        <w:jc w:val="both"/>
        <w:rPr/>
      </w:pPr>
      <w:r w:rsidDel="00000000" w:rsidR="00000000" w:rsidRPr="00000000">
        <w:rPr>
          <w:rtl w:val="0"/>
        </w:rPr>
        <w:t xml:space="preserve">Elliott, R.A., Camacho, E., Campbell, F., Jankovic, D., Martyn St James, M., Kaltenthaler, E., Wong, R., Sculpher, M.J., Faria, R., Elliott, R. and Payne, K. (2021) ‘Economic analysis of the prevalence and clinical and economic burden of medication error in England’, BMJ Quality and Safety, 30(2), pp. 96-105.</w:t>
      </w:r>
    </w:p>
    <w:p w:rsidR="00000000" w:rsidDel="00000000" w:rsidP="00000000" w:rsidRDefault="00000000" w:rsidRPr="00000000" w14:paraId="000000BD">
      <w:pPr>
        <w:spacing w:after="120" w:line="360" w:lineRule="auto"/>
        <w:ind w:left="425" w:hanging="425"/>
        <w:jc w:val="both"/>
        <w:rPr/>
      </w:pPr>
      <w:r w:rsidDel="00000000" w:rsidR="00000000" w:rsidRPr="00000000">
        <w:rPr>
          <w:rtl w:val="0"/>
        </w:rPr>
        <w:t xml:space="preserve">Fukami, T., Shapiro, J. and Edmonson, A. (2023) ‘Patient engagement with psychological safety’, PEC Innovation, 2, pp. 100145.</w:t>
      </w:r>
    </w:p>
    <w:p w:rsidR="00000000" w:rsidDel="00000000" w:rsidP="00000000" w:rsidRDefault="00000000" w:rsidRPr="00000000" w14:paraId="000000BE">
      <w:pPr>
        <w:spacing w:after="120" w:line="360" w:lineRule="auto"/>
        <w:ind w:left="425" w:hanging="425"/>
        <w:jc w:val="both"/>
        <w:rPr/>
      </w:pPr>
      <w:r w:rsidDel="00000000" w:rsidR="00000000" w:rsidRPr="00000000">
        <w:rPr>
          <w:rtl w:val="0"/>
        </w:rPr>
        <w:t xml:space="preserve">Guibert-Lacasa, C. and Vázquez-Calatayud, M. (2022) ‘Nurses’ clinical leadership in the hospital setting: a systematic review’, Journal of Nursing Management, 30(4), pp. 913-934.</w:t>
      </w:r>
    </w:p>
    <w:p w:rsidR="00000000" w:rsidDel="00000000" w:rsidP="00000000" w:rsidRDefault="00000000" w:rsidRPr="00000000" w14:paraId="000000BF">
      <w:pPr>
        <w:spacing w:after="120" w:line="360" w:lineRule="auto"/>
        <w:ind w:left="425" w:hanging="425"/>
        <w:jc w:val="both"/>
        <w:rPr/>
      </w:pPr>
      <w:r w:rsidDel="00000000" w:rsidR="00000000" w:rsidRPr="00000000">
        <w:rPr>
          <w:rtl w:val="0"/>
        </w:rPr>
        <w:t xml:space="preserve">Gustafsson, M., Forster, M. and Wallerstedt, S.M. (2024) ‘Misuse, abuse and medication errors’ adverse events related to opioids in patients with cancer: a systematic review’, Pharmaceuticals, 17(8), pp. 1009.</w:t>
      </w:r>
    </w:p>
    <w:p w:rsidR="00000000" w:rsidDel="00000000" w:rsidP="00000000" w:rsidRDefault="00000000" w:rsidRPr="00000000" w14:paraId="000000C0">
      <w:pPr>
        <w:spacing w:after="120" w:line="360" w:lineRule="auto"/>
        <w:ind w:left="425" w:hanging="425"/>
        <w:jc w:val="both"/>
        <w:rPr/>
      </w:pPr>
      <w:r w:rsidDel="00000000" w:rsidR="00000000" w:rsidRPr="00000000">
        <w:rPr>
          <w:rtl w:val="0"/>
        </w:rPr>
        <w:t xml:space="preserve">Hamdan, M., Abu Al-Rub, R., Al-Azzam, M. and Al-Hamdan, Z. (2024) ‘Transformational leadership on safety practices among nurses: the mediating role of patient safety culture’, Risk Management and Healthcare Policy, 17, pp. 131-145.</w:t>
      </w:r>
    </w:p>
    <w:p w:rsidR="00000000" w:rsidDel="00000000" w:rsidP="00000000" w:rsidRDefault="00000000" w:rsidRPr="00000000" w14:paraId="000000C1">
      <w:pPr>
        <w:spacing w:after="120" w:line="360" w:lineRule="auto"/>
        <w:ind w:left="425" w:hanging="425"/>
        <w:jc w:val="both"/>
        <w:rPr/>
      </w:pPr>
      <w:r w:rsidDel="00000000" w:rsidR="00000000" w:rsidRPr="00000000">
        <w:rPr>
          <w:rtl w:val="0"/>
        </w:rPr>
        <w:t xml:space="preserve">Hart, L.A., Rochon, P.A. and Tannenbaum, C. (2025) ‘Medication use quality and safety in older adults: 2023 update’, Clinics in Geriatric Medicine, 41(2), pp. 233-252.</w:t>
      </w:r>
    </w:p>
    <w:p w:rsidR="00000000" w:rsidDel="00000000" w:rsidP="00000000" w:rsidRDefault="00000000" w:rsidRPr="00000000" w14:paraId="000000C2">
      <w:pPr>
        <w:spacing w:after="120" w:line="360" w:lineRule="auto"/>
        <w:ind w:left="425" w:hanging="425"/>
        <w:jc w:val="both"/>
        <w:rPr/>
      </w:pPr>
      <w:r w:rsidDel="00000000" w:rsidR="00000000" w:rsidRPr="00000000">
        <w:rPr>
          <w:rtl w:val="0"/>
        </w:rPr>
        <w:t xml:space="preserve">Kesale, A.M. and Mahonge, C.P. (2022) 'Effects of decentralisation on the functionality of health facility governing committees in lower and middle income countries', Global Health Action, 15(1), pp. 2074662.</w:t>
      </w:r>
    </w:p>
    <w:p w:rsidR="00000000" w:rsidDel="00000000" w:rsidP="00000000" w:rsidRDefault="00000000" w:rsidRPr="00000000" w14:paraId="000000C3">
      <w:pPr>
        <w:spacing w:after="120" w:line="360" w:lineRule="auto"/>
        <w:ind w:left="425" w:hanging="425"/>
        <w:jc w:val="both"/>
        <w:rPr/>
      </w:pPr>
      <w:r w:rsidDel="00000000" w:rsidR="00000000" w:rsidRPr="00000000">
        <w:rPr>
          <w:rtl w:val="0"/>
        </w:rPr>
        <w:t xml:space="preserve">Labrague, L.J., Obeidat, A.A. and Al Rawajfah, O. (2024) ‘Relationship between transformational leadership, adverse events, quality of care and job satisfaction among nurses’, Journal of Nursing Management, 32(1), pp. 1-11.</w:t>
      </w:r>
    </w:p>
    <w:p w:rsidR="00000000" w:rsidDel="00000000" w:rsidP="00000000" w:rsidRDefault="00000000" w:rsidRPr="00000000" w14:paraId="000000C4">
      <w:pPr>
        <w:spacing w:after="120" w:line="360" w:lineRule="auto"/>
        <w:ind w:left="425" w:hanging="425"/>
        <w:jc w:val="both"/>
        <w:rPr/>
      </w:pPr>
      <w:r w:rsidDel="00000000" w:rsidR="00000000" w:rsidRPr="00000000">
        <w:rPr>
          <w:rtl w:val="0"/>
        </w:rPr>
        <w:t xml:space="preserve">Linden-Lahti, C., Airaksinen, M. and Holmström, A.R. (2021) ‘What severe medication errors reported to health care supervisory authority tell us about medication safety’, Journal of Patient Safety, 17(8), pp. e1176-e1183.</w:t>
      </w:r>
    </w:p>
    <w:p w:rsidR="00000000" w:rsidDel="00000000" w:rsidP="00000000" w:rsidRDefault="00000000" w:rsidRPr="00000000" w14:paraId="000000C5">
      <w:pPr>
        <w:spacing w:after="120" w:line="360" w:lineRule="auto"/>
        <w:ind w:left="425" w:hanging="425"/>
        <w:jc w:val="both"/>
        <w:rPr/>
      </w:pPr>
      <w:r w:rsidDel="00000000" w:rsidR="00000000" w:rsidRPr="00000000">
        <w:rPr>
          <w:rtl w:val="0"/>
        </w:rPr>
        <w:t xml:space="preserve">Machen, S. (2023) ‘Thematic reviews of patient safety incidents as a tool for systems thinking: a quality improvement report’, BMJ Open Quality, 12(2), e002020.</w:t>
      </w:r>
    </w:p>
    <w:p w:rsidR="00000000" w:rsidDel="00000000" w:rsidP="00000000" w:rsidRDefault="00000000" w:rsidRPr="00000000" w14:paraId="000000C6">
      <w:pPr>
        <w:spacing w:after="120" w:line="360" w:lineRule="auto"/>
        <w:ind w:left="425" w:hanging="425"/>
        <w:jc w:val="both"/>
        <w:rPr/>
      </w:pPr>
      <w:r w:rsidDel="00000000" w:rsidR="00000000" w:rsidRPr="00000000">
        <w:rPr>
          <w:rtl w:val="0"/>
        </w:rPr>
        <w:t xml:space="preserve">Medeiros, G.C., Faria, V.B. and Bernardes, A. (2024) ‘Authentic nursing leadership and safety climate across hospital units’, Journal of Advanced Nursing, 81(3), pp. 1-13.</w:t>
      </w:r>
    </w:p>
    <w:p w:rsidR="00000000" w:rsidDel="00000000" w:rsidP="00000000" w:rsidRDefault="00000000" w:rsidRPr="00000000" w14:paraId="000000C7">
      <w:pPr>
        <w:spacing w:after="120" w:line="360" w:lineRule="auto"/>
        <w:ind w:left="425" w:hanging="425"/>
        <w:jc w:val="both"/>
        <w:rPr/>
      </w:pPr>
      <w:r w:rsidDel="00000000" w:rsidR="00000000" w:rsidRPr="00000000">
        <w:rPr>
          <w:rtl w:val="0"/>
        </w:rPr>
        <w:t xml:space="preserve">Murray, M., Sundin, D. and Cope, V. (2021) ‘Leadership: patient safety depends on it!’, Collegian, 28(6), pp. 664-671.</w:t>
      </w:r>
    </w:p>
    <w:p w:rsidR="00000000" w:rsidDel="00000000" w:rsidP="00000000" w:rsidRDefault="00000000" w:rsidRPr="00000000" w14:paraId="000000C8">
      <w:pPr>
        <w:spacing w:after="120" w:line="360" w:lineRule="auto"/>
        <w:ind w:left="425" w:hanging="425"/>
        <w:jc w:val="both"/>
        <w:rPr/>
      </w:pPr>
      <w:r w:rsidDel="00000000" w:rsidR="00000000" w:rsidRPr="00000000">
        <w:rPr>
          <w:rtl w:val="0"/>
        </w:rPr>
        <w:t xml:space="preserve">Murphy, P.B. and Nappe, T.M. (2025) Morphine. In: StatPearls. Treasure Island, FL: StatPearls Publishing.</w:t>
      </w:r>
    </w:p>
    <w:p w:rsidR="00000000" w:rsidDel="00000000" w:rsidP="00000000" w:rsidRDefault="00000000" w:rsidRPr="00000000" w14:paraId="000000C9">
      <w:pPr>
        <w:spacing w:after="120" w:line="360" w:lineRule="auto"/>
        <w:ind w:left="425" w:hanging="425"/>
        <w:jc w:val="both"/>
        <w:rPr/>
      </w:pPr>
      <w:r w:rsidDel="00000000" w:rsidR="00000000" w:rsidRPr="00000000">
        <w:rPr>
          <w:rtl w:val="0"/>
        </w:rPr>
        <w:t xml:space="preserve">Oliveira, R., Sousa, P. and Dussault, G. (2023) ‘The impacts of health decentralisation on equity, efficiency and resilience: a literature review', Sustainability, 16(1), pp. 386.</w:t>
      </w:r>
    </w:p>
    <w:p w:rsidR="00000000" w:rsidDel="00000000" w:rsidP="00000000" w:rsidRDefault="00000000" w:rsidRPr="00000000" w14:paraId="000000CA">
      <w:pPr>
        <w:spacing w:after="120" w:line="360" w:lineRule="auto"/>
        <w:ind w:left="425" w:hanging="425"/>
        <w:jc w:val="both"/>
        <w:rPr/>
      </w:pPr>
      <w:r w:rsidDel="00000000" w:rsidR="00000000" w:rsidRPr="00000000">
        <w:rPr>
          <w:rtl w:val="0"/>
        </w:rPr>
        <w:t xml:space="preserve">Sapkota, S., Dunsmuir, D. and Karan, A. (2023) ‘The impact of decentralisation on health systems: a systematic review of reviews’, BMJ Global Health, 8(12), e013726.</w:t>
      </w:r>
    </w:p>
    <w:p w:rsidR="00000000" w:rsidDel="00000000" w:rsidP="00000000" w:rsidRDefault="00000000" w:rsidRPr="00000000" w14:paraId="000000CB">
      <w:pPr>
        <w:spacing w:after="120" w:line="360" w:lineRule="auto"/>
        <w:ind w:left="425" w:hanging="425"/>
        <w:jc w:val="both"/>
        <w:rPr/>
      </w:pPr>
      <w:r w:rsidDel="00000000" w:rsidR="00000000" w:rsidRPr="00000000">
        <w:rPr>
          <w:rtl w:val="0"/>
        </w:rPr>
        <w:t xml:space="preserve">Scarffe, A.D., Valaitis, R., Dionne, M. and Grierson, L. (2022) 'Centralisation and innovation: competing priorities for health systems?', Healthcare Policy, 18(2), pp. 37-50.</w:t>
      </w:r>
    </w:p>
    <w:p w:rsidR="00000000" w:rsidDel="00000000" w:rsidP="00000000" w:rsidRDefault="00000000" w:rsidRPr="00000000" w14:paraId="000000CC">
      <w:pPr>
        <w:spacing w:after="120" w:line="360" w:lineRule="auto"/>
        <w:ind w:left="425" w:hanging="425"/>
        <w:jc w:val="both"/>
        <w:rPr/>
      </w:pPr>
      <w:r w:rsidDel="00000000" w:rsidR="00000000" w:rsidRPr="00000000">
        <w:rPr>
          <w:rtl w:val="0"/>
        </w:rPr>
        <w:t xml:space="preserve">Schwappach, D., Gehring, K. and Battaglia, M. (2024) ‘Speaking up about patient safety, withholding voice and psychological safety climate in clinical training environments’, International Journal of Public Health, 69, pp. 1607406.</w:t>
      </w:r>
    </w:p>
    <w:p w:rsidR="00000000" w:rsidDel="00000000" w:rsidP="00000000" w:rsidRDefault="00000000" w:rsidRPr="00000000" w14:paraId="000000CD">
      <w:pPr>
        <w:spacing w:after="120" w:line="360" w:lineRule="auto"/>
        <w:ind w:left="425" w:hanging="425"/>
        <w:jc w:val="both"/>
        <w:rPr/>
      </w:pPr>
      <w:r w:rsidDel="00000000" w:rsidR="00000000" w:rsidRPr="00000000">
        <w:rPr>
          <w:rtl w:val="0"/>
        </w:rPr>
        <w:t xml:space="preserve">Stevens, E.L., Salmon, P.M., Walker, G.H. and Stanton, N.A. (2023) ‘Understanding complexity in a safety critical setting: a systems approach to medication administration’, Applied Ergonomics, 110, pp. 103993.</w:t>
      </w:r>
    </w:p>
    <w:p w:rsidR="00000000" w:rsidDel="00000000" w:rsidP="00000000" w:rsidRDefault="00000000" w:rsidRPr="00000000" w14:paraId="000000CE">
      <w:pPr>
        <w:spacing w:after="120" w:line="360" w:lineRule="auto"/>
        <w:ind w:left="425" w:hanging="425"/>
        <w:jc w:val="both"/>
        <w:rPr/>
      </w:pPr>
      <w:r w:rsidDel="00000000" w:rsidR="00000000" w:rsidRPr="00000000">
        <w:rPr>
          <w:rtl w:val="0"/>
        </w:rPr>
        <w:t xml:space="preserve">Tariq, R.A., Vashisht, R., Scherbak, Y. and Abdelrahman, H. (2024) Medication Dispensing Errors and Prevention. In: StatPearls. Treasure Island, FL: StatPearls Publishing.</w:t>
      </w:r>
    </w:p>
    <w:p w:rsidR="00000000" w:rsidDel="00000000" w:rsidP="00000000" w:rsidRDefault="00000000" w:rsidRPr="00000000" w14:paraId="000000CF">
      <w:pPr>
        <w:spacing w:after="120" w:line="360" w:lineRule="auto"/>
        <w:ind w:left="425" w:hanging="425"/>
        <w:jc w:val="both"/>
        <w:rPr/>
      </w:pPr>
      <w:r w:rsidDel="00000000" w:rsidR="00000000" w:rsidRPr="00000000">
        <w:rPr>
          <w:rtl w:val="0"/>
        </w:rPr>
        <w:t xml:space="preserve">Thompson, C., Nichols, A. and Waring, J. (2025) ‘Clinical governance and staffing for healthcare quality and safety: a systems review’, BMC Health Services Research, 25, pp. 13826.</w:t>
      </w:r>
    </w:p>
    <w:p w:rsidR="00000000" w:rsidDel="00000000" w:rsidP="00000000" w:rsidRDefault="00000000" w:rsidRPr="00000000" w14:paraId="000000D0">
      <w:pPr>
        <w:spacing w:after="120" w:line="360" w:lineRule="auto"/>
        <w:ind w:left="425" w:hanging="425"/>
        <w:jc w:val="both"/>
        <w:rPr/>
      </w:pPr>
      <w:r w:rsidDel="00000000" w:rsidR="00000000" w:rsidRPr="00000000">
        <w:rPr>
          <w:rtl w:val="0"/>
        </w:rPr>
        <w:t xml:space="preserve">Virnes, R.E., Selbæk, G., Ljunggren, G., Laredo, L. and Ruths, S. (2022) ‘Opioids and falls risk in older adults: a narrative review’, Drugs and Aging, 39(3), pp. 199-207.</w:t>
      </w:r>
    </w:p>
    <w:p w:rsidR="00000000" w:rsidDel="00000000" w:rsidP="00000000" w:rsidRDefault="00000000" w:rsidRPr="00000000" w14:paraId="000000D1">
      <w:pPr>
        <w:spacing w:after="120" w:line="360" w:lineRule="auto"/>
        <w:ind w:left="425" w:hanging="425"/>
        <w:jc w:val="both"/>
        <w:rPr/>
      </w:pPr>
      <w:r w:rsidDel="00000000" w:rsidR="00000000" w:rsidRPr="00000000">
        <w:rPr>
          <w:rtl w:val="0"/>
        </w:rPr>
        <w:t xml:space="preserve">Ystaas, L.M.K., Sjetne, I.S. and Fagerström, L. (2023) ‘The impact of transformational leadership in the nursing work environment and patients’ outcomes: a systematic review’, Nursing Reports, 13(3), pp. 928-954.</w:t>
      </w:r>
    </w:p>
    <w:p w:rsidR="00000000" w:rsidDel="00000000" w:rsidP="00000000" w:rsidRDefault="00000000" w:rsidRPr="00000000" w14:paraId="000000D2">
      <w:pPr>
        <w:spacing w:after="120" w:line="360" w:lineRule="auto"/>
        <w:ind w:left="425" w:hanging="425"/>
        <w:jc w:val="both"/>
        <w:rPr/>
      </w:pPr>
      <w:r w:rsidDel="00000000" w:rsidR="00000000" w:rsidRPr="00000000">
        <w:rPr>
          <w:rtl w:val="0"/>
        </w:rPr>
        <w:t xml:space="preserve">Atalla, A.D.G., Elgazwy, H., Ahmed, S. and Salem, O. (2025) ‘Exploring the hidden synergy between systems thinking and patient safety competencies among critical care nurses’, BMC Nursing, 24, pp. 37.</w:t>
      </w:r>
    </w:p>
    <w:p w:rsidR="00000000" w:rsidDel="00000000" w:rsidP="00000000" w:rsidRDefault="00000000" w:rsidRPr="00000000" w14:paraId="000000D3">
      <w:pPr>
        <w:spacing w:after="120" w:line="360" w:lineRule="auto"/>
        <w:ind w:left="425" w:hanging="425"/>
        <w:jc w:val="both"/>
        <w:rPr/>
      </w:pPr>
      <w:r w:rsidDel="00000000" w:rsidR="00000000" w:rsidRPr="00000000">
        <w:rPr>
          <w:rtl w:val="0"/>
        </w:rPr>
        <w:t xml:space="preserve">Camacho, E., Campbell, F. and Elliott, R.A. (2024) ‘Estimating the impact on patient safety of enabling technologies in the medication-use process in England’, BMJ Quality and Safety, 33(11), pp. 726-735.</w:t>
      </w:r>
    </w:p>
    <w:p w:rsidR="00000000" w:rsidDel="00000000" w:rsidP="00000000" w:rsidRDefault="00000000" w:rsidRPr="00000000" w14:paraId="000000D4">
      <w:pPr>
        <w:spacing w:after="120" w:line="360" w:lineRule="auto"/>
        <w:ind w:left="425" w:hanging="425"/>
        <w:jc w:val="both"/>
        <w:rPr/>
      </w:pPr>
      <w:r w:rsidDel="00000000" w:rsidR="00000000" w:rsidRPr="00000000">
        <w:rPr>
          <w:rtl w:val="0"/>
        </w:rPr>
        <w:t xml:space="preserve">Challinor, A., Borg, K. and Baines, R. (2025) ‘Systems thinking in mental health patient safety: a scoping review’, BJPsych Open, 11(3), e102.</w:t>
      </w:r>
    </w:p>
    <w:p w:rsidR="00000000" w:rsidDel="00000000" w:rsidP="00000000" w:rsidRDefault="00000000" w:rsidRPr="00000000" w14:paraId="000000D5">
      <w:pPr>
        <w:spacing w:after="120" w:line="360" w:lineRule="auto"/>
        <w:ind w:left="425" w:hanging="425"/>
        <w:jc w:val="both"/>
        <w:rPr/>
      </w:pPr>
      <w:r w:rsidDel="00000000" w:rsidR="00000000" w:rsidRPr="00000000">
        <w:rPr>
          <w:rtl w:val="0"/>
        </w:rPr>
        <w:t xml:space="preserve">Chen, T.C., Ashcroft, D.M. and Kontopantelis, E. (2025) ‘Examining variations in the prevalence of hazardous opioid prescribing in UK primary care’, BMJ Quality and Safety, 34(1), pp. 1-10.</w:t>
      </w:r>
    </w:p>
    <w:p w:rsidR="00000000" w:rsidDel="00000000" w:rsidP="00000000" w:rsidRDefault="00000000" w:rsidRPr="00000000" w14:paraId="000000D6">
      <w:pPr>
        <w:spacing w:after="120" w:line="360" w:lineRule="auto"/>
        <w:ind w:left="425" w:hanging="425"/>
        <w:jc w:val="both"/>
        <w:rPr/>
      </w:pPr>
      <w:r w:rsidDel="00000000" w:rsidR="00000000" w:rsidRPr="00000000">
        <w:rPr>
          <w:rtl w:val="0"/>
        </w:rPr>
        <w:t xml:space="preserve">Dahlia, D., Nurmala, I. and Prasetyo, Y. (2025) 'Transforming healthcare management: the role of organisational change, leadership and information technology', Cogent Business and Management, 12(1), pp. 2482017.</w:t>
      </w:r>
    </w:p>
    <w:p w:rsidR="00000000" w:rsidDel="00000000" w:rsidP="00000000" w:rsidRDefault="00000000" w:rsidRPr="00000000" w14:paraId="000000D7">
      <w:pPr>
        <w:spacing w:after="120" w:line="360" w:lineRule="auto"/>
        <w:ind w:left="425" w:hanging="425"/>
        <w:jc w:val="both"/>
        <w:rPr/>
      </w:pPr>
      <w:r w:rsidDel="00000000" w:rsidR="00000000" w:rsidRPr="00000000">
        <w:rPr>
          <w:rtl w:val="0"/>
        </w:rPr>
        <w:t xml:space="preserve">Dhingra-Kumar, N., Brusaferro, S. and Arnoldo, L. (2021) Textbook of Patient Safety and Clinical Risk Management. Cham: Springer.</w:t>
      </w:r>
    </w:p>
    <w:p w:rsidR="00000000" w:rsidDel="00000000" w:rsidP="00000000" w:rsidRDefault="00000000" w:rsidRPr="00000000" w14:paraId="000000D8">
      <w:pPr>
        <w:spacing w:after="120" w:line="360" w:lineRule="auto"/>
        <w:ind w:left="425" w:hanging="425"/>
        <w:jc w:val="both"/>
        <w:rPr/>
      </w:pPr>
      <w:r w:rsidDel="00000000" w:rsidR="00000000" w:rsidRPr="00000000">
        <w:rPr>
          <w:rtl w:val="0"/>
        </w:rPr>
        <w:t xml:space="preserve">Ippolito, N. (2025) ‘Systems thinking in nursing leadership: a practical framework for complexity’, Nurse Leader, 23(4), pp. 415-420.</w:t>
      </w:r>
    </w:p>
    <w:p w:rsidR="00000000" w:rsidDel="00000000" w:rsidP="00000000" w:rsidRDefault="00000000" w:rsidRPr="00000000" w14:paraId="000000D9">
      <w:pPr>
        <w:spacing w:after="120" w:line="360" w:lineRule="auto"/>
        <w:ind w:left="425" w:hanging="425"/>
        <w:jc w:val="both"/>
        <w:rPr/>
      </w:pPr>
      <w:r w:rsidDel="00000000" w:rsidR="00000000" w:rsidRPr="00000000">
        <w:rPr>
          <w:rtl w:val="0"/>
        </w:rPr>
        <w:t xml:space="preserve">Khawagi, W.Y., Avery, A.J. and Alhur, A.A. (2025) ‘A systematic review of potential opioid prescribing safety indicators’, Pharmacy, 4(1), pp. 4.</w:t>
      </w:r>
    </w:p>
    <w:p w:rsidR="00000000" w:rsidDel="00000000" w:rsidP="00000000" w:rsidRDefault="00000000" w:rsidRPr="00000000" w14:paraId="000000DA">
      <w:pPr>
        <w:spacing w:after="120" w:line="360" w:lineRule="auto"/>
        <w:ind w:left="425" w:hanging="425"/>
        <w:jc w:val="both"/>
        <w:rPr/>
      </w:pPr>
      <w:r w:rsidDel="00000000" w:rsidR="00000000" w:rsidRPr="00000000">
        <w:rPr>
          <w:rtl w:val="0"/>
        </w:rPr>
        <w:t xml:space="preserve">Leape, L.L. (2021) Making Healthcare Safe: The Story of the Patient Safety Movement. Cham: Springer.</w:t>
      </w:r>
    </w:p>
    <w:p w:rsidR="00000000" w:rsidDel="00000000" w:rsidP="00000000" w:rsidRDefault="00000000" w:rsidRPr="00000000" w14:paraId="000000DB">
      <w:pPr>
        <w:spacing w:after="120" w:line="360" w:lineRule="auto"/>
        <w:ind w:left="425" w:hanging="425"/>
        <w:jc w:val="both"/>
        <w:rPr/>
      </w:pPr>
      <w:r w:rsidDel="00000000" w:rsidR="00000000" w:rsidRPr="00000000">
        <w:rPr>
          <w:rtl w:val="0"/>
        </w:rPr>
        <w:t xml:space="preserve">Mikkola, H., Moustgaard, H. and Ruokoniemi, P. (2023) ‘Understanding medication-related burden from patient and public perspectives’, BMJ Open, 13(12), e077214.</w:t>
      </w:r>
    </w:p>
    <w:p w:rsidR="00000000" w:rsidDel="00000000" w:rsidP="00000000" w:rsidRDefault="00000000" w:rsidRPr="00000000" w14:paraId="000000DC">
      <w:pPr>
        <w:spacing w:after="120" w:line="360" w:lineRule="auto"/>
        <w:ind w:left="425" w:hanging="425"/>
        <w:jc w:val="both"/>
        <w:rPr/>
      </w:pPr>
      <w:r w:rsidDel="00000000" w:rsidR="00000000" w:rsidRPr="00000000">
        <w:rPr>
          <w:rtl w:val="0"/>
        </w:rPr>
        <w:t xml:space="preserve">Patole, S. (2021) Management and Leadership: A Guide for Clinical Professionals. Cham: Springer.</w:t>
      </w:r>
    </w:p>
    <w:p w:rsidR="00000000" w:rsidDel="00000000" w:rsidP="00000000" w:rsidRDefault="00000000" w:rsidRPr="00000000" w14:paraId="000000DD">
      <w:pPr>
        <w:spacing w:after="120" w:line="360" w:lineRule="auto"/>
        <w:ind w:left="425" w:hanging="425"/>
        <w:jc w:val="both"/>
        <w:rPr/>
      </w:pPr>
      <w:r w:rsidDel="00000000" w:rsidR="00000000" w:rsidRPr="00000000">
        <w:rPr>
          <w:rtl w:val="0"/>
        </w:rPr>
        <w:t xml:space="preserve">Radević, I., Tomašević, I. and Milikić, B. (2023) ‘Quality of healthcare services in focus: the role of knowledge transfer, hierarchical organisational structure and trust’, International Journal of Healthcare Management, 16(4), pp. 1-12.</w:t>
      </w:r>
    </w:p>
    <w:p w:rsidR="00000000" w:rsidDel="00000000" w:rsidP="00000000" w:rsidRDefault="00000000" w:rsidRPr="00000000" w14:paraId="000000DE">
      <w:pPr>
        <w:spacing w:after="120" w:line="360" w:lineRule="auto"/>
        <w:ind w:left="425" w:hanging="425"/>
        <w:jc w:val="both"/>
        <w:rPr/>
      </w:pPr>
      <w:r w:rsidDel="00000000" w:rsidR="00000000" w:rsidRPr="00000000">
        <w:rPr>
          <w:rtl w:val="0"/>
        </w:rPr>
        <w:t xml:space="preserve">Raoush, A., Al-Maaitah, N. and Al-Hawary, S. (2023) ‘Transformational leadership impact on innovative behaviour in healthcare organisations’, Cogent Business and Management, 10(1), pp. 2265606.</w:t>
      </w:r>
    </w:p>
    <w:p w:rsidR="00000000" w:rsidDel="00000000" w:rsidP="00000000" w:rsidRDefault="00000000" w:rsidRPr="00000000" w14:paraId="000000DF">
      <w:pPr>
        <w:spacing w:after="120" w:line="360" w:lineRule="auto"/>
        <w:ind w:left="425" w:hanging="425"/>
        <w:jc w:val="both"/>
        <w:rPr/>
      </w:pPr>
      <w:r w:rsidDel="00000000" w:rsidR="00000000" w:rsidRPr="00000000">
        <w:rPr>
          <w:rtl w:val="0"/>
        </w:rPr>
        <w:t xml:space="preserve">Shah, R.K. and Wright, J. (2021) Patient Safety and Quality Improvement in Healthcare. Cham: Springer.</w:t>
      </w:r>
    </w:p>
    <w:p w:rsidR="00000000" w:rsidDel="00000000" w:rsidP="00000000" w:rsidRDefault="00000000" w:rsidRPr="00000000" w14:paraId="000000E0">
      <w:pPr>
        <w:spacing w:after="120" w:line="360" w:lineRule="auto"/>
        <w:ind w:left="425" w:hanging="425"/>
        <w:jc w:val="both"/>
        <w:rPr/>
      </w:pPr>
      <w:r w:rsidDel="00000000" w:rsidR="00000000" w:rsidRPr="00000000">
        <w:rPr>
          <w:rtl w:val="0"/>
        </w:rPr>
        <w:t xml:space="preserve">Vu, V., Kurniasari, M. and Sari, D. (2025) ‘How training psychological safety transforms healthcare teams’, BMJ Leader, 9(2), pp. 1-8.</w:t>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after="200"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480" w:lineRule="auto"/>
    </w:pPr>
    <w:rPr>
      <w:b w:val="1"/>
      <w:bCs w:val="1"/>
      <w:color w:val="000000"/>
    </w:rPr>
  </w:style>
  <w:style w:type="paragraph" w:styleId="Heading2">
    <w:name w:val="heading 2"/>
    <w:basedOn w:val="Normal"/>
    <w:next w:val="Normal"/>
    <w:pPr>
      <w:keepNext w:val="1"/>
      <w:keepLines w:val="1"/>
      <w:spacing w:after="0" w:before="200" w:lineRule="auto"/>
    </w:pPr>
    <w:rPr>
      <w:i w:val="1"/>
      <w:iCs w:val="1"/>
      <w:color w:val="000000"/>
    </w:rPr>
  </w:style>
  <w:style w:type="paragraph" w:styleId="Heading3">
    <w:name w:val="heading 3"/>
    <w:basedOn w:val="Normal"/>
    <w:next w:val="Normal"/>
    <w:pPr>
      <w:keepNext w:val="1"/>
      <w:keepLines w:val="1"/>
      <w:spacing w:after="0" w:before="200" w:lineRule="auto"/>
    </w:pPr>
    <w:rPr>
      <w:rFonts w:ascii="Calibri" w:cs="Calibri" w:eastAsia="Calibri" w:hAnsi="Calibri"/>
      <w:b w:val="1"/>
      <w:bCs w:val="1"/>
      <w:color w:val="4f81bd"/>
    </w:rPr>
  </w:style>
  <w:style w:type="paragraph" w:styleId="Heading4">
    <w:name w:val="heading 4"/>
    <w:basedOn w:val="Normal"/>
    <w:next w:val="Normal"/>
    <w:pPr>
      <w:keepNext w:val="1"/>
      <w:keepLines w:val="1"/>
      <w:spacing w:after="0" w:before="200" w:lineRule="auto"/>
    </w:pPr>
    <w:rPr>
      <w:rFonts w:ascii="Calibri" w:cs="Calibri" w:eastAsia="Calibri" w:hAnsi="Calibri"/>
      <w:b w:val="1"/>
      <w:bCs w:val="1"/>
      <w:i w:val="1"/>
      <w:iCs w:val="1"/>
      <w:color w:val="4f81bd"/>
    </w:rPr>
  </w:style>
  <w:style w:type="paragraph" w:styleId="Heading5">
    <w:name w:val="heading 5"/>
    <w:basedOn w:val="Normal"/>
    <w:next w:val="Normal"/>
    <w:pPr>
      <w:keepNext w:val="1"/>
      <w:keepLines w:val="1"/>
      <w:spacing w:after="0" w:before="200" w:lineRule="auto"/>
    </w:pPr>
    <w:rPr>
      <w:rFonts w:ascii="Calibri" w:cs="Calibri" w:eastAsia="Calibri" w:hAnsi="Calibri"/>
      <w:color w:val="243f61"/>
    </w:rPr>
  </w:style>
  <w:style w:type="paragraph" w:styleId="Heading6">
    <w:name w:val="heading 6"/>
    <w:basedOn w:val="Normal"/>
    <w:next w:val="Normal"/>
    <w:pPr>
      <w:keepNext w:val="1"/>
      <w:keepLines w:val="1"/>
      <w:spacing w:after="0" w:before="200" w:lineRule="auto"/>
    </w:pPr>
    <w:rPr>
      <w:rFonts w:ascii="Calibri" w:cs="Calibri" w:eastAsia="Calibri" w:hAnsi="Calibri"/>
      <w:i w:val="1"/>
      <w:iCs w:val="1"/>
      <w:color w:val="243f61"/>
    </w:rPr>
  </w:style>
  <w:style w:type="paragraph" w:styleId="Title">
    <w:name w:val="Title"/>
    <w:basedOn w:val="Normal"/>
    <w:next w:val="Normal"/>
    <w:pPr>
      <w:pBdr>
        <w:bottom w:color="4f81bd" w:space="4" w:sz="8" w:val="single"/>
      </w:pBdr>
      <w:spacing w:after="300" w:line="240" w:lineRule="auto"/>
    </w:pPr>
    <w:rPr>
      <w:rFonts w:ascii="Calibri" w:cs="Calibri" w:eastAsia="Calibri" w:hAnsi="Calibri"/>
      <w:b w:val="1"/>
      <w:bCs w:val="1"/>
      <w:color w:val="17365d"/>
      <w:sz w:val="32"/>
      <w:szCs w:val="32"/>
    </w:rPr>
  </w:style>
  <w:style w:type="paragraph" w:styleId="Subtitle">
    <w:name w:val="Subtitle"/>
    <w:basedOn w:val="Normal"/>
    <w:next w:val="Normal"/>
    <w:pPr/>
    <w:rPr>
      <w:rFonts w:ascii="Calibri" w:cs="Calibri" w:eastAsia="Calibri" w:hAnsi="Calibri"/>
      <w:i w:val="1"/>
      <w:iCs w:val="1"/>
      <w:color w:val="4f81bd"/>
      <w:sz w:val="24"/>
      <w:szCs w:val="24"/>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