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17B3C3" w14:textId="07928ACB" w:rsidR="00763CB3" w:rsidRPr="00876921" w:rsidRDefault="00763CB3" w:rsidP="7BD1C661">
      <w:pPr>
        <w:spacing w:after="0" w:line="240" w:lineRule="auto"/>
        <w:jc w:val="right"/>
        <w:rPr>
          <w:rFonts w:ascii="Arial" w:eastAsia="Times New Roman" w:hAnsi="Arial" w:cs="Arial"/>
          <w:b/>
          <w:bCs/>
          <w:sz w:val="28"/>
          <w:szCs w:val="28"/>
          <w:lang w:eastAsia="en-GB"/>
        </w:rPr>
      </w:pPr>
      <w:r w:rsidRPr="00876921">
        <w:rPr>
          <w:rFonts w:ascii="Arial" w:eastAsia="Times New Roman" w:hAnsi="Arial" w:cs="Arial"/>
          <w:noProof/>
          <w:sz w:val="20"/>
          <w:szCs w:val="20"/>
          <w:lang w:eastAsia="en-GB"/>
        </w:rPr>
        <w:drawing>
          <wp:anchor distT="0" distB="0" distL="114300" distR="114300" simplePos="0" relativeHeight="251659264" behindDoc="0" locked="0" layoutInCell="1" allowOverlap="1" wp14:anchorId="2CDB92AC" wp14:editId="7E96A89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876921">
        <w:rPr>
          <w:rFonts w:ascii="Arial" w:eastAsia="Times New Roman" w:hAnsi="Arial" w:cs="Arial"/>
          <w:sz w:val="20"/>
          <w:szCs w:val="20"/>
          <w:lang w:eastAsia="en-GB"/>
        </w:rPr>
        <w:t xml:space="preserve"> </w:t>
      </w:r>
      <w:r w:rsidRPr="00876921">
        <w:rPr>
          <w:rFonts w:ascii="Arial" w:eastAsia="Times New Roman" w:hAnsi="Arial" w:cs="Arial"/>
          <w:sz w:val="20"/>
          <w:szCs w:val="20"/>
          <w:lang w:eastAsia="en-GB"/>
        </w:rPr>
        <w:br w:type="textWrapping" w:clear="all"/>
      </w:r>
      <w:r w:rsidRPr="7BD1C661">
        <w:rPr>
          <w:rFonts w:ascii="Arial" w:eastAsia="Times New Roman" w:hAnsi="Arial" w:cs="Arial"/>
          <w:b/>
          <w:bCs/>
          <w:sz w:val="28"/>
          <w:szCs w:val="28"/>
          <w:lang w:eastAsia="en-GB"/>
        </w:rPr>
        <w:t>APPENDIX GA36b</w:t>
      </w:r>
    </w:p>
    <w:p w14:paraId="215810FD" w14:textId="77777777" w:rsidR="00763CB3" w:rsidRPr="00876921" w:rsidRDefault="00763CB3" w:rsidP="00763CB3">
      <w:pPr>
        <w:spacing w:after="0" w:line="240" w:lineRule="auto"/>
        <w:rPr>
          <w:rFonts w:ascii="Arial" w:eastAsia="Times New Roman" w:hAnsi="Arial" w:cs="Arial"/>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763CB3" w:rsidRPr="00876921" w14:paraId="25E0312D" w14:textId="77777777" w:rsidTr="006739BE">
        <w:tc>
          <w:tcPr>
            <w:tcW w:w="9922" w:type="dxa"/>
            <w:shd w:val="clear" w:color="auto" w:fill="C0C0C0"/>
          </w:tcPr>
          <w:p w14:paraId="4A9088E2" w14:textId="77777777" w:rsidR="00763CB3" w:rsidRPr="00876921" w:rsidRDefault="00763CB3" w:rsidP="006739BE">
            <w:pPr>
              <w:keepNext/>
              <w:spacing w:before="120" w:after="120" w:line="240" w:lineRule="auto"/>
              <w:jc w:val="center"/>
              <w:outlineLvl w:val="3"/>
              <w:rPr>
                <w:rFonts w:ascii="Arial" w:eastAsia="Times New Roman" w:hAnsi="Arial" w:cs="Arial"/>
                <w:b/>
                <w:sz w:val="40"/>
                <w:szCs w:val="20"/>
                <w:lang w:eastAsia="en-GB"/>
              </w:rPr>
            </w:pPr>
            <w:r w:rsidRPr="00876921">
              <w:rPr>
                <w:rFonts w:ascii="Arial" w:eastAsia="Times New Roman" w:hAnsi="Arial" w:cs="Arial"/>
                <w:b/>
                <w:sz w:val="40"/>
                <w:szCs w:val="20"/>
                <w:lang w:eastAsia="en-GB"/>
              </w:rPr>
              <w:t xml:space="preserve">LEVEL 5 ASSESSMENT SPECIFICATION </w:t>
            </w:r>
          </w:p>
        </w:tc>
      </w:tr>
    </w:tbl>
    <w:p w14:paraId="24CB547B" w14:textId="77777777" w:rsidR="00763CB3" w:rsidRPr="00876921" w:rsidRDefault="00763CB3" w:rsidP="00763CB3">
      <w:pPr>
        <w:spacing w:after="0" w:line="240" w:lineRule="auto"/>
        <w:jc w:val="center"/>
        <w:rPr>
          <w:rFonts w:ascii="Arial" w:eastAsia="Times New Roman" w:hAnsi="Arial" w:cs="Arial"/>
          <w:b/>
          <w:i/>
          <w:sz w:val="32"/>
          <w:szCs w:val="20"/>
          <w:lang w:eastAsia="en-GB"/>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97"/>
      </w:tblGrid>
      <w:tr w:rsidR="00763CB3" w:rsidRPr="00876921" w14:paraId="31839A4F" w14:textId="77777777" w:rsidTr="33AAE973">
        <w:tc>
          <w:tcPr>
            <w:tcW w:w="2093" w:type="dxa"/>
            <w:shd w:val="clear" w:color="auto" w:fill="auto"/>
          </w:tcPr>
          <w:p w14:paraId="2774B0F3"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name:</w:t>
            </w:r>
          </w:p>
        </w:tc>
        <w:tc>
          <w:tcPr>
            <w:tcW w:w="3293" w:type="dxa"/>
          </w:tcPr>
          <w:p w14:paraId="42B531F2" w14:textId="55C0E53C" w:rsidR="00763CB3" w:rsidRPr="00876921" w:rsidRDefault="005A279B"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Dafydd Fenner</w:t>
            </w:r>
          </w:p>
        </w:tc>
        <w:tc>
          <w:tcPr>
            <w:tcW w:w="2268" w:type="dxa"/>
            <w:shd w:val="clear" w:color="auto" w:fill="D9D9D9" w:themeFill="background1" w:themeFillShade="D9"/>
          </w:tcPr>
          <w:p w14:paraId="3C49D852"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ID number:</w:t>
            </w:r>
          </w:p>
        </w:tc>
        <w:tc>
          <w:tcPr>
            <w:tcW w:w="2268" w:type="dxa"/>
          </w:tcPr>
          <w:p w14:paraId="77FC9F99" w14:textId="5744AF40" w:rsidR="00763CB3" w:rsidRPr="00876921" w:rsidRDefault="00FF73D1"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2319846</w:t>
            </w:r>
          </w:p>
        </w:tc>
      </w:tr>
      <w:tr w:rsidR="00763CB3" w:rsidRPr="00876921" w14:paraId="62602496" w14:textId="77777777" w:rsidTr="33AAE973">
        <w:tc>
          <w:tcPr>
            <w:tcW w:w="2093" w:type="dxa"/>
            <w:shd w:val="clear" w:color="auto" w:fill="auto"/>
          </w:tcPr>
          <w:p w14:paraId="20C38791"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Programme:</w:t>
            </w:r>
          </w:p>
        </w:tc>
        <w:tc>
          <w:tcPr>
            <w:tcW w:w="7829" w:type="dxa"/>
            <w:gridSpan w:val="3"/>
          </w:tcPr>
          <w:p w14:paraId="0834885E" w14:textId="3BC40D20" w:rsidR="00763CB3" w:rsidRPr="00876921" w:rsidRDefault="00175177"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BSc Professional Policing Practice</w:t>
            </w:r>
          </w:p>
        </w:tc>
      </w:tr>
      <w:tr w:rsidR="00763CB3" w:rsidRPr="00876921" w14:paraId="11D4B072" w14:textId="77777777" w:rsidTr="33AAE973">
        <w:tc>
          <w:tcPr>
            <w:tcW w:w="2093" w:type="dxa"/>
            <w:shd w:val="clear" w:color="auto" w:fill="auto"/>
          </w:tcPr>
          <w:p w14:paraId="1D686F4D"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w:t>
            </w:r>
          </w:p>
        </w:tc>
        <w:tc>
          <w:tcPr>
            <w:tcW w:w="7829" w:type="dxa"/>
            <w:gridSpan w:val="3"/>
            <w:shd w:val="clear" w:color="auto" w:fill="auto"/>
          </w:tcPr>
          <w:p w14:paraId="4A82AA86" w14:textId="281319CF" w:rsidR="00763CB3" w:rsidRPr="00876921" w:rsidRDefault="007162C5"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Operational Police Practice 2</w:t>
            </w:r>
          </w:p>
        </w:tc>
      </w:tr>
      <w:tr w:rsidR="00763CB3" w:rsidRPr="00876921" w14:paraId="07E4C93B" w14:textId="77777777" w:rsidTr="33AAE973">
        <w:tc>
          <w:tcPr>
            <w:tcW w:w="2093" w:type="dxa"/>
            <w:shd w:val="clear" w:color="auto" w:fill="auto"/>
          </w:tcPr>
          <w:p w14:paraId="2781D01F"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 code:</w:t>
            </w:r>
          </w:p>
        </w:tc>
        <w:tc>
          <w:tcPr>
            <w:tcW w:w="3293" w:type="dxa"/>
          </w:tcPr>
          <w:p w14:paraId="3A19EC69" w14:textId="3D6FA15F" w:rsidR="00763CB3" w:rsidRPr="00876921" w:rsidRDefault="002F3C23"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BMPP5002D</w:t>
            </w:r>
          </w:p>
        </w:tc>
        <w:tc>
          <w:tcPr>
            <w:tcW w:w="2268" w:type="dxa"/>
            <w:shd w:val="clear" w:color="auto" w:fill="D9D9D9" w:themeFill="background1" w:themeFillShade="D9"/>
          </w:tcPr>
          <w:p w14:paraId="0F8F4600" w14:textId="77777777" w:rsidR="00763CB3" w:rsidRPr="00876921" w:rsidRDefault="00763CB3" w:rsidP="006739BE">
            <w:pPr>
              <w:keepNext/>
              <w:spacing w:after="0" w:line="240" w:lineRule="auto"/>
              <w:jc w:val="both"/>
              <w:outlineLvl w:val="1"/>
              <w:rPr>
                <w:rFonts w:ascii="Arial" w:eastAsia="Times New Roman" w:hAnsi="Arial" w:cs="Arial"/>
                <w:b/>
                <w:lang w:eastAsia="en-GB"/>
              </w:rPr>
            </w:pPr>
            <w:r w:rsidRPr="00876921">
              <w:rPr>
                <w:rFonts w:ascii="Arial" w:eastAsia="Times New Roman" w:hAnsi="Arial" w:cs="Arial"/>
                <w:b/>
                <w:lang w:eastAsia="en-GB"/>
              </w:rPr>
              <w:t>Contribution to Overall Module Assessment (%):</w:t>
            </w:r>
          </w:p>
        </w:tc>
        <w:tc>
          <w:tcPr>
            <w:tcW w:w="2268" w:type="dxa"/>
          </w:tcPr>
          <w:p w14:paraId="067D16EA"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50%</w:t>
            </w:r>
          </w:p>
        </w:tc>
      </w:tr>
      <w:tr w:rsidR="00763CB3" w:rsidRPr="00876921" w14:paraId="3979016C" w14:textId="77777777" w:rsidTr="33AAE973">
        <w:tc>
          <w:tcPr>
            <w:tcW w:w="2093" w:type="dxa"/>
            <w:shd w:val="clear" w:color="auto" w:fill="auto"/>
          </w:tcPr>
          <w:p w14:paraId="6F089514" w14:textId="176307E0" w:rsidR="00763CB3" w:rsidRPr="00876921" w:rsidRDefault="00872AD2"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Tutor</w:t>
            </w:r>
          </w:p>
        </w:tc>
        <w:tc>
          <w:tcPr>
            <w:tcW w:w="3293" w:type="dxa"/>
          </w:tcPr>
          <w:p w14:paraId="374C0665" w14:textId="55EE71BD" w:rsidR="00763CB3" w:rsidRPr="00876921" w:rsidRDefault="00763CB3" w:rsidP="006739BE">
            <w:pPr>
              <w:spacing w:before="120" w:after="120" w:line="240" w:lineRule="auto"/>
              <w:jc w:val="both"/>
              <w:rPr>
                <w:rFonts w:ascii="Arial" w:eastAsia="Times New Roman" w:hAnsi="Arial" w:cs="Arial"/>
                <w:b/>
                <w:lang w:eastAsia="en-GB"/>
              </w:rPr>
            </w:pPr>
          </w:p>
        </w:tc>
        <w:tc>
          <w:tcPr>
            <w:tcW w:w="2268" w:type="dxa"/>
            <w:shd w:val="clear" w:color="auto" w:fill="D9D9D9" w:themeFill="background1" w:themeFillShade="D9"/>
          </w:tcPr>
          <w:p w14:paraId="7A9E1A58"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Internal Verifier:</w:t>
            </w:r>
          </w:p>
        </w:tc>
        <w:tc>
          <w:tcPr>
            <w:tcW w:w="2268" w:type="dxa"/>
          </w:tcPr>
          <w:p w14:paraId="1E659104" w14:textId="444FE8CE" w:rsidR="00763CB3" w:rsidRPr="00876921" w:rsidRDefault="00763CB3" w:rsidP="006739BE">
            <w:pPr>
              <w:spacing w:before="120" w:after="120" w:line="240" w:lineRule="auto"/>
              <w:jc w:val="both"/>
              <w:rPr>
                <w:rFonts w:ascii="Arial" w:eastAsia="Times New Roman" w:hAnsi="Arial" w:cs="Arial"/>
                <w:b/>
                <w:lang w:eastAsia="en-GB"/>
              </w:rPr>
            </w:pPr>
          </w:p>
        </w:tc>
      </w:tr>
      <w:tr w:rsidR="00763CB3" w:rsidRPr="00876921" w14:paraId="6DE58ABE" w14:textId="77777777" w:rsidTr="33AAE973">
        <w:tc>
          <w:tcPr>
            <w:tcW w:w="2093" w:type="dxa"/>
            <w:shd w:val="clear" w:color="auto" w:fill="auto"/>
          </w:tcPr>
          <w:p w14:paraId="72386433"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Assignment Title:</w:t>
            </w:r>
          </w:p>
        </w:tc>
        <w:tc>
          <w:tcPr>
            <w:tcW w:w="3293" w:type="dxa"/>
          </w:tcPr>
          <w:p w14:paraId="7868DBCE" w14:textId="4EA6E1EE" w:rsidR="00763CB3" w:rsidRPr="00876921" w:rsidRDefault="007162C5"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Assignment </w:t>
            </w:r>
            <w:r w:rsidR="00976033">
              <w:rPr>
                <w:rFonts w:ascii="Arial" w:eastAsia="Times New Roman" w:hAnsi="Arial" w:cs="Arial"/>
                <w:b/>
                <w:lang w:eastAsia="en-GB"/>
              </w:rPr>
              <w:t>2</w:t>
            </w:r>
          </w:p>
        </w:tc>
        <w:tc>
          <w:tcPr>
            <w:tcW w:w="2268" w:type="dxa"/>
            <w:shd w:val="clear" w:color="auto" w:fill="auto"/>
          </w:tcPr>
          <w:p w14:paraId="69C56199"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Word count (or equivalent):</w:t>
            </w:r>
          </w:p>
        </w:tc>
        <w:tc>
          <w:tcPr>
            <w:tcW w:w="2268" w:type="dxa"/>
          </w:tcPr>
          <w:p w14:paraId="543E1CD9" w14:textId="495660E1" w:rsidR="00763CB3" w:rsidRPr="00876921" w:rsidRDefault="00763CB3"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4000 Words</w:t>
            </w:r>
          </w:p>
        </w:tc>
      </w:tr>
      <w:tr w:rsidR="00763CB3" w:rsidRPr="00876921" w14:paraId="04FAEA92" w14:textId="77777777" w:rsidTr="33AAE973">
        <w:tc>
          <w:tcPr>
            <w:tcW w:w="2093" w:type="dxa"/>
            <w:shd w:val="clear" w:color="auto" w:fill="auto"/>
          </w:tcPr>
          <w:p w14:paraId="1A089A08"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Submission deadline:</w:t>
            </w:r>
          </w:p>
        </w:tc>
        <w:tc>
          <w:tcPr>
            <w:tcW w:w="3293" w:type="dxa"/>
            <w:shd w:val="clear" w:color="auto" w:fill="auto"/>
          </w:tcPr>
          <w:p w14:paraId="2F128109" w14:textId="3705C419" w:rsidR="00763CB3" w:rsidRPr="0056047D" w:rsidRDefault="0039280E" w:rsidP="006739BE">
            <w:pPr>
              <w:spacing w:before="120" w:after="120" w:line="240" w:lineRule="auto"/>
              <w:jc w:val="both"/>
              <w:rPr>
                <w:rFonts w:ascii="Arial" w:eastAsia="Times New Roman" w:hAnsi="Arial" w:cs="Arial"/>
                <w:b/>
                <w:bCs/>
                <w:lang w:eastAsia="en-GB"/>
              </w:rPr>
            </w:pPr>
            <w:r>
              <w:rPr>
                <w:rFonts w:ascii="Arial" w:eastAsia="Times New Roman" w:hAnsi="Arial" w:cs="Arial"/>
                <w:b/>
                <w:bCs/>
                <w:lang w:eastAsia="en-GB"/>
              </w:rPr>
              <w:t>2</w:t>
            </w:r>
            <w:r w:rsidR="00223A86">
              <w:rPr>
                <w:rFonts w:ascii="Arial" w:eastAsia="Times New Roman" w:hAnsi="Arial" w:cs="Arial"/>
                <w:b/>
                <w:bCs/>
                <w:lang w:eastAsia="en-GB"/>
              </w:rPr>
              <w:t>6</w:t>
            </w:r>
            <w:r w:rsidR="00223A86" w:rsidRPr="00223A86">
              <w:rPr>
                <w:rFonts w:ascii="Arial" w:eastAsia="Times New Roman" w:hAnsi="Arial" w:cs="Arial"/>
                <w:b/>
                <w:bCs/>
                <w:vertAlign w:val="superscript"/>
                <w:lang w:eastAsia="en-GB"/>
              </w:rPr>
              <w:t>th</w:t>
            </w:r>
            <w:r w:rsidR="00223A86">
              <w:rPr>
                <w:rFonts w:ascii="Arial" w:eastAsia="Times New Roman" w:hAnsi="Arial" w:cs="Arial"/>
                <w:b/>
                <w:bCs/>
                <w:lang w:eastAsia="en-GB"/>
              </w:rPr>
              <w:t xml:space="preserve"> May 2025</w:t>
            </w:r>
          </w:p>
        </w:tc>
        <w:tc>
          <w:tcPr>
            <w:tcW w:w="2268" w:type="dxa"/>
            <w:shd w:val="clear" w:color="auto" w:fill="auto"/>
          </w:tcPr>
          <w:p w14:paraId="73ECFA60"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Return date of provisional marks &amp; written feedback:</w:t>
            </w:r>
          </w:p>
        </w:tc>
        <w:tc>
          <w:tcPr>
            <w:tcW w:w="2268" w:type="dxa"/>
          </w:tcPr>
          <w:p w14:paraId="654E3959" w14:textId="5CB116DC" w:rsidR="00763CB3" w:rsidRPr="00876921" w:rsidRDefault="0039280E" w:rsidP="0B4505FB">
            <w:pPr>
              <w:spacing w:before="120" w:after="120" w:line="240" w:lineRule="auto"/>
              <w:jc w:val="both"/>
              <w:rPr>
                <w:rFonts w:ascii="Arial" w:eastAsia="Times New Roman" w:hAnsi="Arial" w:cs="Arial"/>
                <w:b/>
                <w:bCs/>
                <w:lang w:eastAsia="en-GB"/>
              </w:rPr>
            </w:pPr>
            <w:r>
              <w:rPr>
                <w:rFonts w:ascii="Arial" w:eastAsia="Times New Roman" w:hAnsi="Arial" w:cs="Arial"/>
                <w:b/>
                <w:bCs/>
                <w:lang w:eastAsia="en-GB"/>
              </w:rPr>
              <w:t>16</w:t>
            </w:r>
            <w:r w:rsidR="00223A86">
              <w:rPr>
                <w:rFonts w:ascii="Arial" w:eastAsia="Times New Roman" w:hAnsi="Arial" w:cs="Arial"/>
                <w:b/>
                <w:bCs/>
                <w:vertAlign w:val="superscript"/>
                <w:lang w:eastAsia="en-GB"/>
              </w:rPr>
              <w:t xml:space="preserve">th </w:t>
            </w:r>
            <w:r w:rsidR="00223A86">
              <w:rPr>
                <w:rFonts w:ascii="Arial" w:eastAsia="Times New Roman" w:hAnsi="Arial" w:cs="Arial"/>
                <w:b/>
                <w:bCs/>
                <w:lang w:eastAsia="en-GB"/>
              </w:rPr>
              <w:t>June 2025</w:t>
            </w:r>
          </w:p>
        </w:tc>
      </w:tr>
      <w:tr w:rsidR="00763CB3" w:rsidRPr="00876921" w14:paraId="06994002" w14:textId="77777777" w:rsidTr="33AAE973">
        <w:tc>
          <w:tcPr>
            <w:tcW w:w="2093" w:type="dxa"/>
            <w:shd w:val="clear" w:color="auto" w:fill="auto"/>
          </w:tcPr>
          <w:p w14:paraId="29059159"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Submission method:</w:t>
            </w:r>
          </w:p>
        </w:tc>
        <w:tc>
          <w:tcPr>
            <w:tcW w:w="7829" w:type="dxa"/>
            <w:gridSpan w:val="3"/>
            <w:shd w:val="clear" w:color="auto" w:fill="auto"/>
          </w:tcPr>
          <w:p w14:paraId="2B414757" w14:textId="64E22C02" w:rsidR="008247AC" w:rsidRDefault="00763CB3" w:rsidP="006739BE">
            <w:pPr>
              <w:spacing w:after="0" w:line="240" w:lineRule="auto"/>
              <w:rPr>
                <w:rFonts w:ascii="Arial" w:eastAsia="Times New Roman" w:hAnsi="Arial" w:cs="Arial"/>
                <w:lang w:eastAsia="en-GB"/>
              </w:rPr>
            </w:pPr>
            <w:r w:rsidRPr="00876921">
              <w:rPr>
                <w:rFonts w:ascii="Arial" w:eastAsia="Times New Roman" w:hAnsi="Arial" w:cs="Arial"/>
                <w:lang w:eastAsia="en-GB"/>
              </w:rPr>
              <w:t xml:space="preserve">All written assessments, where practical and possible, must be submitted via Turnitin unless otherwise instructed by the </w:t>
            </w:r>
            <w:r w:rsidR="008247AC">
              <w:rPr>
                <w:rFonts w:ascii="Arial" w:eastAsia="Times New Roman" w:hAnsi="Arial" w:cs="Arial"/>
                <w:lang w:eastAsia="en-GB"/>
              </w:rPr>
              <w:t>l</w:t>
            </w:r>
            <w:r w:rsidRPr="00876921">
              <w:rPr>
                <w:rFonts w:ascii="Arial" w:eastAsia="Times New Roman" w:hAnsi="Arial" w:cs="Arial"/>
                <w:lang w:eastAsia="en-GB"/>
              </w:rPr>
              <w:t xml:space="preserve">ecturer. </w:t>
            </w:r>
          </w:p>
          <w:p w14:paraId="017AF2A9" w14:textId="77777777" w:rsidR="008247AC" w:rsidRDefault="008247AC" w:rsidP="008247AC">
            <w:pPr>
              <w:spacing w:after="0" w:line="240" w:lineRule="auto"/>
              <w:rPr>
                <w:rFonts w:ascii="Arial" w:eastAsia="Times New Roman" w:hAnsi="Arial" w:cs="Arial"/>
                <w:lang w:eastAsia="en-GB"/>
              </w:rPr>
            </w:pPr>
          </w:p>
          <w:p w14:paraId="55A5C08C" w14:textId="3EB35970" w:rsidR="00763CB3" w:rsidRPr="00876921" w:rsidRDefault="008247AC" w:rsidP="00B025F3">
            <w:pPr>
              <w:spacing w:line="240" w:lineRule="auto"/>
              <w:rPr>
                <w:rFonts w:ascii="Arial" w:eastAsia="Times New Roman" w:hAnsi="Arial" w:cs="Arial"/>
                <w:lang w:eastAsia="en-GB"/>
              </w:rPr>
            </w:pPr>
            <w:r>
              <w:rPr>
                <w:rFonts w:ascii="Arial" w:eastAsia="Times New Roman" w:hAnsi="Arial" w:cs="Arial"/>
                <w:lang w:eastAsia="en-GB"/>
              </w:rPr>
              <w:t xml:space="preserve">You should submit this assignment in a Word document. </w:t>
            </w:r>
            <w:r w:rsidR="00763CB3" w:rsidRPr="00590326">
              <w:rPr>
                <w:rFonts w:ascii="Arial" w:eastAsia="Times New Roman" w:hAnsi="Arial" w:cs="Arial"/>
                <w:b/>
                <w:bCs/>
                <w:lang w:eastAsia="en-GB"/>
              </w:rPr>
              <w:t>DO NOT</w:t>
            </w:r>
            <w:r w:rsidR="00763CB3" w:rsidRPr="00876921">
              <w:rPr>
                <w:rFonts w:ascii="Arial" w:eastAsia="Times New Roman" w:hAnsi="Arial" w:cs="Arial"/>
                <w:lang w:eastAsia="en-GB"/>
              </w:rPr>
              <w:t xml:space="preserve"> put this assessment specification into Turnitin or it will match many similarities with other students’ submissions.</w:t>
            </w:r>
          </w:p>
          <w:p w14:paraId="24571DAF" w14:textId="77777777" w:rsidR="00B025F3" w:rsidRDefault="00763CB3" w:rsidP="00011280">
            <w:pPr>
              <w:spacing w:after="0" w:line="240" w:lineRule="auto"/>
              <w:jc w:val="both"/>
              <w:rPr>
                <w:rFonts w:ascii="Arial" w:eastAsia="Times New Roman" w:hAnsi="Arial" w:cs="Arial"/>
                <w:lang w:eastAsia="en-GB"/>
              </w:rPr>
            </w:pPr>
            <w:r w:rsidRPr="00876921">
              <w:rPr>
                <w:rFonts w:ascii="Arial" w:eastAsia="Times New Roman" w:hAnsi="Arial" w:cs="Arial"/>
                <w:b/>
                <w:lang w:eastAsia="en-GB"/>
              </w:rPr>
              <w:t xml:space="preserve">Late submission of the assessment will result in a late penalty mark.  </w:t>
            </w:r>
            <w:r w:rsidRPr="00876921">
              <w:rPr>
                <w:rFonts w:ascii="Arial" w:eastAsia="Times New Roman" w:hAnsi="Arial" w:cs="Arial"/>
                <w:lang w:eastAsia="en-GB"/>
              </w:rPr>
              <w:t>Penalties for late submission:</w:t>
            </w:r>
          </w:p>
          <w:p w14:paraId="2A0201AC" w14:textId="77777777" w:rsidR="00011280" w:rsidRPr="00011280" w:rsidRDefault="00011280" w:rsidP="00011280">
            <w:pPr>
              <w:pStyle w:val="ListParagraph"/>
              <w:numPr>
                <w:ilvl w:val="0"/>
                <w:numId w:val="11"/>
              </w:numPr>
              <w:spacing w:after="0" w:line="240" w:lineRule="auto"/>
              <w:jc w:val="both"/>
              <w:rPr>
                <w:rFonts w:ascii="Arial" w:eastAsia="Times New Roman" w:hAnsi="Arial" w:cs="Arial"/>
                <w:b/>
                <w:lang w:eastAsia="en-GB"/>
              </w:rPr>
            </w:pPr>
            <w:r>
              <w:rPr>
                <w:rFonts w:ascii="Arial" w:eastAsia="Times New Roman" w:hAnsi="Arial" w:cs="Arial"/>
                <w:lang w:eastAsia="en-GB"/>
              </w:rPr>
              <w:t>u</w:t>
            </w:r>
            <w:r w:rsidR="00763CB3" w:rsidRPr="00011280">
              <w:rPr>
                <w:rFonts w:ascii="Arial" w:eastAsia="Times New Roman" w:hAnsi="Arial" w:cs="Arial"/>
                <w:lang w:eastAsia="en-GB"/>
              </w:rPr>
              <w:t xml:space="preserve">p to one week late, maximum mark of 40%.  </w:t>
            </w:r>
          </w:p>
          <w:p w14:paraId="69A05DD3" w14:textId="7D09A806" w:rsidR="00011280" w:rsidRPr="00011280" w:rsidRDefault="00011280" w:rsidP="00011280">
            <w:pPr>
              <w:pStyle w:val="ListParagraph"/>
              <w:numPr>
                <w:ilvl w:val="0"/>
                <w:numId w:val="11"/>
              </w:numPr>
              <w:spacing w:after="0" w:line="240" w:lineRule="auto"/>
              <w:jc w:val="both"/>
              <w:rPr>
                <w:rFonts w:ascii="Arial" w:eastAsia="Times New Roman" w:hAnsi="Arial" w:cs="Arial"/>
                <w:b/>
                <w:lang w:eastAsia="en-GB"/>
              </w:rPr>
            </w:pPr>
            <w:r>
              <w:rPr>
                <w:rFonts w:ascii="Arial" w:eastAsia="Times New Roman" w:hAnsi="Arial" w:cs="Arial"/>
                <w:lang w:eastAsia="en-GB"/>
              </w:rPr>
              <w:lastRenderedPageBreak/>
              <w:t>o</w:t>
            </w:r>
            <w:r w:rsidR="00763CB3" w:rsidRPr="00011280">
              <w:rPr>
                <w:rFonts w:ascii="Arial" w:eastAsia="Times New Roman" w:hAnsi="Arial" w:cs="Arial"/>
                <w:lang w:eastAsia="en-GB"/>
              </w:rPr>
              <w:t>ver one week late</w:t>
            </w:r>
            <w:r w:rsidR="001E5985">
              <w:rPr>
                <w:rFonts w:ascii="Arial" w:eastAsia="Times New Roman" w:hAnsi="Arial" w:cs="Arial"/>
                <w:lang w:eastAsia="en-GB"/>
              </w:rPr>
              <w:t>, mark of</w:t>
            </w:r>
            <w:r w:rsidR="00763CB3" w:rsidRPr="00011280">
              <w:rPr>
                <w:rFonts w:ascii="Arial" w:eastAsia="Times New Roman" w:hAnsi="Arial" w:cs="Arial"/>
                <w:lang w:eastAsia="en-GB"/>
              </w:rPr>
              <w:t xml:space="preserve"> 0%.  </w:t>
            </w:r>
          </w:p>
          <w:p w14:paraId="5C1AAE30" w14:textId="04EF4114" w:rsidR="00763CB3" w:rsidRPr="00011280" w:rsidRDefault="00763CB3" w:rsidP="00011280">
            <w:pPr>
              <w:spacing w:after="0" w:line="240" w:lineRule="auto"/>
              <w:jc w:val="both"/>
              <w:rPr>
                <w:rFonts w:ascii="Arial" w:eastAsia="Times New Roman" w:hAnsi="Arial" w:cs="Arial"/>
                <w:b/>
                <w:lang w:eastAsia="en-GB"/>
              </w:rPr>
            </w:pPr>
            <w:r w:rsidRPr="00011280">
              <w:rPr>
                <w:rFonts w:ascii="Arial" w:eastAsia="Times New Roman" w:hAnsi="Arial" w:cs="Arial"/>
                <w:lang w:eastAsia="en-GB"/>
              </w:rPr>
              <w:t>Only the Extenuating Circumstances Panel may approve a change to submission dates.</w:t>
            </w:r>
          </w:p>
        </w:tc>
      </w:tr>
      <w:tr w:rsidR="00763CB3" w:rsidRPr="00876921" w14:paraId="1B9EA68B" w14:textId="77777777" w:rsidTr="33AAE973">
        <w:tc>
          <w:tcPr>
            <w:tcW w:w="2093" w:type="dxa"/>
            <w:shd w:val="clear" w:color="auto" w:fill="auto"/>
          </w:tcPr>
          <w:p w14:paraId="403934AA" w14:textId="77777777" w:rsidR="00763CB3" w:rsidRPr="00876921" w:rsidRDefault="00763CB3" w:rsidP="006739BE">
            <w:pPr>
              <w:spacing w:before="120" w:after="120" w:line="240" w:lineRule="auto"/>
              <w:rPr>
                <w:rFonts w:ascii="Arial" w:eastAsia="Times New Roman" w:hAnsi="Arial" w:cs="Arial"/>
                <w:b/>
                <w:lang w:eastAsia="en-GB"/>
              </w:rPr>
            </w:pPr>
            <w:r w:rsidRPr="00876921">
              <w:rPr>
                <w:rFonts w:ascii="Arial" w:eastAsia="Times New Roman" w:hAnsi="Arial" w:cs="Arial"/>
                <w:b/>
                <w:lang w:eastAsia="en-GB"/>
              </w:rPr>
              <w:lastRenderedPageBreak/>
              <w:t>Academic honesty / referencing:</w:t>
            </w:r>
          </w:p>
        </w:tc>
        <w:tc>
          <w:tcPr>
            <w:tcW w:w="7829" w:type="dxa"/>
            <w:gridSpan w:val="3"/>
            <w:shd w:val="clear" w:color="auto" w:fill="auto"/>
          </w:tcPr>
          <w:p w14:paraId="00F5551E" w14:textId="77777777" w:rsidR="00C821A1" w:rsidRDefault="00C821A1" w:rsidP="00C821A1">
            <w:pPr>
              <w:spacing w:before="120" w:after="120" w:line="240" w:lineRule="auto"/>
              <w:jc w:val="both"/>
              <w:rPr>
                <w:rFonts w:ascii="Arial" w:eastAsia="Times New Roman" w:hAnsi="Arial" w:cs="Arial"/>
                <w:lang w:eastAsia="en-GB"/>
              </w:rPr>
            </w:pPr>
            <w:r w:rsidRPr="00876921">
              <w:rPr>
                <w:rFonts w:ascii="Arial" w:eastAsia="Times New Roman" w:hAnsi="Arial" w:cs="Arial"/>
                <w:lang w:eastAsia="en-GB"/>
              </w:rPr>
              <w:t xml:space="preserve">Academic honesty is required. In the main body of your </w:t>
            </w:r>
            <w:proofErr w:type="gramStart"/>
            <w:r w:rsidRPr="00876921">
              <w:rPr>
                <w:rFonts w:ascii="Arial" w:eastAsia="Times New Roman" w:hAnsi="Arial" w:cs="Arial"/>
                <w:lang w:eastAsia="en-GB"/>
              </w:rPr>
              <w:t>submission</w:t>
            </w:r>
            <w:proofErr w:type="gramEnd"/>
            <w:r w:rsidRPr="00876921">
              <w:rPr>
                <w:rFonts w:ascii="Arial" w:eastAsia="Times New Roman" w:hAnsi="Arial" w:cs="Arial"/>
                <w:lang w:eastAsia="en-GB"/>
              </w:rPr>
              <w:t xml:space="preserve"> you </w:t>
            </w:r>
            <w:r w:rsidRPr="00533DEC">
              <w:rPr>
                <w:rFonts w:ascii="Arial" w:eastAsia="Times New Roman" w:hAnsi="Arial" w:cs="Arial"/>
                <w:b/>
                <w:bCs/>
                <w:lang w:eastAsia="en-GB"/>
              </w:rPr>
              <w:t xml:space="preserve">must </w:t>
            </w:r>
            <w:r w:rsidRPr="00876921">
              <w:rPr>
                <w:rFonts w:ascii="Arial" w:eastAsia="Times New Roman" w:hAnsi="Arial" w:cs="Arial"/>
                <w:lang w:eastAsia="en-GB"/>
              </w:rPr>
              <w:t xml:space="preserve">give credit to authors on whose research and ideas your work is based. </w:t>
            </w:r>
            <w:r>
              <w:rPr>
                <w:rFonts w:ascii="Arial" w:eastAsia="Times New Roman" w:hAnsi="Arial" w:cs="Arial"/>
                <w:lang w:eastAsia="en-GB"/>
              </w:rPr>
              <w:t xml:space="preserve">You must append </w:t>
            </w:r>
            <w:r w:rsidRPr="00876921">
              <w:rPr>
                <w:rFonts w:ascii="Arial" w:eastAsia="Times New Roman" w:hAnsi="Arial" w:cs="Arial"/>
                <w:lang w:eastAsia="en-GB"/>
              </w:rPr>
              <w:t xml:space="preserve">a reference list </w:t>
            </w:r>
            <w:r>
              <w:rPr>
                <w:rFonts w:ascii="Arial" w:eastAsia="Times New Roman" w:hAnsi="Arial" w:cs="Arial"/>
                <w:lang w:eastAsia="en-GB"/>
              </w:rPr>
              <w:t>indicating</w:t>
            </w:r>
            <w:r w:rsidRPr="00876921">
              <w:rPr>
                <w:rFonts w:ascii="Arial" w:eastAsia="Times New Roman" w:hAnsi="Arial" w:cs="Arial"/>
                <w:lang w:eastAsia="en-GB"/>
              </w:rPr>
              <w:t xml:space="preserve"> the books, articles, etc. that you have used, cited or quoted </w:t>
            </w:r>
            <w:proofErr w:type="gramStart"/>
            <w:r w:rsidRPr="00876921">
              <w:rPr>
                <w:rFonts w:ascii="Arial" w:eastAsia="Times New Roman" w:hAnsi="Arial" w:cs="Arial"/>
                <w:lang w:eastAsia="en-GB"/>
              </w:rPr>
              <w:t>in order to</w:t>
            </w:r>
            <w:proofErr w:type="gramEnd"/>
            <w:r w:rsidRPr="00876921">
              <w:rPr>
                <w:rFonts w:ascii="Arial" w:eastAsia="Times New Roman" w:hAnsi="Arial" w:cs="Arial"/>
                <w:lang w:eastAsia="en-GB"/>
              </w:rPr>
              <w:t xml:space="preserve"> complete this assessment.  </w:t>
            </w:r>
          </w:p>
          <w:p w14:paraId="5ECF1924" w14:textId="77777777" w:rsidR="00C821A1" w:rsidRDefault="00C821A1" w:rsidP="00C821A1">
            <w:pPr>
              <w:spacing w:before="120" w:after="120" w:line="240" w:lineRule="auto"/>
              <w:jc w:val="both"/>
              <w:rPr>
                <w:rFonts w:ascii="Arial" w:eastAsia="Times New Roman" w:hAnsi="Arial" w:cs="Arial"/>
                <w:lang w:eastAsia="en-GB"/>
              </w:rPr>
            </w:pPr>
            <w:r>
              <w:rPr>
                <w:rFonts w:ascii="Arial" w:eastAsia="Times New Roman" w:hAnsi="Arial" w:cs="Arial"/>
                <w:lang w:eastAsia="en-GB"/>
              </w:rPr>
              <w:t>The university takes p</w:t>
            </w:r>
            <w:r w:rsidRPr="000B2EEB">
              <w:rPr>
                <w:rFonts w:ascii="Arial" w:eastAsia="Times New Roman" w:hAnsi="Arial" w:cs="Arial"/>
                <w:lang w:eastAsia="en-GB"/>
              </w:rPr>
              <w:t>lagiarism very seriously</w:t>
            </w:r>
            <w:r>
              <w:rPr>
                <w:rFonts w:ascii="Arial" w:eastAsia="Times New Roman" w:hAnsi="Arial" w:cs="Arial"/>
                <w:lang w:eastAsia="en-GB"/>
              </w:rPr>
              <w:t>.</w:t>
            </w:r>
          </w:p>
          <w:p w14:paraId="4A047197" w14:textId="77777777" w:rsidR="00C821A1" w:rsidRPr="000F2637" w:rsidRDefault="00C821A1" w:rsidP="00C821A1">
            <w:pPr>
              <w:spacing w:before="120" w:after="120" w:line="240" w:lineRule="auto"/>
              <w:jc w:val="both"/>
              <w:rPr>
                <w:rFonts w:ascii="Arial" w:eastAsia="Times New Roman" w:hAnsi="Arial" w:cs="Arial"/>
                <w:lang w:eastAsia="en-GB"/>
              </w:rPr>
            </w:pPr>
            <w:r>
              <w:rPr>
                <w:rFonts w:ascii="Arial" w:eastAsia="Times New Roman" w:hAnsi="Arial" w:cs="Arial"/>
                <w:lang w:eastAsia="en-GB"/>
              </w:rPr>
              <w:t xml:space="preserve">All work submitted must be </w:t>
            </w:r>
            <w:r>
              <w:rPr>
                <w:rFonts w:ascii="Arial" w:eastAsia="Times New Roman" w:hAnsi="Arial" w:cs="Arial"/>
                <w:b/>
                <w:bCs/>
                <w:lang w:eastAsia="en-GB"/>
              </w:rPr>
              <w:t xml:space="preserve">entirely your own work. You must not </w:t>
            </w:r>
            <w:r>
              <w:rPr>
                <w:rFonts w:ascii="Arial" w:eastAsia="Times New Roman" w:hAnsi="Arial" w:cs="Arial"/>
                <w:lang w:eastAsia="en-GB"/>
              </w:rPr>
              <w:t xml:space="preserve">use work previously submitted by </w:t>
            </w:r>
            <w:r w:rsidRPr="00B61EAE">
              <w:rPr>
                <w:rFonts w:ascii="Arial" w:eastAsia="Times New Roman" w:hAnsi="Arial" w:cs="Arial"/>
                <w:u w:val="single"/>
                <w:lang w:eastAsia="en-GB"/>
              </w:rPr>
              <w:t>you</w:t>
            </w:r>
            <w:r>
              <w:rPr>
                <w:rFonts w:ascii="Arial" w:eastAsia="Times New Roman" w:hAnsi="Arial" w:cs="Arial"/>
                <w:lang w:eastAsia="en-GB"/>
              </w:rPr>
              <w:t xml:space="preserve"> or </w:t>
            </w:r>
            <w:r w:rsidRPr="00B61EAE">
              <w:rPr>
                <w:rFonts w:ascii="Arial" w:eastAsia="Times New Roman" w:hAnsi="Arial" w:cs="Arial"/>
                <w:u w:val="single"/>
                <w:lang w:eastAsia="en-GB"/>
              </w:rPr>
              <w:t>any other student</w:t>
            </w:r>
            <w:r>
              <w:rPr>
                <w:rFonts w:ascii="Arial" w:eastAsia="Times New Roman" w:hAnsi="Arial" w:cs="Arial"/>
                <w:lang w:eastAsia="en-GB"/>
              </w:rPr>
              <w:t>, and you are not permitted to share your work with others either now or in the future.</w:t>
            </w:r>
          </w:p>
          <w:p w14:paraId="2786884C" w14:textId="77777777" w:rsidR="00C821A1" w:rsidRPr="000B2EEB" w:rsidRDefault="00C821A1" w:rsidP="00C821A1">
            <w:pPr>
              <w:spacing w:before="120" w:after="120" w:line="240" w:lineRule="auto"/>
              <w:rPr>
                <w:rFonts w:ascii="Arial" w:eastAsia="Times New Roman" w:hAnsi="Arial" w:cs="Arial"/>
                <w:b/>
                <w:bCs/>
                <w:lang w:eastAsia="en-GB"/>
              </w:rPr>
            </w:pPr>
            <w:r w:rsidRPr="000B2EEB">
              <w:rPr>
                <w:rFonts w:ascii="Arial" w:eastAsia="Times New Roman" w:hAnsi="Arial" w:cs="Arial"/>
                <w:b/>
                <w:bCs/>
                <w:lang w:eastAsia="en-GB"/>
              </w:rPr>
              <w:t>Please be aware that if academic misconduct is committed unintentionally or accidentally, this cannot be used as a defence</w:t>
            </w:r>
            <w:r>
              <w:rPr>
                <w:rFonts w:ascii="Arial" w:eastAsia="Times New Roman" w:hAnsi="Arial" w:cs="Arial"/>
                <w:b/>
                <w:bCs/>
                <w:lang w:eastAsia="en-GB"/>
              </w:rPr>
              <w:t>.</w:t>
            </w:r>
            <w:r w:rsidRPr="000B2EEB">
              <w:rPr>
                <w:rFonts w:ascii="Arial" w:eastAsia="Times New Roman" w:hAnsi="Arial" w:cs="Arial"/>
                <w:b/>
                <w:bCs/>
                <w:lang w:eastAsia="en-GB"/>
              </w:rPr>
              <w:t> </w:t>
            </w:r>
          </w:p>
          <w:p w14:paraId="043D0307" w14:textId="77777777" w:rsidR="00763CB3" w:rsidRDefault="00763CB3" w:rsidP="006739BE">
            <w:pPr>
              <w:spacing w:before="120" w:after="120" w:line="240" w:lineRule="auto"/>
              <w:jc w:val="both"/>
              <w:rPr>
                <w:rFonts w:ascii="Arial" w:eastAsia="Times New Roman" w:hAnsi="Arial" w:cs="Arial"/>
                <w:lang w:eastAsia="en-GB"/>
              </w:rPr>
            </w:pPr>
          </w:p>
          <w:p w14:paraId="163A6606" w14:textId="77777777" w:rsidR="00763CB3" w:rsidRDefault="00763CB3" w:rsidP="006739BE">
            <w:pPr>
              <w:spacing w:before="120" w:after="120" w:line="240" w:lineRule="auto"/>
              <w:jc w:val="both"/>
              <w:rPr>
                <w:rFonts w:ascii="Arial" w:eastAsia="Times New Roman" w:hAnsi="Arial" w:cs="Arial"/>
                <w:lang w:eastAsia="en-GB"/>
              </w:rPr>
            </w:pPr>
          </w:p>
          <w:p w14:paraId="6DA6307A" w14:textId="33A9DAC4" w:rsidR="00763CB3" w:rsidRPr="00876921" w:rsidRDefault="00763CB3" w:rsidP="006739BE">
            <w:pPr>
              <w:spacing w:before="120" w:after="120" w:line="240" w:lineRule="auto"/>
              <w:jc w:val="both"/>
              <w:rPr>
                <w:rFonts w:ascii="Arial" w:eastAsia="Times New Roman" w:hAnsi="Arial" w:cs="Arial"/>
                <w:lang w:eastAsia="en-GB"/>
              </w:rPr>
            </w:pPr>
          </w:p>
        </w:tc>
      </w:tr>
      <w:tr w:rsidR="00763CB3" w:rsidRPr="00876921" w14:paraId="159CBF72" w14:textId="77777777" w:rsidTr="33AAE973">
        <w:tc>
          <w:tcPr>
            <w:tcW w:w="9951" w:type="dxa"/>
            <w:gridSpan w:val="4"/>
            <w:shd w:val="clear" w:color="auto" w:fill="auto"/>
          </w:tcPr>
          <w:p w14:paraId="3067DD77" w14:textId="77777777" w:rsidR="00763CB3" w:rsidRPr="00876921" w:rsidRDefault="00763CB3" w:rsidP="006739BE">
            <w:pPr>
              <w:spacing w:after="0" w:line="240" w:lineRule="auto"/>
              <w:rPr>
                <w:rFonts w:ascii="Arial" w:eastAsia="Times New Roman" w:hAnsi="Arial" w:cs="Arial"/>
                <w:b/>
                <w:lang w:eastAsia="en-GB"/>
              </w:rPr>
            </w:pPr>
            <w:r w:rsidRPr="00876921">
              <w:rPr>
                <w:rFonts w:ascii="Arial" w:eastAsia="Times New Roman" w:hAnsi="Arial" w:cs="Arial"/>
                <w:b/>
                <w:lang w:eastAsia="en-GB"/>
              </w:rPr>
              <w:t xml:space="preserve">Module Learning Outcomes </w:t>
            </w:r>
          </w:p>
          <w:p w14:paraId="1BA7F633" w14:textId="77777777" w:rsidR="00763CB3" w:rsidRPr="00876921" w:rsidRDefault="00763CB3" w:rsidP="006739BE">
            <w:pPr>
              <w:spacing w:after="0" w:line="240" w:lineRule="auto"/>
              <w:rPr>
                <w:rFonts w:ascii="Arial" w:eastAsia="Times New Roman" w:hAnsi="Arial" w:cs="Arial"/>
                <w:lang w:eastAsia="en-GB"/>
              </w:rPr>
            </w:pPr>
            <w:r w:rsidRPr="00876921">
              <w:rPr>
                <w:rFonts w:ascii="Arial" w:eastAsia="Times New Roman" w:hAnsi="Arial" w:cs="Arial"/>
                <w:b/>
                <w:lang w:eastAsia="en-GB"/>
              </w:rPr>
              <w:t>(from module syllabus)</w:t>
            </w:r>
          </w:p>
        </w:tc>
      </w:tr>
      <w:tr w:rsidR="00763CB3" w:rsidRPr="00876921" w14:paraId="0D1C1E25" w14:textId="77777777" w:rsidTr="33AAE973">
        <w:tc>
          <w:tcPr>
            <w:tcW w:w="9951" w:type="dxa"/>
            <w:gridSpan w:val="4"/>
          </w:tcPr>
          <w:p w14:paraId="6FDC93DF" w14:textId="77777777" w:rsidR="006A4C01" w:rsidRPr="00E835BC" w:rsidRDefault="006A4C01" w:rsidP="00E835BC">
            <w:pPr>
              <w:overflowPunct w:val="0"/>
              <w:autoSpaceDE w:val="0"/>
              <w:autoSpaceDN w:val="0"/>
              <w:adjustRightInd w:val="0"/>
              <w:spacing w:after="0" w:line="240" w:lineRule="auto"/>
              <w:ind w:left="720"/>
              <w:jc w:val="both"/>
              <w:textAlignment w:val="baseline"/>
              <w:rPr>
                <w:rFonts w:ascii="Arial" w:eastAsia="Times New Roman" w:hAnsi="Arial" w:cs="Arial"/>
                <w:b/>
                <w:bCs/>
                <w:lang w:eastAsia="en-GB"/>
              </w:rPr>
            </w:pPr>
          </w:p>
          <w:p w14:paraId="2991B372" w14:textId="77777777" w:rsidR="006A4C01" w:rsidRPr="006A4C01" w:rsidRDefault="006A4C01" w:rsidP="006A4C01">
            <w:pPr>
              <w:overflowPunct w:val="0"/>
              <w:autoSpaceDE w:val="0"/>
              <w:autoSpaceDN w:val="0"/>
              <w:adjustRightInd w:val="0"/>
              <w:spacing w:after="0" w:line="240" w:lineRule="auto"/>
              <w:jc w:val="both"/>
              <w:textAlignment w:val="baseline"/>
              <w:rPr>
                <w:rFonts w:ascii="Arial" w:eastAsia="Times New Roman" w:hAnsi="Arial" w:cs="Arial"/>
                <w:b/>
                <w:bCs/>
                <w:lang w:eastAsia="en-GB"/>
              </w:rPr>
            </w:pPr>
            <w:r w:rsidRPr="006A4C01">
              <w:rPr>
                <w:rFonts w:ascii="Arial" w:eastAsia="Times New Roman" w:hAnsi="Arial" w:cs="Arial"/>
                <w:b/>
                <w:bCs/>
                <w:lang w:eastAsia="en-GB"/>
              </w:rPr>
              <w:t>Countering Terrorism</w:t>
            </w:r>
          </w:p>
          <w:p w14:paraId="559DD4C2" w14:textId="77777777" w:rsidR="006A4C01" w:rsidRPr="006A4C01" w:rsidRDefault="006A4C01" w:rsidP="006A4C01">
            <w:pPr>
              <w:numPr>
                <w:ilvl w:val="0"/>
                <w:numId w:val="16"/>
              </w:numPr>
              <w:overflowPunct w:val="0"/>
              <w:autoSpaceDE w:val="0"/>
              <w:autoSpaceDN w:val="0"/>
              <w:adjustRightInd w:val="0"/>
              <w:spacing w:after="0" w:line="240" w:lineRule="auto"/>
              <w:jc w:val="both"/>
              <w:textAlignment w:val="baseline"/>
              <w:rPr>
                <w:rFonts w:ascii="Arial" w:eastAsia="Times New Roman" w:hAnsi="Arial" w:cs="Arial"/>
                <w:lang w:eastAsia="en-GB"/>
              </w:rPr>
            </w:pPr>
            <w:r w:rsidRPr="006A4C01">
              <w:rPr>
                <w:rFonts w:ascii="Arial" w:eastAsia="Times New Roman" w:hAnsi="Arial" w:cs="Arial"/>
                <w:lang w:eastAsia="en-GB"/>
              </w:rPr>
              <w:t>Explain the organisational structures and inter-relationships that exist in counter-terrorism policing</w:t>
            </w:r>
          </w:p>
          <w:p w14:paraId="22F80719" w14:textId="77777777" w:rsidR="006A4C01" w:rsidRPr="006A4C01" w:rsidRDefault="006A4C01" w:rsidP="006A4C01">
            <w:pPr>
              <w:numPr>
                <w:ilvl w:val="0"/>
                <w:numId w:val="16"/>
              </w:numPr>
              <w:overflowPunct w:val="0"/>
              <w:autoSpaceDE w:val="0"/>
              <w:autoSpaceDN w:val="0"/>
              <w:adjustRightInd w:val="0"/>
              <w:spacing w:after="0" w:line="240" w:lineRule="auto"/>
              <w:jc w:val="both"/>
              <w:textAlignment w:val="baseline"/>
              <w:rPr>
                <w:rFonts w:ascii="Arial" w:eastAsia="Times New Roman" w:hAnsi="Arial" w:cs="Arial"/>
                <w:lang w:eastAsia="en-GB"/>
              </w:rPr>
            </w:pPr>
            <w:r w:rsidRPr="006A4C01">
              <w:rPr>
                <w:rFonts w:ascii="Arial" w:eastAsia="Times New Roman" w:hAnsi="Arial" w:cs="Arial"/>
                <w:lang w:eastAsia="en-GB"/>
              </w:rPr>
              <w:t>Analyse the potential links between terrorism and other forms of criminality</w:t>
            </w:r>
          </w:p>
          <w:p w14:paraId="2034FDC9" w14:textId="77777777" w:rsidR="006A4C01" w:rsidRPr="006A4C01" w:rsidRDefault="006A4C01" w:rsidP="006A4C01">
            <w:pPr>
              <w:numPr>
                <w:ilvl w:val="0"/>
                <w:numId w:val="16"/>
              </w:numPr>
              <w:overflowPunct w:val="0"/>
              <w:autoSpaceDE w:val="0"/>
              <w:autoSpaceDN w:val="0"/>
              <w:adjustRightInd w:val="0"/>
              <w:spacing w:after="0" w:line="240" w:lineRule="auto"/>
              <w:jc w:val="both"/>
              <w:textAlignment w:val="baseline"/>
              <w:rPr>
                <w:rFonts w:ascii="Arial" w:eastAsia="Times New Roman" w:hAnsi="Arial" w:cs="Arial"/>
                <w:lang w:eastAsia="en-GB"/>
              </w:rPr>
            </w:pPr>
            <w:r w:rsidRPr="006A4C01">
              <w:rPr>
                <w:rFonts w:ascii="Arial" w:eastAsia="Times New Roman" w:hAnsi="Arial" w:cs="Arial"/>
                <w:lang w:eastAsia="en-GB"/>
              </w:rPr>
              <w:t>Assess the potential for an insider threat within the police service, and strategies to prevent this</w:t>
            </w:r>
          </w:p>
          <w:p w14:paraId="2BF8C83C" w14:textId="77777777" w:rsidR="006A4C01" w:rsidRDefault="006A4C01" w:rsidP="006A4C01">
            <w:pPr>
              <w:overflowPunct w:val="0"/>
              <w:autoSpaceDE w:val="0"/>
              <w:autoSpaceDN w:val="0"/>
              <w:adjustRightInd w:val="0"/>
              <w:spacing w:after="0" w:line="240" w:lineRule="auto"/>
              <w:jc w:val="both"/>
              <w:textAlignment w:val="baseline"/>
              <w:rPr>
                <w:rFonts w:ascii="Arial" w:eastAsia="Times New Roman" w:hAnsi="Arial" w:cs="Arial"/>
                <w:b/>
                <w:bCs/>
                <w:lang w:eastAsia="en-GB"/>
              </w:rPr>
            </w:pPr>
          </w:p>
          <w:p w14:paraId="3E1DECC9" w14:textId="77777777" w:rsidR="006A4C01" w:rsidRPr="006A4C01" w:rsidRDefault="006A4C01" w:rsidP="006A4C01">
            <w:pPr>
              <w:overflowPunct w:val="0"/>
              <w:autoSpaceDE w:val="0"/>
              <w:autoSpaceDN w:val="0"/>
              <w:adjustRightInd w:val="0"/>
              <w:spacing w:after="0" w:line="240" w:lineRule="auto"/>
              <w:jc w:val="both"/>
              <w:textAlignment w:val="baseline"/>
              <w:rPr>
                <w:rFonts w:ascii="Arial" w:eastAsia="Times New Roman" w:hAnsi="Arial" w:cs="Arial"/>
                <w:b/>
                <w:bCs/>
                <w:lang w:eastAsia="en-GB"/>
              </w:rPr>
            </w:pPr>
          </w:p>
          <w:p w14:paraId="022672D4" w14:textId="77777777" w:rsidR="006A4C01" w:rsidRPr="006A4C01" w:rsidRDefault="006A4C01" w:rsidP="006A4C01">
            <w:pPr>
              <w:overflowPunct w:val="0"/>
              <w:autoSpaceDE w:val="0"/>
              <w:autoSpaceDN w:val="0"/>
              <w:adjustRightInd w:val="0"/>
              <w:spacing w:after="0" w:line="240" w:lineRule="auto"/>
              <w:jc w:val="both"/>
              <w:textAlignment w:val="baseline"/>
              <w:rPr>
                <w:rFonts w:ascii="Arial" w:eastAsia="Times New Roman" w:hAnsi="Arial" w:cs="Arial"/>
                <w:b/>
                <w:bCs/>
                <w:lang w:eastAsia="en-GB"/>
              </w:rPr>
            </w:pPr>
            <w:r w:rsidRPr="006A4C01">
              <w:rPr>
                <w:rFonts w:ascii="Arial" w:eastAsia="Times New Roman" w:hAnsi="Arial" w:cs="Arial"/>
                <w:b/>
                <w:bCs/>
                <w:lang w:eastAsia="en-GB"/>
              </w:rPr>
              <w:t>Response Policing</w:t>
            </w:r>
          </w:p>
          <w:p w14:paraId="180FD801" w14:textId="030928A2" w:rsidR="006A4C01" w:rsidRPr="006A4C01" w:rsidRDefault="006A4C01" w:rsidP="006A4C01">
            <w:pPr>
              <w:numPr>
                <w:ilvl w:val="0"/>
                <w:numId w:val="12"/>
              </w:numPr>
              <w:overflowPunct w:val="0"/>
              <w:autoSpaceDE w:val="0"/>
              <w:autoSpaceDN w:val="0"/>
              <w:adjustRightInd w:val="0"/>
              <w:spacing w:after="0" w:line="240" w:lineRule="auto"/>
              <w:jc w:val="both"/>
              <w:textAlignment w:val="baseline"/>
              <w:rPr>
                <w:rFonts w:ascii="Arial" w:eastAsia="Times New Roman" w:hAnsi="Arial" w:cs="Arial"/>
                <w:lang w:eastAsia="en-GB"/>
              </w:rPr>
            </w:pPr>
            <w:r w:rsidRPr="006A4C01">
              <w:rPr>
                <w:rFonts w:ascii="Arial" w:eastAsia="Times New Roman" w:hAnsi="Arial" w:cs="Arial"/>
                <w:lang w:eastAsia="en-GB"/>
              </w:rPr>
              <w:t xml:space="preserve">Illustrate how theories and principles of psychology and human behaviour </w:t>
            </w:r>
            <w:r w:rsidR="006A0DA9">
              <w:rPr>
                <w:rFonts w:ascii="Arial" w:eastAsia="Times New Roman" w:hAnsi="Arial" w:cs="Arial"/>
                <w:lang w:eastAsia="en-GB"/>
              </w:rPr>
              <w:t xml:space="preserve">can be applied </w:t>
            </w:r>
            <w:r w:rsidRPr="006A4C01">
              <w:rPr>
                <w:rFonts w:ascii="Arial" w:eastAsia="Times New Roman" w:hAnsi="Arial" w:cs="Arial"/>
                <w:lang w:eastAsia="en-GB"/>
              </w:rPr>
              <w:t>in various response contexts</w:t>
            </w:r>
          </w:p>
          <w:p w14:paraId="32DE5F8E" w14:textId="77777777" w:rsidR="006A4C01" w:rsidRPr="006A4C01" w:rsidRDefault="006A4C01" w:rsidP="006A4C01">
            <w:pPr>
              <w:numPr>
                <w:ilvl w:val="0"/>
                <w:numId w:val="12"/>
              </w:numPr>
              <w:overflowPunct w:val="0"/>
              <w:autoSpaceDE w:val="0"/>
              <w:autoSpaceDN w:val="0"/>
              <w:adjustRightInd w:val="0"/>
              <w:spacing w:after="0" w:line="240" w:lineRule="auto"/>
              <w:jc w:val="both"/>
              <w:textAlignment w:val="baseline"/>
              <w:rPr>
                <w:rFonts w:ascii="Arial" w:eastAsia="Times New Roman" w:hAnsi="Arial" w:cs="Arial"/>
                <w:lang w:eastAsia="en-GB"/>
              </w:rPr>
            </w:pPr>
            <w:r w:rsidRPr="006A4C01">
              <w:rPr>
                <w:rFonts w:ascii="Arial" w:eastAsia="Times New Roman" w:hAnsi="Arial" w:cs="Arial"/>
                <w:lang w:eastAsia="en-GB"/>
              </w:rPr>
              <w:t>Critically review key issues relating to the complexity and challenges of operational policing</w:t>
            </w:r>
          </w:p>
          <w:p w14:paraId="1804961E" w14:textId="77777777" w:rsidR="006A4C01" w:rsidRPr="006A4C01" w:rsidRDefault="006A4C01" w:rsidP="006A4C01">
            <w:pPr>
              <w:numPr>
                <w:ilvl w:val="0"/>
                <w:numId w:val="12"/>
              </w:numPr>
              <w:overflowPunct w:val="0"/>
              <w:autoSpaceDE w:val="0"/>
              <w:autoSpaceDN w:val="0"/>
              <w:adjustRightInd w:val="0"/>
              <w:spacing w:after="0" w:line="240" w:lineRule="auto"/>
              <w:jc w:val="both"/>
              <w:textAlignment w:val="baseline"/>
              <w:rPr>
                <w:rFonts w:ascii="Arial" w:eastAsia="Times New Roman" w:hAnsi="Arial" w:cs="Arial"/>
                <w:lang w:eastAsia="en-GB"/>
              </w:rPr>
            </w:pPr>
            <w:r w:rsidRPr="006A4C01">
              <w:rPr>
                <w:rFonts w:ascii="Arial" w:eastAsia="Times New Roman" w:hAnsi="Arial" w:cs="Arial"/>
                <w:lang w:eastAsia="en-GB"/>
              </w:rPr>
              <w:t>Recognise the impacts that police incidents can have on individual/group wellbeing, and the support available to manage these</w:t>
            </w:r>
          </w:p>
          <w:p w14:paraId="02FFB3FA" w14:textId="77777777" w:rsidR="006A4C01" w:rsidRPr="006A4C01" w:rsidRDefault="006A4C01" w:rsidP="006A4C01">
            <w:pPr>
              <w:numPr>
                <w:ilvl w:val="0"/>
                <w:numId w:val="12"/>
              </w:numPr>
              <w:overflowPunct w:val="0"/>
              <w:autoSpaceDE w:val="0"/>
              <w:autoSpaceDN w:val="0"/>
              <w:adjustRightInd w:val="0"/>
              <w:spacing w:after="0" w:line="240" w:lineRule="auto"/>
              <w:jc w:val="both"/>
              <w:textAlignment w:val="baseline"/>
              <w:rPr>
                <w:rFonts w:ascii="Arial" w:eastAsia="Times New Roman" w:hAnsi="Arial" w:cs="Arial"/>
                <w:lang w:eastAsia="en-GB"/>
              </w:rPr>
            </w:pPr>
            <w:r w:rsidRPr="006A4C01">
              <w:rPr>
                <w:rFonts w:ascii="Arial" w:eastAsia="Times New Roman" w:hAnsi="Arial" w:cs="Arial"/>
                <w:lang w:eastAsia="en-GB"/>
              </w:rPr>
              <w:t>Review examples of high-profile critical and major incidents to establish best practice when attending such incidents</w:t>
            </w:r>
          </w:p>
          <w:p w14:paraId="26A81E57" w14:textId="77777777" w:rsidR="006A4C01" w:rsidRPr="006A4C01" w:rsidRDefault="006A4C01" w:rsidP="006A4C01">
            <w:pPr>
              <w:numPr>
                <w:ilvl w:val="0"/>
                <w:numId w:val="12"/>
              </w:numPr>
              <w:overflowPunct w:val="0"/>
              <w:autoSpaceDE w:val="0"/>
              <w:autoSpaceDN w:val="0"/>
              <w:adjustRightInd w:val="0"/>
              <w:spacing w:after="0" w:line="240" w:lineRule="auto"/>
              <w:jc w:val="both"/>
              <w:textAlignment w:val="baseline"/>
              <w:rPr>
                <w:rFonts w:ascii="Arial" w:eastAsia="Times New Roman" w:hAnsi="Arial" w:cs="Arial"/>
                <w:lang w:eastAsia="en-GB"/>
              </w:rPr>
            </w:pPr>
            <w:r w:rsidRPr="006A4C01">
              <w:rPr>
                <w:rFonts w:ascii="Arial" w:eastAsia="Times New Roman" w:hAnsi="Arial" w:cs="Arial"/>
                <w:lang w:eastAsia="en-GB"/>
              </w:rPr>
              <w:lastRenderedPageBreak/>
              <w:t>Analyse the role of police within a joint emergency services operation</w:t>
            </w:r>
          </w:p>
          <w:p w14:paraId="1AA0C301" w14:textId="77777777" w:rsidR="006A4C01" w:rsidRPr="006A4C01" w:rsidRDefault="006A4C01" w:rsidP="006A4C01">
            <w:pPr>
              <w:numPr>
                <w:ilvl w:val="0"/>
                <w:numId w:val="12"/>
              </w:numPr>
              <w:overflowPunct w:val="0"/>
              <w:autoSpaceDE w:val="0"/>
              <w:autoSpaceDN w:val="0"/>
              <w:adjustRightInd w:val="0"/>
              <w:spacing w:after="0" w:line="240" w:lineRule="auto"/>
              <w:jc w:val="both"/>
              <w:textAlignment w:val="baseline"/>
              <w:rPr>
                <w:rFonts w:ascii="Arial" w:eastAsia="Times New Roman" w:hAnsi="Arial" w:cs="Arial"/>
                <w:lang w:eastAsia="en-GB"/>
              </w:rPr>
            </w:pPr>
            <w:r w:rsidRPr="006A4C01">
              <w:rPr>
                <w:rFonts w:ascii="Arial" w:eastAsia="Times New Roman" w:hAnsi="Arial" w:cs="Arial"/>
                <w:lang w:eastAsia="en-GB"/>
              </w:rPr>
              <w:t>Apply appropriate responses when dealing with an incident involving an Unmanned Aerial Vehicle (UAV)</w:t>
            </w:r>
          </w:p>
          <w:p w14:paraId="2465CE37" w14:textId="77777777" w:rsidR="006A4C01" w:rsidRDefault="006A4C01" w:rsidP="006A4C01">
            <w:pPr>
              <w:overflowPunct w:val="0"/>
              <w:autoSpaceDE w:val="0"/>
              <w:autoSpaceDN w:val="0"/>
              <w:adjustRightInd w:val="0"/>
              <w:spacing w:after="0" w:line="240" w:lineRule="auto"/>
              <w:jc w:val="both"/>
              <w:textAlignment w:val="baseline"/>
              <w:rPr>
                <w:rFonts w:ascii="Arial" w:eastAsia="Times New Roman" w:hAnsi="Arial" w:cs="Arial"/>
                <w:b/>
                <w:bCs/>
                <w:lang w:eastAsia="en-GB"/>
              </w:rPr>
            </w:pPr>
          </w:p>
          <w:p w14:paraId="4BA4A9F9" w14:textId="77777777" w:rsidR="006A4C01" w:rsidRPr="006A4C01" w:rsidRDefault="006A4C01" w:rsidP="006A4C01">
            <w:pPr>
              <w:overflowPunct w:val="0"/>
              <w:autoSpaceDE w:val="0"/>
              <w:autoSpaceDN w:val="0"/>
              <w:adjustRightInd w:val="0"/>
              <w:spacing w:after="0" w:line="240" w:lineRule="auto"/>
              <w:jc w:val="both"/>
              <w:textAlignment w:val="baseline"/>
              <w:rPr>
                <w:rFonts w:ascii="Arial" w:eastAsia="Times New Roman" w:hAnsi="Arial" w:cs="Arial"/>
                <w:b/>
                <w:bCs/>
                <w:lang w:eastAsia="en-GB"/>
              </w:rPr>
            </w:pPr>
          </w:p>
          <w:p w14:paraId="70A4C714" w14:textId="77777777" w:rsidR="006A4C01" w:rsidRPr="006A4C01" w:rsidRDefault="006A4C01" w:rsidP="006A4C01">
            <w:pPr>
              <w:overflowPunct w:val="0"/>
              <w:autoSpaceDE w:val="0"/>
              <w:autoSpaceDN w:val="0"/>
              <w:adjustRightInd w:val="0"/>
              <w:spacing w:after="0" w:line="240" w:lineRule="auto"/>
              <w:jc w:val="both"/>
              <w:textAlignment w:val="baseline"/>
              <w:rPr>
                <w:rFonts w:ascii="Arial" w:eastAsia="Times New Roman" w:hAnsi="Arial" w:cs="Arial"/>
                <w:b/>
                <w:bCs/>
                <w:lang w:eastAsia="en-GB"/>
              </w:rPr>
            </w:pPr>
            <w:r w:rsidRPr="006A4C01">
              <w:rPr>
                <w:rFonts w:ascii="Arial" w:eastAsia="Times New Roman" w:hAnsi="Arial" w:cs="Arial"/>
                <w:b/>
                <w:bCs/>
                <w:lang w:eastAsia="en-GB"/>
              </w:rPr>
              <w:t xml:space="preserve">Policing Communities </w:t>
            </w:r>
          </w:p>
          <w:p w14:paraId="7C7645D2" w14:textId="77777777" w:rsidR="006A4C01" w:rsidRPr="006A4C01" w:rsidRDefault="006A4C01" w:rsidP="006A4C01">
            <w:pPr>
              <w:numPr>
                <w:ilvl w:val="0"/>
                <w:numId w:val="13"/>
              </w:numPr>
              <w:overflowPunct w:val="0"/>
              <w:autoSpaceDE w:val="0"/>
              <w:autoSpaceDN w:val="0"/>
              <w:adjustRightInd w:val="0"/>
              <w:spacing w:after="0" w:line="240" w:lineRule="auto"/>
              <w:jc w:val="both"/>
              <w:textAlignment w:val="baseline"/>
              <w:rPr>
                <w:rFonts w:ascii="Arial" w:eastAsia="Times New Roman" w:hAnsi="Arial" w:cs="Arial"/>
                <w:lang w:eastAsia="en-GB"/>
              </w:rPr>
            </w:pPr>
            <w:r w:rsidRPr="006A4C01">
              <w:rPr>
                <w:rFonts w:ascii="Arial" w:eastAsia="Times New Roman" w:hAnsi="Arial" w:cs="Arial"/>
                <w:lang w:eastAsia="en-GB"/>
              </w:rPr>
              <w:t xml:space="preserve">Analyse </w:t>
            </w:r>
            <w:proofErr w:type="gramStart"/>
            <w:r w:rsidRPr="006A4C01">
              <w:rPr>
                <w:rFonts w:ascii="Arial" w:eastAsia="Times New Roman" w:hAnsi="Arial" w:cs="Arial"/>
                <w:lang w:eastAsia="en-GB"/>
              </w:rPr>
              <w:t>why</w:t>
            </w:r>
            <w:proofErr w:type="gramEnd"/>
            <w:r w:rsidRPr="006A4C01">
              <w:rPr>
                <w:rFonts w:ascii="Arial" w:eastAsia="Times New Roman" w:hAnsi="Arial" w:cs="Arial"/>
                <w:lang w:eastAsia="en-GB"/>
              </w:rPr>
              <w:t xml:space="preserve"> key incidents/events have had a damaging effect on the willingness of communities to engage with the police</w:t>
            </w:r>
          </w:p>
          <w:p w14:paraId="6061775B" w14:textId="77777777" w:rsidR="006A4C01" w:rsidRPr="006A4C01" w:rsidRDefault="006A4C01" w:rsidP="006A4C01">
            <w:pPr>
              <w:numPr>
                <w:ilvl w:val="0"/>
                <w:numId w:val="13"/>
              </w:numPr>
              <w:overflowPunct w:val="0"/>
              <w:autoSpaceDE w:val="0"/>
              <w:autoSpaceDN w:val="0"/>
              <w:adjustRightInd w:val="0"/>
              <w:spacing w:after="0" w:line="240" w:lineRule="auto"/>
              <w:jc w:val="both"/>
              <w:textAlignment w:val="baseline"/>
              <w:rPr>
                <w:rFonts w:ascii="Arial" w:eastAsia="Times New Roman" w:hAnsi="Arial" w:cs="Arial"/>
                <w:lang w:eastAsia="en-GB"/>
              </w:rPr>
            </w:pPr>
            <w:r w:rsidRPr="006A4C01">
              <w:rPr>
                <w:rFonts w:ascii="Arial" w:eastAsia="Times New Roman" w:hAnsi="Arial" w:cs="Arial"/>
                <w:lang w:eastAsia="en-GB"/>
              </w:rPr>
              <w:t>Engage with the community to examine/critique how current policing practice can impact upon the community</w:t>
            </w:r>
          </w:p>
          <w:p w14:paraId="162CD7D2" w14:textId="77777777" w:rsidR="006A4C01" w:rsidRPr="006A4C01" w:rsidRDefault="006A4C01" w:rsidP="006A4C01">
            <w:pPr>
              <w:numPr>
                <w:ilvl w:val="0"/>
                <w:numId w:val="13"/>
              </w:numPr>
              <w:overflowPunct w:val="0"/>
              <w:autoSpaceDE w:val="0"/>
              <w:autoSpaceDN w:val="0"/>
              <w:adjustRightInd w:val="0"/>
              <w:spacing w:after="0" w:line="240" w:lineRule="auto"/>
              <w:jc w:val="both"/>
              <w:textAlignment w:val="baseline"/>
              <w:rPr>
                <w:rFonts w:ascii="Arial" w:eastAsia="Times New Roman" w:hAnsi="Arial" w:cs="Arial"/>
                <w:lang w:eastAsia="en-GB"/>
              </w:rPr>
            </w:pPr>
            <w:r w:rsidRPr="006A4C01">
              <w:rPr>
                <w:rFonts w:ascii="Arial" w:eastAsia="Times New Roman" w:hAnsi="Arial" w:cs="Arial"/>
                <w:lang w:eastAsia="en-GB"/>
              </w:rPr>
              <w:t>Evaluate the role of community policing in fostering and maintaining community cohesion</w:t>
            </w:r>
          </w:p>
          <w:p w14:paraId="51604D22" w14:textId="77777777" w:rsidR="006A4C01" w:rsidRPr="006A4C01" w:rsidRDefault="006A4C01" w:rsidP="006A4C01">
            <w:pPr>
              <w:numPr>
                <w:ilvl w:val="0"/>
                <w:numId w:val="13"/>
              </w:numPr>
              <w:overflowPunct w:val="0"/>
              <w:autoSpaceDE w:val="0"/>
              <w:autoSpaceDN w:val="0"/>
              <w:adjustRightInd w:val="0"/>
              <w:spacing w:after="0" w:line="240" w:lineRule="auto"/>
              <w:jc w:val="both"/>
              <w:textAlignment w:val="baseline"/>
              <w:rPr>
                <w:rFonts w:ascii="Arial" w:eastAsia="Times New Roman" w:hAnsi="Arial" w:cs="Arial"/>
                <w:lang w:eastAsia="en-GB"/>
              </w:rPr>
            </w:pPr>
            <w:r w:rsidRPr="006A4C01">
              <w:rPr>
                <w:rFonts w:ascii="Arial" w:eastAsia="Times New Roman" w:hAnsi="Arial" w:cs="Arial"/>
                <w:lang w:eastAsia="en-GB"/>
              </w:rPr>
              <w:t>Apply key principles of effective community engagement</w:t>
            </w:r>
          </w:p>
          <w:p w14:paraId="767BF3E1" w14:textId="77777777" w:rsidR="006A4C01" w:rsidRDefault="006A4C01" w:rsidP="006A4C01">
            <w:pPr>
              <w:overflowPunct w:val="0"/>
              <w:autoSpaceDE w:val="0"/>
              <w:autoSpaceDN w:val="0"/>
              <w:adjustRightInd w:val="0"/>
              <w:spacing w:after="0" w:line="240" w:lineRule="auto"/>
              <w:jc w:val="both"/>
              <w:textAlignment w:val="baseline"/>
              <w:rPr>
                <w:rFonts w:ascii="Arial" w:eastAsia="Times New Roman" w:hAnsi="Arial" w:cs="Arial"/>
                <w:lang w:eastAsia="en-GB"/>
              </w:rPr>
            </w:pPr>
          </w:p>
          <w:p w14:paraId="7A7E6992" w14:textId="77777777" w:rsidR="006A4C01" w:rsidRPr="006A4C01" w:rsidRDefault="006A4C01" w:rsidP="006A4C01">
            <w:pPr>
              <w:overflowPunct w:val="0"/>
              <w:autoSpaceDE w:val="0"/>
              <w:autoSpaceDN w:val="0"/>
              <w:adjustRightInd w:val="0"/>
              <w:spacing w:after="0" w:line="240" w:lineRule="auto"/>
              <w:jc w:val="both"/>
              <w:textAlignment w:val="baseline"/>
              <w:rPr>
                <w:rFonts w:ascii="Arial" w:eastAsia="Times New Roman" w:hAnsi="Arial" w:cs="Arial"/>
                <w:lang w:eastAsia="en-GB"/>
              </w:rPr>
            </w:pPr>
          </w:p>
          <w:p w14:paraId="0C47F979" w14:textId="77777777" w:rsidR="006A4C01" w:rsidRPr="006A4C01" w:rsidRDefault="006A4C01" w:rsidP="006A4C01">
            <w:pPr>
              <w:overflowPunct w:val="0"/>
              <w:autoSpaceDE w:val="0"/>
              <w:autoSpaceDN w:val="0"/>
              <w:adjustRightInd w:val="0"/>
              <w:spacing w:after="0" w:line="240" w:lineRule="auto"/>
              <w:jc w:val="both"/>
              <w:textAlignment w:val="baseline"/>
              <w:rPr>
                <w:rFonts w:ascii="Arial" w:eastAsia="Times New Roman" w:hAnsi="Arial" w:cs="Arial"/>
                <w:b/>
                <w:bCs/>
                <w:lang w:eastAsia="en-GB"/>
              </w:rPr>
            </w:pPr>
            <w:r w:rsidRPr="006A4C01">
              <w:rPr>
                <w:rFonts w:ascii="Arial" w:eastAsia="Times New Roman" w:hAnsi="Arial" w:cs="Arial"/>
                <w:b/>
                <w:bCs/>
                <w:lang w:eastAsia="en-GB"/>
              </w:rPr>
              <w:t xml:space="preserve">Conducting Investigations </w:t>
            </w:r>
          </w:p>
          <w:p w14:paraId="403A5ED0" w14:textId="77777777" w:rsidR="006A4C01" w:rsidRPr="006A4C01" w:rsidRDefault="006A4C01" w:rsidP="006A4C01">
            <w:pPr>
              <w:numPr>
                <w:ilvl w:val="0"/>
                <w:numId w:val="18"/>
              </w:numPr>
              <w:overflowPunct w:val="0"/>
              <w:autoSpaceDE w:val="0"/>
              <w:autoSpaceDN w:val="0"/>
              <w:adjustRightInd w:val="0"/>
              <w:spacing w:after="0" w:line="240" w:lineRule="auto"/>
              <w:jc w:val="both"/>
              <w:textAlignment w:val="baseline"/>
              <w:rPr>
                <w:rFonts w:ascii="Arial" w:eastAsia="Times New Roman" w:hAnsi="Arial" w:cs="Arial"/>
                <w:lang w:eastAsia="en-GB"/>
              </w:rPr>
            </w:pPr>
            <w:r w:rsidRPr="006A4C01">
              <w:rPr>
                <w:rFonts w:ascii="Arial" w:eastAsia="Times New Roman" w:hAnsi="Arial" w:cs="Arial"/>
                <w:lang w:eastAsia="en-GB"/>
              </w:rPr>
              <w:t>Understand the difference between 'volume and priority' crime and ‘serious and complex’ crime and the relevance to the investigative process</w:t>
            </w:r>
          </w:p>
          <w:p w14:paraId="1A5432D2" w14:textId="77777777" w:rsidR="006A4C01" w:rsidRPr="006A4C01" w:rsidRDefault="006A4C01" w:rsidP="006A4C01">
            <w:pPr>
              <w:numPr>
                <w:ilvl w:val="0"/>
                <w:numId w:val="15"/>
              </w:numPr>
              <w:overflowPunct w:val="0"/>
              <w:autoSpaceDE w:val="0"/>
              <w:autoSpaceDN w:val="0"/>
              <w:adjustRightInd w:val="0"/>
              <w:spacing w:after="0" w:line="240" w:lineRule="auto"/>
              <w:jc w:val="both"/>
              <w:textAlignment w:val="baseline"/>
              <w:rPr>
                <w:rFonts w:ascii="Arial" w:eastAsia="Times New Roman" w:hAnsi="Arial" w:cs="Arial"/>
                <w:lang w:eastAsia="en-GB"/>
              </w:rPr>
            </w:pPr>
            <w:r w:rsidRPr="006A4C01">
              <w:rPr>
                <w:rFonts w:ascii="Arial" w:eastAsia="Times New Roman" w:hAnsi="Arial" w:cs="Arial"/>
                <w:lang w:eastAsia="en-GB"/>
              </w:rPr>
              <w:t>Understand the importance of the concept of memory upon interview methods and process</w:t>
            </w:r>
          </w:p>
          <w:p w14:paraId="2B2E734A" w14:textId="77777777" w:rsidR="006A4C01" w:rsidRPr="006A4C01" w:rsidRDefault="006A4C01" w:rsidP="006A4C01">
            <w:pPr>
              <w:numPr>
                <w:ilvl w:val="0"/>
                <w:numId w:val="15"/>
              </w:numPr>
              <w:overflowPunct w:val="0"/>
              <w:autoSpaceDE w:val="0"/>
              <w:autoSpaceDN w:val="0"/>
              <w:adjustRightInd w:val="0"/>
              <w:spacing w:after="0" w:line="240" w:lineRule="auto"/>
              <w:jc w:val="both"/>
              <w:textAlignment w:val="baseline"/>
              <w:rPr>
                <w:rFonts w:ascii="Arial" w:eastAsia="Times New Roman" w:hAnsi="Arial" w:cs="Arial"/>
                <w:lang w:eastAsia="en-GB"/>
              </w:rPr>
            </w:pPr>
            <w:r w:rsidRPr="006A4C01">
              <w:rPr>
                <w:rFonts w:ascii="Arial" w:eastAsia="Times New Roman" w:hAnsi="Arial" w:cs="Arial"/>
                <w:lang w:eastAsia="en-GB"/>
              </w:rPr>
              <w:t>Explain how personal attitudes, values and biases can impact on an investigation</w:t>
            </w:r>
          </w:p>
          <w:p w14:paraId="7C494621" w14:textId="77777777" w:rsidR="004E6749" w:rsidRDefault="004E6749" w:rsidP="006A4C01">
            <w:pPr>
              <w:pStyle w:val="ListParagraph"/>
              <w:rPr>
                <w:rFonts w:ascii="Arial" w:eastAsia="Times New Roman" w:hAnsi="Arial" w:cs="Arial"/>
                <w:lang w:eastAsia="en-GB"/>
              </w:rPr>
            </w:pPr>
          </w:p>
          <w:p w14:paraId="6E494D01" w14:textId="29D9F4D1" w:rsidR="006A4C01" w:rsidRPr="00E835BC" w:rsidRDefault="006A4C01" w:rsidP="006A4C01">
            <w:pPr>
              <w:pStyle w:val="ListParagraph"/>
              <w:rPr>
                <w:rFonts w:ascii="Arial" w:eastAsia="Times New Roman" w:hAnsi="Arial" w:cs="Arial"/>
                <w:lang w:eastAsia="en-GB"/>
              </w:rPr>
            </w:pPr>
          </w:p>
        </w:tc>
      </w:tr>
    </w:tbl>
    <w:p w14:paraId="0ABD31CF" w14:textId="77777777" w:rsidR="00763CB3" w:rsidRPr="00876921" w:rsidRDefault="00763CB3" w:rsidP="0B4505FB">
      <w:pPr>
        <w:spacing w:after="0" w:line="240" w:lineRule="auto"/>
        <w:rPr>
          <w:rFonts w:ascii="Arial" w:eastAsia="Times New Roman" w:hAnsi="Arial" w:cs="Arial"/>
          <w:b/>
          <w:bCs/>
          <w:sz w:val="20"/>
          <w:szCs w:val="20"/>
          <w:lang w:eastAsia="en-GB"/>
        </w:rPr>
      </w:pPr>
    </w:p>
    <w:p w14:paraId="1A66A241" w14:textId="35CEB9D8" w:rsidR="0B4505FB" w:rsidRDefault="0B4505FB" w:rsidP="0B4505FB">
      <w:pPr>
        <w:spacing w:after="0" w:line="240" w:lineRule="auto"/>
        <w:rPr>
          <w:rFonts w:ascii="Arial" w:eastAsia="Times New Roman" w:hAnsi="Arial" w:cs="Arial"/>
          <w:b/>
          <w:bCs/>
          <w:sz w:val="20"/>
          <w:szCs w:val="20"/>
          <w:lang w:eastAsia="en-GB"/>
        </w:rPr>
      </w:pPr>
    </w:p>
    <w:p w14:paraId="3ADEF559" w14:textId="0BF7267F" w:rsidR="0B4505FB" w:rsidRDefault="0B4505FB" w:rsidP="0B4505FB">
      <w:pPr>
        <w:spacing w:after="0" w:line="240" w:lineRule="auto"/>
        <w:rPr>
          <w:rFonts w:ascii="Arial" w:eastAsia="Times New Roman" w:hAnsi="Arial" w:cs="Arial"/>
          <w:b/>
          <w:bCs/>
          <w:sz w:val="20"/>
          <w:szCs w:val="20"/>
          <w:lang w:eastAsia="en-GB"/>
        </w:rPr>
      </w:pPr>
    </w:p>
    <w:p w14:paraId="3713673F" w14:textId="4945D8BA" w:rsidR="0B4505FB" w:rsidRDefault="0B4505FB" w:rsidP="0B4505FB">
      <w:pPr>
        <w:spacing w:after="0" w:line="240" w:lineRule="auto"/>
        <w:rPr>
          <w:rFonts w:ascii="Arial" w:eastAsia="Times New Roman" w:hAnsi="Arial" w:cs="Arial"/>
          <w:b/>
          <w:bCs/>
          <w:sz w:val="20"/>
          <w:szCs w:val="20"/>
          <w:lang w:eastAsia="en-GB"/>
        </w:rPr>
      </w:pPr>
    </w:p>
    <w:p w14:paraId="17983921" w14:textId="45D46D7F" w:rsidR="00E835BC" w:rsidRDefault="00E835BC" w:rsidP="0B4505FB">
      <w:pPr>
        <w:spacing w:after="0" w:line="240" w:lineRule="auto"/>
        <w:rPr>
          <w:rFonts w:ascii="Arial" w:eastAsia="Times New Roman" w:hAnsi="Arial" w:cs="Arial"/>
          <w:b/>
          <w:bCs/>
          <w:sz w:val="20"/>
          <w:szCs w:val="20"/>
          <w:lang w:eastAsia="en-GB"/>
        </w:rPr>
      </w:pPr>
    </w:p>
    <w:p w14:paraId="0179780F" w14:textId="2BFF7F8A" w:rsidR="00E835BC" w:rsidRDefault="00E835BC" w:rsidP="0B4505FB">
      <w:pPr>
        <w:spacing w:after="0" w:line="240" w:lineRule="auto"/>
        <w:rPr>
          <w:rFonts w:ascii="Arial" w:eastAsia="Times New Roman" w:hAnsi="Arial" w:cs="Arial"/>
          <w:b/>
          <w:bCs/>
          <w:sz w:val="20"/>
          <w:szCs w:val="20"/>
          <w:lang w:eastAsia="en-GB"/>
        </w:rPr>
      </w:pPr>
    </w:p>
    <w:p w14:paraId="03CC8B6F" w14:textId="590DC613" w:rsidR="00E835BC" w:rsidRDefault="00E835BC" w:rsidP="0B4505FB">
      <w:pPr>
        <w:spacing w:after="0" w:line="240" w:lineRule="auto"/>
        <w:rPr>
          <w:rFonts w:ascii="Arial" w:eastAsia="Times New Roman" w:hAnsi="Arial" w:cs="Arial"/>
          <w:b/>
          <w:bCs/>
          <w:sz w:val="20"/>
          <w:szCs w:val="20"/>
          <w:lang w:eastAsia="en-GB"/>
        </w:rPr>
      </w:pPr>
    </w:p>
    <w:p w14:paraId="0074B790" w14:textId="18B2B348" w:rsidR="00E835BC" w:rsidRDefault="00E835BC" w:rsidP="0B4505FB">
      <w:pPr>
        <w:spacing w:after="0" w:line="240" w:lineRule="auto"/>
        <w:rPr>
          <w:rFonts w:ascii="Arial" w:eastAsia="Times New Roman" w:hAnsi="Arial" w:cs="Arial"/>
          <w:b/>
          <w:bCs/>
          <w:sz w:val="20"/>
          <w:szCs w:val="20"/>
          <w:lang w:eastAsia="en-GB"/>
        </w:rPr>
      </w:pPr>
    </w:p>
    <w:p w14:paraId="1A948BD4" w14:textId="4FC50B9C" w:rsidR="00E835BC" w:rsidRDefault="00E835BC" w:rsidP="0B4505FB">
      <w:pPr>
        <w:spacing w:after="0" w:line="240" w:lineRule="auto"/>
        <w:rPr>
          <w:rFonts w:ascii="Arial" w:eastAsia="Times New Roman" w:hAnsi="Arial" w:cs="Arial"/>
          <w:b/>
          <w:bCs/>
          <w:sz w:val="20"/>
          <w:szCs w:val="20"/>
          <w:lang w:eastAsia="en-GB"/>
        </w:rPr>
      </w:pPr>
    </w:p>
    <w:p w14:paraId="555B3BB8" w14:textId="280EF47C" w:rsidR="00E835BC" w:rsidRDefault="00E835BC" w:rsidP="0B4505FB">
      <w:pPr>
        <w:spacing w:after="0" w:line="240" w:lineRule="auto"/>
        <w:rPr>
          <w:rFonts w:ascii="Arial" w:eastAsia="Times New Roman" w:hAnsi="Arial" w:cs="Arial"/>
          <w:b/>
          <w:bCs/>
          <w:sz w:val="20"/>
          <w:szCs w:val="20"/>
          <w:lang w:eastAsia="en-GB"/>
        </w:rPr>
      </w:pPr>
    </w:p>
    <w:p w14:paraId="60C60F70" w14:textId="294B2616" w:rsidR="00E835BC" w:rsidRDefault="00E835BC" w:rsidP="0B4505FB">
      <w:pPr>
        <w:spacing w:after="0" w:line="240" w:lineRule="auto"/>
        <w:rPr>
          <w:rFonts w:ascii="Arial" w:eastAsia="Times New Roman" w:hAnsi="Arial" w:cs="Arial"/>
          <w:b/>
          <w:bCs/>
          <w:sz w:val="20"/>
          <w:szCs w:val="20"/>
          <w:lang w:eastAsia="en-GB"/>
        </w:rPr>
      </w:pPr>
    </w:p>
    <w:p w14:paraId="4300F122" w14:textId="162F88B6" w:rsidR="00E835BC" w:rsidRDefault="00E835BC" w:rsidP="0B4505FB">
      <w:pPr>
        <w:spacing w:after="0" w:line="240" w:lineRule="auto"/>
        <w:rPr>
          <w:rFonts w:ascii="Arial" w:eastAsia="Times New Roman" w:hAnsi="Arial" w:cs="Arial"/>
          <w:b/>
          <w:bCs/>
          <w:sz w:val="20"/>
          <w:szCs w:val="20"/>
          <w:lang w:eastAsia="en-GB"/>
        </w:rPr>
      </w:pPr>
    </w:p>
    <w:p w14:paraId="389C5C0D" w14:textId="61841F75" w:rsidR="00E835BC" w:rsidRDefault="00E835BC" w:rsidP="0B4505FB">
      <w:pPr>
        <w:spacing w:after="0" w:line="240" w:lineRule="auto"/>
        <w:rPr>
          <w:rFonts w:ascii="Arial" w:eastAsia="Times New Roman" w:hAnsi="Arial" w:cs="Arial"/>
          <w:b/>
          <w:bCs/>
          <w:sz w:val="20"/>
          <w:szCs w:val="20"/>
          <w:lang w:eastAsia="en-GB"/>
        </w:rPr>
      </w:pPr>
    </w:p>
    <w:p w14:paraId="24B7C94F" w14:textId="39B2B491" w:rsidR="00E835BC" w:rsidRDefault="00E835BC" w:rsidP="0B4505FB">
      <w:pPr>
        <w:spacing w:after="0" w:line="240" w:lineRule="auto"/>
        <w:rPr>
          <w:rFonts w:ascii="Arial" w:eastAsia="Times New Roman" w:hAnsi="Arial" w:cs="Arial"/>
          <w:b/>
          <w:bCs/>
          <w:sz w:val="20"/>
          <w:szCs w:val="20"/>
          <w:lang w:eastAsia="en-GB"/>
        </w:rPr>
      </w:pPr>
    </w:p>
    <w:p w14:paraId="17C5E27D" w14:textId="1D8E97A6" w:rsidR="00E835BC" w:rsidRDefault="00E835BC" w:rsidP="0B4505FB">
      <w:pPr>
        <w:spacing w:after="0" w:line="240" w:lineRule="auto"/>
        <w:rPr>
          <w:rFonts w:ascii="Arial" w:eastAsia="Times New Roman" w:hAnsi="Arial" w:cs="Arial"/>
          <w:b/>
          <w:bCs/>
          <w:sz w:val="20"/>
          <w:szCs w:val="20"/>
          <w:lang w:eastAsia="en-GB"/>
        </w:rPr>
      </w:pPr>
    </w:p>
    <w:p w14:paraId="025C84AA" w14:textId="77777777" w:rsidR="00E835BC" w:rsidRDefault="00E835BC" w:rsidP="0B4505FB">
      <w:pPr>
        <w:spacing w:after="0" w:line="240" w:lineRule="auto"/>
        <w:rPr>
          <w:rFonts w:ascii="Arial" w:eastAsia="Times New Roman" w:hAnsi="Arial" w:cs="Arial"/>
          <w:b/>
          <w:bCs/>
          <w:sz w:val="20"/>
          <w:szCs w:val="20"/>
          <w:lang w:eastAsia="en-GB"/>
        </w:rPr>
      </w:pPr>
    </w:p>
    <w:p w14:paraId="709C6F77" w14:textId="4EE7D3F3" w:rsidR="0B4505FB" w:rsidRDefault="0B4505FB" w:rsidP="0B4505FB">
      <w:pPr>
        <w:spacing w:after="0" w:line="240" w:lineRule="auto"/>
        <w:rPr>
          <w:rFonts w:ascii="Arial" w:eastAsia="Times New Roman" w:hAnsi="Arial" w:cs="Arial"/>
          <w:b/>
          <w:bCs/>
          <w:sz w:val="20"/>
          <w:szCs w:val="20"/>
          <w:lang w:eastAsia="en-GB"/>
        </w:rPr>
      </w:pPr>
    </w:p>
    <w:p w14:paraId="1802E76D" w14:textId="713F8378" w:rsidR="009747E5" w:rsidRPr="00884FAB" w:rsidRDefault="009747E5" w:rsidP="00660533">
      <w:pPr>
        <w:pStyle w:val="ListParagraph"/>
        <w:spacing w:line="276" w:lineRule="auto"/>
        <w:ind w:left="567" w:right="531"/>
        <w:rPr>
          <w:rFonts w:ascii="Arial" w:eastAsia="Times New Roman" w:hAnsi="Arial" w:cs="Arial"/>
          <w:lang w:eastAsia="en-GB"/>
        </w:rPr>
      </w:pPr>
      <w:r>
        <w:rPr>
          <w:rFonts w:ascii="Arial" w:eastAsia="Times New Roman" w:hAnsi="Arial" w:cs="Arial"/>
          <w:lang w:eastAsia="en-GB"/>
        </w:rPr>
        <w:t xml:space="preserve">. </w:t>
      </w:r>
    </w:p>
    <w:p w14:paraId="513941B0" w14:textId="5F4C150F" w:rsidR="00C61A5D" w:rsidRPr="00884FAB" w:rsidRDefault="00C61A5D" w:rsidP="009A0667">
      <w:pPr>
        <w:pStyle w:val="ListParagraph"/>
        <w:spacing w:line="276" w:lineRule="auto"/>
        <w:ind w:left="567" w:right="531"/>
        <w:rPr>
          <w:rFonts w:ascii="Arial" w:eastAsia="Times New Roman" w:hAnsi="Arial" w:cs="Arial"/>
          <w:lang w:eastAsia="en-GB"/>
        </w:rPr>
      </w:pPr>
    </w:p>
    <w:p w14:paraId="04D0BFD6" w14:textId="77777777" w:rsidR="00DF56DF" w:rsidRPr="00884FAB" w:rsidRDefault="00DF56DF" w:rsidP="009A0667">
      <w:pPr>
        <w:pStyle w:val="ListParagraph"/>
        <w:spacing w:line="276" w:lineRule="auto"/>
        <w:ind w:left="567" w:right="531"/>
        <w:rPr>
          <w:rFonts w:ascii="Arial" w:eastAsia="Times New Roman" w:hAnsi="Arial" w:cs="Arial"/>
          <w:lang w:eastAsia="en-GB"/>
        </w:rPr>
      </w:pPr>
    </w:p>
    <w:p w14:paraId="7893A61A" w14:textId="51B65E46" w:rsidR="00EB73C7" w:rsidRPr="00884FAB" w:rsidRDefault="00EB73C7" w:rsidP="00EB73C7">
      <w:pPr>
        <w:pStyle w:val="ListParagraph"/>
        <w:numPr>
          <w:ilvl w:val="0"/>
          <w:numId w:val="21"/>
        </w:numPr>
        <w:spacing w:line="276" w:lineRule="auto"/>
        <w:ind w:left="567" w:right="531"/>
        <w:rPr>
          <w:rFonts w:ascii="Arial" w:eastAsia="Times New Roman" w:hAnsi="Arial" w:cs="Arial"/>
          <w:lang w:eastAsia="en-GB"/>
        </w:rPr>
      </w:pPr>
      <w:r>
        <w:rPr>
          <w:rFonts w:ascii="Arial" w:eastAsia="Times New Roman" w:hAnsi="Arial" w:cs="Arial"/>
          <w:lang w:eastAsia="en-GB"/>
        </w:rPr>
        <w:t>What impact can the challenges of operational policing have on individual and group wellbeing</w:t>
      </w:r>
      <w:r w:rsidR="00F703F7">
        <w:rPr>
          <w:rFonts w:ascii="Arial" w:eastAsia="Times New Roman" w:hAnsi="Arial" w:cs="Arial"/>
          <w:lang w:eastAsia="en-GB"/>
        </w:rPr>
        <w:t>? W</w:t>
      </w:r>
      <w:r>
        <w:rPr>
          <w:rFonts w:ascii="Arial" w:eastAsia="Times New Roman" w:hAnsi="Arial" w:cs="Arial"/>
          <w:lang w:eastAsia="en-GB"/>
        </w:rPr>
        <w:t xml:space="preserve">hy is </w:t>
      </w:r>
      <w:r w:rsidR="00F614B0">
        <w:rPr>
          <w:rFonts w:ascii="Arial" w:eastAsia="Times New Roman" w:hAnsi="Arial" w:cs="Arial"/>
          <w:lang w:eastAsia="en-GB"/>
        </w:rPr>
        <w:t xml:space="preserve">it important to manage </w:t>
      </w:r>
      <w:r>
        <w:rPr>
          <w:rFonts w:ascii="Arial" w:eastAsia="Times New Roman" w:hAnsi="Arial" w:cs="Arial"/>
          <w:lang w:eastAsia="en-GB"/>
        </w:rPr>
        <w:t xml:space="preserve">mental wellbeing </w:t>
      </w:r>
      <w:r w:rsidR="00F614B0">
        <w:rPr>
          <w:rFonts w:ascii="Arial" w:eastAsia="Times New Roman" w:hAnsi="Arial" w:cs="Arial"/>
          <w:lang w:eastAsia="en-GB"/>
        </w:rPr>
        <w:t xml:space="preserve">in </w:t>
      </w:r>
      <w:r>
        <w:rPr>
          <w:rFonts w:ascii="Arial" w:eastAsia="Times New Roman" w:hAnsi="Arial" w:cs="Arial"/>
          <w:lang w:eastAsia="en-GB"/>
        </w:rPr>
        <w:t xml:space="preserve">policing? </w:t>
      </w:r>
    </w:p>
    <w:p w14:paraId="1BB0F77A" w14:textId="323661E3" w:rsidR="008C2658" w:rsidRDefault="00B54D04" w:rsidP="007F7F5C">
      <w:pPr>
        <w:pStyle w:val="ListParagraph"/>
        <w:spacing w:line="276" w:lineRule="auto"/>
        <w:ind w:left="567" w:right="531"/>
        <w:rPr>
          <w:rFonts w:ascii="Arial" w:eastAsia="Times New Roman" w:hAnsi="Arial" w:cs="Arial"/>
          <w:lang w:eastAsia="en-GB"/>
        </w:rPr>
      </w:pPr>
      <w:r w:rsidRPr="007F7F5C">
        <w:rPr>
          <w:rFonts w:ascii="Arial" w:eastAsia="Times New Roman" w:hAnsi="Arial" w:cs="Arial"/>
          <w:lang w:eastAsia="en-GB"/>
        </w:rPr>
        <w:t>Your answer must be based on academic research rather than personal experience.</w:t>
      </w:r>
    </w:p>
    <w:p w14:paraId="4C5C5098" w14:textId="77777777" w:rsidR="00120083" w:rsidRDefault="00120083" w:rsidP="007F7F5C">
      <w:pPr>
        <w:pStyle w:val="ListParagraph"/>
        <w:spacing w:line="276" w:lineRule="auto"/>
        <w:ind w:left="567" w:right="531"/>
        <w:rPr>
          <w:rFonts w:ascii="Arial" w:eastAsia="Times New Roman" w:hAnsi="Arial" w:cs="Arial"/>
          <w:lang w:eastAsia="en-GB"/>
        </w:rPr>
      </w:pPr>
    </w:p>
    <w:p w14:paraId="547BDAA5" w14:textId="77777777" w:rsidR="00366D3C" w:rsidRPr="004331EB" w:rsidRDefault="00366D3C" w:rsidP="00366D3C">
      <w:pPr>
        <w:rPr>
          <w:rFonts w:ascii="Arial" w:hAnsi="Arial" w:cs="Arial"/>
        </w:rPr>
      </w:pPr>
      <w:r w:rsidRPr="004331EB">
        <w:rPr>
          <w:rFonts w:ascii="Arial" w:hAnsi="Arial" w:cs="Arial"/>
        </w:rPr>
        <w:t xml:space="preserve">Operational policing is widely recognised as one of the most psychologically and physically demanding professions. This essay explores the impact of operational challenges on individual and group wellbeing within policing, drawing from academic literature to highlight issues such as irregular shift patterns, chronic fatigue, trauma exposure, internal conflict, and organisational culture. It also examines why managing mental wellbeing is essential, linking this to ethical standards, legal responsibilities, and the </w:t>
      </w:r>
      <w:r w:rsidRPr="00366D3C">
        <w:rPr>
          <w:rFonts w:ascii="Arial" w:hAnsi="Arial" w:cs="Arial"/>
        </w:rPr>
        <w:t>long-term</w:t>
      </w:r>
      <w:r w:rsidRPr="004331EB">
        <w:rPr>
          <w:rFonts w:ascii="Arial" w:hAnsi="Arial" w:cs="Arial"/>
        </w:rPr>
        <w:t xml:space="preserve"> sustainability of the police service.</w:t>
      </w:r>
      <w:r w:rsidRPr="00366D3C">
        <w:rPr>
          <w:rFonts w:ascii="Arial" w:hAnsi="Arial" w:cs="Arial"/>
        </w:rPr>
        <w:t xml:space="preserve"> This essay will analyse studies conducted on police officers and will highlight the methods to obtain the research including questionnaire polysomnography and other methods to obtain. </w:t>
      </w:r>
    </w:p>
    <w:p w14:paraId="2E7FBD51" w14:textId="77777777" w:rsidR="00366D3C" w:rsidRPr="004331EB" w:rsidRDefault="00366D3C" w:rsidP="00366D3C">
      <w:pPr>
        <w:rPr>
          <w:rFonts w:ascii="Arial" w:hAnsi="Arial" w:cs="Arial"/>
        </w:rPr>
      </w:pPr>
      <w:r w:rsidRPr="004331EB">
        <w:rPr>
          <w:rFonts w:ascii="Arial" w:hAnsi="Arial" w:cs="Arial"/>
        </w:rPr>
        <w:t>One of the most heavily studied health risks in policing is the impact of irregular shift work. Officers frequently rotate through unpredictable schedules, often including night shifts, extended hours, and mandatory overtime. A study conducted by Violanti et al. (2017) through the Buffalo Cardio-Metabolic Occupational Police Stress (BCOPS) project examined 308 officers using clinical assessments to investigate fatigue, sleep quality, and broader health outcomes. Their findings revealed that those working continuous night shifts experienced significantly poorer sleep quality, increased physical fatigue, and worse metabolic indicators compared to those on day or rotating shifts.</w:t>
      </w:r>
      <w:r w:rsidRPr="00366D3C">
        <w:rPr>
          <w:rFonts w:ascii="Arial" w:hAnsi="Arial" w:cs="Arial"/>
        </w:rPr>
        <w:t xml:space="preserve"> </w:t>
      </w:r>
      <w:r w:rsidRPr="004331EB">
        <w:rPr>
          <w:rFonts w:ascii="Arial" w:hAnsi="Arial" w:cs="Arial"/>
        </w:rPr>
        <w:t>This study utilised objective measures such as body mass index (BMI), blood pressure, and metabolic syndrome markers, providing robust evidence that fatigue and sleep deprivation are more than subjective complaints</w:t>
      </w:r>
      <w:r w:rsidRPr="00366D3C">
        <w:rPr>
          <w:rFonts w:ascii="Arial" w:hAnsi="Arial" w:cs="Arial"/>
        </w:rPr>
        <w:t xml:space="preserve"> </w:t>
      </w:r>
      <w:r w:rsidRPr="004331EB">
        <w:rPr>
          <w:rFonts w:ascii="Arial" w:hAnsi="Arial" w:cs="Arial"/>
        </w:rPr>
        <w:t>they are quantifiable physiological risks. These health impairments, when unaddressed, can lead to long-term conditions such as cardiovascular disease, depression, and diabetes (Violanti et al., 2017). The cumulative toll of such disruption also contributes to burnout and impaired cognitive performance, undermining the safety and effectiveness of police officers.</w:t>
      </w:r>
      <w:r w:rsidRPr="00366D3C">
        <w:rPr>
          <w:rFonts w:ascii="Arial" w:hAnsi="Arial" w:cs="Arial"/>
        </w:rPr>
        <w:t xml:space="preserve"> The study is effective in identifying different but similar in nature problems that many police officers struggle with the large group of 308 police officers hammered the point that night work has a detrimental effect on officers’ quality of sleep, physical fatigue, and worse metabolic indicators. These factors not only effect their quality of work but their home, private, and family life. Violanti et al (2017) study is effective at identifying the problem areas and discovering the route cause. </w:t>
      </w:r>
    </w:p>
    <w:p w14:paraId="758E89F0" w14:textId="77777777" w:rsidR="00366D3C" w:rsidRPr="004331EB" w:rsidRDefault="00366D3C" w:rsidP="00366D3C">
      <w:pPr>
        <w:rPr>
          <w:rFonts w:ascii="Arial" w:hAnsi="Arial" w:cs="Arial"/>
        </w:rPr>
      </w:pPr>
    </w:p>
    <w:p w14:paraId="784EC142" w14:textId="77777777" w:rsidR="00366D3C" w:rsidRPr="004331EB" w:rsidRDefault="00366D3C" w:rsidP="00366D3C">
      <w:pPr>
        <w:rPr>
          <w:rFonts w:ascii="Arial" w:hAnsi="Arial" w:cs="Arial"/>
        </w:rPr>
      </w:pPr>
      <w:r w:rsidRPr="004331EB">
        <w:rPr>
          <w:rFonts w:ascii="Arial" w:hAnsi="Arial" w:cs="Arial"/>
        </w:rPr>
        <w:t>The implications for group wellbeing are equally critical.</w:t>
      </w:r>
      <w:r w:rsidRPr="00366D3C">
        <w:rPr>
          <w:rFonts w:ascii="Arial" w:hAnsi="Arial" w:cs="Arial"/>
        </w:rPr>
        <w:t xml:space="preserve"> As</w:t>
      </w:r>
      <w:r w:rsidRPr="004331EB">
        <w:rPr>
          <w:rFonts w:ascii="Arial" w:hAnsi="Arial" w:cs="Arial"/>
        </w:rPr>
        <w:t xml:space="preserve"> </w:t>
      </w:r>
      <w:r w:rsidRPr="00366D3C">
        <w:rPr>
          <w:rFonts w:ascii="Arial" w:hAnsi="Arial" w:cs="Arial"/>
        </w:rPr>
        <w:t>w</w:t>
      </w:r>
      <w:r w:rsidRPr="004331EB">
        <w:rPr>
          <w:rFonts w:ascii="Arial" w:hAnsi="Arial" w:cs="Arial"/>
        </w:rPr>
        <w:t>hen individual officers suffer from chronic fatigue</w:t>
      </w:r>
      <w:r w:rsidRPr="00366D3C">
        <w:rPr>
          <w:rFonts w:ascii="Arial" w:hAnsi="Arial" w:cs="Arial"/>
        </w:rPr>
        <w:t xml:space="preserve"> the</w:t>
      </w:r>
      <w:r w:rsidRPr="004331EB">
        <w:rPr>
          <w:rFonts w:ascii="Arial" w:hAnsi="Arial" w:cs="Arial"/>
        </w:rPr>
        <w:t xml:space="preserve"> team communication, mutual reliance, and operational cohesion decline. Vila (2006) asserts that fatigue impairs judgment and increases reaction time, which can compromise collective performance during emergency responses or tactical operations. Officers working in compromised states are more prone to error, which endangers both their colleagues and the public. Therefore, shift design and fatigue management must be prioritised as systemic risks to team effectiveness.</w:t>
      </w:r>
      <w:r w:rsidRPr="00366D3C">
        <w:rPr>
          <w:rFonts w:ascii="Arial" w:hAnsi="Arial" w:cs="Arial"/>
        </w:rPr>
        <w:t xml:space="preserve"> This study by Vila (2006) effectively recognises the impact that one officers could have on a team, when an officer is suffering from chronic fatigue the study shows that the team suffers with the officers and could lead other officers at a critical incident vulnerable or exposed. Although the study is over 19 years old the priorities remain the same in modern policing. </w:t>
      </w:r>
    </w:p>
    <w:p w14:paraId="0058F199" w14:textId="77777777" w:rsidR="00366D3C" w:rsidRPr="004331EB" w:rsidRDefault="00366D3C" w:rsidP="00366D3C">
      <w:pPr>
        <w:rPr>
          <w:rFonts w:ascii="Arial" w:hAnsi="Arial" w:cs="Arial"/>
        </w:rPr>
      </w:pPr>
      <w:r w:rsidRPr="00366D3C">
        <w:rPr>
          <w:rFonts w:ascii="Arial" w:hAnsi="Arial" w:cs="Arial"/>
        </w:rPr>
        <w:t xml:space="preserve">Furthermore, </w:t>
      </w:r>
      <w:r w:rsidRPr="004331EB">
        <w:rPr>
          <w:rFonts w:ascii="Arial" w:hAnsi="Arial" w:cs="Arial"/>
        </w:rPr>
        <w:t>Garbarino et al. (2011) expanded on th</w:t>
      </w:r>
      <w:r w:rsidRPr="00366D3C">
        <w:rPr>
          <w:rFonts w:ascii="Arial" w:hAnsi="Arial" w:cs="Arial"/>
        </w:rPr>
        <w:t>is</w:t>
      </w:r>
      <w:r w:rsidRPr="004331EB">
        <w:rPr>
          <w:rFonts w:ascii="Arial" w:hAnsi="Arial" w:cs="Arial"/>
        </w:rPr>
        <w:t xml:space="preserve"> issue by examining the prevalence of sleep disorders in 259 Italian police officers using clinical interviews, validated questionnaires, and polysomnography. The study found that over 50% of officers suffered from excessive daytime sleepiness, while </w:t>
      </w:r>
      <w:r w:rsidRPr="004331EB">
        <w:rPr>
          <w:rFonts w:ascii="Arial" w:hAnsi="Arial" w:cs="Arial"/>
        </w:rPr>
        <w:lastRenderedPageBreak/>
        <w:t>obstructive sleep apnoea (OSA) and chronic insomnia were common among night</w:t>
      </w:r>
      <w:r w:rsidRPr="00366D3C">
        <w:rPr>
          <w:rFonts w:ascii="Arial" w:hAnsi="Arial" w:cs="Arial"/>
        </w:rPr>
        <w:t xml:space="preserve"> </w:t>
      </w:r>
      <w:r w:rsidRPr="004331EB">
        <w:rPr>
          <w:rFonts w:ascii="Arial" w:hAnsi="Arial" w:cs="Arial"/>
        </w:rPr>
        <w:t>shift workers. Importantly, these disorders were linked with reduced work performance, elevated stress, and higher incidences of workplace accidents.</w:t>
      </w:r>
      <w:r w:rsidRPr="00366D3C">
        <w:rPr>
          <w:rFonts w:ascii="Arial" w:hAnsi="Arial" w:cs="Arial"/>
        </w:rPr>
        <w:t xml:space="preserve"> </w:t>
      </w:r>
      <w:r w:rsidRPr="004331EB">
        <w:rPr>
          <w:rFonts w:ascii="Arial" w:hAnsi="Arial" w:cs="Arial"/>
        </w:rPr>
        <w:t>This study is particularly valuable due to its methodological depth, including objective sleep measurements</w:t>
      </w:r>
      <w:r w:rsidRPr="00366D3C">
        <w:rPr>
          <w:rFonts w:ascii="Arial" w:hAnsi="Arial" w:cs="Arial"/>
        </w:rPr>
        <w:t xml:space="preserve">, which is </w:t>
      </w:r>
      <w:r w:rsidRPr="004331EB">
        <w:rPr>
          <w:rFonts w:ascii="Arial" w:hAnsi="Arial" w:cs="Arial"/>
        </w:rPr>
        <w:t>a rarity in occupational studies. It</w:t>
      </w:r>
      <w:r w:rsidRPr="00366D3C">
        <w:rPr>
          <w:rFonts w:ascii="Arial" w:hAnsi="Arial" w:cs="Arial"/>
        </w:rPr>
        <w:t xml:space="preserve"> also</w:t>
      </w:r>
      <w:r w:rsidRPr="004331EB">
        <w:rPr>
          <w:rFonts w:ascii="Arial" w:hAnsi="Arial" w:cs="Arial"/>
        </w:rPr>
        <w:t xml:space="preserve"> confirmed that circadian rhythm disruption caused by shift work directly contributes to impaired alertness and increased safety risks. Fatigue</w:t>
      </w:r>
      <w:r w:rsidRPr="00366D3C">
        <w:rPr>
          <w:rFonts w:ascii="Arial" w:hAnsi="Arial" w:cs="Arial"/>
        </w:rPr>
        <w:t xml:space="preserve"> </w:t>
      </w:r>
      <w:r w:rsidRPr="004331EB">
        <w:rPr>
          <w:rFonts w:ascii="Arial" w:hAnsi="Arial" w:cs="Arial"/>
        </w:rPr>
        <w:t>related errors, such as missing critical situational cues or delayed responses, have serious consequences in policing, where rapid and accurate decision</w:t>
      </w:r>
      <w:r w:rsidRPr="00366D3C">
        <w:rPr>
          <w:rFonts w:ascii="Arial" w:hAnsi="Arial" w:cs="Arial"/>
        </w:rPr>
        <w:t xml:space="preserve"> </w:t>
      </w:r>
      <w:r w:rsidRPr="004331EB">
        <w:rPr>
          <w:rFonts w:ascii="Arial" w:hAnsi="Arial" w:cs="Arial"/>
        </w:rPr>
        <w:t xml:space="preserve">making is often </w:t>
      </w:r>
      <w:r w:rsidRPr="00366D3C">
        <w:rPr>
          <w:rFonts w:ascii="Arial" w:hAnsi="Arial" w:cs="Arial"/>
        </w:rPr>
        <w:t>lifesaving</w:t>
      </w:r>
      <w:r w:rsidRPr="004331EB">
        <w:rPr>
          <w:rFonts w:ascii="Arial" w:hAnsi="Arial" w:cs="Arial"/>
        </w:rPr>
        <w:t>.</w:t>
      </w:r>
      <w:r w:rsidRPr="00366D3C">
        <w:rPr>
          <w:rFonts w:ascii="Arial" w:hAnsi="Arial" w:cs="Arial"/>
        </w:rPr>
        <w:t xml:space="preserve"> </w:t>
      </w:r>
      <w:r w:rsidRPr="004331EB">
        <w:rPr>
          <w:rFonts w:ascii="Arial" w:hAnsi="Arial" w:cs="Arial"/>
        </w:rPr>
        <w:t>The presence of sleep</w:t>
      </w:r>
      <w:r w:rsidRPr="00366D3C">
        <w:rPr>
          <w:rFonts w:ascii="Arial" w:hAnsi="Arial" w:cs="Arial"/>
        </w:rPr>
        <w:t xml:space="preserve"> </w:t>
      </w:r>
      <w:r w:rsidRPr="004331EB">
        <w:rPr>
          <w:rFonts w:ascii="Arial" w:hAnsi="Arial" w:cs="Arial"/>
        </w:rPr>
        <w:t>related impairments in over half of the study sample reflects a widespread occupational hazard that undermines not only individual health but organisational reliability. In the context of operational policing, officers must often function in high-stakes environments</w:t>
      </w:r>
      <w:r w:rsidRPr="00366D3C">
        <w:rPr>
          <w:rFonts w:ascii="Arial" w:hAnsi="Arial" w:cs="Arial"/>
        </w:rPr>
        <w:t>.</w:t>
      </w:r>
      <w:r w:rsidRPr="004331EB">
        <w:rPr>
          <w:rFonts w:ascii="Arial" w:hAnsi="Arial" w:cs="Arial"/>
        </w:rPr>
        <w:t xml:space="preserve"> </w:t>
      </w:r>
      <w:r w:rsidRPr="00366D3C">
        <w:rPr>
          <w:rFonts w:ascii="Arial" w:hAnsi="Arial" w:cs="Arial"/>
        </w:rPr>
        <w:t>T</w:t>
      </w:r>
      <w:r w:rsidRPr="004331EB">
        <w:rPr>
          <w:rFonts w:ascii="Arial" w:hAnsi="Arial" w:cs="Arial"/>
        </w:rPr>
        <w:t xml:space="preserve">herefore, any impairment can be catastrophic. For police teams, these impairments compromise trust and increase the risk of mistakes during collaborative </w:t>
      </w:r>
      <w:r w:rsidRPr="00366D3C">
        <w:rPr>
          <w:rFonts w:ascii="Arial" w:hAnsi="Arial" w:cs="Arial"/>
        </w:rPr>
        <w:t xml:space="preserve">tasks. Again, the study by Garbarino et al (2011) demonstrates how the arrangement of shift patterns effect officer, the study uses the percentage of 50% which indicates that half of the 259, officers suffer greatly from excessive tiredness and some even reporting worse conditions. </w:t>
      </w:r>
    </w:p>
    <w:p w14:paraId="6F392E5B" w14:textId="77777777" w:rsidR="00366D3C" w:rsidRPr="004331EB" w:rsidRDefault="00366D3C" w:rsidP="00366D3C">
      <w:pPr>
        <w:rPr>
          <w:rFonts w:ascii="Arial" w:hAnsi="Arial" w:cs="Arial"/>
        </w:rPr>
      </w:pPr>
      <w:r w:rsidRPr="004331EB">
        <w:rPr>
          <w:rFonts w:ascii="Arial" w:hAnsi="Arial" w:cs="Arial"/>
        </w:rPr>
        <w:t xml:space="preserve">Beyond the physical toll, officers are exposed to continuous psychological strain. They routinely witness traumatic incidents involving violence, death, and human suffering. Anderson and Papazoglou (2015) introduced the concepts of compassion fatigue and compassion satisfaction in the policing context. Compassion fatigue arises from prolonged emotional investment in traumatic scenarios, leading to detachment, emotional exhaustion, and reduced empathy. Conversely, compassion satisfaction refers to the fulfilment derived from helping others, which can act as a buffer against </w:t>
      </w:r>
      <w:r w:rsidRPr="00366D3C">
        <w:rPr>
          <w:rFonts w:ascii="Arial" w:hAnsi="Arial" w:cs="Arial"/>
        </w:rPr>
        <w:t>burnout. This</w:t>
      </w:r>
      <w:r w:rsidRPr="004331EB">
        <w:rPr>
          <w:rFonts w:ascii="Arial" w:hAnsi="Arial" w:cs="Arial"/>
        </w:rPr>
        <w:t xml:space="preserve"> study is particularly important because it identifies dual pathways for psychological response: one that depletes and one that protects. While policing research has focused heavily on trauma exposure and PTSD, the concept of compassion fatigue offers a more nuanced understanding of emotional depletion. </w:t>
      </w:r>
      <w:r w:rsidRPr="00366D3C">
        <w:rPr>
          <w:rFonts w:ascii="Arial" w:hAnsi="Arial" w:cs="Arial"/>
        </w:rPr>
        <w:t>Officers’</w:t>
      </w:r>
      <w:r w:rsidRPr="004331EB">
        <w:rPr>
          <w:rFonts w:ascii="Arial" w:hAnsi="Arial" w:cs="Arial"/>
        </w:rPr>
        <w:t xml:space="preserve"> high in compassion fatigue report decreased empathy and increased cynicism, which can erode public trust and lead to misconduct or disengagement.</w:t>
      </w:r>
      <w:r w:rsidRPr="00366D3C">
        <w:rPr>
          <w:rFonts w:ascii="Arial" w:hAnsi="Arial" w:cs="Arial"/>
        </w:rPr>
        <w:t xml:space="preserve"> </w:t>
      </w:r>
      <w:r w:rsidRPr="004331EB">
        <w:rPr>
          <w:rFonts w:ascii="Arial" w:hAnsi="Arial" w:cs="Arial"/>
        </w:rPr>
        <w:t xml:space="preserve">The study </w:t>
      </w:r>
      <w:r w:rsidRPr="00366D3C">
        <w:rPr>
          <w:rFonts w:ascii="Arial" w:hAnsi="Arial" w:cs="Arial"/>
        </w:rPr>
        <w:t xml:space="preserve">also </w:t>
      </w:r>
      <w:r w:rsidRPr="004331EB">
        <w:rPr>
          <w:rFonts w:ascii="Arial" w:hAnsi="Arial" w:cs="Arial"/>
        </w:rPr>
        <w:t>argues for integrating resilience</w:t>
      </w:r>
      <w:r w:rsidRPr="00366D3C">
        <w:rPr>
          <w:rFonts w:ascii="Arial" w:hAnsi="Arial" w:cs="Arial"/>
        </w:rPr>
        <w:t xml:space="preserve"> </w:t>
      </w:r>
      <w:r w:rsidRPr="004331EB">
        <w:rPr>
          <w:rFonts w:ascii="Arial" w:hAnsi="Arial" w:cs="Arial"/>
        </w:rPr>
        <w:t>building strategies into daily police practice. Peer support programs, trauma</w:t>
      </w:r>
      <w:r w:rsidRPr="00366D3C">
        <w:rPr>
          <w:rFonts w:ascii="Arial" w:hAnsi="Arial" w:cs="Arial"/>
        </w:rPr>
        <w:t xml:space="preserve"> </w:t>
      </w:r>
      <w:r w:rsidRPr="004331EB">
        <w:rPr>
          <w:rFonts w:ascii="Arial" w:hAnsi="Arial" w:cs="Arial"/>
        </w:rPr>
        <w:t>informed leadership, mental health education, and regular debriefings can strengthen officers’ emotional resilience. In teams, supporting compassion satisfaction not only improves morale but enhances service quality by promoting empathy and connection with the public.</w:t>
      </w:r>
    </w:p>
    <w:p w14:paraId="7FB4469A" w14:textId="77777777" w:rsidR="00366D3C" w:rsidRPr="004331EB" w:rsidRDefault="00366D3C" w:rsidP="00366D3C">
      <w:pPr>
        <w:rPr>
          <w:rFonts w:ascii="Arial" w:hAnsi="Arial" w:cs="Arial"/>
        </w:rPr>
      </w:pPr>
      <w:r w:rsidRPr="004331EB">
        <w:rPr>
          <w:rFonts w:ascii="Arial" w:hAnsi="Arial" w:cs="Arial"/>
        </w:rPr>
        <w:t>Internal organisational factors also play a significant role in shaping wellbeing. Stephens and Long (2000) found that interpersonal conflict and poor communication with supervisors were more psychologically damaging than exposure to operational trauma. Officers reported feeling unsupported, isolated, and undervalued when communication was unclear or when hierarchies created barriers to dialogue. Those experiencing frequent internal disputes showed higher levels of emotional exhaustion and a stronger intention to leave the force.</w:t>
      </w:r>
      <w:r w:rsidRPr="00366D3C">
        <w:rPr>
          <w:rFonts w:ascii="Arial" w:hAnsi="Arial" w:cs="Arial"/>
        </w:rPr>
        <w:t xml:space="preserve"> </w:t>
      </w:r>
      <w:r w:rsidRPr="004331EB">
        <w:rPr>
          <w:rFonts w:ascii="Arial" w:hAnsi="Arial" w:cs="Arial"/>
        </w:rPr>
        <w:t>This study challenges the traditional view that only front-line exposure causes stress. Instead, it highlights that internal dynamics</w:t>
      </w:r>
      <w:r w:rsidRPr="00366D3C">
        <w:rPr>
          <w:rFonts w:ascii="Arial" w:hAnsi="Arial" w:cs="Arial"/>
        </w:rPr>
        <w:t xml:space="preserve"> </w:t>
      </w:r>
      <w:r w:rsidRPr="004331EB">
        <w:rPr>
          <w:rFonts w:ascii="Arial" w:hAnsi="Arial" w:cs="Arial"/>
        </w:rPr>
        <w:t>particularly strained supervisory relationships</w:t>
      </w:r>
      <w:r w:rsidRPr="00366D3C">
        <w:rPr>
          <w:rFonts w:ascii="Arial" w:hAnsi="Arial" w:cs="Arial"/>
        </w:rPr>
        <w:t xml:space="preserve"> </w:t>
      </w:r>
      <w:r w:rsidRPr="004331EB">
        <w:rPr>
          <w:rFonts w:ascii="Arial" w:hAnsi="Arial" w:cs="Arial"/>
        </w:rPr>
        <w:t>can be just as harmful. The hierarchical nature of policing, combined with its command</w:t>
      </w:r>
      <w:r w:rsidRPr="00366D3C">
        <w:rPr>
          <w:rFonts w:ascii="Arial" w:hAnsi="Arial" w:cs="Arial"/>
        </w:rPr>
        <w:t xml:space="preserve"> </w:t>
      </w:r>
      <w:r w:rsidRPr="004331EB">
        <w:rPr>
          <w:rFonts w:ascii="Arial" w:hAnsi="Arial" w:cs="Arial"/>
        </w:rPr>
        <w:t>control structure, often leads to poor feedback mechanisms and distrust in leadership (Rees &amp; Smith, 2008). These conditions foster a culture of silence, detachment, and disengagement.</w:t>
      </w:r>
    </w:p>
    <w:p w14:paraId="42057F9A" w14:textId="77777777" w:rsidR="00366D3C" w:rsidRPr="004331EB" w:rsidRDefault="00366D3C" w:rsidP="00366D3C">
      <w:pPr>
        <w:rPr>
          <w:rFonts w:ascii="Arial" w:hAnsi="Arial" w:cs="Arial"/>
        </w:rPr>
      </w:pPr>
    </w:p>
    <w:p w14:paraId="67FD01F2" w14:textId="77777777" w:rsidR="00366D3C" w:rsidRPr="004331EB" w:rsidRDefault="00366D3C" w:rsidP="00366D3C">
      <w:pPr>
        <w:rPr>
          <w:rFonts w:ascii="Arial" w:hAnsi="Arial" w:cs="Arial"/>
        </w:rPr>
      </w:pPr>
      <w:r w:rsidRPr="004331EB">
        <w:rPr>
          <w:rFonts w:ascii="Arial" w:hAnsi="Arial" w:cs="Arial"/>
        </w:rPr>
        <w:t>Addressing organisational stress requires targeted interventions</w:t>
      </w:r>
      <w:r w:rsidRPr="00366D3C">
        <w:rPr>
          <w:rFonts w:ascii="Arial" w:hAnsi="Arial" w:cs="Arial"/>
        </w:rPr>
        <w:t>,</w:t>
      </w:r>
      <w:r w:rsidRPr="004331EB">
        <w:rPr>
          <w:rFonts w:ascii="Arial" w:hAnsi="Arial" w:cs="Arial"/>
        </w:rPr>
        <w:t xml:space="preserve"> leadership development programs, conflict resolution training, and a shift toward participative management styles. Creating psychologically safe environments</w:t>
      </w:r>
      <w:r w:rsidRPr="00366D3C">
        <w:rPr>
          <w:rFonts w:ascii="Arial" w:hAnsi="Arial" w:cs="Arial"/>
        </w:rPr>
        <w:t xml:space="preserve"> </w:t>
      </w:r>
      <w:r w:rsidRPr="004331EB">
        <w:rPr>
          <w:rFonts w:ascii="Arial" w:hAnsi="Arial" w:cs="Arial"/>
        </w:rPr>
        <w:t>where officers can express concerns without fear of retribution</w:t>
      </w:r>
      <w:r w:rsidRPr="00366D3C">
        <w:rPr>
          <w:rFonts w:ascii="Arial" w:hAnsi="Arial" w:cs="Arial"/>
        </w:rPr>
        <w:t xml:space="preserve"> </w:t>
      </w:r>
      <w:r w:rsidRPr="004331EB">
        <w:rPr>
          <w:rFonts w:ascii="Arial" w:hAnsi="Arial" w:cs="Arial"/>
        </w:rPr>
        <w:t>strengthens team cohesion and morale. Strong leadership plays a critical role in modelling respectful communication, emotional intelligence, and ethical consistency.</w:t>
      </w:r>
      <w:r w:rsidRPr="00366D3C">
        <w:rPr>
          <w:rFonts w:ascii="Arial" w:hAnsi="Arial" w:cs="Arial"/>
        </w:rPr>
        <w:t xml:space="preserve"> </w:t>
      </w:r>
      <w:r w:rsidRPr="004331EB">
        <w:rPr>
          <w:rFonts w:ascii="Arial" w:hAnsi="Arial" w:cs="Arial"/>
        </w:rPr>
        <w:t>Stigma around mental health remains one of the most pressing challenges within policing. Bullock and Garland (2018) explored this issue using Goffman’s concept of “spoiled identity”, examining how officers experiencing mental distress internalise shame and conceal their struggles to avoid professional harm. Many officers fear that disclosing psychological struggles will lead to ostracism, career stagnation, or revocation of duties.</w:t>
      </w:r>
    </w:p>
    <w:p w14:paraId="70409A4C" w14:textId="77777777" w:rsidR="00366D3C" w:rsidRPr="004331EB" w:rsidRDefault="00366D3C" w:rsidP="00366D3C">
      <w:pPr>
        <w:rPr>
          <w:rFonts w:ascii="Arial" w:hAnsi="Arial" w:cs="Arial"/>
        </w:rPr>
      </w:pPr>
    </w:p>
    <w:p w14:paraId="796C3956" w14:textId="77777777" w:rsidR="00366D3C" w:rsidRPr="004331EB" w:rsidRDefault="00366D3C" w:rsidP="00366D3C">
      <w:pPr>
        <w:rPr>
          <w:rFonts w:ascii="Arial" w:hAnsi="Arial" w:cs="Arial"/>
        </w:rPr>
      </w:pPr>
      <w:r w:rsidRPr="004331EB">
        <w:rPr>
          <w:rFonts w:ascii="Arial" w:hAnsi="Arial" w:cs="Arial"/>
        </w:rPr>
        <w:t>This cultural barrier prevents officers from accessing support until crises occur. Bullock and Garland (2018) found that stigma is embedded within the structural and cultural fabric of policing</w:t>
      </w:r>
      <w:r w:rsidRPr="00366D3C">
        <w:rPr>
          <w:rFonts w:ascii="Arial" w:hAnsi="Arial" w:cs="Arial"/>
        </w:rPr>
        <w:t xml:space="preserve"> </w:t>
      </w:r>
      <w:r w:rsidRPr="004331EB">
        <w:rPr>
          <w:rFonts w:ascii="Arial" w:hAnsi="Arial" w:cs="Arial"/>
        </w:rPr>
        <w:t>officers are socialised to be emotionally resilient</w:t>
      </w:r>
      <w:r w:rsidRPr="00366D3C">
        <w:rPr>
          <w:rFonts w:ascii="Arial" w:hAnsi="Arial" w:cs="Arial"/>
        </w:rPr>
        <w:t xml:space="preserve"> and self-sacrificing</w:t>
      </w:r>
      <w:r w:rsidRPr="004331EB">
        <w:rPr>
          <w:rFonts w:ascii="Arial" w:hAnsi="Arial" w:cs="Arial"/>
        </w:rPr>
        <w:t>. These traits, while protective in certain scenarios, become liabilities when they prevent help</w:t>
      </w:r>
      <w:r w:rsidRPr="00366D3C">
        <w:rPr>
          <w:rFonts w:ascii="Arial" w:hAnsi="Arial" w:cs="Arial"/>
        </w:rPr>
        <w:t xml:space="preserve"> </w:t>
      </w:r>
      <w:r w:rsidRPr="004331EB">
        <w:rPr>
          <w:rFonts w:ascii="Arial" w:hAnsi="Arial" w:cs="Arial"/>
        </w:rPr>
        <w:t>seeking.</w:t>
      </w:r>
      <w:r w:rsidRPr="00366D3C">
        <w:rPr>
          <w:rFonts w:ascii="Arial" w:hAnsi="Arial" w:cs="Arial"/>
        </w:rPr>
        <w:t xml:space="preserve"> This study conducted by Garland (2018) is effective in identifying the stigma in policing that many police officers refrain from seeking advice that they may desperately need to avoid being seen as week or to “save face”. The study could have used more examples or introduced programmes that forces should bring in to help these officers get the support they need. </w:t>
      </w:r>
      <w:r w:rsidRPr="004331EB">
        <w:rPr>
          <w:rFonts w:ascii="Arial" w:hAnsi="Arial" w:cs="Arial"/>
        </w:rPr>
        <w:t>Organisational leadership must challenge these norms by actively promoting mental health literacy, encouraging disclosure, and protecting confidentiality. Providing access to trauma</w:t>
      </w:r>
      <w:r w:rsidRPr="00366D3C">
        <w:rPr>
          <w:rFonts w:ascii="Arial" w:hAnsi="Arial" w:cs="Arial"/>
        </w:rPr>
        <w:t xml:space="preserve"> </w:t>
      </w:r>
      <w:r w:rsidRPr="004331EB">
        <w:rPr>
          <w:rFonts w:ascii="Arial" w:hAnsi="Arial" w:cs="Arial"/>
        </w:rPr>
        <w:t>informed therapists, mental health days, and anonymous reporting channels can shift the culture from one of silence to one of support. Doing so enhances both individual and collective resilience.</w:t>
      </w:r>
    </w:p>
    <w:p w14:paraId="47E08F74" w14:textId="77777777" w:rsidR="00366D3C" w:rsidRPr="00366D3C" w:rsidRDefault="00366D3C" w:rsidP="00366D3C">
      <w:pPr>
        <w:rPr>
          <w:rFonts w:ascii="Arial" w:hAnsi="Arial" w:cs="Arial"/>
        </w:rPr>
      </w:pPr>
    </w:p>
    <w:p w14:paraId="0CEC2EAF" w14:textId="77777777" w:rsidR="00366D3C" w:rsidRPr="004331EB" w:rsidRDefault="00366D3C" w:rsidP="00366D3C">
      <w:pPr>
        <w:rPr>
          <w:rFonts w:ascii="Arial" w:hAnsi="Arial" w:cs="Arial"/>
        </w:rPr>
      </w:pPr>
      <w:r w:rsidRPr="00366D3C">
        <w:rPr>
          <w:rFonts w:ascii="Arial" w:hAnsi="Arial" w:cs="Arial"/>
        </w:rPr>
        <w:t>Moreover, t</w:t>
      </w:r>
      <w:r w:rsidRPr="004331EB">
        <w:rPr>
          <w:rFonts w:ascii="Arial" w:hAnsi="Arial" w:cs="Arial"/>
        </w:rPr>
        <w:t>he College of Policing’s Code of Ethics (2025) provides a vital framework for promoting mental wellbeing across all levels of the police service. Its nine principles</w:t>
      </w:r>
      <w:r w:rsidRPr="00366D3C">
        <w:rPr>
          <w:rFonts w:ascii="Arial" w:hAnsi="Arial" w:cs="Arial"/>
        </w:rPr>
        <w:t xml:space="preserve"> </w:t>
      </w:r>
      <w:r w:rsidRPr="004331EB">
        <w:rPr>
          <w:rFonts w:ascii="Arial" w:hAnsi="Arial" w:cs="Arial"/>
        </w:rPr>
        <w:t>honesty, integrity, leadership, accountability, objectivity, openness, selflessness, respect, and fairness</w:t>
      </w:r>
      <w:r w:rsidRPr="00366D3C">
        <w:rPr>
          <w:rFonts w:ascii="Arial" w:hAnsi="Arial" w:cs="Arial"/>
        </w:rPr>
        <w:t xml:space="preserve"> </w:t>
      </w:r>
      <w:r w:rsidRPr="004331EB">
        <w:rPr>
          <w:rFonts w:ascii="Arial" w:hAnsi="Arial" w:cs="Arial"/>
        </w:rPr>
        <w:t xml:space="preserve">are intended to guide behaviour under pressure and support professional </w:t>
      </w:r>
      <w:r w:rsidRPr="00366D3C">
        <w:rPr>
          <w:rFonts w:ascii="Arial" w:hAnsi="Arial" w:cs="Arial"/>
        </w:rPr>
        <w:t>standards. When</w:t>
      </w:r>
      <w:r w:rsidRPr="004331EB">
        <w:rPr>
          <w:rFonts w:ascii="Arial" w:hAnsi="Arial" w:cs="Arial"/>
        </w:rPr>
        <w:t xml:space="preserve"> these values are embedded into the organisational culture, officers feel empowered to challenge unethical behaviour, seek help without fear, and treat colleagues and the public with respect. Ethical leadership that prioritises openness and fairness has been shown to reduce stress, increase trust in supervisors, and improve job satisfaction (</w:t>
      </w:r>
      <w:proofErr w:type="spellStart"/>
      <w:r w:rsidRPr="004331EB">
        <w:rPr>
          <w:rFonts w:ascii="Arial" w:hAnsi="Arial" w:cs="Arial"/>
        </w:rPr>
        <w:t>Skogan</w:t>
      </w:r>
      <w:proofErr w:type="spellEnd"/>
      <w:r w:rsidRPr="004331EB">
        <w:rPr>
          <w:rFonts w:ascii="Arial" w:hAnsi="Arial" w:cs="Arial"/>
        </w:rPr>
        <w:t xml:space="preserve"> et al., 2005).</w:t>
      </w:r>
      <w:r w:rsidRPr="00366D3C">
        <w:rPr>
          <w:rFonts w:ascii="Arial" w:hAnsi="Arial" w:cs="Arial"/>
        </w:rPr>
        <w:t xml:space="preserve"> Having these integrated and leader models across police forces sticking strongly to their ethics will help improve the stigma as it was already shown in </w:t>
      </w:r>
      <w:proofErr w:type="spellStart"/>
      <w:r w:rsidRPr="00366D3C">
        <w:rPr>
          <w:rFonts w:ascii="Arial" w:hAnsi="Arial" w:cs="Arial"/>
        </w:rPr>
        <w:t>Skogan</w:t>
      </w:r>
      <w:proofErr w:type="spellEnd"/>
      <w:r w:rsidRPr="00366D3C">
        <w:rPr>
          <w:rFonts w:ascii="Arial" w:hAnsi="Arial" w:cs="Arial"/>
        </w:rPr>
        <w:t xml:space="preserve"> et al (2005) study. </w:t>
      </w:r>
    </w:p>
    <w:p w14:paraId="5BC7A55F" w14:textId="77777777" w:rsidR="00366D3C" w:rsidRPr="004331EB" w:rsidRDefault="00366D3C" w:rsidP="00366D3C">
      <w:pPr>
        <w:rPr>
          <w:rFonts w:ascii="Arial" w:hAnsi="Arial" w:cs="Arial"/>
        </w:rPr>
      </w:pPr>
    </w:p>
    <w:p w14:paraId="15201763" w14:textId="77777777" w:rsidR="00366D3C" w:rsidRPr="00366D3C" w:rsidRDefault="00366D3C" w:rsidP="00366D3C">
      <w:pPr>
        <w:rPr>
          <w:rFonts w:ascii="Arial" w:hAnsi="Arial" w:cs="Arial"/>
        </w:rPr>
      </w:pPr>
      <w:r w:rsidRPr="004331EB">
        <w:rPr>
          <w:rFonts w:ascii="Arial" w:hAnsi="Arial" w:cs="Arial"/>
        </w:rPr>
        <w:t>Moreover, the Code of Ethics aligns with psychological safety principles</w:t>
      </w:r>
      <w:r w:rsidRPr="00366D3C">
        <w:rPr>
          <w:rFonts w:ascii="Arial" w:hAnsi="Arial" w:cs="Arial"/>
        </w:rPr>
        <w:t xml:space="preserve"> </w:t>
      </w:r>
      <w:r w:rsidRPr="004331EB">
        <w:rPr>
          <w:rFonts w:ascii="Arial" w:hAnsi="Arial" w:cs="Arial"/>
        </w:rPr>
        <w:t xml:space="preserve">creating environments where officers feel safe to express concerns, admit mistakes, and ask for help. When leaders model ethical conduct and prioritise wellbeing, the entire force benefits from increased morale and reduced attrition. In this way, the Code serves not only as a behavioural guideline but as a foundational tool for organisational </w:t>
      </w:r>
      <w:r w:rsidRPr="00366D3C">
        <w:rPr>
          <w:rFonts w:ascii="Arial" w:hAnsi="Arial" w:cs="Arial"/>
        </w:rPr>
        <w:t>health. Policing</w:t>
      </w:r>
      <w:r w:rsidRPr="004331EB">
        <w:rPr>
          <w:rFonts w:ascii="Arial" w:hAnsi="Arial" w:cs="Arial"/>
        </w:rPr>
        <w:t xml:space="preserve"> organisations also have a legal and ethical duty of care toward their employees. Under UK health and safety legislation, employers must assess and mitigate risks to employee wellbeing</w:t>
      </w:r>
      <w:r w:rsidRPr="00366D3C">
        <w:rPr>
          <w:rFonts w:ascii="Arial" w:hAnsi="Arial" w:cs="Arial"/>
        </w:rPr>
        <w:t xml:space="preserve"> </w:t>
      </w:r>
      <w:r w:rsidRPr="004331EB">
        <w:rPr>
          <w:rFonts w:ascii="Arial" w:hAnsi="Arial" w:cs="Arial"/>
        </w:rPr>
        <w:t>including psychological risks. Rees and Smith (2008) advocate for a more proactive approach to managing wellbeing in policing by integrating psychosocial risk assessments into policy frameworks.</w:t>
      </w:r>
      <w:r w:rsidRPr="00366D3C">
        <w:rPr>
          <w:rFonts w:ascii="Arial" w:hAnsi="Arial" w:cs="Arial"/>
        </w:rPr>
        <w:t xml:space="preserve"> </w:t>
      </w:r>
      <w:r w:rsidRPr="004331EB">
        <w:rPr>
          <w:rFonts w:ascii="Arial" w:hAnsi="Arial" w:cs="Arial"/>
        </w:rPr>
        <w:t>This involves not only reactive support, such as counselling after traumatic incidents, but proactive strategies such as wellbeing audits, leadership training, and mental health check-ins. Acknowledging the cumulative impact of stress, especially among frontline officers, is essential for retention, morale, and performance. The duty of care also includes protecting whistle</w:t>
      </w:r>
      <w:r w:rsidRPr="00366D3C">
        <w:rPr>
          <w:rFonts w:ascii="Arial" w:hAnsi="Arial" w:cs="Arial"/>
        </w:rPr>
        <w:t xml:space="preserve"> </w:t>
      </w:r>
      <w:r w:rsidRPr="004331EB">
        <w:rPr>
          <w:rFonts w:ascii="Arial" w:hAnsi="Arial" w:cs="Arial"/>
        </w:rPr>
        <w:t>blowers and ensuring that disclosure of mental health issues does not result in discrimination or disadvantage</w:t>
      </w:r>
      <w:r w:rsidRPr="00366D3C">
        <w:rPr>
          <w:rFonts w:ascii="Arial" w:hAnsi="Arial" w:cs="Arial"/>
        </w:rPr>
        <w:t>s.</w:t>
      </w:r>
    </w:p>
    <w:p w14:paraId="0B2DFDB2" w14:textId="77777777" w:rsidR="00366D3C" w:rsidRPr="004331EB" w:rsidRDefault="00366D3C" w:rsidP="00366D3C">
      <w:pPr>
        <w:rPr>
          <w:rFonts w:ascii="Arial" w:hAnsi="Arial" w:cs="Arial"/>
        </w:rPr>
      </w:pPr>
      <w:r w:rsidRPr="004331EB">
        <w:rPr>
          <w:rFonts w:ascii="Arial" w:hAnsi="Arial" w:cs="Arial"/>
        </w:rPr>
        <w:t>The challenges of operational policing are complex, interwoven, and deeply impactful on wellbeing. From the disruption caused by irregular shift patterns to the emotional toll of trauma and the compounding stress of organisational conflict, officers face significant risks to both physical and mental health. Research consistently shows that poor sleep, chronic fatigue, burnout, and compassion fatigue not only affect individual officers but also threaten team dynamics, organisational effectiveness, and public trust.</w:t>
      </w:r>
      <w:r w:rsidRPr="00366D3C">
        <w:rPr>
          <w:rFonts w:ascii="Arial" w:hAnsi="Arial" w:cs="Arial"/>
        </w:rPr>
        <w:t xml:space="preserve"> </w:t>
      </w:r>
      <w:r w:rsidRPr="004331EB">
        <w:rPr>
          <w:rFonts w:ascii="Arial" w:hAnsi="Arial" w:cs="Arial"/>
        </w:rPr>
        <w:t>Crucially, these stressors are not inevitable. With informed leadership, evidence-based policies, and an ethically grounded culture, police organisations can proactively support officer wellbeing. Interventions such as improved scheduling, peer support, mental health education, leadership training, and stigma reduction are essential to building resilient, ethical, and high</w:t>
      </w:r>
      <w:r w:rsidRPr="00366D3C">
        <w:rPr>
          <w:rFonts w:ascii="Arial" w:hAnsi="Arial" w:cs="Arial"/>
        </w:rPr>
        <w:t xml:space="preserve"> </w:t>
      </w:r>
      <w:r w:rsidRPr="004331EB">
        <w:rPr>
          <w:rFonts w:ascii="Arial" w:hAnsi="Arial" w:cs="Arial"/>
        </w:rPr>
        <w:t>functioning police forces.</w:t>
      </w:r>
      <w:r w:rsidRPr="00366D3C">
        <w:rPr>
          <w:rFonts w:ascii="Arial" w:hAnsi="Arial" w:cs="Arial"/>
        </w:rPr>
        <w:t xml:space="preserve"> </w:t>
      </w:r>
      <w:r w:rsidRPr="004331EB">
        <w:rPr>
          <w:rFonts w:ascii="Arial" w:hAnsi="Arial" w:cs="Arial"/>
        </w:rPr>
        <w:t xml:space="preserve">The College of Policing’s Code of Ethics provides a valuable framework through which wellbeing can be embedded into daily practice. When officers are supported, valued, and </w:t>
      </w:r>
      <w:r w:rsidRPr="004331EB">
        <w:rPr>
          <w:rFonts w:ascii="Arial" w:hAnsi="Arial" w:cs="Arial"/>
        </w:rPr>
        <w:lastRenderedPageBreak/>
        <w:t>healthy, they are better equipped to serve their communities with integrity, compassion, and professionalism. As such, managing mental wellbeing is not merely a personnel issue</w:t>
      </w:r>
      <w:r w:rsidRPr="00366D3C">
        <w:rPr>
          <w:rFonts w:ascii="Arial" w:hAnsi="Arial" w:cs="Arial"/>
        </w:rPr>
        <w:t xml:space="preserve"> and </w:t>
      </w:r>
      <w:r w:rsidRPr="004331EB">
        <w:rPr>
          <w:rFonts w:ascii="Arial" w:hAnsi="Arial" w:cs="Arial"/>
        </w:rPr>
        <w:t>it is a core component of effective, ethical, and sustainable policing</w:t>
      </w:r>
      <w:r w:rsidRPr="00366D3C">
        <w:rPr>
          <w:rFonts w:ascii="Arial" w:hAnsi="Arial" w:cs="Arial"/>
        </w:rPr>
        <w:t xml:space="preserve">. </w:t>
      </w:r>
    </w:p>
    <w:p w14:paraId="4BA022F0" w14:textId="77777777" w:rsidR="00EC079F" w:rsidRDefault="00EC079F" w:rsidP="00EC079F">
      <w:pPr>
        <w:pStyle w:val="xmsonormal"/>
        <w:shd w:val="clear" w:color="auto" w:fill="FFFFFF"/>
        <w:spacing w:before="0" w:beforeAutospacing="0" w:after="0" w:afterAutospacing="0"/>
        <w:rPr>
          <w:rFonts w:ascii="Arial" w:hAnsi="Arial" w:cs="Arial"/>
          <w:sz w:val="22"/>
          <w:szCs w:val="22"/>
        </w:rPr>
      </w:pPr>
    </w:p>
    <w:p w14:paraId="596921CF" w14:textId="77777777" w:rsidR="00EC079F" w:rsidRDefault="00EC079F" w:rsidP="00EC079F">
      <w:pPr>
        <w:pStyle w:val="xmsonormal"/>
        <w:shd w:val="clear" w:color="auto" w:fill="FFFFFF"/>
        <w:spacing w:before="0" w:beforeAutospacing="0" w:after="0" w:afterAutospacing="0"/>
        <w:rPr>
          <w:rFonts w:ascii="Arial" w:hAnsi="Arial" w:cs="Arial"/>
          <w:sz w:val="22"/>
          <w:szCs w:val="22"/>
        </w:rPr>
      </w:pPr>
    </w:p>
    <w:p w14:paraId="53BC9645" w14:textId="77777777" w:rsidR="00EC079F" w:rsidRDefault="00EC079F" w:rsidP="00EC079F">
      <w:pPr>
        <w:pStyle w:val="xmsonormal"/>
        <w:shd w:val="clear" w:color="auto" w:fill="FFFFFF"/>
        <w:spacing w:before="0" w:beforeAutospacing="0" w:after="0" w:afterAutospacing="0"/>
        <w:rPr>
          <w:rFonts w:ascii="Arial" w:hAnsi="Arial" w:cs="Arial"/>
          <w:color w:val="242424"/>
          <w:sz w:val="22"/>
          <w:szCs w:val="22"/>
        </w:rPr>
      </w:pPr>
    </w:p>
    <w:p w14:paraId="04DDB534" w14:textId="77777777" w:rsidR="00EC079F" w:rsidRDefault="00EC079F" w:rsidP="00EC079F">
      <w:pPr>
        <w:pStyle w:val="xmsonormal"/>
        <w:shd w:val="clear" w:color="auto" w:fill="FFFFFF"/>
        <w:spacing w:before="0" w:beforeAutospacing="0" w:after="0" w:afterAutospacing="0"/>
        <w:rPr>
          <w:rFonts w:ascii="Arial" w:hAnsi="Arial" w:cs="Arial"/>
          <w:color w:val="242424"/>
          <w:sz w:val="22"/>
          <w:szCs w:val="22"/>
        </w:rPr>
      </w:pPr>
    </w:p>
    <w:p w14:paraId="487D4117" w14:textId="77777777" w:rsidR="00EC079F" w:rsidRDefault="00EC079F" w:rsidP="00EC079F">
      <w:pPr>
        <w:pStyle w:val="xmsonormal"/>
        <w:shd w:val="clear" w:color="auto" w:fill="FFFFFF"/>
        <w:spacing w:before="0" w:beforeAutospacing="0" w:after="0" w:afterAutospacing="0"/>
        <w:rPr>
          <w:rFonts w:ascii="Arial" w:hAnsi="Arial" w:cs="Arial"/>
          <w:color w:val="242424"/>
          <w:sz w:val="22"/>
          <w:szCs w:val="22"/>
        </w:rPr>
      </w:pPr>
    </w:p>
    <w:p w14:paraId="0836E7D9" w14:textId="35B5B626" w:rsidR="00EC079F" w:rsidRDefault="00FF3DD5" w:rsidP="00EC079F">
      <w:r>
        <w:t xml:space="preserve">WORD COUNT: </w:t>
      </w:r>
      <w:r w:rsidR="00EC079F">
        <w:t>18</w:t>
      </w:r>
      <w:r w:rsidR="00366D3C">
        <w:t>34</w:t>
      </w:r>
    </w:p>
    <w:p w14:paraId="6C084D7D" w14:textId="77777777" w:rsidR="000C306B" w:rsidRDefault="000C306B" w:rsidP="00E72719">
      <w:pPr>
        <w:pStyle w:val="ListParagraph"/>
        <w:spacing w:line="276" w:lineRule="auto"/>
        <w:ind w:left="567" w:right="531"/>
        <w:rPr>
          <w:rFonts w:ascii="Arial" w:eastAsia="Times New Roman" w:hAnsi="Arial" w:cs="Arial"/>
          <w:lang w:eastAsia="en-GB"/>
        </w:rPr>
      </w:pPr>
    </w:p>
    <w:p w14:paraId="046DC3C3" w14:textId="77777777" w:rsidR="00E72719" w:rsidRDefault="00E72719" w:rsidP="00E72719">
      <w:pPr>
        <w:pStyle w:val="ListParagraph"/>
        <w:spacing w:line="276" w:lineRule="auto"/>
        <w:ind w:left="567" w:right="531"/>
        <w:rPr>
          <w:rFonts w:ascii="Arial" w:eastAsia="Times New Roman" w:hAnsi="Arial" w:cs="Arial"/>
          <w:lang w:eastAsia="en-GB"/>
        </w:rPr>
      </w:pPr>
    </w:p>
    <w:p w14:paraId="135C32C7" w14:textId="77777777" w:rsidR="007B1425" w:rsidRPr="00427C44" w:rsidRDefault="007B1425" w:rsidP="00427C44">
      <w:pPr>
        <w:ind w:right="531"/>
        <w:rPr>
          <w:rFonts w:ascii="Arial" w:eastAsia="Times New Roman" w:hAnsi="Arial" w:cs="Arial"/>
          <w:lang w:eastAsia="en-GB"/>
        </w:rPr>
      </w:pPr>
    </w:p>
    <w:p w14:paraId="3AC1E234" w14:textId="76D7DE0C" w:rsidR="008C2658" w:rsidRPr="00884FAB" w:rsidRDefault="008C2658" w:rsidP="009A0667">
      <w:pPr>
        <w:pStyle w:val="ListParagraph"/>
        <w:ind w:left="567" w:right="531"/>
        <w:rPr>
          <w:rFonts w:ascii="Arial" w:eastAsia="Times New Roman" w:hAnsi="Arial" w:cs="Arial"/>
          <w:lang w:eastAsia="en-GB"/>
        </w:rPr>
      </w:pPr>
    </w:p>
    <w:p w14:paraId="526E6C6B" w14:textId="77777777" w:rsidR="00DF56DF" w:rsidRPr="00884FAB" w:rsidRDefault="00DF56DF" w:rsidP="009A0667">
      <w:pPr>
        <w:pStyle w:val="ListParagraph"/>
        <w:ind w:left="567" w:right="531"/>
        <w:rPr>
          <w:rFonts w:ascii="Arial" w:eastAsia="Times New Roman" w:hAnsi="Arial" w:cs="Arial"/>
          <w:lang w:eastAsia="en-GB"/>
        </w:rPr>
      </w:pPr>
    </w:p>
    <w:p w14:paraId="30A8EDC6" w14:textId="551E7402" w:rsidR="008100A9" w:rsidRDefault="00445AC1" w:rsidP="00457128">
      <w:pPr>
        <w:pStyle w:val="ListParagraph"/>
        <w:numPr>
          <w:ilvl w:val="0"/>
          <w:numId w:val="21"/>
        </w:numPr>
        <w:spacing w:line="276" w:lineRule="auto"/>
        <w:ind w:left="567" w:right="531"/>
        <w:rPr>
          <w:rFonts w:ascii="Arial" w:eastAsia="Times New Roman" w:hAnsi="Arial" w:cs="Arial"/>
          <w:lang w:eastAsia="en-GB"/>
        </w:rPr>
      </w:pPr>
      <w:r>
        <w:rPr>
          <w:rFonts w:ascii="Arial" w:eastAsia="Times New Roman" w:hAnsi="Arial" w:cs="Arial"/>
          <w:lang w:eastAsia="en-GB"/>
        </w:rPr>
        <w:t xml:space="preserve">Why </w:t>
      </w:r>
      <w:proofErr w:type="gramStart"/>
      <w:r w:rsidR="008100A9">
        <w:rPr>
          <w:rFonts w:ascii="Arial" w:eastAsia="Times New Roman" w:hAnsi="Arial" w:cs="Arial"/>
          <w:lang w:eastAsia="en-GB"/>
        </w:rPr>
        <w:t>is</w:t>
      </w:r>
      <w:proofErr w:type="gramEnd"/>
      <w:r w:rsidR="008100A9">
        <w:rPr>
          <w:rFonts w:ascii="Arial" w:eastAsia="Times New Roman" w:hAnsi="Arial" w:cs="Arial"/>
          <w:lang w:eastAsia="en-GB"/>
        </w:rPr>
        <w:t xml:space="preserve"> </w:t>
      </w:r>
      <w:r>
        <w:rPr>
          <w:rFonts w:ascii="Arial" w:eastAsia="Times New Roman" w:hAnsi="Arial" w:cs="Arial"/>
          <w:lang w:eastAsia="en-GB"/>
        </w:rPr>
        <w:t xml:space="preserve">a partnership approach </w:t>
      </w:r>
      <w:r w:rsidR="00444A33">
        <w:rPr>
          <w:rFonts w:ascii="Arial" w:eastAsia="Times New Roman" w:hAnsi="Arial" w:cs="Arial"/>
          <w:lang w:eastAsia="en-GB"/>
        </w:rPr>
        <w:t>the</w:t>
      </w:r>
      <w:r w:rsidR="008100A9">
        <w:rPr>
          <w:rFonts w:ascii="Arial" w:eastAsia="Times New Roman" w:hAnsi="Arial" w:cs="Arial"/>
          <w:lang w:eastAsia="en-GB"/>
        </w:rPr>
        <w:t xml:space="preserve"> </w:t>
      </w:r>
      <w:r w:rsidR="00444A33">
        <w:rPr>
          <w:rFonts w:ascii="Arial" w:eastAsia="Times New Roman" w:hAnsi="Arial" w:cs="Arial"/>
          <w:lang w:eastAsia="en-GB"/>
        </w:rPr>
        <w:t xml:space="preserve">most </w:t>
      </w:r>
      <w:r w:rsidR="008100A9">
        <w:rPr>
          <w:rFonts w:ascii="Arial" w:eastAsia="Times New Roman" w:hAnsi="Arial" w:cs="Arial"/>
          <w:lang w:eastAsia="en-GB"/>
        </w:rPr>
        <w:t xml:space="preserve">effective </w:t>
      </w:r>
      <w:r w:rsidR="00444A33">
        <w:rPr>
          <w:rFonts w:ascii="Arial" w:eastAsia="Times New Roman" w:hAnsi="Arial" w:cs="Arial"/>
          <w:lang w:eastAsia="en-GB"/>
        </w:rPr>
        <w:t xml:space="preserve">way to </w:t>
      </w:r>
      <w:r w:rsidR="007A5D73">
        <w:rPr>
          <w:rFonts w:ascii="Arial" w:eastAsia="Times New Roman" w:hAnsi="Arial" w:cs="Arial"/>
          <w:lang w:eastAsia="en-GB"/>
        </w:rPr>
        <w:t xml:space="preserve">reach </w:t>
      </w:r>
      <w:r w:rsidR="008100A9">
        <w:rPr>
          <w:rFonts w:ascii="Arial" w:eastAsia="Times New Roman" w:hAnsi="Arial" w:cs="Arial"/>
          <w:lang w:eastAsia="en-GB"/>
        </w:rPr>
        <w:t xml:space="preserve">groups or communities who </w:t>
      </w:r>
      <w:r w:rsidR="001725B0">
        <w:rPr>
          <w:rFonts w:ascii="Arial" w:eastAsia="Times New Roman" w:hAnsi="Arial" w:cs="Arial"/>
          <w:lang w:eastAsia="en-GB"/>
        </w:rPr>
        <w:t>are</w:t>
      </w:r>
      <w:r w:rsidR="008100A9">
        <w:rPr>
          <w:rFonts w:ascii="Arial" w:eastAsia="Times New Roman" w:hAnsi="Arial" w:cs="Arial"/>
          <w:lang w:eastAsia="en-GB"/>
        </w:rPr>
        <w:t xml:space="preserve"> less willing to engage with police?</w:t>
      </w:r>
      <w:r w:rsidR="00304CB2">
        <w:rPr>
          <w:rFonts w:ascii="Arial" w:eastAsia="Times New Roman" w:hAnsi="Arial" w:cs="Arial"/>
          <w:lang w:eastAsia="en-GB"/>
        </w:rPr>
        <w:t xml:space="preserve"> </w:t>
      </w:r>
      <w:r w:rsidR="007A0D78">
        <w:rPr>
          <w:rFonts w:ascii="Arial" w:eastAsia="Times New Roman" w:hAnsi="Arial" w:cs="Arial"/>
          <w:lang w:eastAsia="en-GB"/>
        </w:rPr>
        <w:t>You should</w:t>
      </w:r>
      <w:r w:rsidR="00304CB2">
        <w:rPr>
          <w:rFonts w:ascii="Arial" w:eastAsia="Times New Roman" w:hAnsi="Arial" w:cs="Arial"/>
          <w:lang w:eastAsia="en-GB"/>
        </w:rPr>
        <w:t xml:space="preserve"> consider why certain groups are reluctant to engage with police, and the ways </w:t>
      </w:r>
      <w:r w:rsidR="00F7539A">
        <w:rPr>
          <w:rFonts w:ascii="Arial" w:eastAsia="Times New Roman" w:hAnsi="Arial" w:cs="Arial"/>
          <w:lang w:eastAsia="en-GB"/>
        </w:rPr>
        <w:t>engagement can be achieved</w:t>
      </w:r>
      <w:r w:rsidR="00304CB2">
        <w:rPr>
          <w:rFonts w:ascii="Arial" w:eastAsia="Times New Roman" w:hAnsi="Arial" w:cs="Arial"/>
          <w:lang w:eastAsia="en-GB"/>
        </w:rPr>
        <w:t>.</w:t>
      </w:r>
    </w:p>
    <w:p w14:paraId="2939378B" w14:textId="5BB68C09" w:rsidR="00457128" w:rsidRDefault="00457128" w:rsidP="008100A9">
      <w:pPr>
        <w:pStyle w:val="ListParagraph"/>
        <w:spacing w:line="276" w:lineRule="auto"/>
        <w:ind w:left="567" w:right="531"/>
        <w:rPr>
          <w:rFonts w:ascii="Arial" w:eastAsia="Times New Roman" w:hAnsi="Arial" w:cs="Arial"/>
          <w:lang w:eastAsia="en-GB"/>
        </w:rPr>
      </w:pPr>
      <w:r w:rsidRPr="00884FAB">
        <w:rPr>
          <w:rFonts w:ascii="Arial" w:eastAsia="Times New Roman" w:hAnsi="Arial" w:cs="Arial"/>
          <w:lang w:eastAsia="en-GB"/>
        </w:rPr>
        <w:t>Your answer should be based on academic research</w:t>
      </w:r>
      <w:r>
        <w:rPr>
          <w:rFonts w:ascii="Arial" w:eastAsia="Times New Roman" w:hAnsi="Arial" w:cs="Arial"/>
          <w:lang w:eastAsia="en-GB"/>
        </w:rPr>
        <w:t xml:space="preserve">, although you may </w:t>
      </w:r>
      <w:proofErr w:type="gramStart"/>
      <w:r>
        <w:rPr>
          <w:rFonts w:ascii="Arial" w:eastAsia="Times New Roman" w:hAnsi="Arial" w:cs="Arial"/>
          <w:lang w:eastAsia="en-GB"/>
        </w:rPr>
        <w:t>make reference</w:t>
      </w:r>
      <w:proofErr w:type="gramEnd"/>
      <w:r>
        <w:rPr>
          <w:rFonts w:ascii="Arial" w:eastAsia="Times New Roman" w:hAnsi="Arial" w:cs="Arial"/>
          <w:lang w:eastAsia="en-GB"/>
        </w:rPr>
        <w:t xml:space="preserve"> to relevant case studies.</w:t>
      </w:r>
    </w:p>
    <w:p w14:paraId="0A30947A" w14:textId="77777777" w:rsidR="00A26DA5" w:rsidRDefault="00A26DA5" w:rsidP="008100A9">
      <w:pPr>
        <w:pStyle w:val="ListParagraph"/>
        <w:spacing w:line="276" w:lineRule="auto"/>
        <w:ind w:left="567" w:right="531"/>
        <w:rPr>
          <w:rFonts w:ascii="Arial" w:eastAsia="Times New Roman" w:hAnsi="Arial" w:cs="Arial"/>
          <w:lang w:eastAsia="en-GB"/>
        </w:rPr>
      </w:pPr>
    </w:p>
    <w:p w14:paraId="5A56A22F" w14:textId="77777777" w:rsidR="00EC079F" w:rsidRPr="00884FAB" w:rsidRDefault="00EC079F" w:rsidP="00EC079F">
      <w:pPr>
        <w:pStyle w:val="ListParagraph"/>
        <w:ind w:left="567" w:right="531"/>
        <w:rPr>
          <w:rFonts w:ascii="Arial" w:eastAsia="Times New Roman" w:hAnsi="Arial" w:cs="Arial"/>
          <w:lang w:eastAsia="en-GB"/>
        </w:rPr>
      </w:pPr>
      <w:r w:rsidRPr="007D3E6A">
        <w:rPr>
          <w:rFonts w:ascii="inherit" w:eastAsia="Times New Roman" w:hAnsi="inherit" w:cs="Segoe UI"/>
          <w:color w:val="424242"/>
          <w:sz w:val="17"/>
          <w:szCs w:val="17"/>
          <w:lang w:eastAsia="en-GB"/>
        </w:rPr>
        <w:t>​</w:t>
      </w:r>
    </w:p>
    <w:p w14:paraId="40AB6D95" w14:textId="77777777" w:rsidR="00366D3C" w:rsidRPr="009B1FB6" w:rsidRDefault="00366D3C" w:rsidP="00366D3C">
      <w:pPr>
        <w:rPr>
          <w:rFonts w:ascii="Arial" w:hAnsi="Arial" w:cs="Arial"/>
        </w:rPr>
      </w:pPr>
      <w:r w:rsidRPr="00366D3C">
        <w:rPr>
          <w:rFonts w:ascii="Arial" w:hAnsi="Arial" w:cs="Arial"/>
        </w:rPr>
        <w:t xml:space="preserve">The relationship between the police and the public, particularly marginalised or seldom heard communities, has long been characterised by mistrust, under engagement, and disproportionate policing practices. This essay critically analyses why a partnership approach is the most effective method for reaching communities who are less willing to engage with the police. It explores the root causes of community disengagement, examines evidence from academic and policy literature, and evaluates practical models of partnership that enhance trust, legitimacy, and coproduction of public safety. Using procedural justice theory and </w:t>
      </w:r>
      <w:proofErr w:type="gramStart"/>
      <w:r w:rsidRPr="00366D3C">
        <w:rPr>
          <w:rFonts w:ascii="Arial" w:hAnsi="Arial" w:cs="Arial"/>
        </w:rPr>
        <w:t>real world</w:t>
      </w:r>
      <w:proofErr w:type="gramEnd"/>
      <w:r w:rsidRPr="00366D3C">
        <w:rPr>
          <w:rFonts w:ascii="Arial" w:hAnsi="Arial" w:cs="Arial"/>
        </w:rPr>
        <w:t xml:space="preserve"> case studies, the essay argues that policing can only become equitable and effective through authentic, inclusive, and sustained collaboration with the communities it seeks to serve.</w:t>
      </w:r>
    </w:p>
    <w:p w14:paraId="0B97D67B" w14:textId="77777777" w:rsidR="00366D3C" w:rsidRPr="009B1FB6" w:rsidRDefault="00366D3C" w:rsidP="00366D3C">
      <w:pPr>
        <w:rPr>
          <w:rFonts w:ascii="Arial" w:hAnsi="Arial" w:cs="Arial"/>
        </w:rPr>
      </w:pPr>
      <w:r w:rsidRPr="009B1FB6">
        <w:rPr>
          <w:rFonts w:ascii="Arial" w:hAnsi="Arial" w:cs="Arial"/>
          <w:b/>
          <w:bCs/>
        </w:rPr>
        <w:t>Understanding the Roots of Disengagement</w:t>
      </w:r>
    </w:p>
    <w:p w14:paraId="5B0BEEFE" w14:textId="77777777" w:rsidR="00366D3C" w:rsidRPr="009B1FB6" w:rsidRDefault="00366D3C" w:rsidP="00366D3C">
      <w:pPr>
        <w:rPr>
          <w:rFonts w:ascii="Arial" w:hAnsi="Arial" w:cs="Arial"/>
        </w:rPr>
      </w:pPr>
      <w:r w:rsidRPr="009B1FB6">
        <w:rPr>
          <w:rFonts w:ascii="Arial" w:hAnsi="Arial" w:cs="Arial"/>
        </w:rPr>
        <w:t>Reluctance to engage with the police among certain communities</w:t>
      </w:r>
      <w:r w:rsidRPr="00366D3C">
        <w:rPr>
          <w:rFonts w:ascii="Arial" w:hAnsi="Arial" w:cs="Arial"/>
        </w:rPr>
        <w:t xml:space="preserve"> </w:t>
      </w:r>
      <w:r w:rsidRPr="009B1FB6">
        <w:rPr>
          <w:rFonts w:ascii="Arial" w:hAnsi="Arial" w:cs="Arial"/>
        </w:rPr>
        <w:t>particularly Black, Asian, and minority ethnic (BAME) groups</w:t>
      </w:r>
      <w:r w:rsidRPr="00366D3C">
        <w:rPr>
          <w:rFonts w:ascii="Arial" w:hAnsi="Arial" w:cs="Arial"/>
        </w:rPr>
        <w:t xml:space="preserve"> </w:t>
      </w:r>
      <w:r w:rsidRPr="009B1FB6">
        <w:rPr>
          <w:rFonts w:ascii="Arial" w:hAnsi="Arial" w:cs="Arial"/>
        </w:rPr>
        <w:t>is often grounded in lived experiences of discrimination, over</w:t>
      </w:r>
      <w:r w:rsidRPr="00366D3C">
        <w:rPr>
          <w:rFonts w:ascii="Arial" w:hAnsi="Arial" w:cs="Arial"/>
        </w:rPr>
        <w:t xml:space="preserve"> </w:t>
      </w:r>
      <w:r w:rsidRPr="009B1FB6">
        <w:rPr>
          <w:rFonts w:ascii="Arial" w:hAnsi="Arial" w:cs="Arial"/>
        </w:rPr>
        <w:t>policing, and a lack of accountability. According to Her Majesty’s Inspectorate of Constabulary and Fire and Rescue Services (HMICFRS, 2021), Black individuals in England and Wales are nine times more likely to be stopped and searched and five times more likely to have force used against them than White individuals. These disparities cannot be fully explained by crime patterns or risk-based policing models, suggesting the presence of structural and institutional bias within policing practices (HMICFRS, 2021</w:t>
      </w:r>
      <w:r w:rsidRPr="00366D3C">
        <w:rPr>
          <w:rFonts w:ascii="Arial" w:hAnsi="Arial" w:cs="Arial"/>
        </w:rPr>
        <w:t xml:space="preserve">). This study effectively highlights the disproportionate use of force and targeted stop search that many BME groups face, the study could benefit from highlighting how and why then delving into fixing the issue. </w:t>
      </w:r>
    </w:p>
    <w:p w14:paraId="73DC7CF5" w14:textId="77777777" w:rsidR="00366D3C" w:rsidRPr="009B1FB6" w:rsidRDefault="00366D3C" w:rsidP="00366D3C">
      <w:pPr>
        <w:rPr>
          <w:rFonts w:ascii="Arial" w:hAnsi="Arial" w:cs="Arial"/>
        </w:rPr>
      </w:pPr>
    </w:p>
    <w:p w14:paraId="6CB2B86A" w14:textId="77777777" w:rsidR="00366D3C" w:rsidRPr="009B1FB6" w:rsidRDefault="00366D3C" w:rsidP="00366D3C">
      <w:pPr>
        <w:rPr>
          <w:rFonts w:ascii="Arial" w:hAnsi="Arial" w:cs="Arial"/>
        </w:rPr>
      </w:pPr>
      <w:r w:rsidRPr="009B1FB6">
        <w:rPr>
          <w:rFonts w:ascii="Arial" w:hAnsi="Arial" w:cs="Arial"/>
        </w:rPr>
        <w:t>The Independent Office for Police Conduct (IOPC, 2022) further notes that the persistent lack of transparency and failure to hold officers accountable in cases of misconduct contribute significantly to the erosion of public confidence. When victims and families are excluded from investigations and when complaints are inadequately addressed, communities perceive policing as not only ineffective but also unjust. These dynamics create a cycle of distrust, reducing the likelihood of cooperation and engagement.</w:t>
      </w:r>
      <w:r w:rsidRPr="00366D3C">
        <w:rPr>
          <w:rFonts w:ascii="Arial" w:hAnsi="Arial" w:cs="Arial"/>
        </w:rPr>
        <w:t xml:space="preserve"> The study again effectively highlights the issues and then delves into the backlash that police receive and how the distrust in the police evolves in BME communities. Thus, </w:t>
      </w:r>
      <w:r w:rsidRPr="009B1FB6">
        <w:rPr>
          <w:rFonts w:ascii="Arial" w:hAnsi="Arial" w:cs="Arial"/>
        </w:rPr>
        <w:t>Bradford (2015) argues that the perception of fairness in police behaviour</w:t>
      </w:r>
      <w:r w:rsidRPr="00366D3C">
        <w:rPr>
          <w:rFonts w:ascii="Arial" w:hAnsi="Arial" w:cs="Arial"/>
        </w:rPr>
        <w:t xml:space="preserve"> </w:t>
      </w:r>
      <w:r w:rsidRPr="009B1FB6">
        <w:rPr>
          <w:rFonts w:ascii="Arial" w:hAnsi="Arial" w:cs="Arial"/>
        </w:rPr>
        <w:t>more than the outcome of police interactions</w:t>
      </w:r>
      <w:r w:rsidRPr="00366D3C">
        <w:rPr>
          <w:rFonts w:ascii="Arial" w:hAnsi="Arial" w:cs="Arial"/>
        </w:rPr>
        <w:t xml:space="preserve"> </w:t>
      </w:r>
      <w:r w:rsidRPr="009B1FB6">
        <w:rPr>
          <w:rFonts w:ascii="Arial" w:hAnsi="Arial" w:cs="Arial"/>
        </w:rPr>
        <w:t>is critical to public cooperation. This is grounded in the theory of procedural justice, which emphasises that people are more likely to view authority figures as legitimate when they are treated with dignity, impartiality, and respect (Tyler, 2006; Bradford, 2015). For communities with histories of marginalisation, such perceptions are deeply influenced by both individual and collective experiences with law enforcement. Therefore, addressing the roots of disengagement requires a profound transformation in how police forces relate to communities.</w:t>
      </w:r>
    </w:p>
    <w:p w14:paraId="1F59ACA0" w14:textId="77777777" w:rsidR="00366D3C" w:rsidRPr="009B1FB6" w:rsidRDefault="00366D3C" w:rsidP="00366D3C">
      <w:pPr>
        <w:rPr>
          <w:rFonts w:ascii="Arial" w:hAnsi="Arial" w:cs="Arial"/>
        </w:rPr>
      </w:pPr>
    </w:p>
    <w:p w14:paraId="4E40422D" w14:textId="77777777" w:rsidR="00366D3C" w:rsidRPr="009B1FB6" w:rsidRDefault="00366D3C" w:rsidP="00366D3C">
      <w:pPr>
        <w:rPr>
          <w:rFonts w:ascii="Arial" w:hAnsi="Arial" w:cs="Arial"/>
        </w:rPr>
      </w:pPr>
      <w:r w:rsidRPr="009B1FB6">
        <w:rPr>
          <w:rFonts w:ascii="Arial" w:hAnsi="Arial" w:cs="Arial"/>
          <w:b/>
          <w:bCs/>
        </w:rPr>
        <w:t>Defining the Partnership Approach</w:t>
      </w:r>
    </w:p>
    <w:p w14:paraId="1237A034" w14:textId="77777777" w:rsidR="00366D3C" w:rsidRPr="009B1FB6" w:rsidRDefault="00366D3C" w:rsidP="00366D3C">
      <w:pPr>
        <w:rPr>
          <w:rFonts w:ascii="Arial" w:hAnsi="Arial" w:cs="Arial"/>
        </w:rPr>
      </w:pPr>
      <w:r w:rsidRPr="009B1FB6">
        <w:rPr>
          <w:rFonts w:ascii="Arial" w:hAnsi="Arial" w:cs="Arial"/>
        </w:rPr>
        <w:t>A partnership approach involves collaborative working between police services, local communities, and other stakeholders such as local authorities, charities, youth workers, and health services. This model promotes shared responsibility for public safety, problem-solving, and mutual accountability. It is rooted in the principles of community policing, which advocate for co</w:t>
      </w:r>
      <w:r w:rsidRPr="00366D3C">
        <w:rPr>
          <w:rFonts w:ascii="Arial" w:hAnsi="Arial" w:cs="Arial"/>
        </w:rPr>
        <w:t xml:space="preserve"> </w:t>
      </w:r>
      <w:r w:rsidRPr="009B1FB6">
        <w:rPr>
          <w:rFonts w:ascii="Arial" w:hAnsi="Arial" w:cs="Arial"/>
        </w:rPr>
        <w:t xml:space="preserve">designing safety strategies that reflect local concerns and foster sustainable relationships (Brogden and </w:t>
      </w:r>
      <w:proofErr w:type="spellStart"/>
      <w:r w:rsidRPr="009B1FB6">
        <w:rPr>
          <w:rFonts w:ascii="Arial" w:hAnsi="Arial" w:cs="Arial"/>
        </w:rPr>
        <w:t>Nijhar</w:t>
      </w:r>
      <w:proofErr w:type="spellEnd"/>
      <w:r w:rsidRPr="009B1FB6">
        <w:rPr>
          <w:rFonts w:ascii="Arial" w:hAnsi="Arial" w:cs="Arial"/>
        </w:rPr>
        <w:t>, 2005).</w:t>
      </w:r>
      <w:r w:rsidRPr="00366D3C">
        <w:rPr>
          <w:rFonts w:ascii="Arial" w:hAnsi="Arial" w:cs="Arial"/>
        </w:rPr>
        <w:t xml:space="preserve"> A partnership approaches stands out, the study highlights its importance and what it is estimated to achieve, however the study lacks research, some communities may have faced years or decades of discrimination enforcing distrust in the community for a young age. The study fails to account for this scenario. </w:t>
      </w:r>
    </w:p>
    <w:p w14:paraId="7B0994EC" w14:textId="77777777" w:rsidR="00366D3C" w:rsidRPr="009B1FB6" w:rsidRDefault="00366D3C" w:rsidP="00366D3C">
      <w:pPr>
        <w:rPr>
          <w:rFonts w:ascii="Arial" w:hAnsi="Arial" w:cs="Arial"/>
        </w:rPr>
      </w:pPr>
    </w:p>
    <w:p w14:paraId="39A31E1E" w14:textId="77777777" w:rsidR="00366D3C" w:rsidRPr="009B1FB6" w:rsidRDefault="00366D3C" w:rsidP="00366D3C">
      <w:pPr>
        <w:rPr>
          <w:rFonts w:ascii="Arial" w:hAnsi="Arial" w:cs="Arial"/>
        </w:rPr>
      </w:pPr>
      <w:r w:rsidRPr="00366D3C">
        <w:rPr>
          <w:rFonts w:ascii="Arial" w:hAnsi="Arial" w:cs="Arial"/>
        </w:rPr>
        <w:t xml:space="preserve">Furthermore, </w:t>
      </w:r>
      <w:r w:rsidRPr="009B1FB6">
        <w:rPr>
          <w:rFonts w:ascii="Arial" w:hAnsi="Arial" w:cs="Arial"/>
        </w:rPr>
        <w:t>The College of Policing (2025) underscores the value of working with “seldom</w:t>
      </w:r>
      <w:r w:rsidRPr="00366D3C">
        <w:rPr>
          <w:rFonts w:ascii="Arial" w:hAnsi="Arial" w:cs="Arial"/>
        </w:rPr>
        <w:t xml:space="preserve"> </w:t>
      </w:r>
      <w:r w:rsidRPr="009B1FB6">
        <w:rPr>
          <w:rFonts w:ascii="Arial" w:hAnsi="Arial" w:cs="Arial"/>
        </w:rPr>
        <w:t>heard” communities through trusted intermediaries like community leaders, religious figures, and local youth workers. These individuals often possess long</w:t>
      </w:r>
      <w:r w:rsidRPr="00366D3C">
        <w:rPr>
          <w:rFonts w:ascii="Arial" w:hAnsi="Arial" w:cs="Arial"/>
        </w:rPr>
        <w:t xml:space="preserve"> </w:t>
      </w:r>
      <w:r w:rsidRPr="009B1FB6">
        <w:rPr>
          <w:rFonts w:ascii="Arial" w:hAnsi="Arial" w:cs="Arial"/>
        </w:rPr>
        <w:t xml:space="preserve">standing relationships within communities and can bridge the gap between police services and disengaged groups. When the police rely solely on </w:t>
      </w:r>
      <w:proofErr w:type="gramStart"/>
      <w:r w:rsidRPr="009B1FB6">
        <w:rPr>
          <w:rFonts w:ascii="Arial" w:hAnsi="Arial" w:cs="Arial"/>
        </w:rPr>
        <w:t>top</w:t>
      </w:r>
      <w:r w:rsidRPr="00366D3C">
        <w:rPr>
          <w:rFonts w:ascii="Arial" w:hAnsi="Arial" w:cs="Arial"/>
        </w:rPr>
        <w:t xml:space="preserve"> </w:t>
      </w:r>
      <w:r w:rsidRPr="009B1FB6">
        <w:rPr>
          <w:rFonts w:ascii="Arial" w:hAnsi="Arial" w:cs="Arial"/>
        </w:rPr>
        <w:t>down</w:t>
      </w:r>
      <w:proofErr w:type="gramEnd"/>
      <w:r w:rsidRPr="009B1FB6">
        <w:rPr>
          <w:rFonts w:ascii="Arial" w:hAnsi="Arial" w:cs="Arial"/>
        </w:rPr>
        <w:t xml:space="preserve"> strategies or tokenistic consultation, they risk reinforcing power imbalances and alienation. A partnership approach, by contrast, centres on equity, shared knowledge, and cultural competence.</w:t>
      </w:r>
      <w:r w:rsidRPr="00366D3C">
        <w:rPr>
          <w:rFonts w:ascii="Arial" w:hAnsi="Arial" w:cs="Arial"/>
        </w:rPr>
        <w:t xml:space="preserve"> </w:t>
      </w:r>
      <w:r w:rsidRPr="009B1FB6">
        <w:rPr>
          <w:rFonts w:ascii="Arial" w:hAnsi="Arial" w:cs="Arial"/>
        </w:rPr>
        <w:t>The National Police Chiefs’ Council (NPCC) Vision 2025 outlines a strategic direction for policing in England and Wales that emphasises four core pillars: local partnerships, co-production of safety, trust and legitimacy, and prevention and early intervention (NPCC, 2020). This vision explicitly recognises that complex societal challenges cannot be addressed through enforcement alone but require integrated and collaborative responses.</w:t>
      </w:r>
      <w:r w:rsidRPr="00366D3C">
        <w:rPr>
          <w:rFonts w:ascii="Arial" w:hAnsi="Arial" w:cs="Arial"/>
        </w:rPr>
        <w:t xml:space="preserve"> The NPCC vision (2020) for 2025 sets a clear template and emphasises four pillars for its success, the vision sets a time frame of five years until the vision is implemented and runs successfully, however the vision for 2025 policing relies heavily on the four pillars succeeding, the study fails to address the issues if one of the pillars fail. </w:t>
      </w:r>
    </w:p>
    <w:p w14:paraId="41C72C75" w14:textId="77777777" w:rsidR="00366D3C" w:rsidRPr="009B1FB6" w:rsidRDefault="00366D3C" w:rsidP="00366D3C">
      <w:pPr>
        <w:rPr>
          <w:rFonts w:ascii="Arial" w:hAnsi="Arial" w:cs="Arial"/>
        </w:rPr>
      </w:pPr>
    </w:p>
    <w:p w14:paraId="110149E4" w14:textId="77777777" w:rsidR="00366D3C" w:rsidRPr="009B1FB6" w:rsidRDefault="00366D3C" w:rsidP="00366D3C">
      <w:pPr>
        <w:rPr>
          <w:rFonts w:ascii="Arial" w:hAnsi="Arial" w:cs="Arial"/>
        </w:rPr>
      </w:pPr>
    </w:p>
    <w:p w14:paraId="797C6AF2" w14:textId="77777777" w:rsidR="00366D3C" w:rsidRPr="009B1FB6" w:rsidRDefault="00366D3C" w:rsidP="00366D3C">
      <w:pPr>
        <w:rPr>
          <w:rFonts w:ascii="Arial" w:hAnsi="Arial" w:cs="Arial"/>
        </w:rPr>
      </w:pPr>
      <w:r w:rsidRPr="009B1FB6">
        <w:rPr>
          <w:rFonts w:ascii="Arial" w:hAnsi="Arial" w:cs="Arial"/>
          <w:b/>
          <w:bCs/>
        </w:rPr>
        <w:t>Procedural Justice and Community Legitimacy</w:t>
      </w:r>
    </w:p>
    <w:p w14:paraId="351FABD1" w14:textId="77777777" w:rsidR="00366D3C" w:rsidRPr="009B1FB6" w:rsidRDefault="00366D3C" w:rsidP="00366D3C">
      <w:pPr>
        <w:rPr>
          <w:rFonts w:ascii="Arial" w:hAnsi="Arial" w:cs="Arial"/>
        </w:rPr>
      </w:pPr>
      <w:r w:rsidRPr="009B1FB6">
        <w:rPr>
          <w:rFonts w:ascii="Arial" w:hAnsi="Arial" w:cs="Arial"/>
        </w:rPr>
        <w:lastRenderedPageBreak/>
        <w:t>The theoretical framework of procedural justice is pivotal to understanding why partnership approaches succeed in fostering engagement. According to Tyler (2006), people comply with the law not simply out of fear of punishment but because they perceive the system as fair and morally right. Procedural justice has four key elements: voice (being heard), neutrality (unbiased decision</w:t>
      </w:r>
      <w:r w:rsidRPr="00366D3C">
        <w:rPr>
          <w:rFonts w:ascii="Arial" w:hAnsi="Arial" w:cs="Arial"/>
        </w:rPr>
        <w:t xml:space="preserve"> </w:t>
      </w:r>
      <w:r w:rsidRPr="009B1FB6">
        <w:rPr>
          <w:rFonts w:ascii="Arial" w:hAnsi="Arial" w:cs="Arial"/>
        </w:rPr>
        <w:t>making), respect (dignified treatment), and trust (belief in benevolence</w:t>
      </w:r>
      <w:r w:rsidRPr="00366D3C">
        <w:rPr>
          <w:rFonts w:ascii="Arial" w:hAnsi="Arial" w:cs="Arial"/>
        </w:rPr>
        <w:t>). Bradford</w:t>
      </w:r>
      <w:r w:rsidRPr="009B1FB6">
        <w:rPr>
          <w:rFonts w:ascii="Arial" w:hAnsi="Arial" w:cs="Arial"/>
        </w:rPr>
        <w:t xml:space="preserve"> (2015) expands on this by linking procedural justice to social identity. When individuals feel that the police represent their values and are acting in the community’s interest, they are more likely to see themselves as part of a shared social group with the police. For many marginalised communities, the police are perceived as external agents rather than part of the social collective. This perception is reinforced by practices such as disproportionate stop and search, aggressive enforcement, and poor communication (Shiner et al., 2018).</w:t>
      </w:r>
      <w:r w:rsidRPr="00366D3C">
        <w:rPr>
          <w:rFonts w:ascii="Arial" w:hAnsi="Arial" w:cs="Arial"/>
        </w:rPr>
        <w:t xml:space="preserve"> </w:t>
      </w:r>
      <w:r w:rsidRPr="009B1FB6">
        <w:rPr>
          <w:rFonts w:ascii="Arial" w:hAnsi="Arial" w:cs="Arial"/>
        </w:rPr>
        <w:t>Partnership working offers a route to reverse this dynamic. By involving communities in shaping policing strategies, listening to their concerns, and embedding local knowledge in decision</w:t>
      </w:r>
      <w:r w:rsidRPr="00366D3C">
        <w:rPr>
          <w:rFonts w:ascii="Arial" w:hAnsi="Arial" w:cs="Arial"/>
        </w:rPr>
        <w:t xml:space="preserve"> </w:t>
      </w:r>
      <w:r w:rsidRPr="009B1FB6">
        <w:rPr>
          <w:rFonts w:ascii="Arial" w:hAnsi="Arial" w:cs="Arial"/>
        </w:rPr>
        <w:t>making, police forces can demonstrate that they are aligned with the community’s values and interests. This fosters identification, increases legitimacy, and improves cooperation (Jackson and Bradford, 2010).</w:t>
      </w:r>
    </w:p>
    <w:p w14:paraId="1B0F4BF7" w14:textId="77777777" w:rsidR="00366D3C" w:rsidRPr="009B1FB6" w:rsidRDefault="00366D3C" w:rsidP="00366D3C">
      <w:pPr>
        <w:rPr>
          <w:rFonts w:ascii="Arial" w:hAnsi="Arial" w:cs="Arial"/>
        </w:rPr>
      </w:pPr>
    </w:p>
    <w:p w14:paraId="34E210CF" w14:textId="77777777" w:rsidR="00366D3C" w:rsidRPr="009B1FB6" w:rsidRDefault="00366D3C" w:rsidP="00366D3C">
      <w:pPr>
        <w:rPr>
          <w:rFonts w:ascii="Arial" w:hAnsi="Arial" w:cs="Arial"/>
        </w:rPr>
      </w:pPr>
    </w:p>
    <w:p w14:paraId="5FAB9303" w14:textId="77777777" w:rsidR="00366D3C" w:rsidRPr="009B1FB6" w:rsidRDefault="00366D3C" w:rsidP="00366D3C">
      <w:pPr>
        <w:rPr>
          <w:rFonts w:ascii="Arial" w:hAnsi="Arial" w:cs="Arial"/>
        </w:rPr>
      </w:pPr>
      <w:r w:rsidRPr="009B1FB6">
        <w:rPr>
          <w:rFonts w:ascii="Arial" w:hAnsi="Arial" w:cs="Arial"/>
          <w:b/>
          <w:bCs/>
        </w:rPr>
        <w:t>Case Studies and Practical Examples</w:t>
      </w:r>
    </w:p>
    <w:p w14:paraId="5433D4AC" w14:textId="77777777" w:rsidR="00366D3C" w:rsidRPr="009B1FB6" w:rsidRDefault="00366D3C" w:rsidP="00366D3C">
      <w:pPr>
        <w:rPr>
          <w:rFonts w:ascii="Arial" w:hAnsi="Arial" w:cs="Arial"/>
        </w:rPr>
      </w:pPr>
      <w:r w:rsidRPr="009B1FB6">
        <w:rPr>
          <w:rFonts w:ascii="Arial" w:hAnsi="Arial" w:cs="Arial"/>
        </w:rPr>
        <w:t>One example of effective partnership working is the use of stop and search community scrutiny panels. These panels allow members of the public to review stop and search incidents, including body</w:t>
      </w:r>
      <w:r w:rsidRPr="00366D3C">
        <w:rPr>
          <w:rFonts w:ascii="Arial" w:hAnsi="Arial" w:cs="Arial"/>
        </w:rPr>
        <w:t xml:space="preserve"> </w:t>
      </w:r>
      <w:r w:rsidRPr="009B1FB6">
        <w:rPr>
          <w:rFonts w:ascii="Arial" w:hAnsi="Arial" w:cs="Arial"/>
        </w:rPr>
        <w:t xml:space="preserve">worn video footage, and provide feedback on the conduct of officers. As highlighted by HMICFRS (2021), these panels promote accountability, educate the public about policing practices, and offer an avenue for community input into operational </w:t>
      </w:r>
      <w:r w:rsidRPr="00366D3C">
        <w:rPr>
          <w:rFonts w:ascii="Arial" w:hAnsi="Arial" w:cs="Arial"/>
        </w:rPr>
        <w:t>decisions. Another</w:t>
      </w:r>
      <w:r w:rsidRPr="009B1FB6">
        <w:rPr>
          <w:rFonts w:ascii="Arial" w:hAnsi="Arial" w:cs="Arial"/>
        </w:rPr>
        <w:t xml:space="preserve"> model is the use of Police-Community Advisory Groups (PCAGs), which involve regular dialogue between police representatives and community leaders. These groups act as a consultative forum where sensitive issues</w:t>
      </w:r>
      <w:r w:rsidRPr="00366D3C">
        <w:rPr>
          <w:rFonts w:ascii="Arial" w:hAnsi="Arial" w:cs="Arial"/>
        </w:rPr>
        <w:t xml:space="preserve">, </w:t>
      </w:r>
      <w:r w:rsidRPr="009B1FB6">
        <w:rPr>
          <w:rFonts w:ascii="Arial" w:hAnsi="Arial" w:cs="Arial"/>
        </w:rPr>
        <w:t>such as hate crime, domestic abuse, or youth violence</w:t>
      </w:r>
      <w:r w:rsidRPr="00366D3C">
        <w:rPr>
          <w:rFonts w:ascii="Arial" w:hAnsi="Arial" w:cs="Arial"/>
        </w:rPr>
        <w:t xml:space="preserve"> </w:t>
      </w:r>
      <w:r w:rsidRPr="009B1FB6">
        <w:rPr>
          <w:rFonts w:ascii="Arial" w:hAnsi="Arial" w:cs="Arial"/>
        </w:rPr>
        <w:t xml:space="preserve">can be discussed in an environment of trust and mutual respect (College of Policing, 2025). While challenges remain in terms of representation and impact, these models signify a shift towards more democratic and inclusive </w:t>
      </w:r>
      <w:r w:rsidRPr="00366D3C">
        <w:rPr>
          <w:rFonts w:ascii="Arial" w:hAnsi="Arial" w:cs="Arial"/>
        </w:rPr>
        <w:t xml:space="preserve">policing. Youth </w:t>
      </w:r>
      <w:r w:rsidRPr="009B1FB6">
        <w:rPr>
          <w:rFonts w:ascii="Arial" w:hAnsi="Arial" w:cs="Arial"/>
        </w:rPr>
        <w:t>focused partnerships are particularly important. Young people from disadvantaged backgrounds are often subject to negative police attention and may grow up viewing the police with suspicion or fear (Foster, 2003). Youth workers, schools, and local charities can serve as intermediaries who engage young people in preventative programmes. When the police collaborate with these stakeholders rather than imposing control, young people are more likely to participate voluntarily in community safety initiatives (Goldsmith, 2005).</w:t>
      </w:r>
    </w:p>
    <w:p w14:paraId="6372AA9E" w14:textId="77777777" w:rsidR="00366D3C" w:rsidRPr="009B1FB6" w:rsidRDefault="00366D3C" w:rsidP="00366D3C">
      <w:pPr>
        <w:rPr>
          <w:rFonts w:ascii="Arial" w:hAnsi="Arial" w:cs="Arial"/>
        </w:rPr>
      </w:pPr>
    </w:p>
    <w:p w14:paraId="41084AF6" w14:textId="77777777" w:rsidR="00366D3C" w:rsidRPr="009B1FB6" w:rsidRDefault="00366D3C" w:rsidP="00366D3C">
      <w:pPr>
        <w:rPr>
          <w:rFonts w:ascii="Arial" w:hAnsi="Arial" w:cs="Arial"/>
        </w:rPr>
      </w:pPr>
    </w:p>
    <w:p w14:paraId="763097DB" w14:textId="77777777" w:rsidR="00366D3C" w:rsidRPr="009B1FB6" w:rsidRDefault="00366D3C" w:rsidP="00366D3C">
      <w:pPr>
        <w:rPr>
          <w:rFonts w:ascii="Arial" w:hAnsi="Arial" w:cs="Arial"/>
        </w:rPr>
      </w:pPr>
      <w:r w:rsidRPr="009B1FB6">
        <w:rPr>
          <w:rFonts w:ascii="Arial" w:hAnsi="Arial" w:cs="Arial"/>
          <w:b/>
          <w:bCs/>
        </w:rPr>
        <w:t>Cultural Change and Institutional Reform</w:t>
      </w:r>
    </w:p>
    <w:p w14:paraId="413E9A41" w14:textId="77777777" w:rsidR="00366D3C" w:rsidRPr="009B1FB6" w:rsidRDefault="00366D3C" w:rsidP="00366D3C">
      <w:pPr>
        <w:rPr>
          <w:rFonts w:ascii="Arial" w:hAnsi="Arial" w:cs="Arial"/>
        </w:rPr>
      </w:pPr>
      <w:r w:rsidRPr="009B1FB6">
        <w:rPr>
          <w:rFonts w:ascii="Arial" w:hAnsi="Arial" w:cs="Arial"/>
        </w:rPr>
        <w:t>Authentic engagement cannot occur without internal reform within police institutions. The IOPC (2022) stresses that engagement must move beyond consultation to become a continuous, two-way dialogue. This requires significant cultural change, including training in cultural awareness, trauma</w:t>
      </w:r>
      <w:r w:rsidRPr="00366D3C">
        <w:rPr>
          <w:rFonts w:ascii="Arial" w:hAnsi="Arial" w:cs="Arial"/>
        </w:rPr>
        <w:t xml:space="preserve"> </w:t>
      </w:r>
      <w:r w:rsidRPr="009B1FB6">
        <w:rPr>
          <w:rFonts w:ascii="Arial" w:hAnsi="Arial" w:cs="Arial"/>
        </w:rPr>
        <w:t xml:space="preserve">informed practices, and communication skills. Officers must not only understand the perspectives of diverse communities but also actively reflect on their own behaviours and </w:t>
      </w:r>
      <w:r w:rsidRPr="00366D3C">
        <w:rPr>
          <w:rFonts w:ascii="Arial" w:hAnsi="Arial" w:cs="Arial"/>
        </w:rPr>
        <w:t>assumptions. Delsol</w:t>
      </w:r>
      <w:r w:rsidRPr="009B1FB6">
        <w:rPr>
          <w:rFonts w:ascii="Arial" w:hAnsi="Arial" w:cs="Arial"/>
        </w:rPr>
        <w:t xml:space="preserve"> and Shiner (2015) argue that the persistence of disproportionate policing is not solely the result of individual bias but is embedded in institutional cultures and performance targets. Therefore, partnership approaches must be accompanied by structural reform</w:t>
      </w:r>
      <w:r w:rsidRPr="00366D3C">
        <w:rPr>
          <w:rFonts w:ascii="Arial" w:hAnsi="Arial" w:cs="Arial"/>
        </w:rPr>
        <w:t xml:space="preserve">, </w:t>
      </w:r>
      <w:r w:rsidRPr="009B1FB6">
        <w:rPr>
          <w:rFonts w:ascii="Arial" w:hAnsi="Arial" w:cs="Arial"/>
        </w:rPr>
        <w:t xml:space="preserve">such as independent oversight, robust complaints systems, and revised performance metrics that prioritise community satisfaction and procedural </w:t>
      </w:r>
      <w:r w:rsidRPr="00366D3C">
        <w:rPr>
          <w:rFonts w:ascii="Arial" w:hAnsi="Arial" w:cs="Arial"/>
        </w:rPr>
        <w:t>fairness. Representation</w:t>
      </w:r>
      <w:r w:rsidRPr="009B1FB6">
        <w:rPr>
          <w:rFonts w:ascii="Arial" w:hAnsi="Arial" w:cs="Arial"/>
        </w:rPr>
        <w:t xml:space="preserve"> also plays a role. Increasing diversity within police forces can help challenge internal biases and make policing more relatable to </w:t>
      </w:r>
      <w:r w:rsidRPr="009B1FB6">
        <w:rPr>
          <w:rFonts w:ascii="Arial" w:hAnsi="Arial" w:cs="Arial"/>
        </w:rPr>
        <w:lastRenderedPageBreak/>
        <w:t xml:space="preserve">underrepresented communities. However, as Loftus (2009) notes, representation alone is insufficient unless it is coupled with changes in power structures and </w:t>
      </w:r>
      <w:r w:rsidRPr="00366D3C">
        <w:rPr>
          <w:rFonts w:ascii="Arial" w:hAnsi="Arial" w:cs="Arial"/>
        </w:rPr>
        <w:t>decision-making</w:t>
      </w:r>
      <w:r w:rsidRPr="009B1FB6">
        <w:rPr>
          <w:rFonts w:ascii="Arial" w:hAnsi="Arial" w:cs="Arial"/>
        </w:rPr>
        <w:t xml:space="preserve"> processes. Marginalised voices must be included not just in operational tasks but in shaping strategic priorities.</w:t>
      </w:r>
    </w:p>
    <w:p w14:paraId="19B08675" w14:textId="77777777" w:rsidR="00366D3C" w:rsidRPr="009B1FB6" w:rsidRDefault="00366D3C" w:rsidP="00366D3C">
      <w:pPr>
        <w:rPr>
          <w:rFonts w:ascii="Arial" w:hAnsi="Arial" w:cs="Arial"/>
        </w:rPr>
      </w:pPr>
    </w:p>
    <w:p w14:paraId="2422FDFD" w14:textId="77777777" w:rsidR="00366D3C" w:rsidRPr="009B1FB6" w:rsidRDefault="00366D3C" w:rsidP="00366D3C">
      <w:pPr>
        <w:rPr>
          <w:rFonts w:ascii="Arial" w:hAnsi="Arial" w:cs="Arial"/>
        </w:rPr>
      </w:pPr>
    </w:p>
    <w:p w14:paraId="6D769153" w14:textId="77777777" w:rsidR="00366D3C" w:rsidRPr="009B1FB6" w:rsidRDefault="00366D3C" w:rsidP="00366D3C">
      <w:pPr>
        <w:rPr>
          <w:rFonts w:ascii="Arial" w:hAnsi="Arial" w:cs="Arial"/>
        </w:rPr>
      </w:pPr>
      <w:r w:rsidRPr="009B1FB6">
        <w:rPr>
          <w:rFonts w:ascii="Arial" w:hAnsi="Arial" w:cs="Arial"/>
          <w:b/>
          <w:bCs/>
        </w:rPr>
        <w:t>Prevention and Early Intervention</w:t>
      </w:r>
    </w:p>
    <w:p w14:paraId="78B202C1" w14:textId="77777777" w:rsidR="00366D3C" w:rsidRPr="009B1FB6" w:rsidRDefault="00366D3C" w:rsidP="00366D3C">
      <w:pPr>
        <w:rPr>
          <w:rFonts w:ascii="Arial" w:hAnsi="Arial" w:cs="Arial"/>
        </w:rPr>
      </w:pPr>
      <w:r w:rsidRPr="009B1FB6">
        <w:rPr>
          <w:rFonts w:ascii="Arial" w:hAnsi="Arial" w:cs="Arial"/>
        </w:rPr>
        <w:t xml:space="preserve">A further strength of the partnership model is its emphasis on prevention. Traditional </w:t>
      </w:r>
      <w:proofErr w:type="gramStart"/>
      <w:r w:rsidRPr="009B1FB6">
        <w:rPr>
          <w:rFonts w:ascii="Arial" w:hAnsi="Arial" w:cs="Arial"/>
        </w:rPr>
        <w:t>enforcement</w:t>
      </w:r>
      <w:r w:rsidRPr="00366D3C">
        <w:rPr>
          <w:rFonts w:ascii="Arial" w:hAnsi="Arial" w:cs="Arial"/>
        </w:rPr>
        <w:t xml:space="preserve"> </w:t>
      </w:r>
      <w:r w:rsidRPr="009B1FB6">
        <w:rPr>
          <w:rFonts w:ascii="Arial" w:hAnsi="Arial" w:cs="Arial"/>
        </w:rPr>
        <w:t>based</w:t>
      </w:r>
      <w:proofErr w:type="gramEnd"/>
      <w:r w:rsidRPr="009B1FB6">
        <w:rPr>
          <w:rFonts w:ascii="Arial" w:hAnsi="Arial" w:cs="Arial"/>
        </w:rPr>
        <w:t xml:space="preserve"> policing often responds to incidents after harm has occurred. In contrast, partnership working</w:t>
      </w:r>
      <w:r w:rsidRPr="00366D3C">
        <w:rPr>
          <w:rFonts w:ascii="Arial" w:hAnsi="Arial" w:cs="Arial"/>
        </w:rPr>
        <w:t xml:space="preserve">, </w:t>
      </w:r>
      <w:r w:rsidRPr="009B1FB6">
        <w:rPr>
          <w:rFonts w:ascii="Arial" w:hAnsi="Arial" w:cs="Arial"/>
        </w:rPr>
        <w:t>especially with social services, education, and healthcare</w:t>
      </w:r>
      <w:r w:rsidRPr="00366D3C">
        <w:rPr>
          <w:rFonts w:ascii="Arial" w:hAnsi="Arial" w:cs="Arial"/>
        </w:rPr>
        <w:t xml:space="preserve">, </w:t>
      </w:r>
      <w:r w:rsidRPr="009B1FB6">
        <w:rPr>
          <w:rFonts w:ascii="Arial" w:hAnsi="Arial" w:cs="Arial"/>
        </w:rPr>
        <w:t>enables early identification of risk factors and the development of holistic support systems.</w:t>
      </w:r>
      <w:r w:rsidRPr="00366D3C">
        <w:rPr>
          <w:rFonts w:ascii="Arial" w:hAnsi="Arial" w:cs="Arial"/>
        </w:rPr>
        <w:t xml:space="preserve"> </w:t>
      </w:r>
      <w:r w:rsidRPr="009B1FB6">
        <w:rPr>
          <w:rFonts w:ascii="Arial" w:hAnsi="Arial" w:cs="Arial"/>
        </w:rPr>
        <w:t xml:space="preserve">The NPCC (2020) </w:t>
      </w:r>
      <w:r w:rsidRPr="00366D3C">
        <w:rPr>
          <w:rFonts w:ascii="Arial" w:hAnsi="Arial" w:cs="Arial"/>
        </w:rPr>
        <w:t>also re</w:t>
      </w:r>
      <w:r w:rsidRPr="009B1FB6">
        <w:rPr>
          <w:rFonts w:ascii="Arial" w:hAnsi="Arial" w:cs="Arial"/>
        </w:rPr>
        <w:t>cognises that addressing issues such as poverty, mental health, substance abuse, and housing instability requires a multiagency response. For example, the Troubled Families programme demonstrates how coordinated support for vulnerable families can reduce crime, improve wellbeing, and lessen demand on police services (Department for Communities and Local Government, 2016</w:t>
      </w:r>
      <w:r w:rsidRPr="00366D3C">
        <w:rPr>
          <w:rFonts w:ascii="Arial" w:hAnsi="Arial" w:cs="Arial"/>
        </w:rPr>
        <w:t>). Also, p</w:t>
      </w:r>
      <w:r w:rsidRPr="009B1FB6">
        <w:rPr>
          <w:rFonts w:ascii="Arial" w:hAnsi="Arial" w:cs="Arial"/>
        </w:rPr>
        <w:t>reventative partnerships are especially important for safeguarding young people at risk of exploitation or violence. Multi</w:t>
      </w:r>
      <w:r w:rsidRPr="00366D3C">
        <w:rPr>
          <w:rFonts w:ascii="Arial" w:hAnsi="Arial" w:cs="Arial"/>
        </w:rPr>
        <w:t xml:space="preserve"> </w:t>
      </w:r>
      <w:r w:rsidRPr="009B1FB6">
        <w:rPr>
          <w:rFonts w:ascii="Arial" w:hAnsi="Arial" w:cs="Arial"/>
        </w:rPr>
        <w:t>agency safeguarding hubs (MASHs) bring together professionals from police, health, education, and social care to share intelligence and intervene early. These hubs exemplify the kind of integrated, responsive policing that can only be achieved through sustained partnership.</w:t>
      </w:r>
    </w:p>
    <w:p w14:paraId="60208BA4" w14:textId="77777777" w:rsidR="00366D3C" w:rsidRPr="009B1FB6" w:rsidRDefault="00366D3C" w:rsidP="00366D3C">
      <w:pPr>
        <w:rPr>
          <w:rFonts w:ascii="Arial" w:hAnsi="Arial" w:cs="Arial"/>
        </w:rPr>
      </w:pPr>
    </w:p>
    <w:p w14:paraId="5B99F136" w14:textId="77777777" w:rsidR="00366D3C" w:rsidRPr="009B1FB6" w:rsidRDefault="00366D3C" w:rsidP="00366D3C">
      <w:pPr>
        <w:rPr>
          <w:rFonts w:ascii="Arial" w:hAnsi="Arial" w:cs="Arial"/>
        </w:rPr>
      </w:pPr>
      <w:r w:rsidRPr="009B1FB6">
        <w:rPr>
          <w:rFonts w:ascii="Arial" w:hAnsi="Arial" w:cs="Arial"/>
          <w:b/>
          <w:bCs/>
        </w:rPr>
        <w:t>Challenges and Limitations</w:t>
      </w:r>
    </w:p>
    <w:p w14:paraId="3BC78E44" w14:textId="77777777" w:rsidR="00366D3C" w:rsidRPr="009B1FB6" w:rsidRDefault="00366D3C" w:rsidP="00366D3C">
      <w:pPr>
        <w:rPr>
          <w:rFonts w:ascii="Arial" w:hAnsi="Arial" w:cs="Arial"/>
        </w:rPr>
      </w:pPr>
      <w:r w:rsidRPr="009B1FB6">
        <w:rPr>
          <w:rFonts w:ascii="Arial" w:hAnsi="Arial" w:cs="Arial"/>
        </w:rPr>
        <w:t>Despite the clear advantages of partnership approaches, challenges remain. Building trust with disengaged communities takes time, consistency, and demonstrable change. Tokenistic engagement</w:t>
      </w:r>
      <w:r w:rsidRPr="00366D3C">
        <w:rPr>
          <w:rFonts w:ascii="Arial" w:hAnsi="Arial" w:cs="Arial"/>
        </w:rPr>
        <w:t xml:space="preserve">, </w:t>
      </w:r>
      <w:r w:rsidRPr="009B1FB6">
        <w:rPr>
          <w:rFonts w:ascii="Arial" w:hAnsi="Arial" w:cs="Arial"/>
        </w:rPr>
        <w:t>where consultation occurs without meaningful action</w:t>
      </w:r>
      <w:r w:rsidRPr="00366D3C">
        <w:rPr>
          <w:rFonts w:ascii="Arial" w:hAnsi="Arial" w:cs="Arial"/>
        </w:rPr>
        <w:t xml:space="preserve">, </w:t>
      </w:r>
      <w:r w:rsidRPr="009B1FB6">
        <w:rPr>
          <w:rFonts w:ascii="Arial" w:hAnsi="Arial" w:cs="Arial"/>
        </w:rPr>
        <w:t xml:space="preserve">can deepen cynicism and reinforce disengagement (Sharp, 2006). Moreover, power imbalances often persist in partnerships, with police retaining decision-making authority even when community input is </w:t>
      </w:r>
      <w:r w:rsidRPr="00366D3C">
        <w:rPr>
          <w:rFonts w:ascii="Arial" w:hAnsi="Arial" w:cs="Arial"/>
        </w:rPr>
        <w:t>sought. Resource</w:t>
      </w:r>
      <w:r w:rsidRPr="009B1FB6">
        <w:rPr>
          <w:rFonts w:ascii="Arial" w:hAnsi="Arial" w:cs="Arial"/>
        </w:rPr>
        <w:t xml:space="preserve"> constraints and political pressures can also undermine partnership efforts. For example, austerity policies in the 2010s led to cuts in community policing, youth services, and local authority budgets</w:t>
      </w:r>
      <w:r w:rsidRPr="00366D3C">
        <w:rPr>
          <w:rFonts w:ascii="Arial" w:hAnsi="Arial" w:cs="Arial"/>
        </w:rPr>
        <w:t xml:space="preserve"> </w:t>
      </w:r>
      <w:r w:rsidRPr="009B1FB6">
        <w:rPr>
          <w:rFonts w:ascii="Arial" w:hAnsi="Arial" w:cs="Arial"/>
        </w:rPr>
        <w:t>severely limiting the capacity of partner organisations to engage meaningfully with the police (Loader and Mulcahy, 2003). For partnerships to be effective, they require investment, leadership, and long-term commitment from all stakeholders.</w:t>
      </w:r>
      <w:r w:rsidRPr="00366D3C">
        <w:rPr>
          <w:rFonts w:ascii="Arial" w:hAnsi="Arial" w:cs="Arial"/>
        </w:rPr>
        <w:t xml:space="preserve"> </w:t>
      </w:r>
      <w:r w:rsidRPr="009B1FB6">
        <w:rPr>
          <w:rFonts w:ascii="Arial" w:hAnsi="Arial" w:cs="Arial"/>
        </w:rPr>
        <w:t xml:space="preserve">Additionally, internal resistance within policing can hinder reform. Officers may view partnership working as “soft” or incompatible with traditional models of policing (Brogden and </w:t>
      </w:r>
      <w:proofErr w:type="spellStart"/>
      <w:r w:rsidRPr="009B1FB6">
        <w:rPr>
          <w:rFonts w:ascii="Arial" w:hAnsi="Arial" w:cs="Arial"/>
        </w:rPr>
        <w:t>Nijhar</w:t>
      </w:r>
      <w:proofErr w:type="spellEnd"/>
      <w:r w:rsidRPr="009B1FB6">
        <w:rPr>
          <w:rFonts w:ascii="Arial" w:hAnsi="Arial" w:cs="Arial"/>
        </w:rPr>
        <w:t>, 2005). Changing this mindset requires not just training but a redefinition of what constitutes successful policing</w:t>
      </w:r>
      <w:r w:rsidRPr="00366D3C">
        <w:rPr>
          <w:rFonts w:ascii="Arial" w:hAnsi="Arial" w:cs="Arial"/>
        </w:rPr>
        <w:t xml:space="preserve"> </w:t>
      </w:r>
      <w:r w:rsidRPr="009B1FB6">
        <w:rPr>
          <w:rFonts w:ascii="Arial" w:hAnsi="Arial" w:cs="Arial"/>
        </w:rPr>
        <w:t>emphasising trust, legitimacy, and wellbeing alongside crime reduction.</w:t>
      </w:r>
    </w:p>
    <w:p w14:paraId="71A9A4E3" w14:textId="77777777" w:rsidR="00366D3C" w:rsidRPr="009B1FB6" w:rsidRDefault="00366D3C" w:rsidP="00366D3C">
      <w:pPr>
        <w:rPr>
          <w:rFonts w:ascii="Arial" w:hAnsi="Arial" w:cs="Arial"/>
        </w:rPr>
      </w:pPr>
    </w:p>
    <w:p w14:paraId="14277EAC" w14:textId="77777777" w:rsidR="00366D3C" w:rsidRPr="009B1FB6" w:rsidRDefault="00366D3C" w:rsidP="00366D3C">
      <w:pPr>
        <w:rPr>
          <w:rFonts w:ascii="Arial" w:hAnsi="Arial" w:cs="Arial"/>
        </w:rPr>
      </w:pPr>
    </w:p>
    <w:p w14:paraId="4A3336AB" w14:textId="77777777" w:rsidR="00366D3C" w:rsidRPr="009B1FB6" w:rsidRDefault="00366D3C" w:rsidP="00366D3C">
      <w:pPr>
        <w:rPr>
          <w:rFonts w:ascii="Arial" w:hAnsi="Arial" w:cs="Arial"/>
        </w:rPr>
      </w:pPr>
      <w:r w:rsidRPr="009B1FB6">
        <w:rPr>
          <w:rFonts w:ascii="Arial" w:hAnsi="Arial" w:cs="Arial"/>
          <w:b/>
          <w:bCs/>
        </w:rPr>
        <w:t>Conclusion</w:t>
      </w:r>
    </w:p>
    <w:p w14:paraId="29C52214" w14:textId="77777777" w:rsidR="00366D3C" w:rsidRPr="00366D3C" w:rsidRDefault="00366D3C" w:rsidP="00366D3C">
      <w:pPr>
        <w:rPr>
          <w:rFonts w:ascii="Arial" w:hAnsi="Arial" w:cs="Arial"/>
        </w:rPr>
      </w:pPr>
      <w:r w:rsidRPr="00366D3C">
        <w:rPr>
          <w:rFonts w:ascii="Arial" w:hAnsi="Arial" w:cs="Arial"/>
        </w:rPr>
        <w:t>In conclusion, t</w:t>
      </w:r>
      <w:r w:rsidRPr="009B1FB6">
        <w:rPr>
          <w:rFonts w:ascii="Arial" w:hAnsi="Arial" w:cs="Arial"/>
        </w:rPr>
        <w:t>he evidence is clear</w:t>
      </w:r>
      <w:r w:rsidRPr="00366D3C">
        <w:rPr>
          <w:rFonts w:ascii="Arial" w:hAnsi="Arial" w:cs="Arial"/>
        </w:rPr>
        <w:t xml:space="preserve"> that </w:t>
      </w:r>
      <w:r w:rsidRPr="009B1FB6">
        <w:rPr>
          <w:rFonts w:ascii="Arial" w:hAnsi="Arial" w:cs="Arial"/>
        </w:rPr>
        <w:t>communities who are less willing to engage with police do so not because of apathy, but because of long-standing experiences of injustice, exclusion, and mistrust.</w:t>
      </w:r>
      <w:r w:rsidRPr="00366D3C">
        <w:rPr>
          <w:rFonts w:ascii="Arial" w:hAnsi="Arial" w:cs="Arial"/>
        </w:rPr>
        <w:t xml:space="preserve"> Therefore,</w:t>
      </w:r>
      <w:r w:rsidRPr="009B1FB6">
        <w:rPr>
          <w:rFonts w:ascii="Arial" w:hAnsi="Arial" w:cs="Arial"/>
        </w:rPr>
        <w:t xml:space="preserve"> </w:t>
      </w:r>
      <w:r w:rsidRPr="00366D3C">
        <w:rPr>
          <w:rFonts w:ascii="Arial" w:hAnsi="Arial" w:cs="Arial"/>
        </w:rPr>
        <w:t xml:space="preserve">a </w:t>
      </w:r>
      <w:r w:rsidRPr="009B1FB6">
        <w:rPr>
          <w:rFonts w:ascii="Arial" w:hAnsi="Arial" w:cs="Arial"/>
        </w:rPr>
        <w:t xml:space="preserve">partnership approach, grounded in procedural justice, cultural change, and coproduction, offers the most effective and ethical pathway to restoring trust and promoting community </w:t>
      </w:r>
      <w:r w:rsidRPr="00366D3C">
        <w:rPr>
          <w:rFonts w:ascii="Arial" w:hAnsi="Arial" w:cs="Arial"/>
        </w:rPr>
        <w:t>safety. By</w:t>
      </w:r>
      <w:r w:rsidRPr="009B1FB6">
        <w:rPr>
          <w:rFonts w:ascii="Arial" w:hAnsi="Arial" w:cs="Arial"/>
        </w:rPr>
        <w:t xml:space="preserve"> sharing power, listening to marginalised voices, and working </w:t>
      </w:r>
      <w:r w:rsidRPr="009B1FB6">
        <w:rPr>
          <w:rFonts w:ascii="Arial" w:hAnsi="Arial" w:cs="Arial"/>
        </w:rPr>
        <w:lastRenderedPageBreak/>
        <w:t>collaboratively with community stakeholders, police forces can address the root causes of disengagement and build lasting legitimacy. While challenges remain, particularly in terms of institutional reform and resource allocation, partnership policing is not merely desirable</w:t>
      </w:r>
      <w:r w:rsidRPr="00366D3C">
        <w:rPr>
          <w:rFonts w:ascii="Arial" w:hAnsi="Arial" w:cs="Arial"/>
        </w:rPr>
        <w:t xml:space="preserve"> </w:t>
      </w:r>
      <w:r w:rsidRPr="009B1FB6">
        <w:rPr>
          <w:rFonts w:ascii="Arial" w:hAnsi="Arial" w:cs="Arial"/>
        </w:rPr>
        <w:t>it is necessary in a society that values fairness, accountability, and social cohesion.</w:t>
      </w:r>
    </w:p>
    <w:p w14:paraId="6E86CEB7" w14:textId="171999E9" w:rsidR="00EC079F" w:rsidRPr="00ED30DA" w:rsidRDefault="00EC079F" w:rsidP="00EC079F">
      <w:pPr>
        <w:spacing w:before="100" w:beforeAutospacing="1" w:after="100" w:afterAutospacing="1" w:line="240" w:lineRule="auto"/>
        <w:rPr>
          <w:rFonts w:ascii="Arial" w:eastAsia="Times New Roman" w:hAnsi="Arial" w:cs="Arial"/>
          <w:lang w:eastAsia="en-GB"/>
        </w:rPr>
      </w:pPr>
    </w:p>
    <w:p w14:paraId="44B538B8" w14:textId="77777777" w:rsidR="00EC079F" w:rsidRDefault="00EC079F" w:rsidP="00EC079F">
      <w:pPr>
        <w:spacing w:after="0" w:line="240" w:lineRule="auto"/>
        <w:textAlignment w:val="baseline"/>
        <w:rPr>
          <w:rFonts w:ascii="Arial" w:eastAsia="Times New Roman" w:hAnsi="Arial" w:cs="Arial"/>
          <w:color w:val="242424"/>
          <w:lang w:eastAsia="en-GB"/>
        </w:rPr>
      </w:pPr>
    </w:p>
    <w:p w14:paraId="774DB698" w14:textId="77777777" w:rsidR="00EC079F" w:rsidRDefault="00EC079F" w:rsidP="00EC079F">
      <w:pPr>
        <w:spacing w:after="0" w:line="240" w:lineRule="auto"/>
        <w:textAlignment w:val="baseline"/>
        <w:rPr>
          <w:rFonts w:ascii="Arial" w:eastAsia="Times New Roman" w:hAnsi="Arial" w:cs="Arial"/>
          <w:color w:val="242424"/>
          <w:lang w:eastAsia="en-GB"/>
        </w:rPr>
      </w:pPr>
    </w:p>
    <w:p w14:paraId="7B62D78E" w14:textId="3E8850A5" w:rsidR="00EC079F" w:rsidRDefault="00EC079F" w:rsidP="00EC079F">
      <w:pPr>
        <w:spacing w:after="0" w:line="240" w:lineRule="auto"/>
        <w:textAlignment w:val="baseline"/>
        <w:rPr>
          <w:rFonts w:ascii="Arial" w:eastAsia="Times New Roman" w:hAnsi="Arial" w:cs="Arial"/>
          <w:color w:val="242424"/>
          <w:lang w:eastAsia="en-GB"/>
        </w:rPr>
      </w:pPr>
      <w:r>
        <w:rPr>
          <w:rFonts w:ascii="Arial" w:eastAsia="Times New Roman" w:hAnsi="Arial" w:cs="Arial"/>
          <w:color w:val="242424"/>
          <w:lang w:eastAsia="en-GB"/>
        </w:rPr>
        <w:t>WORD COUNT: 18</w:t>
      </w:r>
      <w:r w:rsidR="00366D3C">
        <w:rPr>
          <w:rFonts w:ascii="Arial" w:eastAsia="Times New Roman" w:hAnsi="Arial" w:cs="Arial"/>
          <w:color w:val="242424"/>
          <w:lang w:eastAsia="en-GB"/>
        </w:rPr>
        <w:t>12</w:t>
      </w:r>
    </w:p>
    <w:p w14:paraId="19F469FC" w14:textId="77777777" w:rsidR="00EC079F" w:rsidRDefault="00EC079F" w:rsidP="00EC079F">
      <w:pPr>
        <w:spacing w:after="0" w:line="240" w:lineRule="auto"/>
        <w:textAlignment w:val="baseline"/>
        <w:rPr>
          <w:rFonts w:ascii="Arial" w:eastAsia="Times New Roman" w:hAnsi="Arial" w:cs="Arial"/>
          <w:color w:val="242424"/>
          <w:lang w:eastAsia="en-GB"/>
        </w:rPr>
      </w:pPr>
    </w:p>
    <w:p w14:paraId="5092A4B7" w14:textId="77777777" w:rsidR="00EC079F" w:rsidRDefault="00EC079F" w:rsidP="00EC079F">
      <w:pPr>
        <w:spacing w:after="0" w:line="240" w:lineRule="auto"/>
        <w:textAlignment w:val="baseline"/>
        <w:rPr>
          <w:rFonts w:ascii="Arial" w:eastAsia="Times New Roman" w:hAnsi="Arial" w:cs="Arial"/>
          <w:color w:val="242424"/>
          <w:lang w:eastAsia="en-GB"/>
        </w:rPr>
      </w:pPr>
    </w:p>
    <w:p w14:paraId="24C5D4DA" w14:textId="77777777" w:rsidR="00EC079F" w:rsidRDefault="00EC079F" w:rsidP="00EC079F">
      <w:pPr>
        <w:spacing w:after="0" w:line="240" w:lineRule="auto"/>
        <w:textAlignment w:val="baseline"/>
        <w:rPr>
          <w:rFonts w:ascii="Arial" w:eastAsia="Times New Roman" w:hAnsi="Arial" w:cs="Arial"/>
          <w:color w:val="242424"/>
          <w:lang w:eastAsia="en-GB"/>
        </w:rPr>
      </w:pPr>
    </w:p>
    <w:p w14:paraId="548376E7" w14:textId="77777777" w:rsidR="00EC079F" w:rsidRDefault="00EC079F" w:rsidP="00EC079F">
      <w:pPr>
        <w:spacing w:after="0" w:line="240" w:lineRule="auto"/>
        <w:textAlignment w:val="baseline"/>
        <w:rPr>
          <w:rFonts w:ascii="Arial" w:eastAsia="Times New Roman" w:hAnsi="Arial" w:cs="Arial"/>
          <w:color w:val="242424"/>
          <w:lang w:eastAsia="en-GB"/>
        </w:rPr>
      </w:pPr>
    </w:p>
    <w:p w14:paraId="52754F3D" w14:textId="77777777" w:rsidR="00EC079F" w:rsidRPr="007D3E6A" w:rsidRDefault="00EC079F" w:rsidP="00EC079F">
      <w:pPr>
        <w:spacing w:after="0" w:line="240" w:lineRule="auto"/>
        <w:textAlignment w:val="baseline"/>
        <w:rPr>
          <w:rFonts w:ascii="Arial" w:eastAsia="Times New Roman" w:hAnsi="Arial" w:cs="Arial"/>
          <w:color w:val="242424"/>
          <w:lang w:eastAsia="en-GB"/>
        </w:rPr>
      </w:pPr>
    </w:p>
    <w:p w14:paraId="3D3DB98D" w14:textId="77777777" w:rsidR="00790F25" w:rsidRDefault="00790F25" w:rsidP="008100A9">
      <w:pPr>
        <w:pStyle w:val="ListParagraph"/>
        <w:spacing w:line="276" w:lineRule="auto"/>
        <w:ind w:left="567" w:right="531"/>
        <w:rPr>
          <w:rFonts w:ascii="Arial" w:eastAsia="Times New Roman" w:hAnsi="Arial" w:cs="Arial"/>
          <w:lang w:eastAsia="en-GB"/>
        </w:rPr>
      </w:pPr>
    </w:p>
    <w:p w14:paraId="2CB24A25" w14:textId="77777777" w:rsidR="00790F25" w:rsidRDefault="00790F25" w:rsidP="008100A9">
      <w:pPr>
        <w:pStyle w:val="ListParagraph"/>
        <w:spacing w:line="276" w:lineRule="auto"/>
        <w:ind w:left="567" w:right="531"/>
        <w:rPr>
          <w:rFonts w:ascii="Arial" w:eastAsia="Times New Roman" w:hAnsi="Arial" w:cs="Arial"/>
          <w:lang w:eastAsia="en-GB"/>
        </w:rPr>
      </w:pPr>
    </w:p>
    <w:p w14:paraId="40006E6D" w14:textId="77777777" w:rsidR="005D3757" w:rsidRDefault="005D3757" w:rsidP="008100A9">
      <w:pPr>
        <w:pStyle w:val="ListParagraph"/>
        <w:spacing w:line="276" w:lineRule="auto"/>
        <w:ind w:left="567" w:right="531"/>
        <w:rPr>
          <w:rFonts w:ascii="Arial" w:eastAsia="Times New Roman" w:hAnsi="Arial" w:cs="Arial"/>
          <w:lang w:eastAsia="en-GB"/>
        </w:rPr>
      </w:pPr>
    </w:p>
    <w:p w14:paraId="363E731A" w14:textId="77777777" w:rsidR="00CD5ACB" w:rsidRDefault="00CD5ACB" w:rsidP="008100A9">
      <w:pPr>
        <w:pStyle w:val="ListParagraph"/>
        <w:spacing w:line="276" w:lineRule="auto"/>
        <w:ind w:left="567" w:right="531"/>
        <w:rPr>
          <w:rFonts w:ascii="Arial" w:eastAsia="Times New Roman" w:hAnsi="Arial" w:cs="Arial"/>
          <w:lang w:eastAsia="en-GB"/>
        </w:rPr>
      </w:pPr>
    </w:p>
    <w:p w14:paraId="3AB2FDFA" w14:textId="77777777" w:rsidR="004015A6" w:rsidRDefault="004015A6" w:rsidP="008100A9">
      <w:pPr>
        <w:pStyle w:val="ListParagraph"/>
        <w:spacing w:line="276" w:lineRule="auto"/>
        <w:ind w:left="567" w:right="531"/>
        <w:rPr>
          <w:rFonts w:ascii="Arial" w:eastAsia="Times New Roman" w:hAnsi="Arial" w:cs="Arial"/>
          <w:lang w:eastAsia="en-GB"/>
        </w:rPr>
      </w:pPr>
    </w:p>
    <w:p w14:paraId="71F82191" w14:textId="77777777" w:rsidR="004015A6" w:rsidRDefault="004015A6" w:rsidP="008100A9">
      <w:pPr>
        <w:pStyle w:val="ListParagraph"/>
        <w:spacing w:line="276" w:lineRule="auto"/>
        <w:ind w:left="567" w:right="531"/>
        <w:rPr>
          <w:rFonts w:ascii="Arial" w:eastAsia="Times New Roman" w:hAnsi="Arial" w:cs="Arial"/>
          <w:lang w:eastAsia="en-GB"/>
        </w:rPr>
      </w:pPr>
    </w:p>
    <w:p w14:paraId="65193837" w14:textId="77777777" w:rsidR="004015A6" w:rsidRDefault="004015A6" w:rsidP="008100A9">
      <w:pPr>
        <w:pStyle w:val="ListParagraph"/>
        <w:spacing w:line="276" w:lineRule="auto"/>
        <w:ind w:left="567" w:right="531"/>
        <w:rPr>
          <w:rFonts w:ascii="Arial" w:eastAsia="Times New Roman" w:hAnsi="Arial" w:cs="Arial"/>
          <w:lang w:eastAsia="en-GB"/>
        </w:rPr>
      </w:pPr>
    </w:p>
    <w:p w14:paraId="5B30B3C7" w14:textId="77777777" w:rsidR="004015A6" w:rsidRDefault="004015A6" w:rsidP="008100A9">
      <w:pPr>
        <w:pStyle w:val="ListParagraph"/>
        <w:spacing w:line="276" w:lineRule="auto"/>
        <w:ind w:left="567" w:right="531"/>
        <w:rPr>
          <w:rFonts w:ascii="Arial" w:eastAsia="Times New Roman" w:hAnsi="Arial" w:cs="Arial"/>
          <w:lang w:eastAsia="en-GB"/>
        </w:rPr>
      </w:pPr>
    </w:p>
    <w:p w14:paraId="19C591AA" w14:textId="77777777" w:rsidR="001B6594" w:rsidRDefault="001B6594" w:rsidP="008100A9">
      <w:pPr>
        <w:pStyle w:val="ListParagraph"/>
        <w:spacing w:line="276" w:lineRule="auto"/>
        <w:ind w:left="567" w:right="531"/>
        <w:rPr>
          <w:rFonts w:ascii="Arial" w:eastAsia="Times New Roman" w:hAnsi="Arial" w:cs="Arial"/>
          <w:lang w:eastAsia="en-GB"/>
        </w:rPr>
      </w:pPr>
    </w:p>
    <w:p w14:paraId="6E39D14C" w14:textId="77777777" w:rsidR="000C306B" w:rsidRDefault="000C306B" w:rsidP="008100A9">
      <w:pPr>
        <w:pStyle w:val="ListParagraph"/>
        <w:spacing w:line="276" w:lineRule="auto"/>
        <w:ind w:left="567" w:right="531"/>
        <w:rPr>
          <w:rFonts w:ascii="Arial" w:eastAsia="Times New Roman" w:hAnsi="Arial" w:cs="Arial"/>
          <w:lang w:eastAsia="en-GB"/>
        </w:rPr>
      </w:pPr>
    </w:p>
    <w:p w14:paraId="370AFFBF" w14:textId="77777777" w:rsidR="000C306B" w:rsidRDefault="000C306B" w:rsidP="008100A9">
      <w:pPr>
        <w:pStyle w:val="ListParagraph"/>
        <w:spacing w:line="276" w:lineRule="auto"/>
        <w:ind w:left="567" w:right="531"/>
        <w:rPr>
          <w:rFonts w:ascii="Arial" w:eastAsia="Times New Roman" w:hAnsi="Arial" w:cs="Arial"/>
          <w:lang w:eastAsia="en-GB"/>
        </w:rPr>
      </w:pPr>
    </w:p>
    <w:p w14:paraId="38608A7A" w14:textId="77777777" w:rsidR="000C306B" w:rsidRDefault="000C306B" w:rsidP="008100A9">
      <w:pPr>
        <w:pStyle w:val="ListParagraph"/>
        <w:spacing w:line="276" w:lineRule="auto"/>
        <w:ind w:left="567" w:right="531"/>
        <w:rPr>
          <w:rFonts w:ascii="Arial" w:eastAsia="Times New Roman" w:hAnsi="Arial" w:cs="Arial"/>
          <w:lang w:eastAsia="en-GB"/>
        </w:rPr>
      </w:pPr>
    </w:p>
    <w:p w14:paraId="10E96F6D" w14:textId="77777777" w:rsidR="000C306B" w:rsidRDefault="000C306B" w:rsidP="008100A9">
      <w:pPr>
        <w:pStyle w:val="ListParagraph"/>
        <w:spacing w:line="276" w:lineRule="auto"/>
        <w:ind w:left="567" w:right="531"/>
        <w:rPr>
          <w:rFonts w:ascii="Arial" w:eastAsia="Times New Roman" w:hAnsi="Arial" w:cs="Arial"/>
          <w:lang w:eastAsia="en-GB"/>
        </w:rPr>
      </w:pPr>
    </w:p>
    <w:p w14:paraId="36A54E9D" w14:textId="77777777" w:rsidR="000C306B" w:rsidRDefault="000C306B" w:rsidP="008100A9">
      <w:pPr>
        <w:pStyle w:val="ListParagraph"/>
        <w:spacing w:line="276" w:lineRule="auto"/>
        <w:ind w:left="567" w:right="531"/>
        <w:rPr>
          <w:rFonts w:ascii="Arial" w:eastAsia="Times New Roman" w:hAnsi="Arial" w:cs="Arial"/>
          <w:lang w:eastAsia="en-GB"/>
        </w:rPr>
      </w:pPr>
    </w:p>
    <w:p w14:paraId="5A5F1A34" w14:textId="77777777" w:rsidR="00DF56DF" w:rsidRDefault="00DF56DF" w:rsidP="009A0667">
      <w:pPr>
        <w:pStyle w:val="ListParagraph"/>
        <w:ind w:left="567" w:right="531"/>
        <w:rPr>
          <w:rFonts w:ascii="Arial" w:eastAsia="Times New Roman" w:hAnsi="Arial" w:cs="Arial"/>
          <w:lang w:eastAsia="en-GB"/>
        </w:rPr>
      </w:pPr>
    </w:p>
    <w:p w14:paraId="468F6605" w14:textId="77777777" w:rsidR="00427C44" w:rsidRDefault="00427C44" w:rsidP="009A0667">
      <w:pPr>
        <w:pStyle w:val="ListParagraph"/>
        <w:ind w:left="567" w:right="531"/>
        <w:rPr>
          <w:rFonts w:ascii="Arial" w:eastAsia="Times New Roman" w:hAnsi="Arial" w:cs="Arial"/>
          <w:lang w:eastAsia="en-GB"/>
        </w:rPr>
      </w:pPr>
    </w:p>
    <w:p w14:paraId="51671893" w14:textId="77777777" w:rsidR="00427C44" w:rsidRDefault="00427C44" w:rsidP="009A0667">
      <w:pPr>
        <w:pStyle w:val="ListParagraph"/>
        <w:ind w:left="567" w:right="531"/>
        <w:rPr>
          <w:rFonts w:ascii="Arial" w:eastAsia="Times New Roman" w:hAnsi="Arial" w:cs="Arial"/>
          <w:lang w:eastAsia="en-GB"/>
        </w:rPr>
      </w:pPr>
    </w:p>
    <w:p w14:paraId="14C8BA91" w14:textId="77777777" w:rsidR="00427C44" w:rsidRDefault="00427C44" w:rsidP="009A0667">
      <w:pPr>
        <w:pStyle w:val="ListParagraph"/>
        <w:ind w:left="567" w:right="531"/>
        <w:rPr>
          <w:rFonts w:ascii="Arial" w:eastAsia="Times New Roman" w:hAnsi="Arial" w:cs="Arial"/>
          <w:lang w:eastAsia="en-GB"/>
        </w:rPr>
      </w:pPr>
    </w:p>
    <w:p w14:paraId="5CEE5D2A" w14:textId="77777777" w:rsidR="00427C44" w:rsidRDefault="00427C44" w:rsidP="009A0667">
      <w:pPr>
        <w:pStyle w:val="ListParagraph"/>
        <w:ind w:left="567" w:right="531"/>
        <w:rPr>
          <w:rFonts w:ascii="Arial" w:eastAsia="Times New Roman" w:hAnsi="Arial" w:cs="Arial"/>
          <w:lang w:eastAsia="en-GB"/>
        </w:rPr>
      </w:pPr>
    </w:p>
    <w:p w14:paraId="1FF9683C" w14:textId="77777777" w:rsidR="00427C44" w:rsidRDefault="00427C44" w:rsidP="009A0667">
      <w:pPr>
        <w:pStyle w:val="ListParagraph"/>
        <w:ind w:left="567" w:right="531"/>
        <w:rPr>
          <w:rFonts w:ascii="Arial" w:eastAsia="Times New Roman" w:hAnsi="Arial" w:cs="Arial"/>
          <w:lang w:eastAsia="en-GB"/>
        </w:rPr>
      </w:pPr>
    </w:p>
    <w:p w14:paraId="028259F2" w14:textId="77777777" w:rsidR="00427C44" w:rsidRDefault="00427C44" w:rsidP="009A0667">
      <w:pPr>
        <w:pStyle w:val="ListParagraph"/>
        <w:ind w:left="567" w:right="531"/>
        <w:rPr>
          <w:rFonts w:ascii="Arial" w:eastAsia="Times New Roman" w:hAnsi="Arial" w:cs="Arial"/>
          <w:lang w:eastAsia="en-GB"/>
        </w:rPr>
      </w:pPr>
    </w:p>
    <w:p w14:paraId="5B6E6C12" w14:textId="77777777" w:rsidR="00427C44" w:rsidRDefault="00427C44" w:rsidP="009A0667">
      <w:pPr>
        <w:pStyle w:val="ListParagraph"/>
        <w:ind w:left="567" w:right="531"/>
        <w:rPr>
          <w:rFonts w:ascii="Arial" w:eastAsia="Times New Roman" w:hAnsi="Arial" w:cs="Arial"/>
          <w:lang w:eastAsia="en-GB"/>
        </w:rPr>
      </w:pPr>
    </w:p>
    <w:p w14:paraId="23BB4E9C" w14:textId="77777777" w:rsidR="00427C44" w:rsidRDefault="00427C44" w:rsidP="009A0667">
      <w:pPr>
        <w:pStyle w:val="ListParagraph"/>
        <w:ind w:left="567" w:right="531"/>
        <w:rPr>
          <w:rFonts w:ascii="Arial" w:eastAsia="Times New Roman" w:hAnsi="Arial" w:cs="Arial"/>
          <w:lang w:eastAsia="en-GB"/>
        </w:rPr>
      </w:pPr>
    </w:p>
    <w:p w14:paraId="5B811D54" w14:textId="77777777" w:rsidR="00427C44" w:rsidRDefault="00427C44" w:rsidP="009A0667">
      <w:pPr>
        <w:pStyle w:val="ListParagraph"/>
        <w:ind w:left="567" w:right="531"/>
        <w:rPr>
          <w:rFonts w:ascii="Arial" w:eastAsia="Times New Roman" w:hAnsi="Arial" w:cs="Arial"/>
          <w:lang w:eastAsia="en-GB"/>
        </w:rPr>
      </w:pPr>
    </w:p>
    <w:p w14:paraId="0905BB1F" w14:textId="77777777" w:rsidR="00427C44" w:rsidRDefault="00427C44" w:rsidP="009A0667">
      <w:pPr>
        <w:pStyle w:val="ListParagraph"/>
        <w:ind w:left="567" w:right="531"/>
        <w:rPr>
          <w:rFonts w:ascii="Arial" w:eastAsia="Times New Roman" w:hAnsi="Arial" w:cs="Arial"/>
          <w:lang w:eastAsia="en-GB"/>
        </w:rPr>
      </w:pPr>
    </w:p>
    <w:p w14:paraId="5837B048" w14:textId="77777777" w:rsidR="00427C44" w:rsidRDefault="00427C44" w:rsidP="009A0667">
      <w:pPr>
        <w:pStyle w:val="ListParagraph"/>
        <w:ind w:left="567" w:right="531"/>
        <w:rPr>
          <w:rFonts w:ascii="Arial" w:eastAsia="Times New Roman" w:hAnsi="Arial" w:cs="Arial"/>
          <w:lang w:eastAsia="en-GB"/>
        </w:rPr>
      </w:pPr>
    </w:p>
    <w:p w14:paraId="293C45ED" w14:textId="77777777" w:rsidR="00427C44" w:rsidRDefault="00427C44" w:rsidP="009A0667">
      <w:pPr>
        <w:pStyle w:val="ListParagraph"/>
        <w:ind w:left="567" w:right="531"/>
        <w:rPr>
          <w:rFonts w:ascii="Arial" w:eastAsia="Times New Roman" w:hAnsi="Arial" w:cs="Arial"/>
          <w:lang w:eastAsia="en-GB"/>
        </w:rPr>
      </w:pPr>
    </w:p>
    <w:p w14:paraId="01A05836" w14:textId="77777777" w:rsidR="00427C44" w:rsidRDefault="00427C44" w:rsidP="009A0667">
      <w:pPr>
        <w:pStyle w:val="ListParagraph"/>
        <w:ind w:left="567" w:right="531"/>
        <w:rPr>
          <w:rFonts w:ascii="Arial" w:eastAsia="Times New Roman" w:hAnsi="Arial" w:cs="Arial"/>
          <w:lang w:eastAsia="en-GB"/>
        </w:rPr>
      </w:pPr>
    </w:p>
    <w:p w14:paraId="57DC7E8C" w14:textId="77777777" w:rsidR="00427C44" w:rsidRDefault="00427C44" w:rsidP="009A0667">
      <w:pPr>
        <w:pStyle w:val="ListParagraph"/>
        <w:ind w:left="567" w:right="531"/>
        <w:rPr>
          <w:rFonts w:ascii="Arial" w:eastAsia="Times New Roman" w:hAnsi="Arial" w:cs="Arial"/>
          <w:lang w:eastAsia="en-GB"/>
        </w:rPr>
      </w:pPr>
    </w:p>
    <w:p w14:paraId="42A15B9D" w14:textId="77777777" w:rsidR="00427C44" w:rsidRDefault="00427C44" w:rsidP="009A0667">
      <w:pPr>
        <w:pStyle w:val="ListParagraph"/>
        <w:ind w:left="567" w:right="531"/>
        <w:rPr>
          <w:rFonts w:ascii="Arial" w:eastAsia="Times New Roman" w:hAnsi="Arial" w:cs="Arial"/>
          <w:lang w:eastAsia="en-GB"/>
        </w:rPr>
      </w:pPr>
    </w:p>
    <w:p w14:paraId="33EC3164" w14:textId="77777777" w:rsidR="00427C44" w:rsidRDefault="00427C44" w:rsidP="009A0667">
      <w:pPr>
        <w:pStyle w:val="ListParagraph"/>
        <w:ind w:left="567" w:right="531"/>
        <w:rPr>
          <w:rFonts w:ascii="Arial" w:eastAsia="Times New Roman" w:hAnsi="Arial" w:cs="Arial"/>
          <w:lang w:eastAsia="en-GB"/>
        </w:rPr>
      </w:pPr>
    </w:p>
    <w:p w14:paraId="4A45B246" w14:textId="77777777" w:rsidR="00427C44" w:rsidRDefault="00427C44" w:rsidP="009A0667">
      <w:pPr>
        <w:pStyle w:val="ListParagraph"/>
        <w:ind w:left="567" w:right="531"/>
        <w:rPr>
          <w:rFonts w:ascii="Arial" w:eastAsia="Times New Roman" w:hAnsi="Arial" w:cs="Arial"/>
          <w:lang w:eastAsia="en-GB"/>
        </w:rPr>
      </w:pPr>
    </w:p>
    <w:p w14:paraId="7E817002" w14:textId="77777777" w:rsidR="00427C44" w:rsidRDefault="00427C44" w:rsidP="009A0667">
      <w:pPr>
        <w:pStyle w:val="ListParagraph"/>
        <w:ind w:left="567" w:right="531"/>
        <w:rPr>
          <w:rFonts w:ascii="Arial" w:eastAsia="Times New Roman" w:hAnsi="Arial" w:cs="Arial"/>
          <w:lang w:eastAsia="en-GB"/>
        </w:rPr>
      </w:pPr>
    </w:p>
    <w:p w14:paraId="5B4D8BD4" w14:textId="77777777" w:rsidR="00427C44" w:rsidRDefault="00427C44" w:rsidP="009A0667">
      <w:pPr>
        <w:pStyle w:val="ListParagraph"/>
        <w:ind w:left="567" w:right="531"/>
        <w:rPr>
          <w:rFonts w:ascii="Arial" w:eastAsia="Times New Roman" w:hAnsi="Arial" w:cs="Arial"/>
          <w:lang w:eastAsia="en-GB"/>
        </w:rPr>
      </w:pPr>
    </w:p>
    <w:p w14:paraId="3F5DC076" w14:textId="77777777" w:rsidR="00427C44" w:rsidRDefault="00427C44" w:rsidP="009A0667">
      <w:pPr>
        <w:pStyle w:val="ListParagraph"/>
        <w:ind w:left="567" w:right="531"/>
        <w:rPr>
          <w:rFonts w:ascii="Arial" w:eastAsia="Times New Roman" w:hAnsi="Arial" w:cs="Arial"/>
          <w:lang w:eastAsia="en-GB"/>
        </w:rPr>
      </w:pPr>
    </w:p>
    <w:p w14:paraId="36046B55" w14:textId="77777777" w:rsidR="00427C44" w:rsidRDefault="00427C44" w:rsidP="009A0667">
      <w:pPr>
        <w:pStyle w:val="ListParagraph"/>
        <w:ind w:left="567" w:right="531"/>
        <w:rPr>
          <w:rFonts w:ascii="Arial" w:eastAsia="Times New Roman" w:hAnsi="Arial" w:cs="Arial"/>
          <w:lang w:eastAsia="en-GB"/>
        </w:rPr>
      </w:pPr>
    </w:p>
    <w:p w14:paraId="3D0A353D" w14:textId="77777777" w:rsidR="00427C44" w:rsidRDefault="00427C44" w:rsidP="009A0667">
      <w:pPr>
        <w:pStyle w:val="ListParagraph"/>
        <w:ind w:left="567" w:right="531"/>
        <w:rPr>
          <w:rFonts w:ascii="Arial" w:eastAsia="Times New Roman" w:hAnsi="Arial" w:cs="Arial"/>
          <w:lang w:eastAsia="en-GB"/>
        </w:rPr>
      </w:pPr>
    </w:p>
    <w:p w14:paraId="34BDAD60" w14:textId="77777777" w:rsidR="00427C44" w:rsidRDefault="00427C44" w:rsidP="009A0667">
      <w:pPr>
        <w:pStyle w:val="ListParagraph"/>
        <w:ind w:left="567" w:right="531"/>
        <w:rPr>
          <w:rFonts w:ascii="Arial" w:eastAsia="Times New Roman" w:hAnsi="Arial" w:cs="Arial"/>
          <w:lang w:eastAsia="en-GB"/>
        </w:rPr>
      </w:pPr>
    </w:p>
    <w:p w14:paraId="00C39FE0" w14:textId="77777777" w:rsidR="00427C44" w:rsidRDefault="00427C44" w:rsidP="009A0667">
      <w:pPr>
        <w:pStyle w:val="ListParagraph"/>
        <w:ind w:left="567" w:right="531"/>
        <w:rPr>
          <w:rFonts w:ascii="Arial" w:eastAsia="Times New Roman" w:hAnsi="Arial" w:cs="Arial"/>
          <w:lang w:eastAsia="en-GB"/>
        </w:rPr>
      </w:pPr>
    </w:p>
    <w:p w14:paraId="01063CC0" w14:textId="77777777" w:rsidR="00427C44" w:rsidRPr="00884FAB" w:rsidRDefault="00427C44" w:rsidP="009A0667">
      <w:pPr>
        <w:pStyle w:val="ListParagraph"/>
        <w:ind w:left="567" w:right="531"/>
        <w:rPr>
          <w:rFonts w:ascii="Arial" w:eastAsia="Times New Roman" w:hAnsi="Arial" w:cs="Arial"/>
          <w:lang w:eastAsia="en-GB"/>
        </w:rPr>
      </w:pPr>
    </w:p>
    <w:p w14:paraId="4DD39F8A" w14:textId="7209713E" w:rsidR="000963AC" w:rsidRDefault="000963AC" w:rsidP="009A0667">
      <w:pPr>
        <w:spacing w:after="0" w:line="276" w:lineRule="auto"/>
        <w:ind w:left="567" w:right="531" w:firstLine="294"/>
        <w:rPr>
          <w:rFonts w:ascii="Arial" w:eastAsia="Times New Roman" w:hAnsi="Arial" w:cs="Arial"/>
          <w:lang w:eastAsia="en-GB"/>
        </w:rPr>
      </w:pPr>
    </w:p>
    <w:p w14:paraId="56599A04" w14:textId="39BF2798" w:rsidR="00BD7229" w:rsidRPr="0076449A" w:rsidRDefault="0076449A" w:rsidP="0076449A">
      <w:pPr>
        <w:spacing w:after="0" w:line="276" w:lineRule="auto"/>
        <w:ind w:left="567" w:right="531" w:firstLine="294"/>
        <w:jc w:val="center"/>
        <w:rPr>
          <w:rFonts w:ascii="Arial" w:eastAsia="Times New Roman" w:hAnsi="Arial" w:cs="Arial"/>
          <w:b/>
          <w:bCs/>
          <w:u w:val="single"/>
          <w:lang w:eastAsia="en-GB"/>
        </w:rPr>
      </w:pPr>
      <w:r w:rsidRPr="0076449A">
        <w:rPr>
          <w:rFonts w:ascii="Arial" w:eastAsia="Times New Roman" w:hAnsi="Arial" w:cs="Arial"/>
          <w:b/>
          <w:bCs/>
          <w:u w:val="single"/>
          <w:lang w:eastAsia="en-GB"/>
        </w:rPr>
        <w:t>Bibliography</w:t>
      </w:r>
    </w:p>
    <w:p w14:paraId="464F88F8" w14:textId="77777777" w:rsidR="00BD7229" w:rsidRDefault="00BD7229" w:rsidP="009A0667">
      <w:pPr>
        <w:spacing w:after="0" w:line="276" w:lineRule="auto"/>
        <w:ind w:left="567" w:right="531" w:firstLine="294"/>
        <w:rPr>
          <w:rFonts w:ascii="Arial" w:eastAsia="Times New Roman" w:hAnsi="Arial" w:cs="Arial"/>
          <w:lang w:eastAsia="en-GB"/>
        </w:rPr>
      </w:pPr>
    </w:p>
    <w:p w14:paraId="3FFC9F5D" w14:textId="77777777" w:rsidR="00366D3C" w:rsidRPr="00430262" w:rsidRDefault="00366D3C" w:rsidP="00366D3C">
      <w:r w:rsidRPr="00430262">
        <w:t>Anderson, G. S. and Papazoglou, K., 2015. Compassion fatigue and compassion satisfaction among police officers: An understudied topic. International Journal of Emergency Mental Health and Human Resilience, 17(3), pp.661–663.</w:t>
      </w:r>
    </w:p>
    <w:p w14:paraId="597A8F05" w14:textId="77777777" w:rsidR="00366D3C" w:rsidRPr="00430262" w:rsidRDefault="00366D3C" w:rsidP="00366D3C"/>
    <w:p w14:paraId="4DCDA3A8" w14:textId="77777777" w:rsidR="00366D3C" w:rsidRPr="00430262" w:rsidRDefault="00366D3C" w:rsidP="00366D3C">
      <w:r w:rsidRPr="00430262">
        <w:t>Bradford, B., 2015. Policing and social identity: Procedural justice, inclusion and cooperation between police and public. Policing and Society, 25(1), pp.22–43.</w:t>
      </w:r>
    </w:p>
    <w:p w14:paraId="650C5300" w14:textId="77777777" w:rsidR="00366D3C" w:rsidRPr="00430262" w:rsidRDefault="00366D3C" w:rsidP="00366D3C"/>
    <w:p w14:paraId="24D90137" w14:textId="77777777" w:rsidR="00366D3C" w:rsidRPr="00430262" w:rsidRDefault="00366D3C" w:rsidP="00366D3C">
      <w:r w:rsidRPr="00430262">
        <w:t xml:space="preserve">Brogden, M. and </w:t>
      </w:r>
      <w:proofErr w:type="spellStart"/>
      <w:r w:rsidRPr="00430262">
        <w:t>Nijhar</w:t>
      </w:r>
      <w:proofErr w:type="spellEnd"/>
      <w:r w:rsidRPr="00430262">
        <w:t>, P., 2005. Community Policing: National and International Models and Approaches. Cullompton: Willan Publishing.</w:t>
      </w:r>
    </w:p>
    <w:p w14:paraId="34106922" w14:textId="77777777" w:rsidR="00366D3C" w:rsidRPr="00430262" w:rsidRDefault="00366D3C" w:rsidP="00366D3C"/>
    <w:p w14:paraId="749E0222" w14:textId="77777777" w:rsidR="00366D3C" w:rsidRPr="00430262" w:rsidRDefault="00366D3C" w:rsidP="00366D3C">
      <w:r w:rsidRPr="00430262">
        <w:t>Bullock, K. and Garland, J., 2018. Police officers, mental (ill-) health and spoiled identity. Criminology &amp; Criminal Justice, 18(2), pp.173–189.</w:t>
      </w:r>
    </w:p>
    <w:p w14:paraId="6CC4C8D0" w14:textId="77777777" w:rsidR="00366D3C" w:rsidRPr="00430262" w:rsidRDefault="00366D3C" w:rsidP="00366D3C"/>
    <w:p w14:paraId="5458B425" w14:textId="77777777" w:rsidR="00366D3C" w:rsidRPr="00430262" w:rsidRDefault="00366D3C" w:rsidP="00366D3C">
      <w:r w:rsidRPr="00430262">
        <w:lastRenderedPageBreak/>
        <w:t xml:space="preserve">College of Policing, 2025. Code of Ethics: A Code of Practice for the Principles and Standards of Professional Behaviour for the Policing Profession of England and Wales. [online] Available at: </w:t>
      </w:r>
      <w:hyperlink r:id="rId13" w:history="1">
        <w:r w:rsidRPr="00430262">
          <w:rPr>
            <w:rStyle w:val="Hyperlink"/>
          </w:rPr>
          <w:t>https://www.college.police.uk/ethics/code-of-ethics</w:t>
        </w:r>
      </w:hyperlink>
      <w:r w:rsidRPr="00430262">
        <w:t xml:space="preserve"> [Accessed </w:t>
      </w:r>
      <w:r>
        <w:t>26</w:t>
      </w:r>
      <w:r w:rsidRPr="00430262">
        <w:t xml:space="preserve"> Jun. 2025].</w:t>
      </w:r>
    </w:p>
    <w:p w14:paraId="6A03CE86" w14:textId="77777777" w:rsidR="00366D3C" w:rsidRPr="00430262" w:rsidRDefault="00366D3C" w:rsidP="00366D3C"/>
    <w:p w14:paraId="451ACB47" w14:textId="3DB388C3" w:rsidR="00366D3C" w:rsidRPr="00366D3C" w:rsidRDefault="00366D3C" w:rsidP="00366D3C">
      <w:pPr>
        <w:ind w:right="531"/>
        <w:rPr>
          <w:rFonts w:ascii="Arial" w:eastAsia="Times New Roman" w:hAnsi="Arial" w:cs="Arial"/>
          <w:lang w:eastAsia="en-GB"/>
        </w:rPr>
      </w:pPr>
      <w:r w:rsidRPr="00430262">
        <w:t>College of Policing, 2025. Engaging with Seldom Heard Communities: Guidance for Police Practitioners. London: College of Policing.</w:t>
      </w:r>
      <w:r>
        <w:t xml:space="preserve"> Available at: </w:t>
      </w:r>
      <w:hyperlink r:id="rId14" w:history="1">
        <w:r w:rsidRPr="00366D3C">
          <w:rPr>
            <w:rStyle w:val="Hyperlink"/>
            <w:rFonts w:ascii="Arial" w:eastAsia="Times New Roman" w:hAnsi="Arial" w:cs="Arial"/>
            <w:lang w:eastAsia="en-GB"/>
          </w:rPr>
          <w:t>Engaging communities | College of Policing</w:t>
        </w:r>
      </w:hyperlink>
      <w:r>
        <w:t xml:space="preserve"> [Accessed 25 Jun, 2025)</w:t>
      </w:r>
    </w:p>
    <w:p w14:paraId="2F16D7C7" w14:textId="2FF546E6" w:rsidR="00366D3C" w:rsidRPr="00430262" w:rsidRDefault="00366D3C" w:rsidP="00366D3C"/>
    <w:p w14:paraId="1A60B2C1" w14:textId="77777777" w:rsidR="00366D3C" w:rsidRPr="00430262" w:rsidRDefault="00366D3C" w:rsidP="00366D3C"/>
    <w:p w14:paraId="0AB65834" w14:textId="77777777" w:rsidR="00366D3C" w:rsidRPr="00430262" w:rsidRDefault="00366D3C" w:rsidP="00366D3C">
      <w:r w:rsidRPr="00430262">
        <w:t>Delsol, R. and Shiner, M., 2015. Stop and Search: The Anatomy of a Police Power. Basingstoke: Palgrave Macmillan.</w:t>
      </w:r>
    </w:p>
    <w:p w14:paraId="10627E50" w14:textId="77777777" w:rsidR="00366D3C" w:rsidRPr="00430262" w:rsidRDefault="00366D3C" w:rsidP="00366D3C"/>
    <w:p w14:paraId="2D94781D" w14:textId="77777777" w:rsidR="00366D3C" w:rsidRPr="00430262" w:rsidRDefault="00366D3C" w:rsidP="00366D3C">
      <w:r w:rsidRPr="00430262">
        <w:t>Department for Communities and Local Government, 2016. National Evaluation of the Troubled Families Programme – Final Report. London: DCLG.</w:t>
      </w:r>
    </w:p>
    <w:p w14:paraId="33D0BB17" w14:textId="77777777" w:rsidR="00366D3C" w:rsidRPr="00430262" w:rsidRDefault="00366D3C" w:rsidP="00366D3C"/>
    <w:p w14:paraId="69A630ED" w14:textId="77777777" w:rsidR="00366D3C" w:rsidRPr="00430262" w:rsidRDefault="00366D3C" w:rsidP="00366D3C">
      <w:r w:rsidRPr="00430262">
        <w:t>Foster, J., 2003. Police cultures. In: T. Newburn, ed., Handbook of Policing. Cullompton: Willan Publishing, pp.196–227.</w:t>
      </w:r>
    </w:p>
    <w:p w14:paraId="27AFF08E" w14:textId="77777777" w:rsidR="00366D3C" w:rsidRPr="00430262" w:rsidRDefault="00366D3C" w:rsidP="00366D3C"/>
    <w:p w14:paraId="23AC461D" w14:textId="77777777" w:rsidR="00366D3C" w:rsidRPr="00430262" w:rsidRDefault="00366D3C" w:rsidP="00366D3C">
      <w:r w:rsidRPr="00430262">
        <w:t xml:space="preserve">Garbarino, S., De Carli, F., Nobili, L., </w:t>
      </w:r>
      <w:proofErr w:type="spellStart"/>
      <w:r w:rsidRPr="00430262">
        <w:t>Mascialino</w:t>
      </w:r>
      <w:proofErr w:type="spellEnd"/>
      <w:r w:rsidRPr="00430262">
        <w:t xml:space="preserve">, B., </w:t>
      </w:r>
      <w:proofErr w:type="spellStart"/>
      <w:r w:rsidRPr="00430262">
        <w:t>Squarcia</w:t>
      </w:r>
      <w:proofErr w:type="spellEnd"/>
      <w:r w:rsidRPr="00430262">
        <w:t xml:space="preserve">, S., </w:t>
      </w:r>
      <w:proofErr w:type="spellStart"/>
      <w:r w:rsidRPr="00430262">
        <w:t>Penco</w:t>
      </w:r>
      <w:proofErr w:type="spellEnd"/>
      <w:r w:rsidRPr="00430262">
        <w:t xml:space="preserve">, M.A. and </w:t>
      </w:r>
      <w:proofErr w:type="spellStart"/>
      <w:r w:rsidRPr="00430262">
        <w:t>Magnavita</w:t>
      </w:r>
      <w:proofErr w:type="spellEnd"/>
      <w:r w:rsidRPr="00430262">
        <w:t>, N., 2011. Sleepiness and sleep disorders in shift workers: A study on a group of Italian police officers. Sleep, 34(11), pp.1571–1578.</w:t>
      </w:r>
    </w:p>
    <w:p w14:paraId="230A87CD" w14:textId="77777777" w:rsidR="00366D3C" w:rsidRPr="00430262" w:rsidRDefault="00366D3C" w:rsidP="00366D3C"/>
    <w:p w14:paraId="66087EF7" w14:textId="77777777" w:rsidR="00366D3C" w:rsidRPr="00430262" w:rsidRDefault="00366D3C" w:rsidP="00366D3C">
      <w:r w:rsidRPr="00430262">
        <w:t>Goldsmith, A., 2005. Police reform and the problem of trust. Theoretical Criminology, 9(4), pp.443–470.</w:t>
      </w:r>
    </w:p>
    <w:p w14:paraId="6EFBAC1C" w14:textId="77777777" w:rsidR="00366D3C" w:rsidRPr="00430262" w:rsidRDefault="00366D3C" w:rsidP="00366D3C"/>
    <w:p w14:paraId="48069AF8" w14:textId="77777777" w:rsidR="00366D3C" w:rsidRPr="00430262" w:rsidRDefault="00366D3C" w:rsidP="00366D3C">
      <w:r w:rsidRPr="00430262">
        <w:t>Her Majesty’s Inspectorate of Constabulary and Fire &amp; Rescue Services (HMICFRS), 2021. Disproportionate Use of Police Powers – A Spotlight on Stop and Search and Use of Force. London: HMICFRS.</w:t>
      </w:r>
    </w:p>
    <w:p w14:paraId="4073EC0B" w14:textId="77777777" w:rsidR="00366D3C" w:rsidRPr="00430262" w:rsidRDefault="00366D3C" w:rsidP="00366D3C"/>
    <w:p w14:paraId="3A333491" w14:textId="77777777" w:rsidR="00366D3C" w:rsidRPr="00430262" w:rsidRDefault="00366D3C" w:rsidP="00366D3C">
      <w:r w:rsidRPr="00430262">
        <w:t>Independent Office for Police Conduct (IOPC), 2022. Building Public Trust: Recommendations for Fair and Transparent Policing. London: IOPC.</w:t>
      </w:r>
    </w:p>
    <w:p w14:paraId="59747EF5" w14:textId="77777777" w:rsidR="00366D3C" w:rsidRPr="00430262" w:rsidRDefault="00366D3C" w:rsidP="00366D3C"/>
    <w:p w14:paraId="65376680" w14:textId="77777777" w:rsidR="00366D3C" w:rsidRPr="00430262" w:rsidRDefault="00366D3C" w:rsidP="00366D3C">
      <w:r w:rsidRPr="00430262">
        <w:t>Jackson, J. and Bradford, B., 2010. What is trust and confidence in the police? Policing: A Journal of Policy and Practice, 4(3), pp.241–248.</w:t>
      </w:r>
    </w:p>
    <w:p w14:paraId="1964331D" w14:textId="77777777" w:rsidR="00366D3C" w:rsidRPr="00430262" w:rsidRDefault="00366D3C" w:rsidP="00366D3C"/>
    <w:p w14:paraId="3409A79E" w14:textId="77777777" w:rsidR="00366D3C" w:rsidRPr="00430262" w:rsidRDefault="00366D3C" w:rsidP="00366D3C">
      <w:r w:rsidRPr="00430262">
        <w:t>Loader, I. and Mulcahy, A., 2003. Policing and the Condition of England: Memory, Politics and Culture. Oxford: Oxford University Press.</w:t>
      </w:r>
    </w:p>
    <w:p w14:paraId="71702832" w14:textId="77777777" w:rsidR="00366D3C" w:rsidRPr="00430262" w:rsidRDefault="00366D3C" w:rsidP="00366D3C"/>
    <w:p w14:paraId="76C2F129" w14:textId="77777777" w:rsidR="00366D3C" w:rsidRPr="00430262" w:rsidRDefault="00366D3C" w:rsidP="00366D3C">
      <w:r w:rsidRPr="00430262">
        <w:t>Loftus, B., 2009. Police Culture in a Changing World. Oxford: Oxford University Press.</w:t>
      </w:r>
    </w:p>
    <w:p w14:paraId="2FAA9A6C" w14:textId="77777777" w:rsidR="00366D3C" w:rsidRPr="00430262" w:rsidRDefault="00366D3C" w:rsidP="00366D3C"/>
    <w:p w14:paraId="3EF2E3B2" w14:textId="77777777" w:rsidR="00366D3C" w:rsidRPr="00430262" w:rsidRDefault="00366D3C" w:rsidP="00366D3C">
      <w:r w:rsidRPr="00430262">
        <w:t>National Police Chiefs’ Council (NPCC), 2020. Policing Vision 2025. London: NPCC.</w:t>
      </w:r>
    </w:p>
    <w:p w14:paraId="071601ED" w14:textId="77777777" w:rsidR="00366D3C" w:rsidRPr="00430262" w:rsidRDefault="00366D3C" w:rsidP="00366D3C"/>
    <w:p w14:paraId="7254A7E7" w14:textId="77777777" w:rsidR="00366D3C" w:rsidRPr="00430262" w:rsidRDefault="00366D3C" w:rsidP="00366D3C">
      <w:r w:rsidRPr="00430262">
        <w:t>Rees, G. and Smith, P., 2008. Strategic Human Resource Management: An International Perspective. London: SAGE Publications.</w:t>
      </w:r>
    </w:p>
    <w:p w14:paraId="34BA3BB6" w14:textId="77777777" w:rsidR="00366D3C" w:rsidRPr="00430262" w:rsidRDefault="00366D3C" w:rsidP="00366D3C"/>
    <w:p w14:paraId="67917315" w14:textId="77777777" w:rsidR="00366D3C" w:rsidRPr="00430262" w:rsidRDefault="00366D3C" w:rsidP="00366D3C">
      <w:r w:rsidRPr="00430262">
        <w:t>Sharp, D., 2006. Young people and the police: Individual and institutional responses to youth crime. Youth Justice, 6(2), pp.115–130.</w:t>
      </w:r>
    </w:p>
    <w:p w14:paraId="51F8CEC9" w14:textId="77777777" w:rsidR="00366D3C" w:rsidRPr="00430262" w:rsidRDefault="00366D3C" w:rsidP="00366D3C"/>
    <w:p w14:paraId="5121CCE9" w14:textId="77777777" w:rsidR="00366D3C" w:rsidRPr="00430262" w:rsidRDefault="00366D3C" w:rsidP="00366D3C">
      <w:r w:rsidRPr="00430262">
        <w:t xml:space="preserve">Shiner, M., Carre, Z., Delsol, R. and Eastwood, N., 2018. The Colour of Injustice: ‘Race’, Drugs and Law Enforcement in England and Wales. London: </w:t>
      </w:r>
      <w:proofErr w:type="spellStart"/>
      <w:r w:rsidRPr="00430262">
        <w:t>StopWatch</w:t>
      </w:r>
      <w:proofErr w:type="spellEnd"/>
      <w:r w:rsidRPr="00430262">
        <w:t>.</w:t>
      </w:r>
    </w:p>
    <w:p w14:paraId="18BEE2F5" w14:textId="77777777" w:rsidR="00366D3C" w:rsidRPr="00430262" w:rsidRDefault="00366D3C" w:rsidP="00366D3C"/>
    <w:p w14:paraId="6E15A273" w14:textId="77777777" w:rsidR="00366D3C" w:rsidRPr="00430262" w:rsidRDefault="00366D3C" w:rsidP="00366D3C">
      <w:proofErr w:type="spellStart"/>
      <w:r w:rsidRPr="00430262">
        <w:t>Skogan</w:t>
      </w:r>
      <w:proofErr w:type="spellEnd"/>
      <w:r w:rsidRPr="00430262">
        <w:t>, W.G., Van Craen, M. and Hennessy, C., 2005. Training police for procedural justice. Journal of Experimental Criminology, 1(3), pp.315–342.</w:t>
      </w:r>
    </w:p>
    <w:p w14:paraId="4F0600A0" w14:textId="77777777" w:rsidR="00366D3C" w:rsidRPr="00430262" w:rsidRDefault="00366D3C" w:rsidP="00366D3C"/>
    <w:p w14:paraId="3452D4DD" w14:textId="77777777" w:rsidR="00366D3C" w:rsidRPr="00430262" w:rsidRDefault="00366D3C" w:rsidP="00366D3C">
      <w:r w:rsidRPr="00430262">
        <w:t>Stephens, C. and Long, N., 2000. Communication and stress: A study of New Zealand police officers. International Journal of Stress Management, 7(4), pp.257–269.</w:t>
      </w:r>
    </w:p>
    <w:p w14:paraId="68BCFAD9" w14:textId="77777777" w:rsidR="00366D3C" w:rsidRPr="00430262" w:rsidRDefault="00366D3C" w:rsidP="00366D3C"/>
    <w:p w14:paraId="34F04B7F" w14:textId="77777777" w:rsidR="00366D3C" w:rsidRPr="00430262" w:rsidRDefault="00366D3C" w:rsidP="00366D3C">
      <w:r w:rsidRPr="00430262">
        <w:t>Tyler, T. R., 2006. Why People Obey the Law. Princeton: Princeton University Press.</w:t>
      </w:r>
    </w:p>
    <w:p w14:paraId="018D19DD" w14:textId="77777777" w:rsidR="00366D3C" w:rsidRPr="00430262" w:rsidRDefault="00366D3C" w:rsidP="00366D3C"/>
    <w:p w14:paraId="1D25D4C8" w14:textId="77777777" w:rsidR="00366D3C" w:rsidRPr="00430262" w:rsidRDefault="00366D3C" w:rsidP="00366D3C">
      <w:r w:rsidRPr="00430262">
        <w:t xml:space="preserve">Violanti, J.M., Owens, S.L., </w:t>
      </w:r>
      <w:proofErr w:type="spellStart"/>
      <w:r w:rsidRPr="00430262">
        <w:t>Fekedulegn</w:t>
      </w:r>
      <w:proofErr w:type="spellEnd"/>
      <w:r w:rsidRPr="00430262">
        <w:t>, D., Ma, C.C., Charles, L.E., Hartley, T.A. and Andrew, M.E., 2017. An exploration of shift work, fatigue, and gender among police officers: The BCOPS Study. American Journal of Industrial Medicine, 60(6), pp.548–555.</w:t>
      </w:r>
    </w:p>
    <w:p w14:paraId="4F60B78D" w14:textId="77777777" w:rsidR="00366D3C" w:rsidRPr="00430262" w:rsidRDefault="00366D3C" w:rsidP="00366D3C"/>
    <w:p w14:paraId="4C6E78B9" w14:textId="77777777" w:rsidR="00366D3C" w:rsidRPr="00430262" w:rsidRDefault="00366D3C" w:rsidP="00366D3C">
      <w:r w:rsidRPr="00430262">
        <w:lastRenderedPageBreak/>
        <w:t>Vila, B.J., 2006. Impact of long work hours on police officers and the communities they serve. American Journal of Industrial Medicine, 49(11), pp.972–980</w:t>
      </w:r>
    </w:p>
    <w:p w14:paraId="555052D8" w14:textId="60AF2335" w:rsidR="0076449A" w:rsidRPr="0076449A" w:rsidRDefault="0076449A" w:rsidP="0076449A">
      <w:pPr>
        <w:spacing w:after="0" w:line="276" w:lineRule="auto"/>
        <w:ind w:left="567" w:right="531"/>
        <w:rPr>
          <w:rFonts w:ascii="Arial" w:eastAsia="Times New Roman" w:hAnsi="Arial" w:cs="Arial"/>
          <w:lang w:eastAsia="en-GB"/>
        </w:rPr>
      </w:pPr>
    </w:p>
    <w:p w14:paraId="5C6C42BE" w14:textId="77777777" w:rsidR="0076449A" w:rsidRPr="0076449A" w:rsidRDefault="0076449A" w:rsidP="00366D3C">
      <w:pPr>
        <w:spacing w:after="0" w:line="276" w:lineRule="auto"/>
        <w:ind w:right="531"/>
        <w:rPr>
          <w:rFonts w:ascii="Arial" w:eastAsia="Times New Roman" w:hAnsi="Arial" w:cs="Arial"/>
          <w:lang w:eastAsia="en-GB"/>
        </w:rPr>
      </w:pPr>
    </w:p>
    <w:p w14:paraId="3D2CA030" w14:textId="740A1E16" w:rsidR="008C2658" w:rsidRDefault="008C2658" w:rsidP="009A0667">
      <w:pPr>
        <w:spacing w:after="0" w:line="240" w:lineRule="auto"/>
        <w:ind w:left="567" w:right="531"/>
        <w:jc w:val="center"/>
        <w:rPr>
          <w:rFonts w:ascii="Arial" w:eastAsia="Times New Roman" w:hAnsi="Arial" w:cs="Arial"/>
          <w:b/>
          <w:sz w:val="24"/>
          <w:szCs w:val="24"/>
          <w:lang w:eastAsia="en-GB"/>
        </w:rPr>
      </w:pPr>
    </w:p>
    <w:p w14:paraId="43312B3A" w14:textId="22C76749" w:rsidR="008C2658" w:rsidRDefault="008C2658" w:rsidP="009A0667">
      <w:pPr>
        <w:spacing w:after="0" w:line="240" w:lineRule="auto"/>
        <w:ind w:left="567" w:right="531"/>
        <w:jc w:val="center"/>
        <w:rPr>
          <w:rFonts w:ascii="Arial" w:eastAsia="Times New Roman" w:hAnsi="Arial" w:cs="Arial"/>
          <w:b/>
          <w:sz w:val="24"/>
          <w:szCs w:val="24"/>
          <w:lang w:eastAsia="en-GB"/>
        </w:rPr>
      </w:pPr>
    </w:p>
    <w:p w14:paraId="56D21789" w14:textId="7CD4340A" w:rsidR="00D4674B" w:rsidRDefault="00D4674B" w:rsidP="009A0667">
      <w:pPr>
        <w:spacing w:after="0" w:line="240" w:lineRule="auto"/>
        <w:ind w:left="567" w:right="531"/>
        <w:jc w:val="center"/>
        <w:rPr>
          <w:rFonts w:ascii="Arial" w:eastAsia="Times New Roman" w:hAnsi="Arial" w:cs="Arial"/>
          <w:b/>
          <w:sz w:val="24"/>
          <w:szCs w:val="24"/>
          <w:lang w:eastAsia="en-GB"/>
        </w:rPr>
      </w:pPr>
    </w:p>
    <w:p w14:paraId="2182847A" w14:textId="2721072D" w:rsidR="00FE4224" w:rsidRDefault="00FE4224" w:rsidP="009A0667">
      <w:pPr>
        <w:spacing w:after="0" w:line="240" w:lineRule="auto"/>
        <w:ind w:left="567" w:right="531"/>
        <w:jc w:val="center"/>
        <w:rPr>
          <w:rFonts w:ascii="Arial" w:eastAsia="Times New Roman" w:hAnsi="Arial" w:cs="Arial"/>
          <w:b/>
          <w:sz w:val="24"/>
          <w:szCs w:val="24"/>
          <w:lang w:eastAsia="en-GB"/>
        </w:rPr>
      </w:pPr>
    </w:p>
    <w:p w14:paraId="1BC99D43" w14:textId="77777777" w:rsidR="00763CB3" w:rsidRPr="00876921" w:rsidRDefault="00763CB3" w:rsidP="00763CB3">
      <w:pPr>
        <w:spacing w:after="0" w:line="240" w:lineRule="auto"/>
        <w:rPr>
          <w:rFonts w:ascii="Arial" w:eastAsia="Times New Roman" w:hAnsi="Arial" w:cs="Arial"/>
          <w:sz w:val="20"/>
          <w:szCs w:val="20"/>
          <w:lang w:eastAsia="en-GB"/>
        </w:rPr>
      </w:pPr>
    </w:p>
    <w:sectPr w:rsidR="00763CB3" w:rsidRPr="00876921" w:rsidSect="006739BE">
      <w:footerReference w:type="default" r:id="rId15"/>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580ED4" w14:textId="77777777" w:rsidR="00E9603C" w:rsidRDefault="00E9603C">
      <w:pPr>
        <w:spacing w:after="0" w:line="240" w:lineRule="auto"/>
      </w:pPr>
      <w:r>
        <w:separator/>
      </w:r>
    </w:p>
  </w:endnote>
  <w:endnote w:type="continuationSeparator" w:id="0">
    <w:p w14:paraId="6E8C0D7E" w14:textId="77777777" w:rsidR="00E9603C" w:rsidRDefault="00E960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inherit">
    <w:altName w:val="Times New Roman"/>
    <w:panose1 w:val="00000000000000000000"/>
    <w:charset w:val="00"/>
    <w:family w:val="roman"/>
    <w:notTrueType/>
    <w:pitch w:val="default"/>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6679674"/>
      <w:docPartObj>
        <w:docPartGallery w:val="Page Numbers (Bottom of Page)"/>
        <w:docPartUnique/>
      </w:docPartObj>
    </w:sdtPr>
    <w:sdtEndPr/>
    <w:sdtContent>
      <w:sdt>
        <w:sdtPr>
          <w:id w:val="1728636285"/>
          <w:docPartObj>
            <w:docPartGallery w:val="Page Numbers (Top of Page)"/>
            <w:docPartUnique/>
          </w:docPartObj>
        </w:sdtPr>
        <w:sdtEndPr/>
        <w:sdtContent>
          <w:p w14:paraId="4C150C8D" w14:textId="3A14C91E" w:rsidR="00BE2F4B" w:rsidRDefault="00BE2F4B">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2992B1BC" w14:textId="77777777" w:rsidR="006739BE" w:rsidRDefault="006739BE">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A7B436" w14:textId="77777777" w:rsidR="00E9603C" w:rsidRDefault="00E9603C">
      <w:pPr>
        <w:spacing w:after="0" w:line="240" w:lineRule="auto"/>
      </w:pPr>
      <w:r>
        <w:separator/>
      </w:r>
    </w:p>
  </w:footnote>
  <w:footnote w:type="continuationSeparator" w:id="0">
    <w:p w14:paraId="3566F9D4" w14:textId="77777777" w:rsidR="00E9603C" w:rsidRDefault="00E960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D0B82"/>
    <w:multiLevelType w:val="hybridMultilevel"/>
    <w:tmpl w:val="1BF03902"/>
    <w:lvl w:ilvl="0" w:tplc="6630CC8E">
      <w:start w:val="1"/>
      <w:numFmt w:val="decimal"/>
      <w:lvlText w:val="%1."/>
      <w:lvlJc w:val="left"/>
      <w:pPr>
        <w:ind w:left="4897" w:hanging="360"/>
      </w:pPr>
      <w:rPr>
        <w:rFonts w:hint="default"/>
        <w:b/>
        <w:bCs/>
      </w:rPr>
    </w:lvl>
    <w:lvl w:ilvl="1" w:tplc="08090019" w:tentative="1">
      <w:start w:val="1"/>
      <w:numFmt w:val="lowerLetter"/>
      <w:lvlText w:val="%2."/>
      <w:lvlJc w:val="left"/>
      <w:pPr>
        <w:ind w:left="5617" w:hanging="360"/>
      </w:pPr>
    </w:lvl>
    <w:lvl w:ilvl="2" w:tplc="0809001B" w:tentative="1">
      <w:start w:val="1"/>
      <w:numFmt w:val="lowerRoman"/>
      <w:lvlText w:val="%3."/>
      <w:lvlJc w:val="right"/>
      <w:pPr>
        <w:ind w:left="6337" w:hanging="180"/>
      </w:pPr>
    </w:lvl>
    <w:lvl w:ilvl="3" w:tplc="0809000F" w:tentative="1">
      <w:start w:val="1"/>
      <w:numFmt w:val="decimal"/>
      <w:lvlText w:val="%4."/>
      <w:lvlJc w:val="left"/>
      <w:pPr>
        <w:ind w:left="7057" w:hanging="360"/>
      </w:pPr>
    </w:lvl>
    <w:lvl w:ilvl="4" w:tplc="08090019" w:tentative="1">
      <w:start w:val="1"/>
      <w:numFmt w:val="lowerLetter"/>
      <w:lvlText w:val="%5."/>
      <w:lvlJc w:val="left"/>
      <w:pPr>
        <w:ind w:left="7777" w:hanging="360"/>
      </w:pPr>
    </w:lvl>
    <w:lvl w:ilvl="5" w:tplc="0809001B" w:tentative="1">
      <w:start w:val="1"/>
      <w:numFmt w:val="lowerRoman"/>
      <w:lvlText w:val="%6."/>
      <w:lvlJc w:val="right"/>
      <w:pPr>
        <w:ind w:left="8497" w:hanging="180"/>
      </w:pPr>
    </w:lvl>
    <w:lvl w:ilvl="6" w:tplc="0809000F" w:tentative="1">
      <w:start w:val="1"/>
      <w:numFmt w:val="decimal"/>
      <w:lvlText w:val="%7."/>
      <w:lvlJc w:val="left"/>
      <w:pPr>
        <w:ind w:left="9217" w:hanging="360"/>
      </w:pPr>
    </w:lvl>
    <w:lvl w:ilvl="7" w:tplc="08090019" w:tentative="1">
      <w:start w:val="1"/>
      <w:numFmt w:val="lowerLetter"/>
      <w:lvlText w:val="%8."/>
      <w:lvlJc w:val="left"/>
      <w:pPr>
        <w:ind w:left="9937" w:hanging="360"/>
      </w:pPr>
    </w:lvl>
    <w:lvl w:ilvl="8" w:tplc="0809001B" w:tentative="1">
      <w:start w:val="1"/>
      <w:numFmt w:val="lowerRoman"/>
      <w:lvlText w:val="%9."/>
      <w:lvlJc w:val="right"/>
      <w:pPr>
        <w:ind w:left="10657" w:hanging="180"/>
      </w:pPr>
    </w:lvl>
  </w:abstractNum>
  <w:abstractNum w:abstractNumId="1" w15:restartNumberingAfterBreak="0">
    <w:nsid w:val="115F226F"/>
    <w:multiLevelType w:val="hybridMultilevel"/>
    <w:tmpl w:val="6A5CD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8D38D1"/>
    <w:multiLevelType w:val="hybridMultilevel"/>
    <w:tmpl w:val="ED7C74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FB691C"/>
    <w:multiLevelType w:val="hybridMultilevel"/>
    <w:tmpl w:val="2A881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AD77C3"/>
    <w:multiLevelType w:val="hybridMultilevel"/>
    <w:tmpl w:val="8BEA1C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AF03E0"/>
    <w:multiLevelType w:val="hybridMultilevel"/>
    <w:tmpl w:val="C7EAFB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5AF446A"/>
    <w:multiLevelType w:val="hybridMultilevel"/>
    <w:tmpl w:val="B6848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6B2C7D"/>
    <w:multiLevelType w:val="hybridMultilevel"/>
    <w:tmpl w:val="E10AEC60"/>
    <w:lvl w:ilvl="0" w:tplc="7D38391C">
      <w:numFmt w:val="bullet"/>
      <w:lvlText w:val="•"/>
      <w:lvlJc w:val="left"/>
      <w:pPr>
        <w:ind w:left="1080" w:hanging="72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EB4200"/>
    <w:multiLevelType w:val="hybridMultilevel"/>
    <w:tmpl w:val="8C4CC5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5E352EC"/>
    <w:multiLevelType w:val="hybridMultilevel"/>
    <w:tmpl w:val="DF12738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0" w15:restartNumberingAfterBreak="0">
    <w:nsid w:val="483A0EAF"/>
    <w:multiLevelType w:val="hybridMultilevel"/>
    <w:tmpl w:val="E30E4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0EC338B"/>
    <w:multiLevelType w:val="hybridMultilevel"/>
    <w:tmpl w:val="33521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A0C3DE4"/>
    <w:multiLevelType w:val="hybridMultilevel"/>
    <w:tmpl w:val="4336F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9D5D4E"/>
    <w:multiLevelType w:val="hybridMultilevel"/>
    <w:tmpl w:val="8A3ED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5B0E42"/>
    <w:multiLevelType w:val="hybridMultilevel"/>
    <w:tmpl w:val="32C28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3D074FB"/>
    <w:multiLevelType w:val="hybridMultilevel"/>
    <w:tmpl w:val="0478B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EC30E9E"/>
    <w:multiLevelType w:val="hybridMultilevel"/>
    <w:tmpl w:val="F6B2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F991189"/>
    <w:multiLevelType w:val="hybridMultilevel"/>
    <w:tmpl w:val="C3E4B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20" w15:restartNumberingAfterBreak="0">
    <w:nsid w:val="78AE6C55"/>
    <w:multiLevelType w:val="hybridMultilevel"/>
    <w:tmpl w:val="56A80568"/>
    <w:lvl w:ilvl="0" w:tplc="5CA23944">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num w:numId="1" w16cid:durableId="469129335">
    <w:abstractNumId w:val="18"/>
  </w:num>
  <w:num w:numId="2" w16cid:durableId="702360742">
    <w:abstractNumId w:val="19"/>
  </w:num>
  <w:num w:numId="3" w16cid:durableId="2113044208">
    <w:abstractNumId w:val="9"/>
  </w:num>
  <w:num w:numId="4" w16cid:durableId="2052411688">
    <w:abstractNumId w:val="13"/>
  </w:num>
  <w:num w:numId="5" w16cid:durableId="1018000403">
    <w:abstractNumId w:val="0"/>
  </w:num>
  <w:num w:numId="6" w16cid:durableId="1816795765">
    <w:abstractNumId w:val="6"/>
  </w:num>
  <w:num w:numId="7" w16cid:durableId="56051950">
    <w:abstractNumId w:val="2"/>
  </w:num>
  <w:num w:numId="8" w16cid:durableId="272592004">
    <w:abstractNumId w:val="11"/>
  </w:num>
  <w:num w:numId="9" w16cid:durableId="750395832">
    <w:abstractNumId w:val="8"/>
  </w:num>
  <w:num w:numId="10" w16cid:durableId="1716612438">
    <w:abstractNumId w:val="14"/>
  </w:num>
  <w:num w:numId="11" w16cid:durableId="543634635">
    <w:abstractNumId w:val="1"/>
  </w:num>
  <w:num w:numId="12" w16cid:durableId="1409305896">
    <w:abstractNumId w:val="10"/>
  </w:num>
  <w:num w:numId="13" w16cid:durableId="1751082022">
    <w:abstractNumId w:val="3"/>
  </w:num>
  <w:num w:numId="14" w16cid:durableId="1077753718">
    <w:abstractNumId w:val="15"/>
  </w:num>
  <w:num w:numId="15" w16cid:durableId="877742396">
    <w:abstractNumId w:val="17"/>
  </w:num>
  <w:num w:numId="16" w16cid:durableId="2142767297">
    <w:abstractNumId w:val="16"/>
  </w:num>
  <w:num w:numId="17" w16cid:durableId="242767546">
    <w:abstractNumId w:val="4"/>
  </w:num>
  <w:num w:numId="18" w16cid:durableId="2031758593">
    <w:abstractNumId w:val="12"/>
  </w:num>
  <w:num w:numId="19" w16cid:durableId="1570848256">
    <w:abstractNumId w:val="7"/>
  </w:num>
  <w:num w:numId="20" w16cid:durableId="640231255">
    <w:abstractNumId w:val="5"/>
  </w:num>
  <w:num w:numId="21" w16cid:durableId="107991036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3CB3"/>
    <w:rsid w:val="00003A1B"/>
    <w:rsid w:val="00007E88"/>
    <w:rsid w:val="00010AB8"/>
    <w:rsid w:val="00011280"/>
    <w:rsid w:val="00012DAB"/>
    <w:rsid w:val="00012FF4"/>
    <w:rsid w:val="00014233"/>
    <w:rsid w:val="000230EA"/>
    <w:rsid w:val="0003157C"/>
    <w:rsid w:val="00033009"/>
    <w:rsid w:val="00041706"/>
    <w:rsid w:val="00043C88"/>
    <w:rsid w:val="00043F77"/>
    <w:rsid w:val="00046C91"/>
    <w:rsid w:val="000540F8"/>
    <w:rsid w:val="000541B3"/>
    <w:rsid w:val="00056DB0"/>
    <w:rsid w:val="00063E9B"/>
    <w:rsid w:val="00065420"/>
    <w:rsid w:val="00066D64"/>
    <w:rsid w:val="000710BA"/>
    <w:rsid w:val="00071D99"/>
    <w:rsid w:val="00093C70"/>
    <w:rsid w:val="00093D84"/>
    <w:rsid w:val="000944C5"/>
    <w:rsid w:val="0009487D"/>
    <w:rsid w:val="000963AC"/>
    <w:rsid w:val="000B0A10"/>
    <w:rsid w:val="000B1EB7"/>
    <w:rsid w:val="000B6F38"/>
    <w:rsid w:val="000B7831"/>
    <w:rsid w:val="000C1285"/>
    <w:rsid w:val="000C306B"/>
    <w:rsid w:val="000D36F1"/>
    <w:rsid w:val="000D3B65"/>
    <w:rsid w:val="000D4881"/>
    <w:rsid w:val="000D7142"/>
    <w:rsid w:val="000D7AFA"/>
    <w:rsid w:val="000E1056"/>
    <w:rsid w:val="000E27B5"/>
    <w:rsid w:val="000F209E"/>
    <w:rsid w:val="000F311B"/>
    <w:rsid w:val="000F7EC1"/>
    <w:rsid w:val="0010336F"/>
    <w:rsid w:val="0010352E"/>
    <w:rsid w:val="0010515B"/>
    <w:rsid w:val="00107F22"/>
    <w:rsid w:val="00120083"/>
    <w:rsid w:val="0012297C"/>
    <w:rsid w:val="0012390F"/>
    <w:rsid w:val="001351C3"/>
    <w:rsid w:val="0013580E"/>
    <w:rsid w:val="0014198A"/>
    <w:rsid w:val="001473C1"/>
    <w:rsid w:val="001473E7"/>
    <w:rsid w:val="0015038E"/>
    <w:rsid w:val="00156F69"/>
    <w:rsid w:val="00157265"/>
    <w:rsid w:val="001644C8"/>
    <w:rsid w:val="00166562"/>
    <w:rsid w:val="00170DCF"/>
    <w:rsid w:val="001725B0"/>
    <w:rsid w:val="001727D4"/>
    <w:rsid w:val="001732AC"/>
    <w:rsid w:val="00173787"/>
    <w:rsid w:val="00174D4C"/>
    <w:rsid w:val="00175177"/>
    <w:rsid w:val="001753B2"/>
    <w:rsid w:val="00180632"/>
    <w:rsid w:val="00181173"/>
    <w:rsid w:val="00182183"/>
    <w:rsid w:val="001850BD"/>
    <w:rsid w:val="0019369C"/>
    <w:rsid w:val="001952BF"/>
    <w:rsid w:val="00196AAB"/>
    <w:rsid w:val="001A18F7"/>
    <w:rsid w:val="001A2C72"/>
    <w:rsid w:val="001A5670"/>
    <w:rsid w:val="001A580B"/>
    <w:rsid w:val="001A7057"/>
    <w:rsid w:val="001A719B"/>
    <w:rsid w:val="001B022F"/>
    <w:rsid w:val="001B2568"/>
    <w:rsid w:val="001B2F62"/>
    <w:rsid w:val="001B3E3D"/>
    <w:rsid w:val="001B56F0"/>
    <w:rsid w:val="001B6594"/>
    <w:rsid w:val="001B7F69"/>
    <w:rsid w:val="001C0D66"/>
    <w:rsid w:val="001C1706"/>
    <w:rsid w:val="001C4D33"/>
    <w:rsid w:val="001C7092"/>
    <w:rsid w:val="001C7AA4"/>
    <w:rsid w:val="001C7C57"/>
    <w:rsid w:val="001D43E3"/>
    <w:rsid w:val="001D4B6F"/>
    <w:rsid w:val="001D672B"/>
    <w:rsid w:val="001D722D"/>
    <w:rsid w:val="001D73C1"/>
    <w:rsid w:val="001E1309"/>
    <w:rsid w:val="001E14B3"/>
    <w:rsid w:val="001E1F11"/>
    <w:rsid w:val="001E453E"/>
    <w:rsid w:val="001E4661"/>
    <w:rsid w:val="001E5985"/>
    <w:rsid w:val="001F14AB"/>
    <w:rsid w:val="00201720"/>
    <w:rsid w:val="00203763"/>
    <w:rsid w:val="002066DC"/>
    <w:rsid w:val="0020697E"/>
    <w:rsid w:val="00207508"/>
    <w:rsid w:val="00207CA3"/>
    <w:rsid w:val="002101E9"/>
    <w:rsid w:val="00210E55"/>
    <w:rsid w:val="00212F56"/>
    <w:rsid w:val="002161A0"/>
    <w:rsid w:val="00221929"/>
    <w:rsid w:val="00223A86"/>
    <w:rsid w:val="00225504"/>
    <w:rsid w:val="002269C1"/>
    <w:rsid w:val="00231472"/>
    <w:rsid w:val="00234657"/>
    <w:rsid w:val="0023477D"/>
    <w:rsid w:val="0024166B"/>
    <w:rsid w:val="00244641"/>
    <w:rsid w:val="00245B25"/>
    <w:rsid w:val="00251AB5"/>
    <w:rsid w:val="00252DDE"/>
    <w:rsid w:val="002560D6"/>
    <w:rsid w:val="00260E86"/>
    <w:rsid w:val="00272AA9"/>
    <w:rsid w:val="002735D9"/>
    <w:rsid w:val="00273703"/>
    <w:rsid w:val="00274D53"/>
    <w:rsid w:val="00280131"/>
    <w:rsid w:val="00283305"/>
    <w:rsid w:val="002840DD"/>
    <w:rsid w:val="002930F7"/>
    <w:rsid w:val="002A5B13"/>
    <w:rsid w:val="002A62F6"/>
    <w:rsid w:val="002A769C"/>
    <w:rsid w:val="002B51B7"/>
    <w:rsid w:val="002C3B45"/>
    <w:rsid w:val="002C4234"/>
    <w:rsid w:val="002C458D"/>
    <w:rsid w:val="002C54F9"/>
    <w:rsid w:val="002D313C"/>
    <w:rsid w:val="002D3B1D"/>
    <w:rsid w:val="002D6607"/>
    <w:rsid w:val="002E0AC1"/>
    <w:rsid w:val="002E1F09"/>
    <w:rsid w:val="002E3A45"/>
    <w:rsid w:val="002E47F5"/>
    <w:rsid w:val="002E4A0E"/>
    <w:rsid w:val="002E5409"/>
    <w:rsid w:val="002E7102"/>
    <w:rsid w:val="002F07EF"/>
    <w:rsid w:val="002F3C23"/>
    <w:rsid w:val="002F4214"/>
    <w:rsid w:val="002F43F7"/>
    <w:rsid w:val="002F44C3"/>
    <w:rsid w:val="002F4DB0"/>
    <w:rsid w:val="002F605E"/>
    <w:rsid w:val="00302817"/>
    <w:rsid w:val="00302FAF"/>
    <w:rsid w:val="00304AC8"/>
    <w:rsid w:val="00304CB2"/>
    <w:rsid w:val="003104FD"/>
    <w:rsid w:val="003109DF"/>
    <w:rsid w:val="00312B79"/>
    <w:rsid w:val="00324328"/>
    <w:rsid w:val="00334D22"/>
    <w:rsid w:val="00336692"/>
    <w:rsid w:val="00344B97"/>
    <w:rsid w:val="00344F7B"/>
    <w:rsid w:val="003557C6"/>
    <w:rsid w:val="0036092E"/>
    <w:rsid w:val="00366D3C"/>
    <w:rsid w:val="00366D66"/>
    <w:rsid w:val="0037241F"/>
    <w:rsid w:val="003726D0"/>
    <w:rsid w:val="00372710"/>
    <w:rsid w:val="00372D15"/>
    <w:rsid w:val="00373516"/>
    <w:rsid w:val="00374931"/>
    <w:rsid w:val="003857E4"/>
    <w:rsid w:val="00387459"/>
    <w:rsid w:val="00387D5C"/>
    <w:rsid w:val="00387E8F"/>
    <w:rsid w:val="0039280E"/>
    <w:rsid w:val="003A0BA8"/>
    <w:rsid w:val="003A1316"/>
    <w:rsid w:val="003A59D0"/>
    <w:rsid w:val="003B0700"/>
    <w:rsid w:val="003B1315"/>
    <w:rsid w:val="003B272B"/>
    <w:rsid w:val="003B331D"/>
    <w:rsid w:val="003B3E1B"/>
    <w:rsid w:val="003C1481"/>
    <w:rsid w:val="003C296B"/>
    <w:rsid w:val="003D3AC0"/>
    <w:rsid w:val="003D51E8"/>
    <w:rsid w:val="003D5D05"/>
    <w:rsid w:val="003D7494"/>
    <w:rsid w:val="003E27F7"/>
    <w:rsid w:val="003E298A"/>
    <w:rsid w:val="003E4592"/>
    <w:rsid w:val="003F02CD"/>
    <w:rsid w:val="003F223F"/>
    <w:rsid w:val="003F25FC"/>
    <w:rsid w:val="003F3B7F"/>
    <w:rsid w:val="004015A6"/>
    <w:rsid w:val="0040217D"/>
    <w:rsid w:val="0040383A"/>
    <w:rsid w:val="00403B12"/>
    <w:rsid w:val="00420B22"/>
    <w:rsid w:val="004212C9"/>
    <w:rsid w:val="00423173"/>
    <w:rsid w:val="0042408F"/>
    <w:rsid w:val="004275F0"/>
    <w:rsid w:val="004277C1"/>
    <w:rsid w:val="00427C44"/>
    <w:rsid w:val="004339CB"/>
    <w:rsid w:val="004350E3"/>
    <w:rsid w:val="00436811"/>
    <w:rsid w:val="00436B33"/>
    <w:rsid w:val="00436D5B"/>
    <w:rsid w:val="00436F68"/>
    <w:rsid w:val="004424C6"/>
    <w:rsid w:val="00444A33"/>
    <w:rsid w:val="00445AC1"/>
    <w:rsid w:val="00452C7A"/>
    <w:rsid w:val="00455480"/>
    <w:rsid w:val="00456E72"/>
    <w:rsid w:val="00457128"/>
    <w:rsid w:val="00461123"/>
    <w:rsid w:val="00461E0B"/>
    <w:rsid w:val="00463E01"/>
    <w:rsid w:val="0046426A"/>
    <w:rsid w:val="00465812"/>
    <w:rsid w:val="004714A4"/>
    <w:rsid w:val="0047388C"/>
    <w:rsid w:val="00476057"/>
    <w:rsid w:val="0048528E"/>
    <w:rsid w:val="00486575"/>
    <w:rsid w:val="004A1527"/>
    <w:rsid w:val="004A200B"/>
    <w:rsid w:val="004A315A"/>
    <w:rsid w:val="004A33E6"/>
    <w:rsid w:val="004A341E"/>
    <w:rsid w:val="004A791B"/>
    <w:rsid w:val="004B0550"/>
    <w:rsid w:val="004B0CA6"/>
    <w:rsid w:val="004B22EE"/>
    <w:rsid w:val="004B2B44"/>
    <w:rsid w:val="004B5178"/>
    <w:rsid w:val="004C1426"/>
    <w:rsid w:val="004C490F"/>
    <w:rsid w:val="004C663F"/>
    <w:rsid w:val="004C6D62"/>
    <w:rsid w:val="004D3173"/>
    <w:rsid w:val="004D548F"/>
    <w:rsid w:val="004E0A81"/>
    <w:rsid w:val="004E34AE"/>
    <w:rsid w:val="004E60C3"/>
    <w:rsid w:val="004E622B"/>
    <w:rsid w:val="004E6749"/>
    <w:rsid w:val="004E71E6"/>
    <w:rsid w:val="004E7AC0"/>
    <w:rsid w:val="004F0391"/>
    <w:rsid w:val="0050132B"/>
    <w:rsid w:val="00502800"/>
    <w:rsid w:val="0050788C"/>
    <w:rsid w:val="00514979"/>
    <w:rsid w:val="00516D2B"/>
    <w:rsid w:val="00526D24"/>
    <w:rsid w:val="005320B5"/>
    <w:rsid w:val="00533DEC"/>
    <w:rsid w:val="00534C63"/>
    <w:rsid w:val="00536896"/>
    <w:rsid w:val="005454C4"/>
    <w:rsid w:val="00550179"/>
    <w:rsid w:val="0056047D"/>
    <w:rsid w:val="00560956"/>
    <w:rsid w:val="0056658A"/>
    <w:rsid w:val="005702FE"/>
    <w:rsid w:val="0057180A"/>
    <w:rsid w:val="00571ABE"/>
    <w:rsid w:val="005721DA"/>
    <w:rsid w:val="005745E5"/>
    <w:rsid w:val="00580883"/>
    <w:rsid w:val="00581064"/>
    <w:rsid w:val="00583F07"/>
    <w:rsid w:val="00590326"/>
    <w:rsid w:val="00595437"/>
    <w:rsid w:val="00597294"/>
    <w:rsid w:val="005977FB"/>
    <w:rsid w:val="005A279B"/>
    <w:rsid w:val="005A5030"/>
    <w:rsid w:val="005A57BF"/>
    <w:rsid w:val="005A6331"/>
    <w:rsid w:val="005A7BF7"/>
    <w:rsid w:val="005B3092"/>
    <w:rsid w:val="005B3439"/>
    <w:rsid w:val="005C02B3"/>
    <w:rsid w:val="005C3705"/>
    <w:rsid w:val="005C438F"/>
    <w:rsid w:val="005C635A"/>
    <w:rsid w:val="005D1C5D"/>
    <w:rsid w:val="005D23F7"/>
    <w:rsid w:val="005D338A"/>
    <w:rsid w:val="005D3757"/>
    <w:rsid w:val="005D6A0C"/>
    <w:rsid w:val="005D6CE5"/>
    <w:rsid w:val="005D6E5F"/>
    <w:rsid w:val="005F4E0D"/>
    <w:rsid w:val="005F6227"/>
    <w:rsid w:val="005F6D09"/>
    <w:rsid w:val="0060059B"/>
    <w:rsid w:val="0060185E"/>
    <w:rsid w:val="00610922"/>
    <w:rsid w:val="0061600C"/>
    <w:rsid w:val="00620056"/>
    <w:rsid w:val="00622958"/>
    <w:rsid w:val="0062506D"/>
    <w:rsid w:val="00626851"/>
    <w:rsid w:val="006344D1"/>
    <w:rsid w:val="00635FDB"/>
    <w:rsid w:val="00645E26"/>
    <w:rsid w:val="00646716"/>
    <w:rsid w:val="006474D1"/>
    <w:rsid w:val="006552C6"/>
    <w:rsid w:val="00660533"/>
    <w:rsid w:val="00661D01"/>
    <w:rsid w:val="00662B8F"/>
    <w:rsid w:val="00664C99"/>
    <w:rsid w:val="00667B49"/>
    <w:rsid w:val="00672AD6"/>
    <w:rsid w:val="006739BE"/>
    <w:rsid w:val="006744A5"/>
    <w:rsid w:val="00677009"/>
    <w:rsid w:val="00677EA2"/>
    <w:rsid w:val="0068434A"/>
    <w:rsid w:val="006843D3"/>
    <w:rsid w:val="00684AB2"/>
    <w:rsid w:val="006864D6"/>
    <w:rsid w:val="00692B58"/>
    <w:rsid w:val="00693C48"/>
    <w:rsid w:val="00696613"/>
    <w:rsid w:val="006A00B9"/>
    <w:rsid w:val="006A0DA9"/>
    <w:rsid w:val="006A4C01"/>
    <w:rsid w:val="006A51C8"/>
    <w:rsid w:val="006A60A5"/>
    <w:rsid w:val="006B4E44"/>
    <w:rsid w:val="006C11DA"/>
    <w:rsid w:val="006C1BCC"/>
    <w:rsid w:val="006C5115"/>
    <w:rsid w:val="006C520E"/>
    <w:rsid w:val="006C5B79"/>
    <w:rsid w:val="006C60FA"/>
    <w:rsid w:val="006C7171"/>
    <w:rsid w:val="006D0403"/>
    <w:rsid w:val="006D0685"/>
    <w:rsid w:val="006D3DFB"/>
    <w:rsid w:val="006D664E"/>
    <w:rsid w:val="006D7C91"/>
    <w:rsid w:val="006E0984"/>
    <w:rsid w:val="006E22FC"/>
    <w:rsid w:val="006E393C"/>
    <w:rsid w:val="006F0421"/>
    <w:rsid w:val="006F16F8"/>
    <w:rsid w:val="0070222A"/>
    <w:rsid w:val="007029F2"/>
    <w:rsid w:val="0070748E"/>
    <w:rsid w:val="007135E5"/>
    <w:rsid w:val="007160D0"/>
    <w:rsid w:val="007162C5"/>
    <w:rsid w:val="00716853"/>
    <w:rsid w:val="00726668"/>
    <w:rsid w:val="00726C25"/>
    <w:rsid w:val="0073113F"/>
    <w:rsid w:val="00731D29"/>
    <w:rsid w:val="00733938"/>
    <w:rsid w:val="00734235"/>
    <w:rsid w:val="0073540B"/>
    <w:rsid w:val="007403D0"/>
    <w:rsid w:val="0074669C"/>
    <w:rsid w:val="00746894"/>
    <w:rsid w:val="007521FC"/>
    <w:rsid w:val="0075541B"/>
    <w:rsid w:val="00755E9D"/>
    <w:rsid w:val="00756776"/>
    <w:rsid w:val="007569EC"/>
    <w:rsid w:val="0075744C"/>
    <w:rsid w:val="00762C20"/>
    <w:rsid w:val="00763CB3"/>
    <w:rsid w:val="0076449A"/>
    <w:rsid w:val="00764A63"/>
    <w:rsid w:val="00764DDD"/>
    <w:rsid w:val="007654C5"/>
    <w:rsid w:val="00765F18"/>
    <w:rsid w:val="00767056"/>
    <w:rsid w:val="00767AF4"/>
    <w:rsid w:val="00771BC7"/>
    <w:rsid w:val="007732ED"/>
    <w:rsid w:val="00776909"/>
    <w:rsid w:val="00780DEF"/>
    <w:rsid w:val="007821B7"/>
    <w:rsid w:val="00783C9D"/>
    <w:rsid w:val="00790F25"/>
    <w:rsid w:val="007949AE"/>
    <w:rsid w:val="00795C11"/>
    <w:rsid w:val="00797DBD"/>
    <w:rsid w:val="007A0D78"/>
    <w:rsid w:val="007A154E"/>
    <w:rsid w:val="007A2C9B"/>
    <w:rsid w:val="007A2F67"/>
    <w:rsid w:val="007A4484"/>
    <w:rsid w:val="007A5D73"/>
    <w:rsid w:val="007B1425"/>
    <w:rsid w:val="007B1C20"/>
    <w:rsid w:val="007B460B"/>
    <w:rsid w:val="007B5926"/>
    <w:rsid w:val="007B7E0B"/>
    <w:rsid w:val="007C06EC"/>
    <w:rsid w:val="007C5504"/>
    <w:rsid w:val="007C694F"/>
    <w:rsid w:val="007D3C94"/>
    <w:rsid w:val="007E1884"/>
    <w:rsid w:val="007E3073"/>
    <w:rsid w:val="007E40E0"/>
    <w:rsid w:val="007F356F"/>
    <w:rsid w:val="007F47FB"/>
    <w:rsid w:val="007F7545"/>
    <w:rsid w:val="007F7F5C"/>
    <w:rsid w:val="00801108"/>
    <w:rsid w:val="00801C29"/>
    <w:rsid w:val="008035CF"/>
    <w:rsid w:val="0080687C"/>
    <w:rsid w:val="008100A9"/>
    <w:rsid w:val="00810ADD"/>
    <w:rsid w:val="008116CE"/>
    <w:rsid w:val="0081177D"/>
    <w:rsid w:val="00817872"/>
    <w:rsid w:val="00820D7C"/>
    <w:rsid w:val="00820F1D"/>
    <w:rsid w:val="008214FC"/>
    <w:rsid w:val="0082217F"/>
    <w:rsid w:val="008247AC"/>
    <w:rsid w:val="00826CD6"/>
    <w:rsid w:val="008317B6"/>
    <w:rsid w:val="00832907"/>
    <w:rsid w:val="00832B54"/>
    <w:rsid w:val="00834454"/>
    <w:rsid w:val="008428B4"/>
    <w:rsid w:val="00842931"/>
    <w:rsid w:val="00843B33"/>
    <w:rsid w:val="00846F01"/>
    <w:rsid w:val="00851BF7"/>
    <w:rsid w:val="00853CC1"/>
    <w:rsid w:val="00853D31"/>
    <w:rsid w:val="008617FB"/>
    <w:rsid w:val="00863E73"/>
    <w:rsid w:val="00866227"/>
    <w:rsid w:val="00870108"/>
    <w:rsid w:val="00870A06"/>
    <w:rsid w:val="00871C4A"/>
    <w:rsid w:val="00872AD2"/>
    <w:rsid w:val="00877BE2"/>
    <w:rsid w:val="00881959"/>
    <w:rsid w:val="008825EE"/>
    <w:rsid w:val="00884FAB"/>
    <w:rsid w:val="0088784E"/>
    <w:rsid w:val="00890629"/>
    <w:rsid w:val="00890697"/>
    <w:rsid w:val="00897227"/>
    <w:rsid w:val="008A27A7"/>
    <w:rsid w:val="008A2A6A"/>
    <w:rsid w:val="008A5D7C"/>
    <w:rsid w:val="008B10D0"/>
    <w:rsid w:val="008B2FAE"/>
    <w:rsid w:val="008B687D"/>
    <w:rsid w:val="008B7E6A"/>
    <w:rsid w:val="008C080D"/>
    <w:rsid w:val="008C2658"/>
    <w:rsid w:val="008C7468"/>
    <w:rsid w:val="008D7E5A"/>
    <w:rsid w:val="008E0CAF"/>
    <w:rsid w:val="008E220A"/>
    <w:rsid w:val="008E2255"/>
    <w:rsid w:val="008E2470"/>
    <w:rsid w:val="008E6455"/>
    <w:rsid w:val="008E77E4"/>
    <w:rsid w:val="008F0AFA"/>
    <w:rsid w:val="008F41C4"/>
    <w:rsid w:val="008F46A7"/>
    <w:rsid w:val="009037C0"/>
    <w:rsid w:val="00906B53"/>
    <w:rsid w:val="00912CC0"/>
    <w:rsid w:val="00912EA1"/>
    <w:rsid w:val="00913D13"/>
    <w:rsid w:val="009156B9"/>
    <w:rsid w:val="00925B2B"/>
    <w:rsid w:val="00930619"/>
    <w:rsid w:val="0093230B"/>
    <w:rsid w:val="009360F3"/>
    <w:rsid w:val="00942CF5"/>
    <w:rsid w:val="0094501F"/>
    <w:rsid w:val="0094756E"/>
    <w:rsid w:val="0095530B"/>
    <w:rsid w:val="009563CD"/>
    <w:rsid w:val="009747E5"/>
    <w:rsid w:val="00976033"/>
    <w:rsid w:val="00985D35"/>
    <w:rsid w:val="00997D3B"/>
    <w:rsid w:val="009A0667"/>
    <w:rsid w:val="009A2996"/>
    <w:rsid w:val="009B1C8D"/>
    <w:rsid w:val="009B24BA"/>
    <w:rsid w:val="009B7692"/>
    <w:rsid w:val="009C18AA"/>
    <w:rsid w:val="009C5850"/>
    <w:rsid w:val="009C6A43"/>
    <w:rsid w:val="009D536C"/>
    <w:rsid w:val="009E7091"/>
    <w:rsid w:val="009F3E07"/>
    <w:rsid w:val="009F4ACB"/>
    <w:rsid w:val="009F60F1"/>
    <w:rsid w:val="009F69F1"/>
    <w:rsid w:val="00A01189"/>
    <w:rsid w:val="00A01AEE"/>
    <w:rsid w:val="00A054C0"/>
    <w:rsid w:val="00A122FC"/>
    <w:rsid w:val="00A206CD"/>
    <w:rsid w:val="00A20B36"/>
    <w:rsid w:val="00A23E89"/>
    <w:rsid w:val="00A25EA7"/>
    <w:rsid w:val="00A26352"/>
    <w:rsid w:val="00A26DA5"/>
    <w:rsid w:val="00A2792B"/>
    <w:rsid w:val="00A30745"/>
    <w:rsid w:val="00A37BAD"/>
    <w:rsid w:val="00A5120A"/>
    <w:rsid w:val="00A52265"/>
    <w:rsid w:val="00A52CC5"/>
    <w:rsid w:val="00A569FF"/>
    <w:rsid w:val="00A5774A"/>
    <w:rsid w:val="00A57E3A"/>
    <w:rsid w:val="00A611B9"/>
    <w:rsid w:val="00A6611C"/>
    <w:rsid w:val="00A70B55"/>
    <w:rsid w:val="00A710AB"/>
    <w:rsid w:val="00A71AA7"/>
    <w:rsid w:val="00A73967"/>
    <w:rsid w:val="00A8040C"/>
    <w:rsid w:val="00A85EA9"/>
    <w:rsid w:val="00A872E7"/>
    <w:rsid w:val="00A91ED8"/>
    <w:rsid w:val="00A935E4"/>
    <w:rsid w:val="00AA19DB"/>
    <w:rsid w:val="00AA40E4"/>
    <w:rsid w:val="00AA586A"/>
    <w:rsid w:val="00AA6A69"/>
    <w:rsid w:val="00AB2AC9"/>
    <w:rsid w:val="00AB6EFC"/>
    <w:rsid w:val="00AC10BF"/>
    <w:rsid w:val="00AC265A"/>
    <w:rsid w:val="00AC2EB9"/>
    <w:rsid w:val="00AD2C95"/>
    <w:rsid w:val="00AD68C8"/>
    <w:rsid w:val="00AD7925"/>
    <w:rsid w:val="00AE1550"/>
    <w:rsid w:val="00AF08F9"/>
    <w:rsid w:val="00AF119E"/>
    <w:rsid w:val="00AF44EA"/>
    <w:rsid w:val="00B00191"/>
    <w:rsid w:val="00B025F3"/>
    <w:rsid w:val="00B0368B"/>
    <w:rsid w:val="00B05382"/>
    <w:rsid w:val="00B05A0E"/>
    <w:rsid w:val="00B06C49"/>
    <w:rsid w:val="00B1033A"/>
    <w:rsid w:val="00B11546"/>
    <w:rsid w:val="00B13936"/>
    <w:rsid w:val="00B16F6A"/>
    <w:rsid w:val="00B21003"/>
    <w:rsid w:val="00B21AB7"/>
    <w:rsid w:val="00B23DF0"/>
    <w:rsid w:val="00B2621A"/>
    <w:rsid w:val="00B324D1"/>
    <w:rsid w:val="00B32675"/>
    <w:rsid w:val="00B42C5D"/>
    <w:rsid w:val="00B43F3C"/>
    <w:rsid w:val="00B45192"/>
    <w:rsid w:val="00B52393"/>
    <w:rsid w:val="00B547BE"/>
    <w:rsid w:val="00B54CAB"/>
    <w:rsid w:val="00B54D04"/>
    <w:rsid w:val="00B55A87"/>
    <w:rsid w:val="00B66E0D"/>
    <w:rsid w:val="00B67557"/>
    <w:rsid w:val="00B7496A"/>
    <w:rsid w:val="00B817C1"/>
    <w:rsid w:val="00B827F7"/>
    <w:rsid w:val="00B8437C"/>
    <w:rsid w:val="00B84C90"/>
    <w:rsid w:val="00B8650A"/>
    <w:rsid w:val="00B86E0B"/>
    <w:rsid w:val="00B906B3"/>
    <w:rsid w:val="00B94B34"/>
    <w:rsid w:val="00B95822"/>
    <w:rsid w:val="00BA240A"/>
    <w:rsid w:val="00BA2DF8"/>
    <w:rsid w:val="00BA680C"/>
    <w:rsid w:val="00BA6F1D"/>
    <w:rsid w:val="00BA7720"/>
    <w:rsid w:val="00BB030C"/>
    <w:rsid w:val="00BB18E4"/>
    <w:rsid w:val="00BC461A"/>
    <w:rsid w:val="00BC755D"/>
    <w:rsid w:val="00BC75A1"/>
    <w:rsid w:val="00BD6F3A"/>
    <w:rsid w:val="00BD7229"/>
    <w:rsid w:val="00BE1A7C"/>
    <w:rsid w:val="00BE21B8"/>
    <w:rsid w:val="00BE2CE9"/>
    <w:rsid w:val="00BE2F4B"/>
    <w:rsid w:val="00BE5412"/>
    <w:rsid w:val="00BF284E"/>
    <w:rsid w:val="00BF4C98"/>
    <w:rsid w:val="00BF5574"/>
    <w:rsid w:val="00C03313"/>
    <w:rsid w:val="00C055AD"/>
    <w:rsid w:val="00C1053D"/>
    <w:rsid w:val="00C12AE8"/>
    <w:rsid w:val="00C13C05"/>
    <w:rsid w:val="00C1430A"/>
    <w:rsid w:val="00C156B3"/>
    <w:rsid w:val="00C17BFA"/>
    <w:rsid w:val="00C2084A"/>
    <w:rsid w:val="00C20DE3"/>
    <w:rsid w:val="00C2689B"/>
    <w:rsid w:val="00C27D82"/>
    <w:rsid w:val="00C310A4"/>
    <w:rsid w:val="00C32FB2"/>
    <w:rsid w:val="00C42F92"/>
    <w:rsid w:val="00C46104"/>
    <w:rsid w:val="00C47E79"/>
    <w:rsid w:val="00C51EE1"/>
    <w:rsid w:val="00C531E7"/>
    <w:rsid w:val="00C61A5D"/>
    <w:rsid w:val="00C705EF"/>
    <w:rsid w:val="00C73E9A"/>
    <w:rsid w:val="00C748F4"/>
    <w:rsid w:val="00C75DC2"/>
    <w:rsid w:val="00C768B5"/>
    <w:rsid w:val="00C76A9D"/>
    <w:rsid w:val="00C80E91"/>
    <w:rsid w:val="00C821A1"/>
    <w:rsid w:val="00C83A7E"/>
    <w:rsid w:val="00C84C00"/>
    <w:rsid w:val="00C85BD9"/>
    <w:rsid w:val="00C87769"/>
    <w:rsid w:val="00C90AE1"/>
    <w:rsid w:val="00C94F63"/>
    <w:rsid w:val="00C974C6"/>
    <w:rsid w:val="00CA2950"/>
    <w:rsid w:val="00CA7975"/>
    <w:rsid w:val="00CB0CE8"/>
    <w:rsid w:val="00CC40C5"/>
    <w:rsid w:val="00CC587C"/>
    <w:rsid w:val="00CD3941"/>
    <w:rsid w:val="00CD5ACB"/>
    <w:rsid w:val="00CE42FF"/>
    <w:rsid w:val="00CE6A28"/>
    <w:rsid w:val="00CF1F07"/>
    <w:rsid w:val="00CF4AC3"/>
    <w:rsid w:val="00CF59F9"/>
    <w:rsid w:val="00CF7B26"/>
    <w:rsid w:val="00D01964"/>
    <w:rsid w:val="00D0525B"/>
    <w:rsid w:val="00D068B7"/>
    <w:rsid w:val="00D07955"/>
    <w:rsid w:val="00D118C0"/>
    <w:rsid w:val="00D155CB"/>
    <w:rsid w:val="00D16744"/>
    <w:rsid w:val="00D16B8C"/>
    <w:rsid w:val="00D17668"/>
    <w:rsid w:val="00D1782D"/>
    <w:rsid w:val="00D225E9"/>
    <w:rsid w:val="00D328A1"/>
    <w:rsid w:val="00D357BD"/>
    <w:rsid w:val="00D43B41"/>
    <w:rsid w:val="00D44F50"/>
    <w:rsid w:val="00D4674B"/>
    <w:rsid w:val="00D50B12"/>
    <w:rsid w:val="00D53E82"/>
    <w:rsid w:val="00D64F30"/>
    <w:rsid w:val="00D67DFB"/>
    <w:rsid w:val="00D7140C"/>
    <w:rsid w:val="00D718EB"/>
    <w:rsid w:val="00D73BEF"/>
    <w:rsid w:val="00D74683"/>
    <w:rsid w:val="00D747AA"/>
    <w:rsid w:val="00D755CD"/>
    <w:rsid w:val="00D75E4B"/>
    <w:rsid w:val="00D76A6B"/>
    <w:rsid w:val="00D77E6B"/>
    <w:rsid w:val="00D77F32"/>
    <w:rsid w:val="00D879C2"/>
    <w:rsid w:val="00D90AB5"/>
    <w:rsid w:val="00D91490"/>
    <w:rsid w:val="00D973B3"/>
    <w:rsid w:val="00D97422"/>
    <w:rsid w:val="00DA0AC4"/>
    <w:rsid w:val="00DA29E7"/>
    <w:rsid w:val="00DA66D1"/>
    <w:rsid w:val="00DA7102"/>
    <w:rsid w:val="00DB504C"/>
    <w:rsid w:val="00DB5AF9"/>
    <w:rsid w:val="00DB65E1"/>
    <w:rsid w:val="00DC07A0"/>
    <w:rsid w:val="00DC3BB4"/>
    <w:rsid w:val="00DC5E58"/>
    <w:rsid w:val="00DC6E46"/>
    <w:rsid w:val="00DD38C5"/>
    <w:rsid w:val="00DD3C88"/>
    <w:rsid w:val="00DE2D5D"/>
    <w:rsid w:val="00DE4F80"/>
    <w:rsid w:val="00DE6C1E"/>
    <w:rsid w:val="00DF0CC9"/>
    <w:rsid w:val="00DF0FA4"/>
    <w:rsid w:val="00DF1520"/>
    <w:rsid w:val="00DF199C"/>
    <w:rsid w:val="00DF3DD3"/>
    <w:rsid w:val="00DF56DF"/>
    <w:rsid w:val="00DF6FFF"/>
    <w:rsid w:val="00E06284"/>
    <w:rsid w:val="00E06C76"/>
    <w:rsid w:val="00E10503"/>
    <w:rsid w:val="00E12A39"/>
    <w:rsid w:val="00E152B6"/>
    <w:rsid w:val="00E155A1"/>
    <w:rsid w:val="00E177F6"/>
    <w:rsid w:val="00E210E2"/>
    <w:rsid w:val="00E2197C"/>
    <w:rsid w:val="00E26A14"/>
    <w:rsid w:val="00E3092E"/>
    <w:rsid w:val="00E30B00"/>
    <w:rsid w:val="00E33D35"/>
    <w:rsid w:val="00E34962"/>
    <w:rsid w:val="00E36969"/>
    <w:rsid w:val="00E419B1"/>
    <w:rsid w:val="00E4294A"/>
    <w:rsid w:val="00E439B8"/>
    <w:rsid w:val="00E443C6"/>
    <w:rsid w:val="00E53482"/>
    <w:rsid w:val="00E5500B"/>
    <w:rsid w:val="00E57026"/>
    <w:rsid w:val="00E60416"/>
    <w:rsid w:val="00E61014"/>
    <w:rsid w:val="00E6328A"/>
    <w:rsid w:val="00E63D94"/>
    <w:rsid w:val="00E64D50"/>
    <w:rsid w:val="00E65DA3"/>
    <w:rsid w:val="00E70F18"/>
    <w:rsid w:val="00E72719"/>
    <w:rsid w:val="00E72C3A"/>
    <w:rsid w:val="00E743BE"/>
    <w:rsid w:val="00E80B03"/>
    <w:rsid w:val="00E810B1"/>
    <w:rsid w:val="00E83148"/>
    <w:rsid w:val="00E835BC"/>
    <w:rsid w:val="00E8527E"/>
    <w:rsid w:val="00E85BF0"/>
    <w:rsid w:val="00E86292"/>
    <w:rsid w:val="00E8648A"/>
    <w:rsid w:val="00E866F0"/>
    <w:rsid w:val="00E9100E"/>
    <w:rsid w:val="00E93227"/>
    <w:rsid w:val="00E95250"/>
    <w:rsid w:val="00E9603C"/>
    <w:rsid w:val="00E9655E"/>
    <w:rsid w:val="00EB51AC"/>
    <w:rsid w:val="00EB5B18"/>
    <w:rsid w:val="00EB73C7"/>
    <w:rsid w:val="00EC0700"/>
    <w:rsid w:val="00EC079F"/>
    <w:rsid w:val="00EC0CF9"/>
    <w:rsid w:val="00EC171D"/>
    <w:rsid w:val="00EC5AFC"/>
    <w:rsid w:val="00EC67FC"/>
    <w:rsid w:val="00EC7B86"/>
    <w:rsid w:val="00EC7E2A"/>
    <w:rsid w:val="00ED11B0"/>
    <w:rsid w:val="00ED1324"/>
    <w:rsid w:val="00ED2063"/>
    <w:rsid w:val="00ED3ACA"/>
    <w:rsid w:val="00ED7181"/>
    <w:rsid w:val="00EE11E6"/>
    <w:rsid w:val="00EE2FDE"/>
    <w:rsid w:val="00EE4E74"/>
    <w:rsid w:val="00EE6123"/>
    <w:rsid w:val="00EE734B"/>
    <w:rsid w:val="00EF0CD3"/>
    <w:rsid w:val="00EF24FE"/>
    <w:rsid w:val="00EF2CD8"/>
    <w:rsid w:val="00EF3353"/>
    <w:rsid w:val="00EF530F"/>
    <w:rsid w:val="00EF7AA8"/>
    <w:rsid w:val="00F02054"/>
    <w:rsid w:val="00F11745"/>
    <w:rsid w:val="00F1240E"/>
    <w:rsid w:val="00F12AAE"/>
    <w:rsid w:val="00F13E00"/>
    <w:rsid w:val="00F13E9E"/>
    <w:rsid w:val="00F1797F"/>
    <w:rsid w:val="00F32B49"/>
    <w:rsid w:val="00F35854"/>
    <w:rsid w:val="00F43C4D"/>
    <w:rsid w:val="00F51C7A"/>
    <w:rsid w:val="00F52CB4"/>
    <w:rsid w:val="00F53193"/>
    <w:rsid w:val="00F53DDD"/>
    <w:rsid w:val="00F54A22"/>
    <w:rsid w:val="00F614B0"/>
    <w:rsid w:val="00F63467"/>
    <w:rsid w:val="00F64CB5"/>
    <w:rsid w:val="00F64E72"/>
    <w:rsid w:val="00F703F7"/>
    <w:rsid w:val="00F73AB3"/>
    <w:rsid w:val="00F7539A"/>
    <w:rsid w:val="00F75F8D"/>
    <w:rsid w:val="00F82B91"/>
    <w:rsid w:val="00F84916"/>
    <w:rsid w:val="00F84E09"/>
    <w:rsid w:val="00F85F14"/>
    <w:rsid w:val="00F8625E"/>
    <w:rsid w:val="00F914DF"/>
    <w:rsid w:val="00F939C7"/>
    <w:rsid w:val="00F94F58"/>
    <w:rsid w:val="00FA17F6"/>
    <w:rsid w:val="00FA1E85"/>
    <w:rsid w:val="00FB32CF"/>
    <w:rsid w:val="00FB51E2"/>
    <w:rsid w:val="00FB5A72"/>
    <w:rsid w:val="00FB6C83"/>
    <w:rsid w:val="00FB6CFF"/>
    <w:rsid w:val="00FB7E72"/>
    <w:rsid w:val="00FC083A"/>
    <w:rsid w:val="00FC47C3"/>
    <w:rsid w:val="00FD2AC7"/>
    <w:rsid w:val="00FD4629"/>
    <w:rsid w:val="00FD47F0"/>
    <w:rsid w:val="00FD4A51"/>
    <w:rsid w:val="00FD6924"/>
    <w:rsid w:val="00FE1591"/>
    <w:rsid w:val="00FE3542"/>
    <w:rsid w:val="00FE4224"/>
    <w:rsid w:val="00FE518D"/>
    <w:rsid w:val="00FF00BB"/>
    <w:rsid w:val="00FF27DE"/>
    <w:rsid w:val="00FF2AFD"/>
    <w:rsid w:val="00FF3DD5"/>
    <w:rsid w:val="00FF51B3"/>
    <w:rsid w:val="00FF695C"/>
    <w:rsid w:val="00FF73D1"/>
    <w:rsid w:val="00FF7C11"/>
    <w:rsid w:val="07278B60"/>
    <w:rsid w:val="0B4505FB"/>
    <w:rsid w:val="11968AA8"/>
    <w:rsid w:val="12E78548"/>
    <w:rsid w:val="1B9A43F5"/>
    <w:rsid w:val="208AB0B7"/>
    <w:rsid w:val="2095750C"/>
    <w:rsid w:val="230DF93C"/>
    <w:rsid w:val="25628269"/>
    <w:rsid w:val="2D4F8166"/>
    <w:rsid w:val="2ED03A9B"/>
    <w:rsid w:val="31B6DC26"/>
    <w:rsid w:val="33AAE973"/>
    <w:rsid w:val="34A624EB"/>
    <w:rsid w:val="39B54C77"/>
    <w:rsid w:val="3B064D10"/>
    <w:rsid w:val="3F863814"/>
    <w:rsid w:val="413C9E61"/>
    <w:rsid w:val="4297C0EA"/>
    <w:rsid w:val="4622C41C"/>
    <w:rsid w:val="479AE75F"/>
    <w:rsid w:val="51E7D854"/>
    <w:rsid w:val="55CF0737"/>
    <w:rsid w:val="58FD3AD2"/>
    <w:rsid w:val="5C4DC925"/>
    <w:rsid w:val="607A97F1"/>
    <w:rsid w:val="6660CEAB"/>
    <w:rsid w:val="679A4339"/>
    <w:rsid w:val="681A8323"/>
    <w:rsid w:val="73B97DD5"/>
    <w:rsid w:val="7737B8CD"/>
    <w:rsid w:val="7BD1C661"/>
    <w:rsid w:val="7D4DA040"/>
    <w:rsid w:val="7E38DE3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335A80"/>
  <w15:chartTrackingRefBased/>
  <w15:docId w15:val="{B97916AB-D98E-4FB4-8B23-7CA6A3D48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3CB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63C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3CB3"/>
  </w:style>
  <w:style w:type="table" w:styleId="TableGrid">
    <w:name w:val="Table Grid"/>
    <w:basedOn w:val="TableNormal"/>
    <w:uiPriority w:val="39"/>
    <w:rsid w:val="00763CB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84916"/>
    <w:pPr>
      <w:ind w:left="720"/>
      <w:contextualSpacing/>
    </w:pPr>
  </w:style>
  <w:style w:type="paragraph" w:styleId="BalloonText">
    <w:name w:val="Balloon Text"/>
    <w:basedOn w:val="Normal"/>
    <w:link w:val="BalloonTextChar"/>
    <w:uiPriority w:val="99"/>
    <w:semiHidden/>
    <w:unhideWhenUsed/>
    <w:rsid w:val="00BB18E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18E4"/>
    <w:rPr>
      <w:rFonts w:ascii="Segoe UI" w:hAnsi="Segoe UI" w:cs="Segoe UI"/>
      <w:sz w:val="18"/>
      <w:szCs w:val="18"/>
    </w:rPr>
  </w:style>
  <w:style w:type="paragraph" w:styleId="Header">
    <w:name w:val="header"/>
    <w:basedOn w:val="Normal"/>
    <w:link w:val="HeaderChar"/>
    <w:uiPriority w:val="99"/>
    <w:unhideWhenUsed/>
    <w:rsid w:val="00ED71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7181"/>
  </w:style>
  <w:style w:type="character" w:styleId="Hyperlink">
    <w:name w:val="Hyperlink"/>
    <w:basedOn w:val="DefaultParagraphFont"/>
    <w:uiPriority w:val="99"/>
    <w:unhideWhenUsed/>
    <w:rsid w:val="00692B58"/>
    <w:rPr>
      <w:color w:val="0563C1" w:themeColor="hyperlink"/>
      <w:u w:val="single"/>
    </w:rPr>
  </w:style>
  <w:style w:type="character" w:styleId="UnresolvedMention">
    <w:name w:val="Unresolved Mention"/>
    <w:basedOn w:val="DefaultParagraphFont"/>
    <w:uiPriority w:val="99"/>
    <w:semiHidden/>
    <w:unhideWhenUsed/>
    <w:rsid w:val="00692B58"/>
    <w:rPr>
      <w:color w:val="605E5C"/>
      <w:shd w:val="clear" w:color="auto" w:fill="E1DFDD"/>
    </w:rPr>
  </w:style>
  <w:style w:type="paragraph" w:customStyle="1" w:styleId="xmsonormal">
    <w:name w:val="x_msonormal"/>
    <w:basedOn w:val="Normal"/>
    <w:rsid w:val="00EC079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EC079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366D3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gbr01.safelinks.protection.outlook.com/?url=https%3A%2F%2Fwww.college.police.uk%2Fethics%2Fcode-of-ethics&amp;data=05%7C02%7Cdafydd.fenner%40south-wales.police.uk%7C9760e324972f40a37b9d08ddb81ad6c3%7C270c2f4dfd0c4f0892a9e5bdd8a87e09%7C0%7C0%7C638869147604212965%7CUnknown%7CTWFpbGZsb3d8eyJFbXB0eU1hcGkiOnRydWUsIlYiOiIwLjAuMDAwMCIsIlAiOiJXaW4zMiIsIkFOIjoiTWFpbCIsIldUIjoyfQ%3D%3D%7C0%7C%7C%7C&amp;sdata=0XPREuIe91vI9xSDfuDkXnwAG9laaxPCPekAUlmfS0k%3D&amp;reserved=0"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ollege.police.uk/guidance/neighbourhood-policing/engaging-commun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C7599CB-1ABA-41D7-A3BA-F3F73F81DC6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1014166-270C-4AF9-9CE0-5B8B6BD7FAB7}">
  <ds:schemaRefs>
    <ds:schemaRef ds:uri="http://schemas.openxmlformats.org/officeDocument/2006/bibliography"/>
  </ds:schemaRefs>
</ds:datastoreItem>
</file>

<file path=customXml/itemProps3.xml><?xml version="1.0" encoding="utf-8"?>
<ds:datastoreItem xmlns:ds="http://schemas.openxmlformats.org/officeDocument/2006/customXml" ds:itemID="{49BD9922-668F-46D0-BFFB-152A759FF3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B8CAFEC-AACF-4566-AC9F-CA5FEB573C3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5225</Words>
  <Characters>29786</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wynne jones</dc:creator>
  <cp:keywords/>
  <dc:description/>
  <cp:lastModifiedBy>Fenner,Dafydd swp8774</cp:lastModifiedBy>
  <cp:revision>2</cp:revision>
  <cp:lastPrinted>2020-03-18T12:27:00Z</cp:lastPrinted>
  <dcterms:created xsi:type="dcterms:W3CDTF">2025-06-30T21:28:00Z</dcterms:created>
  <dcterms:modified xsi:type="dcterms:W3CDTF">2025-06-30T21:28:00Z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2025-02-27T17:13:27Z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eabccb13-c574-459b-b846-66397b2e0753</vt:lpwstr>
  </property>
  <property fmtid="{D5CDD505-2E9C-101B-9397-08002B2CF9AE}" pid="9" name="MSIP_Label_66cf8fe5-b7b7-4df7-b38d-1c61ac2f6639_ContentBits">
    <vt:lpwstr>0</vt:lpwstr>
  </property>
  <property fmtid="{D5CDD505-2E9C-101B-9397-08002B2CF9AE}" pid="10" name="MSIP_Label_66cf8fe5-b7b7-4df7-b38d-1c61ac2f6639_Tag">
    <vt:lpwstr>10, 3, 0, 1</vt:lpwstr>
  </property>
</Properties>
</file>