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240" w:rsidRDefault="00277F2B">
      <w:pPr>
        <w:pStyle w:val="normal0"/>
        <w:jc w:val="center"/>
        <w:rPr>
          <w:b/>
          <w:sz w:val="36"/>
          <w:szCs w:val="36"/>
          <w:u w:val="single"/>
        </w:rPr>
      </w:pPr>
      <w:r>
        <w:rPr>
          <w:b/>
          <w:sz w:val="36"/>
          <w:szCs w:val="36"/>
          <w:u w:val="single"/>
        </w:rPr>
        <w:t xml:space="preserve">Britain and the Great War: </w:t>
      </w:r>
      <w:r w:rsidR="00BA28B6">
        <w:rPr>
          <w:b/>
          <w:sz w:val="36"/>
          <w:szCs w:val="36"/>
          <w:u w:val="single"/>
        </w:rPr>
        <w:t>Portfolio 2500 words</w:t>
      </w:r>
    </w:p>
    <w:p w:rsidR="00663240" w:rsidRDefault="00663240">
      <w:pPr>
        <w:pStyle w:val="normal0"/>
        <w:jc w:val="center"/>
        <w:rPr>
          <w:b/>
          <w:sz w:val="36"/>
          <w:szCs w:val="36"/>
          <w:u w:val="single"/>
        </w:rPr>
      </w:pPr>
    </w:p>
    <w:p w:rsidR="00663240" w:rsidRDefault="00663240">
      <w:pPr>
        <w:pStyle w:val="normal0"/>
        <w:ind w:left="720"/>
        <w:rPr>
          <w:b/>
        </w:rPr>
      </w:pPr>
    </w:p>
    <w:p w:rsidR="00663240" w:rsidRDefault="00BA28B6">
      <w:pPr>
        <w:pStyle w:val="normal0"/>
        <w:rPr>
          <w:u w:val="single"/>
        </w:rPr>
      </w:pPr>
      <w:r>
        <w:rPr>
          <w:b/>
          <w:u w:val="single"/>
        </w:rPr>
        <w:t>Book review (1500 words)</w:t>
      </w:r>
      <w:r>
        <w:rPr>
          <w:u w:val="single"/>
        </w:rPr>
        <w:t xml:space="preserve"> - Travers, Tim, </w:t>
      </w:r>
      <w:r>
        <w:rPr>
          <w:i/>
          <w:u w:val="single"/>
        </w:rPr>
        <w:t>The Killing Ground: The British Army, the Western Front &amp; the Emergence of Modern Warfare 1900- 1918</w:t>
      </w:r>
      <w:r>
        <w:rPr>
          <w:u w:val="single"/>
        </w:rPr>
        <w:t xml:space="preserve">, </w:t>
      </w:r>
    </w:p>
    <w:p w:rsidR="00663240" w:rsidRDefault="00BA28B6">
      <w:pPr>
        <w:pStyle w:val="normal0"/>
        <w:spacing w:before="240" w:after="240"/>
      </w:pPr>
      <w:r>
        <w:t xml:space="preserve">Tim Travers’ </w:t>
      </w:r>
      <w:r>
        <w:rPr>
          <w:i/>
        </w:rPr>
        <w:t>The Killing Ground: The British Army, the Western Front &amp;</w:t>
      </w:r>
      <w:r>
        <w:rPr>
          <w:i/>
        </w:rPr>
        <w:t xml:space="preserve"> the Emergence of Modern War 1900 – 1918,</w:t>
      </w:r>
      <w:r>
        <w:t xml:space="preserve"> covers the awkward transitional period of the Great War that saw armies changing from traditional military views endorsed in Edwardian warfare to modern warfare. Travers’ work was originally published in 1987 by </w:t>
      </w:r>
      <w:r>
        <w:rPr>
          <w:i/>
        </w:rPr>
        <w:t>Al</w:t>
      </w:r>
      <w:r>
        <w:rPr>
          <w:i/>
        </w:rPr>
        <w:t>len and Unwin</w:t>
      </w:r>
      <w:r>
        <w:t xml:space="preserve">, as a paperback focused on balancing both sides of historical debates occurring during the time where little information was published on operational and technical areas of the British front and so </w:t>
      </w:r>
      <w:r>
        <w:rPr>
          <w:i/>
        </w:rPr>
        <w:t>The Killing Ground</w:t>
      </w:r>
      <w:r>
        <w:t xml:space="preserve"> was re-published followin</w:t>
      </w:r>
      <w:r>
        <w:t xml:space="preserve">g historiography’s growth. The re-publishing in 2003 by </w:t>
      </w:r>
      <w:r>
        <w:rPr>
          <w:i/>
        </w:rPr>
        <w:t xml:space="preserve">Leo Cooper </w:t>
      </w:r>
      <w:r>
        <w:t>followed revisionist historiography that arose after 1987, contributing to the debate about British command placing focus on Sir Douglas Haig and moral qualities against tactical advancemen</w:t>
      </w:r>
      <w:r>
        <w:t xml:space="preserve">t. </w:t>
      </w:r>
      <w:r>
        <w:rPr>
          <w:i/>
        </w:rPr>
        <w:t>Pen and Sword Military’</w:t>
      </w:r>
      <w:r>
        <w:t xml:space="preserve">s reprinted edition of 2019, is the edition I am reviewing, possessing an introduction that clarifies Travers’ relevance in today’s historiography of the Great War and </w:t>
      </w:r>
      <w:r>
        <w:rPr>
          <w:i/>
        </w:rPr>
        <w:t>The Killing Ground</w:t>
      </w:r>
      <w:r>
        <w:t>’s history, aiming to appease historians int</w:t>
      </w:r>
      <w:r>
        <w:t>erested in  WW1 especially British command.</w:t>
      </w:r>
    </w:p>
    <w:p w:rsidR="00663240" w:rsidRDefault="00BA28B6">
      <w:pPr>
        <w:pStyle w:val="normal0"/>
        <w:spacing w:before="240" w:after="240"/>
      </w:pPr>
      <w:r>
        <w:t>Travers’ main focus on Haig and conflict between Edwardian thought and modern warfare, is a defining strength that paves the way for readers to understand both sides of historiographical debate surrounding the Br</w:t>
      </w:r>
      <w:r>
        <w:t>itish army’s evolution throughout the conflict. Travers possesses another strength, using primary sources during and following  WW1, displaying infighting between commanders and desires to preserve reputation at the cost of facts being kept secret and blam</w:t>
      </w:r>
      <w:r>
        <w:t>e passed on to others. Primary source material elaborates on the debate showing awkward transition to a professional army, still in the mind frame of hierarchy where conflict emerges in a bid for promotion, hurting the advancement of ideas in favour of tac</w:t>
      </w:r>
      <w:r>
        <w:t>tics that worked before modern firepower.  One weakness I could point out which is not a detachment itself, is it's time frame, originally released in 1987 in a lesser state of historiography and was not changed beyond its edited introduction in re-publish</w:t>
      </w:r>
      <w:r>
        <w:t>ing, Travers’ work may be seen differently compared to revisionists modern works. Furthermore the time frame was not inherently a weakness, for it can show historiography’s evolution from 1987 to today, readers can still understand Britain evolving and the</w:t>
      </w:r>
      <w:r>
        <w:t xml:space="preserve"> infighting during the course of 1914 - 1918. </w:t>
      </w:r>
    </w:p>
    <w:p w:rsidR="00663240" w:rsidRDefault="00BA28B6">
      <w:pPr>
        <w:pStyle w:val="normal0"/>
        <w:spacing w:before="240" w:after="240"/>
      </w:pPr>
      <w:r>
        <w:t xml:space="preserve"> Travers explains the offensive doctrine endorsed by commanders, using soldiers as aggressively as possible to achieve quick and decisive victories, requiring numerous sacrifices that would be demanding of bot</w:t>
      </w:r>
      <w:r>
        <w:t>h infantry and their nation. Furthermore Travers presents the reasoning for strategies and ideologies such as the offensive doctrine through listening and then expanding on those reasons allowing thorough understanding</w:t>
      </w:r>
      <w:r>
        <w:rPr>
          <w:vertAlign w:val="superscript"/>
        </w:rPr>
        <w:footnoteReference w:id="1"/>
      </w:r>
      <w:r>
        <w:t>. Edwardian elements lingered through</w:t>
      </w:r>
      <w:r>
        <w:t xml:space="preserve">out generals and commanders, rivalries for example were harsh some actively trying to use </w:t>
      </w:r>
      <w:proofErr w:type="spellStart"/>
      <w:r>
        <w:rPr>
          <w:i/>
        </w:rPr>
        <w:t>d</w:t>
      </w:r>
      <w:r>
        <w:rPr>
          <w:i/>
          <w:color w:val="222222"/>
        </w:rPr>
        <w:t>é</w:t>
      </w:r>
      <w:r>
        <w:rPr>
          <w:i/>
        </w:rPr>
        <w:t>gommer</w:t>
      </w:r>
      <w:proofErr w:type="spellEnd"/>
      <w:r>
        <w:t xml:space="preserve"> (exile/fire) on rivals so they could get an advantage and promote themselves. Other Edwardian elements still lingering in the British </w:t>
      </w:r>
      <w:r>
        <w:lastRenderedPageBreak/>
        <w:t xml:space="preserve">army was </w:t>
      </w:r>
      <w:proofErr w:type="spellStart"/>
      <w:r>
        <w:t>transfering</w:t>
      </w:r>
      <w:proofErr w:type="spellEnd"/>
      <w:r>
        <w:t xml:space="preserve"> fr</w:t>
      </w:r>
      <w:r>
        <w:t>om a belief in human battlefield using bayonets to a belief in manpower and firepower combined with technology and tactics to support them, staff believing man power would be the crucial factor and not technology</w:t>
      </w:r>
      <w:r>
        <w:rPr>
          <w:vertAlign w:val="superscript"/>
        </w:rPr>
        <w:footnoteReference w:id="2"/>
      </w:r>
      <w:r>
        <w:t>. Travers details how generals and commande</w:t>
      </w:r>
      <w:r>
        <w:t>rs developed and adapted to modern warfare, Sir Douglas Haig being a major figure following his career from start to the end of 1918, looking at his defenders and critics before and after the Great War. Haig is criticized rightfully for believing cavalry w</w:t>
      </w:r>
      <w:r>
        <w:t>ould still be prominent in modern warfare facing technology, hoping panic induced soldiers would easily fall to a charge stuck in the mind-set of the nineteenth century. Haig argues that the larger battlefield would act as better cover for horses and could</w:t>
      </w:r>
      <w:r>
        <w:t xml:space="preserve"> race to prepping modern guns, Travers elaborates on Haig’s views helping understand how he came to believe this but does critic him for believing in cavalry still being prominent, unable to accept the modern battlefield of machine weaponry</w:t>
      </w:r>
      <w:r>
        <w:rPr>
          <w:vertAlign w:val="superscript"/>
        </w:rPr>
        <w:footnoteReference w:id="3"/>
      </w:r>
      <w:r>
        <w:t>.  However Haig</w:t>
      </w:r>
      <w:r>
        <w:t xml:space="preserve"> approved of some new ideas such as tanks, planning their use as shock weapons similar to cavalry that could demoralise enemies and take points easier</w:t>
      </w:r>
      <w:r>
        <w:rPr>
          <w:vertAlign w:val="superscript"/>
        </w:rPr>
        <w:footnoteReference w:id="4"/>
      </w:r>
      <w:r>
        <w:t>. Haig is the prime example of commanders adjusting to the modern battlefield from Edwardian warfare, bel</w:t>
      </w:r>
      <w:r>
        <w:t>ieving the Great War would be a simple war similar to previous wars that saw morale and discipline surpassing technology, facing reality changed that view.  Focus is placed on Haig’s own personality how his fixation on purpose, isolating him and his Genera</w:t>
      </w:r>
      <w:r>
        <w:t>l Headquarters (GHQ)  from other commanders, making it quite difficult to communicate with him becoming an issue in 1916 and 1917 during the battle of the Somme</w:t>
      </w:r>
      <w:r>
        <w:rPr>
          <w:vertAlign w:val="superscript"/>
        </w:rPr>
        <w:footnoteReference w:id="5"/>
      </w:r>
      <w:r>
        <w:t>. The isolation of Haig is a key aspect of Travers’ critique, a big problem for the army as sen</w:t>
      </w:r>
      <w:r>
        <w:t>ior officers were not aware of the conditions at the front, not visiting their soldiers and so would issue orders that do not coincide with what was actually occurring, hierarchy was a reason for the arrogance, a lingering Edwardian element.  Haig’s isolat</w:t>
      </w:r>
      <w:r>
        <w:t>ion and pre-war structure conflicted with fellow commander General Henry Seymour Rawlinson during the Battle of the Somme who preferred a bite and hold artillery tactic that encourages constant artillery fire, leading to infantry rushing to capture objecti</w:t>
      </w:r>
      <w:r>
        <w:t xml:space="preserve">ves. The Somme chapters discuss the two commanders working and conflicting, with tactical ideas developing despite awkward integration of Haig and Rawlinson’s concepts. The two both believed in a simple seizing of objectives and suffered communication and </w:t>
      </w:r>
      <w:r>
        <w:t>hierarchy issues, which prolonged the Somme offensive to last for four and a half months</w:t>
      </w:r>
      <w:r>
        <w:rPr>
          <w:vertAlign w:val="superscript"/>
        </w:rPr>
        <w:footnoteReference w:id="6"/>
      </w:r>
      <w:r>
        <w:t>.</w:t>
      </w:r>
    </w:p>
    <w:p w:rsidR="00663240" w:rsidRDefault="00BA28B6">
      <w:pPr>
        <w:pStyle w:val="normal0"/>
        <w:spacing w:before="240" w:after="240"/>
      </w:pPr>
      <w:r>
        <w:t xml:space="preserve"> Travers details James Edward Edmonds’ the </w:t>
      </w:r>
      <w:r>
        <w:rPr>
          <w:i/>
        </w:rPr>
        <w:t>Official History</w:t>
      </w:r>
      <w:r>
        <w:t>, a work that launched historical debate about the British during WW1 as well as its clear reluctance to f</w:t>
      </w:r>
      <w:r>
        <w:t>ully cover this topic. Edmonds had preference of Haig and would write in favour of GHQ and change his drafts in their favour, avoiding placing blame on those who are truly responsible for tactical failures. Travers points out Edmonds reluctance to fully de</w:t>
      </w:r>
      <w:r>
        <w:t xml:space="preserve">tail British command, citing another official historian, Norman Brook, ‘the whole truth cannot of course be told’, and an understandable action as the </w:t>
      </w:r>
      <w:r>
        <w:rPr>
          <w:i/>
        </w:rPr>
        <w:t>Official History</w:t>
      </w:r>
      <w:r>
        <w:t xml:space="preserve"> was written during the 1930s where surviving soldiers would </w:t>
      </w:r>
      <w:r>
        <w:lastRenderedPageBreak/>
        <w:t>eagerly defend their reputat</w:t>
      </w:r>
      <w:r>
        <w:t>ion</w:t>
      </w:r>
      <w:r>
        <w:rPr>
          <w:vertAlign w:val="superscript"/>
        </w:rPr>
        <w:footnoteReference w:id="7"/>
      </w:r>
      <w:r>
        <w:t xml:space="preserve">.   Haig and his GHQ command are </w:t>
      </w:r>
      <w:proofErr w:type="spellStart"/>
      <w:r>
        <w:t>favored</w:t>
      </w:r>
      <w:proofErr w:type="spellEnd"/>
      <w:r>
        <w:t xml:space="preserve"> throughout Edmonds’ work, sometimes changing to post-war criticism but deflected Haig’s faults. For example, during the planning of the battle of </w:t>
      </w:r>
      <w:proofErr w:type="spellStart"/>
      <w:r>
        <w:t>Passchendaele</w:t>
      </w:r>
      <w:proofErr w:type="spellEnd"/>
      <w:r>
        <w:t>, Haig and his GHQ’s faults were shifted to Rawlinso</w:t>
      </w:r>
      <w:r>
        <w:t xml:space="preserve">n and Gough and Fifth Army which Travers’ remarks that account as ‘plainly wrong’, </w:t>
      </w:r>
      <w:proofErr w:type="spellStart"/>
      <w:r>
        <w:t>Haigh</w:t>
      </w:r>
      <w:proofErr w:type="spellEnd"/>
      <w:r>
        <w:t xml:space="preserve"> led Gough and told him to attempt a breakthrough, clearly facts were vacated from the </w:t>
      </w:r>
      <w:r>
        <w:rPr>
          <w:i/>
        </w:rPr>
        <w:t xml:space="preserve">Official History </w:t>
      </w:r>
      <w:r>
        <w:t>out of individual bias</w:t>
      </w:r>
      <w:r>
        <w:rPr>
          <w:vertAlign w:val="superscript"/>
        </w:rPr>
        <w:footnoteReference w:id="8"/>
      </w:r>
      <w:r>
        <w:t xml:space="preserve">. Edmonds is criticized for good reason, </w:t>
      </w:r>
      <w:r>
        <w:t>setting up historical debate about British command and tactics during the Great War, studying in Staff College with Haig and served in his GHQ staff as an engineer and so analysing Edmonds’ work and pointing out his faults is valid, evolving the debate thr</w:t>
      </w:r>
      <w:r>
        <w:t xml:space="preserve">ough having a balanced view on all </w:t>
      </w:r>
      <w:proofErr w:type="spellStart"/>
      <w:r>
        <w:t>sides.Travers</w:t>
      </w:r>
      <w:proofErr w:type="spellEnd"/>
      <w:r>
        <w:t xml:space="preserve"> keeps the theme of rivalry and command infighting active throughout The </w:t>
      </w:r>
      <w:r>
        <w:rPr>
          <w:i/>
        </w:rPr>
        <w:t>Killing Ground</w:t>
      </w:r>
      <w:r>
        <w:t xml:space="preserve"> to remind readers that investigating accounts written during the early 20th century will have to contend with this theme</w:t>
      </w:r>
      <w:r>
        <w:t xml:space="preserve"> and keep it in mind, learning how the historical debate had to unravel truth from rivalry accounts and have a sceptical view of primary sources.</w:t>
      </w:r>
    </w:p>
    <w:p w:rsidR="00663240" w:rsidRDefault="00BA28B6">
      <w:pPr>
        <w:pStyle w:val="normal0"/>
        <w:spacing w:before="240" w:after="240"/>
      </w:pPr>
      <w:r>
        <w:rPr>
          <w:i/>
        </w:rPr>
        <w:t>The Killing Ground</w:t>
      </w:r>
      <w:r>
        <w:t>’s epilogue begins with the state of British, French and German tactics in 1918, combination</w:t>
      </w:r>
      <w:r>
        <w:t xml:space="preserve"> of all arms was a reality, machines of war were allowed to find their own logic and tactics and cavalry was seen as incompatible with modern weaponry, thus evolving from Edwardian views</w:t>
      </w:r>
      <w:r>
        <w:rPr>
          <w:vertAlign w:val="superscript"/>
        </w:rPr>
        <w:footnoteReference w:id="9"/>
      </w:r>
      <w:r>
        <w:t>.  By 1917 - 1918 many officers accepted modern- warfare; previous ye</w:t>
      </w:r>
      <w:r>
        <w:t>ars were unable to reach this by Edwardian elements such as personalized army system, the psychological battlefield and structure of command that allowed the isolation of Haig and GHQ whose ideas caused issues throughout the Somme campaign.  Travers remark</w:t>
      </w:r>
      <w:r>
        <w:t>s this obstruction as a second war, the power of pre- war army structure was facing against the reality of modern warfare having an “emotional attachment to pre- war ideas and army structure was simply too strong for most senior officers'', emphasizing tha</w:t>
      </w:r>
      <w:r>
        <w:t>t Edwardian feelings were holding back the army</w:t>
      </w:r>
      <w:r>
        <w:rPr>
          <w:vertAlign w:val="superscript"/>
        </w:rPr>
        <w:footnoteReference w:id="10"/>
      </w:r>
      <w:r>
        <w:t xml:space="preserve">. Despite this obstruction compared to their French counterparts, the British were more tactically flexible allowing offensive strategies to evolve. This represents Travers main point that the British during </w:t>
      </w:r>
      <w:r>
        <w:t>the Great War were stuck in an awkward transition period, from a traditional army to a permanent and modern army. Travers’ ending quote for the British side reflects the futility of ‘lions led by donkeys’ but more fair to mistakes, telling that a full shif</w:t>
      </w:r>
      <w:r>
        <w:t>t to modern warfare would mean a great change to British society.  “The British army’s reaction to the emergence of modern warfare was therefore a conservative reflex; perhaps full accommodation to machine warfare would have required social and hierarchica</w:t>
      </w:r>
      <w:r>
        <w:t>l changes with unforeseen consequences.”</w:t>
      </w:r>
      <w:r>
        <w:rPr>
          <w:vertAlign w:val="superscript"/>
        </w:rPr>
        <w:footnoteReference w:id="11"/>
      </w:r>
      <w:r>
        <w:t xml:space="preserve"> Travers therefore wrote the transition as necessary despite its awkwardness, professionalising the army but not at a rate that would hurt society, keeping the apologists for Haig and ‘lions led by donkeys’ side of </w:t>
      </w:r>
      <w:r>
        <w:t xml:space="preserve">the debate appeased. </w:t>
      </w:r>
      <w:r>
        <w:rPr>
          <w:i/>
        </w:rPr>
        <w:t>The Killing Ground</w:t>
      </w:r>
      <w:r>
        <w:t xml:space="preserve"> provides maps of significant British battles such as the Battle of the Somme with map keys, showing the British front line and gains, allowing readers to visualise Travers’ work and potentially tactics used.</w:t>
      </w:r>
    </w:p>
    <w:p w:rsidR="00663240" w:rsidRDefault="00BA28B6">
      <w:pPr>
        <w:pStyle w:val="normal0"/>
        <w:spacing w:before="240" w:after="240"/>
      </w:pPr>
      <w:r>
        <w:lastRenderedPageBreak/>
        <w:t xml:space="preserve"> Overall</w:t>
      </w:r>
      <w:r>
        <w:t xml:space="preserve"> </w:t>
      </w:r>
      <w:r>
        <w:rPr>
          <w:i/>
        </w:rPr>
        <w:t>The Killing Ground</w:t>
      </w:r>
      <w:r>
        <w:t xml:space="preserve"> is a fantastic read for studying British command and tactics evolving through WW1 and understanding historiography behind the topic, following Edwardian thought present in commanders such as Haig and their acceptance of modern warfare. </w:t>
      </w:r>
      <w:r>
        <w:t>Furthermore Travers’ work elaborates on two sides of debate allowing readers to understand the context and historiography, providing multiple primary sources and elaborating on them allowing understanding of obscure details that were hidden until modern ti</w:t>
      </w:r>
      <w:r>
        <w:t>mes, essentially an immense insight in British command and tactics.</w:t>
      </w:r>
    </w:p>
    <w:p w:rsidR="00663240" w:rsidRDefault="00BA28B6">
      <w:pPr>
        <w:pStyle w:val="normal0"/>
        <w:spacing w:before="240" w:after="240"/>
        <w:rPr>
          <w:sz w:val="20"/>
          <w:szCs w:val="20"/>
        </w:rPr>
      </w:pPr>
      <w:r>
        <w:rPr>
          <w:sz w:val="20"/>
          <w:szCs w:val="20"/>
        </w:rPr>
        <w:t>Word count: 1597</w:t>
      </w:r>
    </w:p>
    <w:p w:rsidR="00663240" w:rsidRDefault="00BA28B6">
      <w:pPr>
        <w:pStyle w:val="normal0"/>
        <w:spacing w:before="240" w:after="240"/>
        <w:rPr>
          <w:b/>
          <w:u w:val="single"/>
        </w:rPr>
      </w:pPr>
      <w:r>
        <w:rPr>
          <w:b/>
          <w:u w:val="single"/>
        </w:rPr>
        <w:t>Primary document review</w:t>
      </w:r>
      <w:r w:rsidR="005B13C0">
        <w:rPr>
          <w:b/>
          <w:u w:val="single"/>
        </w:rPr>
        <w:t xml:space="preserve"> </w:t>
      </w:r>
      <w:r w:rsidR="005B13C0" w:rsidRPr="005B13C0">
        <w:rPr>
          <w:u w:val="single"/>
        </w:rPr>
        <w:t>- Frederick Morgan's recruitment papers</w:t>
      </w:r>
    </w:p>
    <w:p w:rsidR="00663240" w:rsidRDefault="00BA28B6">
      <w:pPr>
        <w:pStyle w:val="normal0"/>
        <w:spacing w:before="240" w:after="240"/>
      </w:pPr>
      <w:r>
        <w:t xml:space="preserve"> Frederick Morgan’s recruitment papers are comprised of twenty six pages some being duplicates for the sake of preserving information in the records. These recruitment papers are useful for detailing how a soldier would enlist and the scrutiny of their phy</w:t>
      </w:r>
      <w:r>
        <w:t xml:space="preserve">sical attributes to ensure fitness for service.  Battlefield losses and reducing numbers of volunteers resulted in conscription, when fitness requirements became less stringent. I obtained these documents from a family member who accessed the records from </w:t>
      </w:r>
      <w:r>
        <w:t>archives; those who desire to research their own family's past can pay a subscription to access information. The documents are slightly fire damaged due to the War Office repository being bombed during WWII, and though not in best condition, they are relev</w:t>
      </w:r>
      <w:r>
        <w:t>ant for showing how recruitment worked during WWI.</w:t>
      </w:r>
    </w:p>
    <w:p w:rsidR="00663240" w:rsidRDefault="00BA28B6">
      <w:pPr>
        <w:pStyle w:val="normal0"/>
        <w:spacing w:before="240" w:after="240"/>
      </w:pPr>
      <w:r>
        <w:t xml:space="preserve"> Recruited on 7th February 1916 at age eighteen, Frederick in his first paper, is questioned about his personal details including address (hailing from Saundersfoot), job, war experience and approval from </w:t>
      </w:r>
      <w:r>
        <w:t>a fellow officer. Frederick had no experience as a soldier before 1916, and is registered as single, the main type of British man that enlisted before conscription was introduced in March 1916. Page two details height and chest measurement, most importantl</w:t>
      </w:r>
      <w:r>
        <w:t>y Morgan’s next of kin his father, suggesting the army would message and reimburse him in case of Frederick’s death.</w:t>
      </w:r>
    </w:p>
    <w:p w:rsidR="00663240" w:rsidRDefault="00BA28B6">
      <w:pPr>
        <w:pStyle w:val="normal0"/>
        <w:spacing w:before="240" w:after="240"/>
      </w:pPr>
      <w:r>
        <w:t xml:space="preserve"> Frederick’s rank was gunner serving in artillery units and he was awarded the British War Medal and Victory medal as detailed on page thre</w:t>
      </w:r>
      <w:r>
        <w:t>e, which is damaged and the handwriting difficult to read. Frederick’s role is recorded in page six, noted for short service, being part of the Colours and Army Reserve and making an oath to serve King and Country. The short service recruitment paper sugge</w:t>
      </w:r>
      <w:r>
        <w:t>sts a majority of the army during the conflict were only temporary soldiers. This was an era where armies were becoming professional with enchanted training and organization, whereas before WWI, soldiers would enlist if they wished to work for armies or co</w:t>
      </w:r>
      <w:r>
        <w:t>mbat. Statement of service papers listed Morgan as number 11890, becoming part of the army reserve in February 8th 1916, mobilized in March 28th and posted the following day he would change from gunner of the No.2 Deport RGA on 7th April to gunner of the 1</w:t>
      </w:r>
      <w:r>
        <w:t xml:space="preserve">69th heavy battery by the 27th of April. Morgan would join another heavy battery called the 24th heavy battery on the 4th of September 1916 where he would </w:t>
      </w:r>
      <w:r>
        <w:lastRenderedPageBreak/>
        <w:t>spend most of the war until April 1919, which is recorded in photography and scholarly works alongsid</w:t>
      </w:r>
      <w:r>
        <w:t>e memorable efforts</w:t>
      </w:r>
      <w:r>
        <w:rPr>
          <w:vertAlign w:val="superscript"/>
        </w:rPr>
        <w:footnoteReference w:id="12"/>
      </w:r>
      <w:r>
        <w:t>.</w:t>
      </w:r>
    </w:p>
    <w:p w:rsidR="00663240" w:rsidRDefault="00BA28B6">
      <w:pPr>
        <w:pStyle w:val="normal0"/>
        <w:spacing w:before="240" w:after="240"/>
      </w:pPr>
      <w:r>
        <w:t xml:space="preserve"> </w:t>
      </w:r>
      <w:r>
        <w:rPr>
          <w:i/>
        </w:rPr>
        <w:t>With the Heavies in Flanders</w:t>
      </w:r>
      <w:r>
        <w:t xml:space="preserve"> is a primary account written about the 24th heavy battery by Harold F. Berdinner, the wireless operator to the battery (1916 - 1919) during the time of Morgan’s service. Morgan is addressed in the book, b</w:t>
      </w:r>
      <w:r>
        <w:t>orrowed from a family member, a signed copy gifted by Berdinner as part of the 24th heavy battery after its release in March 16th 1922. Berdinner wrote close to the conflict which proves useful in understanding what occurred during the conflict and its atm</w:t>
      </w:r>
      <w:r>
        <w:t>osphere, as well as attitudes to the conflict only a few years after its conclusion. An interesting detail of Berdinner’s work is the 24th heavy battery playing a football match with Morgan’s final gun battery, the 152nd heavies, which is a nice coincidenc</w:t>
      </w:r>
      <w:r>
        <w:t>e. Other details of the 24th battery are also included in the book that would be an interesting investigation in itself</w:t>
      </w:r>
      <w:r>
        <w:rPr>
          <w:vertAlign w:val="superscript"/>
        </w:rPr>
        <w:footnoteReference w:id="13"/>
      </w:r>
      <w:r>
        <w:t>.</w:t>
      </w:r>
    </w:p>
    <w:p w:rsidR="00663240" w:rsidRDefault="00BA28B6">
      <w:pPr>
        <w:pStyle w:val="normal0"/>
        <w:spacing w:before="240" w:after="240"/>
      </w:pPr>
      <w:r>
        <w:t xml:space="preserve"> Medical history is also included in page nine where Morgan was examined in the recruiting medical board at Carmarthen where his heigh</w:t>
      </w:r>
      <w:r>
        <w:t>t and weight are recorded and his physical development is marked as very good. Vaccination is also mentioned, Morgan received his in infancy, possessing regular vision, a scar is located behind right leg, and a slight defect not sufficient to cause rejecti</w:t>
      </w:r>
      <w:r>
        <w:t>on being a dental attention. The medical paper tells how soldiers were evaluated in detail, looking at all aspects including any injuries or slight defects, acceptance of these defects suggests that every man was needed.  Education was also important for a</w:t>
      </w:r>
      <w:r>
        <w:t xml:space="preserve"> soldier, military history sheet (page eleven) presents schools that taught military skills including, Royal Hibernian Military School and Duke of York’s Royal Military School. The recruitment papers were printed for all soldiers and let these schools in f</w:t>
      </w:r>
      <w:r>
        <w:t>or ease, acknowledging previous training, separating trained from the untrained, because of this Morgan would be under military training before facing combat.</w:t>
      </w:r>
    </w:p>
    <w:p w:rsidR="00663240" w:rsidRDefault="00BA28B6">
      <w:pPr>
        <w:pStyle w:val="normal0"/>
        <w:spacing w:before="240" w:after="240"/>
      </w:pPr>
      <w:r>
        <w:t xml:space="preserve"> Morgan’s statement as to disability paper (page fifteen) gives more details of his role, serving</w:t>
      </w:r>
      <w:r>
        <w:t xml:space="preserve"> in the Royal Garrison Artillery (R.G.A) corps as a gunner part of the 152nd heavy battery unit, his final unit, and was examined in Germany in September 1919. Frederick was marked as medical category A meaning normal condition, with no disability as appro</w:t>
      </w:r>
      <w:r>
        <w:t>ved by another soldier of the R.G.A, the discharge segment was scribbled out, essentially he did not face discharge and was a normal soldier. The disability paper was used to notify higher command of any hindrances to their soldiers and if any compensation</w:t>
      </w:r>
      <w:r>
        <w:t xml:space="preserve"> would be provided to that particular soldier and his family via a claim. Questions were listed, in Frederick’s case were not filled in due to not making a claim, these questions involved illness, injuries, how long a soldier fought for and addresses of ho</w:t>
      </w:r>
      <w:r>
        <w:t xml:space="preserve">spital where they attended to before joining the </w:t>
      </w:r>
      <w:proofErr w:type="spellStart"/>
      <w:r>
        <w:t>army.The</w:t>
      </w:r>
      <w:proofErr w:type="spellEnd"/>
      <w:r>
        <w:t xml:space="preserve"> disability page provides the opinion of examining medical officers where they would clarify the diagnosis of soldiers, learn if their injury occurred during conflict and list each disability and the</w:t>
      </w:r>
      <w:r>
        <w:t>ir ability to claim compensation.</w:t>
      </w:r>
    </w:p>
    <w:p w:rsidR="00663240" w:rsidRDefault="00BA28B6">
      <w:pPr>
        <w:pStyle w:val="normal0"/>
        <w:spacing w:before="240" w:after="240"/>
      </w:pPr>
      <w:r>
        <w:t xml:space="preserve">Page seventeen covers Morgan’s active service, including details such as fourteen days leave to UK granted 22nd December 1917 to celebrate Christmas, and leave to UK via </w:t>
      </w:r>
      <w:r>
        <w:lastRenderedPageBreak/>
        <w:t>Boulogne between 21</w:t>
      </w:r>
      <w:r>
        <w:rPr>
          <w:vertAlign w:val="superscript"/>
        </w:rPr>
        <w:t>st</w:t>
      </w:r>
      <w:r>
        <w:t xml:space="preserve"> November and 4</w:t>
      </w:r>
      <w:r>
        <w:rPr>
          <w:vertAlign w:val="superscript"/>
        </w:rPr>
        <w:t>th</w:t>
      </w:r>
      <w:r>
        <w:t xml:space="preserve"> December 1918</w:t>
      </w:r>
      <w:r>
        <w:t>. Morgan continued to serve until 21st August 1919, helping to stabilize the German border during German occupation while peace arrangements were initialized. Morgan went to France in September 1916, joining multiple heavy batteries at a time when many ent</w:t>
      </w:r>
      <w:r>
        <w:t>ered France, where he would be with heavy guns such as howitzers, perhaps firing these major weapons or guarding them from enemy attack.</w:t>
      </w:r>
      <w:r>
        <w:rPr>
          <w:vertAlign w:val="superscript"/>
        </w:rPr>
        <w:footnoteReference w:id="14"/>
      </w:r>
      <w:r>
        <w:t xml:space="preserve">  Morgan would join with the 152nd heavy battery on April 3rd 1919, continuing to serve with the military. The service </w:t>
      </w:r>
      <w:r>
        <w:t>papers retain limitations such as difficult to read handwriting and limited information, they were most likely completed quickly to serve as an overview and therefore encourage further investigation into the details contained within them. All these documen</w:t>
      </w:r>
      <w:r>
        <w:t>ts were classed as government property on page nineteen, a Protection Certificate and Certificate of Identity providing Morgan's details for any potential benefit claims.</w:t>
      </w:r>
    </w:p>
    <w:p w:rsidR="00663240" w:rsidRDefault="00BA28B6">
      <w:pPr>
        <w:pStyle w:val="normal0"/>
        <w:spacing w:before="240" w:after="240"/>
      </w:pPr>
      <w:r>
        <w:t>Overall Morgan’s recruitment papers present more information of how men joined the co</w:t>
      </w:r>
      <w:r>
        <w:t>nflict before conscription occurred, giving a sense of planned organization from an in depth look at a soldier’s history from livelihood, medical and military service, learning that some soldiers served after the conflict perhaps as active service.</w:t>
      </w:r>
    </w:p>
    <w:p w:rsidR="00663240" w:rsidRDefault="00BA28B6">
      <w:pPr>
        <w:pStyle w:val="normal0"/>
        <w:spacing w:before="240" w:after="240"/>
      </w:pPr>
      <w:r>
        <w:t>Word co</w:t>
      </w:r>
      <w:r>
        <w:t>unt: 1138</w:t>
      </w:r>
    </w:p>
    <w:p w:rsidR="00663240" w:rsidRDefault="00BA28B6">
      <w:pPr>
        <w:pStyle w:val="normal0"/>
        <w:spacing w:before="240" w:after="240"/>
      </w:pPr>
      <w:r>
        <w:t>Total word count: 2735</w:t>
      </w:r>
    </w:p>
    <w:p w:rsidR="00663240" w:rsidRDefault="00BA28B6">
      <w:pPr>
        <w:pStyle w:val="normal0"/>
        <w:rPr>
          <w:b/>
          <w:u w:val="single"/>
        </w:rPr>
      </w:pPr>
      <w:r>
        <w:rPr>
          <w:b/>
          <w:u w:val="single"/>
        </w:rPr>
        <w:t>Bibliography</w:t>
      </w:r>
    </w:p>
    <w:p w:rsidR="00663240" w:rsidRDefault="00663240">
      <w:pPr>
        <w:pStyle w:val="normal0"/>
        <w:rPr>
          <w:b/>
          <w:u w:val="single"/>
        </w:rPr>
      </w:pPr>
    </w:p>
    <w:p w:rsidR="00663240" w:rsidRDefault="00BA28B6">
      <w:pPr>
        <w:pStyle w:val="normal0"/>
        <w:numPr>
          <w:ilvl w:val="0"/>
          <w:numId w:val="2"/>
        </w:numPr>
        <w:spacing w:line="240" w:lineRule="auto"/>
        <w:rPr>
          <w:b/>
        </w:rPr>
      </w:pPr>
      <w:r>
        <w:t xml:space="preserve">Travers, Tim, </w:t>
      </w:r>
      <w:r>
        <w:rPr>
          <w:i/>
        </w:rPr>
        <w:t>The Killing Ground: The British Army, the Western Front &amp; the Emergence of Modern Warfare 1900- 1918</w:t>
      </w:r>
      <w:r>
        <w:t xml:space="preserve">, reprint </w:t>
      </w:r>
      <w:proofErr w:type="spellStart"/>
      <w:r>
        <w:t>ed</w:t>
      </w:r>
      <w:proofErr w:type="spellEnd"/>
      <w:r>
        <w:t>, (Yorkshire, Pen &amp; Sword Military, 2019),</w:t>
      </w:r>
      <w:r>
        <w:rPr>
          <w:sz w:val="20"/>
          <w:szCs w:val="20"/>
        </w:rPr>
        <w:t xml:space="preserve"> pp.37-38. </w:t>
      </w:r>
    </w:p>
    <w:p w:rsidR="00663240" w:rsidRDefault="00BA28B6">
      <w:pPr>
        <w:pStyle w:val="normal0"/>
        <w:numPr>
          <w:ilvl w:val="0"/>
          <w:numId w:val="2"/>
        </w:numPr>
        <w:spacing w:line="240" w:lineRule="auto"/>
        <w:rPr>
          <w:b/>
        </w:rPr>
      </w:pPr>
      <w:r>
        <w:rPr>
          <w:sz w:val="20"/>
          <w:szCs w:val="20"/>
        </w:rPr>
        <w:t xml:space="preserve"> The Wartime Memories Project</w:t>
      </w:r>
      <w:r>
        <w:rPr>
          <w:sz w:val="20"/>
          <w:szCs w:val="20"/>
        </w:rPr>
        <w:t>,</w:t>
      </w:r>
      <w:r>
        <w:rPr>
          <w:i/>
          <w:sz w:val="20"/>
          <w:szCs w:val="20"/>
        </w:rPr>
        <w:t xml:space="preserve"> 24th Heavy Battery, Royal Garrison Artillery during the Great War</w:t>
      </w:r>
      <w:r>
        <w:rPr>
          <w:sz w:val="20"/>
          <w:szCs w:val="20"/>
        </w:rPr>
        <w:t>, 2019,</w:t>
      </w:r>
      <w:r>
        <w:rPr>
          <w:i/>
          <w:sz w:val="20"/>
          <w:szCs w:val="20"/>
        </w:rPr>
        <w:t xml:space="preserve">   </w:t>
      </w:r>
      <w:hyperlink r:id="rId7">
        <w:r>
          <w:rPr>
            <w:color w:val="1155CC"/>
            <w:u w:val="single"/>
          </w:rPr>
          <w:t>https://www.wartimememoriesproject.com/greatwar/allied/rgartillery.php?pid=9280</w:t>
        </w:r>
      </w:hyperlink>
      <w:r>
        <w:rPr>
          <w:sz w:val="20"/>
          <w:szCs w:val="20"/>
        </w:rPr>
        <w:t xml:space="preserve"> [A</w:t>
      </w:r>
      <w:r>
        <w:rPr>
          <w:sz w:val="20"/>
          <w:szCs w:val="20"/>
        </w:rPr>
        <w:t>ccessed 13th November 2019].</w:t>
      </w:r>
    </w:p>
    <w:p w:rsidR="00663240" w:rsidRDefault="00BA28B6">
      <w:pPr>
        <w:pStyle w:val="normal0"/>
        <w:numPr>
          <w:ilvl w:val="0"/>
          <w:numId w:val="2"/>
        </w:numPr>
        <w:spacing w:line="240" w:lineRule="auto"/>
        <w:rPr>
          <w:b/>
        </w:rPr>
      </w:pPr>
      <w:r>
        <w:rPr>
          <w:sz w:val="20"/>
          <w:szCs w:val="20"/>
        </w:rPr>
        <w:t xml:space="preserve">Berdinner, F. Harold, </w:t>
      </w:r>
      <w:r>
        <w:rPr>
          <w:i/>
          <w:sz w:val="20"/>
          <w:szCs w:val="20"/>
        </w:rPr>
        <w:t xml:space="preserve">With the Heavies in Flanders: 1914 - ‘15- ‘16 - ‘17 - ‘18- ‘19: A Record of the active service of the 24th Heavy Battery R.G.A </w:t>
      </w:r>
      <w:r>
        <w:rPr>
          <w:sz w:val="20"/>
          <w:szCs w:val="20"/>
        </w:rPr>
        <w:t xml:space="preserve">(Kingsway, The </w:t>
      </w:r>
      <w:proofErr w:type="spellStart"/>
      <w:r>
        <w:rPr>
          <w:sz w:val="20"/>
          <w:szCs w:val="20"/>
        </w:rPr>
        <w:t>Botolph</w:t>
      </w:r>
      <w:proofErr w:type="spellEnd"/>
      <w:r>
        <w:rPr>
          <w:sz w:val="20"/>
          <w:szCs w:val="20"/>
        </w:rPr>
        <w:t xml:space="preserve"> Printing Works, 1922).</w:t>
      </w:r>
    </w:p>
    <w:p w:rsidR="00663240" w:rsidRDefault="00BA28B6">
      <w:pPr>
        <w:pStyle w:val="normal0"/>
        <w:numPr>
          <w:ilvl w:val="0"/>
          <w:numId w:val="1"/>
        </w:numPr>
        <w:spacing w:line="240" w:lineRule="auto"/>
        <w:rPr>
          <w:b/>
        </w:rPr>
      </w:pPr>
      <w:r>
        <w:rPr>
          <w:sz w:val="20"/>
          <w:szCs w:val="20"/>
        </w:rPr>
        <w:t xml:space="preserve"> Baker, Chris, </w:t>
      </w:r>
      <w:r>
        <w:rPr>
          <w:i/>
          <w:sz w:val="20"/>
          <w:szCs w:val="20"/>
        </w:rPr>
        <w:t>The Heavy Batteries of the Royal Garrison Artillery</w:t>
      </w:r>
      <w:r>
        <w:rPr>
          <w:sz w:val="20"/>
          <w:szCs w:val="20"/>
        </w:rPr>
        <w:t>, 2019,</w:t>
      </w:r>
    </w:p>
    <w:p w:rsidR="00663240" w:rsidRDefault="00663240">
      <w:pPr>
        <w:pStyle w:val="normal0"/>
        <w:spacing w:line="240" w:lineRule="auto"/>
        <w:ind w:left="720"/>
        <w:rPr>
          <w:b/>
          <w:u w:val="single"/>
        </w:rPr>
      </w:pPr>
      <w:hyperlink r:id="rId8">
        <w:r w:rsidR="00BA28B6">
          <w:rPr>
            <w:color w:val="1155CC"/>
            <w:u w:val="single"/>
          </w:rPr>
          <w:t>https://www.longlongtrail.c</w:t>
        </w:r>
        <w:r w:rsidR="00BA28B6">
          <w:rPr>
            <w:color w:val="1155CC"/>
            <w:u w:val="single"/>
          </w:rPr>
          <w:t>o.uk/army/regiments-and-corps/the-royal-artillery-in-the-first-world-war/the-heavy-batteries-of-the-royal-garrison-ar</w:t>
        </w:r>
      </w:hyperlink>
      <w:hyperlink r:id="rId9">
        <w:r w:rsidR="00BA28B6">
          <w:rPr>
            <w:color w:val="1155CC"/>
            <w:sz w:val="20"/>
            <w:szCs w:val="20"/>
            <w:u w:val="single"/>
          </w:rPr>
          <w:t>t</w:t>
        </w:r>
      </w:hyperlink>
      <w:hyperlink r:id="rId10">
        <w:r w:rsidR="00BA28B6">
          <w:rPr>
            <w:color w:val="1155CC"/>
            <w:u w:val="single"/>
          </w:rPr>
          <w:t>illery/</w:t>
        </w:r>
      </w:hyperlink>
      <w:r w:rsidR="00BA28B6">
        <w:rPr>
          <w:sz w:val="20"/>
          <w:szCs w:val="20"/>
        </w:rPr>
        <w:t xml:space="preserve"> [Accessed 12th November 2019].</w:t>
      </w:r>
    </w:p>
    <w:sectPr w:rsidR="00663240" w:rsidSect="00663240">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8B6" w:rsidRDefault="00BA28B6" w:rsidP="00663240">
      <w:pPr>
        <w:spacing w:line="240" w:lineRule="auto"/>
      </w:pPr>
      <w:r>
        <w:separator/>
      </w:r>
    </w:p>
  </w:endnote>
  <w:endnote w:type="continuationSeparator" w:id="0">
    <w:p w:rsidR="00BA28B6" w:rsidRDefault="00BA28B6" w:rsidP="0066324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8B6" w:rsidRDefault="00BA28B6" w:rsidP="00663240">
      <w:pPr>
        <w:spacing w:line="240" w:lineRule="auto"/>
      </w:pPr>
      <w:r>
        <w:separator/>
      </w:r>
    </w:p>
  </w:footnote>
  <w:footnote w:type="continuationSeparator" w:id="0">
    <w:p w:rsidR="00BA28B6" w:rsidRDefault="00BA28B6" w:rsidP="00663240">
      <w:pPr>
        <w:spacing w:line="240" w:lineRule="auto"/>
      </w:pPr>
      <w:r>
        <w:continuationSeparator/>
      </w:r>
    </w:p>
  </w:footnote>
  <w:footnote w:id="1">
    <w:p w:rsidR="00663240" w:rsidRDefault="00BA28B6">
      <w:pPr>
        <w:pStyle w:val="normal0"/>
        <w:spacing w:line="240" w:lineRule="auto"/>
        <w:rPr>
          <w:sz w:val="20"/>
          <w:szCs w:val="20"/>
        </w:rPr>
      </w:pPr>
      <w:r>
        <w:rPr>
          <w:vertAlign w:val="superscript"/>
        </w:rPr>
        <w:footnoteRef/>
      </w:r>
      <w:r>
        <w:rPr>
          <w:sz w:val="20"/>
          <w:szCs w:val="20"/>
        </w:rPr>
        <w:t xml:space="preserve">Travers, Tim, </w:t>
      </w:r>
      <w:r>
        <w:rPr>
          <w:i/>
          <w:sz w:val="20"/>
          <w:szCs w:val="20"/>
        </w:rPr>
        <w:t>The Killing Ground: The British Army, the Western Front &amp; the Emergence of Modern Warfare 1900- 1918</w:t>
      </w:r>
      <w:r>
        <w:rPr>
          <w:sz w:val="20"/>
          <w:szCs w:val="20"/>
        </w:rPr>
        <w:t xml:space="preserve">, reprint </w:t>
      </w:r>
      <w:proofErr w:type="spellStart"/>
      <w:r>
        <w:rPr>
          <w:sz w:val="20"/>
          <w:szCs w:val="20"/>
        </w:rPr>
        <w:t>ed</w:t>
      </w:r>
      <w:proofErr w:type="spellEnd"/>
      <w:r>
        <w:rPr>
          <w:sz w:val="20"/>
          <w:szCs w:val="20"/>
        </w:rPr>
        <w:t xml:space="preserve">, (Yorkshire, Pen &amp; Sword Military, 2019), pp.37-38. </w:t>
      </w:r>
    </w:p>
  </w:footnote>
  <w:footnote w:id="2">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The Killing Ground: The British Army, the Western Front &amp; the Emergence of</w:t>
      </w:r>
      <w:r>
        <w:rPr>
          <w:i/>
          <w:sz w:val="20"/>
          <w:szCs w:val="20"/>
        </w:rPr>
        <w:t xml:space="preserve"> Modern Warfare 1900- 1918,</w:t>
      </w:r>
      <w:r>
        <w:rPr>
          <w:sz w:val="20"/>
          <w:szCs w:val="20"/>
        </w:rPr>
        <w:t xml:space="preserve"> p.68-69. </w:t>
      </w:r>
    </w:p>
  </w:footnote>
  <w:footnote w:id="3">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 xml:space="preserve">The Killing Ground: The British Army, the Western Front &amp; the Emergence of Modern Warfare 1900- 1918, </w:t>
      </w:r>
      <w:r>
        <w:rPr>
          <w:sz w:val="20"/>
          <w:szCs w:val="20"/>
        </w:rPr>
        <w:t xml:space="preserve">pp.90- 91. </w:t>
      </w:r>
    </w:p>
  </w:footnote>
  <w:footnote w:id="4">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 xml:space="preserve">The Killing Ground: The British Army, the Western Front &amp; the Emergence </w:t>
      </w:r>
      <w:r>
        <w:rPr>
          <w:i/>
          <w:sz w:val="20"/>
          <w:szCs w:val="20"/>
        </w:rPr>
        <w:t xml:space="preserve">of Modern Warfare 1900- 1918, </w:t>
      </w:r>
      <w:r>
        <w:rPr>
          <w:sz w:val="20"/>
          <w:szCs w:val="20"/>
        </w:rPr>
        <w:t>p.178 .</w:t>
      </w:r>
    </w:p>
  </w:footnote>
  <w:footnote w:id="5">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The Killing Ground: The British Army, the Western Front &amp; the Emergence of Modern Warfare 1900- 1918,</w:t>
      </w:r>
      <w:r>
        <w:rPr>
          <w:sz w:val="20"/>
          <w:szCs w:val="20"/>
        </w:rPr>
        <w:t xml:space="preserve"> p.102.</w:t>
      </w:r>
    </w:p>
  </w:footnote>
  <w:footnote w:id="6">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The Killing Ground: The British Army, the Western Front &amp; the Emergence of Mo</w:t>
      </w:r>
      <w:r>
        <w:rPr>
          <w:i/>
          <w:sz w:val="20"/>
          <w:szCs w:val="20"/>
        </w:rPr>
        <w:t>dern Warfare 1900- 1918,</w:t>
      </w:r>
      <w:r>
        <w:rPr>
          <w:sz w:val="20"/>
          <w:szCs w:val="20"/>
        </w:rPr>
        <w:t xml:space="preserve"> p.146. </w:t>
      </w:r>
    </w:p>
  </w:footnote>
  <w:footnote w:id="7">
    <w:p w:rsidR="00663240" w:rsidRDefault="00BA28B6">
      <w:pPr>
        <w:pStyle w:val="normal0"/>
        <w:spacing w:line="240" w:lineRule="auto"/>
        <w:rPr>
          <w:sz w:val="20"/>
          <w:szCs w:val="20"/>
        </w:rPr>
      </w:pPr>
      <w:r>
        <w:rPr>
          <w:vertAlign w:val="superscript"/>
        </w:rPr>
        <w:footnoteRef/>
      </w:r>
      <w:r>
        <w:rPr>
          <w:sz w:val="20"/>
          <w:szCs w:val="20"/>
        </w:rPr>
        <w:t xml:space="preserve"> Brian Bond, </w:t>
      </w:r>
      <w:r>
        <w:rPr>
          <w:i/>
          <w:sz w:val="20"/>
          <w:szCs w:val="20"/>
        </w:rPr>
        <w:t xml:space="preserve">Liddell Hart: A Study of his Military Thought </w:t>
      </w:r>
      <w:r>
        <w:rPr>
          <w:sz w:val="20"/>
          <w:szCs w:val="20"/>
        </w:rPr>
        <w:t>(London,</w:t>
      </w:r>
      <w:r>
        <w:rPr>
          <w:i/>
          <w:sz w:val="20"/>
          <w:szCs w:val="20"/>
        </w:rPr>
        <w:t xml:space="preserve"> Rutgers University Press,</w:t>
      </w:r>
      <w:r>
        <w:rPr>
          <w:sz w:val="20"/>
          <w:szCs w:val="20"/>
        </w:rPr>
        <w:t xml:space="preserve"> 1977), p.82.</w:t>
      </w:r>
    </w:p>
  </w:footnote>
  <w:footnote w:id="8">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The Killing Ground: The British Army, the Western Front &amp; the Emergence of Modern Warfare 1900- 191</w:t>
      </w:r>
      <w:r>
        <w:rPr>
          <w:i/>
          <w:sz w:val="20"/>
          <w:szCs w:val="20"/>
        </w:rPr>
        <w:t>8,</w:t>
      </w:r>
      <w:r>
        <w:rPr>
          <w:sz w:val="20"/>
          <w:szCs w:val="20"/>
        </w:rPr>
        <w:t xml:space="preserve">  p.216.</w:t>
      </w:r>
    </w:p>
  </w:footnote>
  <w:footnote w:id="9">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The Killing Ground: The British Army, the Western Front &amp; the Emergence of Modern Warfare 1900- 1918,</w:t>
      </w:r>
      <w:r>
        <w:rPr>
          <w:sz w:val="20"/>
          <w:szCs w:val="20"/>
        </w:rPr>
        <w:t xml:space="preserve"> p.250.</w:t>
      </w:r>
    </w:p>
  </w:footnote>
  <w:footnote w:id="10">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 xml:space="preserve">The Killing Ground: The British Army, the Western Front &amp; the Emergence of Modern Warfare 1900- 1918, </w:t>
      </w:r>
      <w:r>
        <w:rPr>
          <w:sz w:val="20"/>
          <w:szCs w:val="20"/>
        </w:rPr>
        <w:t>p.</w:t>
      </w:r>
      <w:r>
        <w:rPr>
          <w:sz w:val="20"/>
          <w:szCs w:val="20"/>
        </w:rPr>
        <w:t xml:space="preserve">253. </w:t>
      </w:r>
    </w:p>
  </w:footnote>
  <w:footnote w:id="11">
    <w:p w:rsidR="00663240" w:rsidRDefault="00BA28B6">
      <w:pPr>
        <w:pStyle w:val="normal0"/>
        <w:spacing w:line="240" w:lineRule="auto"/>
        <w:rPr>
          <w:sz w:val="20"/>
          <w:szCs w:val="20"/>
        </w:rPr>
      </w:pPr>
      <w:r>
        <w:rPr>
          <w:vertAlign w:val="superscript"/>
        </w:rPr>
        <w:footnoteRef/>
      </w:r>
      <w:r>
        <w:rPr>
          <w:sz w:val="20"/>
          <w:szCs w:val="20"/>
        </w:rPr>
        <w:t xml:space="preserve">  Travers, Tim, </w:t>
      </w:r>
      <w:r>
        <w:rPr>
          <w:i/>
          <w:sz w:val="20"/>
          <w:szCs w:val="20"/>
        </w:rPr>
        <w:t xml:space="preserve">The Killing Ground: The British Army, the Western Front &amp; the Emergence of Modern Warfare 1900- 1918, </w:t>
      </w:r>
      <w:r>
        <w:rPr>
          <w:sz w:val="20"/>
          <w:szCs w:val="20"/>
        </w:rPr>
        <w:t xml:space="preserve">p.262. </w:t>
      </w:r>
    </w:p>
  </w:footnote>
  <w:footnote w:id="12">
    <w:p w:rsidR="00663240" w:rsidRDefault="00BA28B6">
      <w:pPr>
        <w:pStyle w:val="normal0"/>
        <w:spacing w:line="240" w:lineRule="auto"/>
        <w:rPr>
          <w:sz w:val="20"/>
          <w:szCs w:val="20"/>
        </w:rPr>
      </w:pPr>
      <w:r>
        <w:rPr>
          <w:vertAlign w:val="superscript"/>
        </w:rPr>
        <w:footnoteRef/>
      </w:r>
      <w:r>
        <w:rPr>
          <w:sz w:val="20"/>
          <w:szCs w:val="20"/>
        </w:rPr>
        <w:t xml:space="preserve"> The Wartime Memories Project,</w:t>
      </w:r>
      <w:r>
        <w:rPr>
          <w:i/>
          <w:sz w:val="20"/>
          <w:szCs w:val="20"/>
        </w:rPr>
        <w:t xml:space="preserve"> 24th Heavy Battery, Royal Garrison Artillery during the Great War</w:t>
      </w:r>
      <w:r>
        <w:rPr>
          <w:sz w:val="20"/>
          <w:szCs w:val="20"/>
        </w:rPr>
        <w:t>, 2019,</w:t>
      </w:r>
      <w:r>
        <w:rPr>
          <w:i/>
          <w:sz w:val="20"/>
          <w:szCs w:val="20"/>
        </w:rPr>
        <w:t xml:space="preserve">   </w:t>
      </w:r>
      <w:hyperlink r:id="rId1">
        <w:r>
          <w:rPr>
            <w:color w:val="1155CC"/>
            <w:sz w:val="20"/>
            <w:szCs w:val="20"/>
            <w:u w:val="single"/>
          </w:rPr>
          <w:t>https://www.wartimememoriesproject.com/greatwar/allied/rgartillery.php?pid=9280</w:t>
        </w:r>
      </w:hyperlink>
      <w:r>
        <w:rPr>
          <w:sz w:val="20"/>
          <w:szCs w:val="20"/>
        </w:rPr>
        <w:t xml:space="preserve"> [Accessed 13th November 2019].</w:t>
      </w:r>
    </w:p>
  </w:footnote>
  <w:footnote w:id="13">
    <w:p w:rsidR="00663240" w:rsidRDefault="00BA28B6">
      <w:pPr>
        <w:pStyle w:val="normal0"/>
        <w:spacing w:line="240" w:lineRule="auto"/>
        <w:rPr>
          <w:sz w:val="20"/>
          <w:szCs w:val="20"/>
        </w:rPr>
      </w:pPr>
      <w:r>
        <w:rPr>
          <w:vertAlign w:val="superscript"/>
        </w:rPr>
        <w:footnoteRef/>
      </w:r>
      <w:r>
        <w:rPr>
          <w:sz w:val="20"/>
          <w:szCs w:val="20"/>
        </w:rPr>
        <w:t xml:space="preserve">Berdinner, F. Harold, </w:t>
      </w:r>
      <w:r>
        <w:rPr>
          <w:i/>
          <w:sz w:val="20"/>
          <w:szCs w:val="20"/>
        </w:rPr>
        <w:t>With the Heavies in Flanders: 1914 - ‘15-</w:t>
      </w:r>
      <w:r>
        <w:rPr>
          <w:i/>
          <w:sz w:val="20"/>
          <w:szCs w:val="20"/>
        </w:rPr>
        <w:t xml:space="preserve"> ‘16 - ‘17 - ‘18- ‘19: A Record of the active service of the 24th Heavy Battery R.G.A </w:t>
      </w:r>
      <w:r>
        <w:rPr>
          <w:sz w:val="20"/>
          <w:szCs w:val="20"/>
        </w:rPr>
        <w:t xml:space="preserve">(Kingsway, The </w:t>
      </w:r>
      <w:proofErr w:type="spellStart"/>
      <w:r>
        <w:rPr>
          <w:sz w:val="20"/>
          <w:szCs w:val="20"/>
        </w:rPr>
        <w:t>Botolph</w:t>
      </w:r>
      <w:proofErr w:type="spellEnd"/>
      <w:r>
        <w:rPr>
          <w:sz w:val="20"/>
          <w:szCs w:val="20"/>
        </w:rPr>
        <w:t xml:space="preserve"> Printing Works, 1922), p.120. </w:t>
      </w:r>
    </w:p>
  </w:footnote>
  <w:footnote w:id="14">
    <w:p w:rsidR="00663240" w:rsidRDefault="00BA28B6">
      <w:pPr>
        <w:pStyle w:val="normal0"/>
        <w:spacing w:line="240" w:lineRule="auto"/>
        <w:rPr>
          <w:sz w:val="20"/>
          <w:szCs w:val="20"/>
        </w:rPr>
      </w:pPr>
      <w:r>
        <w:rPr>
          <w:vertAlign w:val="superscript"/>
        </w:rPr>
        <w:footnoteRef/>
      </w:r>
      <w:r>
        <w:rPr>
          <w:sz w:val="20"/>
          <w:szCs w:val="20"/>
        </w:rPr>
        <w:t xml:space="preserve"> Baker, Chris, </w:t>
      </w:r>
      <w:r>
        <w:rPr>
          <w:i/>
          <w:sz w:val="20"/>
          <w:szCs w:val="20"/>
        </w:rPr>
        <w:t>The Heavy Batteries of the Royal Garrison Artillery</w:t>
      </w:r>
      <w:r>
        <w:rPr>
          <w:sz w:val="20"/>
          <w:szCs w:val="20"/>
        </w:rPr>
        <w:t>, 2019,</w:t>
      </w:r>
    </w:p>
    <w:p w:rsidR="00663240" w:rsidRDefault="00663240">
      <w:pPr>
        <w:pStyle w:val="normal0"/>
        <w:spacing w:line="240" w:lineRule="auto"/>
        <w:rPr>
          <w:sz w:val="20"/>
          <w:szCs w:val="20"/>
        </w:rPr>
      </w:pPr>
      <w:hyperlink r:id="rId2">
        <w:r w:rsidR="00BA28B6">
          <w:rPr>
            <w:color w:val="1155CC"/>
            <w:sz w:val="20"/>
            <w:szCs w:val="20"/>
            <w:u w:val="single"/>
          </w:rPr>
          <w:t>https://www.longlongtrail.co.uk/army/regiments-and-corps/the-royal-artillery-in-the-firs</w:t>
        </w:r>
        <w:r w:rsidR="00BA28B6">
          <w:rPr>
            <w:color w:val="1155CC"/>
            <w:sz w:val="20"/>
            <w:szCs w:val="20"/>
            <w:u w:val="single"/>
          </w:rPr>
          <w:t>t-world-war/the-heavy-batteries-of-the-royal-garrison-artillery/</w:t>
        </w:r>
      </w:hyperlink>
      <w:r w:rsidR="00BA28B6">
        <w:rPr>
          <w:sz w:val="20"/>
          <w:szCs w:val="20"/>
        </w:rPr>
        <w:t xml:space="preserve"> [Accessed 12th November 2019].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24376"/>
    <w:multiLevelType w:val="multilevel"/>
    <w:tmpl w:val="E9D2E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57B384A"/>
    <w:multiLevelType w:val="multilevel"/>
    <w:tmpl w:val="721AB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663240"/>
    <w:rsid w:val="00277F2B"/>
    <w:rsid w:val="005B13C0"/>
    <w:rsid w:val="00663240"/>
    <w:rsid w:val="00BA28B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663240"/>
    <w:pPr>
      <w:keepNext/>
      <w:keepLines/>
      <w:spacing w:before="400" w:after="120"/>
      <w:outlineLvl w:val="0"/>
    </w:pPr>
    <w:rPr>
      <w:sz w:val="40"/>
      <w:szCs w:val="40"/>
    </w:rPr>
  </w:style>
  <w:style w:type="paragraph" w:styleId="Heading2">
    <w:name w:val="heading 2"/>
    <w:basedOn w:val="normal0"/>
    <w:next w:val="normal0"/>
    <w:rsid w:val="00663240"/>
    <w:pPr>
      <w:keepNext/>
      <w:keepLines/>
      <w:spacing w:before="360" w:after="120"/>
      <w:outlineLvl w:val="1"/>
    </w:pPr>
    <w:rPr>
      <w:sz w:val="32"/>
      <w:szCs w:val="32"/>
    </w:rPr>
  </w:style>
  <w:style w:type="paragraph" w:styleId="Heading3">
    <w:name w:val="heading 3"/>
    <w:basedOn w:val="normal0"/>
    <w:next w:val="normal0"/>
    <w:rsid w:val="00663240"/>
    <w:pPr>
      <w:keepNext/>
      <w:keepLines/>
      <w:spacing w:before="320" w:after="80"/>
      <w:outlineLvl w:val="2"/>
    </w:pPr>
    <w:rPr>
      <w:color w:val="434343"/>
      <w:sz w:val="28"/>
      <w:szCs w:val="28"/>
    </w:rPr>
  </w:style>
  <w:style w:type="paragraph" w:styleId="Heading4">
    <w:name w:val="heading 4"/>
    <w:basedOn w:val="normal0"/>
    <w:next w:val="normal0"/>
    <w:rsid w:val="00663240"/>
    <w:pPr>
      <w:keepNext/>
      <w:keepLines/>
      <w:spacing w:before="280" w:after="80"/>
      <w:outlineLvl w:val="3"/>
    </w:pPr>
    <w:rPr>
      <w:color w:val="666666"/>
      <w:sz w:val="24"/>
      <w:szCs w:val="24"/>
    </w:rPr>
  </w:style>
  <w:style w:type="paragraph" w:styleId="Heading5">
    <w:name w:val="heading 5"/>
    <w:basedOn w:val="normal0"/>
    <w:next w:val="normal0"/>
    <w:rsid w:val="00663240"/>
    <w:pPr>
      <w:keepNext/>
      <w:keepLines/>
      <w:spacing w:before="240" w:after="80"/>
      <w:outlineLvl w:val="4"/>
    </w:pPr>
    <w:rPr>
      <w:color w:val="666666"/>
    </w:rPr>
  </w:style>
  <w:style w:type="paragraph" w:styleId="Heading6">
    <w:name w:val="heading 6"/>
    <w:basedOn w:val="normal0"/>
    <w:next w:val="normal0"/>
    <w:rsid w:val="0066324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63240"/>
  </w:style>
  <w:style w:type="paragraph" w:styleId="Title">
    <w:name w:val="Title"/>
    <w:basedOn w:val="normal0"/>
    <w:next w:val="normal0"/>
    <w:rsid w:val="00663240"/>
    <w:pPr>
      <w:keepNext/>
      <w:keepLines/>
      <w:spacing w:after="60"/>
    </w:pPr>
    <w:rPr>
      <w:sz w:val="52"/>
      <w:szCs w:val="52"/>
    </w:rPr>
  </w:style>
  <w:style w:type="paragraph" w:styleId="Subtitle">
    <w:name w:val="Subtitle"/>
    <w:basedOn w:val="normal0"/>
    <w:next w:val="normal0"/>
    <w:rsid w:val="00663240"/>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onglongtrail.co.uk/army/regiments-and-corps/the-royal-artillery-in-the-first-world-war/the-heavy-batteries-of-the-royal-garrison-artillery/" TargetMode="External"/><Relationship Id="rId3" Type="http://schemas.openxmlformats.org/officeDocument/2006/relationships/settings" Target="settings.xml"/><Relationship Id="rId7" Type="http://schemas.openxmlformats.org/officeDocument/2006/relationships/hyperlink" Target="https://www.wartimememoriesproject.com/greatwar/allied/rgartillery.php?pid=928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longlongtrail.co.uk/army/regiments-and-corps/the-royal-artillery-in-the-first-world-war/the-heavy-batteries-of-the-royal-garrison-artillery/" TargetMode="External"/><Relationship Id="rId4" Type="http://schemas.openxmlformats.org/officeDocument/2006/relationships/webSettings" Target="webSettings.xml"/><Relationship Id="rId9" Type="http://schemas.openxmlformats.org/officeDocument/2006/relationships/hyperlink" Target="https://www.longlongtrail.co.uk/army/regiments-and-corps/the-royal-artillery-in-the-first-world-war/the-heavy-batteries-of-the-royal-garrison-artillery/"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longlongtrail.co.uk/army/regiments-and-corps/the-royal-artillery-in-the-first-world-war/the-heavy-batteries-of-the-royal-garrison-artillery/" TargetMode="External"/><Relationship Id="rId1" Type="http://schemas.openxmlformats.org/officeDocument/2006/relationships/hyperlink" Target="https://www.wartimememoriesproject.com/greatwar/allied/rgartillery.php?pid=92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2884</Words>
  <Characters>16441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2</cp:revision>
  <dcterms:created xsi:type="dcterms:W3CDTF">2019-11-15T21:33:00Z</dcterms:created>
  <dcterms:modified xsi:type="dcterms:W3CDTF">2019-11-15T21:33:00Z</dcterms:modified>
</cp:coreProperties>
</file>