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FF74F8" w14:textId="77777777" w:rsidR="00C2408D" w:rsidRPr="00C2408D" w:rsidRDefault="00C2408D" w:rsidP="00C2408D">
      <w:pPr>
        <w:spacing w:after="0" w:line="240" w:lineRule="auto"/>
        <w:rPr>
          <w:rFonts w:ascii="Times New Roman" w:eastAsia="Times New Roman" w:hAnsi="Times New Roman" w:cs="Times New Roman"/>
          <w:color w:val="000000"/>
          <w:sz w:val="24"/>
          <w:szCs w:val="24"/>
          <w:lang w:eastAsia="en-GB"/>
        </w:rPr>
      </w:pPr>
      <w:r w:rsidRPr="00C2408D">
        <w:rPr>
          <w:rFonts w:ascii="Arial" w:eastAsia="Times New Roman" w:hAnsi="Arial" w:cs="Arial"/>
          <w:color w:val="000000"/>
          <w:lang w:eastAsia="en-GB"/>
        </w:rPr>
        <w:t>Compare and contrast of indigenous tribes inhabiting Africa </w:t>
      </w:r>
    </w:p>
    <w:p w14:paraId="17372E9B" w14:textId="77777777" w:rsidR="00C2408D" w:rsidRPr="00C2408D" w:rsidRDefault="00C2408D" w:rsidP="00C2408D">
      <w:pPr>
        <w:spacing w:after="0" w:line="240" w:lineRule="auto"/>
        <w:rPr>
          <w:rFonts w:ascii="Times New Roman" w:eastAsia="Times New Roman" w:hAnsi="Times New Roman" w:cs="Times New Roman"/>
          <w:sz w:val="24"/>
          <w:szCs w:val="24"/>
          <w:lang w:eastAsia="en-GB"/>
        </w:rPr>
      </w:pPr>
      <w:r w:rsidRPr="00C2408D">
        <w:rPr>
          <w:rFonts w:ascii="Times New Roman" w:eastAsia="Times New Roman" w:hAnsi="Times New Roman" w:cs="Times New Roman"/>
          <w:color w:val="000000"/>
          <w:sz w:val="24"/>
          <w:szCs w:val="24"/>
          <w:lang w:eastAsia="en-GB"/>
        </w:rPr>
        <w:br/>
      </w:r>
    </w:p>
    <w:p w14:paraId="3B03A1FD" w14:textId="7F63A6A4" w:rsidR="00C2408D" w:rsidRPr="00C2408D" w:rsidRDefault="00C2408D" w:rsidP="00C2408D">
      <w:pPr>
        <w:spacing w:after="0" w:line="240" w:lineRule="auto"/>
        <w:rPr>
          <w:rFonts w:ascii="Times New Roman" w:eastAsia="Times New Roman" w:hAnsi="Times New Roman" w:cs="Times New Roman"/>
          <w:color w:val="000000"/>
          <w:sz w:val="24"/>
          <w:szCs w:val="24"/>
          <w:lang w:eastAsia="en-GB"/>
        </w:rPr>
      </w:pPr>
      <w:r w:rsidRPr="00C2408D">
        <w:rPr>
          <w:rFonts w:ascii="Arial" w:eastAsia="Times New Roman" w:hAnsi="Arial" w:cs="Arial"/>
          <w:color w:val="000000"/>
          <w:lang w:eastAsia="en-GB"/>
        </w:rPr>
        <w:t xml:space="preserve">In ‘The Perception of the environment’ Tim Ingold discusses the problematic thinking of the Euro - American epistemology of </w:t>
      </w:r>
      <w:r w:rsidR="00700A0A" w:rsidRPr="00C2408D">
        <w:rPr>
          <w:rFonts w:ascii="Arial" w:eastAsia="Times New Roman" w:hAnsi="Arial" w:cs="Arial"/>
          <w:color w:val="000000"/>
          <w:lang w:eastAsia="en-GB"/>
        </w:rPr>
        <w:t>indigenous</w:t>
      </w:r>
      <w:r w:rsidRPr="00C2408D">
        <w:rPr>
          <w:rFonts w:ascii="Arial" w:eastAsia="Times New Roman" w:hAnsi="Arial" w:cs="Arial"/>
          <w:color w:val="000000"/>
          <w:lang w:eastAsia="en-GB"/>
        </w:rPr>
        <w:t xml:space="preserve"> tribes and their symbiosis with nature. Ingold argues, “sensory education consists in the acquisition of </w:t>
      </w:r>
      <w:r w:rsidR="00700A0A" w:rsidRPr="00C2408D">
        <w:rPr>
          <w:rFonts w:ascii="Arial" w:eastAsia="Times New Roman" w:hAnsi="Arial" w:cs="Arial"/>
          <w:color w:val="000000"/>
          <w:lang w:eastAsia="en-GB"/>
        </w:rPr>
        <w:t>clues” (</w:t>
      </w:r>
      <w:r w:rsidRPr="00C2408D">
        <w:rPr>
          <w:rFonts w:ascii="Arial" w:eastAsia="Times New Roman" w:hAnsi="Arial" w:cs="Arial"/>
          <w:color w:val="000000"/>
          <w:lang w:eastAsia="en-GB"/>
        </w:rPr>
        <w:t xml:space="preserve">Ingold, 2000). Discussing the songs and stories of the </w:t>
      </w:r>
      <w:r w:rsidR="00700A0A" w:rsidRPr="00C2408D">
        <w:rPr>
          <w:rFonts w:ascii="Arial" w:eastAsia="Times New Roman" w:hAnsi="Arial" w:cs="Arial"/>
          <w:color w:val="000000"/>
          <w:lang w:eastAsia="en-GB"/>
        </w:rPr>
        <w:t>tribe’s</w:t>
      </w:r>
      <w:r w:rsidRPr="00C2408D">
        <w:rPr>
          <w:rFonts w:ascii="Arial" w:eastAsia="Times New Roman" w:hAnsi="Arial" w:cs="Arial"/>
          <w:color w:val="000000"/>
          <w:lang w:eastAsia="en-GB"/>
        </w:rPr>
        <w:t xml:space="preserve"> culture between humans and non - human animals, allowing our perceptions of the </w:t>
      </w:r>
      <w:r w:rsidR="00700A0A" w:rsidRPr="00C2408D">
        <w:rPr>
          <w:rFonts w:ascii="Arial" w:eastAsia="Times New Roman" w:hAnsi="Arial" w:cs="Arial"/>
          <w:color w:val="000000"/>
          <w:lang w:eastAsia="en-GB"/>
        </w:rPr>
        <w:t>indigenous</w:t>
      </w:r>
      <w:r w:rsidRPr="00C2408D">
        <w:rPr>
          <w:rFonts w:ascii="Arial" w:eastAsia="Times New Roman" w:hAnsi="Arial" w:cs="Arial"/>
          <w:color w:val="000000"/>
          <w:lang w:eastAsia="en-GB"/>
        </w:rPr>
        <w:t xml:space="preserve"> world to be shaped into ‘grounded knowledge’. Ingold affords this</w:t>
      </w:r>
      <w:bookmarkStart w:id="0" w:name="_GoBack"/>
      <w:bookmarkEnd w:id="0"/>
      <w:r w:rsidRPr="00C2408D">
        <w:rPr>
          <w:rFonts w:ascii="Arial" w:eastAsia="Times New Roman" w:hAnsi="Arial" w:cs="Arial"/>
          <w:color w:val="000000"/>
          <w:lang w:eastAsia="en-GB"/>
        </w:rPr>
        <w:t xml:space="preserve"> knowledge ‘sentient ecology’. </w:t>
      </w:r>
    </w:p>
    <w:p w14:paraId="156A2ACC" w14:textId="77777777" w:rsidR="00C2408D" w:rsidRPr="00C2408D" w:rsidRDefault="00C2408D" w:rsidP="00C2408D">
      <w:pPr>
        <w:spacing w:after="0" w:line="240" w:lineRule="auto"/>
        <w:rPr>
          <w:rFonts w:ascii="Times New Roman" w:eastAsia="Times New Roman" w:hAnsi="Times New Roman" w:cs="Times New Roman"/>
          <w:sz w:val="24"/>
          <w:szCs w:val="24"/>
          <w:lang w:eastAsia="en-GB"/>
        </w:rPr>
      </w:pPr>
      <w:r w:rsidRPr="00C2408D">
        <w:rPr>
          <w:rFonts w:ascii="Times New Roman" w:eastAsia="Times New Roman" w:hAnsi="Times New Roman" w:cs="Times New Roman"/>
          <w:color w:val="000000"/>
          <w:sz w:val="24"/>
          <w:szCs w:val="24"/>
          <w:lang w:eastAsia="en-GB"/>
        </w:rPr>
        <w:br/>
      </w:r>
    </w:p>
    <w:p w14:paraId="24F89D51" w14:textId="5D8D3DA7" w:rsidR="00C2408D" w:rsidRPr="00C2408D" w:rsidRDefault="00C2408D" w:rsidP="00C2408D">
      <w:pPr>
        <w:spacing w:after="0" w:line="240" w:lineRule="auto"/>
        <w:rPr>
          <w:rFonts w:ascii="Times New Roman" w:eastAsia="Times New Roman" w:hAnsi="Times New Roman" w:cs="Times New Roman"/>
          <w:color w:val="000000"/>
          <w:sz w:val="24"/>
          <w:szCs w:val="24"/>
          <w:lang w:eastAsia="en-GB"/>
        </w:rPr>
      </w:pPr>
      <w:r w:rsidRPr="00C2408D">
        <w:rPr>
          <w:rFonts w:ascii="Arial" w:eastAsia="Times New Roman" w:hAnsi="Arial" w:cs="Arial"/>
          <w:color w:val="000000"/>
          <w:lang w:eastAsia="en-GB"/>
        </w:rPr>
        <w:t xml:space="preserve">In the book ‘The Forest People’ (Turnbull, 1962) Colin Turnbull spent 3 years with </w:t>
      </w:r>
      <w:r w:rsidR="00700A0A" w:rsidRPr="00C2408D">
        <w:rPr>
          <w:rFonts w:ascii="Arial" w:eastAsia="Times New Roman" w:hAnsi="Arial" w:cs="Arial"/>
          <w:color w:val="000000"/>
          <w:lang w:eastAsia="en-GB"/>
        </w:rPr>
        <w:t>an</w:t>
      </w:r>
      <w:r w:rsidRPr="00C2408D">
        <w:rPr>
          <w:rFonts w:ascii="Arial" w:eastAsia="Times New Roman" w:hAnsi="Arial" w:cs="Arial"/>
          <w:color w:val="000000"/>
          <w:lang w:eastAsia="en-GB"/>
        </w:rPr>
        <w:t xml:space="preserve"> </w:t>
      </w:r>
      <w:r w:rsidR="00700A0A" w:rsidRPr="00C2408D">
        <w:rPr>
          <w:rFonts w:ascii="Arial" w:eastAsia="Times New Roman" w:hAnsi="Arial" w:cs="Arial"/>
          <w:color w:val="000000"/>
          <w:lang w:eastAsia="en-GB"/>
        </w:rPr>
        <w:t>indigenous</w:t>
      </w:r>
      <w:r w:rsidRPr="00C2408D">
        <w:rPr>
          <w:rFonts w:ascii="Arial" w:eastAsia="Times New Roman" w:hAnsi="Arial" w:cs="Arial"/>
          <w:color w:val="000000"/>
          <w:lang w:eastAsia="en-GB"/>
        </w:rPr>
        <w:t xml:space="preserve"> tribe of pygmies, the forest people - the </w:t>
      </w:r>
      <w:proofErr w:type="spellStart"/>
      <w:r w:rsidRPr="00C2408D">
        <w:rPr>
          <w:rFonts w:ascii="Arial" w:eastAsia="Times New Roman" w:hAnsi="Arial" w:cs="Arial"/>
          <w:color w:val="000000"/>
          <w:lang w:eastAsia="en-GB"/>
        </w:rPr>
        <w:t>BaM</w:t>
      </w:r>
      <w:r w:rsidR="00700A0A">
        <w:rPr>
          <w:rFonts w:ascii="Arial" w:eastAsia="Times New Roman" w:hAnsi="Arial" w:cs="Arial"/>
          <w:color w:val="000000"/>
          <w:lang w:eastAsia="en-GB"/>
        </w:rPr>
        <w:t>b</w:t>
      </w:r>
      <w:r w:rsidRPr="00C2408D">
        <w:rPr>
          <w:rFonts w:ascii="Arial" w:eastAsia="Times New Roman" w:hAnsi="Arial" w:cs="Arial"/>
          <w:color w:val="000000"/>
          <w:lang w:eastAsia="en-GB"/>
        </w:rPr>
        <w:t>uti</w:t>
      </w:r>
      <w:proofErr w:type="spellEnd"/>
      <w:r w:rsidRPr="00C2408D">
        <w:rPr>
          <w:rFonts w:ascii="Arial" w:eastAsia="Times New Roman" w:hAnsi="Arial" w:cs="Arial"/>
          <w:color w:val="000000"/>
          <w:lang w:eastAsia="en-GB"/>
        </w:rPr>
        <w:t xml:space="preserve"> where he learned of</w:t>
      </w:r>
      <w:r w:rsidR="00700A0A">
        <w:rPr>
          <w:rFonts w:ascii="Arial" w:eastAsia="Times New Roman" w:hAnsi="Arial" w:cs="Arial"/>
          <w:color w:val="000000"/>
          <w:lang w:eastAsia="en-GB"/>
        </w:rPr>
        <w:t>f</w:t>
      </w:r>
      <w:r w:rsidRPr="00C2408D">
        <w:rPr>
          <w:rFonts w:ascii="Arial" w:eastAsia="Times New Roman" w:hAnsi="Arial" w:cs="Arial"/>
          <w:color w:val="000000"/>
          <w:lang w:eastAsia="en-GB"/>
        </w:rPr>
        <w:t xml:space="preserve"> the tribe </w:t>
      </w:r>
      <w:r w:rsidR="00700A0A" w:rsidRPr="00C2408D">
        <w:rPr>
          <w:rFonts w:ascii="Arial" w:eastAsia="Times New Roman" w:hAnsi="Arial" w:cs="Arial"/>
          <w:color w:val="000000"/>
          <w:lang w:eastAsia="en-GB"/>
        </w:rPr>
        <w:t>first-hand</w:t>
      </w:r>
      <w:r w:rsidRPr="00C2408D">
        <w:rPr>
          <w:rFonts w:ascii="Arial" w:eastAsia="Times New Roman" w:hAnsi="Arial" w:cs="Arial"/>
          <w:color w:val="000000"/>
          <w:lang w:eastAsia="en-GB"/>
        </w:rPr>
        <w:t xml:space="preserve">. The </w:t>
      </w:r>
      <w:r w:rsidR="00700A0A" w:rsidRPr="00C2408D">
        <w:rPr>
          <w:rFonts w:ascii="Arial" w:eastAsia="Times New Roman" w:hAnsi="Arial" w:cs="Arial"/>
          <w:color w:val="000000"/>
          <w:lang w:eastAsia="en-GB"/>
        </w:rPr>
        <w:t xml:space="preserve">tribe, </w:t>
      </w:r>
      <w:proofErr w:type="spellStart"/>
      <w:r w:rsidR="00700A0A" w:rsidRPr="00C2408D">
        <w:rPr>
          <w:rFonts w:ascii="Arial" w:eastAsia="Times New Roman" w:hAnsi="Arial" w:cs="Arial"/>
          <w:color w:val="000000"/>
          <w:lang w:eastAsia="en-GB"/>
        </w:rPr>
        <w:t>Ba</w:t>
      </w:r>
      <w:r w:rsidR="00700A0A">
        <w:rPr>
          <w:rFonts w:ascii="Arial" w:eastAsia="Times New Roman" w:hAnsi="Arial" w:cs="Arial"/>
          <w:color w:val="000000"/>
          <w:lang w:eastAsia="en-GB"/>
        </w:rPr>
        <w:t>M</w:t>
      </w:r>
      <w:r w:rsidR="00700A0A" w:rsidRPr="00C2408D">
        <w:rPr>
          <w:rFonts w:ascii="Arial" w:eastAsia="Times New Roman" w:hAnsi="Arial" w:cs="Arial"/>
          <w:color w:val="000000"/>
          <w:lang w:eastAsia="en-GB"/>
        </w:rPr>
        <w:t>buti</w:t>
      </w:r>
      <w:proofErr w:type="spellEnd"/>
      <w:r w:rsidRPr="00C2408D">
        <w:rPr>
          <w:rFonts w:ascii="Arial" w:eastAsia="Times New Roman" w:hAnsi="Arial" w:cs="Arial"/>
          <w:color w:val="000000"/>
          <w:lang w:eastAsia="en-GB"/>
        </w:rPr>
        <w:t xml:space="preserve"> inhabits the forest of the African Congo. The forest people identify as the children of the forest and do not like to leave the forest and their familiar surroundings for too long. For </w:t>
      </w:r>
      <w:r w:rsidR="00700A0A" w:rsidRPr="00C2408D">
        <w:rPr>
          <w:rFonts w:ascii="Arial" w:eastAsia="Times New Roman" w:hAnsi="Arial" w:cs="Arial"/>
          <w:color w:val="000000"/>
          <w:lang w:eastAsia="en-GB"/>
        </w:rPr>
        <w:t>instance,</w:t>
      </w:r>
      <w:r w:rsidRPr="00C2408D">
        <w:rPr>
          <w:rFonts w:ascii="Arial" w:eastAsia="Times New Roman" w:hAnsi="Arial" w:cs="Arial"/>
          <w:color w:val="000000"/>
          <w:lang w:eastAsia="en-GB"/>
        </w:rPr>
        <w:t xml:space="preserve"> when someone dies when the camp is situated in the village - out of the forest, the tribe prepare food and sing songs and click. The tribe feast the Molimo and make the forest happy. When bad </w:t>
      </w:r>
      <w:r w:rsidR="00700A0A" w:rsidRPr="00C2408D">
        <w:rPr>
          <w:rFonts w:ascii="Arial" w:eastAsia="Times New Roman" w:hAnsi="Arial" w:cs="Arial"/>
          <w:color w:val="000000"/>
          <w:lang w:eastAsia="en-GB"/>
        </w:rPr>
        <w:t>luck occurs</w:t>
      </w:r>
      <w:r w:rsidRPr="00C2408D">
        <w:rPr>
          <w:rFonts w:ascii="Arial" w:eastAsia="Times New Roman" w:hAnsi="Arial" w:cs="Arial"/>
          <w:color w:val="000000"/>
          <w:lang w:eastAsia="en-GB"/>
        </w:rPr>
        <w:t xml:space="preserve"> whilst at the village, there would be a fear they had upset the forest, disassembling the camp and returning to the locality in which they felt most secure. The locality of said camps within the forest where chosen with consideration, a dry clearing is ample, with access to fresh water where the pygmies could bathe, collect water for </w:t>
      </w:r>
      <w:r w:rsidR="00700A0A">
        <w:rPr>
          <w:rFonts w:ascii="Arial" w:eastAsia="Times New Roman" w:hAnsi="Arial" w:cs="Arial"/>
          <w:color w:val="000000"/>
          <w:lang w:eastAsia="en-GB"/>
        </w:rPr>
        <w:t xml:space="preserve">food </w:t>
      </w:r>
      <w:r w:rsidRPr="00C2408D">
        <w:rPr>
          <w:rFonts w:ascii="Arial" w:eastAsia="Times New Roman" w:hAnsi="Arial" w:cs="Arial"/>
          <w:color w:val="000000"/>
          <w:lang w:eastAsia="en-GB"/>
        </w:rPr>
        <w:t xml:space="preserve">and drink. The </w:t>
      </w:r>
      <w:r w:rsidR="00700A0A">
        <w:rPr>
          <w:rFonts w:ascii="Arial" w:eastAsia="Times New Roman" w:hAnsi="Arial" w:cs="Arial"/>
          <w:color w:val="000000"/>
          <w:lang w:eastAsia="en-GB"/>
        </w:rPr>
        <w:t>chos</w:t>
      </w:r>
      <w:r w:rsidRPr="00C2408D">
        <w:rPr>
          <w:rFonts w:ascii="Arial" w:eastAsia="Times New Roman" w:hAnsi="Arial" w:cs="Arial"/>
          <w:color w:val="000000"/>
          <w:lang w:eastAsia="en-GB"/>
        </w:rPr>
        <w:t>en spot for the camp would provide adequate forestry for hunting for food. Having a deep connection and symbiosis with nature the clearing would be close enough to banana trees, where large leaves can be chopped and fashioned into a roof for their huts. The women of the tribe built the huts, through the process of weaving the banana leaves and vines into a simple shelter. </w:t>
      </w:r>
    </w:p>
    <w:p w14:paraId="70B7F1A8" w14:textId="77777777" w:rsidR="00C2408D" w:rsidRPr="00C2408D" w:rsidRDefault="00C2408D" w:rsidP="00C2408D">
      <w:pPr>
        <w:spacing w:after="0" w:line="240" w:lineRule="auto"/>
        <w:rPr>
          <w:rFonts w:ascii="Times New Roman" w:eastAsia="Times New Roman" w:hAnsi="Times New Roman" w:cs="Times New Roman"/>
          <w:sz w:val="24"/>
          <w:szCs w:val="24"/>
          <w:lang w:eastAsia="en-GB"/>
        </w:rPr>
      </w:pPr>
      <w:r w:rsidRPr="00C2408D">
        <w:rPr>
          <w:rFonts w:ascii="Times New Roman" w:eastAsia="Times New Roman" w:hAnsi="Times New Roman" w:cs="Times New Roman"/>
          <w:color w:val="000000"/>
          <w:sz w:val="24"/>
          <w:szCs w:val="24"/>
          <w:lang w:eastAsia="en-GB"/>
        </w:rPr>
        <w:br/>
      </w:r>
    </w:p>
    <w:p w14:paraId="5BBEB3F0" w14:textId="0F7CE5FA" w:rsidR="00C2408D" w:rsidRPr="00C2408D" w:rsidRDefault="00C2408D" w:rsidP="00C2408D">
      <w:pPr>
        <w:spacing w:after="0" w:line="240" w:lineRule="auto"/>
        <w:rPr>
          <w:rFonts w:ascii="Times New Roman" w:eastAsia="Times New Roman" w:hAnsi="Times New Roman" w:cs="Times New Roman"/>
          <w:color w:val="000000"/>
          <w:sz w:val="24"/>
          <w:szCs w:val="24"/>
          <w:lang w:eastAsia="en-GB"/>
        </w:rPr>
      </w:pPr>
      <w:r w:rsidRPr="00C2408D">
        <w:rPr>
          <w:rFonts w:ascii="Arial" w:eastAsia="Times New Roman" w:hAnsi="Arial" w:cs="Arial"/>
          <w:color w:val="000000"/>
          <w:lang w:eastAsia="en-GB"/>
        </w:rPr>
        <w:t>The San people, the Ju/ ‘</w:t>
      </w:r>
      <w:r w:rsidR="00700A0A">
        <w:rPr>
          <w:rFonts w:ascii="Arial" w:eastAsia="Times New Roman" w:hAnsi="Arial" w:cs="Arial"/>
          <w:color w:val="000000"/>
          <w:lang w:eastAsia="en-GB"/>
        </w:rPr>
        <w:t>H</w:t>
      </w:r>
      <w:r w:rsidRPr="00C2408D">
        <w:rPr>
          <w:rFonts w:ascii="Arial" w:eastAsia="Times New Roman" w:hAnsi="Arial" w:cs="Arial"/>
          <w:color w:val="000000"/>
          <w:lang w:eastAsia="en-GB"/>
        </w:rPr>
        <w:t>oansi are another androgynous tribe that reside in small forging bands within the Kalahari Desert in South Africa, Euro American people affording then the title “Bushmen”. In Ju/ ‘</w:t>
      </w:r>
      <w:r w:rsidR="00700A0A">
        <w:rPr>
          <w:rFonts w:ascii="Arial" w:eastAsia="Times New Roman" w:hAnsi="Arial" w:cs="Arial"/>
          <w:color w:val="000000"/>
          <w:lang w:eastAsia="en-GB"/>
        </w:rPr>
        <w:t>H</w:t>
      </w:r>
      <w:r w:rsidRPr="00C2408D">
        <w:rPr>
          <w:rFonts w:ascii="Arial" w:eastAsia="Times New Roman" w:hAnsi="Arial" w:cs="Arial"/>
          <w:color w:val="000000"/>
          <w:lang w:eastAsia="en-GB"/>
        </w:rPr>
        <w:t xml:space="preserve">oansi curing dances, </w:t>
      </w:r>
      <w:proofErr w:type="spellStart"/>
      <w:r w:rsidRPr="00C2408D">
        <w:rPr>
          <w:rFonts w:ascii="Arial" w:eastAsia="Times New Roman" w:hAnsi="Arial" w:cs="Arial"/>
          <w:color w:val="000000"/>
          <w:lang w:eastAsia="en-GB"/>
        </w:rPr>
        <w:t>Platvoet</w:t>
      </w:r>
      <w:proofErr w:type="spellEnd"/>
      <w:r w:rsidRPr="00C2408D">
        <w:rPr>
          <w:rFonts w:ascii="Arial" w:eastAsia="Times New Roman" w:hAnsi="Arial" w:cs="Arial"/>
          <w:color w:val="000000"/>
          <w:lang w:eastAsia="en-GB"/>
        </w:rPr>
        <w:t xml:space="preserve">. Discussing </w:t>
      </w:r>
      <w:r w:rsidR="00700A0A" w:rsidRPr="00C2408D">
        <w:rPr>
          <w:rFonts w:ascii="Arial" w:eastAsia="Times New Roman" w:hAnsi="Arial" w:cs="Arial"/>
          <w:color w:val="000000"/>
          <w:lang w:eastAsia="en-GB"/>
        </w:rPr>
        <w:t>the</w:t>
      </w:r>
      <w:r w:rsidRPr="00C2408D">
        <w:rPr>
          <w:rFonts w:ascii="Arial" w:eastAsia="Times New Roman" w:hAnsi="Arial" w:cs="Arial"/>
          <w:color w:val="000000"/>
          <w:lang w:eastAsia="en-GB"/>
        </w:rPr>
        <w:t xml:space="preserve"> San rock art dating back to the Upper </w:t>
      </w:r>
      <w:r w:rsidR="00700A0A" w:rsidRPr="00C2408D">
        <w:rPr>
          <w:rFonts w:ascii="Arial" w:eastAsia="Times New Roman" w:hAnsi="Arial" w:cs="Arial"/>
          <w:color w:val="000000"/>
          <w:lang w:eastAsia="en-GB"/>
        </w:rPr>
        <w:t>Palaeolithic</w:t>
      </w:r>
      <w:r w:rsidRPr="00C2408D">
        <w:rPr>
          <w:rFonts w:ascii="Arial" w:eastAsia="Times New Roman" w:hAnsi="Arial" w:cs="Arial"/>
          <w:color w:val="000000"/>
          <w:lang w:eastAsia="en-GB"/>
        </w:rPr>
        <w:t xml:space="preserve"> era, representing the longest continuous art history of humankind. </w:t>
      </w:r>
      <w:proofErr w:type="spellStart"/>
      <w:r w:rsidRPr="00C2408D">
        <w:rPr>
          <w:rFonts w:ascii="Arial" w:eastAsia="Times New Roman" w:hAnsi="Arial" w:cs="Arial"/>
          <w:color w:val="000000"/>
          <w:lang w:eastAsia="en-GB"/>
        </w:rPr>
        <w:t>Platvoet</w:t>
      </w:r>
      <w:proofErr w:type="spellEnd"/>
      <w:r w:rsidRPr="00C2408D">
        <w:rPr>
          <w:rFonts w:ascii="Arial" w:eastAsia="Times New Roman" w:hAnsi="Arial" w:cs="Arial"/>
          <w:color w:val="000000"/>
          <w:lang w:eastAsia="en-GB"/>
        </w:rPr>
        <w:t xml:space="preserve"> discusses theories of the art, talking of deep religion, differing from the beliefs of the forest people who believe in nature. Scholars have deciphered this art as being made by real people and with the opinions of traditional Sans people of today as “</w:t>
      </w:r>
      <w:r w:rsidR="00700A0A" w:rsidRPr="00C2408D">
        <w:rPr>
          <w:rFonts w:ascii="Arial" w:eastAsia="Times New Roman" w:hAnsi="Arial" w:cs="Arial"/>
          <w:color w:val="000000"/>
          <w:lang w:eastAsia="en-GB"/>
        </w:rPr>
        <w:t>Shamanistic</w:t>
      </w:r>
      <w:r w:rsidRPr="00C2408D">
        <w:rPr>
          <w:rFonts w:ascii="Arial" w:eastAsia="Times New Roman" w:hAnsi="Arial" w:cs="Arial"/>
          <w:color w:val="000000"/>
          <w:lang w:eastAsia="en-GB"/>
        </w:rPr>
        <w:t xml:space="preserve"> hypothesis” (</w:t>
      </w:r>
      <w:proofErr w:type="spellStart"/>
      <w:r w:rsidRPr="00C2408D">
        <w:rPr>
          <w:rFonts w:ascii="Arial" w:eastAsia="Times New Roman" w:hAnsi="Arial" w:cs="Arial"/>
          <w:color w:val="000000"/>
          <w:lang w:eastAsia="en-GB"/>
        </w:rPr>
        <w:t>Platvoet</w:t>
      </w:r>
      <w:proofErr w:type="spellEnd"/>
      <w:r w:rsidRPr="00C2408D">
        <w:rPr>
          <w:rFonts w:ascii="Arial" w:eastAsia="Times New Roman" w:hAnsi="Arial" w:cs="Arial"/>
          <w:color w:val="000000"/>
          <w:lang w:eastAsia="en-GB"/>
        </w:rPr>
        <w:t>, 1999).</w:t>
      </w:r>
    </w:p>
    <w:p w14:paraId="3E09EC68" w14:textId="77777777" w:rsidR="00C2408D" w:rsidRPr="00C2408D" w:rsidRDefault="00C2408D" w:rsidP="00C2408D">
      <w:pPr>
        <w:spacing w:after="0" w:line="240" w:lineRule="auto"/>
        <w:rPr>
          <w:rFonts w:ascii="Times New Roman" w:eastAsia="Times New Roman" w:hAnsi="Times New Roman" w:cs="Times New Roman"/>
          <w:sz w:val="24"/>
          <w:szCs w:val="24"/>
          <w:lang w:eastAsia="en-GB"/>
        </w:rPr>
      </w:pPr>
      <w:r w:rsidRPr="00C2408D">
        <w:rPr>
          <w:rFonts w:ascii="Times New Roman" w:eastAsia="Times New Roman" w:hAnsi="Times New Roman" w:cs="Times New Roman"/>
          <w:color w:val="000000"/>
          <w:sz w:val="24"/>
          <w:szCs w:val="24"/>
          <w:lang w:eastAsia="en-GB"/>
        </w:rPr>
        <w:br/>
      </w:r>
    </w:p>
    <w:p w14:paraId="1DBF330A" w14:textId="77777777" w:rsidR="00C2408D" w:rsidRPr="00C2408D" w:rsidRDefault="00C2408D" w:rsidP="00C2408D">
      <w:pPr>
        <w:spacing w:after="0" w:line="240" w:lineRule="auto"/>
        <w:rPr>
          <w:rFonts w:ascii="Times New Roman" w:eastAsia="Times New Roman" w:hAnsi="Times New Roman" w:cs="Times New Roman"/>
          <w:color w:val="000000"/>
          <w:sz w:val="24"/>
          <w:szCs w:val="24"/>
          <w:lang w:eastAsia="en-GB"/>
        </w:rPr>
      </w:pPr>
      <w:r w:rsidRPr="00C2408D">
        <w:rPr>
          <w:rFonts w:ascii="Arial" w:eastAsia="Times New Roman" w:hAnsi="Arial" w:cs="Arial"/>
          <w:color w:val="000000"/>
          <w:lang w:eastAsia="en-GB"/>
        </w:rPr>
        <w:t>Many of the traditions in which both the Forest people and the San people uphold, are the purest quality of life, in which they have a deeper understanding of the world, unlike the epistemologies of Euro American nature culture of the world. The beautiful, almost romantic relationship the tribe has with nature is key in the advancement of the Euro- American world. Anthropologists are asking how to resolve the problematic effects of the Anthropocene. Could a hunter gatherer approach to nature and surroundings be the link to which we can revive this troubled planet? </w:t>
      </w:r>
    </w:p>
    <w:p w14:paraId="4B15D7A1" w14:textId="77777777" w:rsidR="00C2408D" w:rsidRPr="00C2408D" w:rsidRDefault="00C2408D" w:rsidP="00C2408D">
      <w:pPr>
        <w:spacing w:after="0" w:line="240" w:lineRule="auto"/>
        <w:rPr>
          <w:rFonts w:ascii="Times New Roman" w:eastAsia="Times New Roman" w:hAnsi="Times New Roman" w:cs="Times New Roman"/>
          <w:sz w:val="24"/>
          <w:szCs w:val="24"/>
          <w:lang w:eastAsia="en-GB"/>
        </w:rPr>
      </w:pPr>
      <w:r w:rsidRPr="00C2408D">
        <w:rPr>
          <w:rFonts w:ascii="Times New Roman" w:eastAsia="Times New Roman" w:hAnsi="Times New Roman" w:cs="Times New Roman"/>
          <w:color w:val="000000"/>
          <w:sz w:val="24"/>
          <w:szCs w:val="24"/>
          <w:lang w:eastAsia="en-GB"/>
        </w:rPr>
        <w:br/>
      </w:r>
    </w:p>
    <w:p w14:paraId="1FFE22E4" w14:textId="77777777" w:rsidR="00C2408D" w:rsidRPr="00C2408D" w:rsidRDefault="00C2408D" w:rsidP="00C2408D">
      <w:pPr>
        <w:spacing w:after="0" w:line="240" w:lineRule="auto"/>
        <w:rPr>
          <w:rFonts w:ascii="Times New Roman" w:eastAsia="Times New Roman" w:hAnsi="Times New Roman" w:cs="Times New Roman"/>
          <w:color w:val="000000"/>
          <w:sz w:val="24"/>
          <w:szCs w:val="24"/>
          <w:lang w:eastAsia="en-GB"/>
        </w:rPr>
      </w:pPr>
      <w:r w:rsidRPr="00C2408D">
        <w:rPr>
          <w:rFonts w:ascii="Arial" w:eastAsia="Times New Roman" w:hAnsi="Arial" w:cs="Arial"/>
          <w:color w:val="000000"/>
          <w:u w:val="single"/>
          <w:lang w:eastAsia="en-GB"/>
        </w:rPr>
        <w:t>Reference Index</w:t>
      </w:r>
    </w:p>
    <w:p w14:paraId="738D51C7" w14:textId="77777777" w:rsidR="00C2408D" w:rsidRPr="00C2408D" w:rsidRDefault="00C2408D" w:rsidP="00C2408D">
      <w:pPr>
        <w:spacing w:after="0" w:line="240" w:lineRule="auto"/>
        <w:rPr>
          <w:rFonts w:ascii="Times New Roman" w:eastAsia="Times New Roman" w:hAnsi="Times New Roman" w:cs="Times New Roman"/>
          <w:color w:val="000000"/>
          <w:sz w:val="24"/>
          <w:szCs w:val="24"/>
          <w:lang w:eastAsia="en-GB"/>
        </w:rPr>
      </w:pPr>
      <w:r w:rsidRPr="00C2408D">
        <w:rPr>
          <w:rFonts w:ascii="Arial" w:eastAsia="Times New Roman" w:hAnsi="Arial" w:cs="Arial"/>
          <w:color w:val="000000"/>
          <w:sz w:val="20"/>
          <w:szCs w:val="20"/>
          <w:shd w:val="clear" w:color="auto" w:fill="FFFFFF"/>
          <w:lang w:eastAsia="en-GB"/>
        </w:rPr>
        <w:t xml:space="preserve">Ingold, T. (2011). </w:t>
      </w:r>
      <w:r w:rsidRPr="00C2408D">
        <w:rPr>
          <w:rFonts w:ascii="Arial" w:eastAsia="Times New Roman" w:hAnsi="Arial" w:cs="Arial"/>
          <w:i/>
          <w:iCs/>
          <w:color w:val="000000"/>
          <w:sz w:val="20"/>
          <w:szCs w:val="20"/>
          <w:shd w:val="clear" w:color="auto" w:fill="FFFFFF"/>
          <w:lang w:eastAsia="en-GB"/>
        </w:rPr>
        <w:t>The perception of the environment</w:t>
      </w:r>
      <w:r w:rsidRPr="00C2408D">
        <w:rPr>
          <w:rFonts w:ascii="Arial" w:eastAsia="Times New Roman" w:hAnsi="Arial" w:cs="Arial"/>
          <w:color w:val="000000"/>
          <w:sz w:val="20"/>
          <w:szCs w:val="20"/>
          <w:shd w:val="clear" w:color="auto" w:fill="FFFFFF"/>
          <w:lang w:eastAsia="en-GB"/>
        </w:rPr>
        <w:t>. London: Routledge.</w:t>
      </w:r>
    </w:p>
    <w:p w14:paraId="0F872E0A" w14:textId="653C2AE2" w:rsidR="00C2408D" w:rsidRPr="00C2408D" w:rsidRDefault="00C2408D" w:rsidP="00C2408D">
      <w:pPr>
        <w:spacing w:after="0" w:line="240" w:lineRule="auto"/>
        <w:rPr>
          <w:rFonts w:ascii="Times New Roman" w:eastAsia="Times New Roman" w:hAnsi="Times New Roman" w:cs="Times New Roman"/>
          <w:color w:val="000000"/>
          <w:sz w:val="24"/>
          <w:szCs w:val="24"/>
          <w:lang w:eastAsia="en-GB"/>
        </w:rPr>
      </w:pPr>
      <w:proofErr w:type="spellStart"/>
      <w:r w:rsidRPr="00C2408D">
        <w:rPr>
          <w:rFonts w:ascii="Arial" w:eastAsia="Times New Roman" w:hAnsi="Arial" w:cs="Arial"/>
          <w:color w:val="000000"/>
          <w:sz w:val="20"/>
          <w:szCs w:val="20"/>
          <w:shd w:val="clear" w:color="auto" w:fill="FFFFFF"/>
          <w:lang w:eastAsia="en-GB"/>
        </w:rPr>
        <w:t>Platvoet</w:t>
      </w:r>
      <w:proofErr w:type="spellEnd"/>
      <w:r w:rsidRPr="00C2408D">
        <w:rPr>
          <w:rFonts w:ascii="Arial" w:eastAsia="Times New Roman" w:hAnsi="Arial" w:cs="Arial"/>
          <w:color w:val="000000"/>
          <w:sz w:val="20"/>
          <w:szCs w:val="20"/>
          <w:shd w:val="clear" w:color="auto" w:fill="FFFFFF"/>
          <w:lang w:eastAsia="en-GB"/>
        </w:rPr>
        <w:t xml:space="preserve">, G. (1999). </w:t>
      </w:r>
      <w:r w:rsidRPr="00C2408D">
        <w:rPr>
          <w:rFonts w:ascii="Arial" w:eastAsia="Times New Roman" w:hAnsi="Arial" w:cs="Arial"/>
          <w:i/>
          <w:iCs/>
          <w:color w:val="000000"/>
          <w:sz w:val="20"/>
          <w:szCs w:val="20"/>
          <w:shd w:val="clear" w:color="auto" w:fill="FFFFFF"/>
          <w:lang w:eastAsia="en-GB"/>
        </w:rPr>
        <w:t xml:space="preserve">Ju/’ </w:t>
      </w:r>
      <w:proofErr w:type="spellStart"/>
      <w:r w:rsidRPr="00C2408D">
        <w:rPr>
          <w:rFonts w:ascii="Arial" w:eastAsia="Times New Roman" w:hAnsi="Arial" w:cs="Arial"/>
          <w:i/>
          <w:iCs/>
          <w:color w:val="000000"/>
          <w:sz w:val="20"/>
          <w:szCs w:val="20"/>
          <w:shd w:val="clear" w:color="auto" w:fill="FFFFFF"/>
          <w:lang w:eastAsia="en-GB"/>
        </w:rPr>
        <w:t>Hoan</w:t>
      </w:r>
      <w:proofErr w:type="spellEnd"/>
      <w:r w:rsidRPr="00C2408D">
        <w:rPr>
          <w:rFonts w:ascii="Arial" w:eastAsia="Times New Roman" w:hAnsi="Arial" w:cs="Arial"/>
          <w:i/>
          <w:iCs/>
          <w:color w:val="000000"/>
          <w:sz w:val="20"/>
          <w:szCs w:val="20"/>
          <w:shd w:val="clear" w:color="auto" w:fill="FFFFFF"/>
          <w:lang w:eastAsia="en-GB"/>
        </w:rPr>
        <w:t xml:space="preserve"> Curing Dances. </w:t>
      </w:r>
      <w:r w:rsidR="00700A0A" w:rsidRPr="00C2408D">
        <w:rPr>
          <w:rFonts w:ascii="Arial" w:eastAsia="Times New Roman" w:hAnsi="Arial" w:cs="Arial"/>
          <w:color w:val="000000"/>
          <w:sz w:val="20"/>
          <w:szCs w:val="20"/>
          <w:shd w:val="clear" w:color="auto" w:fill="FFFFFF"/>
          <w:lang w:eastAsia="en-GB"/>
        </w:rPr>
        <w:t>Africa:</w:t>
      </w:r>
      <w:r w:rsidRPr="00C2408D">
        <w:rPr>
          <w:rFonts w:ascii="Arial" w:eastAsia="Times New Roman" w:hAnsi="Arial" w:cs="Arial"/>
          <w:color w:val="000000"/>
          <w:sz w:val="20"/>
          <w:szCs w:val="20"/>
          <w:shd w:val="clear" w:color="auto" w:fill="FFFFFF"/>
          <w:lang w:eastAsia="en-GB"/>
        </w:rPr>
        <w:t xml:space="preserve"> BRILL.</w:t>
      </w:r>
    </w:p>
    <w:p w14:paraId="4FFDFB17" w14:textId="77777777" w:rsidR="00C2408D" w:rsidRPr="00C2408D" w:rsidRDefault="00C2408D" w:rsidP="00C2408D">
      <w:pPr>
        <w:spacing w:after="0" w:line="240" w:lineRule="auto"/>
        <w:rPr>
          <w:rFonts w:ascii="Times New Roman" w:eastAsia="Times New Roman" w:hAnsi="Times New Roman" w:cs="Times New Roman"/>
          <w:color w:val="000000"/>
          <w:sz w:val="24"/>
          <w:szCs w:val="24"/>
          <w:lang w:eastAsia="en-GB"/>
        </w:rPr>
      </w:pPr>
      <w:r w:rsidRPr="00C2408D">
        <w:rPr>
          <w:rFonts w:ascii="Arial" w:eastAsia="Times New Roman" w:hAnsi="Arial" w:cs="Arial"/>
          <w:color w:val="000000"/>
          <w:sz w:val="20"/>
          <w:szCs w:val="20"/>
          <w:shd w:val="clear" w:color="auto" w:fill="FFFFFF"/>
          <w:lang w:eastAsia="en-GB"/>
        </w:rPr>
        <w:t xml:space="preserve">Turnbull, C. (1962). </w:t>
      </w:r>
      <w:r w:rsidRPr="00C2408D">
        <w:rPr>
          <w:rFonts w:ascii="Arial" w:eastAsia="Times New Roman" w:hAnsi="Arial" w:cs="Arial"/>
          <w:i/>
          <w:iCs/>
          <w:color w:val="000000"/>
          <w:sz w:val="20"/>
          <w:szCs w:val="20"/>
          <w:lang w:eastAsia="en-GB"/>
        </w:rPr>
        <w:t>The Forest People</w:t>
      </w:r>
      <w:r w:rsidRPr="00C2408D">
        <w:rPr>
          <w:rFonts w:ascii="Arial" w:eastAsia="Times New Roman" w:hAnsi="Arial" w:cs="Arial"/>
          <w:color w:val="000000"/>
          <w:sz w:val="20"/>
          <w:szCs w:val="20"/>
          <w:shd w:val="clear" w:color="auto" w:fill="FFFFFF"/>
          <w:lang w:eastAsia="en-GB"/>
        </w:rPr>
        <w:t>. New York NY: Doubleday &amp; Co.</w:t>
      </w:r>
    </w:p>
    <w:p w14:paraId="5D9689CE" w14:textId="5797B956" w:rsidR="00A10040" w:rsidRDefault="00700A0A" w:rsidP="00C2408D"/>
    <w:sectPr w:rsidR="00A100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08D"/>
    <w:rsid w:val="00700A0A"/>
    <w:rsid w:val="00B701E2"/>
    <w:rsid w:val="00C2408D"/>
    <w:rsid w:val="00C55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B145FA"/>
  <w15:chartTrackingRefBased/>
  <w15:docId w15:val="{6D71AA66-AA36-4D39-B951-93053DE27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2408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908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551</Words>
  <Characters>2830</Characters>
  <Application>Microsoft Office Word</Application>
  <DocSecurity>0</DocSecurity>
  <Lines>51</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Griffiths (1903378)</dc:creator>
  <cp:keywords/>
  <dc:description/>
  <cp:lastModifiedBy>Hannah Griffiths (1903378)</cp:lastModifiedBy>
  <cp:revision>2</cp:revision>
  <dcterms:created xsi:type="dcterms:W3CDTF">2019-10-25T20:06:00Z</dcterms:created>
  <dcterms:modified xsi:type="dcterms:W3CDTF">2019-10-25T20:06:00Z</dcterms:modified>
</cp:coreProperties>
</file>