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C4A5E4" w14:textId="782896D3" w:rsidR="00EC7FC7" w:rsidRDefault="00EC7FC7" w:rsidP="00EC7FC7">
      <w:pPr>
        <w:pStyle w:val="Title"/>
        <w:jc w:val="center"/>
      </w:pPr>
      <w:r>
        <w:rPr>
          <w:noProof/>
        </w:rPr>
        <mc:AlternateContent>
          <mc:Choice Requires="wps">
            <w:drawing>
              <wp:anchor distT="0" distB="0" distL="114300" distR="114300" simplePos="0" relativeHeight="251659264" behindDoc="0" locked="0" layoutInCell="1" allowOverlap="1" wp14:anchorId="3BF3E1D0" wp14:editId="17CFCBFE">
                <wp:simplePos x="0" y="0"/>
                <wp:positionH relativeFrom="column">
                  <wp:posOffset>-657225</wp:posOffset>
                </wp:positionH>
                <wp:positionV relativeFrom="paragraph">
                  <wp:posOffset>8582025</wp:posOffset>
                </wp:positionV>
                <wp:extent cx="914400" cy="914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243D4F06" w14:textId="53C1ABA0" w:rsidR="00D1734C" w:rsidRDefault="00D1734C">
                            <w:r>
                              <w:t>Student Name: David James (1704050)</w:t>
                            </w:r>
                          </w:p>
                          <w:p w14:paraId="47E1FFDA" w14:textId="4832CA37" w:rsidR="00D1734C" w:rsidRDefault="00D1734C">
                            <w:r>
                              <w:t>Module: Data Security, Governance and Compliance</w:t>
                            </w:r>
                          </w:p>
                          <w:p w14:paraId="5F8482F6" w14:textId="368B0A69" w:rsidR="00D1734C" w:rsidRDefault="00D1734C">
                            <w:r>
                              <w:t>Lecturer: Dr Carlene Campbell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BF3E1D0" id="_x0000_t202" coordsize="21600,21600" o:spt="202" path="m,l,21600r21600,l21600,xe">
                <v:stroke joinstyle="miter"/>
                <v:path gradientshapeok="t" o:connecttype="rect"/>
              </v:shapetype>
              <v:shape id="Text Box 1" o:spid="_x0000_s1026" type="#_x0000_t202" style="position:absolute;left:0;text-align:left;margin-left:-51.75pt;margin-top:675.75pt;width:1in;height:1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" fillcolor="white [3201]" stroked="f" strokeweight=".5pt">
                <v:textbox>
                  <w:txbxContent>
                    <w:p w14:paraId="243D4F06" w14:textId="53C1ABA0" w:rsidR="00D1734C" w:rsidRDefault="00D1734C">
                      <w:r>
                        <w:t>Student Name: David James (1704050)</w:t>
                      </w:r>
                    </w:p>
                    <w:p w14:paraId="47E1FFDA" w14:textId="4832CA37" w:rsidR="00D1734C" w:rsidRDefault="00D1734C">
                      <w:r>
                        <w:t>Module: Data Security, Governance and Compliance</w:t>
                      </w:r>
                    </w:p>
                    <w:p w14:paraId="5F8482F6" w14:textId="368B0A69" w:rsidR="00D1734C" w:rsidRDefault="00D1734C">
                      <w:r>
                        <w:t>Lecturer: Dr Carlene Campbell</w:t>
                      </w:r>
                    </w:p>
                  </w:txbxContent>
                </v:textbox>
              </v:shape>
            </w:pict>
          </mc:Fallback>
        </mc:AlternateContent>
      </w:r>
      <w:r>
        <w:t>Computer Networks &amp; Cybersecurity</w:t>
      </w:r>
    </w:p>
    <w:p w14:paraId="482F1729" w14:textId="77777777" w:rsidR="00EC7FC7" w:rsidRDefault="00EC7FC7">
      <w:pPr>
        <w:rPr>
          <w:rFonts w:asciiTheme="majorHAnsi" w:eastAsiaTheme="majorEastAsia" w:hAnsiTheme="majorHAnsi" w:cstheme="majorBidi"/>
          <w:spacing w:val="-10"/>
          <w:kern w:val="28"/>
          <w:sz w:val="56"/>
          <w:szCs w:val="56"/>
        </w:rPr>
      </w:pPr>
      <w:r>
        <w:br w:type="page"/>
      </w:r>
    </w:p>
    <w:sdt>
      <w:sdtPr>
        <w:rPr>
          <w:rFonts w:asciiTheme="minorHAnsi" w:eastAsiaTheme="minorHAnsi" w:hAnsiTheme="minorHAnsi" w:cstheme="minorBidi"/>
          <w:color w:val="auto"/>
          <w:sz w:val="22"/>
          <w:szCs w:val="22"/>
          <w:lang w:val="en-GB"/>
        </w:rPr>
        <w:id w:val="1584254514"/>
        <w:docPartObj>
          <w:docPartGallery w:val="Table of Contents"/>
          <w:docPartUnique/>
        </w:docPartObj>
      </w:sdtPr>
      <w:sdtEndPr>
        <w:rPr>
          <w:b/>
          <w:bCs/>
          <w:noProof/>
        </w:rPr>
      </w:sdtEndPr>
      <w:sdtContent>
        <w:p w14:paraId="14D10E88" w14:textId="0CD10869" w:rsidR="00EC7FC7" w:rsidRDefault="00EC7FC7">
          <w:pPr>
            <w:pStyle w:val="TOCHeading"/>
          </w:pPr>
          <w:r>
            <w:t>Table of Contents</w:t>
          </w:r>
        </w:p>
        <w:p w14:paraId="317A2BB1" w14:textId="71BB9104" w:rsidR="00D1734C" w:rsidRDefault="003368C3">
          <w:pPr>
            <w:pStyle w:val="TOC1"/>
            <w:tabs>
              <w:tab w:val="right" w:leader="dot" w:pos="9040"/>
            </w:tabs>
            <w:rPr>
              <w:rFonts w:eastAsiaTheme="minorEastAsia"/>
              <w:noProof/>
              <w:lang w:eastAsia="en-GB"/>
            </w:rPr>
          </w:pPr>
          <w:r>
            <w:fldChar w:fldCharType="begin"/>
          </w:r>
          <w:r>
            <w:instrText xml:space="preserve"> TOC \o "1-3" \h \z \u </w:instrText>
          </w:r>
          <w:r>
            <w:fldChar w:fldCharType="separate"/>
          </w:r>
          <w:hyperlink w:anchor="_Toc60925819" w:history="1">
            <w:r w:rsidR="00D1734C" w:rsidRPr="003F5ECB">
              <w:rPr>
                <w:rStyle w:val="Hyperlink"/>
                <w:noProof/>
              </w:rPr>
              <w:t>Table of Figures</w:t>
            </w:r>
            <w:r w:rsidR="00D1734C">
              <w:rPr>
                <w:noProof/>
                <w:webHidden/>
              </w:rPr>
              <w:tab/>
            </w:r>
            <w:r w:rsidR="00D1734C">
              <w:rPr>
                <w:noProof/>
                <w:webHidden/>
              </w:rPr>
              <w:fldChar w:fldCharType="begin"/>
            </w:r>
            <w:r w:rsidR="00D1734C">
              <w:rPr>
                <w:noProof/>
                <w:webHidden/>
              </w:rPr>
              <w:instrText xml:space="preserve"> PAGEREF _Toc60925819 \h </w:instrText>
            </w:r>
            <w:r w:rsidR="00D1734C">
              <w:rPr>
                <w:noProof/>
                <w:webHidden/>
              </w:rPr>
            </w:r>
            <w:r w:rsidR="00D1734C">
              <w:rPr>
                <w:noProof/>
                <w:webHidden/>
              </w:rPr>
              <w:fldChar w:fldCharType="separate"/>
            </w:r>
            <w:r w:rsidR="00D1734C">
              <w:rPr>
                <w:noProof/>
                <w:webHidden/>
              </w:rPr>
              <w:t>3</w:t>
            </w:r>
            <w:r w:rsidR="00D1734C">
              <w:rPr>
                <w:noProof/>
                <w:webHidden/>
              </w:rPr>
              <w:fldChar w:fldCharType="end"/>
            </w:r>
          </w:hyperlink>
        </w:p>
        <w:p w14:paraId="36EAF061" w14:textId="2B146084" w:rsidR="00D1734C" w:rsidRDefault="00D32403">
          <w:pPr>
            <w:pStyle w:val="TOC1"/>
            <w:tabs>
              <w:tab w:val="left" w:pos="440"/>
              <w:tab w:val="right" w:leader="dot" w:pos="9040"/>
            </w:tabs>
            <w:rPr>
              <w:rFonts w:eastAsiaTheme="minorEastAsia"/>
              <w:noProof/>
              <w:lang w:eastAsia="en-GB"/>
            </w:rPr>
          </w:pPr>
          <w:hyperlink w:anchor="_Toc60925820" w:history="1">
            <w:r w:rsidR="00D1734C" w:rsidRPr="003F5ECB">
              <w:rPr>
                <w:rStyle w:val="Hyperlink"/>
                <w:noProof/>
              </w:rPr>
              <w:t>1.</w:t>
            </w:r>
            <w:r w:rsidR="00D1734C">
              <w:rPr>
                <w:rFonts w:eastAsiaTheme="minorEastAsia"/>
                <w:noProof/>
                <w:lang w:eastAsia="en-GB"/>
              </w:rPr>
              <w:tab/>
            </w:r>
            <w:r w:rsidR="00D1734C" w:rsidRPr="003F5ECB">
              <w:rPr>
                <w:rStyle w:val="Hyperlink"/>
                <w:noProof/>
              </w:rPr>
              <w:t>Abstract</w:t>
            </w:r>
            <w:r w:rsidR="00D1734C">
              <w:rPr>
                <w:noProof/>
                <w:webHidden/>
              </w:rPr>
              <w:tab/>
            </w:r>
            <w:r w:rsidR="00D1734C">
              <w:rPr>
                <w:noProof/>
                <w:webHidden/>
              </w:rPr>
              <w:fldChar w:fldCharType="begin"/>
            </w:r>
            <w:r w:rsidR="00D1734C">
              <w:rPr>
                <w:noProof/>
                <w:webHidden/>
              </w:rPr>
              <w:instrText xml:space="preserve"> PAGEREF _Toc60925820 \h </w:instrText>
            </w:r>
            <w:r w:rsidR="00D1734C">
              <w:rPr>
                <w:noProof/>
                <w:webHidden/>
              </w:rPr>
            </w:r>
            <w:r w:rsidR="00D1734C">
              <w:rPr>
                <w:noProof/>
                <w:webHidden/>
              </w:rPr>
              <w:fldChar w:fldCharType="separate"/>
            </w:r>
            <w:r w:rsidR="00D1734C">
              <w:rPr>
                <w:noProof/>
                <w:webHidden/>
              </w:rPr>
              <w:t>4</w:t>
            </w:r>
            <w:r w:rsidR="00D1734C">
              <w:rPr>
                <w:noProof/>
                <w:webHidden/>
              </w:rPr>
              <w:fldChar w:fldCharType="end"/>
            </w:r>
          </w:hyperlink>
        </w:p>
        <w:p w14:paraId="6E14933A" w14:textId="264DF26E" w:rsidR="00D1734C" w:rsidRDefault="00D32403">
          <w:pPr>
            <w:pStyle w:val="TOC1"/>
            <w:tabs>
              <w:tab w:val="left" w:pos="440"/>
              <w:tab w:val="right" w:leader="dot" w:pos="9040"/>
            </w:tabs>
            <w:rPr>
              <w:rFonts w:eastAsiaTheme="minorEastAsia"/>
              <w:noProof/>
              <w:lang w:eastAsia="en-GB"/>
            </w:rPr>
          </w:pPr>
          <w:hyperlink w:anchor="_Toc60925821" w:history="1">
            <w:r w:rsidR="00D1734C" w:rsidRPr="003F5ECB">
              <w:rPr>
                <w:rStyle w:val="Hyperlink"/>
                <w:noProof/>
              </w:rPr>
              <w:t>2.</w:t>
            </w:r>
            <w:r w:rsidR="00D1734C">
              <w:rPr>
                <w:rFonts w:eastAsiaTheme="minorEastAsia"/>
                <w:noProof/>
                <w:lang w:eastAsia="en-GB"/>
              </w:rPr>
              <w:tab/>
            </w:r>
            <w:r w:rsidR="00D1734C" w:rsidRPr="003F5ECB">
              <w:rPr>
                <w:rStyle w:val="Hyperlink"/>
                <w:noProof/>
              </w:rPr>
              <w:t>What is a Cybersecurity Framework?</w:t>
            </w:r>
            <w:r w:rsidR="00D1734C">
              <w:rPr>
                <w:noProof/>
                <w:webHidden/>
              </w:rPr>
              <w:tab/>
            </w:r>
            <w:r w:rsidR="00D1734C">
              <w:rPr>
                <w:noProof/>
                <w:webHidden/>
              </w:rPr>
              <w:fldChar w:fldCharType="begin"/>
            </w:r>
            <w:r w:rsidR="00D1734C">
              <w:rPr>
                <w:noProof/>
                <w:webHidden/>
              </w:rPr>
              <w:instrText xml:space="preserve"> PAGEREF _Toc60925821 \h </w:instrText>
            </w:r>
            <w:r w:rsidR="00D1734C">
              <w:rPr>
                <w:noProof/>
                <w:webHidden/>
              </w:rPr>
            </w:r>
            <w:r w:rsidR="00D1734C">
              <w:rPr>
                <w:noProof/>
                <w:webHidden/>
              </w:rPr>
              <w:fldChar w:fldCharType="separate"/>
            </w:r>
            <w:r w:rsidR="00D1734C">
              <w:rPr>
                <w:noProof/>
                <w:webHidden/>
              </w:rPr>
              <w:t>4</w:t>
            </w:r>
            <w:r w:rsidR="00D1734C">
              <w:rPr>
                <w:noProof/>
                <w:webHidden/>
              </w:rPr>
              <w:fldChar w:fldCharType="end"/>
            </w:r>
          </w:hyperlink>
        </w:p>
        <w:p w14:paraId="2660F7AE" w14:textId="4E923CCC" w:rsidR="00D1734C" w:rsidRDefault="00D32403">
          <w:pPr>
            <w:pStyle w:val="TOC1"/>
            <w:tabs>
              <w:tab w:val="left" w:pos="440"/>
              <w:tab w:val="right" w:leader="dot" w:pos="9040"/>
            </w:tabs>
            <w:rPr>
              <w:rFonts w:eastAsiaTheme="minorEastAsia"/>
              <w:noProof/>
              <w:lang w:eastAsia="en-GB"/>
            </w:rPr>
          </w:pPr>
          <w:hyperlink w:anchor="_Toc60925822" w:history="1">
            <w:r w:rsidR="00D1734C" w:rsidRPr="003F5ECB">
              <w:rPr>
                <w:rStyle w:val="Hyperlink"/>
                <w:noProof/>
              </w:rPr>
              <w:t>3.</w:t>
            </w:r>
            <w:r w:rsidR="00D1734C">
              <w:rPr>
                <w:rFonts w:eastAsiaTheme="minorEastAsia"/>
                <w:noProof/>
                <w:lang w:eastAsia="en-GB"/>
              </w:rPr>
              <w:tab/>
            </w:r>
            <w:r w:rsidR="00D1734C" w:rsidRPr="003F5ECB">
              <w:rPr>
                <w:rStyle w:val="Hyperlink"/>
                <w:noProof/>
              </w:rPr>
              <w:t>Frameworks</w:t>
            </w:r>
            <w:r w:rsidR="00D1734C">
              <w:rPr>
                <w:noProof/>
                <w:webHidden/>
              </w:rPr>
              <w:tab/>
            </w:r>
            <w:r w:rsidR="00D1734C">
              <w:rPr>
                <w:noProof/>
                <w:webHidden/>
              </w:rPr>
              <w:fldChar w:fldCharType="begin"/>
            </w:r>
            <w:r w:rsidR="00D1734C">
              <w:rPr>
                <w:noProof/>
                <w:webHidden/>
              </w:rPr>
              <w:instrText xml:space="preserve"> PAGEREF _Toc60925822 \h </w:instrText>
            </w:r>
            <w:r w:rsidR="00D1734C">
              <w:rPr>
                <w:noProof/>
                <w:webHidden/>
              </w:rPr>
            </w:r>
            <w:r w:rsidR="00D1734C">
              <w:rPr>
                <w:noProof/>
                <w:webHidden/>
              </w:rPr>
              <w:fldChar w:fldCharType="separate"/>
            </w:r>
            <w:r w:rsidR="00D1734C">
              <w:rPr>
                <w:noProof/>
                <w:webHidden/>
              </w:rPr>
              <w:t>4</w:t>
            </w:r>
            <w:r w:rsidR="00D1734C">
              <w:rPr>
                <w:noProof/>
                <w:webHidden/>
              </w:rPr>
              <w:fldChar w:fldCharType="end"/>
            </w:r>
          </w:hyperlink>
        </w:p>
        <w:p w14:paraId="710A9F5B" w14:textId="7DC96FD2" w:rsidR="00D1734C" w:rsidRDefault="00D32403">
          <w:pPr>
            <w:pStyle w:val="TOC1"/>
            <w:tabs>
              <w:tab w:val="left" w:pos="440"/>
              <w:tab w:val="right" w:leader="dot" w:pos="9040"/>
            </w:tabs>
            <w:rPr>
              <w:rFonts w:eastAsiaTheme="minorEastAsia"/>
              <w:noProof/>
              <w:lang w:eastAsia="en-GB"/>
            </w:rPr>
          </w:pPr>
          <w:hyperlink w:anchor="_Toc60925823" w:history="1">
            <w:r w:rsidR="00D1734C" w:rsidRPr="003F5ECB">
              <w:rPr>
                <w:rStyle w:val="Hyperlink"/>
                <w:noProof/>
              </w:rPr>
              <w:t>4.</w:t>
            </w:r>
            <w:r w:rsidR="00D1734C">
              <w:rPr>
                <w:rFonts w:eastAsiaTheme="minorEastAsia"/>
                <w:noProof/>
                <w:lang w:eastAsia="en-GB"/>
              </w:rPr>
              <w:tab/>
            </w:r>
            <w:r w:rsidR="00D1734C" w:rsidRPr="003F5ECB">
              <w:rPr>
                <w:rStyle w:val="Hyperlink"/>
                <w:noProof/>
              </w:rPr>
              <w:t>Literature Review</w:t>
            </w:r>
            <w:r w:rsidR="00D1734C">
              <w:rPr>
                <w:noProof/>
                <w:webHidden/>
              </w:rPr>
              <w:tab/>
            </w:r>
            <w:r w:rsidR="00D1734C">
              <w:rPr>
                <w:noProof/>
                <w:webHidden/>
              </w:rPr>
              <w:fldChar w:fldCharType="begin"/>
            </w:r>
            <w:r w:rsidR="00D1734C">
              <w:rPr>
                <w:noProof/>
                <w:webHidden/>
              </w:rPr>
              <w:instrText xml:space="preserve"> PAGEREF _Toc60925823 \h </w:instrText>
            </w:r>
            <w:r w:rsidR="00D1734C">
              <w:rPr>
                <w:noProof/>
                <w:webHidden/>
              </w:rPr>
            </w:r>
            <w:r w:rsidR="00D1734C">
              <w:rPr>
                <w:noProof/>
                <w:webHidden/>
              </w:rPr>
              <w:fldChar w:fldCharType="separate"/>
            </w:r>
            <w:r w:rsidR="00D1734C">
              <w:rPr>
                <w:noProof/>
                <w:webHidden/>
              </w:rPr>
              <w:t>5</w:t>
            </w:r>
            <w:r w:rsidR="00D1734C">
              <w:rPr>
                <w:noProof/>
                <w:webHidden/>
              </w:rPr>
              <w:fldChar w:fldCharType="end"/>
            </w:r>
          </w:hyperlink>
        </w:p>
        <w:p w14:paraId="3F905B66" w14:textId="5FC18747" w:rsidR="00D1734C" w:rsidRDefault="00D32403">
          <w:pPr>
            <w:pStyle w:val="TOC2"/>
            <w:tabs>
              <w:tab w:val="left" w:pos="880"/>
              <w:tab w:val="right" w:leader="dot" w:pos="9040"/>
            </w:tabs>
            <w:rPr>
              <w:rFonts w:eastAsiaTheme="minorEastAsia"/>
              <w:noProof/>
              <w:lang w:eastAsia="en-GB"/>
            </w:rPr>
          </w:pPr>
          <w:hyperlink w:anchor="_Toc60925824" w:history="1">
            <w:r w:rsidR="00D1734C" w:rsidRPr="003F5ECB">
              <w:rPr>
                <w:rStyle w:val="Hyperlink"/>
                <w:noProof/>
              </w:rPr>
              <w:t>4.1.</w:t>
            </w:r>
            <w:r w:rsidR="00D1734C">
              <w:rPr>
                <w:rFonts w:eastAsiaTheme="minorEastAsia"/>
                <w:noProof/>
                <w:lang w:eastAsia="en-GB"/>
              </w:rPr>
              <w:tab/>
            </w:r>
            <w:r w:rsidR="00D1734C" w:rsidRPr="003F5ECB">
              <w:rPr>
                <w:rStyle w:val="Hyperlink"/>
                <w:noProof/>
              </w:rPr>
              <w:t>NIST</w:t>
            </w:r>
            <w:r w:rsidR="00D1734C">
              <w:rPr>
                <w:noProof/>
                <w:webHidden/>
              </w:rPr>
              <w:tab/>
            </w:r>
            <w:r w:rsidR="00D1734C">
              <w:rPr>
                <w:noProof/>
                <w:webHidden/>
              </w:rPr>
              <w:fldChar w:fldCharType="begin"/>
            </w:r>
            <w:r w:rsidR="00D1734C">
              <w:rPr>
                <w:noProof/>
                <w:webHidden/>
              </w:rPr>
              <w:instrText xml:space="preserve"> PAGEREF _Toc60925824 \h </w:instrText>
            </w:r>
            <w:r w:rsidR="00D1734C">
              <w:rPr>
                <w:noProof/>
                <w:webHidden/>
              </w:rPr>
            </w:r>
            <w:r w:rsidR="00D1734C">
              <w:rPr>
                <w:noProof/>
                <w:webHidden/>
              </w:rPr>
              <w:fldChar w:fldCharType="separate"/>
            </w:r>
            <w:r w:rsidR="00D1734C">
              <w:rPr>
                <w:noProof/>
                <w:webHidden/>
              </w:rPr>
              <w:t>6</w:t>
            </w:r>
            <w:r w:rsidR="00D1734C">
              <w:rPr>
                <w:noProof/>
                <w:webHidden/>
              </w:rPr>
              <w:fldChar w:fldCharType="end"/>
            </w:r>
          </w:hyperlink>
        </w:p>
        <w:p w14:paraId="200F1CEB" w14:textId="6BCE632E" w:rsidR="00D1734C" w:rsidRDefault="00D32403">
          <w:pPr>
            <w:pStyle w:val="TOC2"/>
            <w:tabs>
              <w:tab w:val="left" w:pos="880"/>
              <w:tab w:val="right" w:leader="dot" w:pos="9040"/>
            </w:tabs>
            <w:rPr>
              <w:rFonts w:eastAsiaTheme="minorEastAsia"/>
              <w:noProof/>
              <w:lang w:eastAsia="en-GB"/>
            </w:rPr>
          </w:pPr>
          <w:hyperlink w:anchor="_Toc60925825" w:history="1">
            <w:r w:rsidR="00D1734C" w:rsidRPr="003F5ECB">
              <w:rPr>
                <w:rStyle w:val="Hyperlink"/>
                <w:noProof/>
              </w:rPr>
              <w:t>4.2.</w:t>
            </w:r>
            <w:r w:rsidR="00D1734C">
              <w:rPr>
                <w:rFonts w:eastAsiaTheme="minorEastAsia"/>
                <w:noProof/>
                <w:lang w:eastAsia="en-GB"/>
              </w:rPr>
              <w:tab/>
            </w:r>
            <w:r w:rsidR="00D1734C" w:rsidRPr="003F5ECB">
              <w:rPr>
                <w:rStyle w:val="Hyperlink"/>
                <w:noProof/>
              </w:rPr>
              <w:t>PCI DSS</w:t>
            </w:r>
            <w:r w:rsidR="00D1734C">
              <w:rPr>
                <w:noProof/>
                <w:webHidden/>
              </w:rPr>
              <w:tab/>
            </w:r>
            <w:r w:rsidR="00D1734C">
              <w:rPr>
                <w:noProof/>
                <w:webHidden/>
              </w:rPr>
              <w:fldChar w:fldCharType="begin"/>
            </w:r>
            <w:r w:rsidR="00D1734C">
              <w:rPr>
                <w:noProof/>
                <w:webHidden/>
              </w:rPr>
              <w:instrText xml:space="preserve"> PAGEREF _Toc60925825 \h </w:instrText>
            </w:r>
            <w:r w:rsidR="00D1734C">
              <w:rPr>
                <w:noProof/>
                <w:webHidden/>
              </w:rPr>
            </w:r>
            <w:r w:rsidR="00D1734C">
              <w:rPr>
                <w:noProof/>
                <w:webHidden/>
              </w:rPr>
              <w:fldChar w:fldCharType="separate"/>
            </w:r>
            <w:r w:rsidR="00D1734C">
              <w:rPr>
                <w:noProof/>
                <w:webHidden/>
              </w:rPr>
              <w:t>8</w:t>
            </w:r>
            <w:r w:rsidR="00D1734C">
              <w:rPr>
                <w:noProof/>
                <w:webHidden/>
              </w:rPr>
              <w:fldChar w:fldCharType="end"/>
            </w:r>
          </w:hyperlink>
        </w:p>
        <w:p w14:paraId="7ED51412" w14:textId="2A0EFDC3" w:rsidR="00D1734C" w:rsidRDefault="00D32403">
          <w:pPr>
            <w:pStyle w:val="TOC2"/>
            <w:tabs>
              <w:tab w:val="left" w:pos="880"/>
              <w:tab w:val="right" w:leader="dot" w:pos="9040"/>
            </w:tabs>
            <w:rPr>
              <w:rFonts w:eastAsiaTheme="minorEastAsia"/>
              <w:noProof/>
              <w:lang w:eastAsia="en-GB"/>
            </w:rPr>
          </w:pPr>
          <w:hyperlink w:anchor="_Toc60925826" w:history="1">
            <w:r w:rsidR="00D1734C" w:rsidRPr="003F5ECB">
              <w:rPr>
                <w:rStyle w:val="Hyperlink"/>
                <w:noProof/>
              </w:rPr>
              <w:t>4.3.</w:t>
            </w:r>
            <w:r w:rsidR="00D1734C">
              <w:rPr>
                <w:rFonts w:eastAsiaTheme="minorEastAsia"/>
                <w:noProof/>
                <w:lang w:eastAsia="en-GB"/>
              </w:rPr>
              <w:tab/>
            </w:r>
            <w:r w:rsidR="00D1734C" w:rsidRPr="003F5ECB">
              <w:rPr>
                <w:rStyle w:val="Hyperlink"/>
                <w:noProof/>
              </w:rPr>
              <w:t>ISO 27001</w:t>
            </w:r>
            <w:r w:rsidR="00D1734C">
              <w:rPr>
                <w:noProof/>
                <w:webHidden/>
              </w:rPr>
              <w:tab/>
            </w:r>
            <w:r w:rsidR="00D1734C">
              <w:rPr>
                <w:noProof/>
                <w:webHidden/>
              </w:rPr>
              <w:fldChar w:fldCharType="begin"/>
            </w:r>
            <w:r w:rsidR="00D1734C">
              <w:rPr>
                <w:noProof/>
                <w:webHidden/>
              </w:rPr>
              <w:instrText xml:space="preserve"> PAGEREF _Toc60925826 \h </w:instrText>
            </w:r>
            <w:r w:rsidR="00D1734C">
              <w:rPr>
                <w:noProof/>
                <w:webHidden/>
              </w:rPr>
            </w:r>
            <w:r w:rsidR="00D1734C">
              <w:rPr>
                <w:noProof/>
                <w:webHidden/>
              </w:rPr>
              <w:fldChar w:fldCharType="separate"/>
            </w:r>
            <w:r w:rsidR="00D1734C">
              <w:rPr>
                <w:noProof/>
                <w:webHidden/>
              </w:rPr>
              <w:t>9</w:t>
            </w:r>
            <w:r w:rsidR="00D1734C">
              <w:rPr>
                <w:noProof/>
                <w:webHidden/>
              </w:rPr>
              <w:fldChar w:fldCharType="end"/>
            </w:r>
          </w:hyperlink>
        </w:p>
        <w:p w14:paraId="4F6FF94A" w14:textId="07E8120E" w:rsidR="00D1734C" w:rsidRDefault="00D32403">
          <w:pPr>
            <w:pStyle w:val="TOC2"/>
            <w:tabs>
              <w:tab w:val="left" w:pos="880"/>
              <w:tab w:val="right" w:leader="dot" w:pos="9040"/>
            </w:tabs>
            <w:rPr>
              <w:rFonts w:eastAsiaTheme="minorEastAsia"/>
              <w:noProof/>
              <w:lang w:eastAsia="en-GB"/>
            </w:rPr>
          </w:pPr>
          <w:hyperlink w:anchor="_Toc60925827" w:history="1">
            <w:r w:rsidR="00D1734C" w:rsidRPr="003F5ECB">
              <w:rPr>
                <w:rStyle w:val="Hyperlink"/>
                <w:noProof/>
              </w:rPr>
              <w:t>4.4.</w:t>
            </w:r>
            <w:r w:rsidR="00D1734C">
              <w:rPr>
                <w:rFonts w:eastAsiaTheme="minorEastAsia"/>
                <w:noProof/>
                <w:lang w:eastAsia="en-GB"/>
              </w:rPr>
              <w:tab/>
            </w:r>
            <w:r w:rsidR="00D1734C" w:rsidRPr="003F5ECB">
              <w:rPr>
                <w:rStyle w:val="Hyperlink"/>
                <w:noProof/>
              </w:rPr>
              <w:t>Conclusion</w:t>
            </w:r>
            <w:r w:rsidR="00D1734C">
              <w:rPr>
                <w:noProof/>
                <w:webHidden/>
              </w:rPr>
              <w:tab/>
            </w:r>
            <w:r w:rsidR="00D1734C">
              <w:rPr>
                <w:noProof/>
                <w:webHidden/>
              </w:rPr>
              <w:fldChar w:fldCharType="begin"/>
            </w:r>
            <w:r w:rsidR="00D1734C">
              <w:rPr>
                <w:noProof/>
                <w:webHidden/>
              </w:rPr>
              <w:instrText xml:space="preserve"> PAGEREF _Toc60925827 \h </w:instrText>
            </w:r>
            <w:r w:rsidR="00D1734C">
              <w:rPr>
                <w:noProof/>
                <w:webHidden/>
              </w:rPr>
            </w:r>
            <w:r w:rsidR="00D1734C">
              <w:rPr>
                <w:noProof/>
                <w:webHidden/>
              </w:rPr>
              <w:fldChar w:fldCharType="separate"/>
            </w:r>
            <w:r w:rsidR="00D1734C">
              <w:rPr>
                <w:noProof/>
                <w:webHidden/>
              </w:rPr>
              <w:t>11</w:t>
            </w:r>
            <w:r w:rsidR="00D1734C">
              <w:rPr>
                <w:noProof/>
                <w:webHidden/>
              </w:rPr>
              <w:fldChar w:fldCharType="end"/>
            </w:r>
          </w:hyperlink>
        </w:p>
        <w:p w14:paraId="15BB6460" w14:textId="4EC0AD3F" w:rsidR="00D1734C" w:rsidRDefault="00D32403">
          <w:pPr>
            <w:pStyle w:val="TOC1"/>
            <w:tabs>
              <w:tab w:val="left" w:pos="440"/>
              <w:tab w:val="right" w:leader="dot" w:pos="9040"/>
            </w:tabs>
            <w:rPr>
              <w:rFonts w:eastAsiaTheme="minorEastAsia"/>
              <w:noProof/>
              <w:lang w:eastAsia="en-GB"/>
            </w:rPr>
          </w:pPr>
          <w:hyperlink w:anchor="_Toc60925828" w:history="1">
            <w:r w:rsidR="00D1734C" w:rsidRPr="003F5ECB">
              <w:rPr>
                <w:rStyle w:val="Hyperlink"/>
                <w:noProof/>
              </w:rPr>
              <w:t>5.</w:t>
            </w:r>
            <w:r w:rsidR="00D1734C">
              <w:rPr>
                <w:rFonts w:eastAsiaTheme="minorEastAsia"/>
                <w:noProof/>
                <w:lang w:eastAsia="en-GB"/>
              </w:rPr>
              <w:tab/>
            </w:r>
            <w:r w:rsidR="00D1734C" w:rsidRPr="003F5ECB">
              <w:rPr>
                <w:rStyle w:val="Hyperlink"/>
                <w:noProof/>
              </w:rPr>
              <w:t>Case Scenario (CaribbeanCoffee)</w:t>
            </w:r>
            <w:r w:rsidR="00D1734C">
              <w:rPr>
                <w:noProof/>
                <w:webHidden/>
              </w:rPr>
              <w:tab/>
            </w:r>
            <w:r w:rsidR="00D1734C">
              <w:rPr>
                <w:noProof/>
                <w:webHidden/>
              </w:rPr>
              <w:fldChar w:fldCharType="begin"/>
            </w:r>
            <w:r w:rsidR="00D1734C">
              <w:rPr>
                <w:noProof/>
                <w:webHidden/>
              </w:rPr>
              <w:instrText xml:space="preserve"> PAGEREF _Toc60925828 \h </w:instrText>
            </w:r>
            <w:r w:rsidR="00D1734C">
              <w:rPr>
                <w:noProof/>
                <w:webHidden/>
              </w:rPr>
            </w:r>
            <w:r w:rsidR="00D1734C">
              <w:rPr>
                <w:noProof/>
                <w:webHidden/>
              </w:rPr>
              <w:fldChar w:fldCharType="separate"/>
            </w:r>
            <w:r w:rsidR="00D1734C">
              <w:rPr>
                <w:noProof/>
                <w:webHidden/>
              </w:rPr>
              <w:t>11</w:t>
            </w:r>
            <w:r w:rsidR="00D1734C">
              <w:rPr>
                <w:noProof/>
                <w:webHidden/>
              </w:rPr>
              <w:fldChar w:fldCharType="end"/>
            </w:r>
          </w:hyperlink>
        </w:p>
        <w:p w14:paraId="51067E35" w14:textId="2B1264FB" w:rsidR="00D1734C" w:rsidRDefault="00D32403">
          <w:pPr>
            <w:pStyle w:val="TOC1"/>
            <w:tabs>
              <w:tab w:val="left" w:pos="440"/>
              <w:tab w:val="right" w:leader="dot" w:pos="9040"/>
            </w:tabs>
            <w:rPr>
              <w:rFonts w:eastAsiaTheme="minorEastAsia"/>
              <w:noProof/>
              <w:lang w:eastAsia="en-GB"/>
            </w:rPr>
          </w:pPr>
          <w:hyperlink w:anchor="_Toc60925829" w:history="1">
            <w:r w:rsidR="00D1734C" w:rsidRPr="003F5ECB">
              <w:rPr>
                <w:rStyle w:val="Hyperlink"/>
                <w:noProof/>
              </w:rPr>
              <w:t>6.</w:t>
            </w:r>
            <w:r w:rsidR="00D1734C">
              <w:rPr>
                <w:rFonts w:eastAsiaTheme="minorEastAsia"/>
                <w:noProof/>
                <w:lang w:eastAsia="en-GB"/>
              </w:rPr>
              <w:tab/>
            </w:r>
            <w:r w:rsidR="00D1734C" w:rsidRPr="003F5ECB">
              <w:rPr>
                <w:rStyle w:val="Hyperlink"/>
                <w:noProof/>
              </w:rPr>
              <w:t>References</w:t>
            </w:r>
            <w:r w:rsidR="00D1734C">
              <w:rPr>
                <w:noProof/>
                <w:webHidden/>
              </w:rPr>
              <w:tab/>
            </w:r>
            <w:r w:rsidR="00D1734C">
              <w:rPr>
                <w:noProof/>
                <w:webHidden/>
              </w:rPr>
              <w:fldChar w:fldCharType="begin"/>
            </w:r>
            <w:r w:rsidR="00D1734C">
              <w:rPr>
                <w:noProof/>
                <w:webHidden/>
              </w:rPr>
              <w:instrText xml:space="preserve"> PAGEREF _Toc60925829 \h </w:instrText>
            </w:r>
            <w:r w:rsidR="00D1734C">
              <w:rPr>
                <w:noProof/>
                <w:webHidden/>
              </w:rPr>
            </w:r>
            <w:r w:rsidR="00D1734C">
              <w:rPr>
                <w:noProof/>
                <w:webHidden/>
              </w:rPr>
              <w:fldChar w:fldCharType="separate"/>
            </w:r>
            <w:r w:rsidR="00D1734C">
              <w:rPr>
                <w:noProof/>
                <w:webHidden/>
              </w:rPr>
              <w:t>12</w:t>
            </w:r>
            <w:r w:rsidR="00D1734C">
              <w:rPr>
                <w:noProof/>
                <w:webHidden/>
              </w:rPr>
              <w:fldChar w:fldCharType="end"/>
            </w:r>
          </w:hyperlink>
        </w:p>
        <w:p w14:paraId="33274316" w14:textId="01248E1A" w:rsidR="00EC7FC7" w:rsidRDefault="003368C3">
          <w:r>
            <w:rPr>
              <w:b/>
              <w:bCs/>
              <w:noProof/>
              <w:lang w:val="en-US"/>
            </w:rPr>
            <w:fldChar w:fldCharType="end"/>
          </w:r>
        </w:p>
      </w:sdtContent>
    </w:sdt>
    <w:p w14:paraId="377755F0" w14:textId="6C14D8F8" w:rsidR="00EC7FC7" w:rsidRDefault="00EC7FC7" w:rsidP="00EC7FC7"/>
    <w:p w14:paraId="76D49C99" w14:textId="77777777" w:rsidR="00EC7FC7" w:rsidRDefault="00EC7FC7">
      <w:r>
        <w:br w:type="page"/>
      </w:r>
    </w:p>
    <w:p w14:paraId="2B5FA921" w14:textId="324A57C6" w:rsidR="00A93F0A" w:rsidRDefault="00A93F0A" w:rsidP="00A93F0A">
      <w:pPr>
        <w:pStyle w:val="Heading1"/>
      </w:pPr>
      <w:bookmarkStart w:id="0" w:name="_Toc60925819"/>
      <w:r>
        <w:lastRenderedPageBreak/>
        <w:t>Table of Figures</w:t>
      </w:r>
      <w:bookmarkEnd w:id="0"/>
    </w:p>
    <w:p w14:paraId="2F3BF913" w14:textId="7517643E" w:rsidR="00FC34E2" w:rsidRDefault="00A93F0A">
      <w:pPr>
        <w:pStyle w:val="TableofFigures"/>
        <w:tabs>
          <w:tab w:val="right" w:leader="dot" w:pos="9040"/>
        </w:tabs>
        <w:rPr>
          <w:rFonts w:eastAsiaTheme="minorEastAsia"/>
          <w:noProof/>
          <w:lang w:eastAsia="en-GB"/>
        </w:rPr>
      </w:pPr>
      <w:r>
        <w:fldChar w:fldCharType="begin"/>
      </w:r>
      <w:r>
        <w:instrText xml:space="preserve"> TOC \h \z \c "Figure" </w:instrText>
      </w:r>
      <w:r>
        <w:fldChar w:fldCharType="separate"/>
      </w:r>
      <w:hyperlink w:anchor="_Toc60847200" w:history="1">
        <w:r w:rsidR="00FC34E2" w:rsidRPr="00A56E5F">
          <w:rPr>
            <w:rStyle w:val="Hyperlink"/>
            <w:noProof/>
          </w:rPr>
          <w:t>Figure 1 - Three types of security frameworks</w:t>
        </w:r>
        <w:r w:rsidR="00FC34E2">
          <w:rPr>
            <w:noProof/>
            <w:webHidden/>
          </w:rPr>
          <w:tab/>
        </w:r>
        <w:r w:rsidR="00FC34E2">
          <w:rPr>
            <w:noProof/>
            <w:webHidden/>
          </w:rPr>
          <w:fldChar w:fldCharType="begin"/>
        </w:r>
        <w:r w:rsidR="00FC34E2">
          <w:rPr>
            <w:noProof/>
            <w:webHidden/>
          </w:rPr>
          <w:instrText xml:space="preserve"> PAGEREF _Toc60847200 \h </w:instrText>
        </w:r>
        <w:r w:rsidR="00FC34E2">
          <w:rPr>
            <w:noProof/>
            <w:webHidden/>
          </w:rPr>
        </w:r>
        <w:r w:rsidR="00FC34E2">
          <w:rPr>
            <w:noProof/>
            <w:webHidden/>
          </w:rPr>
          <w:fldChar w:fldCharType="separate"/>
        </w:r>
        <w:r w:rsidR="00FC34E2">
          <w:rPr>
            <w:noProof/>
            <w:webHidden/>
          </w:rPr>
          <w:t>5</w:t>
        </w:r>
        <w:r w:rsidR="00FC34E2">
          <w:rPr>
            <w:noProof/>
            <w:webHidden/>
          </w:rPr>
          <w:fldChar w:fldCharType="end"/>
        </w:r>
      </w:hyperlink>
    </w:p>
    <w:p w14:paraId="2ACF2160" w14:textId="62E809C3" w:rsidR="00FC34E2" w:rsidRDefault="00D32403">
      <w:pPr>
        <w:pStyle w:val="TableofFigures"/>
        <w:tabs>
          <w:tab w:val="right" w:leader="dot" w:pos="9040"/>
        </w:tabs>
        <w:rPr>
          <w:rFonts w:eastAsiaTheme="minorEastAsia"/>
          <w:noProof/>
          <w:lang w:eastAsia="en-GB"/>
        </w:rPr>
      </w:pPr>
      <w:hyperlink w:anchor="_Toc60847201" w:history="1">
        <w:r w:rsidR="00FC34E2" w:rsidRPr="00A56E5F">
          <w:rPr>
            <w:rStyle w:val="Hyperlink"/>
            <w:noProof/>
          </w:rPr>
          <w:t>Figure 2 - NIST framework components</w:t>
        </w:r>
        <w:r w:rsidR="00FC34E2">
          <w:rPr>
            <w:noProof/>
            <w:webHidden/>
          </w:rPr>
          <w:tab/>
        </w:r>
        <w:r w:rsidR="00FC34E2">
          <w:rPr>
            <w:noProof/>
            <w:webHidden/>
          </w:rPr>
          <w:fldChar w:fldCharType="begin"/>
        </w:r>
        <w:r w:rsidR="00FC34E2">
          <w:rPr>
            <w:noProof/>
            <w:webHidden/>
          </w:rPr>
          <w:instrText xml:space="preserve"> PAGEREF _Toc60847201 \h </w:instrText>
        </w:r>
        <w:r w:rsidR="00FC34E2">
          <w:rPr>
            <w:noProof/>
            <w:webHidden/>
          </w:rPr>
        </w:r>
        <w:r w:rsidR="00FC34E2">
          <w:rPr>
            <w:noProof/>
            <w:webHidden/>
          </w:rPr>
          <w:fldChar w:fldCharType="separate"/>
        </w:r>
        <w:r w:rsidR="00FC34E2">
          <w:rPr>
            <w:noProof/>
            <w:webHidden/>
          </w:rPr>
          <w:t>6</w:t>
        </w:r>
        <w:r w:rsidR="00FC34E2">
          <w:rPr>
            <w:noProof/>
            <w:webHidden/>
          </w:rPr>
          <w:fldChar w:fldCharType="end"/>
        </w:r>
      </w:hyperlink>
    </w:p>
    <w:p w14:paraId="674020B0" w14:textId="12F09725" w:rsidR="00FC34E2" w:rsidRDefault="00D32403">
      <w:pPr>
        <w:pStyle w:val="TableofFigures"/>
        <w:tabs>
          <w:tab w:val="right" w:leader="dot" w:pos="9040"/>
        </w:tabs>
        <w:rPr>
          <w:rFonts w:eastAsiaTheme="minorEastAsia"/>
          <w:noProof/>
          <w:lang w:eastAsia="en-GB"/>
        </w:rPr>
      </w:pPr>
      <w:hyperlink w:anchor="_Toc60847202" w:history="1">
        <w:r w:rsidR="00FC34E2" w:rsidRPr="00A56E5F">
          <w:rPr>
            <w:rStyle w:val="Hyperlink"/>
            <w:noProof/>
          </w:rPr>
          <w:t>Figure 3 – NIST framework core functions</w:t>
        </w:r>
        <w:r w:rsidR="00FC34E2">
          <w:rPr>
            <w:noProof/>
            <w:webHidden/>
          </w:rPr>
          <w:tab/>
        </w:r>
        <w:r w:rsidR="00FC34E2">
          <w:rPr>
            <w:noProof/>
            <w:webHidden/>
          </w:rPr>
          <w:fldChar w:fldCharType="begin"/>
        </w:r>
        <w:r w:rsidR="00FC34E2">
          <w:rPr>
            <w:noProof/>
            <w:webHidden/>
          </w:rPr>
          <w:instrText xml:space="preserve"> PAGEREF _Toc60847202 \h </w:instrText>
        </w:r>
        <w:r w:rsidR="00FC34E2">
          <w:rPr>
            <w:noProof/>
            <w:webHidden/>
          </w:rPr>
        </w:r>
        <w:r w:rsidR="00FC34E2">
          <w:rPr>
            <w:noProof/>
            <w:webHidden/>
          </w:rPr>
          <w:fldChar w:fldCharType="separate"/>
        </w:r>
        <w:r w:rsidR="00FC34E2">
          <w:rPr>
            <w:noProof/>
            <w:webHidden/>
          </w:rPr>
          <w:t>7</w:t>
        </w:r>
        <w:r w:rsidR="00FC34E2">
          <w:rPr>
            <w:noProof/>
            <w:webHidden/>
          </w:rPr>
          <w:fldChar w:fldCharType="end"/>
        </w:r>
      </w:hyperlink>
    </w:p>
    <w:p w14:paraId="2232DE59" w14:textId="31DAA811" w:rsidR="00FC34E2" w:rsidRDefault="00D32403">
      <w:pPr>
        <w:pStyle w:val="TableofFigures"/>
        <w:tabs>
          <w:tab w:val="right" w:leader="dot" w:pos="9040"/>
        </w:tabs>
        <w:rPr>
          <w:rFonts w:eastAsiaTheme="minorEastAsia"/>
          <w:noProof/>
          <w:lang w:eastAsia="en-GB"/>
        </w:rPr>
      </w:pPr>
      <w:hyperlink w:anchor="_Toc60847203" w:history="1">
        <w:r w:rsidR="00FC34E2" w:rsidRPr="00A56E5F">
          <w:rPr>
            <w:rStyle w:val="Hyperlink"/>
            <w:noProof/>
          </w:rPr>
          <w:t>Figure 4 – NIST framework tiers</w:t>
        </w:r>
        <w:r w:rsidR="00FC34E2">
          <w:rPr>
            <w:noProof/>
            <w:webHidden/>
          </w:rPr>
          <w:tab/>
        </w:r>
        <w:r w:rsidR="00FC34E2">
          <w:rPr>
            <w:noProof/>
            <w:webHidden/>
          </w:rPr>
          <w:fldChar w:fldCharType="begin"/>
        </w:r>
        <w:r w:rsidR="00FC34E2">
          <w:rPr>
            <w:noProof/>
            <w:webHidden/>
          </w:rPr>
          <w:instrText xml:space="preserve"> PAGEREF _Toc60847203 \h </w:instrText>
        </w:r>
        <w:r w:rsidR="00FC34E2">
          <w:rPr>
            <w:noProof/>
            <w:webHidden/>
          </w:rPr>
        </w:r>
        <w:r w:rsidR="00FC34E2">
          <w:rPr>
            <w:noProof/>
            <w:webHidden/>
          </w:rPr>
          <w:fldChar w:fldCharType="separate"/>
        </w:r>
        <w:r w:rsidR="00FC34E2">
          <w:rPr>
            <w:noProof/>
            <w:webHidden/>
          </w:rPr>
          <w:t>8</w:t>
        </w:r>
        <w:r w:rsidR="00FC34E2">
          <w:rPr>
            <w:noProof/>
            <w:webHidden/>
          </w:rPr>
          <w:fldChar w:fldCharType="end"/>
        </w:r>
      </w:hyperlink>
    </w:p>
    <w:p w14:paraId="1488D114" w14:textId="7BAC9A65" w:rsidR="00FC34E2" w:rsidRDefault="00D32403">
      <w:pPr>
        <w:pStyle w:val="TableofFigures"/>
        <w:tabs>
          <w:tab w:val="right" w:leader="dot" w:pos="9040"/>
        </w:tabs>
        <w:rPr>
          <w:rFonts w:eastAsiaTheme="minorEastAsia"/>
          <w:noProof/>
          <w:lang w:eastAsia="en-GB"/>
        </w:rPr>
      </w:pPr>
      <w:hyperlink w:anchor="_Toc60847204" w:history="1">
        <w:r w:rsidR="00FC34E2" w:rsidRPr="00A56E5F">
          <w:rPr>
            <w:rStyle w:val="Hyperlink"/>
            <w:noProof/>
          </w:rPr>
          <w:t>Figure 5 - PCI DSS compliance levels</w:t>
        </w:r>
        <w:r w:rsidR="00FC34E2">
          <w:rPr>
            <w:noProof/>
            <w:webHidden/>
          </w:rPr>
          <w:tab/>
        </w:r>
        <w:r w:rsidR="00FC34E2">
          <w:rPr>
            <w:noProof/>
            <w:webHidden/>
          </w:rPr>
          <w:fldChar w:fldCharType="begin"/>
        </w:r>
        <w:r w:rsidR="00FC34E2">
          <w:rPr>
            <w:noProof/>
            <w:webHidden/>
          </w:rPr>
          <w:instrText xml:space="preserve"> PAGEREF _Toc60847204 \h </w:instrText>
        </w:r>
        <w:r w:rsidR="00FC34E2">
          <w:rPr>
            <w:noProof/>
            <w:webHidden/>
          </w:rPr>
        </w:r>
        <w:r w:rsidR="00FC34E2">
          <w:rPr>
            <w:noProof/>
            <w:webHidden/>
          </w:rPr>
          <w:fldChar w:fldCharType="separate"/>
        </w:r>
        <w:r w:rsidR="00FC34E2">
          <w:rPr>
            <w:noProof/>
            <w:webHidden/>
          </w:rPr>
          <w:t>9</w:t>
        </w:r>
        <w:r w:rsidR="00FC34E2">
          <w:rPr>
            <w:noProof/>
            <w:webHidden/>
          </w:rPr>
          <w:fldChar w:fldCharType="end"/>
        </w:r>
      </w:hyperlink>
    </w:p>
    <w:p w14:paraId="5FC9B073" w14:textId="66657A9F" w:rsidR="00FC34E2" w:rsidRDefault="00D32403">
      <w:pPr>
        <w:pStyle w:val="TableofFigures"/>
        <w:tabs>
          <w:tab w:val="right" w:leader="dot" w:pos="9040"/>
        </w:tabs>
        <w:rPr>
          <w:rFonts w:eastAsiaTheme="minorEastAsia"/>
          <w:noProof/>
          <w:lang w:eastAsia="en-GB"/>
        </w:rPr>
      </w:pPr>
      <w:hyperlink w:anchor="_Toc60847205" w:history="1">
        <w:r w:rsidR="00FC34E2" w:rsidRPr="00A56E5F">
          <w:rPr>
            <w:rStyle w:val="Hyperlink"/>
            <w:noProof/>
          </w:rPr>
          <w:t>Figure 6 - ISO 27001 requirements</w:t>
        </w:r>
        <w:r w:rsidR="00FC34E2">
          <w:rPr>
            <w:noProof/>
            <w:webHidden/>
          </w:rPr>
          <w:tab/>
        </w:r>
        <w:r w:rsidR="00FC34E2">
          <w:rPr>
            <w:noProof/>
            <w:webHidden/>
          </w:rPr>
          <w:fldChar w:fldCharType="begin"/>
        </w:r>
        <w:r w:rsidR="00FC34E2">
          <w:rPr>
            <w:noProof/>
            <w:webHidden/>
          </w:rPr>
          <w:instrText xml:space="preserve"> PAGEREF _Toc60847205 \h </w:instrText>
        </w:r>
        <w:r w:rsidR="00FC34E2">
          <w:rPr>
            <w:noProof/>
            <w:webHidden/>
          </w:rPr>
        </w:r>
        <w:r w:rsidR="00FC34E2">
          <w:rPr>
            <w:noProof/>
            <w:webHidden/>
          </w:rPr>
          <w:fldChar w:fldCharType="separate"/>
        </w:r>
        <w:r w:rsidR="00FC34E2">
          <w:rPr>
            <w:noProof/>
            <w:webHidden/>
          </w:rPr>
          <w:t>10</w:t>
        </w:r>
        <w:r w:rsidR="00FC34E2">
          <w:rPr>
            <w:noProof/>
            <w:webHidden/>
          </w:rPr>
          <w:fldChar w:fldCharType="end"/>
        </w:r>
      </w:hyperlink>
    </w:p>
    <w:p w14:paraId="08857467" w14:textId="578310DB" w:rsidR="00A93F0A" w:rsidRDefault="00A93F0A">
      <w:pPr>
        <w:rPr>
          <w:rFonts w:asciiTheme="majorHAnsi" w:eastAsiaTheme="majorEastAsia" w:hAnsiTheme="majorHAnsi" w:cstheme="majorBidi"/>
          <w:color w:val="2F5496" w:themeColor="accent1" w:themeShade="BF"/>
          <w:sz w:val="32"/>
          <w:szCs w:val="32"/>
        </w:rPr>
      </w:pPr>
      <w:r>
        <w:fldChar w:fldCharType="end"/>
      </w:r>
      <w:r>
        <w:br w:type="page"/>
      </w:r>
    </w:p>
    <w:p w14:paraId="6E2442C1" w14:textId="7D0A2048" w:rsidR="00F86269" w:rsidRDefault="00F86269" w:rsidP="00CB7FC8">
      <w:pPr>
        <w:pStyle w:val="Heading1"/>
        <w:numPr>
          <w:ilvl w:val="0"/>
          <w:numId w:val="1"/>
        </w:numPr>
      </w:pPr>
      <w:bookmarkStart w:id="1" w:name="_Toc60925820"/>
      <w:r>
        <w:lastRenderedPageBreak/>
        <w:t>Abstract</w:t>
      </w:r>
      <w:bookmarkEnd w:id="1"/>
    </w:p>
    <w:p w14:paraId="0EA269D9" w14:textId="2F55C39C" w:rsidR="00F86269" w:rsidRPr="00F86269" w:rsidRDefault="002C0AFB" w:rsidP="00D07F0A">
      <w:pPr>
        <w:ind w:firstLine="360"/>
      </w:pPr>
      <w:r>
        <w:t>With an abundance of information available digitally, a high dependence on networking technology for storing digital records of data is now the norm. Accessing information on various devices across internal and external networks is a daily occurrence, with most companies and organizations spending millions on data infrastructures to operate their businesses. With the trend of digital information being a standard component for many businesses, security against the risks introduced by this technology has become a focal point</w:t>
      </w:r>
      <w:r w:rsidR="002303E8">
        <w:t xml:space="preserve">. </w:t>
      </w:r>
      <w:r w:rsidR="00C23D96">
        <w:t>Research is carried out to obtain new knowledge on available security frameworks, applying a critical analysis of their usage. Further work in applying a custom security framework to a given case is conducted to demonstrate an understanding of the principles and practices of data governance and security.</w:t>
      </w:r>
    </w:p>
    <w:p w14:paraId="25923CCF" w14:textId="1B6AB8C7" w:rsidR="00F30F64" w:rsidRDefault="00F30F64" w:rsidP="00D07F0A">
      <w:pPr>
        <w:pStyle w:val="Heading1"/>
        <w:numPr>
          <w:ilvl w:val="0"/>
          <w:numId w:val="1"/>
        </w:numPr>
      </w:pPr>
      <w:bookmarkStart w:id="2" w:name="_Toc60925821"/>
      <w:r>
        <w:t>What is a Cybersecurity Framework?</w:t>
      </w:r>
      <w:bookmarkEnd w:id="2"/>
    </w:p>
    <w:p w14:paraId="4C8CAC5F" w14:textId="07CCD812" w:rsidR="00602401" w:rsidRDefault="00602401" w:rsidP="004D415C">
      <w:pPr>
        <w:ind w:firstLine="360"/>
      </w:pPr>
      <w:r>
        <w:t>Networking has never been easier since the advent of the internet. Sharing photos, messages and videos is now more accessible and popular than ever with the rising amount of social platforms. The technology that makes this possible, whilst incredibly convenient, can also be extremely vulnerable to exploitation</w:t>
      </w:r>
      <w:r w:rsidR="003707E8">
        <w:t xml:space="preserve"> when available to the wrong </w:t>
      </w:r>
      <w:r w:rsidR="00B519CD">
        <w:t>groups</w:t>
      </w:r>
      <w:r w:rsidR="00326FA0">
        <w:t xml:space="preserve"> or </w:t>
      </w:r>
      <w:r w:rsidR="00B519CD">
        <w:t>individuals</w:t>
      </w:r>
      <w:r w:rsidR="00EA006C">
        <w:t xml:space="preserve"> </w:t>
      </w:r>
      <w:r w:rsidR="00C9115E">
        <w:fldChar w:fldCharType="begin" w:fldLock="1"/>
      </w:r>
      <w:r w:rsidR="00C9115E">
        <w:instrText>ADDIN CSL_CITATION {"citationItems":[{"id":"ITEM-1","itemData":{"author":[{"dropping-particle":"","family":"Alder","given":"Steve","non-dropping-particle":"","parse-names":false,"suffix":""}],"container-title":"HIPPA Journal","id":"ITEM-1","issued":{"date-parts":[["2020"]]},"title":"FBI Issues Warning About Increasing Ragnar Locker Ransomware Activity","type":"article-journal"},"uris":["http://www.mendeley.com/documents/?uuid=1df0cb8c-cffd-34e5-90d4-aec68be5d75f"]}],"mendeley":{"formattedCitation":"[1]","plainTextFormattedCitation":"[1]","previouslyFormattedCitation":"[1]"},"properties":{"noteIndex":0},"schema":"https://github.com/citation-style-language/schema/raw/master/csl-citation.json"}</w:instrText>
      </w:r>
      <w:r w:rsidR="00C9115E">
        <w:fldChar w:fldCharType="separate"/>
      </w:r>
      <w:r w:rsidR="00C9115E" w:rsidRPr="00C9115E">
        <w:rPr>
          <w:noProof/>
        </w:rPr>
        <w:t>[1]</w:t>
      </w:r>
      <w:r w:rsidR="00C9115E">
        <w:fldChar w:fldCharType="end"/>
      </w:r>
      <w:r w:rsidR="00435AC9">
        <w:t xml:space="preserve">, </w:t>
      </w:r>
      <w:r w:rsidR="00435AC9">
        <w:fldChar w:fldCharType="begin" w:fldLock="1"/>
      </w:r>
      <w:r w:rsidR="009A2349">
        <w:instrText>ADDIN CSL_CITATION {"citationItems":[{"id":"ITEM-1","itemData":{"DOI":"10.1016/S2589-7500(19)30005-6","ISSN":"25897500","abstract":"As modern technology becomes indispensable in health care, the vulnerabilities to cyber-threats continue to increase, compromising the health information and safety of millions of people. This threat can happen in several ways: data can be stolen; data might be deleted or corrupted in a way that is not obvious until years later; and medical devices can be hacked, causing direct harm to patients. In May, 2017, the WannaCry ransomware encrypted data and files on 230 000 computers in 150 countries, and impaired the functionality of the National Health Service (NHS) in England. 1 Key systems were blocked, preventing staff from accessing patient data and critical services. However, the WannaCry attack was not directly targeted at the NHS. Other major organisations were affected, including Telefonica, FedEx, Nissan, Russian Railways, and the Bank of China. However, the biggest effect was undoubtedly felt by the NHS. 2 While health systems worldwide watched, it became apparent how susceptible health care is to any cyber threat. Today, at a global scale, the number of cyberattacks across all industries is rising, and the financial impact is accumulating: the average cost of a data breach globally is, according to a 2018 report 3 from IBM, US$3·86 million. Although health-care organisations might be less likely than financial services or public-sector bodies to be targets of cyberattack, the cost per capita for a data breach in health care was $408, nearly double that of financial services, which ranked second. Health-care organisations also take substantially longer than other industries to contain data breaches because of a lack of resources, both financial resources and trained personnel, and inefficient infrastructure. 3 The problems seen in the NHS, a publicly funded nationalised health-care system, might help other countries to determine their security priorities going forward. In general, limited budgets and time-consuming Figure: National accountabilities for cyber security of the UK Department of Health and Social Care and Arm's Length Bodies This figure is based on discussions with representatives from National Health Service (NHS) England, NHS Digital, and the Department of Health and Social Care (DHSC). The figure was verified by the","author":[{"dropping-particle":"","family":"Ghafur","given":"Saira","non-dropping-particle":"","parse-names":false,"suffix":""},{"dropping-particle":"","family":"Grass","given":"Emilia","non-dropping-particle":"","parse-names":false,"suffix":""},{"dropping-particle":"","family":"Jennings","given":"Nick R.","non-dropping-particle":"","parse-names":false,"suffix":""},{"dropping-particle":"","family":"Darzi","given":"Ara","non-dropping-particle":"","parse-names":false,"suffix":""}],"container-title":"The Lancet Digital Health","id":"ITEM-1","issue":"1","issued":{"date-parts":[["2019","5","1"]]},"page":"e10-e12","publisher":"Elsevier Ltd","title":"The challenges of cybersecurity in health care: the UK National Health Service as a case study","type":"article-journal","volume":"1"},"uris":["http://www.mendeley.com/documents/?uuid=dd78c222-01ff-3363-a1da-59c9fa840dc0"]}],"mendeley":{"formattedCitation":"[2]","plainTextFormattedCitation":"[2]","previouslyFormattedCitation":"[2]"},"properties":{"noteIndex":0},"schema":"https://github.com/citation-style-language/schema/raw/master/csl-citation.json"}</w:instrText>
      </w:r>
      <w:r w:rsidR="00435AC9">
        <w:fldChar w:fldCharType="separate"/>
      </w:r>
      <w:r w:rsidR="00435AC9" w:rsidRPr="00435AC9">
        <w:rPr>
          <w:noProof/>
        </w:rPr>
        <w:t>[2]</w:t>
      </w:r>
      <w:r w:rsidR="00435AC9">
        <w:fldChar w:fldCharType="end"/>
      </w:r>
      <w:r>
        <w:t>.</w:t>
      </w:r>
    </w:p>
    <w:p w14:paraId="59A0DCEB" w14:textId="41704EF6" w:rsidR="003679D7" w:rsidRDefault="00BC6C6B" w:rsidP="00602401">
      <w:r>
        <w:t>Subject to extreme exploitation are companies that possess sensitive data. With most companies now digitally storing such information, security policies</w:t>
      </w:r>
      <w:r w:rsidR="00356200">
        <w:t xml:space="preserve"> and guidelines</w:t>
      </w:r>
      <w:r>
        <w:t xml:space="preserve"> are now important factors to a </w:t>
      </w:r>
      <w:r w:rsidR="00EA006C">
        <w:t>company’s</w:t>
      </w:r>
      <w:r>
        <w:t xml:space="preserve"> operations, even so</w:t>
      </w:r>
      <w:r w:rsidR="00D8189A">
        <w:t>,</w:t>
      </w:r>
      <w:r>
        <w:t xml:space="preserve"> applicable measures are now enforced by law</w:t>
      </w:r>
      <w:r w:rsidR="00962DB8">
        <w:t xml:space="preserve"> with many policies in place </w:t>
      </w:r>
      <w:r w:rsidR="00305357">
        <w:t>that companies need to conform to</w:t>
      </w:r>
      <w:r w:rsidR="009D38BD">
        <w:t xml:space="preserve"> </w:t>
      </w:r>
      <w:r w:rsidR="009D38BD">
        <w:fldChar w:fldCharType="begin" w:fldLock="1"/>
      </w:r>
      <w:r w:rsidR="009A2349">
        <w:instrText>ADDIN CSL_CITATION {"citationItems":[{"id":"ITEM-1","itemData":{"DOI":"10.1177/1073110518822003","ISSN":"1073-1105","author":[{"dropping-particle":"","family":"Dove","given":"Edward S.","non-dropping-particle":"","parse-names":false,"suffix":""}],"container-title":"The Journal of Law, Medicine &amp; Ethics","id":"ITEM-1","issue":"4","issued":{"date-parts":[["2018","12","10"]]},"page":"1013-1030","publisher":"SAGE Publications Inc.","title":"The EU General Data Protection Regulation: Implications for International Scientific Research in the Digital Era","type":"article-journal","volume":"46"},"uris":["http://www.mendeley.com/documents/?uuid=279391a0-c5dd-3356-bc78-1c4d3ace7f5f"]}],"mendeley":{"formattedCitation":"[3]","plainTextFormattedCitation":"[3]","previouslyFormattedCitation":"[3]"},"properties":{"noteIndex":0},"schema":"https://github.com/citation-style-language/schema/raw/master/csl-citation.json"}</w:instrText>
      </w:r>
      <w:r w:rsidR="009D38BD">
        <w:fldChar w:fldCharType="separate"/>
      </w:r>
      <w:r w:rsidR="009D38BD" w:rsidRPr="00435AC9">
        <w:rPr>
          <w:noProof/>
        </w:rPr>
        <w:t>[3]</w:t>
      </w:r>
      <w:r w:rsidR="009D38BD">
        <w:fldChar w:fldCharType="end"/>
      </w:r>
      <w:r w:rsidR="009D38BD">
        <w:t xml:space="preserve">, </w:t>
      </w:r>
      <w:r w:rsidR="009D38BD">
        <w:fldChar w:fldCharType="begin" w:fldLock="1"/>
      </w:r>
      <w:r w:rsidR="009A2349">
        <w:instrText>ADDIN CSL_CITATION {"citationItems":[{"id":"ITEM-1","itemData":{"abstract":"The purpose of this research is to identify how blockchain technologies may clash with, and reconcile, privacy legislation. The research identifies legislative issues related to the data subjects’ privacy rights, and proposes technical and policy oriented solutions for privacy law compliance. Part one defines blockchain technology and distinguishes between blockchain forms to identify the nuances of public, private, and hybrid blockchains. Part two outlines the primary privacy law challenges to blockchain as a database and medium of exchange, using Canada’s PIPEDA and the European Union’s GDPR as a benchmark for legal analysis. Part three offers a non-technical primer of privacy-centric technologies designed to facilitate the compliant processing of data on public blockchains; this section also discusses analytical techniques used to identify users on public blockchains. Part three also explores the implications of privacy-centric technologies as a solution to legislative compliance. Part four offers policy recommendations designed to complement proposed technical safeguards and generate a system of accountability in a network characterized by anonymity.","author":[{"dropping-particle":"","family":"Walters","given":"By Noah","non-dropping-particle":"","parse-names":false,"suffix":""}],"container-title":"17 Canadian Journal of Law and Technology 276","id":"ITEM-1","issued":{"date-parts":[["2019","4","20"]]},"page":"44","title":"Privacy Law Issues in Blockchains : An Analysis of PIPEDA , the GDPR , and Proposals for Compliance","type":"article-journal"},"uris":["http://www.mendeley.com/documents/?uuid=5b2327eb-5d25-3261-880f-0b6870fd7566"]}],"mendeley":{"formattedCitation":"[4]","plainTextFormattedCitation":"[4]","previouslyFormattedCitation":"[4]"},"properties":{"noteIndex":0},"schema":"https://github.com/citation-style-language/schema/raw/master/csl-citation.json"}</w:instrText>
      </w:r>
      <w:r w:rsidR="009D38BD">
        <w:fldChar w:fldCharType="separate"/>
      </w:r>
      <w:r w:rsidR="009D38BD" w:rsidRPr="00435AC9">
        <w:rPr>
          <w:noProof/>
        </w:rPr>
        <w:t>[4]</w:t>
      </w:r>
      <w:r w:rsidR="009D38BD">
        <w:fldChar w:fldCharType="end"/>
      </w:r>
      <w:r>
        <w:t>.</w:t>
      </w:r>
    </w:p>
    <w:p w14:paraId="134E383A" w14:textId="6C7D8D23" w:rsidR="00356200" w:rsidRDefault="003679D7" w:rsidP="00602401">
      <w:r>
        <w:t xml:space="preserve">Leaked data can cause serious legal consequences if the information consists of personal </w:t>
      </w:r>
      <w:r w:rsidR="007302A0">
        <w:t>values</w:t>
      </w:r>
      <w:r>
        <w:t xml:space="preserve">. </w:t>
      </w:r>
      <w:r w:rsidR="00D74C25">
        <w:t>On a larger scale, c</w:t>
      </w:r>
      <w:r>
        <w:t>ompanies are more at risk as critical information could be comprised of private data such as financial, personal, and operational information</w:t>
      </w:r>
      <w:r w:rsidR="0027172F">
        <w:t>,</w:t>
      </w:r>
      <w:r>
        <w:t xml:space="preserve"> that</w:t>
      </w:r>
      <w:r w:rsidR="0027172F">
        <w:t xml:space="preserve"> if threatened, </w:t>
      </w:r>
      <w:r>
        <w:t xml:space="preserve">could damage the sustainability and integrity of a </w:t>
      </w:r>
      <w:r w:rsidR="00393236">
        <w:t>company’s</w:t>
      </w:r>
      <w:r>
        <w:t xml:space="preserve"> business.</w:t>
      </w:r>
      <w:r w:rsidR="00393236">
        <w:t xml:space="preserve"> Having rules and guidelines in place that enforce protective measures as well as options for dealing with potential risks provides an effective plan in </w:t>
      </w:r>
      <w:r w:rsidR="00CE615B">
        <w:t>handling</w:t>
      </w:r>
      <w:r w:rsidR="00393236">
        <w:t xml:space="preserve"> security threats and</w:t>
      </w:r>
      <w:r w:rsidR="0027172F">
        <w:t xml:space="preserve"> also</w:t>
      </w:r>
      <w:r w:rsidR="00007989">
        <w:t xml:space="preserve"> provides alternatives for </w:t>
      </w:r>
      <w:r w:rsidR="00393236">
        <w:t>recover</w:t>
      </w:r>
      <w:r w:rsidR="00007989">
        <w:t>y</w:t>
      </w:r>
      <w:r w:rsidR="00C473DD">
        <w:t xml:space="preserve"> when</w:t>
      </w:r>
      <w:r w:rsidR="00D079B7">
        <w:t xml:space="preserve"> in the situation of a </w:t>
      </w:r>
      <w:r w:rsidR="00A42D52">
        <w:t xml:space="preserve">data </w:t>
      </w:r>
      <w:r w:rsidR="00D079B7">
        <w:t>breach</w:t>
      </w:r>
      <w:r w:rsidR="00393236">
        <w:t>.</w:t>
      </w:r>
    </w:p>
    <w:p w14:paraId="7AA33EA2" w14:textId="5AEC3830" w:rsidR="00A60CD2" w:rsidRDefault="000B1DFD" w:rsidP="00602401">
      <w:r>
        <w:t xml:space="preserve">Cybersecurity is a growing </w:t>
      </w:r>
      <w:r w:rsidR="004F597A">
        <w:t>sector</w:t>
      </w:r>
      <w:r>
        <w:t xml:space="preserve"> that aims at fighting against digital attacks. </w:t>
      </w:r>
      <w:r w:rsidR="004F597A">
        <w:t>Whilst cybersecurity is a broad topic that branches out to many areas</w:t>
      </w:r>
      <w:r w:rsidR="001A46AD">
        <w:t xml:space="preserve"> both technical and non-technical</w:t>
      </w:r>
      <w:r w:rsidR="004F597A">
        <w:t xml:space="preserve">, </w:t>
      </w:r>
      <w:r w:rsidR="001A46AD">
        <w:t>the underlying goal is to achieve a security framework best suited to a company’s requirements</w:t>
      </w:r>
      <w:r w:rsidR="004F597A">
        <w:t xml:space="preserve">. Cybersecurity frameworks primarily target risk management at multiple </w:t>
      </w:r>
      <w:r w:rsidR="005026E9">
        <w:t>levels of an organization</w:t>
      </w:r>
      <w:r w:rsidR="00CF528B">
        <w:t>, enforcing rules and guidelines on the management and action required to dealing with potential risks</w:t>
      </w:r>
      <w:r w:rsidR="00AE59A9">
        <w:t xml:space="preserve"> and threats to </w:t>
      </w:r>
      <w:r w:rsidR="009F3804">
        <w:t>business</w:t>
      </w:r>
      <w:r w:rsidR="00E849C8">
        <w:t xml:space="preserve"> </w:t>
      </w:r>
      <w:r w:rsidR="00FA2A94">
        <w:fldChar w:fldCharType="begin" w:fldLock="1"/>
      </w:r>
      <w:r w:rsidR="00B93BBC">
        <w:instrText>ADDIN CSL_CITATION {"citationItems":[{"id":"ITEM-1","itemData":{"DOI":"10.17148/IJARCCE.2018.71127","ISSN":"23195940","abstract":"Cyber security are techniques generally set forth in published materials that attempt to safeguard the cyber environment of a user or organization. It manages the set of techniques used to save the integrity of networks, programs and data from unauthorized access. It refers to the body of technologies, processes, and it may also be referred to as information technology security. The field is of growing importance due to increasing reliance on computer systems, including smart phones, televisions and the various tiny devices that constitute the Internet of Things.","author":[{"dropping-particle":"","family":"P.S","given":"Seemma","non-dropping-particle":"","parse-names":false,"suffix":""},{"dropping-particle":"","family":"S","given":"Nandhini","non-dropping-particle":"","parse-names":false,"suffix":""},{"dropping-particle":"","family":"M","given":"Sowmiya","non-dropping-particle":"","parse-names":false,"suffix":""}],"container-title":"IJARCCE","id":"ITEM-1","issue":"11","issued":{"date-parts":[["2018","11","30"]]},"page":"125-128","title":"Overview of Cyber Security","type":"article-journal","volume":"7"},"uris":["http://www.mendeley.com/documents/?uuid=cc6d0f0a-072c-313c-a30b-8a222b1617cb"]}],"mendeley":{"formattedCitation":"[5]","plainTextFormattedCitation":"[5]","previouslyFormattedCitation":"[5]"},"properties":{"noteIndex":0},"schema":"https://github.com/citation-style-language/schema/raw/master/csl-citation.json"}</w:instrText>
      </w:r>
      <w:r w:rsidR="00FA2A94">
        <w:fldChar w:fldCharType="separate"/>
      </w:r>
      <w:r w:rsidR="00FA2A94" w:rsidRPr="00FA2A94">
        <w:rPr>
          <w:noProof/>
        </w:rPr>
        <w:t>[5]</w:t>
      </w:r>
      <w:r w:rsidR="00FA2A94">
        <w:fldChar w:fldCharType="end"/>
      </w:r>
      <w:r w:rsidR="004F597A">
        <w:t>.</w:t>
      </w:r>
    </w:p>
    <w:p w14:paraId="03D08A53" w14:textId="32ACFE7B" w:rsidR="000B0A31" w:rsidRPr="000B0A31" w:rsidRDefault="00224657" w:rsidP="000B0A31">
      <w:r>
        <w:t>The most crucial part of a cybersecurity framework is to introduce an effective structure and methodology to safeguard</w:t>
      </w:r>
      <w:r w:rsidR="007045A6">
        <w:t xml:space="preserve"> critical, sensitive, and</w:t>
      </w:r>
      <w:r>
        <w:t xml:space="preserve"> </w:t>
      </w:r>
      <w:r w:rsidR="007045A6">
        <w:t>valuable</w:t>
      </w:r>
      <w:r>
        <w:t xml:space="preserve"> data.</w:t>
      </w:r>
      <w:r w:rsidR="00443F50">
        <w:t xml:space="preserve"> Frameworks provide a systematic way to reduce cyber risks irrespective of how complex a</w:t>
      </w:r>
      <w:r w:rsidR="00487D00">
        <w:t xml:space="preserve"> business </w:t>
      </w:r>
      <w:r w:rsidR="00443F50">
        <w:t>environment is.</w:t>
      </w:r>
    </w:p>
    <w:p w14:paraId="34258081" w14:textId="42605B4E" w:rsidR="00F30F64" w:rsidRDefault="00F30F64" w:rsidP="00F30F64">
      <w:pPr>
        <w:pStyle w:val="Heading1"/>
        <w:numPr>
          <w:ilvl w:val="0"/>
          <w:numId w:val="1"/>
        </w:numPr>
      </w:pPr>
      <w:bookmarkStart w:id="3" w:name="_Toc60925822"/>
      <w:r>
        <w:t>Frameworks</w:t>
      </w:r>
      <w:bookmarkEnd w:id="3"/>
    </w:p>
    <w:p w14:paraId="3CBD8B9E" w14:textId="73F45BBB" w:rsidR="00100591" w:rsidRDefault="00100591" w:rsidP="004D415C">
      <w:pPr>
        <w:ind w:firstLine="360"/>
      </w:pPr>
      <w:r>
        <w:t xml:space="preserve">According to </w:t>
      </w:r>
      <w:r>
        <w:rPr>
          <w:i/>
          <w:iCs/>
        </w:rPr>
        <w:t>Frank Kim</w:t>
      </w:r>
      <w:r>
        <w:t xml:space="preserve"> at the </w:t>
      </w:r>
      <w:r>
        <w:rPr>
          <w:i/>
          <w:iCs/>
        </w:rPr>
        <w:t xml:space="preserve">RSA Conference 2018 </w:t>
      </w:r>
      <w:r>
        <w:rPr>
          <w:i/>
          <w:iCs/>
        </w:rPr>
        <w:fldChar w:fldCharType="begin" w:fldLock="1"/>
      </w:r>
      <w:r>
        <w:rPr>
          <w:i/>
          <w:iCs/>
        </w:rPr>
        <w:instrText>ADDIN CSL_CITATION {"citationItems":[{"id":"ITEM-1","itemData":{"author":[{"dropping-particle":"","family":"Kim","given":"Frank","non-dropping-particle":"","parse-names":false,"suffix":""}],"container-title":"How to Make Sense of Cybersecurity Frameworks","id":"ITEM-1","issued":{"date-parts":[["2018","7"]]},"page":"47-51","title":"RSA Conference 2018","type":"paper-conference"},"uris":["http://www.mendeley.com/documents/?uuid=e6798dfb-0f1b-3cca-9f5c-920f426a42fc"]}],"mendeley":{"formattedCitation":"[6]","plainTextFormattedCitation":"[6]","previouslyFormattedCitation":"[6]"},"properties":{"noteIndex":0},"schema":"https://github.com/citation-style-language/schema/raw/master/csl-citation.json"}</w:instrText>
      </w:r>
      <w:r>
        <w:rPr>
          <w:i/>
          <w:iCs/>
        </w:rPr>
        <w:fldChar w:fldCharType="separate"/>
      </w:r>
      <w:r w:rsidRPr="000B0A31">
        <w:rPr>
          <w:iCs/>
          <w:noProof/>
        </w:rPr>
        <w:t>[6]</w:t>
      </w:r>
      <w:r>
        <w:rPr>
          <w:i/>
          <w:iCs/>
        </w:rPr>
        <w:fldChar w:fldCharType="end"/>
      </w:r>
      <w:r>
        <w:t xml:space="preserve"> cybersecurity frameworks can be somewhat difficult to digest. The conference proceedings advise breaking down frameworks into 3 categories:</w:t>
      </w:r>
    </w:p>
    <w:p w14:paraId="4EA1F1C8" w14:textId="77777777" w:rsidR="00100591" w:rsidRDefault="00100591" w:rsidP="00100591">
      <w:pPr>
        <w:pStyle w:val="ListParagraph"/>
        <w:numPr>
          <w:ilvl w:val="0"/>
          <w:numId w:val="2"/>
        </w:numPr>
      </w:pPr>
      <w:r>
        <w:t>Control frameworks.</w:t>
      </w:r>
    </w:p>
    <w:p w14:paraId="35C56724" w14:textId="77777777" w:rsidR="00100591" w:rsidRDefault="00100591" w:rsidP="00100591">
      <w:pPr>
        <w:pStyle w:val="ListParagraph"/>
        <w:numPr>
          <w:ilvl w:val="0"/>
          <w:numId w:val="2"/>
        </w:numPr>
      </w:pPr>
      <w:r>
        <w:t>Program frameworks.</w:t>
      </w:r>
    </w:p>
    <w:p w14:paraId="71128F9D" w14:textId="77777777" w:rsidR="00100591" w:rsidRDefault="00100591" w:rsidP="00100591">
      <w:pPr>
        <w:pStyle w:val="ListParagraph"/>
        <w:numPr>
          <w:ilvl w:val="0"/>
          <w:numId w:val="2"/>
        </w:numPr>
      </w:pPr>
      <w:r>
        <w:t>Risk frameworks.</w:t>
      </w:r>
    </w:p>
    <w:p w14:paraId="701C7B6F" w14:textId="77777777" w:rsidR="00100591" w:rsidRDefault="00100591" w:rsidP="00100591">
      <w:r>
        <w:lastRenderedPageBreak/>
        <w:t xml:space="preserve">Furthermore, each category consists of a collection of well-known cybersecurity frameworks best suited by each group (see </w:t>
      </w:r>
      <w:r>
        <w:fldChar w:fldCharType="begin"/>
      </w:r>
      <w:r>
        <w:instrText xml:space="preserve"> REF _Ref59724989 \h </w:instrText>
      </w:r>
      <w:r>
        <w:fldChar w:fldCharType="separate"/>
      </w:r>
      <w:r>
        <w:t xml:space="preserve">Figure </w:t>
      </w:r>
      <w:r>
        <w:rPr>
          <w:noProof/>
        </w:rPr>
        <w:t>1</w:t>
      </w:r>
      <w:r>
        <w:fldChar w:fldCharType="end"/>
      </w:r>
      <w:r>
        <w:t>).</w:t>
      </w:r>
    </w:p>
    <w:p w14:paraId="0FB845D7" w14:textId="77777777" w:rsidR="00100591" w:rsidRDefault="00100591" w:rsidP="00100591">
      <w:pPr>
        <w:keepNext/>
      </w:pPr>
      <w:r>
        <w:rPr>
          <w:noProof/>
        </w:rPr>
        <w:drawing>
          <wp:inline distT="0" distB="0" distL="0" distR="0" wp14:anchorId="1682D580" wp14:editId="4F433D3D">
            <wp:extent cx="5746750" cy="26098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a:extLst>
                        <a:ext uri="{28A0092B-C50C-407E-A947-70E740481C1C}">
                          <a14:useLocalDpi xmlns:a14="http://schemas.microsoft.com/office/drawing/2010/main" val="0"/>
                        </a:ext>
                      </a:extLst>
                    </a:blip>
                    <a:srcRect t="5911" b="16964"/>
                    <a:stretch/>
                  </pic:blipFill>
                  <pic:spPr bwMode="auto">
                    <a:xfrm>
                      <a:off x="0" y="0"/>
                      <a:ext cx="5746750" cy="2609850"/>
                    </a:xfrm>
                    <a:prstGeom prst="rect">
                      <a:avLst/>
                    </a:prstGeom>
                    <a:ln>
                      <a:noFill/>
                    </a:ln>
                    <a:extLst>
                      <a:ext uri="{53640926-AAD7-44D8-BBD7-CCE9431645EC}">
                        <a14:shadowObscured xmlns:a14="http://schemas.microsoft.com/office/drawing/2010/main"/>
                      </a:ext>
                    </a:extLst>
                  </pic:spPr>
                </pic:pic>
              </a:graphicData>
            </a:graphic>
          </wp:inline>
        </w:drawing>
      </w:r>
    </w:p>
    <w:p w14:paraId="2B5C0DF7" w14:textId="3E9C054A" w:rsidR="00100591" w:rsidRDefault="00100591" w:rsidP="00100591">
      <w:pPr>
        <w:pStyle w:val="Caption"/>
        <w:jc w:val="center"/>
      </w:pPr>
      <w:bookmarkStart w:id="4" w:name="_Ref59724989"/>
      <w:bookmarkStart w:id="5" w:name="_Toc60847200"/>
      <w:r>
        <w:t xml:space="preserve">Figure </w:t>
      </w:r>
      <w:r w:rsidR="00D1734C">
        <w:fldChar w:fldCharType="begin"/>
      </w:r>
      <w:r w:rsidR="00D1734C">
        <w:instrText xml:space="preserve"> SEQ Figure \* ARABIC </w:instrText>
      </w:r>
      <w:r w:rsidR="00D1734C">
        <w:fldChar w:fldCharType="separate"/>
      </w:r>
      <w:r w:rsidR="00D01396">
        <w:rPr>
          <w:noProof/>
        </w:rPr>
        <w:t>1</w:t>
      </w:r>
      <w:r w:rsidR="00D1734C">
        <w:rPr>
          <w:noProof/>
        </w:rPr>
        <w:fldChar w:fldCharType="end"/>
      </w:r>
      <w:r>
        <w:t xml:space="preserve"> - Three types of security frameworks</w:t>
      </w:r>
      <w:bookmarkEnd w:id="4"/>
      <w:bookmarkEnd w:id="5"/>
    </w:p>
    <w:p w14:paraId="059093CD" w14:textId="1BC1CE47" w:rsidR="00100591" w:rsidRDefault="00100591" w:rsidP="00100591">
      <w:pPr>
        <w:pStyle w:val="Caption"/>
        <w:jc w:val="center"/>
      </w:pPr>
      <w:r>
        <w:t xml:space="preserve">Adapted from </w:t>
      </w:r>
      <w:r>
        <w:fldChar w:fldCharType="begin" w:fldLock="1"/>
      </w:r>
      <w:r w:rsidR="00FA2A94">
        <w:instrText>ADDIN CSL_CITATION {"citationItems":[{"id":"ITEM-1","itemData":{"author":[{"dropping-particle":"","family":"Kim","given":"Frank","non-dropping-particle":"","parse-names":false,"suffix":""}],"container-title":"How to Make Sense of Cybersecurity Frameworks","id":"ITEM-1","issued":{"date-parts":[["2018","7"]]},"page":"47-51","title":"RSA Conference 2018","type":"paper-conference"},"uris":["http://www.mendeley.com/documents/?uuid=e6798dfb-0f1b-3cca-9f5c-920f426a42fc"]}],"mendeley":{"formattedCitation":"[6]","plainTextFormattedCitation":"[6]","previouslyFormattedCitation":"[6]"},"properties":{"noteIndex":0},"schema":"https://github.com/citation-style-language/schema/raw/master/csl-citation.json"}</w:instrText>
      </w:r>
      <w:r>
        <w:fldChar w:fldCharType="separate"/>
      </w:r>
      <w:r w:rsidRPr="000B0A31">
        <w:rPr>
          <w:i w:val="0"/>
          <w:noProof/>
        </w:rPr>
        <w:t>[6]</w:t>
      </w:r>
      <w:r>
        <w:fldChar w:fldCharType="end"/>
      </w:r>
    </w:p>
    <w:p w14:paraId="059B955C" w14:textId="1747CEC8" w:rsidR="00100591" w:rsidRDefault="003D7262" w:rsidP="00100591">
      <w:r>
        <w:t xml:space="preserve">Subject to certain circumstances, this perspective of understanding cybersecurity frameworks provides </w:t>
      </w:r>
      <w:r w:rsidR="003C4235">
        <w:t>general</w:t>
      </w:r>
      <w:r>
        <w:t xml:space="preserve"> insight into the wealth of </w:t>
      </w:r>
      <w:r w:rsidR="0064158F">
        <w:t>security structures</w:t>
      </w:r>
      <w:r>
        <w:t xml:space="preserve"> available. Various requirements come into play when deciding on a framework as organizations differ in many ways. Where some companies may require a framework that caters to the security of sensitive financial data such as credit card information, other companies may need a framework that can conform to protecting more abstract goods such as concepts and schematics of </w:t>
      </w:r>
      <w:r w:rsidR="0057016C">
        <w:t>emerging products or technologies.</w:t>
      </w:r>
      <w:r w:rsidR="00335276">
        <w:t xml:space="preserve"> It </w:t>
      </w:r>
      <w:r w:rsidR="00DA789D">
        <w:t>is</w:t>
      </w:r>
      <w:r w:rsidR="00335276">
        <w:t xml:space="preserve"> fair to say that there may not be a </w:t>
      </w:r>
      <w:r w:rsidR="00335276">
        <w:rPr>
          <w:i/>
          <w:iCs/>
        </w:rPr>
        <w:t>“one size fits all”</w:t>
      </w:r>
      <w:r w:rsidR="00335276">
        <w:t xml:space="preserve"> solution to</w:t>
      </w:r>
      <w:r w:rsidR="00B80F78">
        <w:t xml:space="preserve"> </w:t>
      </w:r>
      <w:r w:rsidR="005E0CC1">
        <w:rPr>
          <w:i/>
          <w:iCs/>
        </w:rPr>
        <w:t>every</w:t>
      </w:r>
      <w:r w:rsidR="00335276">
        <w:t xml:space="preserve"> cybersecurity framework where their generalisation may not </w:t>
      </w:r>
      <w:r w:rsidR="00B87438">
        <w:t xml:space="preserve">spread to </w:t>
      </w:r>
      <w:r w:rsidR="00335276">
        <w:t xml:space="preserve">meet </w:t>
      </w:r>
      <w:r w:rsidR="00F70466">
        <w:t>needed</w:t>
      </w:r>
      <w:r w:rsidR="00335276">
        <w:t xml:space="preserve"> </w:t>
      </w:r>
      <w:r w:rsidR="00154AB2">
        <w:t>measures</w:t>
      </w:r>
      <w:r w:rsidR="00335276">
        <w:t xml:space="preserve"> and requirements.</w:t>
      </w:r>
    </w:p>
    <w:p w14:paraId="3F1F5F97" w14:textId="5DC6F70F" w:rsidR="000427D8" w:rsidRDefault="000427D8" w:rsidP="00100591">
      <w:r>
        <w:t>With this in mind, cybersecurity frameworks can be modularized to fit certain requirements, taking parts of one framework, and merging them with another to create a more tailored and custom solution</w:t>
      </w:r>
      <w:r w:rsidR="0054015A">
        <w:t>. Other existing frameworks compensate for this issue and offer a more robust structure, although more complex</w:t>
      </w:r>
      <w:r w:rsidR="005E0CC1">
        <w:t>,</w:t>
      </w:r>
      <w:r w:rsidR="0054015A">
        <w:t xml:space="preserve"> allow</w:t>
      </w:r>
      <w:r w:rsidR="005E0CC1">
        <w:t>ing for</w:t>
      </w:r>
      <w:r w:rsidR="0054015A">
        <w:t xml:space="preserve"> complete customizability to conform with business needs</w:t>
      </w:r>
      <w:r>
        <w:t>.</w:t>
      </w:r>
    </w:p>
    <w:p w14:paraId="3A4905DD" w14:textId="3283308B" w:rsidR="00C238B9" w:rsidRDefault="006B032A" w:rsidP="00C238B9">
      <w:pPr>
        <w:pStyle w:val="Heading1"/>
        <w:numPr>
          <w:ilvl w:val="0"/>
          <w:numId w:val="1"/>
        </w:numPr>
      </w:pPr>
      <w:bookmarkStart w:id="6" w:name="_Toc60925823"/>
      <w:r>
        <w:t>Literature Review</w:t>
      </w:r>
      <w:bookmarkEnd w:id="6"/>
    </w:p>
    <w:p w14:paraId="619F9E5C" w14:textId="7D0DD4FB" w:rsidR="00C238B9" w:rsidRDefault="00C238B9" w:rsidP="00C238B9">
      <w:pPr>
        <w:ind w:firstLine="360"/>
      </w:pPr>
      <w:r>
        <w:t xml:space="preserve">Reviewing well-known frameworks popular among the cybersecurity community, critical analysis of available literature pertinent to each framework seeks to provide fundamental understanding of the structure, usage, and flexibility of each </w:t>
      </w:r>
      <w:r w:rsidR="00962FAF">
        <w:t xml:space="preserve">selected </w:t>
      </w:r>
      <w:r>
        <w:t>cybersecurity framework.</w:t>
      </w:r>
    </w:p>
    <w:p w14:paraId="6E1CF18C" w14:textId="2062F8F0" w:rsidR="00C238B9" w:rsidRDefault="00C238B9" w:rsidP="00C238B9">
      <w:r>
        <w:t>Investigation towards finding common approaches</w:t>
      </w:r>
      <w:r w:rsidR="00436761">
        <w:t>, disadvantages and fragility is conducted for documentation alongside observations where conducive benefits are applicable. A reproving examination noting a clear weight and contrast between the selected frameworks is the desired outcome to demonstrate a moderately concise understanding of data governance and security.</w:t>
      </w:r>
    </w:p>
    <w:p w14:paraId="0FF4D540" w14:textId="385DDDCA" w:rsidR="002C19D8" w:rsidRPr="00C238B9" w:rsidRDefault="002C19D8" w:rsidP="00C238B9">
      <w:r>
        <w:t>The selected frameworks offer a diverse amount of usability which could cater for big or small companies</w:t>
      </w:r>
      <w:r w:rsidR="001123D1">
        <w:t>, providing</w:t>
      </w:r>
      <w:r w:rsidR="00EF23FB">
        <w:t xml:space="preserve"> an acceptable</w:t>
      </w:r>
      <w:r w:rsidR="001123D1">
        <w:t xml:space="preserve"> enough distinction </w:t>
      </w:r>
      <w:r w:rsidR="00EF23FB">
        <w:t>to examine</w:t>
      </w:r>
      <w:r w:rsidR="001123D1">
        <w:t>.</w:t>
      </w:r>
    </w:p>
    <w:p w14:paraId="21BA39F4" w14:textId="3A0A64EE" w:rsidR="00CB7FC8" w:rsidRDefault="00F30F64" w:rsidP="00CB7FC8">
      <w:pPr>
        <w:pStyle w:val="Heading2"/>
        <w:numPr>
          <w:ilvl w:val="1"/>
          <w:numId w:val="1"/>
        </w:numPr>
      </w:pPr>
      <w:bookmarkStart w:id="7" w:name="_Ref60842025"/>
      <w:bookmarkStart w:id="8" w:name="_Toc60925824"/>
      <w:r>
        <w:lastRenderedPageBreak/>
        <w:t>NIST</w:t>
      </w:r>
      <w:bookmarkEnd w:id="7"/>
      <w:bookmarkEnd w:id="8"/>
    </w:p>
    <w:p w14:paraId="3BCEDAFF" w14:textId="0D051EF8" w:rsidR="005228B1" w:rsidRDefault="00A35E3B" w:rsidP="006C3002">
      <w:pPr>
        <w:ind w:firstLine="360"/>
      </w:pPr>
      <w:r>
        <w:t xml:space="preserve">Created in collaboration </w:t>
      </w:r>
      <w:r w:rsidR="00FF2407">
        <w:t>with industry professionals and</w:t>
      </w:r>
      <w:r w:rsidR="00B93BBC">
        <w:t xml:space="preserve"> the US Government</w:t>
      </w:r>
      <w:r>
        <w:t xml:space="preserve"> </w:t>
      </w:r>
      <w:r w:rsidR="00B93BBC">
        <w:fldChar w:fldCharType="begin" w:fldLock="1"/>
      </w:r>
      <w:r w:rsidR="00B93BBC">
        <w:instrText>ADDIN CSL_CITATION {"citationItems":[{"id":"ITEM-1","itemData":{"URL":"https://obamawhitehouse.archives.gov/issues/foreign-policy/cybersecurity/eo-13636","accessed":{"date-parts":[["2020","12","31"]]},"author":[{"dropping-particle":"","family":"Obama","given":"Barrack","non-dropping-particle":"","parse-names":false,"suffix":""}],"id":"ITEM-1","issued":{"date-parts":[["0"]]},"title":"Foreign Policy Cyber Security | The White House","type":"webpage"},"uris":["http://www.mendeley.com/documents/?uuid=e5ad3a9f-81a0-3920-bd50-2d815c016d5c"]}],"mendeley":{"formattedCitation":"[7]","plainTextFormattedCitation":"[7]","previouslyFormattedCitation":"[7]"},"properties":{"noteIndex":0},"schema":"https://github.com/citation-style-language/schema/raw/master/csl-citation.json"}</w:instrText>
      </w:r>
      <w:r w:rsidR="00B93BBC">
        <w:fldChar w:fldCharType="separate"/>
      </w:r>
      <w:r w:rsidR="00B93BBC" w:rsidRPr="00B93BBC">
        <w:rPr>
          <w:noProof/>
        </w:rPr>
        <w:t>[7]</w:t>
      </w:r>
      <w:r w:rsidR="00B93BBC">
        <w:fldChar w:fldCharType="end"/>
      </w:r>
      <w:r w:rsidR="00B93BBC">
        <w:t xml:space="preserve">, </w:t>
      </w:r>
      <w:r w:rsidR="00B93BBC" w:rsidRPr="003B56A1">
        <w:rPr>
          <w:i/>
          <w:iCs/>
        </w:rPr>
        <w:t>NIST</w:t>
      </w:r>
      <w:r w:rsidR="001C72FA">
        <w:rPr>
          <w:i/>
          <w:iCs/>
        </w:rPr>
        <w:t xml:space="preserve"> CSF</w:t>
      </w:r>
      <w:r w:rsidR="00B93BBC">
        <w:t xml:space="preserve">, an incredibly popular cybersecurity framework used by many companies across the world </w:t>
      </w:r>
      <w:r w:rsidR="00B93BBC">
        <w:fldChar w:fldCharType="begin" w:fldLock="1"/>
      </w:r>
      <w:r w:rsidR="00B93BBC">
        <w:instrText>ADDIN CSL_CITATION {"citationItems":[{"id":"ITEM-1","itemData":{"DOI":"10.1007/978-3-319-20022-4_7","author":[{"dropping-particle":"","family":"Landes","given":"François P.","non-dropping-particle":"","parse-names":false,"suffix":""}],"id":"ITEM-1","issued":{"date-parts":[["2016"]]},"page":"191-192","title":"General Perspectives","type":"chapter"},"uris":["http://www.mendeley.com/documents/?uuid=b2c3cb35-8a19-3cdb-8991-28c3550ad93f"]}],"mendeley":{"formattedCitation":"[8]","plainTextFormattedCitation":"[8]","previouslyFormattedCitation":"[8]"},"properties":{"noteIndex":0},"schema":"https://github.com/citation-style-language/schema/raw/master/csl-citation.json"}</w:instrText>
      </w:r>
      <w:r w:rsidR="00B93BBC">
        <w:fldChar w:fldCharType="separate"/>
      </w:r>
      <w:r w:rsidR="00B93BBC" w:rsidRPr="00B93BBC">
        <w:rPr>
          <w:noProof/>
        </w:rPr>
        <w:t>[8]</w:t>
      </w:r>
      <w:r w:rsidR="00B93BBC">
        <w:fldChar w:fldCharType="end"/>
      </w:r>
      <w:r w:rsidR="00B93BBC">
        <w:t xml:space="preserve"> aims at achieving a security framework for organizations that is cost-effective</w:t>
      </w:r>
      <w:r w:rsidR="00401908">
        <w:t xml:space="preserve"> and maintains security for critical infrastructure</w:t>
      </w:r>
      <w:r w:rsidR="003D32B2">
        <w:t>s</w:t>
      </w:r>
      <w:r w:rsidR="00B93BBC">
        <w:t xml:space="preserve"> </w:t>
      </w:r>
      <w:r w:rsidR="00B93BBC">
        <w:fldChar w:fldCharType="begin" w:fldLock="1"/>
      </w:r>
      <w:r w:rsidR="00570A54">
        <w:instrText>ADDIN CSL_CITATION {"citationItems":[{"id":"ITEM-1","itemData":{"DOI":"10.6028/NIST.CSWP.04162018","ISBN":"9781510888753","ISSN":"10506527","author":[{"dropping-particle":"","family":"Barrett","given":"Matt","non-dropping-particle":"","parse-names":false,"suffix":""}],"container-title":"Proceedings of the Annual ISA Analysis Division Symposium","id":"ITEM-1","issued":{"date-parts":[["2018","4","16"]]},"page":"9-25","publisher-place":"Gaithersburg, MD","title":"Framework for improving critical infrastructure cybersecurity","type":"paper-conference","volume":"535"},"uris":["http://www.mendeley.com/documents/?uuid=54a79a20-bfc1-3e72-aef6-0de9e7e22994"]}],"mendeley":{"formattedCitation":"[9]","plainTextFormattedCitation":"[9]","previouslyFormattedCitation":"[9]"},"properties":{"noteIndex":0},"schema":"https://github.com/citation-style-language/schema/raw/master/csl-citation.json"}</w:instrText>
      </w:r>
      <w:r w:rsidR="00B93BBC">
        <w:fldChar w:fldCharType="separate"/>
      </w:r>
      <w:r w:rsidR="00B93BBC" w:rsidRPr="00B93BBC">
        <w:rPr>
          <w:noProof/>
        </w:rPr>
        <w:t>[9]</w:t>
      </w:r>
      <w:r w:rsidR="00B93BBC">
        <w:fldChar w:fldCharType="end"/>
      </w:r>
      <w:r w:rsidR="00B93BBC">
        <w:t>.</w:t>
      </w:r>
      <w:r w:rsidR="00F05730">
        <w:t xml:space="preserve"> NIST </w:t>
      </w:r>
      <w:r w:rsidR="00401908">
        <w:t>consists of</w:t>
      </w:r>
      <w:r w:rsidR="00F05730">
        <w:t xml:space="preserve"> a flexible </w:t>
      </w:r>
      <w:r w:rsidR="00401908">
        <w:t>framework</w:t>
      </w:r>
      <w:r w:rsidR="00F05730">
        <w:t xml:space="preserve"> to suit small and large companies </w:t>
      </w:r>
      <w:r w:rsidR="00401908">
        <w:t xml:space="preserve">and organizations </w:t>
      </w:r>
      <w:r w:rsidR="00F05730">
        <w:t>where security is a concern.</w:t>
      </w:r>
    </w:p>
    <w:p w14:paraId="437B4D44" w14:textId="3F637017" w:rsidR="00A7741A" w:rsidRDefault="00536B0B" w:rsidP="00A7741A">
      <w:r>
        <w:t>The anatomy of the NIST framework is fairly expansive. As recorded in the documentation of</w:t>
      </w:r>
      <w:r w:rsidR="00DC3AF8">
        <w:t xml:space="preserve"> the first iteration</w:t>
      </w:r>
      <w:r>
        <w:t xml:space="preserve"> </w:t>
      </w:r>
      <w:r w:rsidR="00DC3AF8">
        <w:t>v</w:t>
      </w:r>
      <w:r>
        <w:rPr>
          <w:i/>
          <w:iCs/>
        </w:rPr>
        <w:t>ersion 1.0</w:t>
      </w:r>
      <w:r w:rsidR="00DC3AF8">
        <w:rPr>
          <w:i/>
          <w:iCs/>
        </w:rPr>
        <w:t>,</w:t>
      </w:r>
      <w:r>
        <w:t xml:space="preserve"> there are </w:t>
      </w:r>
      <w:r>
        <w:rPr>
          <w:i/>
          <w:iCs/>
        </w:rPr>
        <w:t>three main components</w:t>
      </w:r>
      <w:r>
        <w:t xml:space="preserve"> which provide high-level insight to understanding how the framework operates </w:t>
      </w:r>
      <w:r w:rsidR="00570A54">
        <w:fldChar w:fldCharType="begin" w:fldLock="1"/>
      </w:r>
      <w:r w:rsidR="00FF2407">
        <w:instrText>ADDIN CSL_CITATION {"citationItems":[{"id":"ITEM-1","itemData":{"DOI":"10.6028/NIST.CSWP.04162018","ISBN":"9781510888753","ISSN":"10506527","author":[{"dropping-particle":"","family":"Barrett","given":"Matt","non-dropping-particle":"","parse-names":false,"suffix":""}],"container-title":"Proceedings of the Annual ISA Analysis Division Symposium","id":"ITEM-1","issued":{"date-parts":[["2018","4","16"]]},"page":"9-25","publisher-place":"Gaithersburg, MD","title":"Framework for improving critical infrastructure cybersecurity","type":"paper-conference","volume":"535"},"uris":["http://www.mendeley.com/documents/?uuid=54a79a20-bfc1-3e72-aef6-0de9e7e22994"]}],"mendeley":{"formattedCitation":"[9]","plainTextFormattedCitation":"[9]","previouslyFormattedCitation":"[9]"},"properties":{"noteIndex":0},"schema":"https://github.com/citation-style-language/schema/raw/master/csl-citation.json"}</w:instrText>
      </w:r>
      <w:r w:rsidR="00570A54">
        <w:fldChar w:fldCharType="separate"/>
      </w:r>
      <w:r w:rsidR="00570A54" w:rsidRPr="00570A54">
        <w:rPr>
          <w:noProof/>
        </w:rPr>
        <w:t>[9]</w:t>
      </w:r>
      <w:r w:rsidR="00570A54">
        <w:fldChar w:fldCharType="end"/>
      </w:r>
      <w:r w:rsidR="00DB639A">
        <w:t>, each of these components are</w:t>
      </w:r>
      <w:r w:rsidR="0019111B">
        <w:t xml:space="preserve"> described as the</w:t>
      </w:r>
    </w:p>
    <w:p w14:paraId="7171B2B1" w14:textId="33108967" w:rsidR="00570A54" w:rsidRDefault="00DF495B" w:rsidP="00DF495B">
      <w:pPr>
        <w:pStyle w:val="ListParagraph"/>
        <w:numPr>
          <w:ilvl w:val="0"/>
          <w:numId w:val="3"/>
        </w:numPr>
        <w:rPr>
          <w:i/>
          <w:iCs/>
        </w:rPr>
      </w:pPr>
      <w:r w:rsidRPr="00DF495B">
        <w:rPr>
          <w:i/>
          <w:iCs/>
        </w:rPr>
        <w:t>Framework Core</w:t>
      </w:r>
    </w:p>
    <w:p w14:paraId="1C7402DF" w14:textId="3867CA62" w:rsidR="00DF495B" w:rsidRDefault="00DF495B" w:rsidP="00DF495B">
      <w:pPr>
        <w:pStyle w:val="ListParagraph"/>
        <w:numPr>
          <w:ilvl w:val="0"/>
          <w:numId w:val="3"/>
        </w:numPr>
        <w:rPr>
          <w:i/>
          <w:iCs/>
        </w:rPr>
      </w:pPr>
      <w:r>
        <w:rPr>
          <w:i/>
          <w:iCs/>
        </w:rPr>
        <w:t>Framework Implementation Tiers</w:t>
      </w:r>
    </w:p>
    <w:p w14:paraId="0DA80268" w14:textId="72D8C835" w:rsidR="00DF495B" w:rsidRDefault="00DF495B" w:rsidP="00DF495B">
      <w:pPr>
        <w:pStyle w:val="ListParagraph"/>
        <w:numPr>
          <w:ilvl w:val="0"/>
          <w:numId w:val="3"/>
        </w:numPr>
        <w:rPr>
          <w:i/>
          <w:iCs/>
        </w:rPr>
      </w:pPr>
      <w:r>
        <w:rPr>
          <w:i/>
          <w:iCs/>
        </w:rPr>
        <w:t>Framework Profiles</w:t>
      </w:r>
    </w:p>
    <w:p w14:paraId="226C9AEF" w14:textId="74B5DE1D" w:rsidR="00A07AB0" w:rsidRDefault="00FF2407" w:rsidP="00FF2407">
      <w:r>
        <w:t xml:space="preserve">Explicitly, NIST provides a structure for organizations and companies to recognize their current cybersecurity approach, identify their desired </w:t>
      </w:r>
      <w:r w:rsidR="00FA6F71">
        <w:t>position</w:t>
      </w:r>
      <w:r w:rsidR="00A87BB9">
        <w:t xml:space="preserve"> </w:t>
      </w:r>
      <w:r w:rsidR="00C330B1">
        <w:t>for</w:t>
      </w:r>
      <w:r>
        <w:t xml:space="preserve"> security, recognize opportunities for improvement and also assess progress towards their </w:t>
      </w:r>
      <w:r w:rsidR="00F97330">
        <w:t>target position for cybersecurity</w:t>
      </w:r>
      <w:r>
        <w:t xml:space="preserve"> </w:t>
      </w:r>
      <w:r>
        <w:fldChar w:fldCharType="begin" w:fldLock="1"/>
      </w:r>
      <w:r w:rsidR="0004797C">
        <w:instrText>ADDIN CSL_CITATION {"citationItems":[{"id":"ITEM-1","itemData":{"DOI":"10.1093/cybsec/tyaa005","ISSN":"2057-2085","abstract":"The National Institute for Standards and Technology (NIST) Cybersecurity Framework has rapidly become a widely accepted approach to facilitating cybersecurity risk management within organizations. An insightful aspect of the NIST Cybersecurity Framework is its explicit recognition that the activities associated with managing cybersecurity risk are organization specific. The NIST Framework also recognizes that organizations should evaluate their cybersecurity risk management on a cost–benefit basis. The NIST Framework, however, does not provide guidance on how to carry out such a cost–benefit analysis. This article provides an approach for integrating cost–benefit analysis into the NIST Cybersecurity Framework. The Gordon–Loeb (GL) Model for cybersecurity investments is proposed as a basis for deriving a cost-effective level of spending on cybersecurity activities and for selecting the appropriate NIST Implementation Tier level. The analysis shows that the GL Model provides a logical approach to use when considering the cost–benefit aspects of cybersecurity investments during an organization’s process of selecting the most appropriate NIST Implementation Tier level. In addition, the cost–benefit approach provided in this article helps to identify conditions under which there is an incentive to move to a higher NIST Implementation Tier.","author":[{"dropping-particle":"","family":"Gordon","given":"Lawrence A","non-dropping-particle":"","parse-names":false,"suffix":""},{"dropping-particle":"","family":"Loeb","given":"Martin P","non-dropping-particle":"","parse-names":false,"suffix":""},{"dropping-particle":"","family":"Zhou","given":"Lei","non-dropping-particle":"","parse-names":false,"suffix":""}],"container-title":"Journal of Cybersecurity","id":"ITEM-1","issue":"1","issued":{"date-parts":[["2020","1","1"]]},"publisher":"Oxford University Press (OUP)","title":"Integrating cost–benefit analysis into the NIST Cybersecurity Framework via the Gordon–Loeb Model","type":"article-journal","volume":"6"},"uris":["http://www.mendeley.com/documents/?uuid=87d21387-4b80-3d1e-9511-d81a86b2d55c"]}],"mendeley":{"formattedCitation":"[10]","plainTextFormattedCitation":"[10]","previouslyFormattedCitation":"[10]"},"properties":{"noteIndex":0},"schema":"https://github.com/citation-style-language/schema/raw/master/csl-citation.json"}</w:instrText>
      </w:r>
      <w:r>
        <w:fldChar w:fldCharType="separate"/>
      </w:r>
      <w:r w:rsidRPr="00FF2407">
        <w:rPr>
          <w:noProof/>
        </w:rPr>
        <w:t>[10]</w:t>
      </w:r>
      <w:r>
        <w:fldChar w:fldCharType="end"/>
      </w:r>
      <w:r>
        <w:t>.</w:t>
      </w:r>
      <w:r w:rsidR="00F60652">
        <w:t xml:space="preserve"> NIST also serves as</w:t>
      </w:r>
      <w:r w:rsidR="004344DC">
        <w:t xml:space="preserve"> </w:t>
      </w:r>
      <w:r w:rsidR="002745AD">
        <w:t>formal</w:t>
      </w:r>
      <w:r w:rsidR="00F60652">
        <w:t xml:space="preserve"> </w:t>
      </w:r>
      <w:r w:rsidR="004344DC">
        <w:t>guidelines for following best practices</w:t>
      </w:r>
      <w:r w:rsidR="00F60652">
        <w:t xml:space="preserve"> for companies and organizations that </w:t>
      </w:r>
      <w:r w:rsidR="004344DC">
        <w:t xml:space="preserve">do not </w:t>
      </w:r>
      <w:r w:rsidR="00F60652">
        <w:t xml:space="preserve">have </w:t>
      </w:r>
      <w:r w:rsidR="004344DC">
        <w:t>a</w:t>
      </w:r>
      <w:r w:rsidR="00F60652">
        <w:t xml:space="preserve"> current cybersecurity solution in place.</w:t>
      </w:r>
    </w:p>
    <w:p w14:paraId="6F2BF5FA" w14:textId="16D3A11F" w:rsidR="00FD5939" w:rsidRDefault="00FD5939" w:rsidP="00FF2407">
      <w:r>
        <w:t>Each of the three components from the NIST framework divides specific approaches that achieves deliverables for accomplishing a cybersecurity solution that fits a company or organization’s needs</w:t>
      </w:r>
      <w:r w:rsidR="00923E5C">
        <w:t xml:space="preserve"> (see </w:t>
      </w:r>
      <w:r w:rsidR="00923E5C">
        <w:fldChar w:fldCharType="begin"/>
      </w:r>
      <w:r w:rsidR="00923E5C">
        <w:instrText xml:space="preserve"> REF _Ref60581693 \h </w:instrText>
      </w:r>
      <w:r w:rsidR="00923E5C">
        <w:fldChar w:fldCharType="separate"/>
      </w:r>
      <w:r w:rsidR="00923E5C">
        <w:t xml:space="preserve">Figure </w:t>
      </w:r>
      <w:r w:rsidR="00923E5C">
        <w:rPr>
          <w:noProof/>
        </w:rPr>
        <w:t>2</w:t>
      </w:r>
      <w:r w:rsidR="00923E5C">
        <w:t xml:space="preserve"> - NIST Framework parts</w:t>
      </w:r>
      <w:r w:rsidR="00923E5C">
        <w:fldChar w:fldCharType="end"/>
      </w:r>
      <w:r w:rsidR="00923E5C">
        <w:t>)</w:t>
      </w:r>
      <w:r>
        <w:t xml:space="preserve">. The </w:t>
      </w:r>
      <w:r>
        <w:rPr>
          <w:i/>
          <w:iCs/>
        </w:rPr>
        <w:t>framework core</w:t>
      </w:r>
      <w:r>
        <w:t xml:space="preserve"> is comprised of components tailored</w:t>
      </w:r>
      <w:r w:rsidR="007C21CE">
        <w:t xml:space="preserve"> towards</w:t>
      </w:r>
      <w:r>
        <w:t xml:space="preserve"> frequent </w:t>
      </w:r>
      <w:r w:rsidR="007C21CE">
        <w:t xml:space="preserve">activities and outcomes that are common to sectors with critical infrastructures. </w:t>
      </w:r>
      <w:r w:rsidR="007C21CE">
        <w:rPr>
          <w:i/>
          <w:iCs/>
        </w:rPr>
        <w:t xml:space="preserve">Framework profiles </w:t>
      </w:r>
      <w:r w:rsidR="007C21CE">
        <w:t xml:space="preserve">aid in providing support for aligning cybersecurity requirements to a </w:t>
      </w:r>
      <w:r w:rsidR="00D22104">
        <w:t>company’s</w:t>
      </w:r>
      <w:r w:rsidR="007C21CE">
        <w:t xml:space="preserve"> risks and resources.</w:t>
      </w:r>
      <w:r w:rsidR="00E0118E">
        <w:t xml:space="preserve"> The </w:t>
      </w:r>
      <w:r w:rsidR="00E0118E">
        <w:rPr>
          <w:i/>
          <w:iCs/>
        </w:rPr>
        <w:t xml:space="preserve">framework tiers </w:t>
      </w:r>
      <w:r w:rsidR="00E0118E">
        <w:t xml:space="preserve">are designed to provide understanding of the characteristics of a </w:t>
      </w:r>
      <w:r w:rsidR="00846CEB">
        <w:t>company’s</w:t>
      </w:r>
      <w:r w:rsidR="00E0118E">
        <w:t xml:space="preserve"> approach towards managing and maintaining cybersecurity risk</w:t>
      </w:r>
      <w:r w:rsidR="0004797C">
        <w:t xml:space="preserve"> </w:t>
      </w:r>
      <w:r w:rsidR="0004797C">
        <w:fldChar w:fldCharType="begin" w:fldLock="1"/>
      </w:r>
      <w:r w:rsidR="00711670">
        <w:instrText>ADDIN CSL_CITATION {"citationItems":[{"id":"ITEM-1","itemData":{"ISBN":"0-7897-5940-3","author":[{"dropping-particle":"","family":"Santos","given":"Omar","non-dropping-particle":"","parse-names":false,"suffix":""}],"id":"ITEM-1","issued":{"date-parts":[["2019"]]},"publisher":"Pearsons Education","title":"Developing Cybersecurity Programs &amp; Policies","type":"book"},"uris":["http://www.mendeley.com/documents/?uuid=b209022c-49c1-4844-b282-bc70fe6fa161"]}],"mendeley":{"formattedCitation":"[11]","plainTextFormattedCitation":"[11]","previouslyFormattedCitation":"[11]"},"properties":{"noteIndex":0},"schema":"https://github.com/citation-style-language/schema/raw/master/csl-citation.json"}</w:instrText>
      </w:r>
      <w:r w:rsidR="0004797C">
        <w:fldChar w:fldCharType="separate"/>
      </w:r>
      <w:r w:rsidR="0004797C" w:rsidRPr="0004797C">
        <w:rPr>
          <w:noProof/>
        </w:rPr>
        <w:t>[11]</w:t>
      </w:r>
      <w:r w:rsidR="0004797C">
        <w:fldChar w:fldCharType="end"/>
      </w:r>
      <w:r w:rsidR="00E0118E">
        <w:t>.</w:t>
      </w:r>
    </w:p>
    <w:p w14:paraId="374F1991" w14:textId="77777777" w:rsidR="00711670" w:rsidRDefault="00711670" w:rsidP="00711670">
      <w:pPr>
        <w:keepNext/>
        <w:jc w:val="center"/>
      </w:pPr>
      <w:r>
        <w:rPr>
          <w:noProof/>
        </w:rPr>
        <w:drawing>
          <wp:inline distT="0" distB="0" distL="0" distR="0" wp14:anchorId="412AD0FA" wp14:editId="56901D6B">
            <wp:extent cx="3660469" cy="3352800"/>
            <wp:effectExtent l="0" t="0" r="0" b="0"/>
            <wp:docPr id="3" name="Picture 3"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creensho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750667" cy="3435417"/>
                    </a:xfrm>
                    <a:prstGeom prst="rect">
                      <a:avLst/>
                    </a:prstGeom>
                  </pic:spPr>
                </pic:pic>
              </a:graphicData>
            </a:graphic>
          </wp:inline>
        </w:drawing>
      </w:r>
    </w:p>
    <w:p w14:paraId="5ED59A95" w14:textId="706D189D" w:rsidR="00711670" w:rsidRDefault="00711670" w:rsidP="00711670">
      <w:pPr>
        <w:pStyle w:val="Caption"/>
        <w:jc w:val="center"/>
      </w:pPr>
      <w:bookmarkStart w:id="9" w:name="_Ref60581693"/>
      <w:bookmarkStart w:id="10" w:name="_Toc60847201"/>
      <w:r>
        <w:t xml:space="preserve">Figure </w:t>
      </w:r>
      <w:r w:rsidR="00D1734C">
        <w:fldChar w:fldCharType="begin"/>
      </w:r>
      <w:r w:rsidR="00D1734C">
        <w:instrText xml:space="preserve"> SEQ Figure \* ARABIC </w:instrText>
      </w:r>
      <w:r w:rsidR="00D1734C">
        <w:fldChar w:fldCharType="separate"/>
      </w:r>
      <w:r w:rsidR="00D01396">
        <w:rPr>
          <w:noProof/>
        </w:rPr>
        <w:t>2</w:t>
      </w:r>
      <w:r w:rsidR="00D1734C">
        <w:rPr>
          <w:noProof/>
        </w:rPr>
        <w:fldChar w:fldCharType="end"/>
      </w:r>
      <w:r>
        <w:t xml:space="preserve"> - NIST </w:t>
      </w:r>
      <w:bookmarkEnd w:id="9"/>
      <w:r w:rsidR="00E9668A">
        <w:t>framework components</w:t>
      </w:r>
      <w:bookmarkEnd w:id="10"/>
    </w:p>
    <w:p w14:paraId="44D28584" w14:textId="44238E26" w:rsidR="00711670" w:rsidRDefault="00711670" w:rsidP="00711670">
      <w:pPr>
        <w:pStyle w:val="Caption"/>
        <w:jc w:val="center"/>
      </w:pPr>
      <w:r>
        <w:t xml:space="preserve">Source: Adapted from </w:t>
      </w:r>
      <w:r>
        <w:fldChar w:fldCharType="begin" w:fldLock="1"/>
      </w:r>
      <w:r w:rsidR="005E21F3">
        <w:instrText>ADDIN CSL_CITATION {"citationItems":[{"id":"ITEM-1","itemData":{"ISBN":"0-7897-5940-3","author":[{"dropping-particle":"","family":"Santos","given":"Omar","non-dropping-particle":"","parse-names":false,"suffix":""}],"id":"ITEM-1","issued":{"date-parts":[["2019"]]},"publisher":"Pearsons Education","title":"Developing Cybersecurity Programs &amp; Policies","type":"book"},"uris":["http://www.mendeley.com/documents/?uuid=b209022c-49c1-4844-b282-bc70fe6fa161"]}],"mendeley":{"formattedCitation":"[11]","plainTextFormattedCitation":"[11]","previouslyFormattedCitation":"[11]"},"properties":{"noteIndex":0},"schema":"https://github.com/citation-style-language/schema/raw/master/csl-citation.json"}</w:instrText>
      </w:r>
      <w:r>
        <w:fldChar w:fldCharType="separate"/>
      </w:r>
      <w:r w:rsidRPr="00711670">
        <w:rPr>
          <w:i w:val="0"/>
          <w:noProof/>
        </w:rPr>
        <w:t>[11]</w:t>
      </w:r>
      <w:r>
        <w:fldChar w:fldCharType="end"/>
      </w:r>
    </w:p>
    <w:p w14:paraId="0DDE3E1C" w14:textId="0228D0BD" w:rsidR="00711670" w:rsidRDefault="006B2457" w:rsidP="00711670">
      <w:r>
        <w:lastRenderedPageBreak/>
        <w:t>At the top-level NIST CSF describes a format which provides a systematic approach to implementing a cybersecurity framework. Whilst the schema of the NIST CSF is documented in a linear and concise fashion providing appropriate measures to follow for meeting best practices, surveys show that a considerable amount of companies suffer from a gap in cybersecurity expertise. Results</w:t>
      </w:r>
      <w:r w:rsidR="007A30AC">
        <w:t xml:space="preserve"> from 2018</w:t>
      </w:r>
      <w:r>
        <w:t xml:space="preserve"> show that 46% of companies </w:t>
      </w:r>
      <w:r w:rsidR="00950052">
        <w:t>who had taken part in</w:t>
      </w:r>
      <w:r w:rsidR="004E3DD5">
        <w:t xml:space="preserve"> a</w:t>
      </w:r>
      <w:r w:rsidR="00950052">
        <w:t xml:space="preserve"> global survey </w:t>
      </w:r>
      <w:r>
        <w:t xml:space="preserve">required additional skill </w:t>
      </w:r>
      <w:r w:rsidR="005E21F3">
        <w:t xml:space="preserve">within their organization to identify all areas of cybersecurity requirements </w:t>
      </w:r>
      <w:r w:rsidR="005E21F3">
        <w:fldChar w:fldCharType="begin" w:fldLock="1"/>
      </w:r>
      <w:r w:rsidR="00064C0C">
        <w:instrText>ADDIN CSL_CITATION {"citationItems":[{"id":"ITEM-1","itemData":{"URL":"https://resources.irdeto.com/global-connected-industries-cybersecurity-survey/new-2019-global-survey-iot-focused-cyberattacks-are-the-new-normal","accessed":{"date-parts":[["2021","1","3"]]},"id":"ITEM-1","issued":{"date-parts":[["0"]]},"title":"New 2019 Global Survey: IoT-Focused Cyberattacks are the New Normal","type":"webpage"},"uris":["http://www.mendeley.com/documents/?uuid=798b30c2-b4a1-3861-b231-8d9921529f91"]}],"mendeley":{"formattedCitation":"[12]","plainTextFormattedCitation":"[12]","previouslyFormattedCitation":"[12]"},"properties":{"noteIndex":0},"schema":"https://github.com/citation-style-language/schema/raw/master/csl-citation.json"}</w:instrText>
      </w:r>
      <w:r w:rsidR="005E21F3">
        <w:fldChar w:fldCharType="separate"/>
      </w:r>
      <w:r w:rsidR="005E21F3" w:rsidRPr="005E21F3">
        <w:rPr>
          <w:noProof/>
        </w:rPr>
        <w:t>[12]</w:t>
      </w:r>
      <w:r w:rsidR="005E21F3">
        <w:fldChar w:fldCharType="end"/>
      </w:r>
      <w:r w:rsidR="005E21F3">
        <w:t>.</w:t>
      </w:r>
    </w:p>
    <w:p w14:paraId="6158F9E7" w14:textId="7575AF76" w:rsidR="00B657A2" w:rsidRDefault="00B657A2" w:rsidP="00711670">
      <w:r>
        <w:t xml:space="preserve">Breaking into each component, the </w:t>
      </w:r>
      <w:r>
        <w:rPr>
          <w:i/>
          <w:iCs/>
        </w:rPr>
        <w:t>core</w:t>
      </w:r>
      <w:r>
        <w:t xml:space="preserve"> consists of </w:t>
      </w:r>
      <w:r>
        <w:rPr>
          <w:i/>
          <w:iCs/>
        </w:rPr>
        <w:t>five functions</w:t>
      </w:r>
      <w:r>
        <w:t xml:space="preserve"> which aim to achieve successful recognition of common cybersecurity activities, as described above. Each function covers particular goals that need to be addressed in-line with business requirements:</w:t>
      </w:r>
    </w:p>
    <w:p w14:paraId="5E487D54" w14:textId="5E5D822B" w:rsidR="00B657A2" w:rsidRPr="00CC4CC6" w:rsidRDefault="00B657A2" w:rsidP="00B657A2">
      <w:pPr>
        <w:pStyle w:val="ListParagraph"/>
        <w:numPr>
          <w:ilvl w:val="0"/>
          <w:numId w:val="4"/>
        </w:numPr>
        <w:rPr>
          <w:i/>
          <w:iCs/>
        </w:rPr>
      </w:pPr>
      <w:r w:rsidRPr="00CC4CC6">
        <w:rPr>
          <w:i/>
          <w:iCs/>
        </w:rPr>
        <w:t>Identify</w:t>
      </w:r>
    </w:p>
    <w:p w14:paraId="445797D1" w14:textId="41B21FCF" w:rsidR="00B657A2" w:rsidRPr="00CC4CC6" w:rsidRDefault="00B657A2" w:rsidP="00B657A2">
      <w:pPr>
        <w:pStyle w:val="ListParagraph"/>
        <w:numPr>
          <w:ilvl w:val="0"/>
          <w:numId w:val="4"/>
        </w:numPr>
        <w:rPr>
          <w:i/>
          <w:iCs/>
        </w:rPr>
      </w:pPr>
      <w:r w:rsidRPr="00CC4CC6">
        <w:rPr>
          <w:i/>
          <w:iCs/>
        </w:rPr>
        <w:t>Protect</w:t>
      </w:r>
    </w:p>
    <w:p w14:paraId="697B105A" w14:textId="6D17A45F" w:rsidR="00B657A2" w:rsidRPr="00CC4CC6" w:rsidRDefault="00B657A2" w:rsidP="00B657A2">
      <w:pPr>
        <w:pStyle w:val="ListParagraph"/>
        <w:numPr>
          <w:ilvl w:val="0"/>
          <w:numId w:val="4"/>
        </w:numPr>
        <w:rPr>
          <w:i/>
          <w:iCs/>
        </w:rPr>
      </w:pPr>
      <w:r w:rsidRPr="00CC4CC6">
        <w:rPr>
          <w:i/>
          <w:iCs/>
        </w:rPr>
        <w:t>Detect</w:t>
      </w:r>
    </w:p>
    <w:p w14:paraId="3F09C46D" w14:textId="5C6FF0C4" w:rsidR="00B657A2" w:rsidRPr="00CC4CC6" w:rsidRDefault="00B657A2" w:rsidP="00B657A2">
      <w:pPr>
        <w:pStyle w:val="ListParagraph"/>
        <w:numPr>
          <w:ilvl w:val="0"/>
          <w:numId w:val="4"/>
        </w:numPr>
        <w:rPr>
          <w:i/>
          <w:iCs/>
        </w:rPr>
      </w:pPr>
      <w:r w:rsidRPr="00CC4CC6">
        <w:rPr>
          <w:i/>
          <w:iCs/>
        </w:rPr>
        <w:t>Respond</w:t>
      </w:r>
    </w:p>
    <w:p w14:paraId="4D7464D8" w14:textId="40EB88E2" w:rsidR="00B657A2" w:rsidRPr="00CC4CC6" w:rsidRDefault="00B657A2" w:rsidP="00B657A2">
      <w:pPr>
        <w:pStyle w:val="ListParagraph"/>
        <w:numPr>
          <w:ilvl w:val="0"/>
          <w:numId w:val="4"/>
        </w:numPr>
        <w:rPr>
          <w:i/>
          <w:iCs/>
        </w:rPr>
      </w:pPr>
      <w:r w:rsidRPr="00CC4CC6">
        <w:rPr>
          <w:i/>
          <w:iCs/>
        </w:rPr>
        <w:t>Recover</w:t>
      </w:r>
    </w:p>
    <w:p w14:paraId="26EF250A" w14:textId="127F7ECD" w:rsidR="00B657A2" w:rsidRDefault="00ED0506" w:rsidP="00B657A2">
      <w:r>
        <w:t xml:space="preserve">Furthermore, each function holds categories, subcategories and informative references that link directly to a collection that correlates to each function of the </w:t>
      </w:r>
      <w:r>
        <w:rPr>
          <w:i/>
          <w:iCs/>
        </w:rPr>
        <w:t>core</w:t>
      </w:r>
      <w:r w:rsidR="00064C0C">
        <w:rPr>
          <w:i/>
          <w:iCs/>
        </w:rPr>
        <w:t xml:space="preserve"> </w:t>
      </w:r>
      <w:r w:rsidR="00064C0C">
        <w:t>(see</w:t>
      </w:r>
      <w:r w:rsidR="001B05C6">
        <w:t xml:space="preserve"> </w:t>
      </w:r>
      <w:r w:rsidR="001B05C6">
        <w:fldChar w:fldCharType="begin"/>
      </w:r>
      <w:r w:rsidR="001B05C6">
        <w:instrText xml:space="preserve"> REF _Ref60592967 \h </w:instrText>
      </w:r>
      <w:r w:rsidR="001B05C6">
        <w:fldChar w:fldCharType="separate"/>
      </w:r>
      <w:r w:rsidR="001B05C6">
        <w:t xml:space="preserve">Figure </w:t>
      </w:r>
      <w:r w:rsidR="001B05C6">
        <w:rPr>
          <w:noProof/>
        </w:rPr>
        <w:t>3</w:t>
      </w:r>
      <w:r w:rsidR="001B05C6">
        <w:t xml:space="preserve"> - Core functions</w:t>
      </w:r>
      <w:r w:rsidR="001B05C6">
        <w:fldChar w:fldCharType="end"/>
      </w:r>
      <w:r w:rsidR="00064C0C">
        <w:t>)</w:t>
      </w:r>
      <w:r>
        <w:t>.</w:t>
      </w:r>
    </w:p>
    <w:p w14:paraId="3EAB81AA" w14:textId="77777777" w:rsidR="00064C0C" w:rsidRDefault="00064C0C" w:rsidP="00064C0C">
      <w:pPr>
        <w:keepNext/>
        <w:jc w:val="center"/>
      </w:pPr>
      <w:r>
        <w:rPr>
          <w:noProof/>
        </w:rPr>
        <w:drawing>
          <wp:inline distT="0" distB="0" distL="0" distR="0" wp14:anchorId="72B64CE6" wp14:editId="235FF1F1">
            <wp:extent cx="4839375" cy="2562583"/>
            <wp:effectExtent l="0" t="0" r="0"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839375" cy="2562583"/>
                    </a:xfrm>
                    <a:prstGeom prst="rect">
                      <a:avLst/>
                    </a:prstGeom>
                  </pic:spPr>
                </pic:pic>
              </a:graphicData>
            </a:graphic>
          </wp:inline>
        </w:drawing>
      </w:r>
    </w:p>
    <w:p w14:paraId="3AC4E5FB" w14:textId="597DA1FA" w:rsidR="00064C0C" w:rsidRDefault="00064C0C" w:rsidP="00E9668A">
      <w:pPr>
        <w:pStyle w:val="Caption"/>
        <w:jc w:val="center"/>
      </w:pPr>
      <w:bookmarkStart w:id="11" w:name="_Ref60592967"/>
      <w:bookmarkStart w:id="12" w:name="_Toc60847202"/>
      <w:r>
        <w:t xml:space="preserve">Figure </w:t>
      </w:r>
      <w:r w:rsidR="00D1734C">
        <w:fldChar w:fldCharType="begin"/>
      </w:r>
      <w:r w:rsidR="00D1734C">
        <w:instrText xml:space="preserve"> SEQ Figure \* ARABIC </w:instrText>
      </w:r>
      <w:r w:rsidR="00D1734C">
        <w:fldChar w:fldCharType="separate"/>
      </w:r>
      <w:r w:rsidR="00D01396">
        <w:rPr>
          <w:noProof/>
        </w:rPr>
        <w:t>3</w:t>
      </w:r>
      <w:r w:rsidR="00D1734C">
        <w:rPr>
          <w:noProof/>
        </w:rPr>
        <w:fldChar w:fldCharType="end"/>
      </w:r>
      <w:r>
        <w:t xml:space="preserve"> </w:t>
      </w:r>
      <w:r w:rsidR="00E9668A">
        <w:t>–</w:t>
      </w:r>
      <w:r>
        <w:t xml:space="preserve"> </w:t>
      </w:r>
      <w:r w:rsidR="00E9668A">
        <w:t>NIST framework c</w:t>
      </w:r>
      <w:r>
        <w:t>ore functions</w:t>
      </w:r>
      <w:bookmarkEnd w:id="11"/>
      <w:bookmarkEnd w:id="12"/>
    </w:p>
    <w:p w14:paraId="50D5AAB9" w14:textId="4E94382E" w:rsidR="00064C0C" w:rsidRDefault="00064C0C" w:rsidP="00064C0C">
      <w:pPr>
        <w:pStyle w:val="Caption"/>
        <w:jc w:val="center"/>
      </w:pPr>
      <w:r>
        <w:t xml:space="preserve">Source: Adapted from </w:t>
      </w:r>
      <w:r>
        <w:fldChar w:fldCharType="begin" w:fldLock="1"/>
      </w:r>
      <w:r w:rsidR="007603F2">
        <w:instrText>ADDIN CSL_CITATION {"citationItems":[{"id":"ITEM-1","itemData":{"ISBN":"0-7897-5940-3","author":[{"dropping-particle":"","family":"Santos","given":"Omar","non-dropping-particle":"","parse-names":false,"suffix":""}],"id":"ITEM-1","issued":{"date-parts":[["2019"]]},"publisher":"Pearsons Education","title":"Developing Cybersecurity Programs &amp; Policies","type":"book"},"uris":["http://www.mendeley.com/documents/?uuid=b209022c-49c1-4844-b282-bc70fe6fa161"]}],"mendeley":{"formattedCitation":"[11]","plainTextFormattedCitation":"[11]","previouslyFormattedCitation":"[11]"},"properties":{"noteIndex":0},"schema":"https://github.com/citation-style-language/schema/raw/master/csl-citation.json"}</w:instrText>
      </w:r>
      <w:r>
        <w:fldChar w:fldCharType="separate"/>
      </w:r>
      <w:r w:rsidRPr="00064C0C">
        <w:rPr>
          <w:i w:val="0"/>
          <w:noProof/>
        </w:rPr>
        <w:t>[11]</w:t>
      </w:r>
      <w:r>
        <w:fldChar w:fldCharType="end"/>
      </w:r>
    </w:p>
    <w:p w14:paraId="0D84DC87" w14:textId="64D5666B" w:rsidR="007603F2" w:rsidRDefault="00B3567D" w:rsidP="00064C0C">
      <w:r>
        <w:t xml:space="preserve">Stepping into the next top-level component of the NIST CSF introduces </w:t>
      </w:r>
      <w:r>
        <w:rPr>
          <w:i/>
          <w:iCs/>
        </w:rPr>
        <w:t>tiers.</w:t>
      </w:r>
      <w:r>
        <w:t xml:space="preserve"> </w:t>
      </w:r>
      <w:r w:rsidR="00637EAD">
        <w:rPr>
          <w:i/>
          <w:iCs/>
        </w:rPr>
        <w:t>Framework tiers</w:t>
      </w:r>
      <w:r w:rsidR="00637EAD">
        <w:t xml:space="preserve"> govern the guidance needed for organizations to analyse cybersecurity risks and refine the processes implemented to avoid each risk.</w:t>
      </w:r>
      <w:r w:rsidR="00AC1F23">
        <w:t xml:space="preserve"> Each tier serves as a description</w:t>
      </w:r>
      <w:r w:rsidR="00AF7475">
        <w:t xml:space="preserve"> of how risk management procedures</w:t>
      </w:r>
      <w:r w:rsidR="00AC1F23">
        <w:t xml:space="preserve"> align</w:t>
      </w:r>
      <w:r w:rsidR="00AF7475">
        <w:t xml:space="preserve"> with the</w:t>
      </w:r>
      <w:r w:rsidR="00AC1F23">
        <w:t xml:space="preserve"> attributes outlined in the framework.</w:t>
      </w:r>
      <w:r w:rsidR="007603F2">
        <w:t xml:space="preserve"> Each tier consists of four more categories which have appropriately defined characteristics of how</w:t>
      </w:r>
      <w:r w:rsidR="003035CC">
        <w:t xml:space="preserve"> best</w:t>
      </w:r>
      <w:r w:rsidR="007603F2">
        <w:t xml:space="preserve"> practices should be managed.</w:t>
      </w:r>
    </w:p>
    <w:p w14:paraId="36989D10" w14:textId="77777777" w:rsidR="007603F2" w:rsidRDefault="007603F2" w:rsidP="007603F2">
      <w:pPr>
        <w:keepNext/>
        <w:jc w:val="center"/>
      </w:pPr>
      <w:r>
        <w:rPr>
          <w:noProof/>
        </w:rPr>
        <w:lastRenderedPageBreak/>
        <w:drawing>
          <wp:inline distT="0" distB="0" distL="0" distR="0" wp14:anchorId="64F63B95" wp14:editId="2B983BA0">
            <wp:extent cx="2181529" cy="2048161"/>
            <wp:effectExtent l="0" t="0" r="0" b="9525"/>
            <wp:docPr id="5" name="Picture 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schematic&#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181529" cy="2048161"/>
                    </a:xfrm>
                    <a:prstGeom prst="rect">
                      <a:avLst/>
                    </a:prstGeom>
                  </pic:spPr>
                </pic:pic>
              </a:graphicData>
            </a:graphic>
          </wp:inline>
        </w:drawing>
      </w:r>
    </w:p>
    <w:p w14:paraId="4742304B" w14:textId="2CC8457D" w:rsidR="00064C0C" w:rsidRDefault="007603F2" w:rsidP="007603F2">
      <w:pPr>
        <w:pStyle w:val="Caption"/>
        <w:jc w:val="center"/>
      </w:pPr>
      <w:bookmarkStart w:id="13" w:name="_Toc60847203"/>
      <w:r>
        <w:t xml:space="preserve">Figure </w:t>
      </w:r>
      <w:r w:rsidR="00D1734C">
        <w:fldChar w:fldCharType="begin"/>
      </w:r>
      <w:r w:rsidR="00D1734C">
        <w:instrText xml:space="preserve"> SEQ Figure \* ARABIC </w:instrText>
      </w:r>
      <w:r w:rsidR="00D1734C">
        <w:fldChar w:fldCharType="separate"/>
      </w:r>
      <w:r w:rsidR="00D01396">
        <w:rPr>
          <w:noProof/>
        </w:rPr>
        <w:t>4</w:t>
      </w:r>
      <w:r w:rsidR="00D1734C">
        <w:rPr>
          <w:noProof/>
        </w:rPr>
        <w:fldChar w:fldCharType="end"/>
      </w:r>
      <w:r>
        <w:t xml:space="preserve"> </w:t>
      </w:r>
      <w:r w:rsidR="00E9668A">
        <w:t>–</w:t>
      </w:r>
      <w:r>
        <w:t xml:space="preserve"> </w:t>
      </w:r>
      <w:r w:rsidR="00E9668A">
        <w:t>NIST f</w:t>
      </w:r>
      <w:r>
        <w:t>ramework tiers</w:t>
      </w:r>
      <w:bookmarkEnd w:id="13"/>
    </w:p>
    <w:p w14:paraId="38B3E08C" w14:textId="34E77723" w:rsidR="007603F2" w:rsidRDefault="007603F2" w:rsidP="007603F2">
      <w:pPr>
        <w:pStyle w:val="Caption"/>
        <w:jc w:val="center"/>
      </w:pPr>
      <w:r>
        <w:t xml:space="preserve">Source: Adapted from </w:t>
      </w:r>
      <w:r>
        <w:fldChar w:fldCharType="begin" w:fldLock="1"/>
      </w:r>
      <w:r w:rsidR="00971A8A">
        <w:instrText>ADDIN CSL_CITATION {"citationItems":[{"id":"ITEM-1","itemData":{"ISBN":"0-7897-5940-3","author":[{"dropping-particle":"","family":"Santos","given":"Omar","non-dropping-particle":"","parse-names":false,"suffix":""}],"id":"ITEM-1","issued":{"date-parts":[["2019"]]},"publisher":"Pearsons Education","title":"Developing Cybersecurity Programs &amp; Policies","type":"book"},"uris":["http://www.mendeley.com/documents/?uuid=b209022c-49c1-4844-b282-bc70fe6fa161"]}],"mendeley":{"formattedCitation":"[11]","plainTextFormattedCitation":"[11]","previouslyFormattedCitation":"[11]"},"properties":{"noteIndex":0},"schema":"https://github.com/citation-style-language/schema/raw/master/csl-citation.json"}</w:instrText>
      </w:r>
      <w:r>
        <w:fldChar w:fldCharType="separate"/>
      </w:r>
      <w:r w:rsidRPr="007603F2">
        <w:rPr>
          <w:i w:val="0"/>
          <w:noProof/>
        </w:rPr>
        <w:t>[11]</w:t>
      </w:r>
      <w:r>
        <w:fldChar w:fldCharType="end"/>
      </w:r>
    </w:p>
    <w:p w14:paraId="451E590F" w14:textId="74EF5139" w:rsidR="007603F2" w:rsidRDefault="00F40E3B" w:rsidP="007603F2">
      <w:r>
        <w:t>NIST outlines how each tier should be implemented and ha</w:t>
      </w:r>
      <w:r w:rsidR="001D4C84">
        <w:t>s</w:t>
      </w:r>
      <w:r>
        <w:t xml:space="preserve"> documented a well-defined and concise explanation for each definition.</w:t>
      </w:r>
    </w:p>
    <w:p w14:paraId="2EC21F36" w14:textId="6956B80A" w:rsidR="00AC7996" w:rsidRPr="007603F2" w:rsidRDefault="00AC7996" w:rsidP="007603F2">
      <w:r>
        <w:t>Reflection on the research of NIST CSF shows an established and professional framework with a clear and incisive schematic</w:t>
      </w:r>
      <w:r w:rsidR="00021DAE">
        <w:t xml:space="preserve"> </w:t>
      </w:r>
      <w:r w:rsidR="00DB5763">
        <w:t>that offers</w:t>
      </w:r>
      <w:r w:rsidR="00021DAE">
        <w:t xml:space="preserve"> a high degree of adaptability.</w:t>
      </w:r>
      <w:r w:rsidR="00971A8A">
        <w:t xml:space="preserve"> Although highly popular within the cybersecurity community, contributors and researchers claim that NIST has one slight fall back in terms of measuring an organizations maturity level </w:t>
      </w:r>
      <w:r w:rsidR="00971A8A">
        <w:fldChar w:fldCharType="begin" w:fldLock="1"/>
      </w:r>
      <w:r w:rsidR="008C5427">
        <w:instrText>ADDIN CSL_CITATION {"citationItems":[{"id":"ITEM-1","itemData":{"DOI":"10.1007/s40860-020-00115-0","ISSN":"2199-4668","abstract":"Cloud Computing is an emerging paradigm that is based on the concept of distributed computing. Its definition is related to the use of computer resources which are offered as a service. As with any novel technology, Cloud Computing is subject to security threats, vulnerabilities, and attacks. Recently, the studies on security impact include the interaction of software, people and services on the Internet and that is called cyber-security or cyberspace security. In spite of various studies, we still fail to define the needs of cybersecurity management in Cloud Computing. This paper principally focuses on a comprehensive study of Cloud Computing concerns, security, cybersecurity differences, ISO, and NIST standards. It aims at identifying the policies and the guidelines included in these standards as well as it provides a comprehensive Framework proposal to manage and prevent cyber risks in Cloud Computing taking into consideration the ISO 27,032, ISO 27,001, ISO 27,017 and NIST cybersecurity Framework CSF. In addition to that, our study pinpoints at the criteria that concern measuring the maturity of organizations that implement the framework. Our objective is to provide guidance to organizations on how to establish their proper approach of cybersecurity risk management in Cloud Computing or to complement their ‘already have’ processes.","author":[{"dropping-particle":"","family":"Tissir","given":"Najat","non-dropping-particle":"","parse-names":false,"suffix":""},{"dropping-particle":"","family":"Kafhali","given":"Said","non-dropping-particle":"El","parse-names":false,"suffix":""},{"dropping-particle":"","family":"Aboutabit","given":"Noureddine","non-dropping-particle":"","parse-names":false,"suffix":""}],"container-title":"Journal of Reliable Intelligent Environments","id":"ITEM-1","issued":{"date-parts":[["2020","10","19"]]},"page":"1-16","publisher":"Springer Science and Business Media Deutschland GmbH","title":"Cybersecurity management in cloud computing: semantic literature review and conceptual framework proposal","type":"article-journal"},"uris":["http://www.mendeley.com/documents/?uuid=35951a0a-736a-34bd-ae99-c509cbd77644"]}],"mendeley":{"formattedCitation":"[13]","plainTextFormattedCitation":"[13]","previouslyFormattedCitation":"[13]"},"properties":{"noteIndex":0},"schema":"https://github.com/citation-style-language/schema/raw/master/csl-citation.json"}</w:instrText>
      </w:r>
      <w:r w:rsidR="00971A8A">
        <w:fldChar w:fldCharType="separate"/>
      </w:r>
      <w:r w:rsidR="00971A8A" w:rsidRPr="00971A8A">
        <w:rPr>
          <w:noProof/>
        </w:rPr>
        <w:t>[13]</w:t>
      </w:r>
      <w:r w:rsidR="00971A8A">
        <w:fldChar w:fldCharType="end"/>
      </w:r>
      <w:r w:rsidR="008C5427">
        <w:fldChar w:fldCharType="begin" w:fldLock="1"/>
      </w:r>
      <w:r w:rsidR="008C5427">
        <w:instrText>ADDIN CSL_CITATION {"citationItems":[{"id":"ITEM-1","itemData":{"DOI":"10.3390/fi12090157","ISSN":"1999-5903","abstract":"Along with the growing threat of cyberattacks, cybersecurity has become one of the most important areas of the Internet of Things (IoT). The purpose of IoT cybersecurity is to reduce cybersecurity risk for organizations and users through the protection of IoT assets and privacy. New cybersecurity technologies and tools provide potential for better IoT security management. However, there is a lack of effective IoT cyber risk management frameworks for managers. This paper reviews IoT cybersecurity technologies and cyber risk management frameworks. Then, this paper presents a four-layer IoT cyber risk management framework. This paper also applies a linear programming method for the allocation of financial resources to multiple IoT cybersecurity projects. An illustration is provided as a proof of concept.","author":[{"dropping-particle":"","family":"Lee","given":"In","non-dropping-particle":"","parse-names":false,"suffix":""}],"container-title":"Future Internet","id":"ITEM-1","issue":"9","issued":{"date-parts":[["2020","9","18"]]},"page":"157","publisher":"MDPI AG","title":"Internet of Things (IoT) Cybersecurity: Literature Review and IoT Cyber Risk Management","type":"article-journal","volume":"12"},"uris":["http://www.mendeley.com/documents/?uuid=11be459f-e5ea-38e6-bf2c-9532795357fb"]}],"mendeley":{"formattedCitation":"[14]","plainTextFormattedCitation":"[14]","previouslyFormattedCitation":"[14]"},"properties":{"noteIndex":0},"schema":"https://github.com/citation-style-language/schema/raw/master/csl-citation.json"}</w:instrText>
      </w:r>
      <w:r w:rsidR="008C5427">
        <w:fldChar w:fldCharType="separate"/>
      </w:r>
      <w:r w:rsidR="008C5427" w:rsidRPr="008C5427">
        <w:rPr>
          <w:noProof/>
        </w:rPr>
        <w:t>[14]</w:t>
      </w:r>
      <w:r w:rsidR="008C5427">
        <w:fldChar w:fldCharType="end"/>
      </w:r>
      <w:r w:rsidR="008C5427">
        <w:fldChar w:fldCharType="begin" w:fldLock="1"/>
      </w:r>
      <w:r w:rsidR="00B85BED">
        <w:instrText>ADDIN CSL_CITATION {"citationItems":[{"id":"ITEM-1","itemData":{"DOI":"10.1109/FiCloud.2014.56","ISBN":"9781479943586","abstract":"The use of internet has made people and organizations vulnerable to the outside attacks. Indeed, cyber issues mainly affect information systems with different types of malicious attacks such as spyware, virus, social engineering etc. This work is motivated by the need for a more intuitive and automated systems-level approach to determine the overall security characteristics of an information system. In this paper, we will use our framework EAS-SGR (Equipe Architecture des Systèmes-Système de Gestion de Risque) which is designed for treating security issues in the IT governance systems and we will adopt it to cyber space especially cyber criminality in order to help governments, enterprises and others committees to lower their level of vulnerabilities to an acceptable level throughout the application of a cyber security action plan.","author":[{"dropping-particle":"","family":"Iguer","given":"Hajar","non-dropping-particle":"","parse-names":false,"suffix":""},{"dropping-particle":"","family":"Medromi","given":"Hicham","non-dropping-particle":"","parse-names":false,"suffix":""},{"dropping-particle":"","family":"Sayouti","given":"Adil","non-dropping-particle":"","parse-names":false,"suffix":""},{"dropping-particle":"","family":"Elhasnaoui","given":"Soukaina","non-dropping-particle":"","parse-names":false,"suffix":""},{"dropping-particle":"","family":"Faris","given":"Sophia","non-dropping-particle":"","parse-names":false,"suffix":""}],"container-title":"Proceedings - 2014 International Conference on Future Internet of Things and Cloud, FiCloud 2014","id":"ITEM-1","issued":{"date-parts":[["2014","12","12"]]},"page":"316-321","publisher":"Institute of Electrical and Electronics Engineers Inc.","title":"The impact of cyber security issues on businesses and governments: A framework for implementing a cyber security plan","type":"paper-conference"},"uris":["http://www.mendeley.com/documents/?uuid=9e0d1ffd-c559-3ae7-9b98-8e08b12c89fd"]}],"mendeley":{"formattedCitation":"[15]","plainTextFormattedCitation":"[15]","previouslyFormattedCitation":"[15]"},"properties":{"noteIndex":0},"schema":"https://github.com/citation-style-language/schema/raw/master/csl-citation.json"}</w:instrText>
      </w:r>
      <w:r w:rsidR="008C5427">
        <w:fldChar w:fldCharType="separate"/>
      </w:r>
      <w:r w:rsidR="008C5427" w:rsidRPr="008C5427">
        <w:rPr>
          <w:noProof/>
        </w:rPr>
        <w:t>[15]</w:t>
      </w:r>
      <w:r w:rsidR="008C5427">
        <w:fldChar w:fldCharType="end"/>
      </w:r>
      <w:r w:rsidR="00971A8A">
        <w:t xml:space="preserve">. Maturity level, or maturity models outline how well an organizations </w:t>
      </w:r>
      <w:r w:rsidR="00971A8A" w:rsidRPr="00971A8A">
        <w:t>competenc</w:t>
      </w:r>
      <w:r w:rsidR="00971A8A">
        <w:t>y skills scale to assessing effectiveness when reaching goals</w:t>
      </w:r>
      <w:r w:rsidR="00B85BED">
        <w:t xml:space="preserve"> </w:t>
      </w:r>
      <w:r w:rsidR="005B470A">
        <w:fldChar w:fldCharType="begin" w:fldLock="1"/>
      </w:r>
      <w:r w:rsidR="00003971">
        <w:instrText>ADDIN CSL_CITATION {"citationItems":[{"id":"ITEM-1","itemData":{"DOI":"10.22215/timreview/837","ISSN":"1927-0321","abstract":"This article examines relevant cybersecurity capability maturity models to identify the standards and controls available to providers of critical infrastructure in an effort to improve their level of security preparedness. These capability models are described and categorized by their relevance to different infrastructure domains, and then recommendations are provided on employing capability maturity models to measure and communicate readiness. This article will be relevant to regulators, critical infrastructure providers, and researchers.","author":[{"dropping-particle":"","family":"Miron","given":"Walter","non-dropping-particle":"","parse-names":false,"suffix":""},{"dropping-particle":"","family":"Muita","given":"Kevin","non-dropping-particle":"","parse-names":false,"suffix":""}],"container-title":"Technology Innovation Management Review","id":"ITEM-1","issue":"10","issued":{"date-parts":[["2014","10","30"]]},"page":"33-39","publisher":"Carleton University","title":"Cybersecurity Capability Maturity Models for Providers of Critical Infrastructure","type":"article-journal","volume":"4"},"uris":["http://www.mendeley.com/documents/?uuid=00e0d3d8-20df-341c-a03b-c20bcc1bf5ae"]}],"mendeley":{"formattedCitation":"[16]","plainTextFormattedCitation":"[16]","previouslyFormattedCitation":"[16]"},"properties":{"noteIndex":0},"schema":"https://github.com/citation-style-language/schema/raw/master/csl-citation.json"}</w:instrText>
      </w:r>
      <w:r w:rsidR="005B470A">
        <w:fldChar w:fldCharType="separate"/>
      </w:r>
      <w:r w:rsidR="005B470A" w:rsidRPr="005B470A">
        <w:rPr>
          <w:noProof/>
        </w:rPr>
        <w:t>[16]</w:t>
      </w:r>
      <w:r w:rsidR="005B470A">
        <w:fldChar w:fldCharType="end"/>
      </w:r>
      <w:r w:rsidR="00971A8A">
        <w:t>. NIST CSF provides no guidelines for measuring maturity</w:t>
      </w:r>
      <w:r w:rsidR="00CE4FFD">
        <w:t xml:space="preserve">, leaving many cybersecurity professionals integrating maturity models into the NIST framework to accommodate </w:t>
      </w:r>
      <w:r w:rsidR="00B85BED">
        <w:fldChar w:fldCharType="begin" w:fldLock="1"/>
      </w:r>
      <w:r w:rsidR="00003971">
        <w:instrText>ADDIN CSL_CITATION {"citationItems":[{"id":"ITEM-1","itemData":{"DOI":"10.5121/csit.2017.70305","abstract":"The National Institute of Standards and Technology (NIST) has issued a framework to provide guidance for organizations within critical infrastructure sectors to reduce the risk associated with cyber security. The framework is called NIST Cyber Security Framework for Critical Infrastructure (CSF). Many organizations are currently implementing or aligned to different information security frameworks. The implementation of NIST CSF needs to be aligned with and complement the existing frameworks. NIST states that the NIST CSF is not a maturity framework. Therefore, there is a need to adopt an existing maturity model or create one to have a common way to measure the CSF implementation progress. This paper explores the applicability of number of maturity models to be used as a measure to the security poster of organizations implementing the NIST CSF. This paper reviews the NIST CSF and compares it to other information security related frameworks such as COBIT, ISO/IEC 27001 and the ISF Standard of Good Practice (SoGP) for Information Security. We propose a new information security maturity model (ISMM) that fills the gap in the NIST CSF.","author":[{"dropping-particle":"","family":"Almuhammadi","given":"Sultan","non-dropping-particle":"","parse-names":false,"suffix":""},{"dropping-particle":"","family":"Alsaleh","given":"Majeed","non-dropping-particle":"","parse-names":false,"suffix":""}],"id":"ITEM-1","issued":{"date-parts":[["2017","2","25"]]},"page":"51-62","publisher":"Academy and Industry Research Collaboration Center (AIRCC)","title":"Information Security Maturity Model for Nist Cyber Security Framework","type":"paper-conference"},"uris":["http://www.mendeley.com/documents/?uuid=29f41fdd-bfc7-376f-8502-8e125691e10f"]}],"mendeley":{"formattedCitation":"[17]","plainTextFormattedCitation":"[17]","previouslyFormattedCitation":"[17]"},"properties":{"noteIndex":0},"schema":"https://github.com/citation-style-language/schema/raw/master/csl-citation.json"}</w:instrText>
      </w:r>
      <w:r w:rsidR="00B85BED">
        <w:fldChar w:fldCharType="separate"/>
      </w:r>
      <w:r w:rsidR="005B470A" w:rsidRPr="005B470A">
        <w:rPr>
          <w:noProof/>
        </w:rPr>
        <w:t>[17]</w:t>
      </w:r>
      <w:r w:rsidR="00B85BED">
        <w:fldChar w:fldCharType="end"/>
      </w:r>
      <w:r w:rsidR="00B85BED">
        <w:fldChar w:fldCharType="begin" w:fldLock="1"/>
      </w:r>
      <w:r w:rsidR="00003971">
        <w:instrText>ADDIN CSL_CITATION {"citationItems":[{"id":"ITEM-1","itemData":{"DOI":"10.1177/0954409719881849","ISSN":"20413017","abstract":"With the advancements in and widespread adoption of information and communication technologies in infrastructures, cyber-attacks are becoming more frequent and more severe. Advanced cybersecurity threats with automated capabilities are increasing in such sectors as finance, health, grid, retail, government, telecommunications, transportation, etc. Cyber-attacks are also increasing in railways with an impact on railway stakeholders, e.g. threat to the safety of employees, passengers, or the public in general; loss of sensitive railway information; reputational damage; monetary loss; erroneous decisions; loss of dependability, etc. There is a need to move towards advanced security analytics and automation to identify, respond to, and prevent such security breaches. The objective of this research is to reduce cyber risks and vulnerabilities and to improve the cybersecurity capabilities of railways by evaluating their cybersecurity maturity levels and making recommendations for improvements. After assessing various cybersecurity maturity models, the Cybersecurity Capability Maturity Model (C2M2) was selected to assess the cybersecurity capabilities of railway organizations. The contributions of this research are as follows. First, a new maturity level MIL4 (Maturity Indicator Level 4) is introduced in the C2M2 model. Second, the C2M2 model is adapted by adding advanced security analytics and threat intelligence to develop the Railway-Cybersecurity Capability Maturity Model (R-C2M2). The cybersecurity maturity of three railway organizations is evaluated using this model. Third, recommendations and available standards &amp; guidelines are provided to the three railway organizations to improve maturity levels within different domains. In addition, they are given an action plan to implement the recommendations in a streamlined way. The application of this model will allow railway organizations to improve their capability to reduce the impacts of cyber-attacks and eradicate vulnerabilities. The approach can also be extended to other infrastructures with necessary adaptations.","author":[{"dropping-particle":"","family":"Kour","given":"Ravdeep","non-dropping-particle":"","parse-names":false,"suffix":""},{"dropping-particle":"","family":"Karim","given":"Ramin","non-dropping-particle":"","parse-names":false,"suffix":""},{"dropping-particle":"","family":"Thaduri","given":"Adithya","non-dropping-particle":"","parse-names":false,"suffix":""}],"container-title":"Proceedings of the Institution of Mechanical Engineers, Part F: Journal of Rail and Rapid Transit","id":"ITEM-1","issue":"10","issued":{"date-parts":[["2020","11","18"]]},"page":"1129-1148","publisher":"SAGE Publications Ltd","title":"Cybersecurity for railways – A maturity model","type":"article-journal","volume":"234"},"uris":["http://www.mendeley.com/documents/?uuid=940c12cc-e2ef-3897-90da-004606a200c4"]}],"mendeley":{"formattedCitation":"[18]","plainTextFormattedCitation":"[18]","previouslyFormattedCitation":"[18]"},"properties":{"noteIndex":0},"schema":"https://github.com/citation-style-language/schema/raw/master/csl-citation.json"}</w:instrText>
      </w:r>
      <w:r w:rsidR="00B85BED">
        <w:fldChar w:fldCharType="separate"/>
      </w:r>
      <w:r w:rsidR="005B470A" w:rsidRPr="005B470A">
        <w:rPr>
          <w:noProof/>
        </w:rPr>
        <w:t>[18]</w:t>
      </w:r>
      <w:r w:rsidR="00B85BED">
        <w:fldChar w:fldCharType="end"/>
      </w:r>
      <w:r w:rsidR="00B85BED">
        <w:fldChar w:fldCharType="begin" w:fldLock="1"/>
      </w:r>
      <w:r w:rsidR="00003971">
        <w:instrText>ADDIN CSL_CITATION {"citationItems":[{"id":"ITEM-1","itemData":{"DOI":"10.1108/ICS-03-2019-0039","ISSN":"2056-4961","abstract":"Purpose: This paper aims to clarify the uncertainty reflected in the current state of information security maturity evaluation where it has not enough matured and converged so that a generic approach or many specfics approaches become the go-to choice. In fact, in the past decade, many secruity maturity models are still being produced and remain unproven regardless of the existence of ISO 21827. Design/methodology/approach: The authors have used the systematic literature review to summarize existing research, help identify gaps in the existing literature and provide background for positioning new research studies. Findings: The authors highlighted the prevalent influence of the ISO/IEC 27001/27002 standard but raised the necessity for an in-depth investigation of ISO 21827. The authors also made the implementation facet a central topic of our review. The authors found out that, compared to the number of proposed models, implementation experiments are lacking. This could be due to the arduous task of validation and it could also be the reason why specific models are dominant. Originality/value: While the research literature contains many experience reports and a few case studies on information security maturity evaluation, a systematic review and synthesis of this growing field of research is unavailable as far as the authors know. In fact, the authors only picked-up one bodywork [Maturity models in cyber security A systematic review (2017)] carrying out a literature review on security maturity models between 2012 and 2017, written in Spanish.","author":[{"dropping-particle":"","family":"Rabii","given":"Anass","non-dropping-particle":"","parse-names":false,"suffix":""},{"dropping-particle":"","family":"Assoul","given":"Saliha","non-dropping-particle":"","parse-names":false,"suffix":""},{"dropping-particle":"","family":"Ouazzani Touhami","given":"Khadija","non-dropping-particle":"","parse-names":false,"suffix":""},{"dropping-particle":"","family":"Roudies","given":"Ounsa","non-dropping-particle":"","parse-names":false,"suffix":""}],"container-title":"Information &amp; Computer Security","id":"ITEM-1","issue":"4","issued":{"date-parts":[["2020","6","6"]]},"page":"627-644","publisher":"Emerald Group Holdings Ltd.","title":"Information and cyber security maturity models: a systematic literature review","type":"article-journal","volume":"28"},"uris":["http://www.mendeley.com/documents/?uuid=4828d623-598d-3bda-b3e6-31bd671dd65b"]}],"mendeley":{"formattedCitation":"[19]","plainTextFormattedCitation":"[19]","previouslyFormattedCitation":"[19]"},"properties":{"noteIndex":0},"schema":"https://github.com/citation-style-language/schema/raw/master/csl-citation.json"}</w:instrText>
      </w:r>
      <w:r w:rsidR="00B85BED">
        <w:fldChar w:fldCharType="separate"/>
      </w:r>
      <w:r w:rsidR="005B470A" w:rsidRPr="005B470A">
        <w:rPr>
          <w:noProof/>
        </w:rPr>
        <w:t>[19]</w:t>
      </w:r>
      <w:r w:rsidR="00B85BED">
        <w:fldChar w:fldCharType="end"/>
      </w:r>
      <w:r w:rsidR="00CE4FFD">
        <w:t>.</w:t>
      </w:r>
    </w:p>
    <w:p w14:paraId="3FBD2ACE" w14:textId="3337AFA8" w:rsidR="00CB7FC8" w:rsidRDefault="00F30F64" w:rsidP="00CB7FC8">
      <w:pPr>
        <w:pStyle w:val="Heading2"/>
        <w:numPr>
          <w:ilvl w:val="1"/>
          <w:numId w:val="1"/>
        </w:numPr>
      </w:pPr>
      <w:bookmarkStart w:id="14" w:name="_Toc60925825"/>
      <w:r>
        <w:t>PCI DSS</w:t>
      </w:r>
      <w:bookmarkEnd w:id="14"/>
    </w:p>
    <w:p w14:paraId="7A5A949F" w14:textId="56AA7FD3" w:rsidR="005B470A" w:rsidRDefault="005037D1" w:rsidP="009C77F8">
      <w:pPr>
        <w:ind w:firstLine="360"/>
      </w:pPr>
      <w:r>
        <w:t xml:space="preserve">PCI DSS </w:t>
      </w:r>
      <w:r>
        <w:rPr>
          <w:i/>
          <w:iCs/>
        </w:rPr>
        <w:t xml:space="preserve">(Payment Card Industry Data Security Standard) </w:t>
      </w:r>
      <w:r>
        <w:t xml:space="preserve">formed in 2004 in collaboration with multiple credit card vendors </w:t>
      </w:r>
      <w:r w:rsidR="00CE49CC">
        <w:fldChar w:fldCharType="begin" w:fldLock="1"/>
      </w:r>
      <w:r w:rsidR="00CB774F">
        <w:instrText>ADDIN CSL_CITATION {"citationItems":[{"id":"ITEM-1","itemData":{"abstract":"The payment card brands have a private regulatory system, the PCI DSS, that affects every entity worldwide that accepts, processes, stores or transmits credit card information. Participation is mandatory for companies to function in the modern economy, and the consequences of non-compliance can be harsh. A further complication is that the PCI DSS uses its own terminology, which can be confusing to a beginner. But there are also benefits to understanding PCI compliance, including to avoid the potentially harsh consequences, and the fact that PCI compliant entities have a stronger defensive posture against cyberattacks. Because of this, all organisations should know about and understand the PCI DSS, including how to implement and maintain compliance. This paper outlines the history and reason behind the PCI DSS and the broad requirements entities must follow to be compliant; provides an overview of the basic terminology and requirements, information on additional programmes that affect an entity’s PCI DSS compliance, a high-level view of compliance and information on its enforcement by the card brands, state legislation and the legal system; and offers some views from both critics and supporters of the current enforcement system.","author":[{"dropping-particle":"","family":"Wilson","given":"Donna","non-dropping-particle":"","parse-names":false,"suffix":""},{"dropping-particle":"","family":"Roman","given":"Ethan","non-dropping-particle":"","parse-names":false,"suffix":""},{"dropping-particle":"","family":"Beierly","given":"Ingrid","non-dropping-particle":"","parse-names":false,"suffix":""}],"container-title":"Cyber Security: A Peer-Reviewed Journal","id":"ITEM-1","issue":"1","issued":{"date-parts":[["2018"]]},"page":"73-82","title":"PCI DSS and card brands: Standards, compliance and enforcement","type":"article-journal","volume":"2"},"uris":["http://www.mendeley.com/documents/?uuid=52b1dda2-80e6-3815-b27b-62169e167f46"]}],"mendeley":{"formattedCitation":"[20]","plainTextFormattedCitation":"[20]","previouslyFormattedCitation":"[20]"},"properties":{"noteIndex":0},"schema":"https://github.com/citation-style-language/schema/raw/master/csl-citation.json"}</w:instrText>
      </w:r>
      <w:r w:rsidR="00CE49CC">
        <w:fldChar w:fldCharType="separate"/>
      </w:r>
      <w:r w:rsidR="00CE49CC" w:rsidRPr="00CE49CC">
        <w:rPr>
          <w:noProof/>
        </w:rPr>
        <w:t>[20]</w:t>
      </w:r>
      <w:r w:rsidR="00CE49CC">
        <w:fldChar w:fldCharType="end"/>
      </w:r>
      <w:r>
        <w:t xml:space="preserve">. Administered by PCI SSC </w:t>
      </w:r>
      <w:r>
        <w:rPr>
          <w:i/>
          <w:iCs/>
        </w:rPr>
        <w:t>(PCI Security Standards Council),</w:t>
      </w:r>
      <w:r>
        <w:t xml:space="preserve"> PCI DSS defines a set of requirements for any companies that process, transmit and store credit card details. Companies are advised to follow PCI DSS, but compliance isn’t law</w:t>
      </w:r>
      <w:r w:rsidR="00CB774F">
        <w:t xml:space="preserve"> </w:t>
      </w:r>
      <w:r w:rsidR="00CB774F">
        <w:fldChar w:fldCharType="begin" w:fldLock="1"/>
      </w:r>
      <w:r w:rsidR="00F56549">
        <w:instrText>ADDIN CSL_CITATION {"citationItems":[{"id":"ITEM-1","itemData":{"DOI":"10.12928/telkomnika.v9i2.709","ISSN":"2087278X","abstract":"Underpinned by the rise in online criminality, the payment card industry (PCI) data security standards (DSS) were introduced which outlines a subset of the core principals and requirements that must be followed, including precautions relating to the software that processes credit card data. The necessity to implement these requirements in existing software applications can present software owners and developers with a range of issues. We present here a generic solution to the sensitive issue of PCI compliance where aspect orientated programming (AOP) can be applied to meet the requirement of masking the primary account number (PAN). Our architecture allows a definite amount of code to be added which intercepts all the methods specified in the aspect, regardless of future additions to the system thus reducing the amount of work required to the maintain aspect. We believe that the concepts here will provide an insight into how to approach the PCI requirements to undertake the task. The software artefact should also serve as a guide to developers attempting to implement new applications, where security and design are fundamental elements that should be considered through each phase of the software development lifecycle and not as an afterthought. © 2011 Universitas Ahmad Dahlan.","author":[{"dropping-particle":"","family":"Bonner","given":"Enda","non-dropping-particle":"","parse-names":false,"suffix":""},{"dropping-particle":"","family":"O' Raw","given":"John","non-dropping-particle":"","parse-names":false,"suffix":""},{"dropping-particle":"","family":"Curran","given":"Kevin","non-dropping-particle":"","parse-names":false,"suffix":""}],"container-title":"Telkomnika","id":"ITEM-1","issue":"2","issued":{"date-parts":[["2011","8","1"]]},"page":"365-376","publisher":"Universitas Ahmad Dahlan","title":"Implementing the payment card industry (PCI) data security standard (DSS)","type":"article-journal","volume":"9"},"uris":["http://www.mendeley.com/documents/?uuid=8293df79-0a20-3885-ad3f-87de90cec3b9"]}],"mendeley":{"formattedCitation":"[21]","plainTextFormattedCitation":"[21]","previouslyFormattedCitation":"[21]"},"properties":{"noteIndex":0},"schema":"https://github.com/citation-style-language/schema/raw/master/csl-citation.json"}</w:instrText>
      </w:r>
      <w:r w:rsidR="00CB774F">
        <w:fldChar w:fldCharType="separate"/>
      </w:r>
      <w:r w:rsidR="00CB774F" w:rsidRPr="00CB774F">
        <w:rPr>
          <w:noProof/>
        </w:rPr>
        <w:t>[21]</w:t>
      </w:r>
      <w:r w:rsidR="00CB774F">
        <w:fldChar w:fldCharType="end"/>
      </w:r>
      <w:r>
        <w:t>.</w:t>
      </w:r>
    </w:p>
    <w:p w14:paraId="4813DD25" w14:textId="23B416A0" w:rsidR="00F92F51" w:rsidRDefault="00F92F51" w:rsidP="005B470A">
      <w:r>
        <w:t>PCI DSS aims at enhancing payment security data through 12 compliance requirements:</w:t>
      </w:r>
    </w:p>
    <w:p w14:paraId="4ED4CCCB" w14:textId="38F2D8E7" w:rsidR="00F92F51" w:rsidRPr="00F92F51" w:rsidRDefault="00F92F51" w:rsidP="00F92F51">
      <w:pPr>
        <w:pStyle w:val="ListParagraph"/>
        <w:numPr>
          <w:ilvl w:val="0"/>
          <w:numId w:val="5"/>
        </w:numPr>
        <w:rPr>
          <w:i/>
          <w:iCs/>
        </w:rPr>
      </w:pPr>
      <w:r w:rsidRPr="00F92F51">
        <w:rPr>
          <w:i/>
          <w:iCs/>
        </w:rPr>
        <w:t>Effective password protection</w:t>
      </w:r>
    </w:p>
    <w:p w14:paraId="5777DB73" w14:textId="26971C2E" w:rsidR="00F92F51" w:rsidRDefault="00F92F51" w:rsidP="00F92F51">
      <w:pPr>
        <w:pStyle w:val="ListParagraph"/>
        <w:numPr>
          <w:ilvl w:val="0"/>
          <w:numId w:val="5"/>
        </w:numPr>
        <w:rPr>
          <w:i/>
          <w:iCs/>
        </w:rPr>
      </w:pPr>
      <w:r w:rsidRPr="00F92F51">
        <w:rPr>
          <w:i/>
          <w:iCs/>
        </w:rPr>
        <w:t>Use and maintenance of firewall systems</w:t>
      </w:r>
    </w:p>
    <w:p w14:paraId="0E20CE88" w14:textId="4C1EF8FD" w:rsidR="00F92F51" w:rsidRDefault="00F92F51" w:rsidP="00F92F51">
      <w:pPr>
        <w:pStyle w:val="ListParagraph"/>
        <w:numPr>
          <w:ilvl w:val="0"/>
          <w:numId w:val="5"/>
        </w:numPr>
        <w:rPr>
          <w:i/>
          <w:iCs/>
        </w:rPr>
      </w:pPr>
      <w:r>
        <w:rPr>
          <w:i/>
          <w:iCs/>
        </w:rPr>
        <w:t>Encryption of card details</w:t>
      </w:r>
    </w:p>
    <w:p w14:paraId="5B42D993" w14:textId="252DCB48" w:rsidR="00F92F51" w:rsidRDefault="00F92F51" w:rsidP="00F92F51">
      <w:pPr>
        <w:pStyle w:val="ListParagraph"/>
        <w:numPr>
          <w:ilvl w:val="0"/>
          <w:numId w:val="5"/>
        </w:numPr>
        <w:rPr>
          <w:i/>
          <w:iCs/>
        </w:rPr>
      </w:pPr>
      <w:r>
        <w:rPr>
          <w:i/>
          <w:iCs/>
        </w:rPr>
        <w:t>Encryption of transmitted data</w:t>
      </w:r>
    </w:p>
    <w:p w14:paraId="68DC49F8" w14:textId="1216E9E8" w:rsidR="00F92F51" w:rsidRDefault="00F92F51" w:rsidP="00F92F51">
      <w:pPr>
        <w:pStyle w:val="ListParagraph"/>
        <w:numPr>
          <w:ilvl w:val="0"/>
          <w:numId w:val="5"/>
        </w:numPr>
        <w:rPr>
          <w:i/>
          <w:iCs/>
        </w:rPr>
      </w:pPr>
      <w:r>
        <w:rPr>
          <w:i/>
          <w:iCs/>
        </w:rPr>
        <w:t>Use and maintenance of anti-virus software</w:t>
      </w:r>
    </w:p>
    <w:p w14:paraId="14182680" w14:textId="39916C77" w:rsidR="00F92F51" w:rsidRDefault="00F92F51" w:rsidP="00F92F51">
      <w:pPr>
        <w:pStyle w:val="ListParagraph"/>
        <w:numPr>
          <w:ilvl w:val="0"/>
          <w:numId w:val="5"/>
        </w:numPr>
        <w:rPr>
          <w:i/>
          <w:iCs/>
        </w:rPr>
      </w:pPr>
      <w:r>
        <w:rPr>
          <w:i/>
          <w:iCs/>
        </w:rPr>
        <w:t>Keep all software up to date</w:t>
      </w:r>
    </w:p>
    <w:p w14:paraId="1AFAF184" w14:textId="32ECBE32" w:rsidR="00F92F51" w:rsidRDefault="00F92F51" w:rsidP="00F92F51">
      <w:pPr>
        <w:pStyle w:val="ListParagraph"/>
        <w:numPr>
          <w:ilvl w:val="0"/>
          <w:numId w:val="5"/>
        </w:numPr>
        <w:rPr>
          <w:i/>
          <w:iCs/>
        </w:rPr>
      </w:pPr>
      <w:r>
        <w:rPr>
          <w:i/>
          <w:iCs/>
        </w:rPr>
        <w:t>Restrict access to all data</w:t>
      </w:r>
    </w:p>
    <w:p w14:paraId="3F4965CC" w14:textId="3F9C25A8" w:rsidR="00F92F51" w:rsidRDefault="00F92F51" w:rsidP="00F92F51">
      <w:pPr>
        <w:pStyle w:val="ListParagraph"/>
        <w:numPr>
          <w:ilvl w:val="0"/>
          <w:numId w:val="5"/>
        </w:numPr>
        <w:rPr>
          <w:i/>
          <w:iCs/>
        </w:rPr>
      </w:pPr>
      <w:r>
        <w:rPr>
          <w:i/>
          <w:iCs/>
        </w:rPr>
        <w:t>Individual credentials for data access</w:t>
      </w:r>
    </w:p>
    <w:p w14:paraId="645D7E2A" w14:textId="0B53B23A" w:rsidR="00F92F51" w:rsidRDefault="00F92F51" w:rsidP="00F92F51">
      <w:pPr>
        <w:pStyle w:val="ListParagraph"/>
        <w:numPr>
          <w:ilvl w:val="0"/>
          <w:numId w:val="5"/>
        </w:numPr>
        <w:rPr>
          <w:i/>
          <w:iCs/>
        </w:rPr>
      </w:pPr>
      <w:r>
        <w:rPr>
          <w:i/>
          <w:iCs/>
        </w:rPr>
        <w:t>Restrict physical access to all data</w:t>
      </w:r>
    </w:p>
    <w:p w14:paraId="24E91883" w14:textId="326D9CEB" w:rsidR="00F92F51" w:rsidRDefault="00F92F51" w:rsidP="00F92F51">
      <w:pPr>
        <w:pStyle w:val="ListParagraph"/>
        <w:numPr>
          <w:ilvl w:val="0"/>
          <w:numId w:val="5"/>
        </w:numPr>
        <w:rPr>
          <w:i/>
          <w:iCs/>
        </w:rPr>
      </w:pPr>
      <w:r>
        <w:rPr>
          <w:i/>
          <w:iCs/>
        </w:rPr>
        <w:t>Create and conserve access records</w:t>
      </w:r>
    </w:p>
    <w:p w14:paraId="3229AB74" w14:textId="07D4E129" w:rsidR="00F92F51" w:rsidRDefault="00F92F51" w:rsidP="00F92F51">
      <w:pPr>
        <w:pStyle w:val="ListParagraph"/>
        <w:numPr>
          <w:ilvl w:val="0"/>
          <w:numId w:val="5"/>
        </w:numPr>
        <w:rPr>
          <w:i/>
          <w:iCs/>
        </w:rPr>
      </w:pPr>
      <w:r>
        <w:rPr>
          <w:i/>
          <w:iCs/>
        </w:rPr>
        <w:t>Scan and test for vulnerabilities</w:t>
      </w:r>
    </w:p>
    <w:p w14:paraId="3A46A1BA" w14:textId="5C1A8298" w:rsidR="00F92F51" w:rsidRDefault="00F92F51" w:rsidP="00F92F51">
      <w:pPr>
        <w:pStyle w:val="ListParagraph"/>
        <w:numPr>
          <w:ilvl w:val="0"/>
          <w:numId w:val="5"/>
        </w:numPr>
        <w:rPr>
          <w:i/>
          <w:iCs/>
        </w:rPr>
      </w:pPr>
      <w:r>
        <w:rPr>
          <w:i/>
          <w:iCs/>
        </w:rPr>
        <w:t>Document all policies</w:t>
      </w:r>
    </w:p>
    <w:p w14:paraId="0010ED0B" w14:textId="1742D48B" w:rsidR="0095618E" w:rsidRDefault="00003971" w:rsidP="0095618E">
      <w:r>
        <w:t xml:space="preserve">Overall, compliance requirements can be thought to fit into both technical </w:t>
      </w:r>
      <w:r w:rsidR="0023055F">
        <w:fldChar w:fldCharType="begin" w:fldLock="1"/>
      </w:r>
      <w:r w:rsidR="00CB774F">
        <w:instrText>ADDIN CSL_CITATION {"citationItems":[{"id":"ITEM-1","itemData":{"DOI":"10.12928/telkomnika.v9i2.709","ISSN":"2087278X","abstract":"Underpinned by the rise in online criminality, the payment card industry (PCI) data security standards (DSS) were introduced which outlines a subset of the core principals and requirements that must be followed, including precautions relating to the software that processes credit card data. The necessity to implement these requirements in existing software applications can present software owners and developers with a range of issues. We present here a generic solution to the sensitive issue of PCI compliance where aspect orientated programming (AOP) can be applied to meet the requirement of masking the primary account number (PAN). Our architecture allows a definite amount of code to be added which intercepts all the methods specified in the aspect, regardless of future additions to the system thus reducing the amount of work required to the maintain aspect. We believe that the concepts here will provide an insight into how to approach the PCI requirements to undertake the task. The software artefact should also serve as a guide to developers attempting to implement new applications, where security and design are fundamental elements that should be considered through each phase of the software development lifecycle and not as an afterthought. © 2011 Universitas Ahmad Dahlan.","author":[{"dropping-particle":"","family":"Bonner","given":"Enda","non-dropping-particle":"","parse-names":false,"suffix":""},{"dropping-particle":"","family":"O' Raw","given":"John","non-dropping-particle":"","parse-names":false,"suffix":""},{"dropping-particle":"","family":"Curran","given":"Kevin","non-dropping-particle":"","parse-names":false,"suffix":""}],"container-title":"Telkomnika","id":"ITEM-1","issue":"2","issued":{"date-parts":[["2011","8","1"]]},"page":"365-376","publisher":"Universitas Ahmad Dahlan","title":"Implementing the payment card industry (PCI) data security standard (DSS)","type":"article-journal","volume":"9"},"uris":["http://www.mendeley.com/documents/?uuid=8293df79-0a20-3885-ad3f-87de90cec3b9"]}],"mendeley":{"formattedCitation":"[21]","plainTextFormattedCitation":"[21]","previouslyFormattedCitation":"[21]"},"properties":{"noteIndex":0},"schema":"https://github.com/citation-style-language/schema/raw/master/csl-citation.json"}</w:instrText>
      </w:r>
      <w:r w:rsidR="0023055F">
        <w:fldChar w:fldCharType="separate"/>
      </w:r>
      <w:r w:rsidR="00CE49CC" w:rsidRPr="00CE49CC">
        <w:rPr>
          <w:noProof/>
        </w:rPr>
        <w:t>[21]</w:t>
      </w:r>
      <w:r w:rsidR="0023055F">
        <w:fldChar w:fldCharType="end"/>
      </w:r>
      <w:r w:rsidR="0023055F">
        <w:t xml:space="preserve"> </w:t>
      </w:r>
      <w:r>
        <w:t xml:space="preserve">and operational </w:t>
      </w:r>
      <w:r w:rsidR="0023055F">
        <w:fldChar w:fldCharType="begin" w:fldLock="1"/>
      </w:r>
      <w:r w:rsidR="00CB774F">
        <w:instrText>ADDIN CSL_CITATION {"citationItems":[{"id":"ITEM-1","itemData":{"abstract":"The payment card brands have a private regulatory system, the PCI DSS, that affects every entity worldwide that accepts, processes, stores or transmits credit card information. Participation is mandatory for companies to function in the modern economy, and the consequences of non-compliance can be harsh. A further complication is that the PCI DSS uses its own terminology, which can be confusing to a beginner. But there are also benefits to understanding PCI compliance, including to avoid the potentially harsh consequences, and the fact that PCI compliant entities have a stronger defensive posture against cyberattacks. Because of this, all organisations should know about and understand the PCI DSS, including how to implement and maintain compliance. This paper outlines the history and reason behind the PCI DSS and the broad requirements entities must follow to be compliant; provides an overview of the basic terminology and requirements, information on additional programmes that affect an entity’s PCI DSS compliance, a high-level view of compliance and information on its enforcement by the card brands, state legislation and the legal system; and offers some views from both critics and supporters of the current enforcement system.","author":[{"dropping-particle":"","family":"Wilson","given":"Donna","non-dropping-particle":"","parse-names":false,"suffix":""},{"dropping-particle":"","family":"Roman","given":"Ethan","non-dropping-particle":"","parse-names":false,"suffix":""},{"dropping-particle":"","family":"Beierly","given":"Ingrid","non-dropping-particle":"","parse-names":false,"suffix":""}],"container-title":"Cyber Security: A Peer-Reviewed Journal","id":"ITEM-1","issue":"1","issued":{"date-parts":[["2018"]]},"page":"73-82","title":"PCI DSS and card brands: Standards, compliance and enforcement","type":"article-journal","volume":"2"},"uris":["http://www.mendeley.com/documents/?uuid=52b1dda2-80e6-3815-b27b-62169e167f46"]}],"mendeley":{"formattedCitation":"[20]","plainTextFormattedCitation":"[20]","previouslyFormattedCitation":"[20]"},"properties":{"noteIndex":0},"schema":"https://github.com/citation-style-language/schema/raw/master/csl-citation.json"}</w:instrText>
      </w:r>
      <w:r w:rsidR="0023055F">
        <w:fldChar w:fldCharType="separate"/>
      </w:r>
      <w:r w:rsidR="00CE49CC" w:rsidRPr="00CE49CC">
        <w:rPr>
          <w:noProof/>
        </w:rPr>
        <w:t>[20]</w:t>
      </w:r>
      <w:r w:rsidR="0023055F">
        <w:fldChar w:fldCharType="end"/>
      </w:r>
      <w:r w:rsidR="0023055F">
        <w:t xml:space="preserve"> </w:t>
      </w:r>
      <w:r>
        <w:t xml:space="preserve">domains with various </w:t>
      </w:r>
      <w:r w:rsidR="00A33FCA">
        <w:t xml:space="preserve">cybersecurity </w:t>
      </w:r>
      <w:r>
        <w:t xml:space="preserve">specialists claiming some degree of complexity in ensuring compliance in both areas </w:t>
      </w:r>
      <w:r>
        <w:fldChar w:fldCharType="begin" w:fldLock="1"/>
      </w:r>
      <w:r w:rsidR="00CE49CC">
        <w:instrText>ADDIN CSL_CITATION {"citationItems":[{"id":"ITEM-1","itemData":{"DOI":"10.13140/RG.2.1.4982.9528","author":[{"dropping-particle":"","family":"Kenga","given":"Derdus","non-dropping-particle":"","parse-names":false,"suffix":""}],"id":"ITEM-1","issued":{"date-parts":[["2016"]]},"title":"A Survey of Challenges Facing PCI DSS Compliance in Cloud Environments","type":"report"},"uris":["http://www.mendeley.com/documents/?uuid=97f91bcb-a5be-3769-94a0-6875d63e8c54"]}],"mendeley":{"formattedCitation":"[22]","plainTextFormattedCitation":"[22]","previouslyFormattedCitation":"[22]"},"properties":{"noteIndex":0},"schema":"https://github.com/citation-style-language/schema/raw/master/csl-citation.json"}</w:instrText>
      </w:r>
      <w:r>
        <w:fldChar w:fldCharType="separate"/>
      </w:r>
      <w:r w:rsidR="0023055F" w:rsidRPr="0023055F">
        <w:rPr>
          <w:noProof/>
        </w:rPr>
        <w:t>[22]</w:t>
      </w:r>
      <w:r>
        <w:fldChar w:fldCharType="end"/>
      </w:r>
      <w:r>
        <w:fldChar w:fldCharType="begin" w:fldLock="1"/>
      </w:r>
      <w:r w:rsidR="00CE49CC">
        <w:instrText>ADDIN CSL_CITATION {"citationItems":[{"id":"ITEM-1","itemData":{"DOI":"10.1108/17579881011078359","ISSN":"17579880","abstract":"Purpose: The purpose of this paper is to explore the main barriers and key issues that the hotel industry professionals face during the Payment Card Industry Data Security Standards (PCI DSS) compliance process. This paper will help to understand weaknesses and gaps in the PCI compliance process within the hotel industry that will provide a foundation to develop strategies and methods to address those issues in the future. Design/methodology/approach: The paper presents an exploratory study using a two-stage design. The first stage of the study was designed utilizing the Delphi technique to identify the issues that take place in the PCI compliance process in hotels. After analyzing the results of the first stage of the study, a list of PCI issues was compiled and incorporated in the web hosted questionnaire. In total, 30 hotel executives participated in the second stage of the study providing their evaluation of the importance of the identified PCI compliance issues. Findings: A list of 20 PCI compliance issues that hotel executives face during the process was compiled as an outcome of the first stage of the study. The second stage of the study showed high-financial cost of implementing and maintaining, lack of qualified staff, inadequate staff training, ambiguous terms in PCI DSS language, and lack of vendors' support and compliance to be the top five issues in PCI compliance in hotels. Originality/value: The paper provides a useful insight into the issues that take place in the hotel industry during the PCI compliance process. This field has not been studied well in the literature. This paper presents the problems in PCI compliance that need to be addressed in order to make the process more efficient and effective. © Emerald Group Publishing Limited.","author":[{"dropping-particle":"","family":"Berezina","given":"Katerina","non-dropping-particle":"","parse-names":false,"suffix":""}],"container-title":"Journal of Hospitality and Tourism Technology","id":"ITEM-1","issue":"3","issued":{"date-parts":[["2010","10"]]},"page":"218-233","title":"Top issues in PCI DSS compliance in hotels: An exploratory study","type":"article-journal","volume":"1"},"uris":["http://www.mendeley.com/documents/?uuid=7de5221a-ffee-3006-bbe4-cfb0fb34ab3b"]}],"mendeley":{"formattedCitation":"[23]","plainTextFormattedCitation":"[23]","previouslyFormattedCitation":"[23]"},"properties":{"noteIndex":0},"schema":"https://github.com/citation-style-language/schema/raw/master/csl-citation.json"}</w:instrText>
      </w:r>
      <w:r>
        <w:fldChar w:fldCharType="separate"/>
      </w:r>
      <w:r w:rsidR="0023055F" w:rsidRPr="0023055F">
        <w:rPr>
          <w:noProof/>
        </w:rPr>
        <w:t>[23]</w:t>
      </w:r>
      <w:r>
        <w:fldChar w:fldCharType="end"/>
      </w:r>
      <w:r>
        <w:fldChar w:fldCharType="begin" w:fldLock="1"/>
      </w:r>
      <w:r w:rsidR="00CE49CC">
        <w:instrText>ADDIN CSL_CITATION {"citationItems":[{"id":"ITEM-1","itemData":{"DOI":"10.1109/SURV.2010.031810.00083","ISSN":"1553877X","abstract":"Usage of payment cards such as credit cards, debit cards, and prepaid cards, continues to grow. Security breaches related to payment cards have led to billion dollar losses annually. In order to offset this trend, major payment card networks have founded the Payment Card Industry (PCI) Security Standards Council (SSC), which has designed and released the PCI Data Security Standard (DSS). This standard guides service providers and merchants to implement stronger security infrastructures that reduce the risks of security breaches. This article mainly discusses the need for the PCI DSS and the data security requirements defined in the standard to address the ongoing security issues, especially those pertaining to payment card data handling. It also surveys various technical solutions, offered by a few security vendors, for merchant companies and organizations involved in payment card transaction processing to comply with the standard. The compliance of merchants or service providers to the PCI DSS are assessed by PCI Qualified Security Assessors (QSAs). This article thus discusses the requirements to become PCI QSAs. In addition, it introduces the PCI security scanning procedures that guide the scanning of security policies of a merchant or service provider and prepare relevant reports. We believe that this survey sheds light on potential technical research problems pertinent to the PCI DSS and its compliance. © 2005 IEEE.","author":[{"dropping-particle":"","family":"Liu","given":"Jing","non-dropping-particle":"","parse-names":false,"suffix":""},{"dropping-particle":"","family":"Xiao","given":"Yang","non-dropping-particle":"","parse-names":false,"suffix":""},{"dropping-particle":"","family":"Chen","given":"Hui","non-dropping-particle":"","parse-names":false,"suffix":""},{"dropping-particle":"","family":"Ozdemir","given":"Suat","non-dropping-particle":"","parse-names":false,"suffix":""},{"dropping-particle":"","family":"Dodle","given":"Srinivas","non-dropping-particle":"","parse-names":false,"suffix":""},{"dropping-particle":"","family":"Singh","given":"Vikas","non-dropping-particle":"","parse-names":false,"suffix":""}],"container-title":"IEEE Communications Surveys and Tutorials","id":"ITEM-1","issue":"3","issued":{"date-parts":[["2010","9"]]},"page":"287-303","title":"A survey of payment card industry data security standard","type":"article-journal","volume":"12"},"uris":["http://www.mendeley.com/documents/?uuid=9fb06f08-e106-3e80-abd0-4ed47baa6263"]}],"mendeley":{"formattedCitation":"[24]","plainTextFormattedCitation":"[24]","previouslyFormattedCitation":"[24]"},"properties":{"noteIndex":0},"schema":"https://github.com/citation-style-language/schema/raw/master/csl-citation.json"}</w:instrText>
      </w:r>
      <w:r>
        <w:fldChar w:fldCharType="separate"/>
      </w:r>
      <w:r w:rsidR="0023055F" w:rsidRPr="0023055F">
        <w:rPr>
          <w:noProof/>
        </w:rPr>
        <w:t>[24]</w:t>
      </w:r>
      <w:r>
        <w:fldChar w:fldCharType="end"/>
      </w:r>
      <w:r>
        <w:t>.</w:t>
      </w:r>
    </w:p>
    <w:p w14:paraId="00AE6770" w14:textId="6CBCFF3C" w:rsidR="00CB774F" w:rsidRDefault="00CB774F" w:rsidP="0095618E">
      <w:r>
        <w:lastRenderedPageBreak/>
        <w:t xml:space="preserve">Compliance is regulated on an annual basis where companies enforcing PCI DSS must follow testing procedures to ensure integrity of compliance and that each of the requirements defined by PCI DSS are maintained </w:t>
      </w:r>
      <w:r>
        <w:fldChar w:fldCharType="begin" w:fldLock="1"/>
      </w:r>
      <w:r>
        <w:instrText>ADDIN CSL_CITATION {"citationItems":[{"id":"ITEM-1","itemData":{"DOI":"10.12928/telkomnika.v9i2.709","ISSN":"2087278X","abstract":"Underpinned by the rise in online criminality, the payment card industry (PCI) data security standards (DSS) were introduced which outlines a subset of the core principals and requirements that must be followed, including precautions relating to the software that processes credit card data. The necessity to implement these requirements in existing software applications can present software owners and developers with a range of issues. We present here a generic solution to the sensitive issue of PCI compliance where aspect orientated programming (AOP) can be applied to meet the requirement of masking the primary account number (PAN). Our architecture allows a definite amount of code to be added which intercepts all the methods specified in the aspect, regardless of future additions to the system thus reducing the amount of work required to the maintain aspect. We believe that the concepts here will provide an insight into how to approach the PCI requirements to undertake the task. The software artefact should also serve as a guide to developers attempting to implement new applications, where security and design are fundamental elements that should be considered through each phase of the software development lifecycle and not as an afterthought. © 2011 Universitas Ahmad Dahlan.","author":[{"dropping-particle":"","family":"Bonner","given":"Enda","non-dropping-particle":"","parse-names":false,"suffix":""},{"dropping-particle":"","family":"O' Raw","given":"John","non-dropping-particle":"","parse-names":false,"suffix":""},{"dropping-particle":"","family":"Curran","given":"Kevin","non-dropping-particle":"","parse-names":false,"suffix":""}],"container-title":"Telkomnika","id":"ITEM-1","issue":"2","issued":{"date-parts":[["2011","8","1"]]},"page":"365-376","publisher":"Universitas Ahmad Dahlan","title":"Implementing the payment card industry (PCI) data security standard (DSS)","type":"article-journal","volume":"9"},"uris":["http://www.mendeley.com/documents/?uuid=8293df79-0a20-3885-ad3f-87de90cec3b9"]}],"mendeley":{"formattedCitation":"[21]","plainTextFormattedCitation":"[21]","previouslyFormattedCitation":"[21]"},"properties":{"noteIndex":0},"schema":"https://github.com/citation-style-language/schema/raw/master/csl-citation.json"}</w:instrText>
      </w:r>
      <w:r>
        <w:fldChar w:fldCharType="separate"/>
      </w:r>
      <w:r w:rsidRPr="00CB774F">
        <w:rPr>
          <w:noProof/>
        </w:rPr>
        <w:t>[21]</w:t>
      </w:r>
      <w:r>
        <w:fldChar w:fldCharType="end"/>
      </w:r>
      <w:r>
        <w:t>.</w:t>
      </w:r>
    </w:p>
    <w:p w14:paraId="29989EAE" w14:textId="3741885C" w:rsidR="00F56549" w:rsidRDefault="00F56549" w:rsidP="0095618E">
      <w:r>
        <w:t xml:space="preserve">The standard breaks compliance into four levels based on the annual amount of credit card transactions a </w:t>
      </w:r>
      <w:r w:rsidR="007343E8">
        <w:t>payment branch</w:t>
      </w:r>
      <w:r>
        <w:t xml:space="preserve"> processes.</w:t>
      </w:r>
    </w:p>
    <w:p w14:paraId="27C77BDD" w14:textId="77777777" w:rsidR="00F56549" w:rsidRDefault="00F56549" w:rsidP="00F56549">
      <w:pPr>
        <w:keepNext/>
        <w:jc w:val="center"/>
      </w:pPr>
      <w:r>
        <w:rPr>
          <w:noProof/>
        </w:rPr>
        <w:drawing>
          <wp:inline distT="0" distB="0" distL="0" distR="0" wp14:anchorId="68FF861A" wp14:editId="093EEFE0">
            <wp:extent cx="5429250" cy="2000250"/>
            <wp:effectExtent l="0" t="0" r="0"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429250" cy="2000250"/>
                    </a:xfrm>
                    <a:prstGeom prst="rect">
                      <a:avLst/>
                    </a:prstGeom>
                  </pic:spPr>
                </pic:pic>
              </a:graphicData>
            </a:graphic>
          </wp:inline>
        </w:drawing>
      </w:r>
    </w:p>
    <w:p w14:paraId="0D665854" w14:textId="6769751D" w:rsidR="00F56549" w:rsidRDefault="00F56549" w:rsidP="00F56549">
      <w:pPr>
        <w:pStyle w:val="Caption"/>
        <w:jc w:val="center"/>
      </w:pPr>
      <w:bookmarkStart w:id="15" w:name="_Toc60847204"/>
      <w:r>
        <w:t xml:space="preserve">Figure </w:t>
      </w:r>
      <w:r w:rsidR="00D1734C">
        <w:fldChar w:fldCharType="begin"/>
      </w:r>
      <w:r w:rsidR="00D1734C">
        <w:instrText xml:space="preserve"> SEQ Figure \* ARABIC </w:instrText>
      </w:r>
      <w:r w:rsidR="00D1734C">
        <w:fldChar w:fldCharType="separate"/>
      </w:r>
      <w:r w:rsidR="00D01396">
        <w:rPr>
          <w:noProof/>
        </w:rPr>
        <w:t>5</w:t>
      </w:r>
      <w:r w:rsidR="00D1734C">
        <w:rPr>
          <w:noProof/>
        </w:rPr>
        <w:fldChar w:fldCharType="end"/>
      </w:r>
      <w:r>
        <w:t xml:space="preserve"> - PCI DSS compliance levels</w:t>
      </w:r>
      <w:bookmarkEnd w:id="15"/>
    </w:p>
    <w:p w14:paraId="7BD754D3" w14:textId="588F6E33" w:rsidR="00F56549" w:rsidRDefault="00F56549" w:rsidP="00F56549">
      <w:pPr>
        <w:pStyle w:val="Caption"/>
        <w:jc w:val="center"/>
      </w:pPr>
      <w:r>
        <w:t xml:space="preserve">Source: Adapted from </w:t>
      </w:r>
      <w:r>
        <w:fldChar w:fldCharType="begin" w:fldLock="1"/>
      </w:r>
      <w:r w:rsidR="009E2185">
        <w:instrText>ADDIN CSL_CITATION {"citationItems":[{"id":"ITEM-1","itemData":{"URL":"https://www.imperva.com/learn/data-security/pci-dss-certification/","accessed":{"date-parts":[["2021","1","5"]]},"id":"ITEM-1","issued":{"date-parts":[["0"]]},"title":"What is PCI DSS | Compliance Levels, Certification &amp; Requirements | Imperva","type":"webpage"},"uris":["http://www.mendeley.com/documents/?uuid=b5d5504e-69d6-34f2-be43-e35136b8e9cb"]}],"mendeley":{"formattedCitation":"[25]","plainTextFormattedCitation":"[25]","previouslyFormattedCitation":"[25]"},"properties":{"noteIndex":0},"schema":"https://github.com/citation-style-language/schema/raw/master/csl-citation.json"}</w:instrText>
      </w:r>
      <w:r>
        <w:fldChar w:fldCharType="separate"/>
      </w:r>
      <w:r w:rsidRPr="00F56549">
        <w:rPr>
          <w:i w:val="0"/>
          <w:noProof/>
        </w:rPr>
        <w:t>[25]</w:t>
      </w:r>
      <w:r>
        <w:fldChar w:fldCharType="end"/>
      </w:r>
    </w:p>
    <w:p w14:paraId="7D47BCC4" w14:textId="507B6479" w:rsidR="00F56549" w:rsidRDefault="007343E8" w:rsidP="00F56549">
      <w:r>
        <w:t xml:space="preserve">Companies that do not enforce PCI DSS aren’t in breach of any laws, the framework clearly states itself as a standard that provides guidelines and best practices for protecting and securing credit card payment data. Penalties still apply to </w:t>
      </w:r>
      <w:r w:rsidR="00D32EE4" w:rsidRPr="00D32EE4">
        <w:t>acquire</w:t>
      </w:r>
      <w:r w:rsidR="00E80AB1">
        <w:t>r</w:t>
      </w:r>
      <w:r w:rsidR="00D32EE4" w:rsidRPr="00D32EE4">
        <w:t>s</w:t>
      </w:r>
      <w:r>
        <w:t xml:space="preserve"> if false or fraudulent transactions occur through payment brands. Furthermore, such circumstances also invoke breach of GDPR regulations where fines are dealt for processing such transactions </w:t>
      </w:r>
      <w:r w:rsidR="00E55B24">
        <w:fldChar w:fldCharType="begin" w:fldLock="1"/>
      </w:r>
      <w:r w:rsidR="00E20E89">
        <w:instrText>ADDIN CSL_CITATION {"citationItems":[{"id":"ITEM-1","itemData":{"DOI":"10.1109/BigData.2018.8622236","ISBN":"9781538650356","abstract":"Big data analytics related to consumer behavior, market analysis, opinions, and recommendation often deal with end user's derived and inferred data, along with the observed data. To ensure consumer data protection, rules defined by the European Union's General Data Protection Regulation (EU GDPR) must be adhered to by every organization using Personally Identifiable Information (PII) data for Big Data analysis. Similarly, Payment Card Industry Data Security Standard (PCI DSS) has policy guidelines specifically for organizations handling consumer's payment card data. Both data regulation policies are currently available only in textual format and require significant manual effort to ensure their compliance. We have developed an integrated, semantically rich Knowledge Graph (or Ontology) to represent the rules mandated by both PCI DSS and EU GDPR. In the Ontology, we have also identified the obligations defined in these regulations and related them with corresponding Cloud Security Alliance (CSA) controls. We have validated this Knowledge Graph against the data policies of major vendors that deal with Big Data. This Knowledge Graph that is available in the public domain can be used by Big Data practitioners to automate data protection compliance in their organization.","author":[{"dropping-particle":"","family":"Elluri","given":"Lavanya","non-dropping-particle":"","parse-names":false,"suffix":""},{"dropping-particle":"","family":"Nagar","given":"Ankur","non-dropping-particle":"","parse-names":false,"suffix":""},{"dropping-particle":"","family":"Joshi","given":"Karuna Pande","non-dropping-particle":"","parse-names":false,"suffix":""}],"container-title":"Proceedings - 2018 IEEE International Conference on Big Data, Big Data 2018","id":"ITEM-1","issued":{"date-parts":[["2019","1","22"]]},"page":"1266-1271","publisher":"Institute of Electrical and Electronics Engineers Inc.","title":"An Integrated Knowledge Graph to Automate GDPR and PCI DSS Compliance","type":"paper-conference"},"uris":["http://www.mendeley.com/documents/?uuid=65d89f37-de52-39b0-bcd5-4044deab9c48"]}],"mendeley":{"formattedCitation":"[26]","plainTextFormattedCitation":"[26]","previouslyFormattedCitation":"[26]"},"properties":{"noteIndex":0},"schema":"https://github.com/citation-style-language/schema/raw/master/csl-citation.json"}</w:instrText>
      </w:r>
      <w:r w:rsidR="00E55B24">
        <w:fldChar w:fldCharType="separate"/>
      </w:r>
      <w:r w:rsidR="00E55B24" w:rsidRPr="00E55B24">
        <w:rPr>
          <w:noProof/>
        </w:rPr>
        <w:t>[26]</w:t>
      </w:r>
      <w:r w:rsidR="00E55B24">
        <w:fldChar w:fldCharType="end"/>
      </w:r>
      <w:r>
        <w:t>.</w:t>
      </w:r>
    </w:p>
    <w:p w14:paraId="001C9FAC" w14:textId="48FE1732" w:rsidR="00061665" w:rsidRDefault="00E80AB1" w:rsidP="00F56549">
      <w:r>
        <w:t xml:space="preserve">Annual audits are carried out to ensure compliance is met by companies following PCI DSS guidelines. A 2018 survey conducted by </w:t>
      </w:r>
      <w:r>
        <w:rPr>
          <w:i/>
          <w:iCs/>
        </w:rPr>
        <w:t>Verizon</w:t>
      </w:r>
      <w:r>
        <w:t xml:space="preserve"> showed that at least 29% of companies were compliant after validation, articles document that some companies may consider themselves compliant but in actual fact aren’t </w:t>
      </w:r>
      <w:r w:rsidR="009E2185">
        <w:fldChar w:fldCharType="begin" w:fldLock="1"/>
      </w:r>
      <w:r w:rsidR="00E20E89">
        <w:instrText>ADDIN CSL_CITATION {"citationItems":[{"id":"ITEM-1","itemData":{"author":[{"dropping-particle":"","family":"Moldes","given":"Christian","non-dropping-particle":"","parse-names":false,"suffix":""}],"id":"ITEM-1","issued":{"date-parts":[["2015"]]},"title":"Compliant but not Secure: Why PCI-Certified Companies Are Being Breached","type":"report"},"uris":["http://www.mendeley.com/documents/?uuid=22720095-88c2-3954-b926-45da998f3c0a"]}],"mendeley":{"formattedCitation":"[27]","plainTextFormattedCitation":"[27]","previouslyFormattedCitation":"[27]"},"properties":{"noteIndex":0},"schema":"https://github.com/citation-style-language/schema/raw/master/csl-citation.json"}</w:instrText>
      </w:r>
      <w:r w:rsidR="009E2185">
        <w:fldChar w:fldCharType="separate"/>
      </w:r>
      <w:r w:rsidR="00E55B24" w:rsidRPr="00E55B24">
        <w:rPr>
          <w:noProof/>
        </w:rPr>
        <w:t>[27]</w:t>
      </w:r>
      <w:r w:rsidR="009E2185">
        <w:fldChar w:fldCharType="end"/>
      </w:r>
      <w:r>
        <w:t>.</w:t>
      </w:r>
    </w:p>
    <w:p w14:paraId="0DC0CF7D" w14:textId="42DA2DA5" w:rsidR="00061665" w:rsidRPr="00F56549" w:rsidRDefault="00061665" w:rsidP="00F56549">
      <w:r>
        <w:t>In comparison to NIST CSF, PCI DSS is a more compact framework that focuses on the security of credit card payment data. Many companies utilize both frameworks to align with business needs as PCI DSS requirements are targeted towards specifications tailored for the security of financial data whereas NIST offers a security framework on a much broader scale.</w:t>
      </w:r>
    </w:p>
    <w:p w14:paraId="390904F4" w14:textId="136EEC89" w:rsidR="00CB7FC8" w:rsidRDefault="001C58F2" w:rsidP="00CB7FC8">
      <w:pPr>
        <w:pStyle w:val="Heading2"/>
        <w:numPr>
          <w:ilvl w:val="1"/>
          <w:numId w:val="1"/>
        </w:numPr>
      </w:pPr>
      <w:bookmarkStart w:id="16" w:name="_Toc60925826"/>
      <w:r>
        <w:t>ISO 27001</w:t>
      </w:r>
      <w:bookmarkEnd w:id="16"/>
    </w:p>
    <w:p w14:paraId="0D404A12" w14:textId="46249E81" w:rsidR="009C77F8" w:rsidRDefault="003854C2" w:rsidP="00E84389">
      <w:pPr>
        <w:ind w:firstLine="360"/>
      </w:pPr>
      <w:r>
        <w:t xml:space="preserve">Similar to the NIST CSF, ISO 27001 is a framework that provides guidelines for implementing security within operational processes, information technology and communications, physical security within an organization and compliance with laws and regulations </w:t>
      </w:r>
      <w:r w:rsidR="00A11810">
        <w:fldChar w:fldCharType="begin" w:fldLock="1"/>
      </w:r>
      <w:r w:rsidR="00E20E89">
        <w:instrText>ADDIN CSL_CITATION {"citationItems":[{"id":"ITEM-1","itemData":{"author":[{"dropping-particle":"","family":"Lopes","given":"Isabel Maria","non-dropping-particle":"","parse-names":false,"suffix":""},{"dropping-particle":"","family":"Guarda","given":"Teresa","non-dropping-particle":"","parse-names":false,"suffix":""},{"dropping-particle":"","family":"Oliveira","given":"Pedro","non-dropping-particle":"","parse-names":false,"suffix":""}],"container-title":"Journal of Information Systems Engineering &amp; Management","id":"ITEM-1","issue":"2","issued":{"date-parts":[["2019"]]},"page":"1-8","title":"Implementation of ISO 27001 Standards as GDPR Compliance Facilitator","type":"article-journal","volume":"4"},"uris":["http://www.mendeley.com/documents/?uuid=281e0292-6178-3e8a-bb88-33d8f35eeb8e"]}],"mendeley":{"formattedCitation":"[28]","plainTextFormattedCitation":"[28]","previouslyFormattedCitation":"[28]"},"properties":{"noteIndex":0},"schema":"https://github.com/citation-style-language/schema/raw/master/csl-citation.json"}</w:instrText>
      </w:r>
      <w:r w:rsidR="00A11810">
        <w:fldChar w:fldCharType="separate"/>
      </w:r>
      <w:r w:rsidR="00E55B24" w:rsidRPr="00E55B24">
        <w:rPr>
          <w:noProof/>
        </w:rPr>
        <w:t>[28]</w:t>
      </w:r>
      <w:r w:rsidR="00A11810">
        <w:fldChar w:fldCharType="end"/>
      </w:r>
      <w:r>
        <w:t>.</w:t>
      </w:r>
    </w:p>
    <w:p w14:paraId="314FE335" w14:textId="2C6924F7" w:rsidR="003854C2" w:rsidRDefault="003854C2" w:rsidP="009C77F8">
      <w:r>
        <w:t xml:space="preserve">ISO 20071 can be implemented within small or large organizations within various sectors. </w:t>
      </w:r>
      <w:r w:rsidR="00BE7D00">
        <w:t xml:space="preserve">Whilst NIST </w:t>
      </w:r>
      <w:r w:rsidR="00701975">
        <w:t xml:space="preserve">can also be utilized within companies of various sizes, NIST leans towards </w:t>
      </w:r>
      <w:r w:rsidR="00BE7D00">
        <w:t>providing security measures for federal organizations</w:t>
      </w:r>
      <w:r w:rsidR="00701975">
        <w:t xml:space="preserve"> (see </w:t>
      </w:r>
      <w:r w:rsidR="00701975">
        <w:fldChar w:fldCharType="begin"/>
      </w:r>
      <w:r w:rsidR="00701975">
        <w:instrText xml:space="preserve"> REF _Ref60842025 \h </w:instrText>
      </w:r>
      <w:r w:rsidR="00701975">
        <w:fldChar w:fldCharType="separate"/>
      </w:r>
      <w:r w:rsidR="00701975">
        <w:t>NIST</w:t>
      </w:r>
      <w:r w:rsidR="00701975">
        <w:fldChar w:fldCharType="end"/>
      </w:r>
      <w:r w:rsidR="00701975">
        <w:t>).</w:t>
      </w:r>
      <w:r w:rsidR="00BE7D00">
        <w:t xml:space="preserve"> ISO 20071 targets risk management through a less technical approach</w:t>
      </w:r>
      <w:r w:rsidR="00701975">
        <w:t xml:space="preserve"> aimed at companies in any sector.</w:t>
      </w:r>
      <w:r w:rsidR="00BE7D00">
        <w:t xml:space="preserve"> </w:t>
      </w:r>
      <w:r w:rsidR="00701975">
        <w:t>B</w:t>
      </w:r>
      <w:r w:rsidR="00BE7D00">
        <w:t>oth frameworks can</w:t>
      </w:r>
      <w:r w:rsidR="00701975">
        <w:t xml:space="preserve"> still</w:t>
      </w:r>
      <w:r w:rsidR="00BE7D00">
        <w:t xml:space="preserve"> be used together to </w:t>
      </w:r>
      <w:r w:rsidR="00701975">
        <w:t xml:space="preserve">be </w:t>
      </w:r>
      <w:r w:rsidR="00BE7D00">
        <w:t>combine</w:t>
      </w:r>
      <w:r w:rsidR="00701975">
        <w:t>d</w:t>
      </w:r>
      <w:r w:rsidR="00BE7D00">
        <w:t xml:space="preserve"> into a single and robust</w:t>
      </w:r>
      <w:r w:rsidR="00701975">
        <w:t xml:space="preserve"> security</w:t>
      </w:r>
      <w:r w:rsidR="00BE7D00">
        <w:t xml:space="preserve"> framework </w:t>
      </w:r>
      <w:r w:rsidR="00701975">
        <w:t xml:space="preserve">that </w:t>
      </w:r>
      <w:r w:rsidR="00BE7D00">
        <w:t>meet</w:t>
      </w:r>
      <w:r w:rsidR="00701975">
        <w:t>s</w:t>
      </w:r>
      <w:r w:rsidR="00BE7D00">
        <w:t xml:space="preserve"> organizational needs</w:t>
      </w:r>
      <w:r w:rsidR="00305635">
        <w:t xml:space="preserve"> </w:t>
      </w:r>
      <w:r w:rsidR="00A11810">
        <w:fldChar w:fldCharType="begin" w:fldLock="1"/>
      </w:r>
      <w:r w:rsidR="00E20E89">
        <w:instrText>ADDIN CSL_CITATION {"citationItems":[{"id":"ITEM-1","itemData":{"DOI":"10.1109/NCETSTEA48365.2020.9119914","ISBN":"9781728143620","abstract":"This paper provides a high-level comparison between the National Institute of Standards and Technology's (NIST) Cyber Security Framework and the ISO 27001 Information Security Standard. Pros, cons and the advantages each framework holds over the other and how an organization would select an appropriate framework between CSF and ISO 27001 have been discussed along with a detailed comparison of how major security controls framework/guidelines like NIST SP 800-53, CIS Top-20 and ISO 27002 can be mapped back to each.","author":[{"dropping-particle":"","family":"Roy","given":"Prameet P.","non-dropping-particle":"","parse-names":false,"suffix":""}],"container-title":"2020 National Conference on Emerging Trends on Sustainable Technology and Engineering Applications, NCETSTEA 2020","id":"ITEM-1","issued":{"date-parts":[["2020","2","1"]]},"publisher":"Institute of Electrical and Electronics Engineers Inc.","title":"A High-Level Comparison between the NIST Cyber Security Framework and the ISO 27001 Information Security Standard","type":"paper-conference"},"uris":["http://www.mendeley.com/documents/?uuid=b77771c3-e525-3c02-953b-ea2ea30787e2"]}],"mendeley":{"formattedCitation":"[29]","plainTextFormattedCitation":"[29]","previouslyFormattedCitation":"[29]"},"properties":{"noteIndex":0},"schema":"https://github.com/citation-style-language/schema/raw/master/csl-citation.json"}</w:instrText>
      </w:r>
      <w:r w:rsidR="00A11810">
        <w:fldChar w:fldCharType="separate"/>
      </w:r>
      <w:r w:rsidR="00E55B24" w:rsidRPr="00E55B24">
        <w:rPr>
          <w:noProof/>
        </w:rPr>
        <w:t>[29]</w:t>
      </w:r>
      <w:r w:rsidR="00A11810">
        <w:fldChar w:fldCharType="end"/>
      </w:r>
      <w:r w:rsidR="00BE7D00">
        <w:t>.</w:t>
      </w:r>
    </w:p>
    <w:p w14:paraId="240E44AB" w14:textId="1D9215C3" w:rsidR="00026D76" w:rsidRDefault="00026D76" w:rsidP="009C77F8">
      <w:r>
        <w:t>According to most literature ISO 27001 is an</w:t>
      </w:r>
      <w:r w:rsidR="0083026E">
        <w:t xml:space="preserve"> accepted</w:t>
      </w:r>
      <w:r>
        <w:t xml:space="preserve"> industry-standard in </w:t>
      </w:r>
      <w:r>
        <w:rPr>
          <w:i/>
          <w:iCs/>
        </w:rPr>
        <w:t xml:space="preserve">ISMS’s (Information Security Management Systems) </w:t>
      </w:r>
      <w:r>
        <w:rPr>
          <w:i/>
          <w:iCs/>
        </w:rPr>
        <w:fldChar w:fldCharType="begin" w:fldLock="1"/>
      </w:r>
      <w:r w:rsidR="00E20E89">
        <w:rPr>
          <w:i/>
          <w:iCs/>
        </w:rPr>
        <w:instrText>ADDIN CSL_CITATION {"citationItems":[{"id":"ITEM-1","itemData":{"ISSN":"2454-6143","abstract":"This Information is one of the most important assets of the company. Protecting information requires a broad range of controls. Organizations should make sure that they are covering the full range of controls needed to protect the confidentiality, integrity, and availability of business information from the full range of threats. ISO/IEC 27001:2013 is one of the leading standards of information security. It is the code of practice including 114 controls in 14 different domains. This research was conducted to find out the level of information security in the Yemeni Academy for graduate studies (YAGS) regarding the compliance of implementation of this standard. The results showed maturity level of information security in the YAGS is at level 2. The value of the gap between the value of the maturity level of the current and expected level of maturity value is 3.19. This mains that many control weaknesses exist, related security policies and procedures should be developed and security management system and culture should be implemented. The detailed results of benchmarking based on the ISO27001 standard, the method used to measure the maturity level for each security control domain, and the improvement recommendations are presented.","author":[{"dropping-particle":"","family":"Nasser","given":"Adel","non-dropping-particle":"","parse-names":false,"suffix":""},{"dropping-particle":"","family":"Nasser","given":"A A","non-dropping-particle":"","parse-names":false,"suffix":""}],"container-title":"International Journal of Scientific Research in Multidisciplinary Studies","id":"ITEM-1","issue":"11","issued":{"date-parts":[["2017"]]},"page":"4-13","title":"Information security gap analysis based on ISO 27001: 2013 standard: A case study of the Yemeni Academy for Graduate Studies, Sana'a, Yemen","type":"article-journal","volume":"3"},"uris":["http://www.mendeley.com/documents/?uuid=a69ba998-14a7-3f22-b4bc-087b4b89c0cf"]}],"mendeley":{"formattedCitation":"[30]","plainTextFormattedCitation":"[30]","previouslyFormattedCitation":"[30]"},"properties":{"noteIndex":0},"schema":"https://github.com/citation-style-language/schema/raw/master/csl-citation.json"}</w:instrText>
      </w:r>
      <w:r>
        <w:rPr>
          <w:i/>
          <w:iCs/>
        </w:rPr>
        <w:fldChar w:fldCharType="separate"/>
      </w:r>
      <w:r w:rsidR="00E55B24" w:rsidRPr="00E55B24">
        <w:rPr>
          <w:iCs/>
          <w:noProof/>
        </w:rPr>
        <w:t>[30]</w:t>
      </w:r>
      <w:r>
        <w:rPr>
          <w:i/>
          <w:iCs/>
        </w:rPr>
        <w:fldChar w:fldCharType="end"/>
      </w:r>
      <w:r>
        <w:rPr>
          <w:i/>
          <w:iCs/>
        </w:rPr>
        <w:fldChar w:fldCharType="begin" w:fldLock="1"/>
      </w:r>
      <w:r w:rsidR="00E20E89">
        <w:rPr>
          <w:i/>
          <w:iCs/>
        </w:rPr>
        <w:instrText>ADDIN CSL_CITATION {"citationItems":[{"id":"ITEM-1","itemData":{"DOI":"10.1080/10658980701746478","ISSN":"1065898X","abstract":"The only truly secure system is one that is powered off, cast in a block of concrete and sealed in a lead-lined room with armed guards—and even then I have my doubts. Gene Spafford, Professor of Computer Science, Purdue University. © 2007 Taylor &amp; Francis.","author":[{"dropping-particle":"","family":"Freeman","given":"Edward H.","non-dropping-particle":"","parse-names":false,"suffix":""}],"container-title":"Information Systems Security","id":"ITEM-1","issue":"5","issued":{"date-parts":[["2007"]]},"page":"291-294","title":"Holistic information security: ISO 27001 and due care","type":"article-journal","volume":"16"},"uris":["http://www.mendeley.com/documents/?uuid=2109635b-d5b1-3c32-8a7e-e15a6aa9e441"]}],"mendeley":{"formattedCitation":"[31]","plainTextFormattedCitation":"[31]","previouslyFormattedCitation":"[31]"},"properties":{"noteIndex":0},"schema":"https://github.com/citation-style-language/schema/raw/master/csl-citation.json"}</w:instrText>
      </w:r>
      <w:r>
        <w:rPr>
          <w:i/>
          <w:iCs/>
        </w:rPr>
        <w:fldChar w:fldCharType="separate"/>
      </w:r>
      <w:r w:rsidR="00E55B24" w:rsidRPr="00E55B24">
        <w:rPr>
          <w:iCs/>
          <w:noProof/>
        </w:rPr>
        <w:t>[31]</w:t>
      </w:r>
      <w:r>
        <w:rPr>
          <w:i/>
          <w:iCs/>
        </w:rPr>
        <w:fldChar w:fldCharType="end"/>
      </w:r>
      <w:r>
        <w:rPr>
          <w:i/>
          <w:iCs/>
        </w:rPr>
        <w:fldChar w:fldCharType="begin" w:fldLock="1"/>
      </w:r>
      <w:r w:rsidR="00E20E89">
        <w:rPr>
          <w:i/>
          <w:iCs/>
        </w:rPr>
        <w:instrText>ADDIN CSL_CITATION {"citationItems":[{"id":"ITEM-1","itemData":{"DOI":"10.4236/jis.2013.42011","ISSN":"2153-1234","abstract":"With the increasing significance of information technology, there is an urgent need for adequate measures of informa-tion security. Systematic information security management is one of most important initiatives for IT management. At least since reports about privacy and security breaches, fraudulent accounting practices, and attacks on IT systems ap-peared in public, organizations have recognized their responsibilities to safeguard physical and information assets. Se-curity standards can be used as guideline or framework to develop and maintain an adequate information security man-agement system (ISMS). The standards ISO/IEC 27000, 27001 and 27002 are international standards that are receiving growing recognition and adoption. They are referred to as \" common language of organizations around the world \" for information security [1]. With ISO/IEC 27001 companies can have their ISMS certified by a third-party organization and thus show their customers evidence of their security measures.","author":[{"dropping-particle":"","family":"Disterer","given":"Georg","non-dropping-particle":"","parse-names":false,"suffix":""}],"container-title":"Journal of Information Security","id":"ITEM-1","issue":"02","issued":{"date-parts":[["2013","4","23"]]},"page":"92-100","publisher":"Scientific Research Publishing, Inc,","title":"ISO/IEC 27000, 27001 and 27002 for Information Security Management","type":"article-journal","volume":"04"},"uris":["http://www.mendeley.com/documents/?uuid=1a23255a-f934-3f39-9056-323c2f68a9bd"]}],"mendeley":{"formattedCitation":"[32]","plainTextFormattedCitation":"[32]","previouslyFormattedCitation":"[32]"},"properties":{"noteIndex":0},"schema":"https://github.com/citation-style-language/schema/raw/master/csl-citation.json"}</w:instrText>
      </w:r>
      <w:r>
        <w:rPr>
          <w:i/>
          <w:iCs/>
        </w:rPr>
        <w:fldChar w:fldCharType="separate"/>
      </w:r>
      <w:r w:rsidR="00E55B24" w:rsidRPr="00E55B24">
        <w:rPr>
          <w:iCs/>
          <w:noProof/>
        </w:rPr>
        <w:t>[32]</w:t>
      </w:r>
      <w:r>
        <w:rPr>
          <w:i/>
          <w:iCs/>
        </w:rPr>
        <w:fldChar w:fldCharType="end"/>
      </w:r>
      <w:r>
        <w:rPr>
          <w:i/>
          <w:iCs/>
        </w:rPr>
        <w:fldChar w:fldCharType="begin" w:fldLock="1"/>
      </w:r>
      <w:r w:rsidR="00E20E89">
        <w:rPr>
          <w:i/>
          <w:iCs/>
        </w:rPr>
        <w:instrText>ADDIN CSL_CITATION {"citationItems":[{"id":"ITEM-1","itemData":{"abstract":"This work describes the initial steps taken toward the development of an Information Security Management System for the UAE e-government. To achieve this goal it was decided to obtain the ISO 27001 certification, which is the leading standard in information security. Gap analysis was performed on four selected organisations within the UAE e-government to determine their compliance against the ISO 27001 standards. This process will help identify the weakness in the existing system and highlight the any associated risks to the UAE e-government. In this paper a Management, Technical and Operational (MTO) model is presented. This model gives greater focus and provides a framework which is more aligned to the organisations structure and responsibilities. The results of benchmarking based on the ISO27001 standard, and the method used to measure the maturity level for each security control domain are presented.","author":[{"dropping-particle":"","family":"Al-Mayahi","given":"Ibrahim","non-dropping-particle":"","parse-names":false,"suffix":""},{"dropping-particle":"","family":"Mansoor","given":"ad P","non-dropping-particle":"","parse-names":false,"suffix":""}],"id":"ITEM-1","issued":{"date-parts":[["0"]]},"title":"ISO 27001 Gap Analysis-Case Study","type":"report"},"uris":["http://www.mendeley.com/documents/?uuid=12a3baec-481b-3361-8dea-8a5aefe29c1f"]}],"mendeley":{"formattedCitation":"[33]","plainTextFormattedCitation":"[33]","previouslyFormattedCitation":"[33]"},"properties":{"noteIndex":0},"schema":"https://github.com/citation-style-language/schema/raw/master/csl-citation.json"}</w:instrText>
      </w:r>
      <w:r>
        <w:rPr>
          <w:i/>
          <w:iCs/>
        </w:rPr>
        <w:fldChar w:fldCharType="separate"/>
      </w:r>
      <w:r w:rsidR="00E55B24" w:rsidRPr="00E55B24">
        <w:rPr>
          <w:iCs/>
          <w:noProof/>
        </w:rPr>
        <w:t>[33]</w:t>
      </w:r>
      <w:r>
        <w:rPr>
          <w:i/>
          <w:iCs/>
        </w:rPr>
        <w:fldChar w:fldCharType="end"/>
      </w:r>
      <w:r>
        <w:t xml:space="preserve">. </w:t>
      </w:r>
      <w:r w:rsidR="00135102">
        <w:t xml:space="preserve">In order for a company to be ISO 27001 compliant </w:t>
      </w:r>
      <w:r w:rsidR="00135102">
        <w:lastRenderedPageBreak/>
        <w:t xml:space="preserve">there are mandatory requirements that must be implemented. These requirements are described through clauses 4-10 within the ISO 27001 documentation </w:t>
      </w:r>
      <w:r w:rsidR="00596F7A">
        <w:fldChar w:fldCharType="begin" w:fldLock="1"/>
      </w:r>
      <w:r w:rsidR="00E20E89">
        <w:instrText>ADDIN CSL_CITATION {"citationItems":[{"id":"ITEM-1","itemData":{"author":[{"dropping-particle":"","family":"Lopes","given":"Isabel Maria","non-dropping-particle":"","parse-names":false,"suffix":""},{"dropping-particle":"","family":"Guarda","given":"Teresa","non-dropping-particle":"","parse-names":false,"suffix":""},{"dropping-particle":"","family":"Oliveira","given":"Pedro","non-dropping-particle":"","parse-names":false,"suffix":""}],"container-title":"Journal of Information Systems Engineering &amp; Management","id":"ITEM-1","issue":"2","issued":{"date-parts":[["2019"]]},"page":"1-8","title":"Implementation of ISO 27001 Standards as GDPR Compliance Facilitator","type":"article-journal","volume":"4"},"uris":["http://www.mendeley.com/documents/?uuid=281e0292-6178-3e8a-bb88-33d8f35eeb8e"]}],"mendeley":{"formattedCitation":"[28]","plainTextFormattedCitation":"[28]","previouslyFormattedCitation":"[28]"},"properties":{"noteIndex":0},"schema":"https://github.com/citation-style-language/schema/raw/master/csl-citation.json"}</w:instrText>
      </w:r>
      <w:r w:rsidR="00596F7A">
        <w:fldChar w:fldCharType="separate"/>
      </w:r>
      <w:r w:rsidR="00E55B24" w:rsidRPr="00E55B24">
        <w:rPr>
          <w:noProof/>
        </w:rPr>
        <w:t>[28]</w:t>
      </w:r>
      <w:r w:rsidR="00596F7A">
        <w:fldChar w:fldCharType="end"/>
      </w:r>
      <w:r w:rsidR="00135102">
        <w:t>:</w:t>
      </w:r>
    </w:p>
    <w:p w14:paraId="414792E3" w14:textId="0786835E" w:rsidR="00135102" w:rsidRPr="00135102" w:rsidRDefault="00135102" w:rsidP="00135102">
      <w:pPr>
        <w:pStyle w:val="ListParagraph"/>
        <w:numPr>
          <w:ilvl w:val="0"/>
          <w:numId w:val="6"/>
        </w:numPr>
      </w:pPr>
      <w:r>
        <w:t xml:space="preserve">Clause 4 – </w:t>
      </w:r>
      <w:r>
        <w:rPr>
          <w:i/>
          <w:iCs/>
        </w:rPr>
        <w:t>Context of the organization</w:t>
      </w:r>
    </w:p>
    <w:p w14:paraId="4E6A5250" w14:textId="55BE12E8" w:rsidR="00135102" w:rsidRPr="00135102" w:rsidRDefault="00135102" w:rsidP="00135102">
      <w:pPr>
        <w:pStyle w:val="ListParagraph"/>
        <w:numPr>
          <w:ilvl w:val="0"/>
          <w:numId w:val="6"/>
        </w:numPr>
      </w:pPr>
      <w:r>
        <w:t xml:space="preserve">Clause 5 – </w:t>
      </w:r>
      <w:r>
        <w:rPr>
          <w:i/>
          <w:iCs/>
        </w:rPr>
        <w:t>Leadership</w:t>
      </w:r>
    </w:p>
    <w:p w14:paraId="3F777899" w14:textId="0A1EDC21" w:rsidR="00135102" w:rsidRPr="00135102" w:rsidRDefault="00135102" w:rsidP="00135102">
      <w:pPr>
        <w:pStyle w:val="ListParagraph"/>
        <w:numPr>
          <w:ilvl w:val="0"/>
          <w:numId w:val="6"/>
        </w:numPr>
      </w:pPr>
      <w:r>
        <w:t xml:space="preserve">Clause 6 – </w:t>
      </w:r>
      <w:r>
        <w:rPr>
          <w:i/>
          <w:iCs/>
        </w:rPr>
        <w:t>Planning</w:t>
      </w:r>
    </w:p>
    <w:p w14:paraId="1703C606" w14:textId="58EC9734" w:rsidR="00135102" w:rsidRPr="00135102" w:rsidRDefault="00135102" w:rsidP="00135102">
      <w:pPr>
        <w:pStyle w:val="ListParagraph"/>
        <w:numPr>
          <w:ilvl w:val="0"/>
          <w:numId w:val="6"/>
        </w:numPr>
      </w:pPr>
      <w:r>
        <w:t xml:space="preserve">Clause 7 – </w:t>
      </w:r>
      <w:r>
        <w:rPr>
          <w:i/>
          <w:iCs/>
        </w:rPr>
        <w:t>Support</w:t>
      </w:r>
    </w:p>
    <w:p w14:paraId="37F79132" w14:textId="74676004" w:rsidR="00135102" w:rsidRDefault="00135102" w:rsidP="00135102">
      <w:pPr>
        <w:pStyle w:val="ListParagraph"/>
        <w:numPr>
          <w:ilvl w:val="0"/>
          <w:numId w:val="6"/>
        </w:numPr>
      </w:pPr>
      <w:r>
        <w:t xml:space="preserve">Clause 8 – </w:t>
      </w:r>
      <w:r>
        <w:rPr>
          <w:i/>
          <w:iCs/>
        </w:rPr>
        <w:t>Operation</w:t>
      </w:r>
    </w:p>
    <w:p w14:paraId="28782A3A" w14:textId="7A083669" w:rsidR="00135102" w:rsidRPr="00135102" w:rsidRDefault="00135102" w:rsidP="00135102">
      <w:pPr>
        <w:pStyle w:val="ListParagraph"/>
        <w:numPr>
          <w:ilvl w:val="0"/>
          <w:numId w:val="6"/>
        </w:numPr>
      </w:pPr>
      <w:r>
        <w:t xml:space="preserve">Clause 9 – </w:t>
      </w:r>
      <w:r>
        <w:rPr>
          <w:i/>
          <w:iCs/>
        </w:rPr>
        <w:t>Performance evaluation</w:t>
      </w:r>
    </w:p>
    <w:p w14:paraId="31EDAD9C" w14:textId="6464FCAB" w:rsidR="00E20E89" w:rsidRPr="00135102" w:rsidRDefault="00135102" w:rsidP="00E20E89">
      <w:pPr>
        <w:pStyle w:val="ListParagraph"/>
        <w:numPr>
          <w:ilvl w:val="0"/>
          <w:numId w:val="6"/>
        </w:numPr>
      </w:pPr>
      <w:r>
        <w:t xml:space="preserve">Clause 10 </w:t>
      </w:r>
      <w:r w:rsidR="00E20E89">
        <w:t>–</w:t>
      </w:r>
      <w:r>
        <w:t xml:space="preserve"> </w:t>
      </w:r>
      <w:r>
        <w:rPr>
          <w:i/>
          <w:iCs/>
        </w:rPr>
        <w:t>Improvement</w:t>
      </w:r>
    </w:p>
    <w:p w14:paraId="19410651" w14:textId="113E2296" w:rsidR="00135102" w:rsidRDefault="00701975" w:rsidP="00135102">
      <w:r>
        <w:t xml:space="preserve">Each requirement outlines the steps </w:t>
      </w:r>
      <w:r w:rsidR="0083026E">
        <w:t>that need to be performed</w:t>
      </w:r>
      <w:r>
        <w:t xml:space="preserve"> to be</w:t>
      </w:r>
      <w:r w:rsidR="0083026E">
        <w:t xml:space="preserve"> ISO 27001</w:t>
      </w:r>
      <w:r>
        <w:t xml:space="preserve"> compliant</w:t>
      </w:r>
      <w:r w:rsidR="0083026E">
        <w:t xml:space="preserve"> </w:t>
      </w:r>
      <w:r>
        <w:t xml:space="preserve">and describes objectives that provide </w:t>
      </w:r>
      <w:r w:rsidR="0083026E">
        <w:t xml:space="preserve">a professional approach to recognizing </w:t>
      </w:r>
      <w:r w:rsidR="001B6A39">
        <w:t>the measures that need to be met to implement an ISMS.</w:t>
      </w:r>
    </w:p>
    <w:p w14:paraId="75975C08" w14:textId="77777777" w:rsidR="00E20E89" w:rsidRDefault="00E20E89" w:rsidP="00E20E89">
      <w:pPr>
        <w:keepNext/>
      </w:pPr>
      <w:r>
        <w:rPr>
          <w:noProof/>
        </w:rPr>
        <w:drawing>
          <wp:inline distT="0" distB="0" distL="0" distR="0" wp14:anchorId="561E85A4" wp14:editId="769372B3">
            <wp:extent cx="5746750" cy="3608705"/>
            <wp:effectExtent l="0" t="0" r="6350" b="0"/>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46750" cy="3608705"/>
                    </a:xfrm>
                    <a:prstGeom prst="rect">
                      <a:avLst/>
                    </a:prstGeom>
                  </pic:spPr>
                </pic:pic>
              </a:graphicData>
            </a:graphic>
          </wp:inline>
        </w:drawing>
      </w:r>
    </w:p>
    <w:p w14:paraId="17C18EA4" w14:textId="20879009" w:rsidR="00E20E89" w:rsidRDefault="00E20E89" w:rsidP="00E20E89">
      <w:pPr>
        <w:pStyle w:val="Caption"/>
        <w:jc w:val="center"/>
      </w:pPr>
      <w:bookmarkStart w:id="17" w:name="_Toc60847205"/>
      <w:r>
        <w:t xml:space="preserve">Figure </w:t>
      </w:r>
      <w:r w:rsidR="00D1734C">
        <w:fldChar w:fldCharType="begin"/>
      </w:r>
      <w:r w:rsidR="00D1734C">
        <w:instrText xml:space="preserve"> SEQ Figure \* ARABIC </w:instrText>
      </w:r>
      <w:r w:rsidR="00D1734C">
        <w:fldChar w:fldCharType="separate"/>
      </w:r>
      <w:r w:rsidR="00D01396">
        <w:rPr>
          <w:noProof/>
        </w:rPr>
        <w:t>6</w:t>
      </w:r>
      <w:r w:rsidR="00D1734C">
        <w:rPr>
          <w:noProof/>
        </w:rPr>
        <w:fldChar w:fldCharType="end"/>
      </w:r>
      <w:r>
        <w:t xml:space="preserve"> - ISO 27001 requirements</w:t>
      </w:r>
      <w:bookmarkEnd w:id="17"/>
    </w:p>
    <w:p w14:paraId="332E14D9" w14:textId="58CF4DD1" w:rsidR="00E20E89" w:rsidRPr="00E20E89" w:rsidRDefault="00E20E89" w:rsidP="00E20E89">
      <w:pPr>
        <w:pStyle w:val="Caption"/>
        <w:jc w:val="center"/>
      </w:pPr>
      <w:r>
        <w:t xml:space="preserve">Source: Adapted from </w:t>
      </w:r>
      <w:r>
        <w:fldChar w:fldCharType="begin" w:fldLock="1"/>
      </w:r>
      <w:r w:rsidR="007D3074">
        <w:instrText>ADDIN CSL_CITATION {"citationItems":[{"id":"ITEM-1","itemData":{"URL":"https://advisera.com/27001academy/blog/2019/06/03/iso-27001-requirements-and-structure/","accessed":{"date-parts":[["2021","1","6"]]},"author":[{"dropping-particle":"","family":"Giesler","given":"Andrea","non-dropping-particle":"","parse-names":false,"suffix":""}],"container-title":"Advisera Expert Solutions","id":"ITEM-1","issued":{"date-parts":[["2019"]]},"title":"ISO 27001 requirements and structure","type":"webpage"},"uris":["http://www.mendeley.com/documents/?uuid=081c28a4-284c-3fef-9b00-9a78c92c9b60"]}],"mendeley":{"formattedCitation":"[34]","plainTextFormattedCitation":"[34]","previouslyFormattedCitation":"[34]"},"properties":{"noteIndex":0},"schema":"https://github.com/citation-style-language/schema/raw/master/csl-citation.json"}</w:instrText>
      </w:r>
      <w:r>
        <w:fldChar w:fldCharType="separate"/>
      </w:r>
      <w:r w:rsidRPr="00E20E89">
        <w:rPr>
          <w:i w:val="0"/>
          <w:noProof/>
        </w:rPr>
        <w:t>[34]</w:t>
      </w:r>
      <w:r>
        <w:fldChar w:fldCharType="end"/>
      </w:r>
    </w:p>
    <w:p w14:paraId="31393D31" w14:textId="44417A36" w:rsidR="009C1A86" w:rsidRDefault="009C1A86" w:rsidP="00135102">
      <w:r>
        <w:t>Compared to NIST which has a primary goal of implementing security in a cost-effective way, ISO 27001 may incur certain expenses such as training, external support</w:t>
      </w:r>
      <w:r w:rsidR="00E40613">
        <w:t xml:space="preserve"> and</w:t>
      </w:r>
      <w:r>
        <w:t xml:space="preserve"> refactoring of technology to remain up to date </w:t>
      </w:r>
      <w:r>
        <w:fldChar w:fldCharType="begin" w:fldLock="1"/>
      </w:r>
      <w:r w:rsidR="007D3074">
        <w:instrText>ADDIN CSL_CITATION {"citationItems":[{"id":"ITEM-1","itemData":{"DOI":"10.1109/ARES.2009.128","ISBN":"9780769535647","abstract":"If companies wish to safeguard their value chain, they should invest with the singular goal of securing revenues by taking adequate risk countermeasures. However, the investment in the risk countermeasure must be reflected in the adequate safeguarding of the value chain. In other words, the investment in the safeguarding, e.g., implementation of an ISMS based on ISO/IEC 27001, must be comparable to the benefit of the value chain. As a direct analysis is difficult, a suitable alternative must be found. In this paper, we propose using Key Performance Indicators (KPI) as a suitable alternative that maintains the effectiveness and economic efficiency of an ISMS. However, the KPI of effectiveness and efficiency are contradictory and constitute a trade-off. In order to minimize turnover reduction, we propose using combinatorial optimization. Such optimization should weigh the benefit of a policy in terms of risk for each control against the cost of each control in terms of avoiding, mitigating or transferring the risk up to some predetermined investment limit. © 2009 IEEE.","author":[{"dropping-particle":"","family":"Boehmer","given":"Wolfgang","non-dropping-particle":"","parse-names":false,"suffix":""}],"container-title":"Proceedings - International Conference on Availability, Reliability and Security, ARES 2009","id":"ITEM-1","issued":{"date-parts":[["2009"]]},"page":"392-399","title":"Cost-benefit trade-off analysis of an ISMS based on ISO 27001","type":"paper-conference"},"uris":["http://www.mendeley.com/documents/?uuid=360873a9-4368-3f57-b17a-c23ed021fefd"]}],"mendeley":{"formattedCitation":"[35]","plainTextFormattedCitation":"[35]","previouslyFormattedCitation":"[35]"},"properties":{"noteIndex":0},"schema":"https://github.com/citation-style-language/schema/raw/master/csl-citation.json"}</w:instrText>
      </w:r>
      <w:r>
        <w:fldChar w:fldCharType="separate"/>
      </w:r>
      <w:r w:rsidR="00E20E89" w:rsidRPr="00E20E89">
        <w:rPr>
          <w:noProof/>
        </w:rPr>
        <w:t>[35]</w:t>
      </w:r>
      <w:r>
        <w:fldChar w:fldCharType="end"/>
      </w:r>
      <w:r>
        <w:t>.</w:t>
      </w:r>
    </w:p>
    <w:p w14:paraId="4A561A31" w14:textId="7B36B56F" w:rsidR="0033579F" w:rsidRDefault="00E20E89" w:rsidP="00135102">
      <w:r>
        <w:t xml:space="preserve">Following from the mandatory requirements, ISO 27001 features a further section of the framework </w:t>
      </w:r>
      <w:r>
        <w:rPr>
          <w:i/>
          <w:iCs/>
        </w:rPr>
        <w:t>Annex A</w:t>
      </w:r>
      <w:r>
        <w:t xml:space="preserve"> compiling a collection of </w:t>
      </w:r>
      <w:r>
        <w:rPr>
          <w:i/>
          <w:iCs/>
        </w:rPr>
        <w:t>reference control objectives</w:t>
      </w:r>
      <w:r>
        <w:t xml:space="preserve"> and over </w:t>
      </w:r>
      <w:r>
        <w:rPr>
          <w:i/>
          <w:iCs/>
        </w:rPr>
        <w:t>130 controls</w:t>
      </w:r>
      <w:r>
        <w:t xml:space="preserve">. Annex A is organized into 14 sections known as </w:t>
      </w:r>
      <w:r>
        <w:rPr>
          <w:i/>
          <w:iCs/>
        </w:rPr>
        <w:t>domains</w:t>
      </w:r>
      <w:r>
        <w:t xml:space="preserve"> labelled A.5 to A.18 </w:t>
      </w:r>
      <w:r w:rsidR="007D3074">
        <w:fldChar w:fldCharType="begin" w:fldLock="1"/>
      </w:r>
      <w:r w:rsidR="00E84389">
        <w:instrText>ADDIN CSL_CITATION {"citationItems":[{"id":"ITEM-1","itemData":{"DOI":"10.1108/ICS-01-2020-0004","ISSN":"2056497X","abstract":"Purpose: This paper aims to identify the controls provisioned in ISO/IEC 27001:2013 and ISO/IEC 27002:2013 that need to be extended to adequately meet, data protection requirements set by the General Data Protection Regulation (GDPR); it also indicates security management actions an organisation needs to perform to fulfil GDPR requirements. Thus, ISO/IEC 27001:2013 compliant organisations, can use this paper as a basis for extending the already existing security control modules towards data protection; and as guidance for reaching compliance with the regulation. Design/methodology/approach: This study has followed a two-step approach; first, synergies between ISO/IEC 27001:2013 modules and GDPR requirements were identified, by analysing all 14 control modules of the ISO/IEC 27001:2013 and proposing the appropriate actions towards the satisfaction of data protection requirements. Second, this paper identified GDPR requirements not addressed by ISO/IEC 27001:2013. Findings: The findings of this work include the identification of the common ground between the security controls that ISO/IEC 27001:2013 includes and the requirements that the GDPR imposes; the actions that need to be performed based on these security controls to adequately meet the data protection requirements that the GDPR imposes; and the identification of the remaining actions an ISO/IEC 27001 compliant organisation needs to perform to be able to adhere with the GDPR. Originality/value: This paper provides a gap analysis and a further steps identification regarding the additional actions that need to be performed to allow an ISO/IEC 27001:2013 certified organisation to be compliant with the GDPR.","author":[{"dropping-particle":"","family":"Diamantopoulou","given":"Vasiliki","non-dropping-particle":"","parse-names":false,"suffix":""},{"dropping-particle":"","family":"Tsohou","given":"Aggeliki","non-dropping-particle":"","parse-names":false,"suffix":""},{"dropping-particle":"","family":"Karyda","given":"Maria","non-dropping-particle":"","parse-names":false,"suffix":""}],"container-title":"Information and Computer Security","id":"ITEM-1","issue":"4","issued":{"date-parts":[["2020","6","8"]]},"page":"645-662","publisher":"Emerald Group Holdings Ltd.","title":"From ISO/IEC27001:2013 and ISO/IEC27002:2013 to GDPR compliance controls","type":"article-journal","volume":"28"},"uris":["http://www.mendeley.com/documents/?uuid=20a2af3e-50ad-3da9-89d1-bd72e4df67aa"]}],"mendeley":{"formattedCitation":"[36]","plainTextFormattedCitation":"[36]","previouslyFormattedCitation":"[36]"},"properties":{"noteIndex":0},"schema":"https://github.com/citation-style-language/schema/raw/master/csl-citation.json"}</w:instrText>
      </w:r>
      <w:r w:rsidR="007D3074">
        <w:fldChar w:fldCharType="separate"/>
      </w:r>
      <w:r w:rsidR="007D3074" w:rsidRPr="007D3074">
        <w:rPr>
          <w:noProof/>
        </w:rPr>
        <w:t>[36]</w:t>
      </w:r>
      <w:r w:rsidR="007D3074">
        <w:fldChar w:fldCharType="end"/>
      </w:r>
      <w:r>
        <w:t>.</w:t>
      </w:r>
    </w:p>
    <w:p w14:paraId="66C98300" w14:textId="058E48CB" w:rsidR="00E84389" w:rsidRPr="00E20E89" w:rsidRDefault="00E84389" w:rsidP="00135102">
      <w:r>
        <w:t xml:space="preserve">Many cybersecurity professionals using ISO 27001 believe it to easily deliver business objectives effectively when implemented correctly, and also state that implementation can be successful with the correct understanding of the framework and appropriate planning </w:t>
      </w:r>
      <w:r>
        <w:fldChar w:fldCharType="begin" w:fldLock="1"/>
      </w:r>
      <w:r w:rsidR="00E132BC">
        <w:instrText>ADDIN CSL_CITATION {"citationItems":[{"id":"ITEM-1","itemData":{"abstract":"ISO/IEC 27001:2005 Information Technology— Security techniques—Information security management systems—Requirements is an information security management system (ISMS) standard published in October 2005 by the International Organization for Standardization (ISO) and International Electrotechnical Commission (IEC).1, 2 The potential benefits3, 4 of implementing ISO 27001 and obtaining certification are numerous. Implementing ISO 27001 can enable enterprises to benchmark against competitors and to provide relevant information about IT security to vendors and customers, and it can enable management to demonstrate due diligence. It can foster efficient security cost management, compliance with laws and regulations, and a comfortable level of interoperability due to a common set of guidelines followed by the partner organization. It can improve IT information security system quality assurance (QA) and increase security awareness among employees, customers, vendors, etc., and it can increase IT and business alignment. It provides a process framework for IT security implementation and can also assist in determining the status of information security and the degree of compliance with security policies, directives and standards.","author":[{"dropping-particle":"","family":"Pelnekar","given":"Charu","non-dropping-particle":"","parse-names":false,"suffix":""}],"container-title":"ISACA Journal","id":"ITEM-1","issued":{"date-parts":[["2011"]]},"title":"Planning for and Implementing ISO 27001","type":"article-journal"},"uris":["http://www.mendeley.com/documents/?uuid=ec258e70-98d6-30d1-8cd3-da06506c9b67"]}],"mendeley":{"formattedCitation":"[37]","plainTextFormattedCitation":"[37]","previouslyFormattedCitation":"[37]"},"properties":{"noteIndex":0},"schema":"https://github.com/citation-style-language/schema/raw/master/csl-citation.json"}</w:instrText>
      </w:r>
      <w:r>
        <w:fldChar w:fldCharType="separate"/>
      </w:r>
      <w:r w:rsidRPr="00E84389">
        <w:rPr>
          <w:noProof/>
        </w:rPr>
        <w:t>[37]</w:t>
      </w:r>
      <w:r>
        <w:fldChar w:fldCharType="end"/>
      </w:r>
      <w:r>
        <w:t>.</w:t>
      </w:r>
    </w:p>
    <w:p w14:paraId="30122D36" w14:textId="04E30C29" w:rsidR="0026328F" w:rsidRDefault="0026328F" w:rsidP="0026328F">
      <w:pPr>
        <w:pStyle w:val="Heading2"/>
        <w:numPr>
          <w:ilvl w:val="1"/>
          <w:numId w:val="1"/>
        </w:numPr>
      </w:pPr>
      <w:bookmarkStart w:id="18" w:name="_Toc60925827"/>
      <w:r>
        <w:lastRenderedPageBreak/>
        <w:t>Conclusion</w:t>
      </w:r>
      <w:bookmarkEnd w:id="18"/>
    </w:p>
    <w:p w14:paraId="15562636" w14:textId="5D692EED" w:rsidR="00D04246" w:rsidRPr="00D04246" w:rsidRDefault="00D04246" w:rsidP="00D04246">
      <w:r>
        <w:t>With the variety of available frameworks, research shows that ISO 27001 is a widely accepted solution for approaching a successful ISMS. Organizations looking to implement security in a cost-effective way can rely on NIST CSF which also handles management and mitigation of risks. With both NIST and ISO 27001 producing flexible and adapt</w:t>
      </w:r>
      <w:r w:rsidR="00FF495B">
        <w:t>able</w:t>
      </w:r>
      <w:r>
        <w:t xml:space="preserve"> solutions for implementing security measures and handling risks this also permits integration and compatibility for organizations looking </w:t>
      </w:r>
      <w:r w:rsidR="004B79C4">
        <w:t>to mix both frameworks and extract their advantages for a more robust and comprehensive security solution</w:t>
      </w:r>
      <w:r>
        <w:t>.</w:t>
      </w:r>
    </w:p>
    <w:p w14:paraId="53181BE5" w14:textId="167D3D01" w:rsidR="00AF4E3A" w:rsidRDefault="00AF4E3A" w:rsidP="00AF4E3A">
      <w:pPr>
        <w:pStyle w:val="Heading1"/>
        <w:numPr>
          <w:ilvl w:val="0"/>
          <w:numId w:val="1"/>
        </w:numPr>
      </w:pPr>
      <w:bookmarkStart w:id="19" w:name="_Toc60925828"/>
      <w:r>
        <w:t>Case S</w:t>
      </w:r>
      <w:r w:rsidR="00382DCA">
        <w:t>cenario</w:t>
      </w:r>
      <w:r w:rsidR="00D1734C">
        <w:t xml:space="preserve"> (CaribbeanCoffee)</w:t>
      </w:r>
      <w:bookmarkEnd w:id="19"/>
    </w:p>
    <w:p w14:paraId="7D9EC3A9" w14:textId="4D72FA42" w:rsidR="00516EC3" w:rsidRDefault="00382DCA" w:rsidP="00E023E3">
      <w:pPr>
        <w:ind w:firstLine="360"/>
      </w:pPr>
      <w:r>
        <w:t xml:space="preserve">CaribbeanCoffee operates through a cloud-based network for reaching its staff and clients and is looking to extend its IT services to personal devices. </w:t>
      </w:r>
      <w:r w:rsidR="00A84281">
        <w:t xml:space="preserve">Research findings revealing the risks involved with cloud computing show </w:t>
      </w:r>
      <w:r w:rsidR="00E023E3">
        <w:t xml:space="preserve">not only security risks but operational and regulatory risks </w:t>
      </w:r>
      <w:r w:rsidR="00E56EF4">
        <w:fldChar w:fldCharType="begin" w:fldLock="1"/>
      </w:r>
      <w:r w:rsidR="00E56EF4">
        <w:instrText>ADDIN CSL_CITATION {"citationItems":[{"id":"ITEM-1","itemData":{"DOI":"10.5121/ijnsa.2014.6103","ISSN":"09752307","abstract":"Cloud computing has formed the conceptual and infrastructural basis for tomorrow’s computing. The global computing infrastructure is rapidly moving towards cloud based architecture. While it is important to take advantages of could based computing by means of deploying it in diversified sectors, the security aspects in a cloud based computing environment remains at the core of interest. Cloud based services and service providers are being evolved which has resulted in a new business trend based on cloud technology. With the introduction of numerous cloud based services and geographically dispersed cloud service providers, sensitive information of different entities are normally stored in remote servers and locations with the possibilities of being exposed to unwanted parties in situations where the cloud servers storing those information are compromised. If security is not robust and consistent, the flexibility and advantages that cloud computing has to offer will have little credibility. This paper presents a review on the cloud computing concepts as well as security issues inherent within the context of cloud computing and cloud infrastructure","author":[{"dropping-particle":"","family":"Ahmed","given":"Monjur","non-dropping-particle":"","parse-names":false,"suffix":""},{"dropping-particle":"","family":"Ashraf Hossain","given":"Mohammad","non-dropping-particle":"","parse-names":false,"suffix":""}],"container-title":"International Journal of Network Security &amp; Its Applications","id":"ITEM-1","issue":"1","issued":{"date-parts":[["2014","1","31"]]},"page":"25-36","publisher":"Academy and Industry Research Collaboration Center (AIRCC)","title":"Cloud Computing and Security Issues in the Cloud","type":"article-journal","volume":"6"},"uris":["http://www.mendeley.com/documents/?uuid=59b073a9-1f44-3f29-850c-2049de1baf64"]}],"mendeley":{"formattedCitation":"[38]","plainTextFormattedCitation":"[38]","previouslyFormattedCitation":"[38]"},"properties":{"noteIndex":0},"schema":"https://github.com/citation-style-language/schema/raw/master/csl-citation.json"}</w:instrText>
      </w:r>
      <w:r w:rsidR="00E56EF4">
        <w:fldChar w:fldCharType="separate"/>
      </w:r>
      <w:r w:rsidR="00E56EF4" w:rsidRPr="00E56EF4">
        <w:rPr>
          <w:noProof/>
        </w:rPr>
        <w:t>[38]</w:t>
      </w:r>
      <w:r w:rsidR="00E56EF4">
        <w:fldChar w:fldCharType="end"/>
      </w:r>
      <w:r w:rsidR="00E023E3">
        <w:t>.</w:t>
      </w:r>
    </w:p>
    <w:p w14:paraId="087CE659" w14:textId="7C60E0E6" w:rsidR="00E023E3" w:rsidRDefault="0075685B" w:rsidP="00E023E3">
      <w:r>
        <w:t>A security framework that not only manages risks for mitigation but can also be extendable to conform with new technology in cloud computing and regulatory laws would keep CaribbeanCoffee’s digital assets secure with minimal threat to the company’s operations and business.</w:t>
      </w:r>
    </w:p>
    <w:p w14:paraId="044331DD" w14:textId="5E774572" w:rsidR="0075685B" w:rsidRDefault="002417E8" w:rsidP="00E023E3">
      <w:r>
        <w:t>The approach taken to designing a security framework applicable to CaribbeanCoffee’s requirements follows similar constructs to the highly popular NIST and ISO 27001 frameworks.</w:t>
      </w:r>
    </w:p>
    <w:p w14:paraId="20B00281" w14:textId="75D78AFD" w:rsidR="0070270B" w:rsidRPr="0070270B" w:rsidRDefault="0070270B" w:rsidP="00E023E3">
      <w:r>
        <w:t xml:space="preserve">The </w:t>
      </w:r>
      <w:r>
        <w:rPr>
          <w:i/>
          <w:iCs/>
        </w:rPr>
        <w:t>R4 Cybersecurity Framework</w:t>
      </w:r>
      <w:r>
        <w:t xml:space="preserve"> provides 4 functions</w:t>
      </w:r>
      <w:r w:rsidR="00200FFD">
        <w:t xml:space="preserve"> (see </w:t>
      </w:r>
      <w:r w:rsidR="00200FFD">
        <w:fldChar w:fldCharType="begin"/>
      </w:r>
      <w:r w:rsidR="00200FFD">
        <w:instrText xml:space="preserve"> REF _Ref60935054 \h </w:instrText>
      </w:r>
      <w:r w:rsidR="00200FFD">
        <w:fldChar w:fldCharType="separate"/>
      </w:r>
      <w:r w:rsidR="00200FFD">
        <w:t xml:space="preserve">Figure </w:t>
      </w:r>
      <w:r w:rsidR="00200FFD">
        <w:rPr>
          <w:noProof/>
        </w:rPr>
        <w:t>7</w:t>
      </w:r>
      <w:r w:rsidR="00200FFD">
        <w:t xml:space="preserve"> - R4 CSF functions</w:t>
      </w:r>
      <w:r w:rsidR="00200FFD">
        <w:fldChar w:fldCharType="end"/>
      </w:r>
      <w:r w:rsidR="00200FFD">
        <w:t>)</w:t>
      </w:r>
      <w:r>
        <w:t xml:space="preserve"> that produce deliverables to implementing a successful security framework that aligns to organisations utilizing a cloud computing network infrastructure. With CaribbeanCoffee’s staff and clients permitted to access the company’s network on personal devices, assumptions have been made on which</w:t>
      </w:r>
      <w:r w:rsidR="00E132BC">
        <w:rPr>
          <w:i/>
          <w:iCs/>
        </w:rPr>
        <w:t xml:space="preserve"> CSP (cloud service provider) and</w:t>
      </w:r>
      <w:r>
        <w:t xml:space="preserve"> </w:t>
      </w:r>
      <w:r>
        <w:rPr>
          <w:i/>
          <w:iCs/>
        </w:rPr>
        <w:t xml:space="preserve">SPI framework </w:t>
      </w:r>
      <w:r w:rsidR="00E56EF4">
        <w:rPr>
          <w:i/>
          <w:iCs/>
        </w:rPr>
        <w:fldChar w:fldCharType="begin" w:fldLock="1"/>
      </w:r>
      <w:r w:rsidR="00E56EF4">
        <w:rPr>
          <w:i/>
          <w:iCs/>
        </w:rPr>
        <w:instrText>ADDIN CSL_CITATION {"citationItems":[{"id":"ITEM-1","itemData":{"DOI":"10.1186/1869-0238-4-5","ISSN":"18690238","abstract":"Cloud Computing is a flexible, cost-effective, and proven delivery platform for providing business or consumer IT services over the Internet. However, cloud Computing presents an added level of risk because essential services are often outsourced to a third party, which makes it harder to maintain data security and privacy, support data and service availability, and demonstrate compliance. Cloud Computing leverages many technologies (SOA, virtualization, Web 2.0); it also inherits their security issues, which we discuss here, identifying the main vulnerabilities in this kind of systems and the most important threats found in the literature related to Cloud Computing and its environment as well as to identify and relate vulnerabilities and threats with possible solutions. © 2013 Hashizume et al.","author":[{"dropping-particle":"","family":"Hashizume","given":"Keiko","non-dropping-particle":"","parse-names":false,"suffix":""},{"dropping-particle":"","family":"Rosado","given":"David G.","non-dropping-particle":"","parse-names":false,"suffix":""},{"dropping-particle":"","family":"Fernández-Medina","given":"Eduardo","non-dropping-particle":"","parse-names":false,"suffix":""},{"dropping-particle":"","family":"Fernandez","given":"Eduardo B.","non-dropping-particle":"","parse-names":false,"suffix":""}],"container-title":"Journal of Internet Services and Applications","id":"ITEM-1","issue":"1","issued":{"date-parts":[["2013","2","27"]]},"page":"1-13","publisher":"Springer London","title":"An analysis of security issues for cloud computing","type":"article-journal","volume":"4"},"uris":["http://www.mendeley.com/documents/?uuid=92336339-d565-3802-925d-c7d054561eeb"]}],"mendeley":{"formattedCitation":"[39]","plainTextFormattedCitation":"[39]"},"properties":{"noteIndex":0},"schema":"https://github.com/citation-style-language/schema/raw/master/csl-citation.json"}</w:instrText>
      </w:r>
      <w:r w:rsidR="00E56EF4">
        <w:rPr>
          <w:i/>
          <w:iCs/>
        </w:rPr>
        <w:fldChar w:fldCharType="separate"/>
      </w:r>
      <w:r w:rsidR="00E56EF4" w:rsidRPr="00E56EF4">
        <w:rPr>
          <w:iCs/>
          <w:noProof/>
        </w:rPr>
        <w:t>[39]</w:t>
      </w:r>
      <w:r w:rsidR="00E56EF4">
        <w:rPr>
          <w:i/>
          <w:iCs/>
        </w:rPr>
        <w:fldChar w:fldCharType="end"/>
      </w:r>
      <w:r>
        <w:t xml:space="preserve"> is in use. R4 cybersecurity framework targets </w:t>
      </w:r>
      <w:r>
        <w:rPr>
          <w:i/>
          <w:iCs/>
        </w:rPr>
        <w:t xml:space="preserve">IaaS (infrastructure as a service) </w:t>
      </w:r>
      <w:r>
        <w:t>as a delivery mode for CaribbeanCoffee’s operational purposes</w:t>
      </w:r>
      <w:r w:rsidR="00E132BC">
        <w:t xml:space="preserve"> and also assumes that CaribbeanCoffee ha</w:t>
      </w:r>
      <w:r w:rsidR="006939DC">
        <w:t>s</w:t>
      </w:r>
      <w:r w:rsidR="00E132BC">
        <w:t xml:space="preserve"> invested in</w:t>
      </w:r>
      <w:r w:rsidR="00B31879">
        <w:t xml:space="preserve"> a</w:t>
      </w:r>
      <w:r w:rsidR="00E132BC">
        <w:t xml:space="preserve"> CSP within the EU</w:t>
      </w:r>
      <w:r>
        <w:t>.</w:t>
      </w:r>
    </w:p>
    <w:p w14:paraId="4EA1E8DE" w14:textId="77777777" w:rsidR="002417E8" w:rsidRDefault="002417E8" w:rsidP="002417E8">
      <w:pPr>
        <w:keepNext/>
        <w:jc w:val="center"/>
      </w:pPr>
      <w:r>
        <w:rPr>
          <w:noProof/>
        </w:rPr>
        <w:drawing>
          <wp:inline distT="0" distB="0" distL="0" distR="0" wp14:anchorId="137F50AA" wp14:editId="05111F6D">
            <wp:extent cx="3121158" cy="3121158"/>
            <wp:effectExtent l="0" t="0" r="3175" b="3175"/>
            <wp:docPr id="9" name="Picture 9" descr="Chart, arrow,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arrow, funnel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21158" cy="3121158"/>
                    </a:xfrm>
                    <a:prstGeom prst="rect">
                      <a:avLst/>
                    </a:prstGeom>
                  </pic:spPr>
                </pic:pic>
              </a:graphicData>
            </a:graphic>
          </wp:inline>
        </w:drawing>
      </w:r>
    </w:p>
    <w:p w14:paraId="2665C10B" w14:textId="19002D87" w:rsidR="002417E8" w:rsidRDefault="002417E8" w:rsidP="002417E8">
      <w:pPr>
        <w:pStyle w:val="Caption"/>
        <w:jc w:val="center"/>
      </w:pPr>
      <w:bookmarkStart w:id="20" w:name="_Ref60935054"/>
      <w:r>
        <w:t xml:space="preserve">Figure </w:t>
      </w:r>
      <w:r>
        <w:fldChar w:fldCharType="begin"/>
      </w:r>
      <w:r>
        <w:instrText xml:space="preserve"> SEQ Figure \* ARABIC </w:instrText>
      </w:r>
      <w:r>
        <w:fldChar w:fldCharType="separate"/>
      </w:r>
      <w:r w:rsidR="00D01396">
        <w:rPr>
          <w:noProof/>
        </w:rPr>
        <w:t>7</w:t>
      </w:r>
      <w:r>
        <w:fldChar w:fldCharType="end"/>
      </w:r>
      <w:r>
        <w:t xml:space="preserve"> - R4 CSF functions</w:t>
      </w:r>
      <w:bookmarkEnd w:id="20"/>
    </w:p>
    <w:p w14:paraId="2B3B4120" w14:textId="77777777" w:rsidR="00046DFB" w:rsidRDefault="00F91734" w:rsidP="002417E8">
      <w:r>
        <w:lastRenderedPageBreak/>
        <w:t>Each function within the R4 cybersecurity framework provides</w:t>
      </w:r>
      <w:r w:rsidR="00046DFB">
        <w:t xml:space="preserve"> guidance on</w:t>
      </w:r>
      <w:r>
        <w:t xml:space="preserve"> </w:t>
      </w:r>
      <w:r w:rsidR="003002B5">
        <w:t xml:space="preserve">the </w:t>
      </w:r>
      <w:r>
        <w:t xml:space="preserve">fundamental </w:t>
      </w:r>
      <w:r w:rsidR="003002B5">
        <w:t>actions required</w:t>
      </w:r>
      <w:r>
        <w:t xml:space="preserve"> for discovering and tackling</w:t>
      </w:r>
      <w:r w:rsidR="006C6E12">
        <w:t xml:space="preserve"> risks </w:t>
      </w:r>
      <w:r>
        <w:t>in a non-retrospective way</w:t>
      </w:r>
      <w:r w:rsidR="006A6B01">
        <w:t>.</w:t>
      </w:r>
      <w:r w:rsidR="003002B5">
        <w:t xml:space="preserve"> </w:t>
      </w:r>
      <w:r w:rsidR="006A6B01">
        <w:t>A</w:t>
      </w:r>
      <w:r w:rsidR="003002B5">
        <w:t>lthough</w:t>
      </w:r>
      <w:r w:rsidR="006A6B01">
        <w:t>,</w:t>
      </w:r>
      <w:r w:rsidR="003002B5">
        <w:t xml:space="preserve"> in the event of a security breach traversing backwards through the framework produces an iterative approach to uncovering flaws in the organisational policies produced by </w:t>
      </w:r>
      <w:r w:rsidR="00C06DCD">
        <w:t xml:space="preserve">following </w:t>
      </w:r>
      <w:r w:rsidR="003002B5">
        <w:t>the framework</w:t>
      </w:r>
      <w:r>
        <w:t>.</w:t>
      </w:r>
      <w:r w:rsidR="00F80B6D">
        <w:t xml:space="preserve"> </w:t>
      </w:r>
    </w:p>
    <w:p w14:paraId="5191E341" w14:textId="4DDE6AAF" w:rsidR="00672959" w:rsidRDefault="00F80B6D" w:rsidP="002417E8">
      <w:r>
        <w:t xml:space="preserve">This ensures that R4 provides fallback measures for organisations to not only recover but recognise which security outcomes </w:t>
      </w:r>
      <w:r w:rsidR="00F72941">
        <w:t>generated</w:t>
      </w:r>
      <w:r>
        <w:t xml:space="preserve"> by the respond function have failed.</w:t>
      </w:r>
      <w:r w:rsidR="00AF314E">
        <w:t xml:space="preserve"> In the event of a security breach the recover function enforces a review of organisational policies for further improvement, mitigating the risk of a breach from occurring again.</w:t>
      </w:r>
    </w:p>
    <w:p w14:paraId="16B54288" w14:textId="1DF4C0B7" w:rsidR="00D01396" w:rsidRDefault="00AF314E" w:rsidP="002417E8">
      <w:r>
        <w:t>The react function places requirements for monitoring and recording the developed safeguards that are derived from the respond function. Exploration of business assets that depend on being secured are discovered within the recognise function, this extends to all areas of the organization to develop a firm and concise understanding of assets that need protection from potential cybersecurity risks.</w:t>
      </w:r>
    </w:p>
    <w:p w14:paraId="233BE9AE" w14:textId="77777777" w:rsidR="00D01396" w:rsidRDefault="00D01396" w:rsidP="00D01396">
      <w:pPr>
        <w:keepNext/>
        <w:jc w:val="center"/>
      </w:pPr>
      <w:r>
        <w:rPr>
          <w:noProof/>
        </w:rPr>
        <w:drawing>
          <wp:inline distT="0" distB="0" distL="0" distR="0" wp14:anchorId="6EFA2512" wp14:editId="779C79C6">
            <wp:extent cx="4991100" cy="4991100"/>
            <wp:effectExtent l="0" t="0" r="0" b="0"/>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991307" cy="4991307"/>
                    </a:xfrm>
                    <a:prstGeom prst="rect">
                      <a:avLst/>
                    </a:prstGeom>
                  </pic:spPr>
                </pic:pic>
              </a:graphicData>
            </a:graphic>
          </wp:inline>
        </w:drawing>
      </w:r>
    </w:p>
    <w:p w14:paraId="0795E4F8" w14:textId="04BE9DD4" w:rsidR="00BB36F1" w:rsidRDefault="00D01396" w:rsidP="00D01396">
      <w:pPr>
        <w:pStyle w:val="Caption"/>
        <w:jc w:val="center"/>
      </w:pPr>
      <w:r>
        <w:t xml:space="preserve">Figure </w:t>
      </w:r>
      <w:r>
        <w:fldChar w:fldCharType="begin"/>
      </w:r>
      <w:r>
        <w:instrText xml:space="preserve"> SEQ Figure \* ARABIC </w:instrText>
      </w:r>
      <w:r>
        <w:fldChar w:fldCharType="separate"/>
      </w:r>
      <w:r>
        <w:rPr>
          <w:noProof/>
        </w:rPr>
        <w:t>8</w:t>
      </w:r>
      <w:r>
        <w:fldChar w:fldCharType="end"/>
      </w:r>
      <w:r>
        <w:t xml:space="preserve"> - R4 CSF function definitions</w:t>
      </w:r>
    </w:p>
    <w:p w14:paraId="6BA68B25" w14:textId="6B750555" w:rsidR="007C70A1" w:rsidRDefault="0070270B" w:rsidP="0070270B">
      <w:r>
        <w:t xml:space="preserve">Whilst the R4 CSF function definitions </w:t>
      </w:r>
      <w:r w:rsidR="00260A47">
        <w:t>describe</w:t>
      </w:r>
      <w:r>
        <w:t xml:space="preserve"> the guidelines for </w:t>
      </w:r>
      <w:r w:rsidR="007C70A1">
        <w:t xml:space="preserve">successfully </w:t>
      </w:r>
      <w:r>
        <w:t xml:space="preserve">implementing the framework, </w:t>
      </w:r>
      <w:r w:rsidR="007C70A1">
        <w:t>the respond</w:t>
      </w:r>
      <w:r w:rsidR="00ED7090">
        <w:t xml:space="preserve"> and react</w:t>
      </w:r>
      <w:r w:rsidR="007C70A1">
        <w:t xml:space="preserve"> function</w:t>
      </w:r>
      <w:r w:rsidR="00ED7090">
        <w:t>s</w:t>
      </w:r>
      <w:r w:rsidR="003C792B">
        <w:t xml:space="preserve"> enforce mandatory requirements t</w:t>
      </w:r>
      <w:r w:rsidR="007C70A1">
        <w:t xml:space="preserve">hat produce effective security </w:t>
      </w:r>
      <w:r w:rsidR="00ED7090">
        <w:t xml:space="preserve">and monitoring </w:t>
      </w:r>
      <w:r w:rsidR="007C70A1">
        <w:t>measures</w:t>
      </w:r>
      <w:r w:rsidR="003C792B">
        <w:t>.</w:t>
      </w:r>
      <w:r w:rsidR="007C70A1">
        <w:t xml:space="preserve"> </w:t>
      </w:r>
    </w:p>
    <w:p w14:paraId="4B07460F" w14:textId="40572EAD" w:rsidR="00E132BC" w:rsidRDefault="00E132BC" w:rsidP="0070270B">
      <w:r>
        <w:lastRenderedPageBreak/>
        <w:t xml:space="preserve">Regulations for privacy of data are described in </w:t>
      </w:r>
      <w:r w:rsidRPr="00E132BC">
        <w:rPr>
          <w:i/>
          <w:iCs/>
        </w:rPr>
        <w:t>Directive 95/46/EC</w:t>
      </w:r>
      <w:r>
        <w:rPr>
          <w:i/>
          <w:iCs/>
        </w:rPr>
        <w:t xml:space="preserve"> </w:t>
      </w:r>
      <w:r>
        <w:t>which outlines that the cloud service provider is responsible for ensuring</w:t>
      </w:r>
      <w:r w:rsidR="00625316">
        <w:t xml:space="preserve"> compliance for</w:t>
      </w:r>
      <w:r>
        <w:t xml:space="preserve"> privacy of data </w:t>
      </w:r>
      <w:r>
        <w:fldChar w:fldCharType="begin" w:fldLock="1"/>
      </w:r>
      <w:r w:rsidR="00E56EF4">
        <w:instrText>ADDIN CSL_CITATION {"citationItems":[{"id":"ITEM-1","itemData":{"abstract":"Official Journal L 281 , 23/11/1995 P. 0031 - 0050 Directive 95/46/EC of the European Parliament and of the Council of 24 October 1995 on the protection of individuals with regard to the processing of personal data and on the free movement of such data","author":[{"dropping-particle":"","family":"Council Directive 95/46/EC","given":"","non-dropping-particle":"","parse-names":false,"suffix":""}],"container-title":"Directive 95/46/EC of the European Parliament and of the Council of 24 October 1995 on the protection of individuals with regard to the processing of personal data and on the free movement of such data","id":"ITEM-1","issued":{"date-parts":[["1995"]]},"title":"EUR-Lex - 31995L0046 - EN - EUR-Lex","type":"legislation"},"uris":["http://www.mendeley.com/documents/?uuid=7ce37b04-7207-3499-98e2-13cc26f5c730"]}],"mendeley":{"formattedCitation":"[40]","plainTextFormattedCitation":"[40]","previouslyFormattedCitation":"[39]"},"properties":{"noteIndex":0},"schema":"https://github.com/citation-style-language/schema/raw/master/csl-citation.json"}</w:instrText>
      </w:r>
      <w:r>
        <w:fldChar w:fldCharType="separate"/>
      </w:r>
      <w:r w:rsidR="00E56EF4" w:rsidRPr="00E56EF4">
        <w:rPr>
          <w:noProof/>
        </w:rPr>
        <w:t>[40]</w:t>
      </w:r>
      <w:r>
        <w:fldChar w:fldCharType="end"/>
      </w:r>
      <w:r w:rsidR="00177EAE">
        <w:t xml:space="preserve"> in accordance to regula</w:t>
      </w:r>
      <w:r w:rsidR="0099745B">
        <w:t>tory standards</w:t>
      </w:r>
      <w:r>
        <w:t>.</w:t>
      </w:r>
      <w:r w:rsidR="001328DC">
        <w:t xml:space="preserve"> The advantages of this allow</w:t>
      </w:r>
      <w:r w:rsidR="00A25152">
        <w:t>s</w:t>
      </w:r>
      <w:r w:rsidR="001328DC">
        <w:t xml:space="preserve"> CaribbeanCoffee to avoid </w:t>
      </w:r>
      <w:r w:rsidR="00A25152">
        <w:t xml:space="preserve">meeting </w:t>
      </w:r>
      <w:r w:rsidR="008958A1">
        <w:t>regulations</w:t>
      </w:r>
      <w:r w:rsidR="00A25152">
        <w:t xml:space="preserve"> which would </w:t>
      </w:r>
      <w:r w:rsidR="001328DC">
        <w:t xml:space="preserve">incur further investment </w:t>
      </w:r>
      <w:r w:rsidR="0090782A">
        <w:t>proving</w:t>
      </w:r>
      <w:r w:rsidR="001328DC">
        <w:t xml:space="preserve"> R4 to </w:t>
      </w:r>
      <w:r w:rsidR="0090782A">
        <w:t xml:space="preserve">be </w:t>
      </w:r>
      <w:r w:rsidR="001328DC">
        <w:t>a cost-effective security framework</w:t>
      </w:r>
      <w:r w:rsidR="0090782A">
        <w:t xml:space="preserve"> which takes benefits of shifting regulations in the hands of the CSP.</w:t>
      </w:r>
    </w:p>
    <w:p w14:paraId="0DFAB6C1" w14:textId="2C1F7113" w:rsidR="001C4CFF" w:rsidRDefault="00177EAE" w:rsidP="0070270B">
      <w:r>
        <w:t xml:space="preserve">With this benefit, mandatory requirements outlined in the R4 core checklist provide guidance for reaching compliance in a cost-effective way, with all objectives in the core checklist </w:t>
      </w:r>
      <w:r w:rsidR="00B90014">
        <w:t>being within</w:t>
      </w:r>
      <w:r>
        <w:t xml:space="preserve"> complete attainability for the company. Scope of all objectives listed within the core checklist ensures compliance in terms of </w:t>
      </w:r>
      <w:r w:rsidR="007410FD">
        <w:t xml:space="preserve">implementing </w:t>
      </w:r>
      <w:r>
        <w:t>security</w:t>
      </w:r>
      <w:r w:rsidR="007410FD">
        <w:t xml:space="preserve"> throughout each organisation level</w:t>
      </w:r>
      <w:r w:rsidR="002172F2">
        <w:t xml:space="preserve"> to verify concrete security measures and confirm genuine operation of the R4 CSF</w:t>
      </w:r>
      <w:r w:rsidR="007410FD">
        <w:t>.</w:t>
      </w:r>
    </w:p>
    <w:p w14:paraId="53537C6D" w14:textId="56B78BB6" w:rsidR="00863135" w:rsidRDefault="005A209D" w:rsidP="0070270B">
      <w:r>
        <w:t xml:space="preserve">The core checklist is comprised of requirements to obtain legitimate security measures and should be enforced by the entirety </w:t>
      </w:r>
      <w:r w:rsidR="00AF4ED5">
        <w:t xml:space="preserve">of </w:t>
      </w:r>
      <w:r>
        <w:t>CaribbeanCoffee. Failure to implement the requirements leaves security vulnerabilities. The R4 core checklist offers stringent security requirements, this is due to staff and clients having complete accessibility to the cloud network through personal devices.</w:t>
      </w:r>
      <w:r w:rsidR="007C70A1">
        <w:t xml:space="preserve"> </w:t>
      </w:r>
    </w:p>
    <w:p w14:paraId="39968D41" w14:textId="06BB339C" w:rsidR="00E50CC3" w:rsidRDefault="00E50CC3" w:rsidP="00E50CC3">
      <w:pPr>
        <w:rPr>
          <w:b/>
          <w:bCs/>
        </w:rPr>
      </w:pPr>
      <w:r>
        <w:rPr>
          <w:b/>
          <w:bCs/>
        </w:rPr>
        <w:t>Respond:</w:t>
      </w:r>
    </w:p>
    <w:p w14:paraId="6E584BC2" w14:textId="598F4085" w:rsidR="00E50CC3" w:rsidRPr="00E50CC3" w:rsidRDefault="00D37B59" w:rsidP="00E50CC3">
      <w:pPr>
        <w:pStyle w:val="ListParagraph"/>
        <w:numPr>
          <w:ilvl w:val="0"/>
          <w:numId w:val="9"/>
        </w:numPr>
        <w:rPr>
          <w:b/>
          <w:bCs/>
        </w:rPr>
      </w:pPr>
      <w:r>
        <w:t>Strong configuration of device passwords</w:t>
      </w:r>
    </w:p>
    <w:p w14:paraId="4E5A4FCC" w14:textId="35D42C19" w:rsidR="00E50CC3" w:rsidRPr="00E50CC3" w:rsidRDefault="00D37B59" w:rsidP="00E50CC3">
      <w:pPr>
        <w:pStyle w:val="ListParagraph"/>
        <w:numPr>
          <w:ilvl w:val="0"/>
          <w:numId w:val="9"/>
        </w:numPr>
        <w:rPr>
          <w:b/>
          <w:bCs/>
        </w:rPr>
      </w:pPr>
      <w:r>
        <w:t>Device and system protection through utilization of firewall software</w:t>
      </w:r>
    </w:p>
    <w:p w14:paraId="40E417B2" w14:textId="72CBE1B8" w:rsidR="00E50CC3" w:rsidRPr="00D37B59" w:rsidRDefault="00D37B59" w:rsidP="00E50CC3">
      <w:pPr>
        <w:pStyle w:val="ListParagraph"/>
        <w:numPr>
          <w:ilvl w:val="0"/>
          <w:numId w:val="9"/>
        </w:numPr>
        <w:rPr>
          <w:b/>
          <w:bCs/>
        </w:rPr>
      </w:pPr>
      <w:r>
        <w:t>Use and maintenance of anti-virus software</w:t>
      </w:r>
    </w:p>
    <w:p w14:paraId="129F3BF8" w14:textId="7594CBF1" w:rsidR="00D37B59" w:rsidRPr="00D37B59" w:rsidRDefault="00D37B59" w:rsidP="00E50CC3">
      <w:pPr>
        <w:pStyle w:val="ListParagraph"/>
        <w:numPr>
          <w:ilvl w:val="0"/>
          <w:numId w:val="9"/>
        </w:numPr>
        <w:rPr>
          <w:b/>
          <w:bCs/>
        </w:rPr>
      </w:pPr>
      <w:r>
        <w:t>Secure personal devices from public locations and unauthorised persons</w:t>
      </w:r>
    </w:p>
    <w:p w14:paraId="4140AD73" w14:textId="35A63748" w:rsidR="00ED7090" w:rsidRDefault="00ED7090" w:rsidP="00ED7090">
      <w:pPr>
        <w:rPr>
          <w:b/>
          <w:bCs/>
        </w:rPr>
      </w:pPr>
      <w:r>
        <w:rPr>
          <w:b/>
          <w:bCs/>
        </w:rPr>
        <w:t>React:</w:t>
      </w:r>
    </w:p>
    <w:p w14:paraId="56CEFD2B" w14:textId="79E21EFE" w:rsidR="00D37B59" w:rsidRPr="00ED7090" w:rsidRDefault="00D37B59" w:rsidP="00D37B59">
      <w:pPr>
        <w:pStyle w:val="ListParagraph"/>
        <w:numPr>
          <w:ilvl w:val="0"/>
          <w:numId w:val="12"/>
        </w:numPr>
        <w:rPr>
          <w:b/>
          <w:bCs/>
        </w:rPr>
      </w:pPr>
      <w:r>
        <w:t xml:space="preserve">Unique ID’s for each </w:t>
      </w:r>
      <w:r>
        <w:t>user’s</w:t>
      </w:r>
      <w:r>
        <w:t xml:space="preserve"> device</w:t>
      </w:r>
    </w:p>
    <w:p w14:paraId="0DCBCE87" w14:textId="2C84F53D" w:rsidR="00ED7090" w:rsidRDefault="00D37B59" w:rsidP="00ED7090">
      <w:pPr>
        <w:pStyle w:val="ListParagraph"/>
        <w:numPr>
          <w:ilvl w:val="0"/>
          <w:numId w:val="12"/>
        </w:numPr>
      </w:pPr>
      <w:r>
        <w:t>Regular system scans for vulnerabilities</w:t>
      </w:r>
    </w:p>
    <w:p w14:paraId="35FC8812" w14:textId="3131629E" w:rsidR="00ED7090" w:rsidRPr="00ED7090" w:rsidRDefault="00D37B59" w:rsidP="00ED7090">
      <w:pPr>
        <w:pStyle w:val="ListParagraph"/>
        <w:numPr>
          <w:ilvl w:val="0"/>
          <w:numId w:val="12"/>
        </w:numPr>
      </w:pPr>
      <w:r>
        <w:t>Document and store logins of all users</w:t>
      </w:r>
    </w:p>
    <w:p w14:paraId="209BEDB7" w14:textId="6CA3E498" w:rsidR="00E50CC3" w:rsidRPr="00E36F0B" w:rsidRDefault="00E50CC3" w:rsidP="00E50CC3">
      <w:pPr>
        <w:rPr>
          <w:b/>
          <w:bCs/>
        </w:rPr>
      </w:pPr>
      <w:r>
        <w:t xml:space="preserve">Implementation of all requirements </w:t>
      </w:r>
      <w:r w:rsidR="00E36F0B">
        <w:t>via the respond function</w:t>
      </w:r>
      <w:r>
        <w:t xml:space="preserve"> provides a checklist of security measures and guidance for maintaining and securing digital assets. With privacy of data passed to the CSP this relieves CaribbeanCoffee from getting involved in regulatory measures and simplifies R4 CSF integratio</w:t>
      </w:r>
      <w:r w:rsidR="003D3F83">
        <w:t>n.</w:t>
      </w:r>
    </w:p>
    <w:p w14:paraId="7D346BC1" w14:textId="6ED3DE93" w:rsidR="00C9115E" w:rsidRDefault="00C9115E" w:rsidP="00C9115E">
      <w:pPr>
        <w:pStyle w:val="Heading1"/>
        <w:numPr>
          <w:ilvl w:val="0"/>
          <w:numId w:val="1"/>
        </w:numPr>
      </w:pPr>
      <w:bookmarkStart w:id="21" w:name="_Toc60925829"/>
      <w:r>
        <w:t>References</w:t>
      </w:r>
      <w:bookmarkEnd w:id="21"/>
    </w:p>
    <w:p w14:paraId="0F1D4EE9" w14:textId="4AB295BA" w:rsidR="00E56EF4" w:rsidRPr="00E56EF4" w:rsidRDefault="00C9115E" w:rsidP="00E56EF4">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E56EF4" w:rsidRPr="00E56EF4">
        <w:rPr>
          <w:rFonts w:ascii="Calibri" w:hAnsi="Calibri" w:cs="Calibri"/>
          <w:noProof/>
          <w:szCs w:val="24"/>
        </w:rPr>
        <w:t>[1]</w:t>
      </w:r>
      <w:r w:rsidR="00E56EF4" w:rsidRPr="00E56EF4">
        <w:rPr>
          <w:rFonts w:ascii="Calibri" w:hAnsi="Calibri" w:cs="Calibri"/>
          <w:noProof/>
          <w:szCs w:val="24"/>
        </w:rPr>
        <w:tab/>
        <w:t xml:space="preserve">S. Alder, “FBI Issues Warning About Increasing Ragnar Locker Ransomware Activity,” </w:t>
      </w:r>
      <w:r w:rsidR="00E56EF4" w:rsidRPr="00E56EF4">
        <w:rPr>
          <w:rFonts w:ascii="Calibri" w:hAnsi="Calibri" w:cs="Calibri"/>
          <w:i/>
          <w:iCs/>
          <w:noProof/>
          <w:szCs w:val="24"/>
        </w:rPr>
        <w:t>HIPPA J.</w:t>
      </w:r>
      <w:r w:rsidR="00E56EF4" w:rsidRPr="00E56EF4">
        <w:rPr>
          <w:rFonts w:ascii="Calibri" w:hAnsi="Calibri" w:cs="Calibri"/>
          <w:noProof/>
          <w:szCs w:val="24"/>
        </w:rPr>
        <w:t>, 2020.</w:t>
      </w:r>
    </w:p>
    <w:p w14:paraId="7268EAFA"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[2]</w:t>
      </w:r>
      <w:r w:rsidRPr="00E56EF4">
        <w:rPr>
          <w:rFonts w:ascii="Calibri" w:hAnsi="Calibri" w:cs="Calibri"/>
          <w:noProof/>
          <w:szCs w:val="24"/>
        </w:rPr>
        <w:tab/>
        <w:t xml:space="preserve">S. Ghafur, E. Grass, N. R. Jennings, and A. Darzi, “The challenges of cybersecurity in health care: the UK National Health Service as a case study,” </w:t>
      </w:r>
      <w:r w:rsidRPr="00E56EF4">
        <w:rPr>
          <w:rFonts w:ascii="Calibri" w:hAnsi="Calibri" w:cs="Calibri"/>
          <w:i/>
          <w:iCs/>
          <w:noProof/>
          <w:szCs w:val="24"/>
        </w:rPr>
        <w:t>Lancet Digit. Heal.</w:t>
      </w:r>
      <w:r w:rsidRPr="00E56EF4">
        <w:rPr>
          <w:rFonts w:ascii="Calibri" w:hAnsi="Calibri" w:cs="Calibri"/>
          <w:noProof/>
          <w:szCs w:val="24"/>
        </w:rPr>
        <w:t>, vol. 1, no. 1, pp. e10–e12, May 2019.</w:t>
      </w:r>
    </w:p>
    <w:p w14:paraId="3E0B6AB6"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[3]</w:t>
      </w:r>
      <w:r w:rsidRPr="00E56EF4">
        <w:rPr>
          <w:rFonts w:ascii="Calibri" w:hAnsi="Calibri" w:cs="Calibri"/>
          <w:noProof/>
          <w:szCs w:val="24"/>
        </w:rPr>
        <w:tab/>
        <w:t xml:space="preserve">E. S. Dove, “The EU General Data Protection Regulation: Implications for International Scientific Research in the Digital Era,” </w:t>
      </w:r>
      <w:r w:rsidRPr="00E56EF4">
        <w:rPr>
          <w:rFonts w:ascii="Calibri" w:hAnsi="Calibri" w:cs="Calibri"/>
          <w:i/>
          <w:iCs/>
          <w:noProof/>
          <w:szCs w:val="24"/>
        </w:rPr>
        <w:t>J. Law, Med. Ethics</w:t>
      </w:r>
      <w:r w:rsidRPr="00E56EF4">
        <w:rPr>
          <w:rFonts w:ascii="Calibri" w:hAnsi="Calibri" w:cs="Calibri"/>
          <w:noProof/>
          <w:szCs w:val="24"/>
        </w:rPr>
        <w:t>, vol. 46, no. 4, pp. 1013–1030, Dec. 2018.</w:t>
      </w:r>
    </w:p>
    <w:p w14:paraId="5709A58D"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[4]</w:t>
      </w:r>
      <w:r w:rsidRPr="00E56EF4">
        <w:rPr>
          <w:rFonts w:ascii="Calibri" w:hAnsi="Calibri" w:cs="Calibri"/>
          <w:noProof/>
          <w:szCs w:val="24"/>
        </w:rPr>
        <w:tab/>
        <w:t xml:space="preserve">B. N. Walters, “Privacy Law Issues in Blockchains : An Analysis of PIPEDA , the GDPR , and Proposals for Compliance,” </w:t>
      </w:r>
      <w:r w:rsidRPr="00E56EF4">
        <w:rPr>
          <w:rFonts w:ascii="Calibri" w:hAnsi="Calibri" w:cs="Calibri"/>
          <w:i/>
          <w:iCs/>
          <w:noProof/>
          <w:szCs w:val="24"/>
        </w:rPr>
        <w:t>17 Can. J. Law Technol. 276</w:t>
      </w:r>
      <w:r w:rsidRPr="00E56EF4">
        <w:rPr>
          <w:rFonts w:ascii="Calibri" w:hAnsi="Calibri" w:cs="Calibri"/>
          <w:noProof/>
          <w:szCs w:val="24"/>
        </w:rPr>
        <w:t>, p. 44, Apr. 2019.</w:t>
      </w:r>
    </w:p>
    <w:p w14:paraId="2820FF78"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[5]</w:t>
      </w:r>
      <w:r w:rsidRPr="00E56EF4">
        <w:rPr>
          <w:rFonts w:ascii="Calibri" w:hAnsi="Calibri" w:cs="Calibri"/>
          <w:noProof/>
          <w:szCs w:val="24"/>
        </w:rPr>
        <w:tab/>
        <w:t xml:space="preserve">S. P.S, N. S, and S. M, “Overview of Cyber Security,” </w:t>
      </w:r>
      <w:r w:rsidRPr="00E56EF4">
        <w:rPr>
          <w:rFonts w:ascii="Calibri" w:hAnsi="Calibri" w:cs="Calibri"/>
          <w:i/>
          <w:iCs/>
          <w:noProof/>
          <w:szCs w:val="24"/>
        </w:rPr>
        <w:t>IJARCCE</w:t>
      </w:r>
      <w:r w:rsidRPr="00E56EF4">
        <w:rPr>
          <w:rFonts w:ascii="Calibri" w:hAnsi="Calibri" w:cs="Calibri"/>
          <w:noProof/>
          <w:szCs w:val="24"/>
        </w:rPr>
        <w:t>, vol. 7, no. 11, pp. 125–128, Nov. 2018.</w:t>
      </w:r>
    </w:p>
    <w:p w14:paraId="14F571FE"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lastRenderedPageBreak/>
        <w:t>[6]</w:t>
      </w:r>
      <w:r w:rsidRPr="00E56EF4">
        <w:rPr>
          <w:rFonts w:ascii="Calibri" w:hAnsi="Calibri" w:cs="Calibri"/>
          <w:noProof/>
          <w:szCs w:val="24"/>
        </w:rPr>
        <w:tab/>
        <w:t xml:space="preserve">F. Kim, “RSA Conference 2018,” in </w:t>
      </w:r>
      <w:r w:rsidRPr="00E56EF4">
        <w:rPr>
          <w:rFonts w:ascii="Calibri" w:hAnsi="Calibri" w:cs="Calibri"/>
          <w:i/>
          <w:iCs/>
          <w:noProof/>
          <w:szCs w:val="24"/>
        </w:rPr>
        <w:t>How to Make Sense of Cybersecurity Frameworks</w:t>
      </w:r>
      <w:r w:rsidRPr="00E56EF4">
        <w:rPr>
          <w:rFonts w:ascii="Calibri" w:hAnsi="Calibri" w:cs="Calibri"/>
          <w:noProof/>
          <w:szCs w:val="24"/>
        </w:rPr>
        <w:t>, 2018, pp. 47–51.</w:t>
      </w:r>
    </w:p>
    <w:p w14:paraId="2722D71F"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[7]</w:t>
      </w:r>
      <w:r w:rsidRPr="00E56EF4">
        <w:rPr>
          <w:rFonts w:ascii="Calibri" w:hAnsi="Calibri" w:cs="Calibri"/>
          <w:noProof/>
          <w:szCs w:val="24"/>
        </w:rPr>
        <w:tab/>
        <w:t>B. Obama, “Foreign Policy Cyber Security | The White House.” [Online]. Available: https://obamawhitehouse.archives.gov/issues/foreign-policy/cybersecurity/eo-13636. [Accessed: 31-Dec-2020].</w:t>
      </w:r>
    </w:p>
    <w:p w14:paraId="7EA37C6D"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[8]</w:t>
      </w:r>
      <w:r w:rsidRPr="00E56EF4">
        <w:rPr>
          <w:rFonts w:ascii="Calibri" w:hAnsi="Calibri" w:cs="Calibri"/>
          <w:noProof/>
          <w:szCs w:val="24"/>
        </w:rPr>
        <w:tab/>
        <w:t>F. P. Landes, “General Perspectives,” 2016, pp. 191–192.</w:t>
      </w:r>
    </w:p>
    <w:p w14:paraId="60E95C54"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[9]</w:t>
      </w:r>
      <w:r w:rsidRPr="00E56EF4">
        <w:rPr>
          <w:rFonts w:ascii="Calibri" w:hAnsi="Calibri" w:cs="Calibri"/>
          <w:noProof/>
          <w:szCs w:val="24"/>
        </w:rPr>
        <w:tab/>
        <w:t xml:space="preserve">M. Barrett, “Framework for improving critical infrastructure cybersecurity,” in </w:t>
      </w:r>
      <w:r w:rsidRPr="00E56EF4">
        <w:rPr>
          <w:rFonts w:ascii="Calibri" w:hAnsi="Calibri" w:cs="Calibri"/>
          <w:i/>
          <w:iCs/>
          <w:noProof/>
          <w:szCs w:val="24"/>
        </w:rPr>
        <w:t>Proceedings of the Annual ISA Analysis Division Symposium</w:t>
      </w:r>
      <w:r w:rsidRPr="00E56EF4">
        <w:rPr>
          <w:rFonts w:ascii="Calibri" w:hAnsi="Calibri" w:cs="Calibri"/>
          <w:noProof/>
          <w:szCs w:val="24"/>
        </w:rPr>
        <w:t>, 2018, vol. 535, pp. 9–25.</w:t>
      </w:r>
    </w:p>
    <w:p w14:paraId="7387F0BB"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[10]</w:t>
      </w:r>
      <w:r w:rsidRPr="00E56EF4">
        <w:rPr>
          <w:rFonts w:ascii="Calibri" w:hAnsi="Calibri" w:cs="Calibri"/>
          <w:noProof/>
          <w:szCs w:val="24"/>
        </w:rPr>
        <w:tab/>
        <w:t xml:space="preserve">L. A. Gordon, M. P. Loeb, and L. Zhou, “Integrating cost–benefit analysis into the NIST Cybersecurity Framework via the Gordon–Loeb Model,” </w:t>
      </w:r>
      <w:r w:rsidRPr="00E56EF4">
        <w:rPr>
          <w:rFonts w:ascii="Calibri" w:hAnsi="Calibri" w:cs="Calibri"/>
          <w:i/>
          <w:iCs/>
          <w:noProof/>
          <w:szCs w:val="24"/>
        </w:rPr>
        <w:t>J. Cybersecurity</w:t>
      </w:r>
      <w:r w:rsidRPr="00E56EF4">
        <w:rPr>
          <w:rFonts w:ascii="Calibri" w:hAnsi="Calibri" w:cs="Calibri"/>
          <w:noProof/>
          <w:szCs w:val="24"/>
        </w:rPr>
        <w:t>, vol. 6, no. 1, Jan. 2020.</w:t>
      </w:r>
    </w:p>
    <w:p w14:paraId="412B3D8E"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[11]</w:t>
      </w:r>
      <w:r w:rsidRPr="00E56EF4">
        <w:rPr>
          <w:rFonts w:ascii="Calibri" w:hAnsi="Calibri" w:cs="Calibri"/>
          <w:noProof/>
          <w:szCs w:val="24"/>
        </w:rPr>
        <w:tab/>
        <w:t xml:space="preserve">O. Santos, </w:t>
      </w:r>
      <w:r w:rsidRPr="00E56EF4">
        <w:rPr>
          <w:rFonts w:ascii="Calibri" w:hAnsi="Calibri" w:cs="Calibri"/>
          <w:i/>
          <w:iCs/>
          <w:noProof/>
          <w:szCs w:val="24"/>
        </w:rPr>
        <w:t>Developing Cybersecurity Programs &amp; Policies</w:t>
      </w:r>
      <w:r w:rsidRPr="00E56EF4">
        <w:rPr>
          <w:rFonts w:ascii="Calibri" w:hAnsi="Calibri" w:cs="Calibri"/>
          <w:noProof/>
          <w:szCs w:val="24"/>
        </w:rPr>
        <w:t>. Pearsons Education, 2019.</w:t>
      </w:r>
    </w:p>
    <w:p w14:paraId="32E541BC"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[12]</w:t>
      </w:r>
      <w:r w:rsidRPr="00E56EF4">
        <w:rPr>
          <w:rFonts w:ascii="Calibri" w:hAnsi="Calibri" w:cs="Calibri"/>
          <w:noProof/>
          <w:szCs w:val="24"/>
        </w:rPr>
        <w:tab/>
        <w:t>“New 2019 Global Survey: IoT-Focused Cyberattacks are the New Normal.” [Online]. Available: https://resources.irdeto.com/global-connected-industries-cybersecurity-survey/new-2019-global-survey-iot-focused-cyberattacks-are-the-new-normal. [Accessed: 03-Jan-2021].</w:t>
      </w:r>
    </w:p>
    <w:p w14:paraId="20179846"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[13]</w:t>
      </w:r>
      <w:r w:rsidRPr="00E56EF4">
        <w:rPr>
          <w:rFonts w:ascii="Calibri" w:hAnsi="Calibri" w:cs="Calibri"/>
          <w:noProof/>
          <w:szCs w:val="24"/>
        </w:rPr>
        <w:tab/>
        <w:t xml:space="preserve">N. Tissir, S. El Kafhali, and N. Aboutabit, “Cybersecurity management in cloud computing: semantic literature review and conceptual framework proposal,” </w:t>
      </w:r>
      <w:r w:rsidRPr="00E56EF4">
        <w:rPr>
          <w:rFonts w:ascii="Calibri" w:hAnsi="Calibri" w:cs="Calibri"/>
          <w:i/>
          <w:iCs/>
          <w:noProof/>
          <w:szCs w:val="24"/>
        </w:rPr>
        <w:t>J. Reliab. Intell. Environ.</w:t>
      </w:r>
      <w:r w:rsidRPr="00E56EF4">
        <w:rPr>
          <w:rFonts w:ascii="Calibri" w:hAnsi="Calibri" w:cs="Calibri"/>
          <w:noProof/>
          <w:szCs w:val="24"/>
        </w:rPr>
        <w:t>, pp. 1–16, Oct. 2020.</w:t>
      </w:r>
    </w:p>
    <w:p w14:paraId="44397A24"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[14]</w:t>
      </w:r>
      <w:r w:rsidRPr="00E56EF4">
        <w:rPr>
          <w:rFonts w:ascii="Calibri" w:hAnsi="Calibri" w:cs="Calibri"/>
          <w:noProof/>
          <w:szCs w:val="24"/>
        </w:rPr>
        <w:tab/>
        <w:t xml:space="preserve">I. Lee, “Internet of Things (IoT) Cybersecurity: Literature Review and IoT Cyber Risk Management,” </w:t>
      </w:r>
      <w:r w:rsidRPr="00E56EF4">
        <w:rPr>
          <w:rFonts w:ascii="Calibri" w:hAnsi="Calibri" w:cs="Calibri"/>
          <w:i/>
          <w:iCs/>
          <w:noProof/>
          <w:szCs w:val="24"/>
        </w:rPr>
        <w:t>Futur. Internet</w:t>
      </w:r>
      <w:r w:rsidRPr="00E56EF4">
        <w:rPr>
          <w:rFonts w:ascii="Calibri" w:hAnsi="Calibri" w:cs="Calibri"/>
          <w:noProof/>
          <w:szCs w:val="24"/>
        </w:rPr>
        <w:t>, vol. 12, no. 9, p. 157, Sep. 2020.</w:t>
      </w:r>
    </w:p>
    <w:p w14:paraId="6C0F8035"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[15]</w:t>
      </w:r>
      <w:r w:rsidRPr="00E56EF4">
        <w:rPr>
          <w:rFonts w:ascii="Calibri" w:hAnsi="Calibri" w:cs="Calibri"/>
          <w:noProof/>
          <w:szCs w:val="24"/>
        </w:rPr>
        <w:tab/>
        <w:t xml:space="preserve">H. Iguer, H. Medromi, A. Sayouti, S. Elhasnaoui, and S. Faris, “The impact of cyber security issues on businesses and governments: A framework for implementing a cyber security plan,” in </w:t>
      </w:r>
      <w:r w:rsidRPr="00E56EF4">
        <w:rPr>
          <w:rFonts w:ascii="Calibri" w:hAnsi="Calibri" w:cs="Calibri"/>
          <w:i/>
          <w:iCs/>
          <w:noProof/>
          <w:szCs w:val="24"/>
        </w:rPr>
        <w:t>Proceedings - 2014 International Conference on Future Internet of Things and Cloud, FiCloud 2014</w:t>
      </w:r>
      <w:r w:rsidRPr="00E56EF4">
        <w:rPr>
          <w:rFonts w:ascii="Calibri" w:hAnsi="Calibri" w:cs="Calibri"/>
          <w:noProof/>
          <w:szCs w:val="24"/>
        </w:rPr>
        <w:t>, 2014, pp. 316–321.</w:t>
      </w:r>
    </w:p>
    <w:p w14:paraId="29B655E2"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[16]</w:t>
      </w:r>
      <w:r w:rsidRPr="00E56EF4">
        <w:rPr>
          <w:rFonts w:ascii="Calibri" w:hAnsi="Calibri" w:cs="Calibri"/>
          <w:noProof/>
          <w:szCs w:val="24"/>
        </w:rPr>
        <w:tab/>
        <w:t xml:space="preserve">W. Miron and K. Muita, “Cybersecurity Capability Maturity Models for Providers of Critical Infrastructure,” </w:t>
      </w:r>
      <w:r w:rsidRPr="00E56EF4">
        <w:rPr>
          <w:rFonts w:ascii="Calibri" w:hAnsi="Calibri" w:cs="Calibri"/>
          <w:i/>
          <w:iCs/>
          <w:noProof/>
          <w:szCs w:val="24"/>
        </w:rPr>
        <w:t>Technol. Innov. Manag. Rev.</w:t>
      </w:r>
      <w:r w:rsidRPr="00E56EF4">
        <w:rPr>
          <w:rFonts w:ascii="Calibri" w:hAnsi="Calibri" w:cs="Calibri"/>
          <w:noProof/>
          <w:szCs w:val="24"/>
        </w:rPr>
        <w:t>, vol. 4, no. 10, pp. 33–39, Oct. 2014.</w:t>
      </w:r>
    </w:p>
    <w:p w14:paraId="530996D7"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[17]</w:t>
      </w:r>
      <w:r w:rsidRPr="00E56EF4">
        <w:rPr>
          <w:rFonts w:ascii="Calibri" w:hAnsi="Calibri" w:cs="Calibri"/>
          <w:noProof/>
          <w:szCs w:val="24"/>
        </w:rPr>
        <w:tab/>
        <w:t>S. Almuhammadi and M. Alsaleh, “Information Security Maturity Model for Nist Cyber Security Framework,” 2017, pp. 51–62.</w:t>
      </w:r>
    </w:p>
    <w:p w14:paraId="31ECAAD8"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[18]</w:t>
      </w:r>
      <w:r w:rsidRPr="00E56EF4">
        <w:rPr>
          <w:rFonts w:ascii="Calibri" w:hAnsi="Calibri" w:cs="Calibri"/>
          <w:noProof/>
          <w:szCs w:val="24"/>
        </w:rPr>
        <w:tab/>
        <w:t xml:space="preserve">R. Kour, R. Karim, and A. Thaduri, “Cybersecurity for railways – A maturity model,” </w:t>
      </w:r>
      <w:r w:rsidRPr="00E56EF4">
        <w:rPr>
          <w:rFonts w:ascii="Calibri" w:hAnsi="Calibri" w:cs="Calibri"/>
          <w:i/>
          <w:iCs/>
          <w:noProof/>
          <w:szCs w:val="24"/>
        </w:rPr>
        <w:t>Proc. Inst. Mech. Eng. Part F J. Rail Rapid Transit</w:t>
      </w:r>
      <w:r w:rsidRPr="00E56EF4">
        <w:rPr>
          <w:rFonts w:ascii="Calibri" w:hAnsi="Calibri" w:cs="Calibri"/>
          <w:noProof/>
          <w:szCs w:val="24"/>
        </w:rPr>
        <w:t>, vol. 234, no. 10, pp. 1129–1148, Nov. 2020.</w:t>
      </w:r>
    </w:p>
    <w:p w14:paraId="5F62FA28"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[19]</w:t>
      </w:r>
      <w:r w:rsidRPr="00E56EF4">
        <w:rPr>
          <w:rFonts w:ascii="Calibri" w:hAnsi="Calibri" w:cs="Calibri"/>
          <w:noProof/>
          <w:szCs w:val="24"/>
        </w:rPr>
        <w:tab/>
        <w:t xml:space="preserve">A. Rabii, S. Assoul, K. Ouazzani Touhami, and O. Roudies, “Information and cyber security maturity models: a systematic literature review,” </w:t>
      </w:r>
      <w:r w:rsidRPr="00E56EF4">
        <w:rPr>
          <w:rFonts w:ascii="Calibri" w:hAnsi="Calibri" w:cs="Calibri"/>
          <w:i/>
          <w:iCs/>
          <w:noProof/>
          <w:szCs w:val="24"/>
        </w:rPr>
        <w:t>Inf. Comput. Secur.</w:t>
      </w:r>
      <w:r w:rsidRPr="00E56EF4">
        <w:rPr>
          <w:rFonts w:ascii="Calibri" w:hAnsi="Calibri" w:cs="Calibri"/>
          <w:noProof/>
          <w:szCs w:val="24"/>
        </w:rPr>
        <w:t>, vol. 28, no. 4, pp. 627–644, Jun. 2020.</w:t>
      </w:r>
    </w:p>
    <w:p w14:paraId="7323BAA0"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[20]</w:t>
      </w:r>
      <w:r w:rsidRPr="00E56EF4">
        <w:rPr>
          <w:rFonts w:ascii="Calibri" w:hAnsi="Calibri" w:cs="Calibri"/>
          <w:noProof/>
          <w:szCs w:val="24"/>
        </w:rPr>
        <w:tab/>
        <w:t xml:space="preserve">D. Wilson, E. Roman, and I. Beierly, “PCI DSS and card brands: Standards, compliance and enforcement,” </w:t>
      </w:r>
      <w:r w:rsidRPr="00E56EF4">
        <w:rPr>
          <w:rFonts w:ascii="Calibri" w:hAnsi="Calibri" w:cs="Calibri"/>
          <w:i/>
          <w:iCs/>
          <w:noProof/>
          <w:szCs w:val="24"/>
        </w:rPr>
        <w:t>Cyber Secur. A Peer-Reviewed J.</w:t>
      </w:r>
      <w:r w:rsidRPr="00E56EF4">
        <w:rPr>
          <w:rFonts w:ascii="Calibri" w:hAnsi="Calibri" w:cs="Calibri"/>
          <w:noProof/>
          <w:szCs w:val="24"/>
        </w:rPr>
        <w:t>, vol. 2, no. 1, pp. 73–82, 2018.</w:t>
      </w:r>
    </w:p>
    <w:p w14:paraId="3CBB941F"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[21]</w:t>
      </w:r>
      <w:r w:rsidRPr="00E56EF4">
        <w:rPr>
          <w:rFonts w:ascii="Calibri" w:hAnsi="Calibri" w:cs="Calibri"/>
          <w:noProof/>
          <w:szCs w:val="24"/>
        </w:rPr>
        <w:tab/>
        <w:t xml:space="preserve">E. Bonner, J. O’ Raw, and K. Curran, “Implementing the payment card industry (PCI) data security standard (DSS),” </w:t>
      </w:r>
      <w:r w:rsidRPr="00E56EF4">
        <w:rPr>
          <w:rFonts w:ascii="Calibri" w:hAnsi="Calibri" w:cs="Calibri"/>
          <w:i/>
          <w:iCs/>
          <w:noProof/>
          <w:szCs w:val="24"/>
        </w:rPr>
        <w:t>Telkomnika</w:t>
      </w:r>
      <w:r w:rsidRPr="00E56EF4">
        <w:rPr>
          <w:rFonts w:ascii="Calibri" w:hAnsi="Calibri" w:cs="Calibri"/>
          <w:noProof/>
          <w:szCs w:val="24"/>
        </w:rPr>
        <w:t>, vol. 9, no. 2, pp. 365–376, Aug. 2011.</w:t>
      </w:r>
    </w:p>
    <w:p w14:paraId="032E36D1"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[22]</w:t>
      </w:r>
      <w:r w:rsidRPr="00E56EF4">
        <w:rPr>
          <w:rFonts w:ascii="Calibri" w:hAnsi="Calibri" w:cs="Calibri"/>
          <w:noProof/>
          <w:szCs w:val="24"/>
        </w:rPr>
        <w:tab/>
        <w:t>D. Kenga, “A Survey of Challenges Facing PCI DSS Compliance in Cloud Environments,” 2016.</w:t>
      </w:r>
    </w:p>
    <w:p w14:paraId="1EF9A354"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[23]</w:t>
      </w:r>
      <w:r w:rsidRPr="00E56EF4">
        <w:rPr>
          <w:rFonts w:ascii="Calibri" w:hAnsi="Calibri" w:cs="Calibri"/>
          <w:noProof/>
          <w:szCs w:val="24"/>
        </w:rPr>
        <w:tab/>
        <w:t xml:space="preserve">K. Berezina, “Top issues in PCI DSS compliance in hotels: An exploratory study,” </w:t>
      </w:r>
      <w:r w:rsidRPr="00E56EF4">
        <w:rPr>
          <w:rFonts w:ascii="Calibri" w:hAnsi="Calibri" w:cs="Calibri"/>
          <w:i/>
          <w:iCs/>
          <w:noProof/>
          <w:szCs w:val="24"/>
        </w:rPr>
        <w:t>J. Hosp. Tour. Technol.</w:t>
      </w:r>
      <w:r w:rsidRPr="00E56EF4">
        <w:rPr>
          <w:rFonts w:ascii="Calibri" w:hAnsi="Calibri" w:cs="Calibri"/>
          <w:noProof/>
          <w:szCs w:val="24"/>
        </w:rPr>
        <w:t>, vol. 1, no. 3, pp. 218–233, Oct. 2010.</w:t>
      </w:r>
    </w:p>
    <w:p w14:paraId="69FB9838"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lastRenderedPageBreak/>
        <w:t>[24]</w:t>
      </w:r>
      <w:r w:rsidRPr="00E56EF4">
        <w:rPr>
          <w:rFonts w:ascii="Calibri" w:hAnsi="Calibri" w:cs="Calibri"/>
          <w:noProof/>
          <w:szCs w:val="24"/>
        </w:rPr>
        <w:tab/>
        <w:t xml:space="preserve">J. Liu, Y. Xiao, H. Chen, S. Ozdemir, S. Dodle, and V. Singh, “A survey of payment card industry data security standard,” </w:t>
      </w:r>
      <w:r w:rsidRPr="00E56EF4">
        <w:rPr>
          <w:rFonts w:ascii="Calibri" w:hAnsi="Calibri" w:cs="Calibri"/>
          <w:i/>
          <w:iCs/>
          <w:noProof/>
          <w:szCs w:val="24"/>
        </w:rPr>
        <w:t>IEEE Commun. Surv. Tutorials</w:t>
      </w:r>
      <w:r w:rsidRPr="00E56EF4">
        <w:rPr>
          <w:rFonts w:ascii="Calibri" w:hAnsi="Calibri" w:cs="Calibri"/>
          <w:noProof/>
          <w:szCs w:val="24"/>
        </w:rPr>
        <w:t>, vol. 12, no. 3, pp. 287–303, Sep. 2010.</w:t>
      </w:r>
    </w:p>
    <w:p w14:paraId="740B90DB"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[25]</w:t>
      </w:r>
      <w:r w:rsidRPr="00E56EF4">
        <w:rPr>
          <w:rFonts w:ascii="Calibri" w:hAnsi="Calibri" w:cs="Calibri"/>
          <w:noProof/>
          <w:szCs w:val="24"/>
        </w:rPr>
        <w:tab/>
        <w:t>“What is PCI DSS | Compliance Levels, Certification &amp; Requirements | Imperva.” [Online]. Available: https://www.imperva.com/learn/data-security/pci-dss-certification/. [Accessed: 05-Jan-2021].</w:t>
      </w:r>
    </w:p>
    <w:p w14:paraId="7AC10CB4"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[26]</w:t>
      </w:r>
      <w:r w:rsidRPr="00E56EF4">
        <w:rPr>
          <w:rFonts w:ascii="Calibri" w:hAnsi="Calibri" w:cs="Calibri"/>
          <w:noProof/>
          <w:szCs w:val="24"/>
        </w:rPr>
        <w:tab/>
        <w:t xml:space="preserve">L. Elluri, A. Nagar, and K. P. Joshi, “An Integrated Knowledge Graph to Automate GDPR and PCI DSS Compliance,” in </w:t>
      </w:r>
      <w:r w:rsidRPr="00E56EF4">
        <w:rPr>
          <w:rFonts w:ascii="Calibri" w:hAnsi="Calibri" w:cs="Calibri"/>
          <w:i/>
          <w:iCs/>
          <w:noProof/>
          <w:szCs w:val="24"/>
        </w:rPr>
        <w:t>Proceedings - 2018 IEEE International Conference on Big Data, Big Data 2018</w:t>
      </w:r>
      <w:r w:rsidRPr="00E56EF4">
        <w:rPr>
          <w:rFonts w:ascii="Calibri" w:hAnsi="Calibri" w:cs="Calibri"/>
          <w:noProof/>
          <w:szCs w:val="24"/>
        </w:rPr>
        <w:t>, 2019, pp. 1266–1271.</w:t>
      </w:r>
    </w:p>
    <w:p w14:paraId="5B114C00"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[27]</w:t>
      </w:r>
      <w:r w:rsidRPr="00E56EF4">
        <w:rPr>
          <w:rFonts w:ascii="Calibri" w:hAnsi="Calibri" w:cs="Calibri"/>
          <w:noProof/>
          <w:szCs w:val="24"/>
        </w:rPr>
        <w:tab/>
        <w:t>C. Moldes, “Compliant but not Secure: Why PCI-Certified Companies Are Being Breached,” 2015.</w:t>
      </w:r>
    </w:p>
    <w:p w14:paraId="419D8A85"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[28]</w:t>
      </w:r>
      <w:r w:rsidRPr="00E56EF4">
        <w:rPr>
          <w:rFonts w:ascii="Calibri" w:hAnsi="Calibri" w:cs="Calibri"/>
          <w:noProof/>
          <w:szCs w:val="24"/>
        </w:rPr>
        <w:tab/>
        <w:t xml:space="preserve">I. M. Lopes, T. Guarda, and P. Oliveira, “Implementation of ISO 27001 Standards as GDPR Compliance Facilitator,” </w:t>
      </w:r>
      <w:r w:rsidRPr="00E56EF4">
        <w:rPr>
          <w:rFonts w:ascii="Calibri" w:hAnsi="Calibri" w:cs="Calibri"/>
          <w:i/>
          <w:iCs/>
          <w:noProof/>
          <w:szCs w:val="24"/>
        </w:rPr>
        <w:t>J. Inf. Syst. Eng. Manag.</w:t>
      </w:r>
      <w:r w:rsidRPr="00E56EF4">
        <w:rPr>
          <w:rFonts w:ascii="Calibri" w:hAnsi="Calibri" w:cs="Calibri"/>
          <w:noProof/>
          <w:szCs w:val="24"/>
        </w:rPr>
        <w:t>, vol. 4, no. 2, pp. 1–8, 2019.</w:t>
      </w:r>
    </w:p>
    <w:p w14:paraId="53D7E715"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[29]</w:t>
      </w:r>
      <w:r w:rsidRPr="00E56EF4">
        <w:rPr>
          <w:rFonts w:ascii="Calibri" w:hAnsi="Calibri" w:cs="Calibri"/>
          <w:noProof/>
          <w:szCs w:val="24"/>
        </w:rPr>
        <w:tab/>
        <w:t xml:space="preserve">P. P. Roy, “A High-Level Comparison between the NIST Cyber Security Framework and the ISO 27001 Information Security Standard,” in </w:t>
      </w:r>
      <w:r w:rsidRPr="00E56EF4">
        <w:rPr>
          <w:rFonts w:ascii="Calibri" w:hAnsi="Calibri" w:cs="Calibri"/>
          <w:i/>
          <w:iCs/>
          <w:noProof/>
          <w:szCs w:val="24"/>
        </w:rPr>
        <w:t>2020 National Conference on Emerging Trends on Sustainable Technology and Engineering Applications, NCETSTEA 2020</w:t>
      </w:r>
      <w:r w:rsidRPr="00E56EF4">
        <w:rPr>
          <w:rFonts w:ascii="Calibri" w:hAnsi="Calibri" w:cs="Calibri"/>
          <w:noProof/>
          <w:szCs w:val="24"/>
        </w:rPr>
        <w:t>, 2020.</w:t>
      </w:r>
    </w:p>
    <w:p w14:paraId="1CC8F782"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[30]</w:t>
      </w:r>
      <w:r w:rsidRPr="00E56EF4">
        <w:rPr>
          <w:rFonts w:ascii="Calibri" w:hAnsi="Calibri" w:cs="Calibri"/>
          <w:noProof/>
          <w:szCs w:val="24"/>
        </w:rPr>
        <w:tab/>
        <w:t xml:space="preserve">A. Nasser and A. A. Nasser, “Information security gap analysis based on ISO 27001: 2013 standard: A case study of the Yemeni Academy for Graduate Studies, Sana’a, Yemen,” </w:t>
      </w:r>
      <w:r w:rsidRPr="00E56EF4">
        <w:rPr>
          <w:rFonts w:ascii="Calibri" w:hAnsi="Calibri" w:cs="Calibri"/>
          <w:i/>
          <w:iCs/>
          <w:noProof/>
          <w:szCs w:val="24"/>
        </w:rPr>
        <w:t>Int. J. Sci. Res. Multidiscip. Stud.</w:t>
      </w:r>
      <w:r w:rsidRPr="00E56EF4">
        <w:rPr>
          <w:rFonts w:ascii="Calibri" w:hAnsi="Calibri" w:cs="Calibri"/>
          <w:noProof/>
          <w:szCs w:val="24"/>
        </w:rPr>
        <w:t>, vol. 3, no. 11, pp. 4–13, 2017.</w:t>
      </w:r>
    </w:p>
    <w:p w14:paraId="64CBF8C3"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[31]</w:t>
      </w:r>
      <w:r w:rsidRPr="00E56EF4">
        <w:rPr>
          <w:rFonts w:ascii="Calibri" w:hAnsi="Calibri" w:cs="Calibri"/>
          <w:noProof/>
          <w:szCs w:val="24"/>
        </w:rPr>
        <w:tab/>
        <w:t xml:space="preserve">E. H. Freeman, “Holistic information security: ISO 27001 and due care,” </w:t>
      </w:r>
      <w:r w:rsidRPr="00E56EF4">
        <w:rPr>
          <w:rFonts w:ascii="Calibri" w:hAnsi="Calibri" w:cs="Calibri"/>
          <w:i/>
          <w:iCs/>
          <w:noProof/>
          <w:szCs w:val="24"/>
        </w:rPr>
        <w:t>Inf. Syst. Secur.</w:t>
      </w:r>
      <w:r w:rsidRPr="00E56EF4">
        <w:rPr>
          <w:rFonts w:ascii="Calibri" w:hAnsi="Calibri" w:cs="Calibri"/>
          <w:noProof/>
          <w:szCs w:val="24"/>
        </w:rPr>
        <w:t>, vol. 16, no. 5, pp. 291–294, 2007.</w:t>
      </w:r>
    </w:p>
    <w:p w14:paraId="00133612"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[32]</w:t>
      </w:r>
      <w:r w:rsidRPr="00E56EF4">
        <w:rPr>
          <w:rFonts w:ascii="Calibri" w:hAnsi="Calibri" w:cs="Calibri"/>
          <w:noProof/>
          <w:szCs w:val="24"/>
        </w:rPr>
        <w:tab/>
        <w:t xml:space="preserve">G. Disterer, “ISO/IEC 27000, 27001 and 27002 for Information Security Management,” </w:t>
      </w:r>
      <w:r w:rsidRPr="00E56EF4">
        <w:rPr>
          <w:rFonts w:ascii="Calibri" w:hAnsi="Calibri" w:cs="Calibri"/>
          <w:i/>
          <w:iCs/>
          <w:noProof/>
          <w:szCs w:val="24"/>
        </w:rPr>
        <w:t>J. Inf. Secur.</w:t>
      </w:r>
      <w:r w:rsidRPr="00E56EF4">
        <w:rPr>
          <w:rFonts w:ascii="Calibri" w:hAnsi="Calibri" w:cs="Calibri"/>
          <w:noProof/>
          <w:szCs w:val="24"/>
        </w:rPr>
        <w:t>, vol. 04, no. 02, pp. 92–100, Apr. 2013.</w:t>
      </w:r>
    </w:p>
    <w:p w14:paraId="7C0E1339"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[33]</w:t>
      </w:r>
      <w:r w:rsidRPr="00E56EF4">
        <w:rPr>
          <w:rFonts w:ascii="Calibri" w:hAnsi="Calibri" w:cs="Calibri"/>
          <w:noProof/>
          <w:szCs w:val="24"/>
        </w:rPr>
        <w:tab/>
        <w:t>I. Al-Mayahi and  ad P. Mansoor, “ISO 27001 Gap Analysis-Case Study.”</w:t>
      </w:r>
    </w:p>
    <w:p w14:paraId="430464E0"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[34]</w:t>
      </w:r>
      <w:r w:rsidRPr="00E56EF4">
        <w:rPr>
          <w:rFonts w:ascii="Calibri" w:hAnsi="Calibri" w:cs="Calibri"/>
          <w:noProof/>
          <w:szCs w:val="24"/>
        </w:rPr>
        <w:tab/>
        <w:t xml:space="preserve">A. Giesler, “ISO 27001 requirements and structure,” </w:t>
      </w:r>
      <w:r w:rsidRPr="00E56EF4">
        <w:rPr>
          <w:rFonts w:ascii="Calibri" w:hAnsi="Calibri" w:cs="Calibri"/>
          <w:i/>
          <w:iCs/>
          <w:noProof/>
          <w:szCs w:val="24"/>
        </w:rPr>
        <w:t>Advisera Expert Solutions</w:t>
      </w:r>
      <w:r w:rsidRPr="00E56EF4">
        <w:rPr>
          <w:rFonts w:ascii="Calibri" w:hAnsi="Calibri" w:cs="Calibri"/>
          <w:noProof/>
          <w:szCs w:val="24"/>
        </w:rPr>
        <w:t>, 2019. [Online]. Available: https://advisera.com/27001academy/blog/2019/06/03/iso-27001-requirements-and-structure/. [Accessed: 06-Jan-2021].</w:t>
      </w:r>
    </w:p>
    <w:p w14:paraId="1A9EAD89"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[35]</w:t>
      </w:r>
      <w:r w:rsidRPr="00E56EF4">
        <w:rPr>
          <w:rFonts w:ascii="Calibri" w:hAnsi="Calibri" w:cs="Calibri"/>
          <w:noProof/>
          <w:szCs w:val="24"/>
        </w:rPr>
        <w:tab/>
        <w:t xml:space="preserve">W. Boehmer, “Cost-benefit trade-off analysis of an ISMS based on ISO 27001,” in </w:t>
      </w:r>
      <w:r w:rsidRPr="00E56EF4">
        <w:rPr>
          <w:rFonts w:ascii="Calibri" w:hAnsi="Calibri" w:cs="Calibri"/>
          <w:i/>
          <w:iCs/>
          <w:noProof/>
          <w:szCs w:val="24"/>
        </w:rPr>
        <w:t>Proceedings - International Conference on Availability, Reliability and Security, ARES 2009</w:t>
      </w:r>
      <w:r w:rsidRPr="00E56EF4">
        <w:rPr>
          <w:rFonts w:ascii="Calibri" w:hAnsi="Calibri" w:cs="Calibri"/>
          <w:noProof/>
          <w:szCs w:val="24"/>
        </w:rPr>
        <w:t>, 2009, pp. 392–399.</w:t>
      </w:r>
    </w:p>
    <w:p w14:paraId="5474112C"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[36]</w:t>
      </w:r>
      <w:r w:rsidRPr="00E56EF4">
        <w:rPr>
          <w:rFonts w:ascii="Calibri" w:hAnsi="Calibri" w:cs="Calibri"/>
          <w:noProof/>
          <w:szCs w:val="24"/>
        </w:rPr>
        <w:tab/>
        <w:t xml:space="preserve">V. Diamantopoulou, A. Tsohou, and M. Karyda, “From ISO/IEC27001:2013 and ISO/IEC27002:2013 to GDPR compliance controls,” </w:t>
      </w:r>
      <w:r w:rsidRPr="00E56EF4">
        <w:rPr>
          <w:rFonts w:ascii="Calibri" w:hAnsi="Calibri" w:cs="Calibri"/>
          <w:i/>
          <w:iCs/>
          <w:noProof/>
          <w:szCs w:val="24"/>
        </w:rPr>
        <w:t>Inf. Comput. Secur.</w:t>
      </w:r>
      <w:r w:rsidRPr="00E56EF4">
        <w:rPr>
          <w:rFonts w:ascii="Calibri" w:hAnsi="Calibri" w:cs="Calibri"/>
          <w:noProof/>
          <w:szCs w:val="24"/>
        </w:rPr>
        <w:t>, vol. 28, no. 4, pp. 645–662, Jun. 2020.</w:t>
      </w:r>
    </w:p>
    <w:p w14:paraId="03C3ABDD"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[37]</w:t>
      </w:r>
      <w:r w:rsidRPr="00E56EF4">
        <w:rPr>
          <w:rFonts w:ascii="Calibri" w:hAnsi="Calibri" w:cs="Calibri"/>
          <w:noProof/>
          <w:szCs w:val="24"/>
        </w:rPr>
        <w:tab/>
        <w:t xml:space="preserve">C. Pelnekar, “Planning for and Implementing ISO 27001,” </w:t>
      </w:r>
      <w:r w:rsidRPr="00E56EF4">
        <w:rPr>
          <w:rFonts w:ascii="Calibri" w:hAnsi="Calibri" w:cs="Calibri"/>
          <w:i/>
          <w:iCs/>
          <w:noProof/>
          <w:szCs w:val="24"/>
        </w:rPr>
        <w:t>ISACA J.</w:t>
      </w:r>
      <w:r w:rsidRPr="00E56EF4">
        <w:rPr>
          <w:rFonts w:ascii="Calibri" w:hAnsi="Calibri" w:cs="Calibri"/>
          <w:noProof/>
          <w:szCs w:val="24"/>
        </w:rPr>
        <w:t>, 2011.</w:t>
      </w:r>
    </w:p>
    <w:p w14:paraId="04A4FFD3"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[38]</w:t>
      </w:r>
      <w:r w:rsidRPr="00E56EF4">
        <w:rPr>
          <w:rFonts w:ascii="Calibri" w:hAnsi="Calibri" w:cs="Calibri"/>
          <w:noProof/>
          <w:szCs w:val="24"/>
        </w:rPr>
        <w:tab/>
        <w:t xml:space="preserve">M. Ahmed and M. Ashraf Hossain, “Cloud Computing and Security Issues in the Cloud,” </w:t>
      </w:r>
      <w:r w:rsidRPr="00E56EF4">
        <w:rPr>
          <w:rFonts w:ascii="Calibri" w:hAnsi="Calibri" w:cs="Calibri"/>
          <w:i/>
          <w:iCs/>
          <w:noProof/>
          <w:szCs w:val="24"/>
        </w:rPr>
        <w:t>Int. J. Netw. Secur. Its Appl.</w:t>
      </w:r>
      <w:r w:rsidRPr="00E56EF4">
        <w:rPr>
          <w:rFonts w:ascii="Calibri" w:hAnsi="Calibri" w:cs="Calibri"/>
          <w:noProof/>
          <w:szCs w:val="24"/>
        </w:rPr>
        <w:t>, vol. 6, no. 1, pp. 25–36, Jan. 2014.</w:t>
      </w:r>
    </w:p>
    <w:p w14:paraId="48F70084"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szCs w:val="24"/>
        </w:rPr>
      </w:pPr>
      <w:r w:rsidRPr="00E56EF4">
        <w:rPr>
          <w:rFonts w:ascii="Calibri" w:hAnsi="Calibri" w:cs="Calibri"/>
          <w:noProof/>
          <w:szCs w:val="24"/>
        </w:rPr>
        <w:t>[39]</w:t>
      </w:r>
      <w:r w:rsidRPr="00E56EF4">
        <w:rPr>
          <w:rFonts w:ascii="Calibri" w:hAnsi="Calibri" w:cs="Calibri"/>
          <w:noProof/>
          <w:szCs w:val="24"/>
        </w:rPr>
        <w:tab/>
        <w:t xml:space="preserve">K. Hashizume, D. G. Rosado, E. Fernández-Medina, and E. B. Fernandez, “An analysis of security issues for cloud computing,” </w:t>
      </w:r>
      <w:r w:rsidRPr="00E56EF4">
        <w:rPr>
          <w:rFonts w:ascii="Calibri" w:hAnsi="Calibri" w:cs="Calibri"/>
          <w:i/>
          <w:iCs/>
          <w:noProof/>
          <w:szCs w:val="24"/>
        </w:rPr>
        <w:t>J. Internet Serv. Appl.</w:t>
      </w:r>
      <w:r w:rsidRPr="00E56EF4">
        <w:rPr>
          <w:rFonts w:ascii="Calibri" w:hAnsi="Calibri" w:cs="Calibri"/>
          <w:noProof/>
          <w:szCs w:val="24"/>
        </w:rPr>
        <w:t>, vol. 4, no. 1, pp. 1–13, Feb. 2013.</w:t>
      </w:r>
    </w:p>
    <w:p w14:paraId="46DBB101" w14:textId="77777777" w:rsidR="00E56EF4" w:rsidRPr="00E56EF4" w:rsidRDefault="00E56EF4" w:rsidP="00E56EF4">
      <w:pPr>
        <w:widowControl w:val="0"/>
        <w:autoSpaceDE w:val="0"/>
        <w:autoSpaceDN w:val="0"/>
        <w:adjustRightInd w:val="0"/>
        <w:spacing w:line="240" w:lineRule="auto"/>
        <w:ind w:left="640" w:hanging="640"/>
        <w:rPr>
          <w:rFonts w:ascii="Calibri" w:hAnsi="Calibri" w:cs="Calibri"/>
          <w:noProof/>
        </w:rPr>
      </w:pPr>
      <w:r w:rsidRPr="00E56EF4">
        <w:rPr>
          <w:rFonts w:ascii="Calibri" w:hAnsi="Calibri" w:cs="Calibri"/>
          <w:noProof/>
          <w:szCs w:val="24"/>
        </w:rPr>
        <w:t>[40]</w:t>
      </w:r>
      <w:r w:rsidRPr="00E56EF4">
        <w:rPr>
          <w:rFonts w:ascii="Calibri" w:hAnsi="Calibri" w:cs="Calibri"/>
          <w:noProof/>
          <w:szCs w:val="24"/>
        </w:rPr>
        <w:tab/>
        <w:t xml:space="preserve">Council Directive 95/46/EC, </w:t>
      </w:r>
      <w:r w:rsidRPr="00E56EF4">
        <w:rPr>
          <w:rFonts w:ascii="Calibri" w:hAnsi="Calibri" w:cs="Calibri"/>
          <w:i/>
          <w:iCs/>
          <w:noProof/>
          <w:szCs w:val="24"/>
        </w:rPr>
        <w:t>EUR-Lex - 31995L0046 - EN - EUR-Lex</w:t>
      </w:r>
      <w:r w:rsidRPr="00E56EF4">
        <w:rPr>
          <w:rFonts w:ascii="Calibri" w:hAnsi="Calibri" w:cs="Calibri"/>
          <w:noProof/>
          <w:szCs w:val="24"/>
        </w:rPr>
        <w:t>. 1995.</w:t>
      </w:r>
    </w:p>
    <w:p w14:paraId="510EA882" w14:textId="38FD8E33" w:rsidR="00C9115E" w:rsidRPr="00C9115E" w:rsidRDefault="00C9115E" w:rsidP="00C9115E">
      <w:r>
        <w:fldChar w:fldCharType="end"/>
      </w:r>
    </w:p>
    <w:sectPr w:rsidR="00C9115E" w:rsidRPr="00C9115E" w:rsidSect="00382DFA">
      <w:footerReference w:type="default" r:id="rId16"/>
      <w:pgSz w:w="11906" w:h="16838"/>
      <w:pgMar w:top="1440" w:right="1416"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7EF1B6" w14:textId="77777777" w:rsidR="00D32403" w:rsidRDefault="00D32403" w:rsidP="00FC34E2">
      <w:pPr>
        <w:spacing w:after="0" w:line="240" w:lineRule="auto"/>
      </w:pPr>
      <w:r>
        <w:separator/>
      </w:r>
    </w:p>
  </w:endnote>
  <w:endnote w:type="continuationSeparator" w:id="0">
    <w:p w14:paraId="390DD822" w14:textId="77777777" w:rsidR="00D32403" w:rsidRDefault="00D32403" w:rsidP="00FC3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9945130"/>
      <w:docPartObj>
        <w:docPartGallery w:val="Page Numbers (Bottom of Page)"/>
        <w:docPartUnique/>
      </w:docPartObj>
    </w:sdtPr>
    <w:sdtEndPr>
      <w:rPr>
        <w:noProof/>
      </w:rPr>
    </w:sdtEndPr>
    <w:sdtContent>
      <w:p w14:paraId="4E29BEEA" w14:textId="0A3B080F" w:rsidR="00D1734C" w:rsidRDefault="00D173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6F867B" w14:textId="77777777" w:rsidR="00D1734C" w:rsidRDefault="00D17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54FA4B" w14:textId="77777777" w:rsidR="00D32403" w:rsidRDefault="00D32403" w:rsidP="00FC34E2">
      <w:pPr>
        <w:spacing w:after="0" w:line="240" w:lineRule="auto"/>
      </w:pPr>
      <w:r>
        <w:separator/>
      </w:r>
    </w:p>
  </w:footnote>
  <w:footnote w:type="continuationSeparator" w:id="0">
    <w:p w14:paraId="393A318A" w14:textId="77777777" w:rsidR="00D32403" w:rsidRDefault="00D32403" w:rsidP="00FC34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058EC"/>
    <w:multiLevelType w:val="multilevel"/>
    <w:tmpl w:val="8ACC4B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7E85294"/>
    <w:multiLevelType w:val="hybridMultilevel"/>
    <w:tmpl w:val="74FE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FC0C0D"/>
    <w:multiLevelType w:val="hybridMultilevel"/>
    <w:tmpl w:val="15C6A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C30860"/>
    <w:multiLevelType w:val="hybridMultilevel"/>
    <w:tmpl w:val="F508C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A303AF"/>
    <w:multiLevelType w:val="hybridMultilevel"/>
    <w:tmpl w:val="EE1AE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C72C64"/>
    <w:multiLevelType w:val="hybridMultilevel"/>
    <w:tmpl w:val="693E0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50257"/>
    <w:multiLevelType w:val="hybridMultilevel"/>
    <w:tmpl w:val="0840E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5E7C40"/>
    <w:multiLevelType w:val="hybridMultilevel"/>
    <w:tmpl w:val="C7C44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D5362B"/>
    <w:multiLevelType w:val="hybridMultilevel"/>
    <w:tmpl w:val="8AA08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D23089"/>
    <w:multiLevelType w:val="hybridMultilevel"/>
    <w:tmpl w:val="48DA5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DA6337"/>
    <w:multiLevelType w:val="hybridMultilevel"/>
    <w:tmpl w:val="043E1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1C2EDC"/>
    <w:multiLevelType w:val="hybridMultilevel"/>
    <w:tmpl w:val="F6FA9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4"/>
  </w:num>
  <w:num w:numId="4">
    <w:abstractNumId w:val="2"/>
  </w:num>
  <w:num w:numId="5">
    <w:abstractNumId w:val="9"/>
  </w:num>
  <w:num w:numId="6">
    <w:abstractNumId w:val="5"/>
  </w:num>
  <w:num w:numId="7">
    <w:abstractNumId w:val="3"/>
  </w:num>
  <w:num w:numId="8">
    <w:abstractNumId w:val="10"/>
  </w:num>
  <w:num w:numId="9">
    <w:abstractNumId w:val="7"/>
  </w:num>
  <w:num w:numId="10">
    <w:abstractNumId w:val="1"/>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FC7"/>
    <w:rsid w:val="00003971"/>
    <w:rsid w:val="00007989"/>
    <w:rsid w:val="00021DAE"/>
    <w:rsid w:val="00026D76"/>
    <w:rsid w:val="00032055"/>
    <w:rsid w:val="00035396"/>
    <w:rsid w:val="000427D8"/>
    <w:rsid w:val="00046DFB"/>
    <w:rsid w:val="0004797C"/>
    <w:rsid w:val="00061665"/>
    <w:rsid w:val="00061FE0"/>
    <w:rsid w:val="00064C0C"/>
    <w:rsid w:val="00082EEA"/>
    <w:rsid w:val="000B0A31"/>
    <w:rsid w:val="000B1DFD"/>
    <w:rsid w:val="000F3795"/>
    <w:rsid w:val="00100591"/>
    <w:rsid w:val="00101C93"/>
    <w:rsid w:val="001122F5"/>
    <w:rsid w:val="001123D1"/>
    <w:rsid w:val="0011728A"/>
    <w:rsid w:val="001328DC"/>
    <w:rsid w:val="00135102"/>
    <w:rsid w:val="00154AB2"/>
    <w:rsid w:val="00177EAE"/>
    <w:rsid w:val="0019111B"/>
    <w:rsid w:val="001A29BA"/>
    <w:rsid w:val="001A31E5"/>
    <w:rsid w:val="001A46AD"/>
    <w:rsid w:val="001B05C6"/>
    <w:rsid w:val="001B6A39"/>
    <w:rsid w:val="001C0FB7"/>
    <w:rsid w:val="001C4CFF"/>
    <w:rsid w:val="001C58F2"/>
    <w:rsid w:val="001C72FA"/>
    <w:rsid w:val="001D4C84"/>
    <w:rsid w:val="001F33AF"/>
    <w:rsid w:val="00200FFD"/>
    <w:rsid w:val="002172F2"/>
    <w:rsid w:val="00224657"/>
    <w:rsid w:val="002303E8"/>
    <w:rsid w:val="0023055F"/>
    <w:rsid w:val="00233405"/>
    <w:rsid w:val="002417E8"/>
    <w:rsid w:val="00260A47"/>
    <w:rsid w:val="0026328F"/>
    <w:rsid w:val="0027172F"/>
    <w:rsid w:val="002745AD"/>
    <w:rsid w:val="002C0AFB"/>
    <w:rsid w:val="002C19D8"/>
    <w:rsid w:val="002C35C3"/>
    <w:rsid w:val="002E1718"/>
    <w:rsid w:val="002E4021"/>
    <w:rsid w:val="003002B5"/>
    <w:rsid w:val="003035CC"/>
    <w:rsid w:val="00305357"/>
    <w:rsid w:val="00305635"/>
    <w:rsid w:val="00326FA0"/>
    <w:rsid w:val="00335276"/>
    <w:rsid w:val="0033579F"/>
    <w:rsid w:val="003368C3"/>
    <w:rsid w:val="00356200"/>
    <w:rsid w:val="00361857"/>
    <w:rsid w:val="00362D43"/>
    <w:rsid w:val="003679D7"/>
    <w:rsid w:val="003707E8"/>
    <w:rsid w:val="00382DCA"/>
    <w:rsid w:val="00382DFA"/>
    <w:rsid w:val="003854C2"/>
    <w:rsid w:val="00393236"/>
    <w:rsid w:val="003B56A1"/>
    <w:rsid w:val="003C4235"/>
    <w:rsid w:val="003C792B"/>
    <w:rsid w:val="003D32B2"/>
    <w:rsid w:val="003D3F83"/>
    <w:rsid w:val="003D7262"/>
    <w:rsid w:val="003F01A1"/>
    <w:rsid w:val="003F5CBF"/>
    <w:rsid w:val="003F6682"/>
    <w:rsid w:val="00401908"/>
    <w:rsid w:val="004278FB"/>
    <w:rsid w:val="004344DC"/>
    <w:rsid w:val="00435AC9"/>
    <w:rsid w:val="00436761"/>
    <w:rsid w:val="00443F50"/>
    <w:rsid w:val="004467E4"/>
    <w:rsid w:val="004828B4"/>
    <w:rsid w:val="00487D00"/>
    <w:rsid w:val="004A01F8"/>
    <w:rsid w:val="004B79C4"/>
    <w:rsid w:val="004D415C"/>
    <w:rsid w:val="004E3DD5"/>
    <w:rsid w:val="004F597A"/>
    <w:rsid w:val="004F6C9B"/>
    <w:rsid w:val="005026E9"/>
    <w:rsid w:val="005037D1"/>
    <w:rsid w:val="005112AC"/>
    <w:rsid w:val="00516EC3"/>
    <w:rsid w:val="005228B1"/>
    <w:rsid w:val="00536B0B"/>
    <w:rsid w:val="0054015A"/>
    <w:rsid w:val="0057016C"/>
    <w:rsid w:val="00570A54"/>
    <w:rsid w:val="00596F7A"/>
    <w:rsid w:val="005A209D"/>
    <w:rsid w:val="005A3A39"/>
    <w:rsid w:val="005A75BB"/>
    <w:rsid w:val="005B470A"/>
    <w:rsid w:val="005E0CC1"/>
    <w:rsid w:val="005E21F3"/>
    <w:rsid w:val="005F4493"/>
    <w:rsid w:val="00601B86"/>
    <w:rsid w:val="00602401"/>
    <w:rsid w:val="00625316"/>
    <w:rsid w:val="00637EAD"/>
    <w:rsid w:val="0064158F"/>
    <w:rsid w:val="00672959"/>
    <w:rsid w:val="006939DC"/>
    <w:rsid w:val="006A6B01"/>
    <w:rsid w:val="006B032A"/>
    <w:rsid w:val="006B2457"/>
    <w:rsid w:val="006C3002"/>
    <w:rsid w:val="006C4638"/>
    <w:rsid w:val="006C6E12"/>
    <w:rsid w:val="0070038F"/>
    <w:rsid w:val="00701975"/>
    <w:rsid w:val="0070270B"/>
    <w:rsid w:val="007045A6"/>
    <w:rsid w:val="00711670"/>
    <w:rsid w:val="007302A0"/>
    <w:rsid w:val="007343E8"/>
    <w:rsid w:val="007410FD"/>
    <w:rsid w:val="00741ADC"/>
    <w:rsid w:val="00752C77"/>
    <w:rsid w:val="0075685B"/>
    <w:rsid w:val="007603F2"/>
    <w:rsid w:val="00762898"/>
    <w:rsid w:val="00774AE1"/>
    <w:rsid w:val="0078513A"/>
    <w:rsid w:val="00785607"/>
    <w:rsid w:val="007A30AC"/>
    <w:rsid w:val="007C21CE"/>
    <w:rsid w:val="007C70A1"/>
    <w:rsid w:val="007D3074"/>
    <w:rsid w:val="007E294C"/>
    <w:rsid w:val="007E29F7"/>
    <w:rsid w:val="0083026E"/>
    <w:rsid w:val="00846CEB"/>
    <w:rsid w:val="00863135"/>
    <w:rsid w:val="00873C39"/>
    <w:rsid w:val="00874F04"/>
    <w:rsid w:val="008958A1"/>
    <w:rsid w:val="00896EFE"/>
    <w:rsid w:val="008C5427"/>
    <w:rsid w:val="008D1533"/>
    <w:rsid w:val="009066B4"/>
    <w:rsid w:val="0090782A"/>
    <w:rsid w:val="00923E5C"/>
    <w:rsid w:val="00950052"/>
    <w:rsid w:val="0095618E"/>
    <w:rsid w:val="009607F0"/>
    <w:rsid w:val="00962DB8"/>
    <w:rsid w:val="00962FAF"/>
    <w:rsid w:val="00971A8A"/>
    <w:rsid w:val="009916EB"/>
    <w:rsid w:val="0099745B"/>
    <w:rsid w:val="009A2349"/>
    <w:rsid w:val="009C1A86"/>
    <w:rsid w:val="009C77F8"/>
    <w:rsid w:val="009D38BD"/>
    <w:rsid w:val="009E07AC"/>
    <w:rsid w:val="009E2185"/>
    <w:rsid w:val="009F3804"/>
    <w:rsid w:val="00A03612"/>
    <w:rsid w:val="00A07AB0"/>
    <w:rsid w:val="00A11810"/>
    <w:rsid w:val="00A17AAA"/>
    <w:rsid w:val="00A25152"/>
    <w:rsid w:val="00A33FCA"/>
    <w:rsid w:val="00A35E3B"/>
    <w:rsid w:val="00A42D52"/>
    <w:rsid w:val="00A60CD2"/>
    <w:rsid w:val="00A7741A"/>
    <w:rsid w:val="00A809F4"/>
    <w:rsid w:val="00A84281"/>
    <w:rsid w:val="00A87BB9"/>
    <w:rsid w:val="00A93F0A"/>
    <w:rsid w:val="00AC1F23"/>
    <w:rsid w:val="00AC50E6"/>
    <w:rsid w:val="00AC575C"/>
    <w:rsid w:val="00AC7996"/>
    <w:rsid w:val="00AD500F"/>
    <w:rsid w:val="00AE59A9"/>
    <w:rsid w:val="00AF314E"/>
    <w:rsid w:val="00AF4E3A"/>
    <w:rsid w:val="00AF4ED5"/>
    <w:rsid w:val="00AF7475"/>
    <w:rsid w:val="00B053B1"/>
    <w:rsid w:val="00B2222B"/>
    <w:rsid w:val="00B31879"/>
    <w:rsid w:val="00B33FC4"/>
    <w:rsid w:val="00B3567D"/>
    <w:rsid w:val="00B519CD"/>
    <w:rsid w:val="00B55ACE"/>
    <w:rsid w:val="00B657A2"/>
    <w:rsid w:val="00B80F78"/>
    <w:rsid w:val="00B81B04"/>
    <w:rsid w:val="00B82580"/>
    <w:rsid w:val="00B85BED"/>
    <w:rsid w:val="00B87438"/>
    <w:rsid w:val="00B90014"/>
    <w:rsid w:val="00B93BBC"/>
    <w:rsid w:val="00BA19F2"/>
    <w:rsid w:val="00BA2A22"/>
    <w:rsid w:val="00BB36F1"/>
    <w:rsid w:val="00BC6C6B"/>
    <w:rsid w:val="00BE7D00"/>
    <w:rsid w:val="00C03C7F"/>
    <w:rsid w:val="00C06DCD"/>
    <w:rsid w:val="00C10687"/>
    <w:rsid w:val="00C238B9"/>
    <w:rsid w:val="00C23D96"/>
    <w:rsid w:val="00C330B1"/>
    <w:rsid w:val="00C473DD"/>
    <w:rsid w:val="00C575E5"/>
    <w:rsid w:val="00C90CC7"/>
    <w:rsid w:val="00C9115E"/>
    <w:rsid w:val="00CA548A"/>
    <w:rsid w:val="00CB774F"/>
    <w:rsid w:val="00CB7FC8"/>
    <w:rsid w:val="00CC4CC6"/>
    <w:rsid w:val="00CE3198"/>
    <w:rsid w:val="00CE342C"/>
    <w:rsid w:val="00CE49CC"/>
    <w:rsid w:val="00CE4FFD"/>
    <w:rsid w:val="00CE615B"/>
    <w:rsid w:val="00CE7929"/>
    <w:rsid w:val="00CF528B"/>
    <w:rsid w:val="00D01396"/>
    <w:rsid w:val="00D04246"/>
    <w:rsid w:val="00D079B7"/>
    <w:rsid w:val="00D07F0A"/>
    <w:rsid w:val="00D1734C"/>
    <w:rsid w:val="00D22104"/>
    <w:rsid w:val="00D3085B"/>
    <w:rsid w:val="00D32403"/>
    <w:rsid w:val="00D32EE4"/>
    <w:rsid w:val="00D37B59"/>
    <w:rsid w:val="00D60EA9"/>
    <w:rsid w:val="00D6113F"/>
    <w:rsid w:val="00D6668C"/>
    <w:rsid w:val="00D74C25"/>
    <w:rsid w:val="00D75F1E"/>
    <w:rsid w:val="00D8189A"/>
    <w:rsid w:val="00DA789D"/>
    <w:rsid w:val="00DB5763"/>
    <w:rsid w:val="00DB639A"/>
    <w:rsid w:val="00DC3AF8"/>
    <w:rsid w:val="00DD4DB4"/>
    <w:rsid w:val="00DF495B"/>
    <w:rsid w:val="00E0118E"/>
    <w:rsid w:val="00E023E3"/>
    <w:rsid w:val="00E132BC"/>
    <w:rsid w:val="00E20E89"/>
    <w:rsid w:val="00E22F95"/>
    <w:rsid w:val="00E36F0B"/>
    <w:rsid w:val="00E40613"/>
    <w:rsid w:val="00E50CC3"/>
    <w:rsid w:val="00E55B24"/>
    <w:rsid w:val="00E56EF4"/>
    <w:rsid w:val="00E80AB1"/>
    <w:rsid w:val="00E84389"/>
    <w:rsid w:val="00E849C8"/>
    <w:rsid w:val="00E84A89"/>
    <w:rsid w:val="00E9668A"/>
    <w:rsid w:val="00EA006C"/>
    <w:rsid w:val="00EC7FC7"/>
    <w:rsid w:val="00ED0506"/>
    <w:rsid w:val="00ED7090"/>
    <w:rsid w:val="00EF23FB"/>
    <w:rsid w:val="00F05730"/>
    <w:rsid w:val="00F21558"/>
    <w:rsid w:val="00F30F64"/>
    <w:rsid w:val="00F40E3B"/>
    <w:rsid w:val="00F56549"/>
    <w:rsid w:val="00F60652"/>
    <w:rsid w:val="00F70466"/>
    <w:rsid w:val="00F72941"/>
    <w:rsid w:val="00F80B6D"/>
    <w:rsid w:val="00F86269"/>
    <w:rsid w:val="00F91734"/>
    <w:rsid w:val="00F92F51"/>
    <w:rsid w:val="00F97330"/>
    <w:rsid w:val="00FA2A94"/>
    <w:rsid w:val="00FA6F71"/>
    <w:rsid w:val="00FC34E2"/>
    <w:rsid w:val="00FD5939"/>
    <w:rsid w:val="00FF2407"/>
    <w:rsid w:val="00FF4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9E950D"/>
  <w15:chartTrackingRefBased/>
  <w15:docId w15:val="{E77495D6-778E-4AAB-A051-27B5AE0C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7F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7F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C7F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FC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C7F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7FC7"/>
    <w:pPr>
      <w:outlineLvl w:val="9"/>
    </w:pPr>
    <w:rPr>
      <w:lang w:val="en-US"/>
    </w:rPr>
  </w:style>
  <w:style w:type="character" w:customStyle="1" w:styleId="Heading2Char">
    <w:name w:val="Heading 2 Char"/>
    <w:basedOn w:val="DefaultParagraphFont"/>
    <w:link w:val="Heading2"/>
    <w:uiPriority w:val="9"/>
    <w:rsid w:val="00CB7FC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E07AC"/>
    <w:pPr>
      <w:spacing w:after="100"/>
    </w:pPr>
  </w:style>
  <w:style w:type="paragraph" w:styleId="TOC2">
    <w:name w:val="toc 2"/>
    <w:basedOn w:val="Normal"/>
    <w:next w:val="Normal"/>
    <w:autoRedefine/>
    <w:uiPriority w:val="39"/>
    <w:unhideWhenUsed/>
    <w:rsid w:val="009E07AC"/>
    <w:pPr>
      <w:spacing w:after="100"/>
      <w:ind w:left="220"/>
    </w:pPr>
  </w:style>
  <w:style w:type="character" w:styleId="Hyperlink">
    <w:name w:val="Hyperlink"/>
    <w:basedOn w:val="DefaultParagraphFont"/>
    <w:uiPriority w:val="99"/>
    <w:unhideWhenUsed/>
    <w:rsid w:val="009E07AC"/>
    <w:rPr>
      <w:color w:val="0563C1" w:themeColor="hyperlink"/>
      <w:u w:val="single"/>
    </w:rPr>
  </w:style>
  <w:style w:type="paragraph" w:styleId="ListParagraph">
    <w:name w:val="List Paragraph"/>
    <w:basedOn w:val="Normal"/>
    <w:uiPriority w:val="34"/>
    <w:qFormat/>
    <w:rsid w:val="000B0A31"/>
    <w:pPr>
      <w:ind w:left="720"/>
      <w:contextualSpacing/>
    </w:pPr>
  </w:style>
  <w:style w:type="paragraph" w:styleId="Caption">
    <w:name w:val="caption"/>
    <w:basedOn w:val="Normal"/>
    <w:next w:val="Normal"/>
    <w:uiPriority w:val="35"/>
    <w:unhideWhenUsed/>
    <w:qFormat/>
    <w:rsid w:val="000B0A3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93F0A"/>
    <w:pPr>
      <w:spacing w:after="0"/>
    </w:pPr>
  </w:style>
  <w:style w:type="paragraph" w:styleId="Header">
    <w:name w:val="header"/>
    <w:basedOn w:val="Normal"/>
    <w:link w:val="HeaderChar"/>
    <w:uiPriority w:val="99"/>
    <w:unhideWhenUsed/>
    <w:rsid w:val="00FC34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4E2"/>
  </w:style>
  <w:style w:type="paragraph" w:styleId="Footer">
    <w:name w:val="footer"/>
    <w:basedOn w:val="Normal"/>
    <w:link w:val="FooterChar"/>
    <w:uiPriority w:val="99"/>
    <w:unhideWhenUsed/>
    <w:rsid w:val="00FC3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4E2"/>
  </w:style>
  <w:style w:type="table" w:styleId="TableGrid">
    <w:name w:val="Table Grid"/>
    <w:basedOn w:val="TableNormal"/>
    <w:uiPriority w:val="39"/>
    <w:rsid w:val="00863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9001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B255F38-7931-48B6-953A-A90C7A512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6314</TotalTime>
  <Pages>15</Pages>
  <Words>16357</Words>
  <Characters>93237</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James (1704050)</dc:creator>
  <cp:keywords/>
  <dc:description/>
  <cp:lastModifiedBy>David Robin James (1704050)</cp:lastModifiedBy>
  <cp:revision>267</cp:revision>
  <dcterms:created xsi:type="dcterms:W3CDTF">2020-10-02T18:48:00Z</dcterms:created>
  <dcterms:modified xsi:type="dcterms:W3CDTF">2021-01-09T01:46:00Z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09ea8bd1-88fe-317e-bcc0-8a183298ead0</vt:lpwstr>
  </property>
  <property fmtid="{D5CDD505-2E9C-101B-9397-08002B2CF9AE}" pid="24" name="Mendeley Citation Style_1">
    <vt:lpwstr>http://www.zotero.org/styles/ieee</vt:lpwstr>
  </property>
</Properties>
</file>