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5E2" w:rsidRDefault="000345E2" w:rsidP="000345E2">
      <w:pPr>
        <w:rPr>
          <w:rFonts w:ascii="Myriad Pro" w:hAnsi="Myriad Pro"/>
          <w:sz w:val="36"/>
          <w:szCs w:val="36"/>
          <w:u w:val="single"/>
        </w:rPr>
      </w:pPr>
      <w:bookmarkStart w:id="0" w:name="_GoBack"/>
      <w:bookmarkEnd w:id="0"/>
      <w:r>
        <w:rPr>
          <w:rFonts w:ascii="Myriad Pro" w:hAnsi="Myriad Pro"/>
          <w:sz w:val="36"/>
          <w:szCs w:val="36"/>
          <w:u w:val="single"/>
        </w:rPr>
        <w:t>Employment Status</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i/>
          <w:iCs/>
          <w:u w:val="single"/>
        </w:rPr>
      </w:pPr>
      <w:r>
        <w:rPr>
          <w:rFonts w:ascii="Myriad Pro" w:hAnsi="Myriad Pro"/>
          <w:i/>
          <w:iCs/>
          <w:u w:val="single"/>
        </w:rPr>
        <w:t xml:space="preserve">Introduction </w:t>
      </w:r>
    </w:p>
    <w:p w:rsidR="000345E2" w:rsidRPr="00F16969" w:rsidRDefault="000345E2" w:rsidP="000345E2">
      <w:pPr>
        <w:pStyle w:val="Default"/>
        <w:spacing w:line="360" w:lineRule="auto"/>
        <w:rPr>
          <w:rFonts w:ascii="Myriad Pro" w:hAnsi="Myriad Pro"/>
          <w:iCs/>
          <w:u w:val="single"/>
        </w:rPr>
      </w:pPr>
    </w:p>
    <w:p w:rsidR="000345E2" w:rsidRDefault="000345E2" w:rsidP="000345E2">
      <w:pPr>
        <w:pStyle w:val="Default"/>
        <w:spacing w:line="360" w:lineRule="auto"/>
        <w:rPr>
          <w:rFonts w:ascii="Myriad Pro" w:hAnsi="Myriad Pro"/>
        </w:rPr>
      </w:pPr>
      <w:r>
        <w:rPr>
          <w:rFonts w:ascii="Myriad Pro" w:hAnsi="Myriad Pro"/>
        </w:rPr>
        <w:t xml:space="preserve">Employment law recognises three main categories of individual who provide labour: </w:t>
      </w:r>
    </w:p>
    <w:p w:rsidR="000345E2" w:rsidRDefault="000345E2" w:rsidP="000345E2">
      <w:pPr>
        <w:pStyle w:val="Default"/>
        <w:spacing w:line="360" w:lineRule="auto"/>
        <w:rPr>
          <w:rFonts w:ascii="Myriad Pro" w:hAnsi="Myriad Pro"/>
        </w:rPr>
      </w:pPr>
    </w:p>
    <w:p w:rsidR="000345E2" w:rsidRDefault="000345E2" w:rsidP="000345E2">
      <w:pPr>
        <w:pStyle w:val="Default"/>
        <w:numPr>
          <w:ilvl w:val="0"/>
          <w:numId w:val="1"/>
        </w:numPr>
        <w:spacing w:after="143" w:line="360" w:lineRule="auto"/>
        <w:rPr>
          <w:rFonts w:ascii="Myriad Pro" w:eastAsia="Times New Roman" w:hAnsi="Myriad Pro"/>
        </w:rPr>
      </w:pPr>
      <w:r>
        <w:rPr>
          <w:rFonts w:ascii="Myriad Pro" w:eastAsia="Times New Roman" w:hAnsi="Myriad Pro"/>
          <w:i/>
          <w:iCs/>
        </w:rPr>
        <w:t>Employees -</w:t>
      </w:r>
      <w:r>
        <w:rPr>
          <w:rFonts w:ascii="Myriad Pro" w:eastAsia="Times New Roman" w:hAnsi="Myriad Pro"/>
        </w:rPr>
        <w:t xml:space="preserve"> i.e. those who work under a contract of employment (sometimes called a contract of service). In years gone by, the employment relationship was described in terms of “master and servant” but this terminology is now outdated. </w:t>
      </w:r>
    </w:p>
    <w:p w:rsidR="000345E2" w:rsidRDefault="000345E2" w:rsidP="000345E2">
      <w:pPr>
        <w:pStyle w:val="Default"/>
        <w:numPr>
          <w:ilvl w:val="0"/>
          <w:numId w:val="1"/>
        </w:numPr>
        <w:spacing w:after="143" w:line="360" w:lineRule="auto"/>
        <w:rPr>
          <w:rFonts w:ascii="Myriad Pro" w:eastAsia="Times New Roman" w:hAnsi="Myriad Pro"/>
        </w:rPr>
      </w:pPr>
      <w:r>
        <w:rPr>
          <w:rFonts w:ascii="Myriad Pro" w:eastAsia="Times New Roman" w:hAnsi="Myriad Pro"/>
          <w:i/>
          <w:iCs/>
        </w:rPr>
        <w:t>Independent contractors</w:t>
      </w:r>
      <w:r>
        <w:rPr>
          <w:rFonts w:ascii="Myriad Pro" w:eastAsia="Times New Roman" w:hAnsi="Myriad Pro"/>
        </w:rPr>
        <w:t xml:space="preserve"> -</w:t>
      </w:r>
      <w:r w:rsidR="00F16969">
        <w:rPr>
          <w:rFonts w:ascii="Myriad Pro" w:eastAsia="Times New Roman" w:hAnsi="Myriad Pro"/>
        </w:rPr>
        <w:t xml:space="preserve"> </w:t>
      </w:r>
      <w:r>
        <w:rPr>
          <w:rFonts w:ascii="Myriad Pro" w:eastAsia="Times New Roman" w:hAnsi="Myriad Pro"/>
        </w:rPr>
        <w:t xml:space="preserve">i.e. those who work under a contract for services. Independent contractors are self-employed individuals who are in business on their own account. </w:t>
      </w:r>
    </w:p>
    <w:p w:rsidR="000345E2" w:rsidRDefault="000345E2" w:rsidP="000345E2">
      <w:pPr>
        <w:pStyle w:val="Default"/>
        <w:numPr>
          <w:ilvl w:val="0"/>
          <w:numId w:val="1"/>
        </w:numPr>
        <w:spacing w:line="360" w:lineRule="auto"/>
        <w:rPr>
          <w:rFonts w:ascii="Myriad Pro" w:eastAsia="Times New Roman" w:hAnsi="Myriad Pro"/>
        </w:rPr>
      </w:pPr>
      <w:r>
        <w:rPr>
          <w:rFonts w:ascii="Myriad Pro" w:eastAsia="Times New Roman" w:hAnsi="Myriad Pro"/>
          <w:i/>
          <w:iCs/>
        </w:rPr>
        <w:t>Workers</w:t>
      </w:r>
      <w:r>
        <w:rPr>
          <w:rFonts w:ascii="Myriad Pro" w:eastAsia="Times New Roman" w:hAnsi="Myriad Pro"/>
        </w:rPr>
        <w:t xml:space="preserve"> -  a relatively recent concept developed by legislation. The definition of worker includes those who are employees but extends further to cover individuals who provide their services personally under a contract to someone else. The definition of worker will be considered further below. </w:t>
      </w:r>
    </w:p>
    <w:p w:rsidR="000345E2" w:rsidRDefault="000345E2" w:rsidP="000345E2">
      <w:pPr>
        <w:pStyle w:val="Default"/>
        <w:spacing w:line="360" w:lineRule="auto"/>
        <w:rPr>
          <w:rFonts w:ascii="Myriad Pro" w:hAnsi="Myriad Pro"/>
        </w:rPr>
      </w:pPr>
    </w:p>
    <w:p w:rsidR="000345E2" w:rsidRPr="00FD1CE8" w:rsidRDefault="000345E2" w:rsidP="000345E2">
      <w:pPr>
        <w:pStyle w:val="Default"/>
        <w:spacing w:line="360" w:lineRule="auto"/>
        <w:rPr>
          <w:rFonts w:ascii="Myriad Pro" w:hAnsi="Myriad Pro"/>
          <w:i/>
        </w:rPr>
      </w:pPr>
      <w:r w:rsidRPr="00FD1CE8">
        <w:rPr>
          <w:rFonts w:ascii="Myriad Pro" w:hAnsi="Myriad Pro"/>
          <w:i/>
        </w:rPr>
        <w:t xml:space="preserve">Why does employment status matter?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Employment status is important for </w:t>
      </w:r>
      <w:proofErr w:type="gramStart"/>
      <w:r>
        <w:rPr>
          <w:rFonts w:ascii="Myriad Pro" w:hAnsi="Myriad Pro"/>
        </w:rPr>
        <w:t>a number of</w:t>
      </w:r>
      <w:proofErr w:type="gramEnd"/>
      <w:r>
        <w:rPr>
          <w:rFonts w:ascii="Myriad Pro" w:hAnsi="Myriad Pro"/>
        </w:rPr>
        <w:t xml:space="preserve"> reasons as follows: </w:t>
      </w:r>
    </w:p>
    <w:p w:rsidR="000345E2" w:rsidRDefault="000345E2" w:rsidP="000345E2">
      <w:pPr>
        <w:pStyle w:val="Default"/>
        <w:spacing w:line="360" w:lineRule="auto"/>
        <w:rPr>
          <w:rFonts w:ascii="Myriad Pro" w:hAnsi="Myriad Pro"/>
        </w:rPr>
      </w:pPr>
    </w:p>
    <w:p w:rsidR="000345E2" w:rsidRDefault="000345E2" w:rsidP="00FD1CE8">
      <w:pPr>
        <w:pStyle w:val="Default"/>
        <w:numPr>
          <w:ilvl w:val="0"/>
          <w:numId w:val="4"/>
        </w:numPr>
        <w:spacing w:after="120" w:line="360" w:lineRule="auto"/>
        <w:rPr>
          <w:rFonts w:ascii="Myriad Pro" w:hAnsi="Myriad Pro"/>
        </w:rPr>
      </w:pPr>
      <w:r>
        <w:rPr>
          <w:rFonts w:ascii="Myriad Pro" w:hAnsi="Myriad Pro"/>
        </w:rPr>
        <w:t>T</w:t>
      </w:r>
      <w:r>
        <w:rPr>
          <w:rFonts w:ascii="Myriad Pro" w:hAnsi="Myriad Pro"/>
          <w:i/>
          <w:iCs/>
        </w:rPr>
        <w:t>axation</w:t>
      </w:r>
      <w:r>
        <w:rPr>
          <w:rFonts w:ascii="Myriad Pro" w:hAnsi="Myriad Pro"/>
        </w:rPr>
        <w:t xml:space="preserve"> – an individual will be taxed differently according to his or her employment status.</w:t>
      </w:r>
    </w:p>
    <w:p w:rsidR="000345E2" w:rsidRPr="00F16969" w:rsidRDefault="00FD1CE8" w:rsidP="00FD1CE8">
      <w:pPr>
        <w:pStyle w:val="Default"/>
        <w:numPr>
          <w:ilvl w:val="0"/>
          <w:numId w:val="4"/>
        </w:numPr>
        <w:spacing w:line="360" w:lineRule="auto"/>
        <w:rPr>
          <w:rFonts w:ascii="Myriad Pro" w:eastAsia="Times New Roman" w:hAnsi="Myriad Pro"/>
        </w:rPr>
      </w:pPr>
      <w:r>
        <w:rPr>
          <w:rFonts w:ascii="Myriad Pro" w:hAnsi="Myriad Pro"/>
          <w:i/>
        </w:rPr>
        <w:t>Liability</w:t>
      </w:r>
      <w:r>
        <w:rPr>
          <w:rFonts w:ascii="Myriad Pro" w:hAnsi="Myriad Pro"/>
        </w:rPr>
        <w:t xml:space="preserve"> - </w:t>
      </w:r>
      <w:proofErr w:type="gramStart"/>
      <w:r w:rsidR="000345E2" w:rsidRPr="00F16969">
        <w:rPr>
          <w:rFonts w:ascii="Myriad Pro" w:eastAsia="Times New Roman" w:hAnsi="Myriad Pro"/>
        </w:rPr>
        <w:t>as a general rule</w:t>
      </w:r>
      <w:proofErr w:type="gramEnd"/>
      <w:r w:rsidR="000345E2" w:rsidRPr="00F16969">
        <w:rPr>
          <w:rFonts w:ascii="Myriad Pro" w:eastAsia="Times New Roman" w:hAnsi="Myriad Pro"/>
        </w:rPr>
        <w:t>, employers are vicariously liable for the unlawful acts or omissions of their employees bu</w:t>
      </w:r>
      <w:r w:rsidR="00F16969" w:rsidRPr="00F16969">
        <w:rPr>
          <w:rFonts w:ascii="Myriad Pro" w:eastAsia="Times New Roman" w:hAnsi="Myriad Pro"/>
        </w:rPr>
        <w:t>t not independent contractors (</w:t>
      </w:r>
      <w:r w:rsidR="000345E2" w:rsidRPr="00F16969">
        <w:rPr>
          <w:rFonts w:ascii="Myriad Pro" w:eastAsia="Times New Roman" w:hAnsi="Myriad Pro"/>
        </w:rPr>
        <w:t xml:space="preserve">see however the recent case of </w:t>
      </w:r>
      <w:r w:rsidR="000345E2" w:rsidRPr="00F16969">
        <w:rPr>
          <w:rFonts w:ascii="Myriad Pro" w:eastAsia="Times New Roman" w:hAnsi="Myriad Pro"/>
          <w:i/>
          <w:iCs/>
        </w:rPr>
        <w:t xml:space="preserve">Cox v </w:t>
      </w:r>
      <w:proofErr w:type="spellStart"/>
      <w:r w:rsidR="000345E2" w:rsidRPr="00F16969">
        <w:rPr>
          <w:rFonts w:ascii="Myriad Pro" w:eastAsia="Times New Roman" w:hAnsi="Myriad Pro"/>
          <w:i/>
          <w:iCs/>
        </w:rPr>
        <w:t>MoJ</w:t>
      </w:r>
      <w:proofErr w:type="spellEnd"/>
      <w:r w:rsidR="000345E2" w:rsidRPr="00F16969">
        <w:rPr>
          <w:rFonts w:ascii="Myriad Pro" w:eastAsia="Times New Roman" w:hAnsi="Myriad Pro"/>
        </w:rPr>
        <w:t xml:space="preserve">). This means that if an employee, for example, commits an act of negligence </w:t>
      </w:r>
      <w:proofErr w:type="gramStart"/>
      <w:r w:rsidR="000345E2" w:rsidRPr="00F16969">
        <w:rPr>
          <w:rFonts w:ascii="Myriad Pro" w:eastAsia="Times New Roman" w:hAnsi="Myriad Pro"/>
        </w:rPr>
        <w:t>during the course of</w:t>
      </w:r>
      <w:proofErr w:type="gramEnd"/>
      <w:r w:rsidR="000345E2" w:rsidRPr="00F16969">
        <w:rPr>
          <w:rFonts w:ascii="Myriad Pro" w:eastAsia="Times New Roman" w:hAnsi="Myriad Pro"/>
        </w:rPr>
        <w:t xml:space="preserve"> his or her duties and a third party is injured as a result, the third party can sue the employee and/or the </w:t>
      </w:r>
      <w:r w:rsidR="000345E2" w:rsidRPr="00F16969">
        <w:rPr>
          <w:rFonts w:ascii="Myriad Pro" w:eastAsia="Times New Roman" w:hAnsi="Myriad Pro"/>
        </w:rPr>
        <w:lastRenderedPageBreak/>
        <w:t xml:space="preserve">employer for any loss suffered. Claimants are normally advised to sue the employer on the basis that the employer will have “deeper pockets” to be able to pay damages in any successful claim. </w:t>
      </w:r>
      <w:r w:rsidR="000345E2" w:rsidRPr="00F16969">
        <w:rPr>
          <w:rFonts w:ascii="Myriad Pro" w:eastAsia="Times New Roman" w:hAnsi="Myriad Pro"/>
          <w:i/>
          <w:iCs/>
        </w:rPr>
        <w:t>Employment law rights</w:t>
      </w:r>
      <w:r w:rsidR="000345E2" w:rsidRPr="00F16969">
        <w:rPr>
          <w:rFonts w:ascii="Myriad Pro" w:eastAsia="Times New Roman" w:hAnsi="Myriad Pro"/>
        </w:rPr>
        <w:t xml:space="preserve"> – in strict employment law terms, a person’s employment status is important because it governs the employment law rights available to him or her. Many of the key statutory employment law rights are restricted to those who work under a contract of employment, for example, unfair dismissal. </w:t>
      </w:r>
      <w:proofErr w:type="gramStart"/>
      <w:r w:rsidR="000345E2" w:rsidRPr="00F16969">
        <w:rPr>
          <w:rFonts w:ascii="Myriad Pro" w:eastAsia="Times New Roman" w:hAnsi="Myriad Pro"/>
        </w:rPr>
        <w:t>As a general rule</w:t>
      </w:r>
      <w:proofErr w:type="gramEnd"/>
      <w:r w:rsidR="000345E2" w:rsidRPr="00F16969">
        <w:rPr>
          <w:rFonts w:ascii="Myriad Pro" w:eastAsia="Times New Roman" w:hAnsi="Myriad Pro"/>
        </w:rPr>
        <w:t xml:space="preserve">, employees have the most employment law rights and independent contractors the least, although independent contractors are protected under health and safety and anti-discrimination laws. Workers have fewer employment rights than employees but have better protection than the self-employed. For example, workers receive protection under the National Minimum Wage Act 1998, the Working Time Regulations 1998 and are protected against having sums deducted unlawfully from their wages.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i/>
          <w:iCs/>
        </w:rPr>
        <w:t>How is employment status determined</w:t>
      </w:r>
      <w:r>
        <w:rPr>
          <w:rFonts w:ascii="Myriad Pro" w:hAnsi="Myriad Pro"/>
        </w:rPr>
        <w:t xml:space="preserv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Statute law does not provide much assistance in determining who is an employee. </w:t>
      </w:r>
      <w:r>
        <w:rPr>
          <w:rFonts w:ascii="Myriad Pro" w:hAnsi="Myriad Pro"/>
          <w:i/>
          <w:iCs/>
        </w:rPr>
        <w:t>Section 230(1) of the Employment Rights Act 1996</w:t>
      </w:r>
      <w:r>
        <w:rPr>
          <w:rFonts w:ascii="Myriad Pro" w:hAnsi="Myriad Pro"/>
        </w:rPr>
        <w:t xml:space="preserve"> (ERA) provides that “</w:t>
      </w:r>
      <w:r>
        <w:rPr>
          <w:rFonts w:ascii="Myriad Pro" w:hAnsi="Myriad Pro"/>
          <w:i/>
          <w:iCs/>
        </w:rPr>
        <w:t>an employee is an individual who has entered into or works under a contract of employment</w:t>
      </w:r>
      <w:r>
        <w:rPr>
          <w:rFonts w:ascii="Myriad Pro" w:hAnsi="Myriad Pro"/>
        </w:rPr>
        <w:t xml:space="preserve">”. </w:t>
      </w:r>
      <w:r>
        <w:rPr>
          <w:rFonts w:ascii="Myriad Pro" w:hAnsi="Myriad Pro"/>
          <w:i/>
          <w:iCs/>
        </w:rPr>
        <w:t>Section 203(2)</w:t>
      </w:r>
      <w:r>
        <w:rPr>
          <w:rFonts w:ascii="Myriad Pro" w:hAnsi="Myriad Pro"/>
        </w:rPr>
        <w:t xml:space="preserve"> defines a contract of employment as “</w:t>
      </w:r>
      <w:r>
        <w:rPr>
          <w:rFonts w:ascii="Myriad Pro" w:hAnsi="Myriad Pro"/>
          <w:i/>
          <w:iCs/>
        </w:rPr>
        <w:t>a contract of service or apprenticeship whether express or implied and (if it is express) whether oral or in writing</w:t>
      </w:r>
      <w:r>
        <w:rPr>
          <w:rFonts w:ascii="Myriad Pro" w:hAnsi="Myriad Pro"/>
        </w:rPr>
        <w:t xml:space="preserv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Aside from confirming that employment contracts do not have to be in writing, these definitions are not very helpful when determining who is an employee and who is not. We must turn to case law for assistance. Deciding whether an individual works under an employment contract is more of an art than a science. It is ultimately a question for the courts and tribunals to establish. Each case depends on its own facts.</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lastRenderedPageBreak/>
        <w:t xml:space="preserve">In </w:t>
      </w:r>
      <w:r>
        <w:rPr>
          <w:rFonts w:ascii="Myriad Pro" w:hAnsi="Myriad Pro"/>
          <w:i/>
          <w:iCs/>
        </w:rPr>
        <w:t xml:space="preserve">Hall (Inspector of Taxes) v Lorimer (1964) </w:t>
      </w:r>
      <w:r>
        <w:rPr>
          <w:rFonts w:ascii="Myriad Pro" w:hAnsi="Myriad Pro"/>
        </w:rPr>
        <w:t xml:space="preserve">the High Court stated: </w:t>
      </w:r>
    </w:p>
    <w:p w:rsidR="00FD1CE8" w:rsidRDefault="00FD1CE8"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w:t>
      </w:r>
      <w:r>
        <w:rPr>
          <w:rFonts w:ascii="Myriad Pro" w:hAnsi="Myriad Pro"/>
          <w:i/>
          <w:iCs/>
        </w:rPr>
        <w:t>The whole picture has to be painted and then read from a distance to reach an informed and qualitative decision, in the circumstances of the case</w:t>
      </w:r>
      <w:r>
        <w:rPr>
          <w:rFonts w:ascii="Myriad Pro" w:hAnsi="Myriad Pro"/>
        </w:rPr>
        <w:t xml:space="preserv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The approach of the courts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t xml:space="preserve">Control test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Over the years, the appeal courts have developed </w:t>
      </w:r>
      <w:proofErr w:type="gramStart"/>
      <w:r>
        <w:rPr>
          <w:rFonts w:ascii="Myriad Pro" w:hAnsi="Myriad Pro"/>
        </w:rPr>
        <w:t>a number of</w:t>
      </w:r>
      <w:proofErr w:type="gramEnd"/>
      <w:r>
        <w:rPr>
          <w:rFonts w:ascii="Myriad Pro" w:hAnsi="Myriad Pro"/>
        </w:rPr>
        <w:t xml:space="preserve"> tests to decide who is an employee and who is an independent contractor. At various stages, some tests have been given more prominence than others. In the late 19th and early 20th centuries, the key test was the control test. </w:t>
      </w:r>
    </w:p>
    <w:p w:rsidR="000345E2" w:rsidRDefault="000345E2" w:rsidP="000345E2">
      <w:pPr>
        <w:pStyle w:val="Default"/>
        <w:spacing w:line="360" w:lineRule="auto"/>
        <w:rPr>
          <w:rFonts w:ascii="Myriad Pro" w:hAnsi="Myriad Pro"/>
        </w:rPr>
      </w:pPr>
    </w:p>
    <w:p w:rsidR="00F16969" w:rsidRDefault="000345E2" w:rsidP="000345E2">
      <w:pPr>
        <w:pStyle w:val="Default"/>
        <w:spacing w:line="360" w:lineRule="auto"/>
        <w:rPr>
          <w:rFonts w:ascii="Myriad Pro" w:hAnsi="Myriad Pro"/>
        </w:rPr>
      </w:pPr>
      <w:r>
        <w:rPr>
          <w:rFonts w:ascii="Myriad Pro" w:hAnsi="Myriad Pro"/>
        </w:rPr>
        <w:t xml:space="preserve">According to the Court of Appeal in </w:t>
      </w:r>
      <w:proofErr w:type="spellStart"/>
      <w:r>
        <w:rPr>
          <w:rFonts w:ascii="Myriad Pro" w:hAnsi="Myriad Pro"/>
          <w:i/>
          <w:iCs/>
        </w:rPr>
        <w:t>Yewens</w:t>
      </w:r>
      <w:proofErr w:type="spellEnd"/>
      <w:r>
        <w:rPr>
          <w:rFonts w:ascii="Myriad Pro" w:hAnsi="Myriad Pro"/>
          <w:i/>
          <w:iCs/>
        </w:rPr>
        <w:t xml:space="preserve"> v Noakes (1880)</w:t>
      </w:r>
      <w:r>
        <w:rPr>
          <w:rFonts w:ascii="Myriad Pro" w:hAnsi="Myriad Pro"/>
        </w:rPr>
        <w:t xml:space="preserve">, a servant (employee) is a person subject to the control of his or her master (employer) as to the </w:t>
      </w:r>
      <w:proofErr w:type="gramStart"/>
      <w:r>
        <w:rPr>
          <w:rFonts w:ascii="Myriad Pro" w:hAnsi="Myriad Pro"/>
        </w:rPr>
        <w:t>manner in which</w:t>
      </w:r>
      <w:proofErr w:type="gramEnd"/>
      <w:r>
        <w:rPr>
          <w:rFonts w:ascii="Myriad Pro" w:hAnsi="Myriad Pro"/>
        </w:rPr>
        <w:t xml:space="preserve"> he or she must do the work. </w:t>
      </w:r>
    </w:p>
    <w:p w:rsidR="00FD1CE8" w:rsidRDefault="00FD1CE8"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t xml:space="preserve">Integration test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By the 1950s/1960s, focus had shifted to an organisational/business integration test. This looked at the extent to which an individual was part and parcel of the employer’s business. The Court of Appeal held in </w:t>
      </w:r>
      <w:r>
        <w:rPr>
          <w:rFonts w:ascii="Myriad Pro" w:hAnsi="Myriad Pro"/>
          <w:i/>
          <w:iCs/>
        </w:rPr>
        <w:t xml:space="preserve">Stevenson, Jordan and Harrison Ltd v MacDonald (1952) </w:t>
      </w:r>
      <w:r>
        <w:rPr>
          <w:rFonts w:ascii="Myriad Pro" w:hAnsi="Myriad Pro"/>
        </w:rPr>
        <w:t xml:space="preserve">that under a contract of service, a man is employed as part of the business, and his work done as an integral part of the business, whereas under a contract for services, his work, although done for the business, is not integrated into it, but is only accessory to it. </w:t>
      </w:r>
    </w:p>
    <w:p w:rsidR="00FD1CE8" w:rsidRDefault="00FD1CE8" w:rsidP="000345E2">
      <w:pPr>
        <w:pStyle w:val="Default"/>
        <w:spacing w:line="360" w:lineRule="auto"/>
        <w:rPr>
          <w:rFonts w:ascii="Myriad Pro" w:hAnsi="Myriad Pro"/>
        </w:rPr>
      </w:pPr>
    </w:p>
    <w:p w:rsidR="00FD1CE8" w:rsidRDefault="00FD1CE8" w:rsidP="000345E2">
      <w:pPr>
        <w:pStyle w:val="Default"/>
        <w:spacing w:line="360" w:lineRule="auto"/>
        <w:rPr>
          <w:rFonts w:ascii="Myriad Pro" w:hAnsi="Myriad Pro"/>
          <w:b/>
          <w:bCs/>
          <w:u w:val="single"/>
        </w:rPr>
      </w:pPr>
    </w:p>
    <w:p w:rsidR="00FD1CE8" w:rsidRDefault="00FD1CE8"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t xml:space="preserve">Multiple test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By the end of the 1960s, a more sophisticated approach began to develop. This culminated in the “multiple test” established by the High Court in </w:t>
      </w:r>
      <w:r>
        <w:rPr>
          <w:rFonts w:ascii="Myriad Pro" w:hAnsi="Myriad Pro"/>
          <w:i/>
          <w:iCs/>
        </w:rPr>
        <w:t>Ready Mixed Concrete (South East) v Minister of Pensions and National Insurance (1968)</w:t>
      </w:r>
      <w:r>
        <w:rPr>
          <w:rFonts w:ascii="Myriad Pro" w:hAnsi="Myriad Pro"/>
        </w:rPr>
        <w:t xml:space="preserve">. The effect of the multiple test is that for individuals to be employees, they must: </w:t>
      </w:r>
    </w:p>
    <w:p w:rsidR="00FD1CE8" w:rsidRDefault="00FD1CE8" w:rsidP="000345E2">
      <w:pPr>
        <w:pStyle w:val="Default"/>
        <w:spacing w:line="360" w:lineRule="auto"/>
        <w:rPr>
          <w:rFonts w:ascii="Myriad Pro" w:hAnsi="Myriad Pro"/>
        </w:rPr>
      </w:pPr>
    </w:p>
    <w:p w:rsidR="000345E2" w:rsidRDefault="000345E2" w:rsidP="000345E2">
      <w:pPr>
        <w:pStyle w:val="Default"/>
        <w:numPr>
          <w:ilvl w:val="0"/>
          <w:numId w:val="1"/>
        </w:numPr>
        <w:spacing w:after="141" w:line="360" w:lineRule="auto"/>
        <w:rPr>
          <w:rFonts w:ascii="Myriad Pro" w:eastAsia="Times New Roman" w:hAnsi="Myriad Pro"/>
        </w:rPr>
      </w:pPr>
      <w:r>
        <w:rPr>
          <w:rFonts w:ascii="Myriad Pro" w:eastAsia="Times New Roman" w:hAnsi="Myriad Pro"/>
        </w:rPr>
        <w:t xml:space="preserve">Provide their own work and skill (personal service); </w:t>
      </w:r>
    </w:p>
    <w:p w:rsidR="000345E2" w:rsidRDefault="000345E2" w:rsidP="000345E2">
      <w:pPr>
        <w:pStyle w:val="Default"/>
        <w:numPr>
          <w:ilvl w:val="0"/>
          <w:numId w:val="1"/>
        </w:numPr>
        <w:spacing w:after="141" w:line="360" w:lineRule="auto"/>
        <w:rPr>
          <w:rFonts w:ascii="Myriad Pro" w:eastAsia="Times New Roman" w:hAnsi="Myriad Pro"/>
        </w:rPr>
      </w:pPr>
      <w:r>
        <w:rPr>
          <w:rFonts w:ascii="Myriad Pro" w:eastAsia="Times New Roman" w:hAnsi="Myriad Pro"/>
        </w:rPr>
        <w:t xml:space="preserve">Agree to be subject to control; and </w:t>
      </w:r>
    </w:p>
    <w:p w:rsidR="000345E2" w:rsidRDefault="000345E2" w:rsidP="000345E2">
      <w:pPr>
        <w:pStyle w:val="Default"/>
        <w:numPr>
          <w:ilvl w:val="0"/>
          <w:numId w:val="1"/>
        </w:numPr>
        <w:spacing w:line="360" w:lineRule="auto"/>
        <w:rPr>
          <w:rFonts w:ascii="Myriad Pro" w:eastAsia="Times New Roman" w:hAnsi="Myriad Pro"/>
        </w:rPr>
      </w:pPr>
      <w:r>
        <w:rPr>
          <w:rFonts w:ascii="Myriad Pro" w:eastAsia="Times New Roman" w:hAnsi="Myriad Pro"/>
        </w:rPr>
        <w:t xml:space="preserve">The other provisions of the contract must be consistent with it being a contract of service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Control in this context means not just the employer having the power to decide on the thing to be done but the way in which it is to be done, the means employed to do it and when/where it should be done. This means that individuals with a great deal of personal autonomy as to how they work e.g. hospital consultants, can still be employees.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Individuals who are genuinely in business on their own account will not be employees but independent contractors. In </w:t>
      </w:r>
      <w:r>
        <w:rPr>
          <w:rFonts w:ascii="Myriad Pro" w:hAnsi="Myriad Pro"/>
          <w:i/>
          <w:iCs/>
        </w:rPr>
        <w:t xml:space="preserve">Marketing Investigations v Minister of Social Security </w:t>
      </w:r>
      <w:r>
        <w:rPr>
          <w:rFonts w:ascii="Myriad Pro" w:hAnsi="Myriad Pro"/>
        </w:rPr>
        <w:t xml:space="preserve">(1969), the High Court effectively held that entrepreneurialism was the hallmark of a genuine self-employed person. Individuals who hire their own staff, undertake other work, provide their own equipment, take on financial risk and </w:t>
      </w:r>
      <w:proofErr w:type="gramStart"/>
      <w:r>
        <w:rPr>
          <w:rFonts w:ascii="Myriad Pro" w:hAnsi="Myriad Pro"/>
        </w:rPr>
        <w:t>have the opportunity to</w:t>
      </w:r>
      <w:proofErr w:type="gramEnd"/>
      <w:r>
        <w:rPr>
          <w:rFonts w:ascii="Myriad Pro" w:hAnsi="Myriad Pro"/>
        </w:rPr>
        <w:t xml:space="preserve"> profit from their own sound management are likely to be self-employed. </w:t>
      </w:r>
    </w:p>
    <w:p w:rsidR="000345E2" w:rsidRDefault="000345E2" w:rsidP="000345E2">
      <w:pPr>
        <w:pStyle w:val="Default"/>
        <w:spacing w:line="360" w:lineRule="auto"/>
        <w:rPr>
          <w:rFonts w:ascii="Myriad Pro" w:hAnsi="Myriad Pro"/>
        </w:rPr>
      </w:pPr>
    </w:p>
    <w:p w:rsidR="00FD1CE8" w:rsidRDefault="00FD1CE8" w:rsidP="000345E2">
      <w:pPr>
        <w:pStyle w:val="Default"/>
        <w:spacing w:line="360" w:lineRule="auto"/>
        <w:rPr>
          <w:rFonts w:ascii="Myriad Pro" w:hAnsi="Myriad Pro"/>
        </w:rPr>
      </w:pPr>
    </w:p>
    <w:p w:rsidR="00FD1CE8" w:rsidRDefault="00FD1CE8" w:rsidP="000345E2">
      <w:pPr>
        <w:pStyle w:val="Default"/>
        <w:spacing w:line="360" w:lineRule="auto"/>
        <w:rPr>
          <w:rFonts w:ascii="Myriad Pro" w:hAnsi="Myriad Pro"/>
        </w:rPr>
      </w:pPr>
    </w:p>
    <w:p w:rsidR="00FD1CE8" w:rsidRDefault="00FD1CE8"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lastRenderedPageBreak/>
        <w:t xml:space="preserve">Mutuality of obligations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In recent years, a concept known as “mutuality of obligations” has gained ground as one of the essential hallmarks of a contract of employment. Mutuality of obligations is used to describe the obligation on the employer to provide or pay for work and the corresponding obligation on the part of the employee to accept and undertake that work. It is regarded as the “irreducible minimum” of an employment contract. If there is no mutuality of obligations, there is no employment contract.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The importance of mutuality was demonstrated by the House of Lords decision in </w:t>
      </w:r>
      <w:r>
        <w:rPr>
          <w:rFonts w:ascii="Myriad Pro" w:hAnsi="Myriad Pro"/>
          <w:i/>
          <w:iCs/>
        </w:rPr>
        <w:t>Carmichael v National Power PLC (1999)</w:t>
      </w:r>
      <w:r>
        <w:rPr>
          <w:rFonts w:ascii="Myriad Pro" w:hAnsi="Myriad Pro"/>
        </w:rPr>
        <w:t xml:space="preserve">. National Power (NP) invited applications for the post of power station guides. The advertisement stated that “employment” would be on an “as required” basis. C and L applied for the post and were sent letters stating “[I]” am pleased to note that you are agreeable to be employed [at the power station]. When your services are required you will be paid.” C and L completed a slip which </w:t>
      </w:r>
      <w:proofErr w:type="gramStart"/>
      <w:r>
        <w:rPr>
          <w:rFonts w:ascii="Myriad Pro" w:hAnsi="Myriad Pro"/>
        </w:rPr>
        <w:t>said</w:t>
      </w:r>
      <w:proofErr w:type="gramEnd"/>
      <w:r>
        <w:rPr>
          <w:rFonts w:ascii="Myriad Pro" w:hAnsi="Myriad Pro"/>
        </w:rPr>
        <w:t xml:space="preserve"> “I am pleased to accept your offer of employment as a station guide on a casual as required basis”. C and L worked as guides when required. They could choose when they wanted to work. There were periods when they did not work and they were not disciplined. NP provided them with uniforms and a company vehicle. They </w:t>
      </w:r>
      <w:proofErr w:type="gramStart"/>
      <w:r>
        <w:rPr>
          <w:rFonts w:ascii="Myriad Pro" w:hAnsi="Myriad Pro"/>
        </w:rPr>
        <w:t>were allowed to</w:t>
      </w:r>
      <w:proofErr w:type="gramEnd"/>
      <w:r>
        <w:rPr>
          <w:rFonts w:ascii="Myriad Pro" w:hAnsi="Myriad Pro"/>
        </w:rPr>
        <w:t xml:space="preserve"> apply for shares in NP on the same basis as employees. They did not receive sick pay, holiday pay or entitlement to an occupational pension. C and L sought a written statement of their terms and conditions of employment under section 1 of the Employment Rights Act 1996, a right available only to employees. The Employment Tribunal and the EAT found that C and L were not employees. The Court of Appeal concluded that they were. The ET/EAT looked not just at the written documents that referred to employment but how the agreement operated in practice. The Court of Appeal said that this was an error and that they should have looked at the written documents only. NP appealed to the House of Lords. </w:t>
      </w:r>
    </w:p>
    <w:p w:rsidR="00F16969" w:rsidRDefault="00F16969"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lastRenderedPageBreak/>
        <w:t xml:space="preserve">The House of Lords held that it was open to the ET to find that the parties did not intend their exchange of letters to be the sole record of their agreement but intended that it should be contained partly in letters, partly oral exchanges and partly left to evolve by conduct over time. The ET was entitled to infer from the documents, the surrounding circumstances and how the parties conducted themselves, that there was no intention to create an employment relationship that subsisted during periods when C and L were not working as guides. C and L were under no obligation to take work if they did not want it. The objective inference from this was that there was no mutuality of obligations. There was no obligation on NP to provide work and no obligation on C and L to accept work </w:t>
      </w:r>
      <w:proofErr w:type="gramStart"/>
      <w:r>
        <w:rPr>
          <w:rFonts w:ascii="Myriad Pro" w:hAnsi="Myriad Pro"/>
        </w:rPr>
        <w:t>in the event that</w:t>
      </w:r>
      <w:proofErr w:type="gramEnd"/>
      <w:r>
        <w:rPr>
          <w:rFonts w:ascii="Myriad Pro" w:hAnsi="Myriad Pro"/>
        </w:rPr>
        <w:t xml:space="preserve"> it was offered.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A case that can be contrasted with </w:t>
      </w:r>
      <w:r>
        <w:rPr>
          <w:rFonts w:ascii="Myriad Pro" w:hAnsi="Myriad Pro"/>
          <w:i/>
          <w:iCs/>
        </w:rPr>
        <w:t xml:space="preserve">Carmichael </w:t>
      </w:r>
      <w:r>
        <w:rPr>
          <w:rFonts w:ascii="Myriad Pro" w:hAnsi="Myriad Pro"/>
        </w:rPr>
        <w:t xml:space="preserve">is </w:t>
      </w:r>
      <w:r>
        <w:rPr>
          <w:rFonts w:ascii="Myriad Pro" w:hAnsi="Myriad Pro"/>
          <w:i/>
          <w:iCs/>
        </w:rPr>
        <w:t xml:space="preserve">Wilson v Circular Distributors Ltd (2006). </w:t>
      </w:r>
      <w:r>
        <w:rPr>
          <w:rFonts w:ascii="Myriad Pro" w:hAnsi="Myriad Pro"/>
        </w:rPr>
        <w:t xml:space="preserve">W was a relief area manager who was required to deputise for an area manager when the latter was on sick leave. W brought an unfair dismissal claim and CD argued that W was not an employee. W’s contract expressly stated that there would be periods where no work was available and that he would not be entitled to be paid during those periods. The ET held that there was no mutuality of obligations and that W was not an employee. The EAT held that </w:t>
      </w:r>
      <w:proofErr w:type="spellStart"/>
      <w:r>
        <w:rPr>
          <w:rFonts w:ascii="Myriad Pro" w:hAnsi="Myriad Pro"/>
        </w:rPr>
        <w:t>W</w:t>
      </w:r>
      <w:proofErr w:type="spellEnd"/>
      <w:r>
        <w:rPr>
          <w:rFonts w:ascii="Myriad Pro" w:hAnsi="Myriad Pro"/>
        </w:rPr>
        <w:t xml:space="preserve"> had a nil </w:t>
      </w:r>
      <w:proofErr w:type="gramStart"/>
      <w:r>
        <w:rPr>
          <w:rFonts w:ascii="Myriad Pro" w:hAnsi="Myriad Pro"/>
        </w:rPr>
        <w:t>hours</w:t>
      </w:r>
      <w:proofErr w:type="gramEnd"/>
      <w:r>
        <w:rPr>
          <w:rFonts w:ascii="Myriad Pro" w:hAnsi="Myriad Pro"/>
        </w:rPr>
        <w:t xml:space="preserve"> employment contract. When work was offered, W could not decline it. This put W in a different position to the claimants in </w:t>
      </w:r>
      <w:r>
        <w:rPr>
          <w:rFonts w:ascii="Myriad Pro" w:hAnsi="Myriad Pro"/>
          <w:i/>
          <w:iCs/>
        </w:rPr>
        <w:t xml:space="preserve">Carmichael </w:t>
      </w:r>
      <w:r>
        <w:rPr>
          <w:rFonts w:ascii="Myriad Pro" w:hAnsi="Myriad Pro"/>
        </w:rPr>
        <w:t xml:space="preserve">who </w:t>
      </w:r>
      <w:r>
        <w:rPr>
          <w:rFonts w:ascii="Myriad Pro" w:hAnsi="Myriad Pro"/>
          <w:i/>
          <w:iCs/>
        </w:rPr>
        <w:t xml:space="preserve">were </w:t>
      </w:r>
      <w:r>
        <w:rPr>
          <w:rFonts w:ascii="Myriad Pro" w:hAnsi="Myriad Pro"/>
        </w:rPr>
        <w:t xml:space="preserve">free to decline work offered.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t xml:space="preserve">Personal service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It is clear from the </w:t>
      </w:r>
      <w:r>
        <w:rPr>
          <w:rFonts w:ascii="Myriad Pro" w:hAnsi="Myriad Pro"/>
          <w:i/>
          <w:iCs/>
        </w:rPr>
        <w:t xml:space="preserve">Ready Mixed Concrete </w:t>
      </w:r>
      <w:r>
        <w:rPr>
          <w:rFonts w:ascii="Myriad Pro" w:hAnsi="Myriad Pro"/>
        </w:rPr>
        <w:t xml:space="preserve">case that one of the key elements of an employment contract is an obligation on the employee to provide personal service. Employees are obliged to undertake their duties themselves. It would not be consistent with an employment contract for an employee to send along a substitute to do the work on his or her behalf. However, some businesses, </w:t>
      </w:r>
      <w:proofErr w:type="gramStart"/>
      <w:r>
        <w:rPr>
          <w:rFonts w:ascii="Myriad Pro" w:hAnsi="Myriad Pro"/>
        </w:rPr>
        <w:t>in an attempt to</w:t>
      </w:r>
      <w:proofErr w:type="gramEnd"/>
      <w:r>
        <w:rPr>
          <w:rFonts w:ascii="Myriad Pro" w:hAnsi="Myriad Pro"/>
        </w:rPr>
        <w:t xml:space="preserve"> prevent individuals from securing employment rights, include in their contracts a substitution clause giving </w:t>
      </w:r>
      <w:r>
        <w:rPr>
          <w:rFonts w:ascii="Myriad Pro" w:hAnsi="Myriad Pro"/>
        </w:rPr>
        <w:lastRenderedPageBreak/>
        <w:t xml:space="preserve">individuals the right to send along a substitute if they do not wish to carry out the work themselves on any particular day. This is argued to remove the obligation to provide personal service with the consequence that no employment contract can exist.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Do substitution clauses work? The answer from case law is that it all depends on how the clause is expressed and what happens in practice. In </w:t>
      </w:r>
      <w:r>
        <w:rPr>
          <w:rFonts w:ascii="Myriad Pro" w:hAnsi="Myriad Pro"/>
          <w:i/>
          <w:iCs/>
        </w:rPr>
        <w:t xml:space="preserve">Express and Echo Publications v </w:t>
      </w:r>
      <w:proofErr w:type="spellStart"/>
      <w:r>
        <w:rPr>
          <w:rFonts w:ascii="Myriad Pro" w:hAnsi="Myriad Pro"/>
          <w:i/>
          <w:iCs/>
        </w:rPr>
        <w:t>Tanton</w:t>
      </w:r>
      <w:proofErr w:type="spellEnd"/>
      <w:r>
        <w:rPr>
          <w:rFonts w:ascii="Myriad Pro" w:hAnsi="Myriad Pro"/>
          <w:i/>
          <w:iCs/>
        </w:rPr>
        <w:t xml:space="preserve"> (1999)</w:t>
      </w:r>
      <w:r>
        <w:rPr>
          <w:rFonts w:ascii="Myriad Pro" w:hAnsi="Myriad Pro"/>
        </w:rPr>
        <w:t xml:space="preserve">, T’s contract contained a clause that he could provide a substitute at his own expense where he was “unable or unwilling” to work. The Court of Appeal held that T was an independent contractor because the substitution clause meant that there was no requirement for him to perform the work personally.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However, in </w:t>
      </w:r>
      <w:r>
        <w:rPr>
          <w:rFonts w:ascii="Myriad Pro" w:hAnsi="Myriad Pro"/>
          <w:i/>
          <w:iCs/>
        </w:rPr>
        <w:t xml:space="preserve">MacFarlane v Glasgow City Council (2000) </w:t>
      </w:r>
      <w:r>
        <w:rPr>
          <w:rFonts w:ascii="Myriad Pro" w:hAnsi="Myriad Pro"/>
        </w:rPr>
        <w:t xml:space="preserve">an instructor at a council sports centre was obliged to arrange a substitute from a council maintained list </w:t>
      </w:r>
      <w:proofErr w:type="gramStart"/>
      <w:r>
        <w:rPr>
          <w:rFonts w:ascii="Myriad Pro" w:hAnsi="Myriad Pro"/>
        </w:rPr>
        <w:t>in the event that</w:t>
      </w:r>
      <w:proofErr w:type="gramEnd"/>
      <w:r>
        <w:rPr>
          <w:rFonts w:ascii="Myriad Pro" w:hAnsi="Myriad Pro"/>
        </w:rPr>
        <w:t xml:space="preserve"> she was unable to take a particular class. The council paid for the replacement. The ET applied </w:t>
      </w:r>
      <w:proofErr w:type="spellStart"/>
      <w:r>
        <w:rPr>
          <w:rFonts w:ascii="Myriad Pro" w:hAnsi="Myriad Pro"/>
          <w:i/>
          <w:iCs/>
        </w:rPr>
        <w:t>Tanton</w:t>
      </w:r>
      <w:proofErr w:type="spellEnd"/>
      <w:r>
        <w:rPr>
          <w:rFonts w:ascii="Myriad Pro" w:hAnsi="Myriad Pro"/>
          <w:i/>
          <w:iCs/>
        </w:rPr>
        <w:t xml:space="preserve"> </w:t>
      </w:r>
      <w:r>
        <w:rPr>
          <w:rFonts w:ascii="Myriad Pro" w:hAnsi="Myriad Pro"/>
        </w:rPr>
        <w:t xml:space="preserve">and held that M’s ability to send along someone else to do the work amounted to a right of substitution and that accordingly, no employment contract could exist. The EAT reversed the ET’s decision and held that the limited right of substitution in this case did not negate the obligation to provide personal service. M could not </w:t>
      </w:r>
      <w:r>
        <w:rPr>
          <w:rFonts w:ascii="Myriad Pro" w:hAnsi="Myriad Pro"/>
          <w:i/>
          <w:iCs/>
        </w:rPr>
        <w:t xml:space="preserve">choose </w:t>
      </w:r>
      <w:r>
        <w:rPr>
          <w:rFonts w:ascii="Myriad Pro" w:hAnsi="Myriad Pro"/>
        </w:rPr>
        <w:t xml:space="preserve">not to attend. The ability to send along a substitute only applied when M was unable (as opposed to unwilling) to work.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t xml:space="preserve">Recap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To recap, it has emerged from case law that the essential ingredients of a contract of employment are: </w:t>
      </w:r>
    </w:p>
    <w:p w:rsidR="000345E2" w:rsidRDefault="000345E2" w:rsidP="000345E2">
      <w:pPr>
        <w:pStyle w:val="Default"/>
        <w:spacing w:line="360" w:lineRule="auto"/>
        <w:rPr>
          <w:rFonts w:ascii="Myriad Pro" w:hAnsi="Myriad Pro"/>
        </w:rPr>
      </w:pPr>
    </w:p>
    <w:p w:rsidR="000345E2" w:rsidRDefault="000345E2" w:rsidP="000345E2">
      <w:pPr>
        <w:pStyle w:val="Default"/>
        <w:numPr>
          <w:ilvl w:val="0"/>
          <w:numId w:val="1"/>
        </w:numPr>
        <w:spacing w:after="139" w:line="360" w:lineRule="auto"/>
        <w:rPr>
          <w:rFonts w:ascii="Myriad Pro" w:eastAsia="Times New Roman" w:hAnsi="Myriad Pro"/>
        </w:rPr>
      </w:pPr>
      <w:r>
        <w:rPr>
          <w:rFonts w:ascii="Myriad Pro" w:eastAsia="Times New Roman" w:hAnsi="Myriad Pro"/>
        </w:rPr>
        <w:t xml:space="preserve">Control </w:t>
      </w:r>
    </w:p>
    <w:p w:rsidR="000345E2" w:rsidRDefault="000345E2" w:rsidP="000345E2">
      <w:pPr>
        <w:pStyle w:val="Default"/>
        <w:numPr>
          <w:ilvl w:val="0"/>
          <w:numId w:val="1"/>
        </w:numPr>
        <w:spacing w:after="139" w:line="360" w:lineRule="auto"/>
        <w:rPr>
          <w:rFonts w:ascii="Myriad Pro" w:eastAsia="Times New Roman" w:hAnsi="Myriad Pro"/>
        </w:rPr>
      </w:pPr>
      <w:r>
        <w:rPr>
          <w:rFonts w:ascii="Myriad Pro" w:eastAsia="Times New Roman" w:hAnsi="Myriad Pro"/>
        </w:rPr>
        <w:t xml:space="preserve">Personal service </w:t>
      </w:r>
    </w:p>
    <w:p w:rsidR="000345E2" w:rsidRDefault="000345E2" w:rsidP="000345E2">
      <w:pPr>
        <w:pStyle w:val="Default"/>
        <w:numPr>
          <w:ilvl w:val="0"/>
          <w:numId w:val="1"/>
        </w:numPr>
        <w:spacing w:line="360" w:lineRule="auto"/>
        <w:rPr>
          <w:rFonts w:ascii="Myriad Pro" w:eastAsia="Times New Roman" w:hAnsi="Myriad Pro"/>
        </w:rPr>
      </w:pPr>
      <w:r>
        <w:rPr>
          <w:rFonts w:ascii="Myriad Pro" w:eastAsia="Times New Roman" w:hAnsi="Myriad Pro"/>
        </w:rPr>
        <w:lastRenderedPageBreak/>
        <w:t xml:space="preserve">Mutuality of obligation </w:t>
      </w:r>
    </w:p>
    <w:p w:rsidR="00FD1CE8" w:rsidRDefault="00FD1CE8"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If any factor above is missing, the contract is not capable of being an employment contract. If all factors are present, then the contract is capable of being an employment contract. To establish whether the contract is an employment contract or not, the courts and tribunals must consider the overall picture to see whether certain factors exist that point towards or away from an employment contract existing. None of the pointers set out below is conclusive and it is not an exhaustive list: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i/>
          <w:iCs/>
        </w:rPr>
      </w:pPr>
      <w:r>
        <w:rPr>
          <w:rFonts w:ascii="Myriad Pro" w:hAnsi="Myriad Pro"/>
          <w:i/>
          <w:iCs/>
        </w:rPr>
        <w:t>Pointer</w:t>
      </w:r>
      <w:r w:rsidR="00F16969">
        <w:rPr>
          <w:rFonts w:ascii="Myriad Pro" w:hAnsi="Myriad Pro"/>
          <w:i/>
          <w:iCs/>
        </w:rPr>
        <w:t>s </w:t>
      </w:r>
      <w:r>
        <w:rPr>
          <w:rFonts w:ascii="Myriad Pro" w:hAnsi="Myriad Pro"/>
          <w:i/>
          <w:iCs/>
        </w:rPr>
        <w:t xml:space="preserve">to employment </w:t>
      </w:r>
    </w:p>
    <w:p w:rsidR="000345E2" w:rsidRDefault="000345E2" w:rsidP="000345E2">
      <w:pPr>
        <w:pStyle w:val="Default"/>
        <w:spacing w:line="360" w:lineRule="auto"/>
        <w:rPr>
          <w:rFonts w:ascii="Myriad Pro" w:hAnsi="Myriad Pro"/>
        </w:rPr>
      </w:pPr>
    </w:p>
    <w:p w:rsidR="000345E2" w:rsidRDefault="000345E2" w:rsidP="000345E2">
      <w:pPr>
        <w:pStyle w:val="Default"/>
        <w:numPr>
          <w:ilvl w:val="0"/>
          <w:numId w:val="1"/>
        </w:numPr>
        <w:spacing w:after="141" w:line="360" w:lineRule="auto"/>
        <w:rPr>
          <w:rFonts w:ascii="Myriad Pro" w:eastAsia="Times New Roman" w:hAnsi="Myriad Pro"/>
        </w:rPr>
      </w:pPr>
      <w:r>
        <w:rPr>
          <w:rFonts w:ascii="Myriad Pro" w:eastAsia="Times New Roman" w:hAnsi="Myriad Pro"/>
        </w:rPr>
        <w:t xml:space="preserve">The employer provides tools and equipment </w:t>
      </w:r>
    </w:p>
    <w:p w:rsidR="000345E2" w:rsidRDefault="00FD1CE8" w:rsidP="00FD1CE8">
      <w:pPr>
        <w:pStyle w:val="Default"/>
        <w:numPr>
          <w:ilvl w:val="0"/>
          <w:numId w:val="1"/>
        </w:numPr>
        <w:spacing w:after="141" w:line="360" w:lineRule="auto"/>
        <w:rPr>
          <w:rFonts w:ascii="Myriad Pro" w:eastAsia="Times New Roman" w:hAnsi="Myriad Pro"/>
        </w:rPr>
      </w:pPr>
      <w:r>
        <w:rPr>
          <w:rFonts w:ascii="Myriad Pro" w:eastAsia="Times New Roman" w:hAnsi="Myriad Pro"/>
        </w:rPr>
        <w:t xml:space="preserve">The </w:t>
      </w:r>
      <w:r w:rsidR="000345E2">
        <w:rPr>
          <w:rFonts w:ascii="Myriad Pro" w:eastAsia="Times New Roman" w:hAnsi="Myriad Pro"/>
        </w:rPr>
        <w:t xml:space="preserve">individual is integrated into the business, appears on organisational charts, attends staff meetings, line manages employees of the business etc </w:t>
      </w:r>
    </w:p>
    <w:p w:rsidR="000345E2" w:rsidRDefault="000345E2" w:rsidP="000345E2">
      <w:pPr>
        <w:pStyle w:val="Default"/>
        <w:numPr>
          <w:ilvl w:val="0"/>
          <w:numId w:val="1"/>
        </w:numPr>
        <w:spacing w:after="143" w:line="360" w:lineRule="auto"/>
        <w:rPr>
          <w:rFonts w:ascii="Myriad Pro" w:eastAsia="Times New Roman" w:hAnsi="Myriad Pro"/>
        </w:rPr>
      </w:pPr>
      <w:r>
        <w:rPr>
          <w:rFonts w:ascii="Myriad Pro" w:eastAsia="Times New Roman" w:hAnsi="Myriad Pro"/>
        </w:rPr>
        <w:t xml:space="preserve">The individual is line managed by the employer’s employees and is subject to the employer’s rules and procedures </w:t>
      </w:r>
    </w:p>
    <w:p w:rsidR="000345E2" w:rsidRDefault="000345E2" w:rsidP="000345E2">
      <w:pPr>
        <w:pStyle w:val="Default"/>
        <w:numPr>
          <w:ilvl w:val="0"/>
          <w:numId w:val="1"/>
        </w:numPr>
        <w:spacing w:after="143" w:line="360" w:lineRule="auto"/>
        <w:rPr>
          <w:rFonts w:ascii="Myriad Pro" w:eastAsia="Times New Roman" w:hAnsi="Myriad Pro"/>
        </w:rPr>
      </w:pPr>
      <w:r>
        <w:rPr>
          <w:rFonts w:ascii="Myriad Pro" w:eastAsia="Times New Roman" w:hAnsi="Myriad Pro"/>
        </w:rPr>
        <w:t xml:space="preserve">The individual wears a uniform </w:t>
      </w:r>
    </w:p>
    <w:p w:rsidR="000345E2" w:rsidRDefault="000345E2" w:rsidP="000345E2">
      <w:pPr>
        <w:pStyle w:val="Default"/>
        <w:numPr>
          <w:ilvl w:val="0"/>
          <w:numId w:val="1"/>
        </w:numPr>
        <w:spacing w:after="143" w:line="360" w:lineRule="auto"/>
        <w:rPr>
          <w:rFonts w:ascii="Myriad Pro" w:eastAsia="Times New Roman" w:hAnsi="Myriad Pro"/>
        </w:rPr>
      </w:pPr>
      <w:r>
        <w:rPr>
          <w:rFonts w:ascii="Myriad Pro" w:eastAsia="Times New Roman" w:hAnsi="Myriad Pro"/>
        </w:rPr>
        <w:t xml:space="preserve">The individual is prohibited from working for others without consent </w:t>
      </w:r>
    </w:p>
    <w:p w:rsidR="000345E2" w:rsidRDefault="000345E2" w:rsidP="000345E2">
      <w:pPr>
        <w:pStyle w:val="Default"/>
        <w:numPr>
          <w:ilvl w:val="0"/>
          <w:numId w:val="1"/>
        </w:numPr>
        <w:spacing w:after="143" w:line="360" w:lineRule="auto"/>
        <w:rPr>
          <w:rFonts w:ascii="Myriad Pro" w:eastAsia="Times New Roman" w:hAnsi="Myriad Pro"/>
        </w:rPr>
      </w:pPr>
      <w:r>
        <w:rPr>
          <w:rFonts w:ascii="Myriad Pro" w:eastAsia="Times New Roman" w:hAnsi="Myriad Pro"/>
        </w:rPr>
        <w:t xml:space="preserve">The individual receives sick pay </w:t>
      </w:r>
    </w:p>
    <w:p w:rsidR="000345E2" w:rsidRDefault="000345E2" w:rsidP="000345E2">
      <w:pPr>
        <w:pStyle w:val="Default"/>
        <w:numPr>
          <w:ilvl w:val="0"/>
          <w:numId w:val="1"/>
        </w:numPr>
        <w:spacing w:line="360" w:lineRule="auto"/>
        <w:rPr>
          <w:rFonts w:ascii="Myriad Pro" w:eastAsia="Times New Roman" w:hAnsi="Myriad Pro"/>
        </w:rPr>
      </w:pPr>
      <w:r>
        <w:rPr>
          <w:rFonts w:ascii="Myriad Pro" w:eastAsia="Times New Roman" w:hAnsi="Myriad Pro"/>
        </w:rPr>
        <w:t xml:space="preserve">The individual is entitled to join the employer’s pension scheme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rPr>
      </w:pPr>
      <w:r>
        <w:rPr>
          <w:rFonts w:ascii="Myriad Pro" w:hAnsi="Myriad Pro"/>
          <w:b/>
          <w:bCs/>
        </w:rPr>
        <w:t xml:space="preserve">Pointers to self-employment </w:t>
      </w:r>
    </w:p>
    <w:p w:rsidR="000345E2" w:rsidRDefault="000345E2" w:rsidP="000345E2">
      <w:pPr>
        <w:pStyle w:val="Default"/>
        <w:spacing w:line="360" w:lineRule="auto"/>
        <w:rPr>
          <w:rFonts w:ascii="Myriad Pro" w:hAnsi="Myriad Pro"/>
          <w:b/>
          <w:bCs/>
        </w:rPr>
      </w:pPr>
    </w:p>
    <w:p w:rsidR="000345E2" w:rsidRDefault="000345E2" w:rsidP="000345E2">
      <w:pPr>
        <w:pStyle w:val="Default"/>
        <w:numPr>
          <w:ilvl w:val="0"/>
          <w:numId w:val="1"/>
        </w:numPr>
        <w:spacing w:after="140" w:line="360" w:lineRule="auto"/>
        <w:rPr>
          <w:rFonts w:ascii="Myriad Pro" w:eastAsia="Times New Roman" w:hAnsi="Myriad Pro"/>
        </w:rPr>
      </w:pPr>
      <w:r>
        <w:rPr>
          <w:rFonts w:ascii="Myriad Pro" w:eastAsia="Times New Roman" w:hAnsi="Myriad Pro"/>
        </w:rPr>
        <w:t xml:space="preserve">The individual hires his or her own help </w:t>
      </w:r>
    </w:p>
    <w:p w:rsidR="000345E2" w:rsidRDefault="000345E2" w:rsidP="000345E2">
      <w:pPr>
        <w:pStyle w:val="Default"/>
        <w:numPr>
          <w:ilvl w:val="0"/>
          <w:numId w:val="1"/>
        </w:numPr>
        <w:spacing w:after="140" w:line="360" w:lineRule="auto"/>
        <w:rPr>
          <w:rFonts w:ascii="Myriad Pro" w:eastAsia="Times New Roman" w:hAnsi="Myriad Pro"/>
        </w:rPr>
      </w:pPr>
      <w:r>
        <w:rPr>
          <w:rFonts w:ascii="Myriad Pro" w:eastAsia="Times New Roman" w:hAnsi="Myriad Pro"/>
        </w:rPr>
        <w:t xml:space="preserve">The individual provides his or her own equipment </w:t>
      </w:r>
    </w:p>
    <w:p w:rsidR="000345E2" w:rsidRDefault="000345E2" w:rsidP="000345E2">
      <w:pPr>
        <w:pStyle w:val="Default"/>
        <w:numPr>
          <w:ilvl w:val="0"/>
          <w:numId w:val="1"/>
        </w:numPr>
        <w:spacing w:after="140" w:line="360" w:lineRule="auto"/>
        <w:rPr>
          <w:rFonts w:ascii="Myriad Pro" w:eastAsia="Times New Roman" w:hAnsi="Myriad Pro"/>
        </w:rPr>
      </w:pPr>
      <w:r>
        <w:rPr>
          <w:rFonts w:ascii="Myriad Pro" w:eastAsia="Times New Roman" w:hAnsi="Myriad Pro"/>
        </w:rPr>
        <w:t xml:space="preserve">The individual provides services to other businesses </w:t>
      </w:r>
    </w:p>
    <w:p w:rsidR="000345E2" w:rsidRDefault="000345E2" w:rsidP="000345E2">
      <w:pPr>
        <w:pStyle w:val="Default"/>
        <w:numPr>
          <w:ilvl w:val="0"/>
          <w:numId w:val="1"/>
        </w:numPr>
        <w:spacing w:after="140" w:line="360" w:lineRule="auto"/>
        <w:rPr>
          <w:rFonts w:ascii="Myriad Pro" w:eastAsia="Times New Roman" w:hAnsi="Myriad Pro"/>
        </w:rPr>
      </w:pPr>
      <w:r>
        <w:rPr>
          <w:rFonts w:ascii="Myriad Pro" w:eastAsia="Times New Roman" w:hAnsi="Myriad Pro"/>
        </w:rPr>
        <w:lastRenderedPageBreak/>
        <w:t xml:space="preserve">The individual takes on financial risk (for example, remedying mistakes at his or her own cost) and </w:t>
      </w:r>
      <w:proofErr w:type="gramStart"/>
      <w:r>
        <w:rPr>
          <w:rFonts w:ascii="Myriad Pro" w:eastAsia="Times New Roman" w:hAnsi="Myriad Pro"/>
        </w:rPr>
        <w:t>has the opportunity to</w:t>
      </w:r>
      <w:proofErr w:type="gramEnd"/>
      <w:r>
        <w:rPr>
          <w:rFonts w:ascii="Myriad Pro" w:eastAsia="Times New Roman" w:hAnsi="Myriad Pro"/>
        </w:rPr>
        <w:t xml:space="preserve"> profit from sound management </w:t>
      </w:r>
    </w:p>
    <w:p w:rsidR="000345E2" w:rsidRDefault="000345E2" w:rsidP="000345E2">
      <w:pPr>
        <w:pStyle w:val="Default"/>
        <w:numPr>
          <w:ilvl w:val="0"/>
          <w:numId w:val="1"/>
        </w:numPr>
        <w:spacing w:line="360" w:lineRule="auto"/>
        <w:rPr>
          <w:rFonts w:ascii="Myriad Pro" w:eastAsia="Times New Roman" w:hAnsi="Myriad Pro"/>
        </w:rPr>
      </w:pPr>
      <w:r>
        <w:rPr>
          <w:rFonts w:ascii="Myriad Pro" w:eastAsia="Times New Roman" w:hAnsi="Myriad Pro"/>
        </w:rPr>
        <w:t xml:space="preserve">The individual has a high degree of personal control over when and/or how the work is done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How the individual is taxed is also a relevant consideration although again, not a decisive one. HM Revenue &amp; Customs use similar although not identical tests to those used by the courts and tribunals when determining an individual’s employment status. </w:t>
      </w:r>
    </w:p>
    <w:p w:rsidR="00F16969" w:rsidRDefault="00F16969"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b/>
          <w:bCs/>
          <w:u w:val="single"/>
        </w:rPr>
        <w:t>Are the parties’ labels important</w:t>
      </w:r>
      <w:r>
        <w:rPr>
          <w:rFonts w:ascii="Myriad Pro" w:hAnsi="Myriad Pro"/>
        </w:rPr>
        <w:t xml:space="preserv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Another consideration is how the parties describe their relationship in the contractual documentation. The extent to which the courts and tribunals must respect how the parties have described their relationship in writing continues to vary in accordance with case law. What is clear is that courts and tribunals may disregard how the parties have “labelled” their working arrangements where the label does not accord with the reality of the situation. Contracts often contain clauses that ask individuals to agree that they are to be regarded as independent contractors and not employees. Connected with this, as we have seen, the contract may contain a substitution clause and/or a clause stating that the employee is not obliged to take any work that is offered in an effort on the part of the employer to argue that there is no personal service/mutuality of obligation. An issue that continues to vex courts and tribunals is what should happen where there is a suspicion that the clauses in the contract do not reflect how the working arrangements operate in practice.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In </w:t>
      </w:r>
      <w:proofErr w:type="spellStart"/>
      <w:r>
        <w:rPr>
          <w:rFonts w:ascii="Myriad Pro" w:hAnsi="Myriad Pro"/>
          <w:i/>
          <w:iCs/>
        </w:rPr>
        <w:t>Protectacoat</w:t>
      </w:r>
      <w:proofErr w:type="spellEnd"/>
      <w:r>
        <w:rPr>
          <w:rFonts w:ascii="Myriad Pro" w:hAnsi="Myriad Pro"/>
          <w:i/>
          <w:iCs/>
        </w:rPr>
        <w:t xml:space="preserve"> </w:t>
      </w:r>
      <w:proofErr w:type="spellStart"/>
      <w:r>
        <w:rPr>
          <w:rFonts w:ascii="Myriad Pro" w:hAnsi="Myriad Pro"/>
          <w:i/>
          <w:iCs/>
        </w:rPr>
        <w:t>Firthglow</w:t>
      </w:r>
      <w:proofErr w:type="spellEnd"/>
      <w:r>
        <w:rPr>
          <w:rFonts w:ascii="Myriad Pro" w:hAnsi="Myriad Pro"/>
          <w:i/>
          <w:iCs/>
        </w:rPr>
        <w:t xml:space="preserve"> Ltd v </w:t>
      </w:r>
      <w:proofErr w:type="spellStart"/>
      <w:r>
        <w:rPr>
          <w:rFonts w:ascii="Myriad Pro" w:hAnsi="Myriad Pro"/>
          <w:i/>
          <w:iCs/>
        </w:rPr>
        <w:t>Szilagyi</w:t>
      </w:r>
      <w:proofErr w:type="spellEnd"/>
      <w:r>
        <w:rPr>
          <w:rFonts w:ascii="Myriad Pro" w:hAnsi="Myriad Pro"/>
          <w:i/>
          <w:iCs/>
        </w:rPr>
        <w:t xml:space="preserve"> (2009), </w:t>
      </w:r>
      <w:r>
        <w:rPr>
          <w:rFonts w:ascii="Myriad Pro" w:hAnsi="Myriad Pro"/>
        </w:rPr>
        <w:t xml:space="preserve">the company asked the individual to find a “partner” and the “partnership” then signed a contract with the company to provide services to it even though in practice, the arrangement operated like an employment </w:t>
      </w:r>
      <w:r>
        <w:rPr>
          <w:rFonts w:ascii="Myriad Pro" w:hAnsi="Myriad Pro"/>
        </w:rPr>
        <w:lastRenderedPageBreak/>
        <w:t xml:space="preserve">contract. The Court of Appeal agreed with the ET that there was an employment contract and the partnership contracts were a sham. The Court of Appeal held that when identifying what the </w:t>
      </w:r>
      <w:proofErr w:type="gramStart"/>
      <w:r>
        <w:rPr>
          <w:rFonts w:ascii="Myriad Pro" w:hAnsi="Myriad Pro"/>
        </w:rPr>
        <w:t>particular relationship</w:t>
      </w:r>
      <w:proofErr w:type="gramEnd"/>
      <w:r>
        <w:rPr>
          <w:rFonts w:ascii="Myriad Pro" w:hAnsi="Myriad Pro"/>
        </w:rPr>
        <w:t xml:space="preserve"> is, one should look first of all to the contractual documents for the answer. However, if it is asserted that the document does not reflect the true relationship then the court or tribunal must decide what the true relationship is: “If the evidence establishes that the true relationship was, and was intended to be, different from what is described in the document, then it is that relationship and not the document…which defines the contract”.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In </w:t>
      </w:r>
      <w:proofErr w:type="spellStart"/>
      <w:r>
        <w:rPr>
          <w:rFonts w:ascii="Myriad Pro" w:hAnsi="Myriad Pro"/>
          <w:i/>
          <w:iCs/>
        </w:rPr>
        <w:t>Autoclenz</w:t>
      </w:r>
      <w:proofErr w:type="spellEnd"/>
      <w:r>
        <w:rPr>
          <w:rFonts w:ascii="Myriad Pro" w:hAnsi="Myriad Pro"/>
          <w:i/>
          <w:iCs/>
        </w:rPr>
        <w:t xml:space="preserve"> </w:t>
      </w:r>
      <w:r>
        <w:rPr>
          <w:rFonts w:ascii="Myriad Pro" w:hAnsi="Myriad Pro"/>
        </w:rPr>
        <w:t xml:space="preserve">v </w:t>
      </w:r>
      <w:r>
        <w:rPr>
          <w:rFonts w:ascii="Myriad Pro" w:hAnsi="Myriad Pro"/>
          <w:i/>
          <w:iCs/>
        </w:rPr>
        <w:t xml:space="preserve">Belcher </w:t>
      </w:r>
      <w:r>
        <w:rPr>
          <w:rFonts w:ascii="Myriad Pro" w:hAnsi="Myriad Pro"/>
        </w:rPr>
        <w:t xml:space="preserve">and others (2011) the UK Supreme Court considered the employment status of </w:t>
      </w:r>
      <w:proofErr w:type="spellStart"/>
      <w:r>
        <w:rPr>
          <w:rFonts w:ascii="Myriad Pro" w:hAnsi="Myriad Pro"/>
        </w:rPr>
        <w:t>valeters</w:t>
      </w:r>
      <w:proofErr w:type="spellEnd"/>
      <w:r>
        <w:rPr>
          <w:rFonts w:ascii="Myriad Pro" w:hAnsi="Myriad Pro"/>
        </w:rPr>
        <w:t xml:space="preserve">. </w:t>
      </w:r>
      <w:proofErr w:type="spellStart"/>
      <w:r>
        <w:rPr>
          <w:rFonts w:ascii="Myriad Pro" w:hAnsi="Myriad Pro"/>
        </w:rPr>
        <w:t>Autoclenz</w:t>
      </w:r>
      <w:proofErr w:type="spellEnd"/>
      <w:r>
        <w:rPr>
          <w:rFonts w:ascii="Myriad Pro" w:hAnsi="Myriad Pro"/>
        </w:rPr>
        <w:t xml:space="preserve"> had a contract to valet cars for British Car Auctions (BCA). </w:t>
      </w:r>
      <w:proofErr w:type="spellStart"/>
      <w:r>
        <w:rPr>
          <w:rFonts w:ascii="Myriad Pro" w:hAnsi="Myriad Pro"/>
        </w:rPr>
        <w:t>Autoclenz</w:t>
      </w:r>
      <w:proofErr w:type="spellEnd"/>
      <w:r>
        <w:rPr>
          <w:rFonts w:ascii="Myriad Pro" w:hAnsi="Myriad Pro"/>
        </w:rPr>
        <w:t xml:space="preserve"> issued contracts to </w:t>
      </w:r>
      <w:proofErr w:type="spellStart"/>
      <w:r>
        <w:rPr>
          <w:rFonts w:ascii="Myriad Pro" w:hAnsi="Myriad Pro"/>
        </w:rPr>
        <w:t>valeters</w:t>
      </w:r>
      <w:proofErr w:type="spellEnd"/>
      <w:r>
        <w:rPr>
          <w:rFonts w:ascii="Myriad Pro" w:hAnsi="Myriad Pro"/>
        </w:rPr>
        <w:t xml:space="preserve"> in 2007 with the following terms: </w:t>
      </w:r>
    </w:p>
    <w:p w:rsidR="00F16969" w:rsidRDefault="00F16969" w:rsidP="000345E2">
      <w:pPr>
        <w:pStyle w:val="Default"/>
        <w:spacing w:line="360" w:lineRule="auto"/>
        <w:rPr>
          <w:rFonts w:ascii="Myriad Pro" w:hAnsi="Myriad Pro"/>
        </w:rPr>
      </w:pPr>
    </w:p>
    <w:p w:rsidR="000345E2" w:rsidRDefault="000345E2" w:rsidP="000345E2">
      <w:pPr>
        <w:pStyle w:val="Default"/>
        <w:numPr>
          <w:ilvl w:val="0"/>
          <w:numId w:val="1"/>
        </w:numPr>
        <w:spacing w:after="143" w:line="360" w:lineRule="auto"/>
        <w:rPr>
          <w:rFonts w:ascii="Myriad Pro" w:eastAsia="Times New Roman" w:hAnsi="Myriad Pro"/>
        </w:rPr>
      </w:pPr>
      <w:proofErr w:type="spellStart"/>
      <w:r>
        <w:rPr>
          <w:rFonts w:ascii="Myriad Pro" w:eastAsia="Times New Roman" w:hAnsi="Myriad Pro"/>
        </w:rPr>
        <w:t>Autoclenz</w:t>
      </w:r>
      <w:proofErr w:type="spellEnd"/>
      <w:r>
        <w:rPr>
          <w:rFonts w:ascii="Myriad Pro" w:eastAsia="Times New Roman" w:hAnsi="Myriad Pro"/>
        </w:rPr>
        <w:t xml:space="preserve"> wished to engage the services of car </w:t>
      </w:r>
      <w:proofErr w:type="spellStart"/>
      <w:r>
        <w:rPr>
          <w:rFonts w:ascii="Myriad Pro" w:eastAsia="Times New Roman" w:hAnsi="Myriad Pro"/>
        </w:rPr>
        <w:t>valeters</w:t>
      </w:r>
      <w:proofErr w:type="spellEnd"/>
      <w:r>
        <w:rPr>
          <w:rFonts w:ascii="Myriad Pro" w:eastAsia="Times New Roman" w:hAnsi="Myriad Pro"/>
        </w:rPr>
        <w:t xml:space="preserve"> from time to time on a subcontract basis </w:t>
      </w:r>
    </w:p>
    <w:p w:rsidR="000345E2" w:rsidRDefault="000345E2" w:rsidP="000345E2">
      <w:pPr>
        <w:pStyle w:val="Default"/>
        <w:numPr>
          <w:ilvl w:val="0"/>
          <w:numId w:val="1"/>
        </w:numPr>
        <w:spacing w:after="143" w:line="360" w:lineRule="auto"/>
        <w:rPr>
          <w:rFonts w:ascii="Myriad Pro" w:eastAsia="Times New Roman" w:hAnsi="Myriad Pro"/>
        </w:rPr>
      </w:pPr>
      <w:r>
        <w:rPr>
          <w:rFonts w:ascii="Myriad Pro" w:eastAsia="Times New Roman" w:hAnsi="Myriad Pro"/>
        </w:rPr>
        <w:t xml:space="preserve">The </w:t>
      </w:r>
      <w:proofErr w:type="spellStart"/>
      <w:r>
        <w:rPr>
          <w:rFonts w:ascii="Myriad Pro" w:eastAsia="Times New Roman" w:hAnsi="Myriad Pro"/>
        </w:rPr>
        <w:t>valeters</w:t>
      </w:r>
      <w:proofErr w:type="spellEnd"/>
      <w:r>
        <w:rPr>
          <w:rFonts w:ascii="Myriad Pro" w:eastAsia="Times New Roman" w:hAnsi="Myriad Pro"/>
        </w:rPr>
        <w:t xml:space="preserve"> could provide a substitute </w:t>
      </w:r>
    </w:p>
    <w:p w:rsidR="000345E2" w:rsidRDefault="000345E2" w:rsidP="000345E2">
      <w:pPr>
        <w:pStyle w:val="Default"/>
        <w:numPr>
          <w:ilvl w:val="0"/>
          <w:numId w:val="1"/>
        </w:numPr>
        <w:spacing w:line="360" w:lineRule="auto"/>
        <w:rPr>
          <w:rFonts w:ascii="Myriad Pro" w:eastAsia="Times New Roman" w:hAnsi="Myriad Pro"/>
        </w:rPr>
      </w:pPr>
      <w:r>
        <w:rPr>
          <w:rFonts w:ascii="Myriad Pro" w:eastAsia="Times New Roman" w:hAnsi="Myriad Pro"/>
        </w:rPr>
        <w:t xml:space="preserve">The </w:t>
      </w:r>
      <w:proofErr w:type="spellStart"/>
      <w:r>
        <w:rPr>
          <w:rFonts w:ascii="Myriad Pro" w:eastAsia="Times New Roman" w:hAnsi="Myriad Pro"/>
        </w:rPr>
        <w:t>valeters</w:t>
      </w:r>
      <w:proofErr w:type="spellEnd"/>
      <w:r>
        <w:rPr>
          <w:rFonts w:ascii="Myriad Pro" w:eastAsia="Times New Roman" w:hAnsi="Myriad Pro"/>
        </w:rPr>
        <w:t xml:space="preserve"> were not obliged to provide their services on any </w:t>
      </w:r>
      <w:proofErr w:type="gramStart"/>
      <w:r>
        <w:rPr>
          <w:rFonts w:ascii="Myriad Pro" w:eastAsia="Times New Roman" w:hAnsi="Myriad Pro"/>
        </w:rPr>
        <w:t>particular occasion</w:t>
      </w:r>
      <w:proofErr w:type="gramEnd"/>
      <w:r>
        <w:rPr>
          <w:rFonts w:ascii="Myriad Pro" w:eastAsia="Times New Roman" w:hAnsi="Myriad Pro"/>
        </w:rPr>
        <w:t xml:space="preserve">. </w:t>
      </w:r>
      <w:proofErr w:type="spellStart"/>
      <w:r>
        <w:rPr>
          <w:rFonts w:ascii="Myriad Pro" w:eastAsia="Times New Roman" w:hAnsi="Myriad Pro"/>
        </w:rPr>
        <w:t>Autoclenz</w:t>
      </w:r>
      <w:proofErr w:type="spellEnd"/>
      <w:r>
        <w:rPr>
          <w:rFonts w:ascii="Myriad Pro" w:eastAsia="Times New Roman" w:hAnsi="Myriad Pro"/>
        </w:rPr>
        <w:t xml:space="preserve"> was not obliged to engage a </w:t>
      </w:r>
      <w:proofErr w:type="gramStart"/>
      <w:r>
        <w:rPr>
          <w:rFonts w:ascii="Myriad Pro" w:eastAsia="Times New Roman" w:hAnsi="Myriad Pro"/>
        </w:rPr>
        <w:t xml:space="preserve">particular </w:t>
      </w:r>
      <w:proofErr w:type="spellStart"/>
      <w:r>
        <w:rPr>
          <w:rFonts w:ascii="Myriad Pro" w:eastAsia="Times New Roman" w:hAnsi="Myriad Pro"/>
        </w:rPr>
        <w:t>valeter’s</w:t>
      </w:r>
      <w:proofErr w:type="spellEnd"/>
      <w:proofErr w:type="gramEnd"/>
      <w:r>
        <w:rPr>
          <w:rFonts w:ascii="Myriad Pro" w:eastAsia="Times New Roman" w:hAnsi="Myriad Pro"/>
        </w:rPr>
        <w:t xml:space="preserve"> services on any particular occasion.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Mr Belcher cleaned BCA’s cars at BCA’s site. They wore BCA overalls. </w:t>
      </w:r>
      <w:proofErr w:type="spellStart"/>
      <w:r>
        <w:rPr>
          <w:rFonts w:ascii="Myriad Pro" w:hAnsi="Myriad Pro"/>
        </w:rPr>
        <w:t>Autoclenz</w:t>
      </w:r>
      <w:proofErr w:type="spellEnd"/>
      <w:r>
        <w:rPr>
          <w:rFonts w:ascii="Myriad Pro" w:hAnsi="Myriad Pro"/>
        </w:rPr>
        <w:t xml:space="preserve"> supplied the cleaning materials and arranged group insurance cover for which they deducted a sum from Mr Belcher’s pay. Mr Belcher was paid on a piece work basis and submitted invoices each week.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An issue arose as to whether Mr Belcher was an employee. Mr Belcher argued that the written terms did not reflect the reality of the situation.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lastRenderedPageBreak/>
        <w:t xml:space="preserve">The UK Supreme Court held that when there is a dispute as to whether the written terms are genuine, tribunals must discover the actual legal obligations of the parties. This involves considering all the relevant evidence and the parties’ expectations of one another. Evidence of how the parties conducted themselves in practice may be so persuasive that the tribunal can draw an inference that such practice (and not the written terms) reflects the true position. However, the mere fact that a </w:t>
      </w:r>
      <w:proofErr w:type="gramStart"/>
      <w:r>
        <w:rPr>
          <w:rFonts w:ascii="Myriad Pro" w:hAnsi="Myriad Pro"/>
        </w:rPr>
        <w:t>particular written</w:t>
      </w:r>
      <w:proofErr w:type="gramEnd"/>
      <w:r>
        <w:rPr>
          <w:rFonts w:ascii="Myriad Pro" w:hAnsi="Myriad Pro"/>
        </w:rPr>
        <w:t xml:space="preserve"> term e.g. a right of substitution, is never actually exercised does not automatically mean that it is not genuine. The UK Supreme Court said though that tribunals must be “worldly wise” when considering whether the written terms truly represent what has been agreed. In the present case, the UK Supreme Court considered that the written terms did not reflect the true agreement between the parties. In practice, the </w:t>
      </w:r>
      <w:proofErr w:type="spellStart"/>
      <w:r>
        <w:rPr>
          <w:rFonts w:ascii="Myriad Pro" w:hAnsi="Myriad Pro"/>
        </w:rPr>
        <w:t>valeters</w:t>
      </w:r>
      <w:proofErr w:type="spellEnd"/>
      <w:r>
        <w:rPr>
          <w:rFonts w:ascii="Myriad Pro" w:hAnsi="Myriad Pro"/>
        </w:rPr>
        <w:t xml:space="preserve"> were obliged to undertake the work provided to them and </w:t>
      </w:r>
      <w:proofErr w:type="spellStart"/>
      <w:r>
        <w:rPr>
          <w:rFonts w:ascii="Myriad Pro" w:hAnsi="Myriad Pro"/>
        </w:rPr>
        <w:t>Autoclenz</w:t>
      </w:r>
      <w:proofErr w:type="spellEnd"/>
      <w:r>
        <w:rPr>
          <w:rFonts w:ascii="Myriad Pro" w:hAnsi="Myriad Pro"/>
        </w:rPr>
        <w:t xml:space="preserve"> were obliged to offer them work. The </w:t>
      </w:r>
      <w:proofErr w:type="spellStart"/>
      <w:r>
        <w:rPr>
          <w:rFonts w:ascii="Myriad Pro" w:hAnsi="Myriad Pro"/>
        </w:rPr>
        <w:t>valeters</w:t>
      </w:r>
      <w:proofErr w:type="spellEnd"/>
      <w:r>
        <w:rPr>
          <w:rFonts w:ascii="Myriad Pro" w:hAnsi="Myriad Pro"/>
        </w:rPr>
        <w:t xml:space="preserve"> were also obliged to do the work personally and not send a substitute. The reality did not accord with the written agreement so the terms of that written agreement were disregarded. </w:t>
      </w:r>
    </w:p>
    <w:p w:rsidR="00FD1CE8" w:rsidRDefault="00FD1CE8" w:rsidP="000345E2">
      <w:pPr>
        <w:pStyle w:val="Default"/>
        <w:spacing w:line="360" w:lineRule="auto"/>
        <w:rPr>
          <w:rFonts w:ascii="Myriad Pro" w:hAnsi="Myriad Pro"/>
        </w:rPr>
      </w:pPr>
    </w:p>
    <w:p w:rsidR="00FD1CE8" w:rsidRDefault="00FD1CE8" w:rsidP="000345E2">
      <w:pPr>
        <w:pStyle w:val="Default"/>
        <w:spacing w:line="360" w:lineRule="auto"/>
        <w:rPr>
          <w:rFonts w:ascii="Myriad Pro" w:hAnsi="Myriad Pro"/>
          <w:b/>
          <w:u w:val="single"/>
        </w:rPr>
      </w:pPr>
      <w:r w:rsidRPr="00FD1CE8">
        <w:rPr>
          <w:rFonts w:ascii="Myriad Pro" w:hAnsi="Myriad Pro"/>
          <w:b/>
          <w:u w:val="single"/>
        </w:rPr>
        <w:t>Casual workers</w:t>
      </w:r>
    </w:p>
    <w:p w:rsidR="00FD1CE8" w:rsidRDefault="00FD1CE8" w:rsidP="000345E2">
      <w:pPr>
        <w:pStyle w:val="Default"/>
        <w:spacing w:line="360" w:lineRule="auto"/>
        <w:rPr>
          <w:rFonts w:ascii="Myriad Pro" w:hAnsi="Myriad Pro"/>
        </w:rPr>
      </w:pPr>
    </w:p>
    <w:p w:rsidR="000345E2" w:rsidRDefault="00FD1CE8" w:rsidP="000345E2">
      <w:pPr>
        <w:pStyle w:val="Default"/>
        <w:spacing w:line="360" w:lineRule="auto"/>
        <w:rPr>
          <w:rFonts w:ascii="Myriad Pro" w:hAnsi="Myriad Pro"/>
        </w:rPr>
      </w:pPr>
      <w:r>
        <w:rPr>
          <w:rFonts w:ascii="Myriad Pro" w:hAnsi="Myriad Pro"/>
        </w:rPr>
        <w:t xml:space="preserve">It can be </w:t>
      </w:r>
      <w:r w:rsidR="000345E2">
        <w:rPr>
          <w:rFonts w:ascii="Myriad Pro" w:hAnsi="Myriad Pro"/>
        </w:rPr>
        <w:t xml:space="preserve">particularly difficult to establish the employment status of casual workers, who may work under a series of short-term assignments. As per the </w:t>
      </w:r>
      <w:r w:rsidR="000345E2">
        <w:rPr>
          <w:rFonts w:ascii="Myriad Pro" w:hAnsi="Myriad Pro"/>
          <w:i/>
          <w:iCs/>
        </w:rPr>
        <w:t xml:space="preserve">Carmichael </w:t>
      </w:r>
      <w:r w:rsidR="000345E2">
        <w:rPr>
          <w:rFonts w:ascii="Myriad Pro" w:hAnsi="Myriad Pro"/>
        </w:rPr>
        <w:t xml:space="preserve">case, casual workers may struggle to establish the requisite mutuality of obligations to be able to demonstrate that a contract of employment exists. Each case will turn on its own facts and there are multifarious casual working arrangements that can make the identification of a casual worker’s employment status difficult. For example, such individuals may have employment contracts during the periods when they take on a </w:t>
      </w:r>
      <w:proofErr w:type="gramStart"/>
      <w:r w:rsidR="000345E2">
        <w:rPr>
          <w:rFonts w:ascii="Myriad Pro" w:hAnsi="Myriad Pro"/>
        </w:rPr>
        <w:t>particular assignment</w:t>
      </w:r>
      <w:proofErr w:type="gramEnd"/>
      <w:r w:rsidR="000345E2">
        <w:rPr>
          <w:rFonts w:ascii="Myriad Pro" w:hAnsi="Myriad Pro"/>
        </w:rPr>
        <w:t xml:space="preserve">. In other words, the individual may be an employee during the period that he or she is working but not during the gaps when one assignment has ended and they are awaiting the next one. There may be several separate assignments for the same employer that run over </w:t>
      </w:r>
      <w:proofErr w:type="gramStart"/>
      <w:r w:rsidR="000345E2">
        <w:rPr>
          <w:rFonts w:ascii="Myriad Pro" w:hAnsi="Myriad Pro"/>
        </w:rPr>
        <w:t>a number of</w:t>
      </w:r>
      <w:proofErr w:type="gramEnd"/>
      <w:r w:rsidR="000345E2">
        <w:rPr>
          <w:rFonts w:ascii="Myriad Pro" w:hAnsi="Myriad Pro"/>
        </w:rPr>
        <w:t xml:space="preserve"> years. If those assignments are punctuated by breaks, it may be </w:t>
      </w:r>
      <w:r w:rsidR="000345E2">
        <w:rPr>
          <w:rFonts w:ascii="Myriad Pro" w:hAnsi="Myriad Pro"/>
        </w:rPr>
        <w:lastRenderedPageBreak/>
        <w:t xml:space="preserve">difficult for the individual to establish sufficient continuity of service to accrue key employment law rights like unfair dismissal which requires two years’ continuous service.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t xml:space="preserve">Umbrella contracts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However, a review of the case law reveals that it would be a mistake to conclude that such individuals are incapable of gaining employment rights. The courts have held that the parties’ relationships may be so regular and long-standing that there exists an umbrella contract of employment. This means that even at times when employees are not working on </w:t>
      </w:r>
      <w:proofErr w:type="gramStart"/>
      <w:r>
        <w:rPr>
          <w:rFonts w:ascii="Myriad Pro" w:hAnsi="Myriad Pro"/>
        </w:rPr>
        <w:t>particular assignments</w:t>
      </w:r>
      <w:proofErr w:type="gramEnd"/>
      <w:r>
        <w:rPr>
          <w:rFonts w:ascii="Myriad Pro" w:hAnsi="Myriad Pro"/>
        </w:rPr>
        <w:t xml:space="preserve">, a contract of employment can exist. In </w:t>
      </w:r>
      <w:proofErr w:type="spellStart"/>
      <w:r>
        <w:rPr>
          <w:rFonts w:ascii="Myriad Pro" w:hAnsi="Myriad Pro"/>
          <w:i/>
          <w:iCs/>
        </w:rPr>
        <w:t>Airfix</w:t>
      </w:r>
      <w:proofErr w:type="spellEnd"/>
      <w:r>
        <w:rPr>
          <w:rFonts w:ascii="Myriad Pro" w:hAnsi="Myriad Pro"/>
          <w:i/>
          <w:iCs/>
        </w:rPr>
        <w:t xml:space="preserve"> Footwear Ltd v Cope (1978)</w:t>
      </w:r>
      <w:r>
        <w:rPr>
          <w:rFonts w:ascii="Myriad Pro" w:hAnsi="Myriad Pro"/>
        </w:rPr>
        <w:t xml:space="preserve">, C made heels for shoes at her home for several years. The employer supplied her with equipment. Materials arrived at her house at around the same time each afternoon. She worked 5 days a week with occasional breaks in service. She worked according to instructions given by the employer. The employer did not deduct tax or national insurance. When C claimed unfair dismissal, the employer argued that she was not an employee. It argued that C was employed on a series of daily contracts. The EAT held that C was an employee and that she worked under an umbrella contract of employment. There had grown up between the parties a continuing relationship and that relationship amounted to a contract of employment. (Note – this was a 1978 case. Given the importance recent cases have given to mutuality of obligation, if such facts came before the courts again, they would want to be persuaded that mutuality of obligations existed during the breaks i.e. that if work became available, the employer had to offer it and the employee was obliged to take it. It was this lack of mutuality which proved fatal to the employees’ arguments in </w:t>
      </w:r>
      <w:r>
        <w:rPr>
          <w:rFonts w:ascii="Myriad Pro" w:hAnsi="Myriad Pro"/>
          <w:i/>
          <w:iCs/>
        </w:rPr>
        <w:t>Carmichael</w:t>
      </w:r>
      <w:r>
        <w:rPr>
          <w:rFonts w:ascii="Myriad Pro" w:hAnsi="Myriad Pro"/>
        </w:rPr>
        <w:t xml:space="preserve">).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b/>
          <w:bCs/>
          <w:u w:val="single"/>
        </w:rPr>
      </w:pPr>
      <w:r>
        <w:rPr>
          <w:rFonts w:ascii="Myriad Pro" w:hAnsi="Myriad Pro"/>
          <w:b/>
          <w:bCs/>
          <w:u w:val="single"/>
        </w:rPr>
        <w:t xml:space="preserve">Using continuity of service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rPr>
      </w:pPr>
      <w:r>
        <w:rPr>
          <w:rFonts w:ascii="Myriad Pro" w:hAnsi="Myriad Pro"/>
        </w:rPr>
        <w:t xml:space="preserve">Umbrella contracts are a judicial device for ensuring that there will be a contract of employment throughout the whole period of the parties’ relationship. Contrast this with </w:t>
      </w:r>
      <w:r>
        <w:rPr>
          <w:rFonts w:ascii="Myriad Pro" w:hAnsi="Myriad Pro"/>
        </w:rPr>
        <w:lastRenderedPageBreak/>
        <w:t xml:space="preserve">the situation in </w:t>
      </w:r>
      <w:r>
        <w:rPr>
          <w:rFonts w:ascii="Myriad Pro" w:hAnsi="Myriad Pro"/>
          <w:i/>
          <w:iCs/>
        </w:rPr>
        <w:t xml:space="preserve">Cornwall County Council </w:t>
      </w:r>
      <w:r>
        <w:rPr>
          <w:rFonts w:ascii="Myriad Pro" w:hAnsi="Myriad Pro"/>
        </w:rPr>
        <w:t xml:space="preserve">v </w:t>
      </w:r>
      <w:proofErr w:type="spellStart"/>
      <w:r>
        <w:rPr>
          <w:rFonts w:ascii="Myriad Pro" w:hAnsi="Myriad Pro"/>
          <w:i/>
          <w:iCs/>
        </w:rPr>
        <w:t>Prater</w:t>
      </w:r>
      <w:proofErr w:type="spellEnd"/>
      <w:r>
        <w:rPr>
          <w:rFonts w:ascii="Myriad Pro" w:hAnsi="Myriad Pro"/>
          <w:i/>
          <w:iCs/>
        </w:rPr>
        <w:t xml:space="preserve"> (2006)</w:t>
      </w:r>
      <w:r>
        <w:rPr>
          <w:rFonts w:ascii="Myriad Pro" w:hAnsi="Myriad Pro"/>
        </w:rPr>
        <w:t xml:space="preserve">. In </w:t>
      </w:r>
      <w:proofErr w:type="spellStart"/>
      <w:r>
        <w:rPr>
          <w:rFonts w:ascii="Myriad Pro" w:hAnsi="Myriad Pro"/>
          <w:i/>
          <w:iCs/>
        </w:rPr>
        <w:t>Prater</w:t>
      </w:r>
      <w:proofErr w:type="spellEnd"/>
      <w:r>
        <w:rPr>
          <w:rFonts w:ascii="Myriad Pro" w:hAnsi="Myriad Pro"/>
          <w:i/>
          <w:iCs/>
        </w:rPr>
        <w:t xml:space="preserve"> </w:t>
      </w:r>
      <w:r>
        <w:rPr>
          <w:rFonts w:ascii="Myriad Pro" w:hAnsi="Myriad Pro"/>
        </w:rPr>
        <w:t xml:space="preserve">there was no umbrella contract. Instead, the position was that a teacher was engaged by CCC to work as a home tutor for children unable to attend school. P taught </w:t>
      </w:r>
      <w:proofErr w:type="gramStart"/>
      <w:r>
        <w:rPr>
          <w:rFonts w:ascii="Myriad Pro" w:hAnsi="Myriad Pro"/>
        </w:rPr>
        <w:t>a number of</w:t>
      </w:r>
      <w:proofErr w:type="gramEnd"/>
      <w:r>
        <w:rPr>
          <w:rFonts w:ascii="Myriad Pro" w:hAnsi="Myriad Pro"/>
        </w:rPr>
        <w:t xml:space="preserve"> different children over a period of 10 years. Work was offered to her by way of a </w:t>
      </w:r>
      <w:proofErr w:type="gramStart"/>
      <w:r>
        <w:rPr>
          <w:rFonts w:ascii="Myriad Pro" w:hAnsi="Myriad Pro"/>
        </w:rPr>
        <w:t>particular pupil</w:t>
      </w:r>
      <w:proofErr w:type="gramEnd"/>
      <w:r>
        <w:rPr>
          <w:rFonts w:ascii="Myriad Pro" w:hAnsi="Myriad Pro"/>
        </w:rPr>
        <w:t xml:space="preserve">. CCC was not under any contractual obligation to offer pupils to P and P was under no contractual obligation to accept any pupils. However, once she did accept to teach a </w:t>
      </w:r>
      <w:proofErr w:type="gramStart"/>
      <w:r>
        <w:rPr>
          <w:rFonts w:ascii="Myriad Pro" w:hAnsi="Myriad Pro"/>
        </w:rPr>
        <w:t>particular pupil</w:t>
      </w:r>
      <w:proofErr w:type="gramEnd"/>
      <w:r>
        <w:rPr>
          <w:rFonts w:ascii="Myriad Pro" w:hAnsi="Myriad Pro"/>
        </w:rPr>
        <w:t xml:space="preserve">, she was obliged to continue to teach that pupil for the duration of the assignment. CCC were obliged to continue to provide P with work in respect of that pupil until the assignment ceased. The duration of each individual assignment varied from a few months to several years.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When the Court of Appeal came to determine whether P was an employee, it was common ground that there was no umbrella contract in existence. However, there was mutuality of obligation between CCC and P for the duration of each teaching assignment. Each assignment was therefore an employment contract. The times when P was not working for CCC were “temporary cessations of work”. Under section 212 (3)(b) of the Employment Rights Act 1996 such cessations are not regarded as interrupting statutory continuity of employment. P was therefore an employee of CCC throughout the entire </w:t>
      </w:r>
      <w:proofErr w:type="gramStart"/>
      <w:r>
        <w:rPr>
          <w:rFonts w:ascii="Myriad Pro" w:hAnsi="Myriad Pro"/>
        </w:rPr>
        <w:t>10 year</w:t>
      </w:r>
      <w:proofErr w:type="gramEnd"/>
      <w:r>
        <w:rPr>
          <w:rFonts w:ascii="Myriad Pro" w:hAnsi="Myriad Pro"/>
        </w:rPr>
        <w:t xml:space="preserve"> period.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What the Court in </w:t>
      </w:r>
      <w:proofErr w:type="spellStart"/>
      <w:r>
        <w:rPr>
          <w:rFonts w:ascii="Myriad Pro" w:hAnsi="Myriad Pro"/>
          <w:i/>
          <w:iCs/>
        </w:rPr>
        <w:t>Prater</w:t>
      </w:r>
      <w:proofErr w:type="spellEnd"/>
      <w:r>
        <w:rPr>
          <w:rFonts w:ascii="Myriad Pro" w:hAnsi="Myriad Pro"/>
          <w:i/>
          <w:iCs/>
        </w:rPr>
        <w:t xml:space="preserve"> </w:t>
      </w:r>
      <w:r>
        <w:rPr>
          <w:rFonts w:ascii="Myriad Pro" w:hAnsi="Myriad Pro"/>
        </w:rPr>
        <w:t xml:space="preserve">did was use the statutory rules on continuity of employment to bridge the gaps between each individual assignment during which mutuality of obligation was said to exist. Query whether the outcome in </w:t>
      </w:r>
      <w:r>
        <w:rPr>
          <w:rFonts w:ascii="Myriad Pro" w:hAnsi="Myriad Pro"/>
          <w:i/>
          <w:iCs/>
        </w:rPr>
        <w:t xml:space="preserve">Carmichael </w:t>
      </w:r>
      <w:r>
        <w:rPr>
          <w:rFonts w:ascii="Myriad Pro" w:hAnsi="Myriad Pro"/>
        </w:rPr>
        <w:t xml:space="preserve">would have been different had the claimants used the same argument i.e. that when they were working as guides, they were employees and that the gaps between assignments were temporary cessations of work. </w:t>
      </w:r>
    </w:p>
    <w:p w:rsidR="000345E2" w:rsidRDefault="000345E2" w:rsidP="000345E2">
      <w:pPr>
        <w:pStyle w:val="Default"/>
        <w:spacing w:line="360" w:lineRule="auto"/>
        <w:rPr>
          <w:rFonts w:ascii="Myriad Pro" w:hAnsi="Myriad Pro"/>
        </w:rPr>
      </w:pPr>
      <w:r>
        <w:rPr>
          <w:rFonts w:ascii="Myriad Pro" w:hAnsi="Myriad Pro"/>
        </w:rPr>
        <w:t xml:space="preserve">Workers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lastRenderedPageBreak/>
        <w:t xml:space="preserve">Much of the case law on employment status has focused on whether an individual is an employee or independent contractor. However, as stated at the outset, there is a third category – “workers”. The definition of worker varies slightly depending on the legislation under consideration but the concept is essentially the same. For an example, see regulation 2(1) of the Working Time Regulations 1998. </w:t>
      </w:r>
    </w:p>
    <w:p w:rsidR="000345E2" w:rsidRDefault="000345E2" w:rsidP="000345E2">
      <w:pPr>
        <w:pStyle w:val="Default"/>
        <w:spacing w:line="360" w:lineRule="auto"/>
        <w:rPr>
          <w:rFonts w:ascii="Myriad Pro" w:hAnsi="Myriad Pro"/>
        </w:rPr>
      </w:pPr>
      <w:r>
        <w:rPr>
          <w:rFonts w:ascii="Myriad Pro" w:hAnsi="Myriad Pro"/>
        </w:rPr>
        <w:t xml:space="preserve">The definition covers employees but extends to cover individuals obliged personally to offer their services under contract. The definition does not cover the genuinely self-employed in business on their own account, nor does it make those providing professional services like barristers or accountants the “workers” of their clients. As the EAT put it in </w:t>
      </w:r>
      <w:proofErr w:type="spellStart"/>
      <w:r>
        <w:rPr>
          <w:rFonts w:ascii="Myriad Pro" w:hAnsi="Myriad Pro"/>
          <w:i/>
          <w:iCs/>
        </w:rPr>
        <w:t>Bryne</w:t>
      </w:r>
      <w:proofErr w:type="spellEnd"/>
      <w:r>
        <w:rPr>
          <w:rFonts w:ascii="Myriad Pro" w:hAnsi="Myriad Pro"/>
          <w:i/>
          <w:iCs/>
        </w:rPr>
        <w:t xml:space="preserve"> Brothers v Baird (2002)</w:t>
      </w:r>
      <w:r>
        <w:rPr>
          <w:rFonts w:ascii="Myriad Pro" w:hAnsi="Myriad Pro"/>
        </w:rPr>
        <w:t xml:space="preserve">: </w:t>
      </w:r>
    </w:p>
    <w:p w:rsidR="00FD1CE8" w:rsidRDefault="00FD1CE8"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w:t>
      </w:r>
      <w:r>
        <w:rPr>
          <w:rFonts w:ascii="Myriad Pro" w:hAnsi="Myriad Pro"/>
          <w:i/>
          <w:iCs/>
        </w:rPr>
        <w:t>Drawing that distinction [between a “worker” and independent contractor] in any particular case will involve all or most of the same considerations as arise in drawing the distinction between a contract of service and a contract for services – but with the boundary pushed further in the putative worker’s favour. It may, for example, be relevant to assess the degree of control exercised by the putative employer, the exclusivity of the engagement and its typical duration, the method of payment, what equipment the putative worker supplies, the level of risk undertaken etc. The basic effect…is, so to speak, to lower the pass-mark, so that cases which failed to reach the mark necessary to qualify for protection as employees might nevertheless do so as workers</w:t>
      </w:r>
      <w:r>
        <w:rPr>
          <w:rFonts w:ascii="Myriad Pro" w:hAnsi="Myriad Pro"/>
        </w:rPr>
        <w:t xml:space="preserve">.” </w:t>
      </w:r>
    </w:p>
    <w:p w:rsidR="00FD1CE8" w:rsidRDefault="00FD1CE8"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In a subsequent case, </w:t>
      </w:r>
      <w:r>
        <w:rPr>
          <w:rFonts w:ascii="Myriad Pro" w:hAnsi="Myriad Pro"/>
          <w:i/>
          <w:iCs/>
        </w:rPr>
        <w:t>James v Redcats (2007)</w:t>
      </w:r>
      <w:r>
        <w:rPr>
          <w:rFonts w:ascii="Myriad Pro" w:hAnsi="Myriad Pro"/>
        </w:rPr>
        <w:t xml:space="preserve">, the EAT stated that the distinction between a worker and an employee turned on whether the obligation for personal service is the </w:t>
      </w:r>
      <w:r>
        <w:rPr>
          <w:rFonts w:ascii="Myriad Pro" w:hAnsi="Myriad Pro"/>
          <w:b/>
          <w:bCs/>
        </w:rPr>
        <w:t xml:space="preserve">dominant feature </w:t>
      </w:r>
      <w:r>
        <w:rPr>
          <w:rFonts w:ascii="Myriad Pro" w:hAnsi="Myriad Pro"/>
        </w:rPr>
        <w:t xml:space="preserve">of the contractual relationship. If so, the individual is likely to be a worker.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The importance of personal service has been reinforced by the recent EAT decision in </w:t>
      </w:r>
      <w:r>
        <w:rPr>
          <w:rFonts w:ascii="Myriad Pro" w:hAnsi="Myriad Pro"/>
          <w:i/>
          <w:iCs/>
        </w:rPr>
        <w:t>Archer-</w:t>
      </w:r>
      <w:proofErr w:type="spellStart"/>
      <w:r>
        <w:rPr>
          <w:rFonts w:ascii="Myriad Pro" w:hAnsi="Myriad Pro"/>
          <w:i/>
          <w:iCs/>
        </w:rPr>
        <w:t>Hoblin</w:t>
      </w:r>
      <w:proofErr w:type="spellEnd"/>
      <w:r>
        <w:rPr>
          <w:rFonts w:ascii="Myriad Pro" w:hAnsi="Myriad Pro"/>
          <w:i/>
          <w:iCs/>
        </w:rPr>
        <w:t xml:space="preserve"> Contractors Ltd v </w:t>
      </w:r>
      <w:proofErr w:type="spellStart"/>
      <w:r>
        <w:rPr>
          <w:rFonts w:ascii="Myriad Pro" w:hAnsi="Myriad Pro"/>
          <w:i/>
          <w:iCs/>
        </w:rPr>
        <w:t>MacGettigan</w:t>
      </w:r>
      <w:proofErr w:type="spellEnd"/>
      <w:r>
        <w:rPr>
          <w:rFonts w:ascii="Myriad Pro" w:hAnsi="Myriad Pro"/>
          <w:i/>
          <w:iCs/>
        </w:rPr>
        <w:t xml:space="preserve"> </w:t>
      </w:r>
      <w:r>
        <w:rPr>
          <w:rFonts w:ascii="Myriad Pro" w:hAnsi="Myriad Pro"/>
        </w:rPr>
        <w:t xml:space="preserve">(2009). M worked as a steel-fixer under a contract which contained a substitution clause enabling him to provide a substitute of </w:t>
      </w:r>
      <w:r>
        <w:rPr>
          <w:rFonts w:ascii="Myriad Pro" w:hAnsi="Myriad Pro"/>
        </w:rPr>
        <w:lastRenderedPageBreak/>
        <w:t xml:space="preserve">similar experience. The company was obliged to provide M with safety equipment but there was no obligation to offer M work. M received no sick pay and was not covered by the company’s grievance procedure. M worked for the company for 5 months and attended each working day. When an Employment Tribunal was called upon to determine whether M was a worker, it held that based on the reality of the situation, he provided personal service and was therefore a worker. </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 xml:space="preserve">On appeal, the EAT considered M’s position and set some parameters around when it is appropriate for tribunals to look beyond the pages of contract and consider what happens in practice. The EAT stated that when determining the parties’ obligations (in this case, whether M was obliged to provide personal service) the tribunal should determine this by reference to what the contract provides. Just because </w:t>
      </w:r>
      <w:r>
        <w:rPr>
          <w:rFonts w:ascii="Myriad Pro" w:hAnsi="Myriad Pro"/>
          <w:i/>
          <w:iCs/>
        </w:rPr>
        <w:t>in practice</w:t>
      </w:r>
      <w:r>
        <w:rPr>
          <w:rFonts w:ascii="Myriad Pro" w:hAnsi="Myriad Pro"/>
        </w:rPr>
        <w:t xml:space="preserve">, M did the work personally, does mean that he was </w:t>
      </w:r>
      <w:r>
        <w:rPr>
          <w:rFonts w:ascii="Myriad Pro" w:hAnsi="Myriad Pro"/>
          <w:i/>
          <w:iCs/>
        </w:rPr>
        <w:t xml:space="preserve">contractually obliged </w:t>
      </w:r>
      <w:r>
        <w:rPr>
          <w:rFonts w:ascii="Myriad Pro" w:hAnsi="Myriad Pro"/>
        </w:rPr>
        <w:t xml:space="preserve">to provide services personally. On a proper construction of the contractual documents, M was given an unfettered right to delegate performance of his duties to another. This was inconsistent with an obligation to provide personal service. Given the clear terms of the contract, the only means of showing that M was a worker was if it could be shown that the substitution clause was a </w:t>
      </w:r>
      <w:r>
        <w:rPr>
          <w:rFonts w:ascii="Myriad Pro" w:hAnsi="Myriad Pro"/>
          <w:b/>
          <w:bCs/>
        </w:rPr>
        <w:t xml:space="preserve">sham </w:t>
      </w:r>
      <w:r>
        <w:rPr>
          <w:rFonts w:ascii="Myriad Pro" w:hAnsi="Myriad Pro"/>
        </w:rPr>
        <w:t xml:space="preserve">in accordance with the principles set out in </w:t>
      </w:r>
      <w:proofErr w:type="spellStart"/>
      <w:r>
        <w:rPr>
          <w:rFonts w:ascii="Myriad Pro" w:hAnsi="Myriad Pro"/>
          <w:i/>
          <w:iCs/>
        </w:rPr>
        <w:t>Protectacoat</w:t>
      </w:r>
      <w:proofErr w:type="spellEnd"/>
      <w:r>
        <w:rPr>
          <w:rFonts w:ascii="Myriad Pro" w:hAnsi="Myriad Pro"/>
          <w:i/>
          <w:iCs/>
        </w:rPr>
        <w:t xml:space="preserve"> </w:t>
      </w:r>
      <w:r>
        <w:rPr>
          <w:rFonts w:ascii="Myriad Pro" w:hAnsi="Myriad Pro"/>
        </w:rPr>
        <w:t xml:space="preserve">above. Where terms of the contract </w:t>
      </w:r>
      <w:proofErr w:type="gramStart"/>
      <w:r>
        <w:rPr>
          <w:rFonts w:ascii="Myriad Pro" w:hAnsi="Myriad Pro"/>
        </w:rPr>
        <w:t>are considered to be</w:t>
      </w:r>
      <w:proofErr w:type="gramEnd"/>
      <w:r>
        <w:rPr>
          <w:rFonts w:ascii="Myriad Pro" w:hAnsi="Myriad Pro"/>
        </w:rPr>
        <w:t xml:space="preserve"> a sham, the tribunal will be entitled to define the parties’ obligations by considering what happens in practice. </w:t>
      </w:r>
    </w:p>
    <w:p w:rsidR="000345E2" w:rsidRDefault="000345E2" w:rsidP="000345E2">
      <w:pPr>
        <w:pStyle w:val="Default"/>
        <w:spacing w:line="360" w:lineRule="auto"/>
        <w:rPr>
          <w:rFonts w:ascii="Myriad Pro" w:hAnsi="Myriad Pro"/>
          <w:b/>
          <w:bCs/>
          <w:u w:val="single"/>
        </w:rPr>
      </w:pPr>
    </w:p>
    <w:p w:rsidR="000345E2" w:rsidRDefault="000345E2" w:rsidP="000345E2">
      <w:pPr>
        <w:pStyle w:val="Default"/>
        <w:spacing w:line="360" w:lineRule="auto"/>
        <w:rPr>
          <w:rFonts w:ascii="Myriad Pro" w:hAnsi="Myriad Pro"/>
          <w:b/>
          <w:bCs/>
          <w:u w:val="single"/>
        </w:rPr>
      </w:pPr>
      <w:bookmarkStart w:id="1" w:name="_Hlk496461864"/>
      <w:r>
        <w:rPr>
          <w:rFonts w:ascii="Myriad Pro" w:hAnsi="Myriad Pro"/>
          <w:b/>
          <w:bCs/>
          <w:u w:val="single"/>
        </w:rPr>
        <w:t>The Gig Economy</w:t>
      </w:r>
    </w:p>
    <w:p w:rsidR="000345E2" w:rsidRDefault="000345E2" w:rsidP="000345E2">
      <w:pPr>
        <w:pStyle w:val="Default"/>
        <w:spacing w:line="360" w:lineRule="auto"/>
        <w:rPr>
          <w:rFonts w:ascii="Myriad Pro" w:hAnsi="Myriad Pro"/>
          <w:b/>
          <w:bCs/>
          <w:u w:val="single"/>
        </w:rPr>
      </w:pPr>
    </w:p>
    <w:p w:rsidR="000345E2" w:rsidRDefault="00FD1CE8" w:rsidP="000345E2">
      <w:pPr>
        <w:pStyle w:val="Default"/>
        <w:spacing w:line="360" w:lineRule="auto"/>
        <w:rPr>
          <w:rFonts w:ascii="Myriad Pro" w:hAnsi="Myriad Pro"/>
        </w:rPr>
      </w:pPr>
      <w:r>
        <w:rPr>
          <w:rFonts w:ascii="Myriad Pro" w:hAnsi="Myriad Pro"/>
        </w:rPr>
        <w:t>OED defines as “</w:t>
      </w:r>
      <w:r w:rsidR="000345E2">
        <w:rPr>
          <w:rFonts w:ascii="Myriad Pro" w:hAnsi="Myriad Pro"/>
        </w:rPr>
        <w:t>A labour market characterised by the prevalence of short term contracts or freelance work as opposed to permanent jobs”</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Gig economy is often associated with companies using new technologies to promote their business.</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lastRenderedPageBreak/>
        <w:t>Businesses within the gig economy may be subject to fluctuating demand – and they tend to engage individuals not as employees or workers but as individuals who have the freedom to accept the work (the “gig”) or reject it.</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However, some individuals are challenging their employment status as independent contractors and arguing, with some success, that they are in fact workers, giving them increased protection at work.</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Zero hours contracts are very often favoured by these businesses – the main benefits of using them are: their inherent flexibility, and the reduced costs in hiring and employing someone.</w:t>
      </w:r>
    </w:p>
    <w:p w:rsidR="000345E2" w:rsidRDefault="000345E2" w:rsidP="000345E2">
      <w:pPr>
        <w:pStyle w:val="Default"/>
        <w:spacing w:line="360" w:lineRule="auto"/>
        <w:rPr>
          <w:rFonts w:ascii="Myriad Pro" w:hAnsi="Myriad Pro"/>
        </w:rPr>
      </w:pPr>
    </w:p>
    <w:p w:rsidR="000345E2" w:rsidRDefault="000345E2" w:rsidP="000345E2">
      <w:pPr>
        <w:pStyle w:val="Default"/>
        <w:spacing w:line="360" w:lineRule="auto"/>
        <w:rPr>
          <w:rFonts w:ascii="Myriad Pro" w:hAnsi="Myriad Pro"/>
        </w:rPr>
      </w:pPr>
      <w:r>
        <w:rPr>
          <w:rFonts w:ascii="Myriad Pro" w:hAnsi="Myriad Pro"/>
        </w:rPr>
        <w:t>Recent case law:</w:t>
      </w:r>
    </w:p>
    <w:p w:rsidR="000345E2" w:rsidRDefault="000345E2" w:rsidP="000345E2">
      <w:pPr>
        <w:pStyle w:val="Default"/>
        <w:spacing w:line="360" w:lineRule="auto"/>
        <w:rPr>
          <w:rFonts w:ascii="Myriad Pro" w:hAnsi="Myriad Pro"/>
        </w:rPr>
      </w:pPr>
    </w:p>
    <w:p w:rsidR="000345E2" w:rsidRDefault="000345E2" w:rsidP="000345E2">
      <w:pPr>
        <w:pStyle w:val="Default"/>
        <w:numPr>
          <w:ilvl w:val="0"/>
          <w:numId w:val="2"/>
        </w:numPr>
        <w:spacing w:line="360" w:lineRule="auto"/>
        <w:rPr>
          <w:rFonts w:ascii="Myriad Pro" w:eastAsia="Times New Roman" w:hAnsi="Myriad Pro"/>
        </w:rPr>
      </w:pPr>
      <w:r>
        <w:rPr>
          <w:rFonts w:ascii="Myriad Pro" w:eastAsia="Times New Roman" w:hAnsi="Myriad Pro"/>
        </w:rPr>
        <w:t xml:space="preserve">Aslam &amp; </w:t>
      </w:r>
      <w:proofErr w:type="spellStart"/>
      <w:r>
        <w:rPr>
          <w:rFonts w:ascii="Myriad Pro" w:eastAsia="Times New Roman" w:hAnsi="Myriad Pro"/>
        </w:rPr>
        <w:t>Ors</w:t>
      </w:r>
      <w:proofErr w:type="spellEnd"/>
      <w:r>
        <w:rPr>
          <w:rFonts w:ascii="Myriad Pro" w:eastAsia="Times New Roman" w:hAnsi="Myriad Pro"/>
        </w:rPr>
        <w:t xml:space="preserve"> v Uber</w:t>
      </w:r>
    </w:p>
    <w:p w:rsidR="000345E2" w:rsidRDefault="000345E2" w:rsidP="000345E2">
      <w:pPr>
        <w:pStyle w:val="Default"/>
        <w:numPr>
          <w:ilvl w:val="0"/>
          <w:numId w:val="2"/>
        </w:numPr>
        <w:spacing w:line="360" w:lineRule="auto"/>
        <w:rPr>
          <w:rFonts w:ascii="Myriad Pro" w:eastAsia="Times New Roman" w:hAnsi="Myriad Pro"/>
        </w:rPr>
      </w:pPr>
      <w:r>
        <w:rPr>
          <w:rFonts w:ascii="Myriad Pro" w:eastAsia="Times New Roman" w:hAnsi="Myriad Pro"/>
        </w:rPr>
        <w:t>Deliveroo</w:t>
      </w:r>
    </w:p>
    <w:p w:rsidR="000345E2" w:rsidRDefault="000345E2" w:rsidP="000345E2">
      <w:pPr>
        <w:pStyle w:val="Default"/>
        <w:numPr>
          <w:ilvl w:val="0"/>
          <w:numId w:val="2"/>
        </w:numPr>
        <w:spacing w:line="360" w:lineRule="auto"/>
        <w:rPr>
          <w:rFonts w:ascii="Myriad Pro" w:eastAsia="Times New Roman" w:hAnsi="Myriad Pro"/>
        </w:rPr>
      </w:pPr>
      <w:r>
        <w:rPr>
          <w:rFonts w:ascii="Myriad Pro" w:eastAsia="Times New Roman" w:hAnsi="Myriad Pro"/>
        </w:rPr>
        <w:t>Pimlico Plumbers</w:t>
      </w:r>
    </w:p>
    <w:p w:rsidR="000345E2" w:rsidRDefault="000345E2" w:rsidP="000345E2">
      <w:pPr>
        <w:pStyle w:val="Default"/>
        <w:numPr>
          <w:ilvl w:val="0"/>
          <w:numId w:val="2"/>
        </w:numPr>
        <w:spacing w:line="360" w:lineRule="auto"/>
        <w:rPr>
          <w:rFonts w:ascii="Myriad Pro" w:eastAsia="Times New Roman" w:hAnsi="Myriad Pro"/>
        </w:rPr>
      </w:pPr>
      <w:r>
        <w:rPr>
          <w:rFonts w:ascii="Myriad Pro" w:eastAsia="Times New Roman" w:hAnsi="Myriad Pro"/>
        </w:rPr>
        <w:t>Dewhurst v City Sprint UK Ltd</w:t>
      </w:r>
    </w:p>
    <w:p w:rsidR="000345E2" w:rsidRDefault="000345E2" w:rsidP="000345E2">
      <w:pPr>
        <w:pStyle w:val="Default"/>
        <w:numPr>
          <w:ilvl w:val="0"/>
          <w:numId w:val="2"/>
        </w:numPr>
        <w:spacing w:line="360" w:lineRule="auto"/>
        <w:rPr>
          <w:rFonts w:ascii="Myriad Pro" w:eastAsia="Times New Roman" w:hAnsi="Myriad Pro"/>
        </w:rPr>
      </w:pPr>
      <w:r>
        <w:rPr>
          <w:rFonts w:ascii="Myriad Pro" w:eastAsia="Times New Roman" w:hAnsi="Myriad Pro"/>
        </w:rPr>
        <w:t>Boxer v Excel Group Services Ltd</w:t>
      </w:r>
      <w:bookmarkEnd w:id="1"/>
    </w:p>
    <w:p w:rsidR="000345E2" w:rsidRDefault="000345E2" w:rsidP="000345E2">
      <w:pPr>
        <w:rPr>
          <w:rFonts w:ascii="Calibri" w:hAnsi="Calibri"/>
          <w:lang w:eastAsia="en-US"/>
        </w:rPr>
      </w:pPr>
    </w:p>
    <w:p w:rsidR="00EC43E4" w:rsidRDefault="00EC43E4"/>
    <w:sectPr w:rsidR="00EC43E4" w:rsidSect="00F16969">
      <w:pgSz w:w="12240" w:h="15840" w:code="1"/>
      <w:pgMar w:top="1134" w:right="1440" w:bottom="851" w:left="1440" w:header="720" w:footer="720" w:gutter="0"/>
      <w:paperSrc w:first="259" w:other="259"/>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yriad Pro">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771DF"/>
    <w:multiLevelType w:val="hybridMultilevel"/>
    <w:tmpl w:val="DBF008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4A4250"/>
    <w:multiLevelType w:val="hybridMultilevel"/>
    <w:tmpl w:val="74789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D5E410D"/>
    <w:multiLevelType w:val="hybridMultilevel"/>
    <w:tmpl w:val="5BF4FA3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5E2"/>
    <w:rsid w:val="000345E2"/>
    <w:rsid w:val="003141C3"/>
    <w:rsid w:val="00492DA7"/>
    <w:rsid w:val="00706C97"/>
    <w:rsid w:val="00927FA5"/>
    <w:rsid w:val="00EC43E4"/>
    <w:rsid w:val="00F16969"/>
    <w:rsid w:val="00F3274C"/>
    <w:rsid w:val="00FD1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5312C8-0DEA-4FFC-9EF9-FB375A10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5E2"/>
    <w:pPr>
      <w:spacing w:after="0" w:line="240" w:lineRule="auto"/>
    </w:pPr>
    <w:rPr>
      <w:rFonts w:ascii="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0345E2"/>
    <w:pPr>
      <w:autoSpaceDE w:val="0"/>
      <w:autoSpaceDN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84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0A6CE-3F71-4723-ACE2-679C7BE3F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4065</Words>
  <Characters>23176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Smart</dc:creator>
  <cp:keywords/>
  <dc:description/>
  <cp:lastModifiedBy>Paul Shuttleworth</cp:lastModifiedBy>
  <cp:revision>2</cp:revision>
  <dcterms:created xsi:type="dcterms:W3CDTF">2017-10-23T09:57:00Z</dcterms:created>
  <dcterms:modified xsi:type="dcterms:W3CDTF">2017-10-23T09:57:00Z</dcterms:modified>
</cp:coreProperties>
</file>