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C7E53" w14:textId="7D6DF092" w:rsidR="00430018" w:rsidRPr="00A0281B" w:rsidRDefault="00A0281B" w:rsidP="00A0281B">
      <w:pPr>
        <w:jc w:val="center"/>
        <w:rPr>
          <w:rFonts w:ascii="Arial" w:hAnsi="Arial" w:cs="Arial"/>
          <w:u w:val="single"/>
        </w:rPr>
      </w:pPr>
      <w:r w:rsidRPr="00A0281B">
        <w:rPr>
          <w:rFonts w:ascii="Arial" w:hAnsi="Arial" w:cs="Arial"/>
          <w:u w:val="single"/>
        </w:rPr>
        <w:t xml:space="preserve">Leadership and Management for </w:t>
      </w:r>
      <w:r>
        <w:rPr>
          <w:rFonts w:ascii="Arial" w:hAnsi="Arial" w:cs="Arial"/>
          <w:u w:val="single"/>
        </w:rPr>
        <w:t>S</w:t>
      </w:r>
      <w:r w:rsidRPr="00A0281B">
        <w:rPr>
          <w:rFonts w:ascii="Arial" w:hAnsi="Arial" w:cs="Arial"/>
          <w:u w:val="single"/>
        </w:rPr>
        <w:t xml:space="preserve">ystems of </w:t>
      </w:r>
      <w:r>
        <w:rPr>
          <w:rFonts w:ascii="Arial" w:hAnsi="Arial" w:cs="Arial"/>
          <w:u w:val="single"/>
        </w:rPr>
        <w:t>Q</w:t>
      </w:r>
      <w:r w:rsidRPr="00A0281B">
        <w:rPr>
          <w:rFonts w:ascii="Arial" w:hAnsi="Arial" w:cs="Arial"/>
          <w:u w:val="single"/>
        </w:rPr>
        <w:t>uality</w:t>
      </w:r>
    </w:p>
    <w:p w14:paraId="003CA4B8" w14:textId="7C1BDB70" w:rsidR="00586F46" w:rsidRPr="00586F46" w:rsidRDefault="00586F46" w:rsidP="00ED6649">
      <w:pPr>
        <w:spacing w:line="360" w:lineRule="auto"/>
        <w:rPr>
          <w:rFonts w:ascii="Arial" w:hAnsi="Arial" w:cs="Arial"/>
        </w:rPr>
      </w:pPr>
      <w:r w:rsidRPr="00586F46">
        <w:rPr>
          <w:rFonts w:ascii="Arial" w:hAnsi="Arial" w:cs="Arial"/>
        </w:rPr>
        <w:t>Quality is a multifaceted concept that can be understood as the degree to which a product, service or process consistently meets or exceeds established standards, expectations</w:t>
      </w:r>
      <w:r>
        <w:rPr>
          <w:rFonts w:ascii="Arial" w:hAnsi="Arial" w:cs="Arial"/>
        </w:rPr>
        <w:t xml:space="preserve"> </w:t>
      </w:r>
      <w:r w:rsidRPr="00586F46">
        <w:rPr>
          <w:rFonts w:ascii="Arial" w:hAnsi="Arial" w:cs="Arial"/>
        </w:rPr>
        <w:t>and requirements</w:t>
      </w:r>
      <w:r w:rsidR="00D747A9">
        <w:rPr>
          <w:rFonts w:ascii="Arial" w:hAnsi="Arial" w:cs="Arial"/>
        </w:rPr>
        <w:t xml:space="preserve"> (Khan, 2023)</w:t>
      </w:r>
      <w:r w:rsidRPr="00586F46">
        <w:rPr>
          <w:rFonts w:ascii="Arial" w:hAnsi="Arial" w:cs="Arial"/>
        </w:rPr>
        <w:t>.</w:t>
      </w:r>
      <w:r w:rsidR="00374736">
        <w:rPr>
          <w:rFonts w:ascii="Arial" w:hAnsi="Arial" w:cs="Arial"/>
        </w:rPr>
        <w:t xml:space="preserve"> </w:t>
      </w:r>
      <w:r w:rsidR="00374736" w:rsidRPr="00374736">
        <w:rPr>
          <w:rFonts w:ascii="Arial" w:hAnsi="Arial" w:cs="Arial"/>
        </w:rPr>
        <w:t xml:space="preserve">Kenyon and Sen, </w:t>
      </w:r>
      <w:r w:rsidR="00374736">
        <w:rPr>
          <w:rFonts w:ascii="Arial" w:hAnsi="Arial" w:cs="Arial"/>
        </w:rPr>
        <w:t>(</w:t>
      </w:r>
      <w:r w:rsidR="00374736" w:rsidRPr="00374736">
        <w:rPr>
          <w:rFonts w:ascii="Arial" w:hAnsi="Arial" w:cs="Arial"/>
        </w:rPr>
        <w:t>2015)</w:t>
      </w:r>
      <w:r w:rsidR="00374736">
        <w:rPr>
          <w:rFonts w:ascii="Arial" w:hAnsi="Arial" w:cs="Arial"/>
        </w:rPr>
        <w:t xml:space="preserve"> explain that</w:t>
      </w:r>
      <w:r w:rsidRPr="00586F46">
        <w:rPr>
          <w:rFonts w:ascii="Arial" w:hAnsi="Arial" w:cs="Arial"/>
        </w:rPr>
        <w:t xml:space="preserve"> </w:t>
      </w:r>
      <w:r w:rsidR="00374736">
        <w:rPr>
          <w:rFonts w:ascii="Arial" w:hAnsi="Arial" w:cs="Arial"/>
        </w:rPr>
        <w:t>i</w:t>
      </w:r>
      <w:r w:rsidRPr="00586F46">
        <w:rPr>
          <w:rFonts w:ascii="Arial" w:hAnsi="Arial" w:cs="Arial"/>
        </w:rPr>
        <w:t>n the context of education, healthcare or service industries, quality typically involves the fulfilment of predefined criteria related to performance</w:t>
      </w:r>
      <w:r w:rsidR="00374736">
        <w:rPr>
          <w:rFonts w:ascii="Arial" w:hAnsi="Arial" w:cs="Arial"/>
        </w:rPr>
        <w:t xml:space="preserve"> and </w:t>
      </w:r>
      <w:r w:rsidRPr="00586F46">
        <w:rPr>
          <w:rFonts w:ascii="Arial" w:hAnsi="Arial" w:cs="Arial"/>
        </w:rPr>
        <w:t>outcomes</w:t>
      </w:r>
      <w:r>
        <w:rPr>
          <w:rFonts w:ascii="Arial" w:hAnsi="Arial" w:cs="Arial"/>
        </w:rPr>
        <w:t xml:space="preserve"> </w:t>
      </w:r>
      <w:r w:rsidRPr="00586F46">
        <w:rPr>
          <w:rFonts w:ascii="Arial" w:hAnsi="Arial" w:cs="Arial"/>
        </w:rPr>
        <w:t>and stakeholder satisfaction. It embodies both the ability to meet minimum standards and the commitment to continuous improvement ensuring that practices remain relevant and effective in addressing the dynamic needs of users.</w:t>
      </w:r>
      <w:r w:rsidR="000B61FF">
        <w:rPr>
          <w:rFonts w:ascii="Arial" w:hAnsi="Arial" w:cs="Arial"/>
        </w:rPr>
        <w:t xml:space="preserve"> </w:t>
      </w:r>
      <w:r w:rsidRPr="00586F46">
        <w:rPr>
          <w:rFonts w:ascii="Arial" w:hAnsi="Arial" w:cs="Arial"/>
        </w:rPr>
        <w:t>Quality is often assessed through measurable indicators such as efficiency, effectiveness, reliability and responsiveness</w:t>
      </w:r>
      <w:r>
        <w:rPr>
          <w:rFonts w:ascii="Arial" w:hAnsi="Arial" w:cs="Arial"/>
        </w:rPr>
        <w:t xml:space="preserve"> </w:t>
      </w:r>
      <w:r w:rsidRPr="00586F46">
        <w:rPr>
          <w:rFonts w:ascii="Arial" w:hAnsi="Arial" w:cs="Arial"/>
        </w:rPr>
        <w:t>with a focus on delivering value to both the end user and the organi</w:t>
      </w:r>
      <w:r>
        <w:rPr>
          <w:rFonts w:ascii="Arial" w:hAnsi="Arial" w:cs="Arial"/>
        </w:rPr>
        <w:t>s</w:t>
      </w:r>
      <w:r w:rsidRPr="00586F46">
        <w:rPr>
          <w:rFonts w:ascii="Arial" w:hAnsi="Arial" w:cs="Arial"/>
        </w:rPr>
        <w:t>ation. It encompasses not only the outcomes of services but also the processes by which those outcomes are achieved, emphasi</w:t>
      </w:r>
      <w:r>
        <w:rPr>
          <w:rFonts w:ascii="Arial" w:hAnsi="Arial" w:cs="Arial"/>
        </w:rPr>
        <w:t>s</w:t>
      </w:r>
      <w:r w:rsidRPr="00586F46">
        <w:rPr>
          <w:rFonts w:ascii="Arial" w:hAnsi="Arial" w:cs="Arial"/>
        </w:rPr>
        <w:t>ing consistency and the minimi</w:t>
      </w:r>
      <w:r>
        <w:rPr>
          <w:rFonts w:ascii="Arial" w:hAnsi="Arial" w:cs="Arial"/>
        </w:rPr>
        <w:t>s</w:t>
      </w:r>
      <w:r w:rsidRPr="00586F46">
        <w:rPr>
          <w:rFonts w:ascii="Arial" w:hAnsi="Arial" w:cs="Arial"/>
        </w:rPr>
        <w:t>ation of errors or deficiencies</w:t>
      </w:r>
      <w:r w:rsidR="00374736">
        <w:rPr>
          <w:rFonts w:ascii="Arial" w:hAnsi="Arial" w:cs="Arial"/>
        </w:rPr>
        <w:t xml:space="preserve"> </w:t>
      </w:r>
      <w:r w:rsidR="00374736" w:rsidRPr="00374736">
        <w:rPr>
          <w:rFonts w:ascii="Arial" w:hAnsi="Arial" w:cs="Arial"/>
        </w:rPr>
        <w:t>(Carroll and Booth, 2014)</w:t>
      </w:r>
      <w:r w:rsidRPr="00586F46">
        <w:rPr>
          <w:rFonts w:ascii="Arial" w:hAnsi="Arial" w:cs="Arial"/>
        </w:rPr>
        <w:t>. Moreover, quality involves fostering an environment conducive to growth, innovation and responsiveness to feedback</w:t>
      </w:r>
      <w:r w:rsidR="00374736">
        <w:rPr>
          <w:rFonts w:ascii="Arial" w:hAnsi="Arial" w:cs="Arial"/>
        </w:rPr>
        <w:t xml:space="preserve"> </w:t>
      </w:r>
      <w:r w:rsidR="00374736" w:rsidRPr="00374736">
        <w:rPr>
          <w:rFonts w:ascii="Arial" w:hAnsi="Arial" w:cs="Arial"/>
        </w:rPr>
        <w:t xml:space="preserve">(Jackson </w:t>
      </w:r>
      <w:r w:rsidR="00374736" w:rsidRPr="00374736">
        <w:rPr>
          <w:rFonts w:ascii="Arial" w:hAnsi="Arial" w:cs="Arial"/>
          <w:i/>
          <w:iCs/>
        </w:rPr>
        <w:t>et al</w:t>
      </w:r>
      <w:r w:rsidR="00374736" w:rsidRPr="00374736">
        <w:rPr>
          <w:rFonts w:ascii="Arial" w:hAnsi="Arial" w:cs="Arial"/>
        </w:rPr>
        <w:t>., 2016)</w:t>
      </w:r>
      <w:r w:rsidRPr="00586F46">
        <w:rPr>
          <w:rFonts w:ascii="Arial" w:hAnsi="Arial" w:cs="Arial"/>
        </w:rPr>
        <w:t>.</w:t>
      </w:r>
    </w:p>
    <w:p w14:paraId="1E7AA7DA" w14:textId="447B4F00" w:rsidR="00586F46" w:rsidRPr="00374736" w:rsidRDefault="00586F46" w:rsidP="00ED6649">
      <w:pPr>
        <w:spacing w:line="360" w:lineRule="auto"/>
        <w:rPr>
          <w:rFonts w:ascii="Arial" w:hAnsi="Arial" w:cs="Arial"/>
          <w:b/>
          <w:bCs/>
        </w:rPr>
      </w:pPr>
      <w:r w:rsidRPr="00036FDE">
        <w:rPr>
          <w:rFonts w:ascii="Arial" w:hAnsi="Arial" w:cs="Arial"/>
        </w:rPr>
        <w:t xml:space="preserve">    In practical terms, quality might manifest as well organised</w:t>
      </w:r>
      <w:r w:rsidR="00036FDE" w:rsidRPr="00036FDE">
        <w:rPr>
          <w:rFonts w:ascii="Arial" w:hAnsi="Arial" w:cs="Arial"/>
        </w:rPr>
        <w:t xml:space="preserve"> and</w:t>
      </w:r>
      <w:r w:rsidRPr="00036FDE">
        <w:rPr>
          <w:rFonts w:ascii="Arial" w:hAnsi="Arial" w:cs="Arial"/>
        </w:rPr>
        <w:t xml:space="preserve"> </w:t>
      </w:r>
      <w:proofErr w:type="gramStart"/>
      <w:r w:rsidRPr="00036FDE">
        <w:rPr>
          <w:rFonts w:ascii="Arial" w:hAnsi="Arial" w:cs="Arial"/>
        </w:rPr>
        <w:t>evidence based</w:t>
      </w:r>
      <w:proofErr w:type="gramEnd"/>
      <w:r w:rsidRPr="00036FDE">
        <w:rPr>
          <w:rFonts w:ascii="Arial" w:hAnsi="Arial" w:cs="Arial"/>
        </w:rPr>
        <w:t xml:space="preserve"> practices such as a curriculum that fosters student development or a healthcare service that delivers positive patient outcomes while ensuring safety and satisfaction</w:t>
      </w:r>
      <w:r w:rsidR="00036FDE" w:rsidRPr="00036FDE">
        <w:rPr>
          <w:rFonts w:ascii="Arial" w:hAnsi="Arial" w:cs="Arial"/>
        </w:rPr>
        <w:t xml:space="preserve"> </w:t>
      </w:r>
      <w:r w:rsidR="00036FDE" w:rsidRPr="00036FDE">
        <w:rPr>
          <w:rFonts w:ascii="Arial" w:hAnsi="Arial" w:cs="Arial"/>
        </w:rPr>
        <w:t>(Henk ten Have, 2017)</w:t>
      </w:r>
      <w:r w:rsidRPr="00036FDE">
        <w:rPr>
          <w:rFonts w:ascii="Arial" w:hAnsi="Arial" w:cs="Arial"/>
        </w:rPr>
        <w:t>.</w:t>
      </w:r>
      <w:r w:rsidRPr="00374736">
        <w:rPr>
          <w:rFonts w:ascii="Arial" w:hAnsi="Arial" w:cs="Arial"/>
          <w:b/>
          <w:bCs/>
        </w:rPr>
        <w:t xml:space="preserve"> </w:t>
      </w:r>
    </w:p>
    <w:p w14:paraId="298C87B3" w14:textId="1B67F0F5" w:rsidR="00430018" w:rsidRDefault="00374736" w:rsidP="00ED6649">
      <w:pPr>
        <w:spacing w:line="360" w:lineRule="auto"/>
        <w:rPr>
          <w:rFonts w:ascii="Arial" w:hAnsi="Arial" w:cs="Arial"/>
        </w:rPr>
      </w:pPr>
      <w:r>
        <w:rPr>
          <w:rFonts w:ascii="Arial" w:hAnsi="Arial" w:cs="Arial"/>
        </w:rPr>
        <w:t xml:space="preserve">    </w:t>
      </w:r>
      <w:r w:rsidR="00430018" w:rsidRPr="00430018">
        <w:rPr>
          <w:rFonts w:ascii="Arial" w:hAnsi="Arial" w:cs="Arial"/>
        </w:rPr>
        <w:t>In early years settings, the quality of care is crucial for fostering the developmental needs of young children</w:t>
      </w:r>
      <w:r w:rsidR="00430018">
        <w:rPr>
          <w:rFonts w:ascii="Arial" w:hAnsi="Arial" w:cs="Arial"/>
        </w:rPr>
        <w:t xml:space="preserve"> </w:t>
      </w:r>
      <w:r w:rsidR="00430018" w:rsidRPr="00430018">
        <w:rPr>
          <w:rFonts w:ascii="Arial" w:hAnsi="Arial" w:cs="Arial"/>
        </w:rPr>
        <w:t xml:space="preserve">(Hermenau </w:t>
      </w:r>
      <w:r w:rsidR="00430018" w:rsidRPr="00430018">
        <w:rPr>
          <w:rFonts w:ascii="Arial" w:hAnsi="Arial" w:cs="Arial"/>
          <w:i/>
          <w:iCs/>
        </w:rPr>
        <w:t>et al</w:t>
      </w:r>
      <w:r w:rsidR="00430018" w:rsidRPr="00430018">
        <w:rPr>
          <w:rFonts w:ascii="Arial" w:hAnsi="Arial" w:cs="Arial"/>
        </w:rPr>
        <w:t>., 2016). High</w:t>
      </w:r>
      <w:r w:rsidR="00430018">
        <w:rPr>
          <w:rFonts w:ascii="Arial" w:hAnsi="Arial" w:cs="Arial"/>
        </w:rPr>
        <w:t xml:space="preserve"> </w:t>
      </w:r>
      <w:r w:rsidR="00430018" w:rsidRPr="00430018">
        <w:rPr>
          <w:rFonts w:ascii="Arial" w:hAnsi="Arial" w:cs="Arial"/>
        </w:rPr>
        <w:t>quality care can significantly influence their physical, emotional, cognitive</w:t>
      </w:r>
      <w:r w:rsidR="00430018">
        <w:rPr>
          <w:rFonts w:ascii="Arial" w:hAnsi="Arial" w:cs="Arial"/>
        </w:rPr>
        <w:t xml:space="preserve"> </w:t>
      </w:r>
      <w:r w:rsidR="00430018" w:rsidRPr="00430018">
        <w:rPr>
          <w:rFonts w:ascii="Arial" w:hAnsi="Arial" w:cs="Arial"/>
        </w:rPr>
        <w:t>and social growth</w:t>
      </w:r>
      <w:r w:rsidR="00430018">
        <w:rPr>
          <w:rFonts w:ascii="Arial" w:hAnsi="Arial" w:cs="Arial"/>
        </w:rPr>
        <w:t xml:space="preserve"> which</w:t>
      </w:r>
      <w:r w:rsidR="00430018" w:rsidRPr="00430018">
        <w:rPr>
          <w:rFonts w:ascii="Arial" w:hAnsi="Arial" w:cs="Arial"/>
        </w:rPr>
        <w:t xml:space="preserve"> lay</w:t>
      </w:r>
      <w:r w:rsidR="00430018">
        <w:rPr>
          <w:rFonts w:ascii="Arial" w:hAnsi="Arial" w:cs="Arial"/>
        </w:rPr>
        <w:t>s</w:t>
      </w:r>
      <w:r w:rsidR="00430018" w:rsidRPr="00430018">
        <w:rPr>
          <w:rFonts w:ascii="Arial" w:hAnsi="Arial" w:cs="Arial"/>
        </w:rPr>
        <w:t xml:space="preserve"> the foundation for lifelong learning and wellbeing. While statutory regulations provide minimum standards for care</w:t>
      </w:r>
      <w:r w:rsidR="00430018">
        <w:rPr>
          <w:rFonts w:ascii="Arial" w:hAnsi="Arial" w:cs="Arial"/>
        </w:rPr>
        <w:t xml:space="preserve"> </w:t>
      </w:r>
      <w:r w:rsidR="00430018" w:rsidRPr="00430018">
        <w:rPr>
          <w:rFonts w:ascii="Arial" w:hAnsi="Arial" w:cs="Arial"/>
        </w:rPr>
        <w:t>(</w:t>
      </w:r>
      <w:proofErr w:type="spellStart"/>
      <w:r w:rsidR="00430018" w:rsidRPr="00430018">
        <w:rPr>
          <w:rFonts w:ascii="Arial" w:hAnsi="Arial" w:cs="Arial"/>
        </w:rPr>
        <w:t>Garcarz</w:t>
      </w:r>
      <w:proofErr w:type="spellEnd"/>
      <w:r w:rsidR="00430018" w:rsidRPr="00430018">
        <w:rPr>
          <w:rFonts w:ascii="Arial" w:hAnsi="Arial" w:cs="Arial"/>
        </w:rPr>
        <w:t xml:space="preserve"> and Wilcock, 2018), additional quality assurance methods</w:t>
      </w:r>
      <w:r w:rsidR="00430018">
        <w:rPr>
          <w:rFonts w:ascii="Arial" w:hAnsi="Arial" w:cs="Arial"/>
        </w:rPr>
        <w:t xml:space="preserve">, </w:t>
      </w:r>
      <w:r w:rsidR="00430018" w:rsidRPr="00430018">
        <w:rPr>
          <w:rFonts w:ascii="Arial" w:hAnsi="Arial" w:cs="Arial"/>
        </w:rPr>
        <w:t>such as quality assurance marks and research</w:t>
      </w:r>
      <w:r w:rsidR="00430018">
        <w:rPr>
          <w:rFonts w:ascii="Arial" w:hAnsi="Arial" w:cs="Arial"/>
        </w:rPr>
        <w:t xml:space="preserve"> </w:t>
      </w:r>
      <w:r w:rsidR="00430018" w:rsidRPr="00430018">
        <w:rPr>
          <w:rFonts w:ascii="Arial" w:hAnsi="Arial" w:cs="Arial"/>
        </w:rPr>
        <w:t>based professional development tools</w:t>
      </w:r>
      <w:r w:rsidR="00430018">
        <w:rPr>
          <w:rFonts w:ascii="Arial" w:hAnsi="Arial" w:cs="Arial"/>
        </w:rPr>
        <w:t xml:space="preserve"> </w:t>
      </w:r>
      <w:r w:rsidR="00430018" w:rsidRPr="00430018">
        <w:rPr>
          <w:rFonts w:ascii="Arial" w:hAnsi="Arial" w:cs="Arial"/>
        </w:rPr>
        <w:t>offer more dynamic ways to ensure excellence in early childhood education and care.</w:t>
      </w:r>
    </w:p>
    <w:p w14:paraId="660CB3F3" w14:textId="48DF3510" w:rsidR="00430018" w:rsidRDefault="00374736" w:rsidP="00ED6649">
      <w:pPr>
        <w:spacing w:line="360" w:lineRule="auto"/>
        <w:rPr>
          <w:rFonts w:ascii="Arial" w:hAnsi="Arial" w:cs="Arial"/>
        </w:rPr>
      </w:pPr>
      <w:r>
        <w:rPr>
          <w:rFonts w:ascii="Arial" w:hAnsi="Arial" w:cs="Arial"/>
        </w:rPr>
        <w:t xml:space="preserve">    </w:t>
      </w:r>
      <w:r w:rsidR="00C143A9" w:rsidRPr="00C143A9">
        <w:rPr>
          <w:rFonts w:ascii="Arial" w:hAnsi="Arial" w:cs="Arial"/>
        </w:rPr>
        <w:t>Quality assurance marks or accreditations in early years settings</w:t>
      </w:r>
      <w:r w:rsidR="00C143A9">
        <w:rPr>
          <w:rFonts w:ascii="Arial" w:hAnsi="Arial" w:cs="Arial"/>
        </w:rPr>
        <w:t xml:space="preserve"> </w:t>
      </w:r>
      <w:r w:rsidR="00C143A9" w:rsidRPr="00C143A9">
        <w:rPr>
          <w:rFonts w:ascii="Arial" w:hAnsi="Arial" w:cs="Arial"/>
        </w:rPr>
        <w:t>such as the Ofsted</w:t>
      </w:r>
      <w:r w:rsidR="00C143A9">
        <w:rPr>
          <w:rFonts w:ascii="Arial" w:hAnsi="Arial" w:cs="Arial"/>
        </w:rPr>
        <w:t xml:space="preserve"> (GOV.UK, no date)</w:t>
      </w:r>
      <w:r w:rsidR="00C143A9" w:rsidRPr="00C143A9">
        <w:rPr>
          <w:rFonts w:ascii="Arial" w:hAnsi="Arial" w:cs="Arial"/>
        </w:rPr>
        <w:t xml:space="preserve"> ratings in</w:t>
      </w:r>
      <w:r w:rsidR="00C143A9">
        <w:rPr>
          <w:rFonts w:ascii="Arial" w:hAnsi="Arial" w:cs="Arial"/>
        </w:rPr>
        <w:t xml:space="preserve"> England</w:t>
      </w:r>
      <w:r w:rsidR="001B2419">
        <w:rPr>
          <w:rFonts w:ascii="Arial" w:hAnsi="Arial" w:cs="Arial"/>
        </w:rPr>
        <w:t>,</w:t>
      </w:r>
      <w:r w:rsidR="00C143A9" w:rsidRPr="00C143A9">
        <w:rPr>
          <w:rFonts w:ascii="Arial" w:hAnsi="Arial" w:cs="Arial"/>
        </w:rPr>
        <w:t xml:space="preserve"> the </w:t>
      </w:r>
      <w:r w:rsidR="00C143A9">
        <w:rPr>
          <w:rFonts w:ascii="Arial" w:hAnsi="Arial" w:cs="Arial"/>
        </w:rPr>
        <w:t>ESTYN</w:t>
      </w:r>
      <w:r w:rsidR="001B2419">
        <w:rPr>
          <w:rFonts w:ascii="Arial" w:hAnsi="Arial" w:cs="Arial"/>
        </w:rPr>
        <w:t xml:space="preserve"> (ESTYN, no date)</w:t>
      </w:r>
      <w:r w:rsidR="00C143A9">
        <w:rPr>
          <w:rFonts w:ascii="Arial" w:hAnsi="Arial" w:cs="Arial"/>
        </w:rPr>
        <w:t xml:space="preserve"> ratings in Wales</w:t>
      </w:r>
      <w:r w:rsidR="001B2419">
        <w:rPr>
          <w:rFonts w:ascii="Arial" w:hAnsi="Arial" w:cs="Arial"/>
        </w:rPr>
        <w:t xml:space="preserve"> and Care Inspectorate Wales (C</w:t>
      </w:r>
      <w:r w:rsidR="0055716B">
        <w:rPr>
          <w:rFonts w:ascii="Arial" w:hAnsi="Arial" w:cs="Arial"/>
        </w:rPr>
        <w:t>are Inspectorate Wales, 2025</w:t>
      </w:r>
      <w:r w:rsidR="001B2419">
        <w:rPr>
          <w:rFonts w:ascii="Arial" w:hAnsi="Arial" w:cs="Arial"/>
        </w:rPr>
        <w:t xml:space="preserve">) for settings registered with them, </w:t>
      </w:r>
      <w:r w:rsidR="00C143A9" w:rsidRPr="00C143A9">
        <w:rPr>
          <w:rFonts w:ascii="Arial" w:hAnsi="Arial" w:cs="Arial"/>
        </w:rPr>
        <w:t xml:space="preserve">aim to validate that early </w:t>
      </w:r>
      <w:r w:rsidR="0085715D" w:rsidRPr="00C143A9">
        <w:rPr>
          <w:rFonts w:ascii="Arial" w:hAnsi="Arial" w:cs="Arial"/>
        </w:rPr>
        <w:t>year’s</w:t>
      </w:r>
      <w:r w:rsidR="00C143A9" w:rsidRPr="00C143A9">
        <w:rPr>
          <w:rFonts w:ascii="Arial" w:hAnsi="Arial" w:cs="Arial"/>
        </w:rPr>
        <w:t xml:space="preserve"> settings meet specific </w:t>
      </w:r>
      <w:r w:rsidR="00C143A9" w:rsidRPr="00C143A9">
        <w:rPr>
          <w:rFonts w:ascii="Arial" w:hAnsi="Arial" w:cs="Arial"/>
        </w:rPr>
        <w:lastRenderedPageBreak/>
        <w:t>standards of care and education. These marks serve as a recognition of the setting's adherence to quality guidelines which are often established by governmental or professional bodies.</w:t>
      </w:r>
      <w:r w:rsidR="0055716B">
        <w:rPr>
          <w:rFonts w:ascii="Arial" w:hAnsi="Arial" w:cs="Arial"/>
        </w:rPr>
        <w:t xml:space="preserve"> </w:t>
      </w:r>
      <w:r w:rsidR="0055716B" w:rsidRPr="0055716B">
        <w:rPr>
          <w:rFonts w:ascii="Arial" w:hAnsi="Arial" w:cs="Arial"/>
        </w:rPr>
        <w:t>Quality assurance marks provide external validation of a settings commitment to quality. Parents, guardians and the community place trust in settings that have received such accreditation. This trust is vital in early years settings as parents want assurance that their children are in a safe and nurturing environment.</w:t>
      </w:r>
      <w:r w:rsidR="0055716B">
        <w:rPr>
          <w:rFonts w:ascii="Arial" w:hAnsi="Arial" w:cs="Arial"/>
        </w:rPr>
        <w:t xml:space="preserve"> </w:t>
      </w:r>
    </w:p>
    <w:p w14:paraId="165FE3B6" w14:textId="6DA43303" w:rsidR="0085715D" w:rsidRDefault="005D567C" w:rsidP="00ED6649">
      <w:pPr>
        <w:spacing w:line="360" w:lineRule="auto"/>
        <w:rPr>
          <w:rFonts w:ascii="Arial" w:hAnsi="Arial" w:cs="Arial"/>
        </w:rPr>
      </w:pPr>
      <w:r>
        <w:rPr>
          <w:rFonts w:ascii="Arial" w:hAnsi="Arial" w:cs="Arial"/>
        </w:rPr>
        <w:t xml:space="preserve">    </w:t>
      </w:r>
      <w:r w:rsidR="000B61FF" w:rsidRPr="000B61FF">
        <w:rPr>
          <w:rFonts w:ascii="Arial" w:hAnsi="Arial" w:cs="Arial"/>
        </w:rPr>
        <w:t>Building on the need for assurance, it is equally important to focus on quality enhancement, which strives for continuous improvement in practices and ensures a dynamic learning environment.</w:t>
      </w:r>
      <w:r w:rsidR="000B61FF">
        <w:rPr>
          <w:rFonts w:ascii="Arial" w:hAnsi="Arial" w:cs="Arial"/>
        </w:rPr>
        <w:t xml:space="preserve"> </w:t>
      </w:r>
      <w:r w:rsidR="0085715D" w:rsidRPr="0085715D">
        <w:rPr>
          <w:rFonts w:ascii="Arial" w:hAnsi="Arial" w:cs="Arial"/>
        </w:rPr>
        <w:t>Process quality and structural quality are two key dimensions in evaluating early years education settings each focusing on different aspects of the learning environment. Process quality refers to the interactions, teaching methods</w:t>
      </w:r>
      <w:r w:rsidR="0085715D">
        <w:rPr>
          <w:rFonts w:ascii="Arial" w:hAnsi="Arial" w:cs="Arial"/>
        </w:rPr>
        <w:t xml:space="preserve"> </w:t>
      </w:r>
      <w:r w:rsidR="0085715D" w:rsidRPr="0085715D">
        <w:rPr>
          <w:rFonts w:ascii="Arial" w:hAnsi="Arial" w:cs="Arial"/>
        </w:rPr>
        <w:t>and emotional support provided to children, emphasi</w:t>
      </w:r>
      <w:r w:rsidR="0085715D">
        <w:rPr>
          <w:rFonts w:ascii="Arial" w:hAnsi="Arial" w:cs="Arial"/>
        </w:rPr>
        <w:t>s</w:t>
      </w:r>
      <w:r w:rsidR="0085715D" w:rsidRPr="0085715D">
        <w:rPr>
          <w:rFonts w:ascii="Arial" w:hAnsi="Arial" w:cs="Arial"/>
        </w:rPr>
        <w:t>ing the quality of engagement between caregivers and children. This includes aspects such as responsive caregiving, stimulating activities</w:t>
      </w:r>
      <w:r w:rsidR="0085715D">
        <w:rPr>
          <w:rFonts w:ascii="Arial" w:hAnsi="Arial" w:cs="Arial"/>
        </w:rPr>
        <w:t xml:space="preserve"> </w:t>
      </w:r>
      <w:r w:rsidR="0085715D" w:rsidRPr="0085715D">
        <w:rPr>
          <w:rFonts w:ascii="Arial" w:hAnsi="Arial" w:cs="Arial"/>
        </w:rPr>
        <w:t>and fostering a positive emotional climate. On the other hand, structural quality pertains to the physical and organi</w:t>
      </w:r>
      <w:r w:rsidR="0085715D">
        <w:rPr>
          <w:rFonts w:ascii="Arial" w:hAnsi="Arial" w:cs="Arial"/>
        </w:rPr>
        <w:t>s</w:t>
      </w:r>
      <w:r w:rsidR="0085715D" w:rsidRPr="0085715D">
        <w:rPr>
          <w:rFonts w:ascii="Arial" w:hAnsi="Arial" w:cs="Arial"/>
        </w:rPr>
        <w:t>ational aspects of the setting including staff qualifications, child-to-teacher ratios, facility conditions and safety standards. While process quality directly impacts children's development by shaping their cognitive, social</w:t>
      </w:r>
      <w:r w:rsidR="0085715D">
        <w:rPr>
          <w:rFonts w:ascii="Arial" w:hAnsi="Arial" w:cs="Arial"/>
        </w:rPr>
        <w:t xml:space="preserve"> </w:t>
      </w:r>
      <w:r w:rsidR="0085715D" w:rsidRPr="0085715D">
        <w:rPr>
          <w:rFonts w:ascii="Arial" w:hAnsi="Arial" w:cs="Arial"/>
        </w:rPr>
        <w:t>and emotional growth, structural quality provides the foundational support necessary for a conducive learning environment. Both dimensions are interrelated</w:t>
      </w:r>
      <w:r w:rsidR="0085715D">
        <w:rPr>
          <w:rFonts w:ascii="Arial" w:hAnsi="Arial" w:cs="Arial"/>
        </w:rPr>
        <w:t>. A</w:t>
      </w:r>
      <w:r w:rsidR="0085715D" w:rsidRPr="0085715D">
        <w:rPr>
          <w:rFonts w:ascii="Arial" w:hAnsi="Arial" w:cs="Arial"/>
        </w:rPr>
        <w:t xml:space="preserve"> well</w:t>
      </w:r>
      <w:r w:rsidR="00CF7A26">
        <w:rPr>
          <w:rFonts w:ascii="Arial" w:hAnsi="Arial" w:cs="Arial"/>
        </w:rPr>
        <w:t>-</w:t>
      </w:r>
      <w:r w:rsidR="0085715D" w:rsidRPr="0085715D">
        <w:rPr>
          <w:rFonts w:ascii="Arial" w:hAnsi="Arial" w:cs="Arial"/>
        </w:rPr>
        <w:t>structured setting enhances the conditions for high</w:t>
      </w:r>
      <w:r w:rsidR="00CF7A26">
        <w:rPr>
          <w:rFonts w:ascii="Arial" w:hAnsi="Arial" w:cs="Arial"/>
        </w:rPr>
        <w:t xml:space="preserve"> </w:t>
      </w:r>
      <w:r w:rsidR="0085715D" w:rsidRPr="0085715D">
        <w:rPr>
          <w:rFonts w:ascii="Arial" w:hAnsi="Arial" w:cs="Arial"/>
        </w:rPr>
        <w:t>quality interactions, while robust processes can maximi</w:t>
      </w:r>
      <w:r w:rsidR="00CF7A26">
        <w:rPr>
          <w:rFonts w:ascii="Arial" w:hAnsi="Arial" w:cs="Arial"/>
        </w:rPr>
        <w:t>s</w:t>
      </w:r>
      <w:r w:rsidR="0085715D" w:rsidRPr="0085715D">
        <w:rPr>
          <w:rFonts w:ascii="Arial" w:hAnsi="Arial" w:cs="Arial"/>
        </w:rPr>
        <w:t>e the potential of the structural resources available</w:t>
      </w:r>
      <w:r w:rsidR="00CF7A26">
        <w:rPr>
          <w:rFonts w:ascii="Arial" w:hAnsi="Arial" w:cs="Arial"/>
        </w:rPr>
        <w:t xml:space="preserve"> </w:t>
      </w:r>
      <w:r w:rsidR="00CF7A26" w:rsidRPr="00CF7A26">
        <w:rPr>
          <w:rFonts w:ascii="Arial" w:hAnsi="Arial" w:cs="Arial"/>
        </w:rPr>
        <w:t xml:space="preserve">(Eadie </w:t>
      </w:r>
      <w:r w:rsidR="00CF7A26" w:rsidRPr="00CF7A26">
        <w:rPr>
          <w:rFonts w:ascii="Arial" w:hAnsi="Arial" w:cs="Arial"/>
          <w:i/>
          <w:iCs/>
        </w:rPr>
        <w:t>et al</w:t>
      </w:r>
      <w:r w:rsidR="00CF7A26" w:rsidRPr="00CF7A26">
        <w:rPr>
          <w:rFonts w:ascii="Arial" w:hAnsi="Arial" w:cs="Arial"/>
        </w:rPr>
        <w:t>., 202</w:t>
      </w:r>
      <w:r w:rsidR="00CF7A26">
        <w:rPr>
          <w:rFonts w:ascii="Arial" w:hAnsi="Arial" w:cs="Arial"/>
        </w:rPr>
        <w:t>4</w:t>
      </w:r>
      <w:r w:rsidR="00CF7A26" w:rsidRPr="00CF7A26">
        <w:rPr>
          <w:rFonts w:ascii="Arial" w:hAnsi="Arial" w:cs="Arial"/>
        </w:rPr>
        <w:t>)</w:t>
      </w:r>
      <w:r w:rsidR="0085715D" w:rsidRPr="0085715D">
        <w:rPr>
          <w:rFonts w:ascii="Arial" w:hAnsi="Arial" w:cs="Arial"/>
        </w:rPr>
        <w:t>. Together, they form a holistic approach to ensuring the best outcomes for children in early years education.</w:t>
      </w:r>
    </w:p>
    <w:p w14:paraId="12BF243D" w14:textId="18A88D88" w:rsidR="008D0298" w:rsidRDefault="005D567C" w:rsidP="00ED6649">
      <w:pPr>
        <w:spacing w:line="360" w:lineRule="auto"/>
        <w:rPr>
          <w:rFonts w:ascii="Arial" w:hAnsi="Arial" w:cs="Arial"/>
        </w:rPr>
      </w:pPr>
      <w:r>
        <w:rPr>
          <w:rFonts w:ascii="Arial" w:hAnsi="Arial" w:cs="Arial"/>
        </w:rPr>
        <w:t xml:space="preserve">    </w:t>
      </w:r>
      <w:r w:rsidR="000B61FF">
        <w:rPr>
          <w:rFonts w:ascii="Arial" w:hAnsi="Arial" w:cs="Arial"/>
        </w:rPr>
        <w:t xml:space="preserve">Ultimately, </w:t>
      </w:r>
      <w:r w:rsidR="006523D9" w:rsidRPr="006523D9">
        <w:rPr>
          <w:rFonts w:ascii="Arial" w:hAnsi="Arial" w:cs="Arial"/>
        </w:rPr>
        <w:t xml:space="preserve">Elassy, </w:t>
      </w:r>
      <w:r w:rsidR="006523D9">
        <w:rPr>
          <w:rFonts w:ascii="Arial" w:hAnsi="Arial" w:cs="Arial"/>
        </w:rPr>
        <w:t>(</w:t>
      </w:r>
      <w:r w:rsidR="006523D9" w:rsidRPr="006523D9">
        <w:rPr>
          <w:rFonts w:ascii="Arial" w:hAnsi="Arial" w:cs="Arial"/>
        </w:rPr>
        <w:t>2015)</w:t>
      </w:r>
      <w:r w:rsidR="006523D9">
        <w:rPr>
          <w:rFonts w:ascii="Arial" w:hAnsi="Arial" w:cs="Arial"/>
        </w:rPr>
        <w:t xml:space="preserve"> says that </w:t>
      </w:r>
      <w:r w:rsidR="000B61FF">
        <w:rPr>
          <w:rFonts w:ascii="Arial" w:hAnsi="Arial" w:cs="Arial"/>
        </w:rPr>
        <w:t>q</w:t>
      </w:r>
      <w:r w:rsidR="008D0298" w:rsidRPr="008D0298">
        <w:rPr>
          <w:rFonts w:ascii="Arial" w:hAnsi="Arial" w:cs="Arial"/>
        </w:rPr>
        <w:t>uality assurance and quality enhancement are critical concepts in early years education, both aimed at ensuring that children receive high</w:t>
      </w:r>
      <w:r w:rsidR="000B61FF">
        <w:rPr>
          <w:rFonts w:ascii="Arial" w:hAnsi="Arial" w:cs="Arial"/>
        </w:rPr>
        <w:t xml:space="preserve"> </w:t>
      </w:r>
      <w:r w:rsidR="008D0298" w:rsidRPr="008D0298">
        <w:rPr>
          <w:rFonts w:ascii="Arial" w:hAnsi="Arial" w:cs="Arial"/>
        </w:rPr>
        <w:t xml:space="preserve">quality care and learning experiences. Quality assurance refers to the systematic processes put in place to monitor, assess and maintain standards within early years settings often involving regular evaluations, inspections and adherence to regulatory frameworks. This ensures that the foundational structures, such as staff qualifications, safety measures and child-to-staff ratios are consistently met. In contrast, quality enhancement focuses on continuous improvement and fostering a </w:t>
      </w:r>
      <w:r w:rsidR="008D0298" w:rsidRPr="008D0298">
        <w:rPr>
          <w:rFonts w:ascii="Arial" w:hAnsi="Arial" w:cs="Arial"/>
        </w:rPr>
        <w:lastRenderedPageBreak/>
        <w:t>culture of development</w:t>
      </w:r>
      <w:r w:rsidR="006523D9">
        <w:rPr>
          <w:rFonts w:ascii="Arial" w:hAnsi="Arial" w:cs="Arial"/>
        </w:rPr>
        <w:t xml:space="preserve"> </w:t>
      </w:r>
      <w:r w:rsidR="008D0298" w:rsidRPr="008D0298">
        <w:rPr>
          <w:rFonts w:ascii="Arial" w:hAnsi="Arial" w:cs="Arial"/>
        </w:rPr>
        <w:t>where educators are encouraged to reflect on their practice, engage in professional development</w:t>
      </w:r>
      <w:r w:rsidR="006523D9">
        <w:rPr>
          <w:rFonts w:ascii="Arial" w:hAnsi="Arial" w:cs="Arial"/>
        </w:rPr>
        <w:t xml:space="preserve"> </w:t>
      </w:r>
      <w:r w:rsidR="008D0298" w:rsidRPr="008D0298">
        <w:rPr>
          <w:rFonts w:ascii="Arial" w:hAnsi="Arial" w:cs="Arial"/>
        </w:rPr>
        <w:t>and implement innovative teaching strategies. By linking these concepts to early years, quality assurance guarantees that settings meet essential standards while quality enhancement drives ongoing growth and refinement in practice. Together, they create an environment that not only meets minimum requirements but also seeks to enrich and elevate children's learning experiences, ultimately leading to better developmental outcomes.</w:t>
      </w:r>
    </w:p>
    <w:p w14:paraId="7E333F6F" w14:textId="2D92967D" w:rsidR="00A0281B" w:rsidRDefault="00A0281B" w:rsidP="00ED6649">
      <w:pPr>
        <w:spacing w:line="360" w:lineRule="auto"/>
        <w:rPr>
          <w:rFonts w:ascii="Arial" w:hAnsi="Arial" w:cs="Arial"/>
          <w:b/>
          <w:bCs/>
        </w:rPr>
      </w:pPr>
      <w:r>
        <w:rPr>
          <w:rFonts w:ascii="Arial" w:hAnsi="Arial" w:cs="Arial"/>
          <w:b/>
          <w:bCs/>
        </w:rPr>
        <w:t>PART B</w:t>
      </w:r>
    </w:p>
    <w:p w14:paraId="3768E253" w14:textId="1A0B3FB5" w:rsidR="003645D1" w:rsidRDefault="003645D1" w:rsidP="00ED6649">
      <w:pPr>
        <w:spacing w:line="360" w:lineRule="auto"/>
        <w:rPr>
          <w:rFonts w:ascii="Arial" w:hAnsi="Arial" w:cs="Arial"/>
        </w:rPr>
      </w:pPr>
      <w:r w:rsidRPr="003645D1">
        <w:rPr>
          <w:rFonts w:ascii="Arial" w:hAnsi="Arial" w:cs="Arial"/>
        </w:rPr>
        <w:t xml:space="preserve">The SSTEW (Self-Assessment Tool for Early Years Settings) scale is a framework designed to help early years settings assess and improve the quality of their practices, focusing on key areas such as staff qualifications, learning environments and </w:t>
      </w:r>
      <w:proofErr w:type="spellStart"/>
      <w:r w:rsidRPr="003645D1">
        <w:rPr>
          <w:rFonts w:ascii="Arial" w:hAnsi="Arial" w:cs="Arial"/>
        </w:rPr>
        <w:t>childrens</w:t>
      </w:r>
      <w:proofErr w:type="spellEnd"/>
      <w:r w:rsidRPr="003645D1">
        <w:rPr>
          <w:rFonts w:ascii="Arial" w:hAnsi="Arial" w:cs="Arial"/>
        </w:rPr>
        <w:t xml:space="preserve"> outcomes</w:t>
      </w:r>
      <w:r>
        <w:rPr>
          <w:rFonts w:ascii="Arial" w:hAnsi="Arial" w:cs="Arial"/>
        </w:rPr>
        <w:t xml:space="preserve"> (Equality Framework </w:t>
      </w:r>
      <w:proofErr w:type="gramStart"/>
      <w:r>
        <w:rPr>
          <w:rFonts w:ascii="Arial" w:hAnsi="Arial" w:cs="Arial"/>
        </w:rPr>
        <w:t>For</w:t>
      </w:r>
      <w:proofErr w:type="gramEnd"/>
      <w:r>
        <w:rPr>
          <w:rFonts w:ascii="Arial" w:hAnsi="Arial" w:cs="Arial"/>
        </w:rPr>
        <w:t xml:space="preserve"> Local Government Excellent, no date)</w:t>
      </w:r>
      <w:r w:rsidRPr="003645D1">
        <w:rPr>
          <w:rFonts w:ascii="Arial" w:hAnsi="Arial" w:cs="Arial"/>
        </w:rPr>
        <w:t>.</w:t>
      </w:r>
      <w:r>
        <w:rPr>
          <w:rFonts w:ascii="Arial" w:hAnsi="Arial" w:cs="Arial"/>
        </w:rPr>
        <w:t xml:space="preserve"> </w:t>
      </w:r>
      <w:r w:rsidRPr="003645D1">
        <w:rPr>
          <w:rFonts w:ascii="Arial" w:hAnsi="Arial" w:cs="Arial"/>
        </w:rPr>
        <w:t>The ECERS (Early Childhood Environment Rating Scale) is an assessment tool used to evaluate the quality of early childhood environments, focusing on areas such as space, materials, interactions and program structure to ensure optimal learning and development for young children</w:t>
      </w:r>
      <w:r w:rsidRPr="003645D1">
        <w:rPr>
          <w:rFonts w:ascii="Arial" w:hAnsi="Arial" w:cs="Arial"/>
        </w:rPr>
        <w:t xml:space="preserve"> </w:t>
      </w:r>
      <w:r>
        <w:rPr>
          <w:rFonts w:ascii="Arial" w:hAnsi="Arial" w:cs="Arial"/>
        </w:rPr>
        <w:t xml:space="preserve">(UNC, 2017). </w:t>
      </w:r>
    </w:p>
    <w:p w14:paraId="022EF155" w14:textId="4D0AED0D" w:rsidR="003645D1" w:rsidRPr="003645D1" w:rsidRDefault="00057128" w:rsidP="00ED6649">
      <w:pPr>
        <w:spacing w:line="360" w:lineRule="auto"/>
        <w:rPr>
          <w:rFonts w:ascii="Arial" w:hAnsi="Arial" w:cs="Arial"/>
        </w:rPr>
      </w:pPr>
      <w:r>
        <w:rPr>
          <w:rFonts w:ascii="Arial" w:hAnsi="Arial" w:cs="Arial"/>
        </w:rPr>
        <w:t xml:space="preserve">    </w:t>
      </w:r>
      <w:r w:rsidR="003645D1" w:rsidRPr="003645D1">
        <w:rPr>
          <w:rFonts w:ascii="Arial" w:hAnsi="Arial" w:cs="Arial"/>
        </w:rPr>
        <w:t>The SSTEW scale and the ECERS are both widely used tools in early childhood education to evaluate and enhance the quality of care and learning environments. However, while both tools serve the broader purpose of assessing quality</w:t>
      </w:r>
      <w:r>
        <w:rPr>
          <w:rFonts w:ascii="Arial" w:hAnsi="Arial" w:cs="Arial"/>
        </w:rPr>
        <w:t>,</w:t>
      </w:r>
      <w:r w:rsidR="003645D1" w:rsidRPr="003645D1">
        <w:rPr>
          <w:rFonts w:ascii="Arial" w:hAnsi="Arial" w:cs="Arial"/>
        </w:rPr>
        <w:t xml:space="preserve"> they differ in their focus, methodology and application. This comparison will examine both tools in terms of their approach to quality and their relevance to early years settings, highlighting how each contributes to improving educational practices.</w:t>
      </w:r>
    </w:p>
    <w:p w14:paraId="5DECF7F5" w14:textId="69AF2E33" w:rsidR="003645D1" w:rsidRPr="003645D1" w:rsidRDefault="00900248" w:rsidP="00ED6649">
      <w:pPr>
        <w:spacing w:line="360" w:lineRule="auto"/>
        <w:rPr>
          <w:rFonts w:ascii="Arial" w:hAnsi="Arial" w:cs="Arial"/>
        </w:rPr>
      </w:pPr>
      <w:r>
        <w:rPr>
          <w:rFonts w:ascii="Arial" w:hAnsi="Arial" w:cs="Arial"/>
        </w:rPr>
        <w:t xml:space="preserve">    </w:t>
      </w:r>
      <w:r w:rsidR="003645D1" w:rsidRPr="003645D1">
        <w:rPr>
          <w:rFonts w:ascii="Arial" w:hAnsi="Arial" w:cs="Arial"/>
        </w:rPr>
        <w:t>The SSTEW scale is a self-assessment tool designed to enable early years settings to critically evaluate their practices and processes. It encourages practitioners to reflect on various aspects of their provision, including staff qualifications, curriculum delivery and engagement with families. The tool is primarily used for internal evaluation, allowing settings to identify strengths and areas for improvement in a reflective manner. By promoting self-reflection, the SSTEW scale fosters a culture of continuous improvement which is essential for maintaining high standards in early years education</w:t>
      </w:r>
      <w:r w:rsidR="00057128">
        <w:rPr>
          <w:rFonts w:ascii="Arial" w:hAnsi="Arial" w:cs="Arial"/>
        </w:rPr>
        <w:t xml:space="preserve"> </w:t>
      </w:r>
      <w:r w:rsidR="00057128" w:rsidRPr="00057128">
        <w:rPr>
          <w:rFonts w:ascii="Arial" w:hAnsi="Arial" w:cs="Arial"/>
        </w:rPr>
        <w:t>(Iram Siraj, Kingston and Melhuish, 2015)</w:t>
      </w:r>
      <w:r w:rsidR="003645D1" w:rsidRPr="003645D1">
        <w:rPr>
          <w:rFonts w:ascii="Arial" w:hAnsi="Arial" w:cs="Arial"/>
        </w:rPr>
        <w:t xml:space="preserve">. The focus is on enabling settings to identify their unique needs and tailor </w:t>
      </w:r>
      <w:r w:rsidR="00057128" w:rsidRPr="003645D1">
        <w:rPr>
          <w:rFonts w:ascii="Arial" w:hAnsi="Arial" w:cs="Arial"/>
        </w:rPr>
        <w:t>improvements</w:t>
      </w:r>
      <w:r w:rsidR="00057128">
        <w:rPr>
          <w:rFonts w:ascii="Arial" w:hAnsi="Arial" w:cs="Arial"/>
        </w:rPr>
        <w:t xml:space="preserve"> </w:t>
      </w:r>
      <w:r w:rsidR="003645D1" w:rsidRPr="003645D1">
        <w:rPr>
          <w:rFonts w:ascii="Arial" w:hAnsi="Arial" w:cs="Arial"/>
        </w:rPr>
        <w:lastRenderedPageBreak/>
        <w:t>accordingly making it a flexible and adaptable tool that supports professional development and the pursuit of excellence.</w:t>
      </w:r>
    </w:p>
    <w:p w14:paraId="66F1670B" w14:textId="1492A58D" w:rsidR="003645D1" w:rsidRPr="003645D1" w:rsidRDefault="00900248" w:rsidP="00ED6649">
      <w:pPr>
        <w:spacing w:line="360" w:lineRule="auto"/>
        <w:rPr>
          <w:rFonts w:ascii="Arial" w:hAnsi="Arial" w:cs="Arial"/>
        </w:rPr>
      </w:pPr>
      <w:r>
        <w:rPr>
          <w:rFonts w:ascii="Arial" w:hAnsi="Arial" w:cs="Arial"/>
        </w:rPr>
        <w:t xml:space="preserve">    </w:t>
      </w:r>
      <w:r w:rsidR="003645D1" w:rsidRPr="003645D1">
        <w:rPr>
          <w:rFonts w:ascii="Arial" w:hAnsi="Arial" w:cs="Arial"/>
        </w:rPr>
        <w:t>In contrast,</w:t>
      </w:r>
      <w:r w:rsidR="00057128">
        <w:rPr>
          <w:rFonts w:ascii="Arial" w:hAnsi="Arial" w:cs="Arial"/>
        </w:rPr>
        <w:t xml:space="preserve"> </w:t>
      </w:r>
      <w:r w:rsidR="00057128" w:rsidRPr="00057128">
        <w:rPr>
          <w:rFonts w:ascii="Arial" w:hAnsi="Arial" w:cs="Arial"/>
        </w:rPr>
        <w:t xml:space="preserve">Harms, Clifford and Cryer, </w:t>
      </w:r>
      <w:r w:rsidR="00057128">
        <w:rPr>
          <w:rFonts w:ascii="Arial" w:hAnsi="Arial" w:cs="Arial"/>
        </w:rPr>
        <w:t>(</w:t>
      </w:r>
      <w:r w:rsidR="00057128" w:rsidRPr="00057128">
        <w:rPr>
          <w:rFonts w:ascii="Arial" w:hAnsi="Arial" w:cs="Arial"/>
        </w:rPr>
        <w:t>2015)</w:t>
      </w:r>
      <w:r w:rsidR="003645D1" w:rsidRPr="003645D1">
        <w:rPr>
          <w:rFonts w:ascii="Arial" w:hAnsi="Arial" w:cs="Arial"/>
        </w:rPr>
        <w:t xml:space="preserve"> </w:t>
      </w:r>
      <w:r w:rsidR="00057128">
        <w:rPr>
          <w:rFonts w:ascii="Arial" w:hAnsi="Arial" w:cs="Arial"/>
        </w:rPr>
        <w:t xml:space="preserve">suggests that </w:t>
      </w:r>
      <w:r w:rsidR="003645D1" w:rsidRPr="003645D1">
        <w:rPr>
          <w:rFonts w:ascii="Arial" w:hAnsi="Arial" w:cs="Arial"/>
        </w:rPr>
        <w:t>the ECERS is an externally applie</w:t>
      </w:r>
      <w:r w:rsidR="00057128">
        <w:rPr>
          <w:rFonts w:ascii="Arial" w:hAnsi="Arial" w:cs="Arial"/>
        </w:rPr>
        <w:t>d</w:t>
      </w:r>
      <w:r w:rsidR="003645D1" w:rsidRPr="003645D1">
        <w:rPr>
          <w:rFonts w:ascii="Arial" w:hAnsi="Arial" w:cs="Arial"/>
        </w:rPr>
        <w:t xml:space="preserve"> observational assessment tool that provides a structured evaluation of the physical and educational environment in early childhood settings. It assesses a range of factors such as the quality of interactions between caregivers and children, the availability of age-appropriate materials, the overall learning environment</w:t>
      </w:r>
      <w:r w:rsidR="00057128">
        <w:rPr>
          <w:rFonts w:ascii="Arial" w:hAnsi="Arial" w:cs="Arial"/>
        </w:rPr>
        <w:t xml:space="preserve"> </w:t>
      </w:r>
      <w:r w:rsidR="003645D1" w:rsidRPr="003645D1">
        <w:rPr>
          <w:rFonts w:ascii="Arial" w:hAnsi="Arial" w:cs="Arial"/>
        </w:rPr>
        <w:t>and health and safety standards. The ECERS scale is more focused on ensuring that settings meet specific, predefined standards of care and learning</w:t>
      </w:r>
      <w:r w:rsidR="00057128">
        <w:rPr>
          <w:rFonts w:ascii="Arial" w:hAnsi="Arial" w:cs="Arial"/>
        </w:rPr>
        <w:t xml:space="preserve"> </w:t>
      </w:r>
      <w:r w:rsidR="003645D1" w:rsidRPr="003645D1">
        <w:rPr>
          <w:rFonts w:ascii="Arial" w:hAnsi="Arial" w:cs="Arial"/>
        </w:rPr>
        <w:t>with a stronger emphasis on observable practices and the physical environment. As a tool with clear, objective criteria, ECERS is often used for regulatory purposes or by external evaluators providing a benchmark against which settings can be compared and improvements can be tracked over time.</w:t>
      </w:r>
    </w:p>
    <w:p w14:paraId="560AF732" w14:textId="46BF45F6" w:rsidR="003645D1" w:rsidRPr="003645D1" w:rsidRDefault="00900248" w:rsidP="00ED6649">
      <w:pPr>
        <w:spacing w:line="360" w:lineRule="auto"/>
        <w:rPr>
          <w:rFonts w:ascii="Arial" w:hAnsi="Arial" w:cs="Arial"/>
        </w:rPr>
      </w:pPr>
      <w:r>
        <w:rPr>
          <w:rFonts w:ascii="Arial" w:hAnsi="Arial" w:cs="Arial"/>
        </w:rPr>
        <w:t xml:space="preserve">    </w:t>
      </w:r>
      <w:r w:rsidR="003645D1" w:rsidRPr="003645D1">
        <w:rPr>
          <w:rFonts w:ascii="Arial" w:hAnsi="Arial" w:cs="Arial"/>
        </w:rPr>
        <w:t xml:space="preserve">In terms of quality, both the SSTEW and ECERS focus on ensuring that the learning environment is conducive to the developmental needs of children. The concept of quality in early years education encompasses not only the physical environment but also the interactions and processes that support </w:t>
      </w:r>
      <w:r w:rsidRPr="003645D1">
        <w:rPr>
          <w:rFonts w:ascii="Arial" w:hAnsi="Arial" w:cs="Arial"/>
        </w:rPr>
        <w:t>children’s</w:t>
      </w:r>
      <w:r w:rsidR="003645D1" w:rsidRPr="003645D1">
        <w:rPr>
          <w:rFonts w:ascii="Arial" w:hAnsi="Arial" w:cs="Arial"/>
        </w:rPr>
        <w:t xml:space="preserve"> emotional, cognitive</w:t>
      </w:r>
      <w:r>
        <w:rPr>
          <w:rFonts w:ascii="Arial" w:hAnsi="Arial" w:cs="Arial"/>
        </w:rPr>
        <w:t xml:space="preserve"> </w:t>
      </w:r>
      <w:r w:rsidR="003645D1" w:rsidRPr="003645D1">
        <w:rPr>
          <w:rFonts w:ascii="Arial" w:hAnsi="Arial" w:cs="Arial"/>
        </w:rPr>
        <w:t>and social growth. The SSTEW scale is particularly focused on fostering reflective practice and continuous professional development, which aligns with the dynamic nature of quality in early years education</w:t>
      </w:r>
      <w:r>
        <w:rPr>
          <w:rFonts w:ascii="Arial" w:hAnsi="Arial" w:cs="Arial"/>
        </w:rPr>
        <w:t xml:space="preserve"> (Vic.GOV.AU, 2025)</w:t>
      </w:r>
      <w:r w:rsidR="003645D1" w:rsidRPr="003645D1">
        <w:rPr>
          <w:rFonts w:ascii="Arial" w:hAnsi="Arial" w:cs="Arial"/>
        </w:rPr>
        <w:t>. By encouraging practitioners to engage in self-assessment, the SSTEW scale supports a more holistic view of quality, where ongoing improvement and responsiveness to children's needs are prioritised.</w:t>
      </w:r>
    </w:p>
    <w:p w14:paraId="7DBA3012" w14:textId="70EC4ED5" w:rsidR="003645D1" w:rsidRPr="003645D1" w:rsidRDefault="00900248" w:rsidP="00ED6649">
      <w:pPr>
        <w:spacing w:line="360" w:lineRule="auto"/>
        <w:rPr>
          <w:rFonts w:ascii="Arial" w:hAnsi="Arial" w:cs="Arial"/>
        </w:rPr>
      </w:pPr>
      <w:r>
        <w:rPr>
          <w:rFonts w:ascii="Arial" w:hAnsi="Arial" w:cs="Arial"/>
        </w:rPr>
        <w:t xml:space="preserve">    </w:t>
      </w:r>
      <w:r w:rsidR="003645D1" w:rsidRPr="003645D1">
        <w:rPr>
          <w:rFonts w:ascii="Arial" w:hAnsi="Arial" w:cs="Arial"/>
        </w:rPr>
        <w:t xml:space="preserve">On the other hand, the ECERS scale provides a more structured and externally validated approach to quality. It emphasises the importance of a well-organised, safe and stimulating environment with clear guidelines on how to support optimal learning experiences. The tools focus on observable interactions and the physical environment means that it provides a detailed snapshot of the </w:t>
      </w:r>
      <w:proofErr w:type="gramStart"/>
      <w:r w:rsidR="003645D1" w:rsidRPr="003645D1">
        <w:rPr>
          <w:rFonts w:ascii="Arial" w:hAnsi="Arial" w:cs="Arial"/>
        </w:rPr>
        <w:t>settings</w:t>
      </w:r>
      <w:proofErr w:type="gramEnd"/>
      <w:r w:rsidR="003645D1" w:rsidRPr="003645D1">
        <w:rPr>
          <w:rFonts w:ascii="Arial" w:hAnsi="Arial" w:cs="Arial"/>
        </w:rPr>
        <w:t xml:space="preserve"> immediate quality, offering concrete evidence that can inform future practice</w:t>
      </w:r>
      <w:r w:rsidR="00ED6649">
        <w:rPr>
          <w:rFonts w:ascii="Arial" w:hAnsi="Arial" w:cs="Arial"/>
        </w:rPr>
        <w:t xml:space="preserve"> </w:t>
      </w:r>
      <w:r w:rsidR="00ED6649" w:rsidRPr="00ED6649">
        <w:rPr>
          <w:rFonts w:ascii="Arial" w:hAnsi="Arial" w:cs="Arial"/>
        </w:rPr>
        <w:t xml:space="preserve">(Gordon </w:t>
      </w:r>
      <w:r w:rsidR="00ED6649" w:rsidRPr="00ED6649">
        <w:rPr>
          <w:rFonts w:ascii="Arial" w:hAnsi="Arial" w:cs="Arial"/>
          <w:i/>
          <w:iCs/>
        </w:rPr>
        <w:t>et al</w:t>
      </w:r>
      <w:r w:rsidR="00ED6649" w:rsidRPr="00ED6649">
        <w:rPr>
          <w:rFonts w:ascii="Arial" w:hAnsi="Arial" w:cs="Arial"/>
        </w:rPr>
        <w:t>., 2015)</w:t>
      </w:r>
      <w:r w:rsidR="003645D1" w:rsidRPr="003645D1">
        <w:rPr>
          <w:rFonts w:ascii="Arial" w:hAnsi="Arial" w:cs="Arial"/>
        </w:rPr>
        <w:t xml:space="preserve">. While both tools ultimately aim to enhance children’s development, the ECERS scale is more prescriptive in its approach, ensuring that minimum standards </w:t>
      </w:r>
      <w:r w:rsidR="003645D1" w:rsidRPr="003645D1">
        <w:rPr>
          <w:rFonts w:ascii="Arial" w:hAnsi="Arial" w:cs="Arial"/>
        </w:rPr>
        <w:lastRenderedPageBreak/>
        <w:t>are met, while the SSTEW scale allows for greater flexibility and professional input in identifying areas for growth.</w:t>
      </w:r>
    </w:p>
    <w:p w14:paraId="6AD32CDB" w14:textId="1852C2D8" w:rsidR="003645D1" w:rsidRPr="003645D1" w:rsidRDefault="00ED6649" w:rsidP="00ED6649">
      <w:pPr>
        <w:spacing w:line="360" w:lineRule="auto"/>
        <w:rPr>
          <w:rFonts w:ascii="Arial" w:hAnsi="Arial" w:cs="Arial"/>
        </w:rPr>
      </w:pPr>
      <w:r>
        <w:rPr>
          <w:rFonts w:ascii="Arial" w:hAnsi="Arial" w:cs="Arial"/>
        </w:rPr>
        <w:t xml:space="preserve">    </w:t>
      </w:r>
      <w:r w:rsidR="003645D1" w:rsidRPr="003645D1">
        <w:rPr>
          <w:rFonts w:ascii="Arial" w:hAnsi="Arial" w:cs="Arial"/>
        </w:rPr>
        <w:t xml:space="preserve">Both tools are valuable in the context of early years education, with distinct yet complementary roles in ensuring high-quality provision. The ECERS scale’s structured approach provides a useful external measure of quality, which can be particularly beneficial for ensuring that early </w:t>
      </w:r>
      <w:proofErr w:type="gramStart"/>
      <w:r w:rsidR="003645D1" w:rsidRPr="003645D1">
        <w:rPr>
          <w:rFonts w:ascii="Arial" w:hAnsi="Arial" w:cs="Arial"/>
        </w:rPr>
        <w:t>years</w:t>
      </w:r>
      <w:proofErr w:type="gramEnd"/>
      <w:r w:rsidR="003645D1" w:rsidRPr="003645D1">
        <w:rPr>
          <w:rFonts w:ascii="Arial" w:hAnsi="Arial" w:cs="Arial"/>
        </w:rPr>
        <w:t xml:space="preserve"> settings meet regulatory standards. Meanwhile, the SSTEW scale’s emphasis on self-assessment and reflection encourages settings to take ownership of their improvement journey, supporting long-term professional growth and the adaptation of practices to better meet the needs of children. Together, they provide a comprehensive framework for improving quality in early childhood education, one that balances external standards with internal development.</w:t>
      </w:r>
    </w:p>
    <w:p w14:paraId="426CB363" w14:textId="2F45D040" w:rsidR="003645D1" w:rsidRPr="003645D1" w:rsidRDefault="00ED6649" w:rsidP="00ED6649">
      <w:pPr>
        <w:spacing w:line="360" w:lineRule="auto"/>
        <w:rPr>
          <w:rFonts w:ascii="Arial" w:hAnsi="Arial" w:cs="Arial"/>
        </w:rPr>
      </w:pPr>
      <w:r>
        <w:rPr>
          <w:rFonts w:ascii="Arial" w:hAnsi="Arial" w:cs="Arial"/>
        </w:rPr>
        <w:t xml:space="preserve">    </w:t>
      </w:r>
      <w:r w:rsidR="003645D1" w:rsidRPr="003645D1">
        <w:rPr>
          <w:rFonts w:ascii="Arial" w:hAnsi="Arial" w:cs="Arial"/>
        </w:rPr>
        <w:t xml:space="preserve">In conclusion, the SSTEW and ECERS assessment tools each contribute uniquely to the concept of quality in early years education. The SSTEW scale is more focused on fostering reflective practice and continuous improvement, while the ECERS scale provides a structured, externally validated approach to assessing and ensuring minimum standards of care. Both tools are integral in creating environments that nurture children’s development and learning, helping to ensure that early </w:t>
      </w:r>
      <w:proofErr w:type="gramStart"/>
      <w:r w:rsidR="003645D1" w:rsidRPr="003645D1">
        <w:rPr>
          <w:rFonts w:ascii="Arial" w:hAnsi="Arial" w:cs="Arial"/>
        </w:rPr>
        <w:t>years</w:t>
      </w:r>
      <w:proofErr w:type="gramEnd"/>
      <w:r w:rsidR="003645D1" w:rsidRPr="003645D1">
        <w:rPr>
          <w:rFonts w:ascii="Arial" w:hAnsi="Arial" w:cs="Arial"/>
        </w:rPr>
        <w:t xml:space="preserve"> settings provide the best possible start for young children.</w:t>
      </w:r>
    </w:p>
    <w:p w14:paraId="2F89AEE1" w14:textId="77777777" w:rsidR="003645D1" w:rsidRDefault="003645D1" w:rsidP="00430018">
      <w:pPr>
        <w:rPr>
          <w:rFonts w:ascii="Arial" w:hAnsi="Arial" w:cs="Arial"/>
        </w:rPr>
      </w:pPr>
    </w:p>
    <w:p w14:paraId="5ABB3DB9" w14:textId="77777777" w:rsidR="00430018" w:rsidRDefault="00430018" w:rsidP="00430018">
      <w:pPr>
        <w:rPr>
          <w:rFonts w:ascii="Arial" w:hAnsi="Arial" w:cs="Arial"/>
        </w:rPr>
      </w:pPr>
    </w:p>
    <w:p w14:paraId="7B9B5F2A" w14:textId="77777777" w:rsidR="00430018" w:rsidRDefault="00430018" w:rsidP="00430018">
      <w:pPr>
        <w:rPr>
          <w:rFonts w:ascii="Arial" w:hAnsi="Arial" w:cs="Arial"/>
        </w:rPr>
      </w:pPr>
    </w:p>
    <w:p w14:paraId="712F98F0" w14:textId="77777777" w:rsidR="00430018" w:rsidRDefault="00430018" w:rsidP="00430018">
      <w:pPr>
        <w:rPr>
          <w:rFonts w:ascii="Arial" w:hAnsi="Arial" w:cs="Arial"/>
        </w:rPr>
      </w:pPr>
    </w:p>
    <w:p w14:paraId="2ABE3A26" w14:textId="77777777" w:rsidR="00430018" w:rsidRDefault="00430018" w:rsidP="00430018">
      <w:pPr>
        <w:rPr>
          <w:rFonts w:ascii="Arial" w:hAnsi="Arial" w:cs="Arial"/>
        </w:rPr>
      </w:pPr>
    </w:p>
    <w:p w14:paraId="73A3E34C" w14:textId="77777777" w:rsidR="00430018" w:rsidRDefault="00430018" w:rsidP="00430018">
      <w:pPr>
        <w:rPr>
          <w:rFonts w:ascii="Arial" w:hAnsi="Arial" w:cs="Arial"/>
        </w:rPr>
      </w:pPr>
    </w:p>
    <w:p w14:paraId="37A81EA0" w14:textId="77777777" w:rsidR="00430018" w:rsidRDefault="00430018" w:rsidP="00430018">
      <w:pPr>
        <w:rPr>
          <w:rFonts w:ascii="Arial" w:hAnsi="Arial" w:cs="Arial"/>
        </w:rPr>
      </w:pPr>
    </w:p>
    <w:p w14:paraId="20BC9968" w14:textId="77777777" w:rsidR="00430018" w:rsidRDefault="00430018" w:rsidP="00430018">
      <w:pPr>
        <w:rPr>
          <w:rFonts w:ascii="Arial" w:hAnsi="Arial" w:cs="Arial"/>
        </w:rPr>
      </w:pPr>
    </w:p>
    <w:p w14:paraId="41D17DE7" w14:textId="77777777" w:rsidR="00430018" w:rsidRDefault="00430018" w:rsidP="00430018">
      <w:pPr>
        <w:rPr>
          <w:rFonts w:ascii="Arial" w:hAnsi="Arial" w:cs="Arial"/>
        </w:rPr>
      </w:pPr>
    </w:p>
    <w:p w14:paraId="22743187" w14:textId="77777777" w:rsidR="00430018" w:rsidRDefault="00430018" w:rsidP="00430018">
      <w:pPr>
        <w:rPr>
          <w:rFonts w:ascii="Arial" w:hAnsi="Arial" w:cs="Arial"/>
        </w:rPr>
      </w:pPr>
    </w:p>
    <w:p w14:paraId="40CF4C96" w14:textId="77777777" w:rsidR="00430018" w:rsidRDefault="00430018" w:rsidP="00430018">
      <w:pPr>
        <w:rPr>
          <w:rFonts w:ascii="Arial" w:hAnsi="Arial" w:cs="Arial"/>
        </w:rPr>
      </w:pPr>
    </w:p>
    <w:p w14:paraId="66D31B57" w14:textId="77777777" w:rsidR="00900248" w:rsidRDefault="00900248" w:rsidP="00ED6649">
      <w:pPr>
        <w:rPr>
          <w:rFonts w:ascii="Arial" w:hAnsi="Arial" w:cs="Arial"/>
          <w:u w:val="single"/>
        </w:rPr>
      </w:pPr>
    </w:p>
    <w:p w14:paraId="34C637C3" w14:textId="35750F27" w:rsidR="00430018" w:rsidRDefault="00430018" w:rsidP="001B2419">
      <w:pPr>
        <w:jc w:val="center"/>
        <w:rPr>
          <w:rFonts w:ascii="Arial" w:hAnsi="Arial" w:cs="Arial"/>
          <w:u w:val="single"/>
        </w:rPr>
      </w:pPr>
      <w:r w:rsidRPr="00430018">
        <w:rPr>
          <w:rFonts w:ascii="Arial" w:hAnsi="Arial" w:cs="Arial"/>
          <w:u w:val="single"/>
        </w:rPr>
        <w:lastRenderedPageBreak/>
        <w:t>Reference List</w:t>
      </w:r>
    </w:p>
    <w:p w14:paraId="26C03FCF" w14:textId="7CB83AA9" w:rsidR="00430018" w:rsidRDefault="0055716B" w:rsidP="00ED6649">
      <w:pPr>
        <w:spacing w:line="360" w:lineRule="auto"/>
        <w:rPr>
          <w:rFonts w:ascii="Arial" w:hAnsi="Arial" w:cs="Arial"/>
        </w:rPr>
      </w:pPr>
      <w:r>
        <w:rPr>
          <w:rFonts w:ascii="Arial" w:hAnsi="Arial" w:cs="Arial"/>
        </w:rPr>
        <w:t xml:space="preserve">Care Inspectorate Wales (2025) </w:t>
      </w:r>
      <w:r>
        <w:rPr>
          <w:rFonts w:ascii="Arial" w:hAnsi="Arial" w:cs="Arial"/>
          <w:i/>
          <w:iCs/>
        </w:rPr>
        <w:t xml:space="preserve">Our Reports. </w:t>
      </w:r>
      <w:r>
        <w:rPr>
          <w:rFonts w:ascii="Arial" w:hAnsi="Arial" w:cs="Arial"/>
        </w:rPr>
        <w:t xml:space="preserve">Available at: </w:t>
      </w:r>
      <w:hyperlink r:id="rId7" w:history="1">
        <w:r w:rsidR="00ED6649" w:rsidRPr="000630A9">
          <w:rPr>
            <w:rStyle w:val="Hyperlink"/>
            <w:rFonts w:ascii="Arial" w:hAnsi="Arial" w:cs="Arial"/>
          </w:rPr>
          <w:t>https://www.tandfonline.com/doi/abs/10.1080/10409289.2015.1036348?casa_token=wZTEpqLv3PkAAAAA:o5cdl5V08EbezI-wUs3Db3OOvNMkoFK01EJYuvpnI0NXiAnjNQH5meAbLg-H4JPNWyMhPpG2-H_1</w:t>
        </w:r>
        <w:r w:rsidR="00ED6649" w:rsidRPr="000630A9">
          <w:rPr>
            <w:rStyle w:val="Hyperlink"/>
            <w:rFonts w:ascii="Arial" w:hAnsi="Arial" w:cs="Arial"/>
          </w:rPr>
          <w:t xml:space="preserve"> Care Inspectorate Wales</w:t>
        </w:r>
      </w:hyperlink>
      <w:r>
        <w:rPr>
          <w:rFonts w:ascii="Arial" w:hAnsi="Arial" w:cs="Arial"/>
        </w:rPr>
        <w:t xml:space="preserve"> (Accessed: 31 March 2025). </w:t>
      </w:r>
    </w:p>
    <w:p w14:paraId="2BB627BF" w14:textId="38FC6D72" w:rsidR="00374736" w:rsidRDefault="00374736" w:rsidP="00ED6649">
      <w:pPr>
        <w:spacing w:line="360" w:lineRule="auto"/>
        <w:rPr>
          <w:rFonts w:ascii="Arial" w:hAnsi="Arial" w:cs="Arial"/>
        </w:rPr>
      </w:pPr>
      <w:r w:rsidRPr="00374736">
        <w:rPr>
          <w:rFonts w:ascii="Arial" w:hAnsi="Arial" w:cs="Arial"/>
        </w:rPr>
        <w:t xml:space="preserve">Carroll, C. and Booth, A. (2014). Quality assessment of qualitative evidence for systematic review and synthesis: Is it meaningful, and if so, how should it be performed? </w:t>
      </w:r>
      <w:r w:rsidRPr="00374736">
        <w:rPr>
          <w:rFonts w:ascii="Arial" w:hAnsi="Arial" w:cs="Arial"/>
          <w:i/>
          <w:iCs/>
        </w:rPr>
        <w:t>Research Synthesis Methods</w:t>
      </w:r>
      <w:r w:rsidRPr="00374736">
        <w:rPr>
          <w:rFonts w:ascii="Arial" w:hAnsi="Arial" w:cs="Arial"/>
        </w:rPr>
        <w:t xml:space="preserve">, 6(2), pp.149–154. </w:t>
      </w:r>
      <w:proofErr w:type="spellStart"/>
      <w:proofErr w:type="gramStart"/>
      <w:r w:rsidRPr="00374736">
        <w:rPr>
          <w:rFonts w:ascii="Arial" w:hAnsi="Arial" w:cs="Arial"/>
        </w:rPr>
        <w:t>doi:https</w:t>
      </w:r>
      <w:proofErr w:type="spellEnd"/>
      <w:r w:rsidRPr="00374736">
        <w:rPr>
          <w:rFonts w:ascii="Arial" w:hAnsi="Arial" w:cs="Arial"/>
        </w:rPr>
        <w:t>://doi.org/10.1002/jrsm.1128</w:t>
      </w:r>
      <w:proofErr w:type="gramEnd"/>
      <w:r w:rsidRPr="00374736">
        <w:rPr>
          <w:rFonts w:ascii="Arial" w:hAnsi="Arial" w:cs="Arial"/>
        </w:rPr>
        <w:t>.</w:t>
      </w:r>
      <w:r>
        <w:rPr>
          <w:rFonts w:ascii="Arial" w:hAnsi="Arial" w:cs="Arial"/>
        </w:rPr>
        <w:t xml:space="preserve"> Available at: </w:t>
      </w:r>
      <w:hyperlink r:id="rId8" w:history="1">
        <w:r w:rsidR="00ED6649" w:rsidRPr="000630A9">
          <w:rPr>
            <w:rStyle w:val="Hyperlink"/>
          </w:rPr>
          <w:t xml:space="preserve"> </w:t>
        </w:r>
        <w:r w:rsidR="00ED6649" w:rsidRPr="000630A9">
          <w:rPr>
            <w:rStyle w:val="Hyperlink"/>
            <w:rFonts w:ascii="Arial" w:hAnsi="Arial" w:cs="Arial"/>
          </w:rPr>
          <w:t>https://www.tandfonline.com/doi/abs/10.1080/10409289.2015.1036348?casa_token=wZTEpqLv3PkAAAAA:o5cdl5V08EbezI-wUs3Db3OOvNMkoFK01EJYuvpnI0NXiAnjNQH5meAbLg-H4JPNWyMhPpG2-H_1</w:t>
        </w:r>
        <w:r w:rsidR="00ED6649" w:rsidRPr="000630A9">
          <w:rPr>
            <w:rStyle w:val="Hyperlink"/>
            <w:rFonts w:ascii="Arial" w:hAnsi="Arial" w:cs="Arial"/>
          </w:rPr>
          <w:t>hods - Wiley Online Library</w:t>
        </w:r>
      </w:hyperlink>
      <w:r>
        <w:rPr>
          <w:rFonts w:ascii="Arial" w:hAnsi="Arial" w:cs="Arial"/>
        </w:rPr>
        <w:t xml:space="preserve"> (Accessed: 1 April 2025).</w:t>
      </w:r>
    </w:p>
    <w:p w14:paraId="4689259F" w14:textId="2FBADE71" w:rsidR="00CF7A26" w:rsidRDefault="00CF7A26" w:rsidP="00ED6649">
      <w:pPr>
        <w:spacing w:line="360" w:lineRule="auto"/>
        <w:rPr>
          <w:rFonts w:ascii="Arial" w:hAnsi="Arial" w:cs="Arial"/>
        </w:rPr>
      </w:pPr>
      <w:r w:rsidRPr="00CF7A26">
        <w:rPr>
          <w:rFonts w:ascii="Arial" w:hAnsi="Arial" w:cs="Arial"/>
        </w:rPr>
        <w:t>Eadie, P., Page, J., Levickis, P., Elek, C., Murray, L., Wang, L. and Lloyd-Johnsen, C. (202</w:t>
      </w:r>
      <w:r>
        <w:rPr>
          <w:rFonts w:ascii="Arial" w:hAnsi="Arial" w:cs="Arial"/>
        </w:rPr>
        <w:t>4</w:t>
      </w:r>
      <w:r w:rsidRPr="00CF7A26">
        <w:rPr>
          <w:rFonts w:ascii="Arial" w:hAnsi="Arial" w:cs="Arial"/>
        </w:rPr>
        <w:t xml:space="preserve">). Domains of quality in early childhood education and care: A scoping review of the extent and consistency of the literature. </w:t>
      </w:r>
      <w:r w:rsidRPr="00CF7A26">
        <w:rPr>
          <w:rFonts w:ascii="Arial" w:hAnsi="Arial" w:cs="Arial"/>
          <w:i/>
          <w:iCs/>
        </w:rPr>
        <w:t>Educational Review</w:t>
      </w:r>
      <w:r w:rsidRPr="00CF7A26">
        <w:rPr>
          <w:rFonts w:ascii="Arial" w:hAnsi="Arial" w:cs="Arial"/>
        </w:rPr>
        <w:t xml:space="preserve">, 76(4), pp.1–30. </w:t>
      </w:r>
      <w:proofErr w:type="spellStart"/>
      <w:proofErr w:type="gramStart"/>
      <w:r w:rsidRPr="00CF7A26">
        <w:rPr>
          <w:rFonts w:ascii="Arial" w:hAnsi="Arial" w:cs="Arial"/>
        </w:rPr>
        <w:t>doi:https</w:t>
      </w:r>
      <w:proofErr w:type="spellEnd"/>
      <w:r w:rsidRPr="00CF7A26">
        <w:rPr>
          <w:rFonts w:ascii="Arial" w:hAnsi="Arial" w:cs="Arial"/>
        </w:rPr>
        <w:t>://doi.org/10.1080/00131911.2022.2077704</w:t>
      </w:r>
      <w:proofErr w:type="gramEnd"/>
      <w:r w:rsidRPr="00CF7A26">
        <w:rPr>
          <w:rFonts w:ascii="Arial" w:hAnsi="Arial" w:cs="Arial"/>
        </w:rPr>
        <w:t>.</w:t>
      </w:r>
      <w:r>
        <w:rPr>
          <w:rFonts w:ascii="Arial" w:hAnsi="Arial" w:cs="Arial"/>
        </w:rPr>
        <w:t xml:space="preserve"> Available at: </w:t>
      </w:r>
      <w:hyperlink r:id="rId9" w:history="1">
        <w:r w:rsidRPr="00CF7A26">
          <w:rPr>
            <w:rStyle w:val="Hyperlink"/>
            <w:rFonts w:ascii="Arial" w:hAnsi="Arial" w:cs="Arial"/>
          </w:rPr>
          <w:t xml:space="preserve"> </w:t>
        </w:r>
        <w:r w:rsidR="00ED6649" w:rsidRPr="00ED6649">
          <w:rPr>
            <w:rStyle w:val="Hyperlink"/>
            <w:rFonts w:ascii="Arial" w:hAnsi="Arial" w:cs="Arial"/>
          </w:rPr>
          <w:t>https://www.tandfonline.com/doi/abs/10.1080/10409289.2015.1036348?casa_token=wZTEpqLv3PkAAAAA:o5cdl5V08EbezI-wUs3Db3OOvNMkoFK01EJYuvpnI0NXiAnjNQH5meAbLg-H4JPNWyMhPpG2-H_1</w:t>
        </w:r>
        <w:r w:rsidRPr="00CF7A26">
          <w:rPr>
            <w:rStyle w:val="Hyperlink"/>
            <w:rFonts w:ascii="Arial" w:hAnsi="Arial" w:cs="Arial"/>
          </w:rPr>
          <w:t>review of the extent and consistency of the literature</w:t>
        </w:r>
      </w:hyperlink>
      <w:r>
        <w:rPr>
          <w:rFonts w:ascii="Arial" w:hAnsi="Arial" w:cs="Arial"/>
        </w:rPr>
        <w:t xml:space="preserve"> (Accessed: 5 April 2025). </w:t>
      </w:r>
    </w:p>
    <w:p w14:paraId="224ECE14" w14:textId="6B113871" w:rsidR="006523D9" w:rsidRPr="0055716B" w:rsidRDefault="006523D9" w:rsidP="00ED6649">
      <w:pPr>
        <w:spacing w:line="360" w:lineRule="auto"/>
        <w:rPr>
          <w:rFonts w:ascii="Arial" w:hAnsi="Arial" w:cs="Arial"/>
        </w:rPr>
      </w:pPr>
      <w:r w:rsidRPr="006523D9">
        <w:rPr>
          <w:rFonts w:ascii="Arial" w:hAnsi="Arial" w:cs="Arial"/>
        </w:rPr>
        <w:t xml:space="preserve">Elassy, N. (2015). The concepts of quality, quality assurance and quality enhancement. </w:t>
      </w:r>
      <w:r w:rsidRPr="006523D9">
        <w:rPr>
          <w:rFonts w:ascii="Arial" w:hAnsi="Arial" w:cs="Arial"/>
          <w:i/>
          <w:iCs/>
        </w:rPr>
        <w:t>Quality Assurance in Education</w:t>
      </w:r>
      <w:r w:rsidRPr="006523D9">
        <w:rPr>
          <w:rFonts w:ascii="Arial" w:hAnsi="Arial" w:cs="Arial"/>
        </w:rPr>
        <w:t>, 23(3), pp.250–261.</w:t>
      </w:r>
      <w:r>
        <w:rPr>
          <w:rFonts w:ascii="Arial" w:hAnsi="Arial" w:cs="Arial"/>
        </w:rPr>
        <w:t xml:space="preserve"> Available at: </w:t>
      </w:r>
      <w:hyperlink r:id="rId10" w:history="1">
        <w:r w:rsidR="00ED6649" w:rsidRPr="000630A9">
          <w:rPr>
            <w:rStyle w:val="Hyperlink"/>
            <w:rFonts w:ascii="Arial" w:hAnsi="Arial" w:cs="Arial"/>
          </w:rPr>
          <w:t xml:space="preserve"> https://www.tandfonline.com/doi/abs/10.1080/10409289.2015.1036348?casa_token=wZTEpqLv3PkAAAAA:o5cdl5V08EbezI-wUs3Db3OOvNMkoFK01EJYuvpnI0NXiAnjNQH5meAbLg-H4JPNWyMhPpG2-H_1Emerald Insight</w:t>
        </w:r>
      </w:hyperlink>
      <w:r>
        <w:rPr>
          <w:rFonts w:ascii="Arial" w:hAnsi="Arial" w:cs="Arial"/>
        </w:rPr>
        <w:t xml:space="preserve"> (Accessed: 6 April 2025). </w:t>
      </w:r>
    </w:p>
    <w:p w14:paraId="02F206C8" w14:textId="2DDF71E5" w:rsidR="001B2419" w:rsidRDefault="001B2419" w:rsidP="00ED6649">
      <w:pPr>
        <w:spacing w:line="360" w:lineRule="auto"/>
        <w:rPr>
          <w:rFonts w:ascii="Arial" w:hAnsi="Arial" w:cs="Arial"/>
        </w:rPr>
      </w:pPr>
      <w:r>
        <w:rPr>
          <w:rFonts w:ascii="Arial" w:hAnsi="Arial" w:cs="Arial"/>
        </w:rPr>
        <w:t xml:space="preserve">ESTYN (no date) </w:t>
      </w:r>
      <w:r>
        <w:rPr>
          <w:rFonts w:ascii="Arial" w:hAnsi="Arial" w:cs="Arial"/>
          <w:i/>
          <w:iCs/>
        </w:rPr>
        <w:t xml:space="preserve">About ESTYN. </w:t>
      </w:r>
      <w:r>
        <w:rPr>
          <w:rFonts w:ascii="Arial" w:hAnsi="Arial" w:cs="Arial"/>
        </w:rPr>
        <w:t xml:space="preserve">Available at: </w:t>
      </w:r>
      <w:hyperlink r:id="rId11" w:history="1">
        <w:r w:rsidR="00ED6649" w:rsidRPr="000630A9">
          <w:rPr>
            <w:rStyle w:val="Hyperlink"/>
            <w:rFonts w:ascii="Arial" w:hAnsi="Arial" w:cs="Arial"/>
          </w:rPr>
          <w:t>https://www.tandfonline.com/doi/abs/10.1080/10409289.2015.1036348?casa_token=wZTEpqLv3PkAAAAA:o5cdl5V08EbezI-</w:t>
        </w:r>
        <w:r w:rsidR="00ED6649" w:rsidRPr="000630A9">
          <w:rPr>
            <w:rStyle w:val="Hyperlink"/>
            <w:rFonts w:ascii="Arial" w:hAnsi="Arial" w:cs="Arial"/>
          </w:rPr>
          <w:lastRenderedPageBreak/>
          <w:t>wUs3Db3OOvNMkoFK01EJYuvpnI0NXiAnjNQH5meAbLg-H4JPNWyMhPpG2-H_1</w:t>
        </w:r>
        <w:r w:rsidR="00ED6649" w:rsidRPr="000630A9">
          <w:rPr>
            <w:rStyle w:val="Hyperlink"/>
            <w:rFonts w:ascii="Arial" w:hAnsi="Arial" w:cs="Arial"/>
          </w:rPr>
          <w:t>yn</w:t>
        </w:r>
      </w:hyperlink>
      <w:r>
        <w:rPr>
          <w:rFonts w:ascii="Arial" w:hAnsi="Arial" w:cs="Arial"/>
        </w:rPr>
        <w:t xml:space="preserve"> (Accessed: 31 March 2025). </w:t>
      </w:r>
    </w:p>
    <w:p w14:paraId="0B7EACEF" w14:textId="5337401A" w:rsidR="003645D1" w:rsidRPr="003645D1" w:rsidRDefault="003645D1" w:rsidP="00ED6649">
      <w:pPr>
        <w:spacing w:line="360" w:lineRule="auto"/>
        <w:rPr>
          <w:rFonts w:ascii="Arial" w:hAnsi="Arial" w:cs="Arial"/>
        </w:rPr>
      </w:pPr>
      <w:r>
        <w:rPr>
          <w:rFonts w:ascii="Arial" w:hAnsi="Arial" w:cs="Arial"/>
        </w:rPr>
        <w:t xml:space="preserve">Equality Framework </w:t>
      </w:r>
      <w:proofErr w:type="gramStart"/>
      <w:r>
        <w:rPr>
          <w:rFonts w:ascii="Arial" w:hAnsi="Arial" w:cs="Arial"/>
        </w:rPr>
        <w:t>For</w:t>
      </w:r>
      <w:proofErr w:type="gramEnd"/>
      <w:r>
        <w:rPr>
          <w:rFonts w:ascii="Arial" w:hAnsi="Arial" w:cs="Arial"/>
        </w:rPr>
        <w:t xml:space="preserve"> Local Government Excellent</w:t>
      </w:r>
      <w:r>
        <w:rPr>
          <w:rFonts w:ascii="Arial" w:hAnsi="Arial" w:cs="Arial"/>
        </w:rPr>
        <w:t xml:space="preserve"> (</w:t>
      </w:r>
      <w:r>
        <w:rPr>
          <w:rFonts w:ascii="Arial" w:hAnsi="Arial" w:cs="Arial"/>
        </w:rPr>
        <w:t>no date</w:t>
      </w:r>
      <w:r>
        <w:rPr>
          <w:rFonts w:ascii="Arial" w:hAnsi="Arial" w:cs="Arial"/>
        </w:rPr>
        <w:t xml:space="preserve">) </w:t>
      </w:r>
      <w:r>
        <w:rPr>
          <w:rFonts w:ascii="Arial" w:hAnsi="Arial" w:cs="Arial"/>
          <w:i/>
          <w:iCs/>
        </w:rPr>
        <w:t xml:space="preserve">Sustained Shared Thinking and Emotional Well-Being Scales. </w:t>
      </w:r>
      <w:r>
        <w:rPr>
          <w:rFonts w:ascii="Arial" w:hAnsi="Arial" w:cs="Arial"/>
        </w:rPr>
        <w:t>Available at:</w:t>
      </w:r>
      <w:hyperlink r:id="rId12" w:history="1">
        <w:r w:rsidR="00ED6649" w:rsidRPr="000630A9">
          <w:rPr>
            <w:rStyle w:val="Hyperlink"/>
          </w:rPr>
          <w:t xml:space="preserve">  </w:t>
        </w:r>
        <w:r w:rsidR="00ED6649" w:rsidRPr="000630A9">
          <w:rPr>
            <w:rStyle w:val="Hyperlink"/>
            <w:rFonts w:ascii="Arial" w:hAnsi="Arial" w:cs="Arial"/>
          </w:rPr>
          <w:t>https://www.tandfonline.com/doi/abs/10.1080/10409289.2015.1036348?casa_token=wZTEpqLv3PkAAAAA:o5cdl5V08EbezI-wUs3Db3OOvNMkoFK01EJYuvpnI0NXiAnjNQH5meAbLg-H4JPNWyMhPpG2-H_1_Emotional_Well_being_scales_Presentation.pdftion</w:t>
        </w:r>
      </w:hyperlink>
      <w:r>
        <w:rPr>
          <w:rFonts w:ascii="Arial" w:hAnsi="Arial" w:cs="Arial"/>
        </w:rPr>
        <w:t xml:space="preserve"> (Accessed: 6 April 2025). </w:t>
      </w:r>
    </w:p>
    <w:p w14:paraId="3B3F3994" w14:textId="708E0F05" w:rsidR="00430018" w:rsidRDefault="00430018" w:rsidP="00ED6649">
      <w:pPr>
        <w:spacing w:line="360" w:lineRule="auto"/>
        <w:rPr>
          <w:rFonts w:ascii="Arial" w:hAnsi="Arial" w:cs="Arial"/>
        </w:rPr>
      </w:pPr>
      <w:proofErr w:type="spellStart"/>
      <w:r w:rsidRPr="00430018">
        <w:rPr>
          <w:rFonts w:ascii="Arial" w:hAnsi="Arial" w:cs="Arial"/>
        </w:rPr>
        <w:t>Garcarz</w:t>
      </w:r>
      <w:proofErr w:type="spellEnd"/>
      <w:r w:rsidRPr="00430018">
        <w:rPr>
          <w:rFonts w:ascii="Arial" w:hAnsi="Arial" w:cs="Arial"/>
        </w:rPr>
        <w:t xml:space="preserve">, W. and Wilcock, E. (2018). </w:t>
      </w:r>
      <w:r w:rsidRPr="00430018">
        <w:rPr>
          <w:rFonts w:ascii="Arial" w:hAnsi="Arial" w:cs="Arial"/>
          <w:i/>
          <w:iCs/>
        </w:rPr>
        <w:t>Statutory and Mandatory Training in Health and Social Care</w:t>
      </w:r>
      <w:r w:rsidRPr="00430018">
        <w:rPr>
          <w:rFonts w:ascii="Arial" w:hAnsi="Arial" w:cs="Arial"/>
        </w:rPr>
        <w:t xml:space="preserve">. </w:t>
      </w:r>
      <w:r w:rsidRPr="00430018">
        <w:rPr>
          <w:rFonts w:ascii="Arial" w:hAnsi="Arial" w:cs="Arial"/>
          <w:i/>
          <w:iCs/>
        </w:rPr>
        <w:t>Routledge eBooks</w:t>
      </w:r>
      <w:r w:rsidRPr="00430018">
        <w:rPr>
          <w:rFonts w:ascii="Arial" w:hAnsi="Arial" w:cs="Arial"/>
        </w:rPr>
        <w:t xml:space="preserve">. </w:t>
      </w:r>
      <w:r>
        <w:rPr>
          <w:rFonts w:ascii="Arial" w:hAnsi="Arial" w:cs="Arial"/>
        </w:rPr>
        <w:t>London</w:t>
      </w:r>
      <w:r w:rsidRPr="00430018">
        <w:rPr>
          <w:rFonts w:ascii="Arial" w:hAnsi="Arial" w:cs="Arial"/>
        </w:rPr>
        <w:t>.</w:t>
      </w:r>
      <w:r>
        <w:rPr>
          <w:rFonts w:ascii="Arial" w:hAnsi="Arial" w:cs="Arial"/>
        </w:rPr>
        <w:t xml:space="preserve"> </w:t>
      </w:r>
      <w:proofErr w:type="spellStart"/>
      <w:proofErr w:type="gramStart"/>
      <w:r w:rsidRPr="00430018">
        <w:rPr>
          <w:rFonts w:ascii="Arial" w:hAnsi="Arial" w:cs="Arial"/>
        </w:rPr>
        <w:t>doi:https</w:t>
      </w:r>
      <w:proofErr w:type="spellEnd"/>
      <w:r w:rsidRPr="00430018">
        <w:rPr>
          <w:rFonts w:ascii="Arial" w:hAnsi="Arial" w:cs="Arial"/>
        </w:rPr>
        <w:t>://doi.org/10.4324/9781315378626</w:t>
      </w:r>
      <w:proofErr w:type="gramEnd"/>
      <w:r w:rsidRPr="00430018">
        <w:rPr>
          <w:rFonts w:ascii="Arial" w:hAnsi="Arial" w:cs="Arial"/>
        </w:rPr>
        <w:t>.</w:t>
      </w:r>
      <w:r>
        <w:rPr>
          <w:rFonts w:ascii="Arial" w:hAnsi="Arial" w:cs="Arial"/>
        </w:rPr>
        <w:t xml:space="preserve"> Available at: </w:t>
      </w:r>
      <w:hyperlink r:id="rId13" w:history="1">
        <w:r w:rsidR="00ED6649" w:rsidRPr="000630A9">
          <w:rPr>
            <w:rStyle w:val="Hyperlink"/>
            <w:rFonts w:ascii="Arial" w:hAnsi="Arial" w:cs="Arial"/>
          </w:rPr>
          <w:t>https://www.tandfonline.com/doi/abs/10.1080/10409289.2015.1036348?casa_token=wZTEpqLv3PkAAAAA:o5cdl5V08EbezI-wUs3Db3OOvNMkoFK01EJYuvpnI0NXiAnjNQH5meAbLg-H4JPNWyMhPpG2-H_1</w:t>
        </w:r>
        <w:r w:rsidR="00ED6649" w:rsidRPr="000630A9">
          <w:rPr>
            <w:rStyle w:val="Hyperlink"/>
            <w:rFonts w:ascii="Arial" w:hAnsi="Arial" w:cs="Arial"/>
          </w:rPr>
          <w:t>utory and Mandatory Training in Health and Social Care | A Toolkit</w:t>
        </w:r>
      </w:hyperlink>
      <w:r>
        <w:rPr>
          <w:rFonts w:ascii="Arial" w:hAnsi="Arial" w:cs="Arial"/>
        </w:rPr>
        <w:t xml:space="preserve"> (Accessed: 31 March 2025). </w:t>
      </w:r>
    </w:p>
    <w:p w14:paraId="7273911E" w14:textId="118FF38E" w:rsidR="00ED6649" w:rsidRDefault="00ED6649" w:rsidP="00ED6649">
      <w:pPr>
        <w:spacing w:line="360" w:lineRule="auto"/>
        <w:rPr>
          <w:rFonts w:ascii="Arial" w:hAnsi="Arial" w:cs="Arial"/>
        </w:rPr>
      </w:pPr>
      <w:r w:rsidRPr="00ED6649">
        <w:rPr>
          <w:rFonts w:ascii="Arial" w:hAnsi="Arial" w:cs="Arial"/>
        </w:rPr>
        <w:t xml:space="preserve">Gordon, R.A., Hofer, K.G., Fujimoto, K.A., Risk, N., Kaestner, R. and </w:t>
      </w:r>
      <w:proofErr w:type="spellStart"/>
      <w:r w:rsidRPr="00ED6649">
        <w:rPr>
          <w:rFonts w:ascii="Arial" w:hAnsi="Arial" w:cs="Arial"/>
        </w:rPr>
        <w:t>Korenman</w:t>
      </w:r>
      <w:proofErr w:type="spellEnd"/>
      <w:r w:rsidRPr="00ED6649">
        <w:rPr>
          <w:rFonts w:ascii="Arial" w:hAnsi="Arial" w:cs="Arial"/>
        </w:rPr>
        <w:t xml:space="preserve">, S. (2015). Identifying High-Quality Preschool Programs: New Evidence on the Validity of the Early Childhood Environment Rating Scale–Revised (ECERS-R) in Relation to School Readiness Goals. </w:t>
      </w:r>
      <w:r w:rsidRPr="00ED6649">
        <w:rPr>
          <w:rFonts w:ascii="Arial" w:hAnsi="Arial" w:cs="Arial"/>
          <w:i/>
          <w:iCs/>
        </w:rPr>
        <w:t>Early Education and Development</w:t>
      </w:r>
      <w:r w:rsidRPr="00ED6649">
        <w:rPr>
          <w:rFonts w:ascii="Arial" w:hAnsi="Arial" w:cs="Arial"/>
        </w:rPr>
        <w:t xml:space="preserve">, 26(8), pp.1086–1110. </w:t>
      </w:r>
      <w:proofErr w:type="spellStart"/>
      <w:proofErr w:type="gramStart"/>
      <w:r w:rsidRPr="00ED6649">
        <w:rPr>
          <w:rFonts w:ascii="Arial" w:hAnsi="Arial" w:cs="Arial"/>
        </w:rPr>
        <w:t>doi:https</w:t>
      </w:r>
      <w:proofErr w:type="spellEnd"/>
      <w:r w:rsidRPr="00ED6649">
        <w:rPr>
          <w:rFonts w:ascii="Arial" w:hAnsi="Arial" w:cs="Arial"/>
        </w:rPr>
        <w:t>://doi.org/10.1080/10409289.2015.1036348</w:t>
      </w:r>
      <w:proofErr w:type="gramEnd"/>
      <w:r w:rsidRPr="00ED6649">
        <w:rPr>
          <w:rFonts w:ascii="Arial" w:hAnsi="Arial" w:cs="Arial"/>
        </w:rPr>
        <w:t>.</w:t>
      </w:r>
      <w:r>
        <w:rPr>
          <w:rFonts w:ascii="Arial" w:hAnsi="Arial" w:cs="Arial"/>
        </w:rPr>
        <w:t xml:space="preserve"> Available at: </w:t>
      </w:r>
      <w:hyperlink r:id="rId14" w:history="1">
        <w:r w:rsidRPr="000630A9">
          <w:rPr>
            <w:rStyle w:val="Hyperlink"/>
            <w:rFonts w:ascii="Arial" w:hAnsi="Arial" w:cs="Arial"/>
          </w:rPr>
          <w:t>https://www.tandfonline.com/doi/abs/10.1080/10409289.2015.1036348?casa_token=wZTEpqLv3PkAAAAA:o5cdl5V08EbezI-wUs3Db3OOvNMkoFK01EJYuvpnI0NXiAnjNQH5meAbLg-H4JPNWyMhPpG2-H_1Relation to School Readiness Goals: Early Education and Development: Vol 26, No 8</w:t>
        </w:r>
      </w:hyperlink>
      <w:r>
        <w:rPr>
          <w:rFonts w:ascii="Arial" w:hAnsi="Arial" w:cs="Arial"/>
        </w:rPr>
        <w:t xml:space="preserve"> (Accessed: 6 April 2025). </w:t>
      </w:r>
    </w:p>
    <w:p w14:paraId="4A9A2E1E" w14:textId="430F9426" w:rsidR="00C143A9" w:rsidRDefault="00C143A9" w:rsidP="00ED6649">
      <w:pPr>
        <w:spacing w:line="360" w:lineRule="auto"/>
        <w:rPr>
          <w:rFonts w:ascii="Arial" w:hAnsi="Arial" w:cs="Arial"/>
        </w:rPr>
      </w:pPr>
      <w:r>
        <w:rPr>
          <w:rFonts w:ascii="Arial" w:hAnsi="Arial" w:cs="Arial"/>
        </w:rPr>
        <w:t xml:space="preserve">GOV.UK (no date) </w:t>
      </w:r>
      <w:r>
        <w:rPr>
          <w:rFonts w:ascii="Arial" w:hAnsi="Arial" w:cs="Arial"/>
          <w:i/>
          <w:iCs/>
        </w:rPr>
        <w:t xml:space="preserve">Ofsted. </w:t>
      </w:r>
      <w:r>
        <w:rPr>
          <w:rFonts w:ascii="Arial" w:hAnsi="Arial" w:cs="Arial"/>
        </w:rPr>
        <w:t xml:space="preserve">Available at: </w:t>
      </w:r>
      <w:hyperlink r:id="rId15" w:history="1">
        <w:r w:rsidR="00ED6649" w:rsidRPr="000630A9">
          <w:rPr>
            <w:rStyle w:val="Hyperlink"/>
            <w:rFonts w:ascii="Arial" w:hAnsi="Arial" w:cs="Arial"/>
          </w:rPr>
          <w:t>https://www.tandfonline.com/doi/abs/10.1080/10409289.2015.1036348?casa_token=wZTEpqLv3PkAAAAA:o5cdl5V08EbezI-wUs3Db3OOvNMkoFK01EJYuvpnI0NXiAnjNQH5meAbLg-H4JPNWyMhPpG2-H_1</w:t>
        </w:r>
        <w:r w:rsidR="00ED6649" w:rsidRPr="000630A9">
          <w:rPr>
            <w:rStyle w:val="Hyperlink"/>
            <w:rFonts w:ascii="Arial" w:hAnsi="Arial" w:cs="Arial"/>
          </w:rPr>
          <w:t>d - GOV.UK</w:t>
        </w:r>
      </w:hyperlink>
      <w:r>
        <w:rPr>
          <w:rFonts w:ascii="Arial" w:hAnsi="Arial" w:cs="Arial"/>
        </w:rPr>
        <w:t xml:space="preserve"> (Accessed: 31 March 2025). </w:t>
      </w:r>
    </w:p>
    <w:p w14:paraId="51E6B82C" w14:textId="48313AB9" w:rsidR="00057128" w:rsidRDefault="00057128" w:rsidP="00ED6649">
      <w:pPr>
        <w:spacing w:line="360" w:lineRule="auto"/>
        <w:rPr>
          <w:rFonts w:ascii="Arial" w:hAnsi="Arial" w:cs="Arial"/>
        </w:rPr>
      </w:pPr>
      <w:r w:rsidRPr="00057128">
        <w:rPr>
          <w:rFonts w:ascii="Arial" w:hAnsi="Arial" w:cs="Arial"/>
        </w:rPr>
        <w:lastRenderedPageBreak/>
        <w:t xml:space="preserve">Harms, T., Clifford, R.M. and Cryer, D. (2015). </w:t>
      </w:r>
      <w:r w:rsidRPr="00057128">
        <w:rPr>
          <w:rFonts w:ascii="Arial" w:hAnsi="Arial" w:cs="Arial"/>
          <w:i/>
          <w:iCs/>
        </w:rPr>
        <w:t>Early Childhood Environment Rating Scale</w:t>
      </w:r>
      <w:r w:rsidRPr="00057128">
        <w:rPr>
          <w:rFonts w:ascii="Arial" w:hAnsi="Arial" w:cs="Arial"/>
        </w:rPr>
        <w:t>. New York: Teachers College Press.</w:t>
      </w:r>
      <w:r>
        <w:rPr>
          <w:rFonts w:ascii="Arial" w:hAnsi="Arial" w:cs="Arial"/>
        </w:rPr>
        <w:t xml:space="preserve"> Available at: </w:t>
      </w:r>
      <w:hyperlink r:id="rId16" w:history="1">
        <w:r w:rsidR="00900248" w:rsidRPr="000630A9">
          <w:rPr>
            <w:rStyle w:val="Hyperlink"/>
            <w:rFonts w:ascii="Arial" w:hAnsi="Arial" w:cs="Arial"/>
          </w:rPr>
          <w:t>https://www.kaplanco.com/product/28800/early-childhood-environment-rating-scale-third-edition-ecers-3?c=17%7CEA1015vironment Rating Scale®, Third Edition (ECERS-3™)</w:t>
        </w:r>
      </w:hyperlink>
      <w:r w:rsidR="00900248">
        <w:rPr>
          <w:rFonts w:ascii="Arial" w:hAnsi="Arial" w:cs="Arial"/>
        </w:rPr>
        <w:t xml:space="preserve"> (Accessed: 6 April 2025). </w:t>
      </w:r>
    </w:p>
    <w:p w14:paraId="12EE29D2" w14:textId="4824227E" w:rsidR="00036FDE" w:rsidRPr="00C143A9" w:rsidRDefault="00036FDE" w:rsidP="00ED6649">
      <w:pPr>
        <w:spacing w:line="360" w:lineRule="auto"/>
        <w:rPr>
          <w:rFonts w:ascii="Arial" w:hAnsi="Arial" w:cs="Arial"/>
        </w:rPr>
      </w:pPr>
      <w:r w:rsidRPr="00036FDE">
        <w:rPr>
          <w:rFonts w:ascii="Arial" w:hAnsi="Arial" w:cs="Arial"/>
        </w:rPr>
        <w:t xml:space="preserve">Henk ten Have (2017). Quality and best practises. </w:t>
      </w:r>
      <w:r w:rsidRPr="00036FDE">
        <w:rPr>
          <w:rFonts w:ascii="Arial" w:hAnsi="Arial" w:cs="Arial"/>
          <w:i/>
          <w:iCs/>
        </w:rPr>
        <w:t>International Journal of Ethics Education</w:t>
      </w:r>
      <w:r w:rsidRPr="00036FDE">
        <w:rPr>
          <w:rFonts w:ascii="Arial" w:hAnsi="Arial" w:cs="Arial"/>
        </w:rPr>
        <w:t xml:space="preserve">, 2(1), pp.1–2. </w:t>
      </w:r>
      <w:proofErr w:type="spellStart"/>
      <w:proofErr w:type="gramStart"/>
      <w:r w:rsidRPr="00036FDE">
        <w:rPr>
          <w:rFonts w:ascii="Arial" w:hAnsi="Arial" w:cs="Arial"/>
        </w:rPr>
        <w:t>doi:https</w:t>
      </w:r>
      <w:proofErr w:type="spellEnd"/>
      <w:r w:rsidRPr="00036FDE">
        <w:rPr>
          <w:rFonts w:ascii="Arial" w:hAnsi="Arial" w:cs="Arial"/>
        </w:rPr>
        <w:t>://doi.org/10.1007/s40889-017-0034-2</w:t>
      </w:r>
      <w:proofErr w:type="gramEnd"/>
      <w:r w:rsidRPr="00036FDE">
        <w:rPr>
          <w:rFonts w:ascii="Arial" w:hAnsi="Arial" w:cs="Arial"/>
        </w:rPr>
        <w:t>.</w:t>
      </w:r>
      <w:r>
        <w:rPr>
          <w:rFonts w:ascii="Arial" w:hAnsi="Arial" w:cs="Arial"/>
        </w:rPr>
        <w:t xml:space="preserve"> Available at:</w:t>
      </w:r>
      <w:r w:rsidRPr="00036FDE">
        <w:t xml:space="preserve"> </w:t>
      </w:r>
      <w:hyperlink r:id="rId17" w:history="1">
        <w:r w:rsidRPr="00036FDE">
          <w:rPr>
            <w:rStyle w:val="Hyperlink"/>
            <w:rFonts w:ascii="Arial" w:hAnsi="Arial" w:cs="Arial"/>
          </w:rPr>
          <w:t xml:space="preserve"> </w:t>
        </w:r>
        <w:r w:rsidR="00ED6649" w:rsidRPr="00ED6649">
          <w:rPr>
            <w:rStyle w:val="Hyperlink"/>
            <w:rFonts w:ascii="Arial" w:hAnsi="Arial" w:cs="Arial"/>
          </w:rPr>
          <w:t>https://www.tandfonline.com/doi/abs/10.1080/10409289.2015.1036348?casa_token=wZTEpqLv3PkAAAAA:o5cdl5V08EbezI-wUs3Db3OOvNMkoFK01EJYuvpnI0NXiAnjNQH5meAbLg-H4JPNWyMhPpG2-H_1</w:t>
        </w:r>
        <w:r w:rsidRPr="00036FDE">
          <w:rPr>
            <w:rStyle w:val="Hyperlink"/>
            <w:rFonts w:ascii="Arial" w:hAnsi="Arial" w:cs="Arial"/>
          </w:rPr>
          <w:t>of Ethics Education</w:t>
        </w:r>
      </w:hyperlink>
      <w:r>
        <w:rPr>
          <w:rFonts w:ascii="Arial" w:hAnsi="Arial" w:cs="Arial"/>
        </w:rPr>
        <w:t xml:space="preserve"> (Accessed: 6 April 2025).  </w:t>
      </w:r>
    </w:p>
    <w:p w14:paraId="3D0E8E78" w14:textId="6CF7FA37" w:rsidR="00430018" w:rsidRDefault="00430018" w:rsidP="00ED6649">
      <w:pPr>
        <w:spacing w:line="360" w:lineRule="auto"/>
        <w:rPr>
          <w:rFonts w:ascii="Arial" w:hAnsi="Arial" w:cs="Arial"/>
        </w:rPr>
      </w:pPr>
      <w:r w:rsidRPr="00430018">
        <w:rPr>
          <w:rFonts w:ascii="Arial" w:hAnsi="Arial" w:cs="Arial"/>
        </w:rPr>
        <w:t xml:space="preserve">Hermenau, K., </w:t>
      </w:r>
      <w:proofErr w:type="spellStart"/>
      <w:r w:rsidRPr="00430018">
        <w:rPr>
          <w:rFonts w:ascii="Arial" w:hAnsi="Arial" w:cs="Arial"/>
        </w:rPr>
        <w:t>Goessmann</w:t>
      </w:r>
      <w:proofErr w:type="spellEnd"/>
      <w:r w:rsidRPr="00430018">
        <w:rPr>
          <w:rFonts w:ascii="Arial" w:hAnsi="Arial" w:cs="Arial"/>
        </w:rPr>
        <w:t xml:space="preserve">, K., Rygaard, N.P., Landolt, M.A. and Hecker, T. (2016). Fostering Child Development by Improving Care Quality: A Systematic Review of the Effectiveness of Structural Interventions and Caregiver Trainings in Institutional Care. </w:t>
      </w:r>
      <w:r w:rsidRPr="00430018">
        <w:rPr>
          <w:rFonts w:ascii="Arial" w:hAnsi="Arial" w:cs="Arial"/>
          <w:i/>
          <w:iCs/>
        </w:rPr>
        <w:t>Trauma, Violence, &amp; Abuse</w:t>
      </w:r>
      <w:r w:rsidRPr="00430018">
        <w:rPr>
          <w:rFonts w:ascii="Arial" w:hAnsi="Arial" w:cs="Arial"/>
        </w:rPr>
        <w:t>, 18(5), pp.544–561.</w:t>
      </w:r>
      <w:r>
        <w:rPr>
          <w:rFonts w:ascii="Arial" w:hAnsi="Arial" w:cs="Arial"/>
        </w:rPr>
        <w:t xml:space="preserve"> </w:t>
      </w:r>
      <w:proofErr w:type="spellStart"/>
      <w:proofErr w:type="gramStart"/>
      <w:r w:rsidRPr="00430018">
        <w:rPr>
          <w:rFonts w:ascii="Arial" w:hAnsi="Arial" w:cs="Arial"/>
        </w:rPr>
        <w:t>doi:https</w:t>
      </w:r>
      <w:proofErr w:type="spellEnd"/>
      <w:r w:rsidRPr="00430018">
        <w:rPr>
          <w:rFonts w:ascii="Arial" w:hAnsi="Arial" w:cs="Arial"/>
        </w:rPr>
        <w:t>://doi.org/10.1177/1524838016641918</w:t>
      </w:r>
      <w:proofErr w:type="gramEnd"/>
      <w:r w:rsidRPr="00430018">
        <w:rPr>
          <w:rFonts w:ascii="Arial" w:hAnsi="Arial" w:cs="Arial"/>
        </w:rPr>
        <w:t>.</w:t>
      </w:r>
      <w:r>
        <w:rPr>
          <w:rFonts w:ascii="Arial" w:hAnsi="Arial" w:cs="Arial"/>
        </w:rPr>
        <w:t xml:space="preserve"> Available at: </w:t>
      </w:r>
      <w:hyperlink r:id="rId18" w:history="1">
        <w:r w:rsidR="00ED6649" w:rsidRPr="000630A9">
          <w:rPr>
            <w:rStyle w:val="Hyperlink"/>
          </w:rPr>
          <w:t xml:space="preserve"> </w:t>
        </w:r>
        <w:r w:rsidR="00ED6649" w:rsidRPr="000630A9">
          <w:rPr>
            <w:rStyle w:val="Hyperlink"/>
            <w:rFonts w:ascii="Arial" w:hAnsi="Arial" w:cs="Arial"/>
          </w:rPr>
          <w:t>https://www.tandfonline.com/doi/abs/10.1080/10409289.2015.1036348?casa_token=wZTEpqLv3PkAAAAA:o5cdl5V08EbezI-wUs3Db3OOvNMkoFK01EJYuvpnI0NXiAnjNQH5meAbLg-H4JPNWyMhPpG2-H_1</w:t>
        </w:r>
        <w:r w:rsidR="00ED6649" w:rsidRPr="000630A9">
          <w:rPr>
            <w:rStyle w:val="Hyperlink"/>
            <w:rFonts w:ascii="Arial" w:hAnsi="Arial" w:cs="Arial"/>
          </w:rPr>
          <w:t>nstitutional Care - Katharin Hermenau, Katharina Goessmann, Niels Peter Rygaard, Markus A. Landolt, Tobias Hecker, 2017</w:t>
        </w:r>
      </w:hyperlink>
      <w:r>
        <w:rPr>
          <w:rFonts w:ascii="Arial" w:hAnsi="Arial" w:cs="Arial"/>
        </w:rPr>
        <w:t xml:space="preserve"> (Accessed: 31 March 2025). </w:t>
      </w:r>
    </w:p>
    <w:p w14:paraId="4DC5CBC3" w14:textId="20E84AE5" w:rsidR="00057128" w:rsidRDefault="00057128" w:rsidP="00ED6649">
      <w:pPr>
        <w:spacing w:line="360" w:lineRule="auto"/>
        <w:rPr>
          <w:rFonts w:ascii="Arial" w:hAnsi="Arial" w:cs="Arial"/>
        </w:rPr>
      </w:pPr>
      <w:r w:rsidRPr="00057128">
        <w:rPr>
          <w:rFonts w:ascii="Arial" w:hAnsi="Arial" w:cs="Arial"/>
        </w:rPr>
        <w:t xml:space="preserve">Iram Siraj, Kingston, D. and Melhuish, E.C. (2015). </w:t>
      </w:r>
      <w:r w:rsidRPr="00057128">
        <w:rPr>
          <w:rFonts w:ascii="Arial" w:hAnsi="Arial" w:cs="Arial"/>
          <w:i/>
          <w:iCs/>
        </w:rPr>
        <w:t xml:space="preserve">Assessing quality in early childhood education and </w:t>
      </w:r>
      <w:proofErr w:type="gramStart"/>
      <w:r w:rsidRPr="00057128">
        <w:rPr>
          <w:rFonts w:ascii="Arial" w:hAnsi="Arial" w:cs="Arial"/>
          <w:i/>
          <w:iCs/>
        </w:rPr>
        <w:t>care :</w:t>
      </w:r>
      <w:proofErr w:type="gramEnd"/>
      <w:r w:rsidRPr="00057128">
        <w:rPr>
          <w:rFonts w:ascii="Arial" w:hAnsi="Arial" w:cs="Arial"/>
          <w:i/>
          <w:iCs/>
        </w:rPr>
        <w:t xml:space="preserve"> Sustained Shared Thinking and Emotional Well-being (SSTEW) Scale for 2-5 Year-olds provision</w:t>
      </w:r>
      <w:r w:rsidRPr="00057128">
        <w:rPr>
          <w:rFonts w:ascii="Arial" w:hAnsi="Arial" w:cs="Arial"/>
        </w:rPr>
        <w:t xml:space="preserve">. London: </w:t>
      </w:r>
      <w:proofErr w:type="spellStart"/>
      <w:r w:rsidRPr="00057128">
        <w:rPr>
          <w:rFonts w:ascii="Arial" w:hAnsi="Arial" w:cs="Arial"/>
        </w:rPr>
        <w:t>Ioe</w:t>
      </w:r>
      <w:proofErr w:type="spellEnd"/>
      <w:r w:rsidRPr="00057128">
        <w:rPr>
          <w:rFonts w:ascii="Arial" w:hAnsi="Arial" w:cs="Arial"/>
        </w:rPr>
        <w:t xml:space="preserve"> </w:t>
      </w:r>
      <w:proofErr w:type="gramStart"/>
      <w:r w:rsidRPr="00057128">
        <w:rPr>
          <w:rFonts w:ascii="Arial" w:hAnsi="Arial" w:cs="Arial"/>
        </w:rPr>
        <w:t>Press ;</w:t>
      </w:r>
      <w:proofErr w:type="gramEnd"/>
      <w:r w:rsidRPr="00057128">
        <w:rPr>
          <w:rFonts w:ascii="Arial" w:hAnsi="Arial" w:cs="Arial"/>
        </w:rPr>
        <w:t xml:space="preserve"> Stoke On Trent.</w:t>
      </w:r>
      <w:r>
        <w:rPr>
          <w:rFonts w:ascii="Arial" w:hAnsi="Arial" w:cs="Arial"/>
        </w:rPr>
        <w:t xml:space="preserve"> Available at: </w:t>
      </w:r>
      <w:hyperlink r:id="rId19" w:history="1">
        <w:r w:rsidRPr="00057128">
          <w:t xml:space="preserve"> </w:t>
        </w:r>
        <w:r w:rsidRPr="00057128">
          <w:rPr>
            <w:rStyle w:val="Hyperlink"/>
            <w:rFonts w:ascii="Arial" w:hAnsi="Arial" w:cs="Arial"/>
          </w:rPr>
          <w:t>https://www.routledge.com/The-Sustained-Shared-Thinking-and-Emotional-Well-being-SSTEW-Scale-Supporting-Process-Quality-in-Early-Childhood/Siraj-Kingston-Melhuish/p/book/9781032460499?srsltid=AfmBOoqIn8nbizy_RXQ4TbZLjT7A68anDFLB7BhEJAeRzuRWwxeJ9FQFotional Well-being (SSTEW) Scale:</w:t>
        </w:r>
      </w:hyperlink>
      <w:r>
        <w:rPr>
          <w:rFonts w:ascii="Arial" w:hAnsi="Arial" w:cs="Arial"/>
        </w:rPr>
        <w:t xml:space="preserve"> (Accessed: 6 April 2025). </w:t>
      </w:r>
    </w:p>
    <w:p w14:paraId="05CA9D59" w14:textId="556F9944" w:rsidR="00374736" w:rsidRDefault="00374736" w:rsidP="00ED6649">
      <w:pPr>
        <w:spacing w:line="360" w:lineRule="auto"/>
        <w:rPr>
          <w:rFonts w:ascii="Arial" w:hAnsi="Arial" w:cs="Arial"/>
        </w:rPr>
      </w:pPr>
      <w:r w:rsidRPr="00374736">
        <w:rPr>
          <w:rFonts w:ascii="Arial" w:hAnsi="Arial" w:cs="Arial"/>
        </w:rPr>
        <w:t>Jackson, S.A., Gopalakrishna-</w:t>
      </w:r>
      <w:proofErr w:type="spellStart"/>
      <w:r w:rsidRPr="00374736">
        <w:rPr>
          <w:rFonts w:ascii="Arial" w:hAnsi="Arial" w:cs="Arial"/>
        </w:rPr>
        <w:t>Remani</w:t>
      </w:r>
      <w:proofErr w:type="spellEnd"/>
      <w:r w:rsidRPr="00374736">
        <w:rPr>
          <w:rFonts w:ascii="Arial" w:hAnsi="Arial" w:cs="Arial"/>
        </w:rPr>
        <w:t xml:space="preserve">, V., Mishra, R. and Napier, R. (2016). Examining the impact of design for environment and the mediating effect of quality </w:t>
      </w:r>
      <w:r w:rsidRPr="00374736">
        <w:rPr>
          <w:rFonts w:ascii="Arial" w:hAnsi="Arial" w:cs="Arial"/>
        </w:rPr>
        <w:lastRenderedPageBreak/>
        <w:t xml:space="preserve">management innovation on firm performance. </w:t>
      </w:r>
      <w:r w:rsidRPr="00374736">
        <w:rPr>
          <w:rFonts w:ascii="Arial" w:hAnsi="Arial" w:cs="Arial"/>
          <w:i/>
          <w:iCs/>
        </w:rPr>
        <w:t>International Journal of Production Economics</w:t>
      </w:r>
      <w:r w:rsidRPr="00374736">
        <w:rPr>
          <w:rFonts w:ascii="Arial" w:hAnsi="Arial" w:cs="Arial"/>
        </w:rPr>
        <w:t xml:space="preserve">, 173, pp.142–152. </w:t>
      </w:r>
      <w:proofErr w:type="spellStart"/>
      <w:proofErr w:type="gramStart"/>
      <w:r w:rsidRPr="00374736">
        <w:rPr>
          <w:rFonts w:ascii="Arial" w:hAnsi="Arial" w:cs="Arial"/>
        </w:rPr>
        <w:t>doi:https</w:t>
      </w:r>
      <w:proofErr w:type="spellEnd"/>
      <w:r w:rsidRPr="00374736">
        <w:rPr>
          <w:rFonts w:ascii="Arial" w:hAnsi="Arial" w:cs="Arial"/>
        </w:rPr>
        <w:t>://doi.org/10.1016/j.ijpe.2015.12.009</w:t>
      </w:r>
      <w:proofErr w:type="gramEnd"/>
      <w:r w:rsidRPr="00374736">
        <w:rPr>
          <w:rFonts w:ascii="Arial" w:hAnsi="Arial" w:cs="Arial"/>
        </w:rPr>
        <w:t>.</w:t>
      </w:r>
      <w:r>
        <w:rPr>
          <w:rFonts w:ascii="Arial" w:hAnsi="Arial" w:cs="Arial"/>
        </w:rPr>
        <w:t xml:space="preserve"> Available at:</w:t>
      </w:r>
      <w:r w:rsidRPr="00374736">
        <w:t xml:space="preserve"> </w:t>
      </w:r>
      <w:hyperlink r:id="rId20" w:history="1">
        <w:r w:rsidR="00ED6649" w:rsidRPr="00ED6649">
          <w:t xml:space="preserve"> </w:t>
        </w:r>
        <w:r w:rsidR="00ED6649" w:rsidRPr="00ED6649">
          <w:rPr>
            <w:rStyle w:val="Hyperlink"/>
            <w:rFonts w:ascii="Arial" w:hAnsi="Arial" w:cs="Arial"/>
          </w:rPr>
          <w:t>https://www.tandfonline.com/doi/abs/10.1080/10409289.2015.1036348?casa_token=wZTEpqLv3PkAAAAA:o5cdl5V08EbezI-wUs3Db3OOvNMkoFK01EJYuvpnI0NXiAnjNQH5meAbLg-H4JPNWyMhPpG2-H_1</w:t>
        </w:r>
        <w:r w:rsidRPr="00374736">
          <w:rPr>
            <w:rStyle w:val="Hyperlink"/>
            <w:rFonts w:ascii="Arial" w:hAnsi="Arial" w:cs="Arial"/>
          </w:rPr>
          <w:t>nvironment and the mediating effect of quality management innovation on firm performance - ScienceDirect</w:t>
        </w:r>
      </w:hyperlink>
      <w:r>
        <w:rPr>
          <w:rFonts w:ascii="Arial" w:hAnsi="Arial" w:cs="Arial"/>
        </w:rPr>
        <w:t xml:space="preserve"> (Accessed: 1 April 2025). </w:t>
      </w:r>
    </w:p>
    <w:p w14:paraId="1F61FF9A" w14:textId="5E336DCA" w:rsidR="00374736" w:rsidRDefault="00374736" w:rsidP="00ED6649">
      <w:pPr>
        <w:spacing w:line="360" w:lineRule="auto"/>
        <w:rPr>
          <w:rFonts w:ascii="Arial" w:hAnsi="Arial" w:cs="Arial"/>
        </w:rPr>
      </w:pPr>
      <w:r w:rsidRPr="00374736">
        <w:rPr>
          <w:rFonts w:ascii="Arial" w:hAnsi="Arial" w:cs="Arial"/>
        </w:rPr>
        <w:t xml:space="preserve">Kenyon, G.N. and Sen, K.C. (2015). </w:t>
      </w:r>
      <w:r w:rsidRPr="00374736">
        <w:rPr>
          <w:rFonts w:ascii="Arial" w:hAnsi="Arial" w:cs="Arial"/>
          <w:i/>
          <w:iCs/>
        </w:rPr>
        <w:t xml:space="preserve">The perception of </w:t>
      </w:r>
      <w:proofErr w:type="gramStart"/>
      <w:r w:rsidRPr="00374736">
        <w:rPr>
          <w:rFonts w:ascii="Arial" w:hAnsi="Arial" w:cs="Arial"/>
          <w:i/>
          <w:iCs/>
        </w:rPr>
        <w:t>quality :</w:t>
      </w:r>
      <w:proofErr w:type="gramEnd"/>
      <w:r w:rsidRPr="00374736">
        <w:rPr>
          <w:rFonts w:ascii="Arial" w:hAnsi="Arial" w:cs="Arial"/>
          <w:i/>
          <w:iCs/>
        </w:rPr>
        <w:t xml:space="preserve"> mapping product and service quality to consumer perceptions</w:t>
      </w:r>
      <w:r w:rsidRPr="00374736">
        <w:rPr>
          <w:rFonts w:ascii="Arial" w:hAnsi="Arial" w:cs="Arial"/>
        </w:rPr>
        <w:t>. London: Springer Verlag.</w:t>
      </w:r>
      <w:r>
        <w:rPr>
          <w:rFonts w:ascii="Arial" w:hAnsi="Arial" w:cs="Arial"/>
        </w:rPr>
        <w:t xml:space="preserve"> [Online]. Available at: </w:t>
      </w:r>
      <w:hyperlink r:id="rId21" w:history="1">
        <w:r w:rsidR="00ED6649" w:rsidRPr="000630A9">
          <w:rPr>
            <w:rStyle w:val="Hyperlink"/>
          </w:rPr>
          <w:t xml:space="preserve"> </w:t>
        </w:r>
        <w:r w:rsidR="00ED6649" w:rsidRPr="000630A9">
          <w:rPr>
            <w:rStyle w:val="Hyperlink"/>
            <w:rFonts w:ascii="Arial" w:hAnsi="Arial" w:cs="Arial"/>
          </w:rPr>
          <w:t>https://www.tandfonline.com/doi/abs/10.1080/10409289.2015.1036348?casa_token=wZTEpqLv3PkAAAAA:o5cdl5V08EbezI-wUs3Db3OOvNMkoFK01EJYuvpnI0NXiAnjNQH5meAbLg-H4JPNWyMhPpG2-H_1</w:t>
        </w:r>
        <w:r w:rsidR="00ED6649" w:rsidRPr="000630A9">
          <w:rPr>
            <w:rStyle w:val="Hyperlink"/>
            <w:rFonts w:ascii="Arial" w:hAnsi="Arial" w:cs="Arial"/>
          </w:rPr>
          <w:t>rLink</w:t>
        </w:r>
      </w:hyperlink>
      <w:r>
        <w:rPr>
          <w:rFonts w:ascii="Arial" w:hAnsi="Arial" w:cs="Arial"/>
        </w:rPr>
        <w:t xml:space="preserve"> (Accessed: 1 April 2025). </w:t>
      </w:r>
    </w:p>
    <w:p w14:paraId="503A87D6" w14:textId="16E86DB8" w:rsidR="00D747A9" w:rsidRDefault="00D747A9" w:rsidP="00ED6649">
      <w:pPr>
        <w:spacing w:line="360" w:lineRule="auto"/>
        <w:rPr>
          <w:rFonts w:ascii="Arial" w:hAnsi="Arial" w:cs="Arial"/>
        </w:rPr>
      </w:pPr>
      <w:r>
        <w:rPr>
          <w:rFonts w:ascii="Arial" w:hAnsi="Arial" w:cs="Arial"/>
        </w:rPr>
        <w:t xml:space="preserve">Khan, SM (2023) </w:t>
      </w:r>
      <w:r>
        <w:rPr>
          <w:rFonts w:ascii="Arial" w:hAnsi="Arial" w:cs="Arial"/>
          <w:i/>
          <w:iCs/>
        </w:rPr>
        <w:t xml:space="preserve">What is quality? </w:t>
      </w:r>
      <w:r>
        <w:rPr>
          <w:rFonts w:ascii="Arial" w:hAnsi="Arial" w:cs="Arial"/>
        </w:rPr>
        <w:t xml:space="preserve">Available at: </w:t>
      </w:r>
      <w:hyperlink r:id="rId22" w:history="1">
        <w:r w:rsidRPr="00D747A9">
          <w:rPr>
            <w:rStyle w:val="Hyperlink"/>
            <w:rFonts w:ascii="Arial" w:hAnsi="Arial" w:cs="Arial"/>
          </w:rPr>
          <w:t>1-WhatisQuality.pdf</w:t>
        </w:r>
      </w:hyperlink>
      <w:r>
        <w:rPr>
          <w:rFonts w:ascii="Arial" w:hAnsi="Arial" w:cs="Arial"/>
        </w:rPr>
        <w:t xml:space="preserve"> (Accessed: 1 April 2025).</w:t>
      </w:r>
    </w:p>
    <w:p w14:paraId="23B2618C" w14:textId="45537397" w:rsidR="003645D1" w:rsidRDefault="003645D1" w:rsidP="00ED6649">
      <w:pPr>
        <w:spacing w:line="360" w:lineRule="auto"/>
        <w:rPr>
          <w:rFonts w:ascii="Arial" w:hAnsi="Arial" w:cs="Arial"/>
        </w:rPr>
      </w:pPr>
      <w:r>
        <w:rPr>
          <w:rFonts w:ascii="Arial" w:hAnsi="Arial" w:cs="Arial"/>
        </w:rPr>
        <w:t xml:space="preserve">UNC (2017) </w:t>
      </w:r>
      <w:r w:rsidR="00057128">
        <w:rPr>
          <w:rFonts w:ascii="Arial" w:hAnsi="Arial" w:cs="Arial"/>
          <w:i/>
          <w:iCs/>
        </w:rPr>
        <w:t xml:space="preserve">Environment Rating Scales. </w:t>
      </w:r>
      <w:r w:rsidR="00057128">
        <w:rPr>
          <w:rFonts w:ascii="Arial" w:hAnsi="Arial" w:cs="Arial"/>
        </w:rPr>
        <w:t xml:space="preserve">Available at: </w:t>
      </w:r>
      <w:hyperlink r:id="rId23" w:history="1">
        <w:r w:rsidR="00ED6649" w:rsidRPr="000630A9">
          <w:rPr>
            <w:rStyle w:val="Hyperlink"/>
            <w:rFonts w:ascii="Arial" w:hAnsi="Arial" w:cs="Arial"/>
          </w:rPr>
          <w:t>https://www.tandfonline.com/doi/abs/10.1080/10409289.2015.1036348?casa_token=wZTEpqLv3PkAAAAA:o5cdl5V08EbezI-wUs3Db3OOvNMkoFK01EJYuvpnI0NXiAnjNQH5meAbLg-H4JPNWyMhPpG2-H_1</w:t>
        </w:r>
      </w:hyperlink>
      <w:r w:rsidR="00ED6649">
        <w:rPr>
          <w:rFonts w:ascii="Arial" w:hAnsi="Arial" w:cs="Arial"/>
        </w:rPr>
        <w:t xml:space="preserve"> </w:t>
      </w:r>
      <w:r w:rsidR="00057128">
        <w:rPr>
          <w:rFonts w:ascii="Arial" w:hAnsi="Arial" w:cs="Arial"/>
        </w:rPr>
        <w:t xml:space="preserve">(Accessed: 6 April 2025). </w:t>
      </w:r>
    </w:p>
    <w:p w14:paraId="3AA80395" w14:textId="3775BF23" w:rsidR="00900248" w:rsidRPr="00900248" w:rsidRDefault="00900248" w:rsidP="00ED6649">
      <w:pPr>
        <w:spacing w:line="360" w:lineRule="auto"/>
        <w:rPr>
          <w:rFonts w:ascii="Arial" w:hAnsi="Arial" w:cs="Arial"/>
        </w:rPr>
      </w:pPr>
      <w:r>
        <w:rPr>
          <w:rFonts w:ascii="Arial" w:hAnsi="Arial" w:cs="Arial"/>
        </w:rPr>
        <w:t xml:space="preserve">Vic.GOV.AU (2025) </w:t>
      </w:r>
      <w:r>
        <w:rPr>
          <w:rFonts w:ascii="Arial" w:hAnsi="Arial" w:cs="Arial"/>
          <w:i/>
          <w:iCs/>
        </w:rPr>
        <w:t xml:space="preserve">Sustained Shared Thinking and Emotional Well-Being Scale. </w:t>
      </w:r>
      <w:r>
        <w:rPr>
          <w:rFonts w:ascii="Arial" w:hAnsi="Arial" w:cs="Arial"/>
        </w:rPr>
        <w:t xml:space="preserve">Available at: </w:t>
      </w:r>
      <w:hyperlink r:id="rId24" w:history="1">
        <w:r w:rsidRPr="000630A9">
          <w:rPr>
            <w:rStyle w:val="Hyperlink"/>
          </w:rPr>
          <w:t xml:space="preserve"> </w:t>
        </w:r>
        <w:r w:rsidRPr="000630A9">
          <w:rPr>
            <w:rStyle w:val="Hyperlink"/>
            <w:rFonts w:ascii="Arial" w:hAnsi="Arial" w:cs="Arial"/>
          </w:rPr>
          <w:t>https://www.vic.gov.au/sustained-shared-thinking-and-emotional-wellbeing-sstew-scaled Emotional Wellbeing (SSTEW) Scale | vic.gov.au</w:t>
        </w:r>
      </w:hyperlink>
      <w:r>
        <w:rPr>
          <w:rFonts w:ascii="Arial" w:hAnsi="Arial" w:cs="Arial"/>
        </w:rPr>
        <w:t xml:space="preserve"> (Accessed: 6 April 2025). </w:t>
      </w:r>
      <w:r w:rsidRPr="00900248">
        <w:rPr>
          <w:rFonts w:ascii="Arial" w:hAnsi="Arial" w:cs="Arial"/>
        </w:rPr>
        <w:t xml:space="preserve"> </w:t>
      </w:r>
    </w:p>
    <w:p w14:paraId="564850F0" w14:textId="77777777" w:rsidR="00430018" w:rsidRPr="00430018" w:rsidRDefault="00430018" w:rsidP="00430018">
      <w:pPr>
        <w:jc w:val="center"/>
        <w:rPr>
          <w:rFonts w:ascii="Arial" w:hAnsi="Arial" w:cs="Arial"/>
          <w:u w:val="single"/>
        </w:rPr>
      </w:pPr>
    </w:p>
    <w:p w14:paraId="252D1079" w14:textId="77777777" w:rsidR="00430018" w:rsidRPr="00430018" w:rsidRDefault="00430018" w:rsidP="00430018">
      <w:pPr>
        <w:rPr>
          <w:rFonts w:ascii="Arial" w:hAnsi="Arial" w:cs="Arial"/>
        </w:rPr>
      </w:pPr>
    </w:p>
    <w:sectPr w:rsidR="00430018" w:rsidRPr="00430018">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597E6" w14:textId="77777777" w:rsidR="003B4980" w:rsidRDefault="003B4980" w:rsidP="00430018">
      <w:pPr>
        <w:spacing w:after="0" w:line="240" w:lineRule="auto"/>
      </w:pPr>
      <w:r>
        <w:separator/>
      </w:r>
    </w:p>
  </w:endnote>
  <w:endnote w:type="continuationSeparator" w:id="0">
    <w:p w14:paraId="771C0E6C" w14:textId="77777777" w:rsidR="003B4980" w:rsidRDefault="003B4980" w:rsidP="00430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C808A" w14:textId="77777777" w:rsidR="003B4980" w:rsidRDefault="003B4980" w:rsidP="00430018">
      <w:pPr>
        <w:spacing w:after="0" w:line="240" w:lineRule="auto"/>
      </w:pPr>
      <w:r>
        <w:separator/>
      </w:r>
    </w:p>
  </w:footnote>
  <w:footnote w:type="continuationSeparator" w:id="0">
    <w:p w14:paraId="7DCFAE59" w14:textId="77777777" w:rsidR="003B4980" w:rsidRDefault="003B4980" w:rsidP="004300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B1CC" w14:textId="3E770024" w:rsidR="00430018" w:rsidRDefault="00430018">
    <w:pPr>
      <w:pStyle w:val="Header"/>
    </w:pPr>
    <w:r>
      <w:t xml:space="preserve">ECEY6011                                                           2204216                                           Word count: </w:t>
    </w:r>
    <w:r w:rsidR="00ED6649">
      <w:t>1576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915FA7"/>
    <w:multiLevelType w:val="hybridMultilevel"/>
    <w:tmpl w:val="A6023F7A"/>
    <w:lvl w:ilvl="0" w:tplc="DE3060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815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018"/>
    <w:rsid w:val="00036FDE"/>
    <w:rsid w:val="00052360"/>
    <w:rsid w:val="00057128"/>
    <w:rsid w:val="000768BE"/>
    <w:rsid w:val="000B61FF"/>
    <w:rsid w:val="001B2419"/>
    <w:rsid w:val="00224FC1"/>
    <w:rsid w:val="00341645"/>
    <w:rsid w:val="003504F6"/>
    <w:rsid w:val="003645D1"/>
    <w:rsid w:val="00374736"/>
    <w:rsid w:val="003B4980"/>
    <w:rsid w:val="00430018"/>
    <w:rsid w:val="004C7FAA"/>
    <w:rsid w:val="0055716B"/>
    <w:rsid w:val="00586F46"/>
    <w:rsid w:val="005D567C"/>
    <w:rsid w:val="00621D95"/>
    <w:rsid w:val="006523D9"/>
    <w:rsid w:val="007B5522"/>
    <w:rsid w:val="0085715D"/>
    <w:rsid w:val="008D0298"/>
    <w:rsid w:val="00900248"/>
    <w:rsid w:val="00A0281B"/>
    <w:rsid w:val="00B6577C"/>
    <w:rsid w:val="00BC13E5"/>
    <w:rsid w:val="00C143A9"/>
    <w:rsid w:val="00CF7A26"/>
    <w:rsid w:val="00D747A9"/>
    <w:rsid w:val="00E904B9"/>
    <w:rsid w:val="00EC77AB"/>
    <w:rsid w:val="00ED6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FF3B"/>
  <w15:chartTrackingRefBased/>
  <w15:docId w15:val="{1649A61A-FE25-44E9-A261-1F27C01D3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0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00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0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0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0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0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0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0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0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0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00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0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0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0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0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0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0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018"/>
    <w:rPr>
      <w:rFonts w:eastAsiaTheme="majorEastAsia" w:cstheme="majorBidi"/>
      <w:color w:val="272727" w:themeColor="text1" w:themeTint="D8"/>
    </w:rPr>
  </w:style>
  <w:style w:type="paragraph" w:styleId="Title">
    <w:name w:val="Title"/>
    <w:basedOn w:val="Normal"/>
    <w:next w:val="Normal"/>
    <w:link w:val="TitleChar"/>
    <w:uiPriority w:val="10"/>
    <w:qFormat/>
    <w:rsid w:val="004300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0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0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0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018"/>
    <w:pPr>
      <w:spacing w:before="160"/>
      <w:jc w:val="center"/>
    </w:pPr>
    <w:rPr>
      <w:i/>
      <w:iCs/>
      <w:color w:val="404040" w:themeColor="text1" w:themeTint="BF"/>
    </w:rPr>
  </w:style>
  <w:style w:type="character" w:customStyle="1" w:styleId="QuoteChar">
    <w:name w:val="Quote Char"/>
    <w:basedOn w:val="DefaultParagraphFont"/>
    <w:link w:val="Quote"/>
    <w:uiPriority w:val="29"/>
    <w:rsid w:val="00430018"/>
    <w:rPr>
      <w:i/>
      <w:iCs/>
      <w:color w:val="404040" w:themeColor="text1" w:themeTint="BF"/>
    </w:rPr>
  </w:style>
  <w:style w:type="paragraph" w:styleId="ListParagraph">
    <w:name w:val="List Paragraph"/>
    <w:basedOn w:val="Normal"/>
    <w:uiPriority w:val="34"/>
    <w:qFormat/>
    <w:rsid w:val="00430018"/>
    <w:pPr>
      <w:ind w:left="720"/>
      <w:contextualSpacing/>
    </w:pPr>
  </w:style>
  <w:style w:type="character" w:styleId="IntenseEmphasis">
    <w:name w:val="Intense Emphasis"/>
    <w:basedOn w:val="DefaultParagraphFont"/>
    <w:uiPriority w:val="21"/>
    <w:qFormat/>
    <w:rsid w:val="00430018"/>
    <w:rPr>
      <w:i/>
      <w:iCs/>
      <w:color w:val="0F4761" w:themeColor="accent1" w:themeShade="BF"/>
    </w:rPr>
  </w:style>
  <w:style w:type="paragraph" w:styleId="IntenseQuote">
    <w:name w:val="Intense Quote"/>
    <w:basedOn w:val="Normal"/>
    <w:next w:val="Normal"/>
    <w:link w:val="IntenseQuoteChar"/>
    <w:uiPriority w:val="30"/>
    <w:qFormat/>
    <w:rsid w:val="004300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018"/>
    <w:rPr>
      <w:i/>
      <w:iCs/>
      <w:color w:val="0F4761" w:themeColor="accent1" w:themeShade="BF"/>
    </w:rPr>
  </w:style>
  <w:style w:type="character" w:styleId="IntenseReference">
    <w:name w:val="Intense Reference"/>
    <w:basedOn w:val="DefaultParagraphFont"/>
    <w:uiPriority w:val="32"/>
    <w:qFormat/>
    <w:rsid w:val="00430018"/>
    <w:rPr>
      <w:b/>
      <w:bCs/>
      <w:smallCaps/>
      <w:color w:val="0F4761" w:themeColor="accent1" w:themeShade="BF"/>
      <w:spacing w:val="5"/>
    </w:rPr>
  </w:style>
  <w:style w:type="paragraph" w:styleId="Header">
    <w:name w:val="header"/>
    <w:basedOn w:val="Normal"/>
    <w:link w:val="HeaderChar"/>
    <w:uiPriority w:val="99"/>
    <w:unhideWhenUsed/>
    <w:rsid w:val="004300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018"/>
  </w:style>
  <w:style w:type="paragraph" w:styleId="Footer">
    <w:name w:val="footer"/>
    <w:basedOn w:val="Normal"/>
    <w:link w:val="FooterChar"/>
    <w:uiPriority w:val="99"/>
    <w:unhideWhenUsed/>
    <w:rsid w:val="004300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018"/>
  </w:style>
  <w:style w:type="character" w:styleId="Hyperlink">
    <w:name w:val="Hyperlink"/>
    <w:basedOn w:val="DefaultParagraphFont"/>
    <w:uiPriority w:val="99"/>
    <w:unhideWhenUsed/>
    <w:rsid w:val="00430018"/>
    <w:rPr>
      <w:color w:val="467886" w:themeColor="hyperlink"/>
      <w:u w:val="single"/>
    </w:rPr>
  </w:style>
  <w:style w:type="character" w:styleId="UnresolvedMention">
    <w:name w:val="Unresolved Mention"/>
    <w:basedOn w:val="DefaultParagraphFont"/>
    <w:uiPriority w:val="99"/>
    <w:semiHidden/>
    <w:unhideWhenUsed/>
    <w:rsid w:val="004300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76870">
      <w:bodyDiv w:val="1"/>
      <w:marLeft w:val="0"/>
      <w:marRight w:val="0"/>
      <w:marTop w:val="0"/>
      <w:marBottom w:val="0"/>
      <w:divBdr>
        <w:top w:val="none" w:sz="0" w:space="0" w:color="auto"/>
        <w:left w:val="none" w:sz="0" w:space="0" w:color="auto"/>
        <w:bottom w:val="none" w:sz="0" w:space="0" w:color="auto"/>
        <w:right w:val="none" w:sz="0" w:space="0" w:color="auto"/>
      </w:divBdr>
      <w:divsChild>
        <w:div w:id="1763144438">
          <w:marLeft w:val="0"/>
          <w:marRight w:val="0"/>
          <w:marTop w:val="0"/>
          <w:marBottom w:val="0"/>
          <w:divBdr>
            <w:top w:val="none" w:sz="0" w:space="0" w:color="auto"/>
            <w:left w:val="none" w:sz="0" w:space="0" w:color="auto"/>
            <w:bottom w:val="none" w:sz="0" w:space="0" w:color="auto"/>
            <w:right w:val="none" w:sz="0" w:space="0" w:color="auto"/>
          </w:divBdr>
        </w:div>
      </w:divsChild>
    </w:div>
    <w:div w:id="33620556">
      <w:bodyDiv w:val="1"/>
      <w:marLeft w:val="0"/>
      <w:marRight w:val="0"/>
      <w:marTop w:val="0"/>
      <w:marBottom w:val="0"/>
      <w:divBdr>
        <w:top w:val="none" w:sz="0" w:space="0" w:color="auto"/>
        <w:left w:val="none" w:sz="0" w:space="0" w:color="auto"/>
        <w:bottom w:val="none" w:sz="0" w:space="0" w:color="auto"/>
        <w:right w:val="none" w:sz="0" w:space="0" w:color="auto"/>
      </w:divBdr>
    </w:div>
    <w:div w:id="152571191">
      <w:bodyDiv w:val="1"/>
      <w:marLeft w:val="0"/>
      <w:marRight w:val="0"/>
      <w:marTop w:val="0"/>
      <w:marBottom w:val="0"/>
      <w:divBdr>
        <w:top w:val="none" w:sz="0" w:space="0" w:color="auto"/>
        <w:left w:val="none" w:sz="0" w:space="0" w:color="auto"/>
        <w:bottom w:val="none" w:sz="0" w:space="0" w:color="auto"/>
        <w:right w:val="none" w:sz="0" w:space="0" w:color="auto"/>
      </w:divBdr>
    </w:div>
    <w:div w:id="159468399">
      <w:bodyDiv w:val="1"/>
      <w:marLeft w:val="0"/>
      <w:marRight w:val="0"/>
      <w:marTop w:val="0"/>
      <w:marBottom w:val="0"/>
      <w:divBdr>
        <w:top w:val="none" w:sz="0" w:space="0" w:color="auto"/>
        <w:left w:val="none" w:sz="0" w:space="0" w:color="auto"/>
        <w:bottom w:val="none" w:sz="0" w:space="0" w:color="auto"/>
        <w:right w:val="none" w:sz="0" w:space="0" w:color="auto"/>
      </w:divBdr>
      <w:divsChild>
        <w:div w:id="807668300">
          <w:marLeft w:val="0"/>
          <w:marRight w:val="0"/>
          <w:marTop w:val="0"/>
          <w:marBottom w:val="0"/>
          <w:divBdr>
            <w:top w:val="none" w:sz="0" w:space="0" w:color="auto"/>
            <w:left w:val="none" w:sz="0" w:space="0" w:color="auto"/>
            <w:bottom w:val="none" w:sz="0" w:space="0" w:color="auto"/>
            <w:right w:val="none" w:sz="0" w:space="0" w:color="auto"/>
          </w:divBdr>
        </w:div>
      </w:divsChild>
    </w:div>
    <w:div w:id="361134129">
      <w:bodyDiv w:val="1"/>
      <w:marLeft w:val="0"/>
      <w:marRight w:val="0"/>
      <w:marTop w:val="0"/>
      <w:marBottom w:val="0"/>
      <w:divBdr>
        <w:top w:val="none" w:sz="0" w:space="0" w:color="auto"/>
        <w:left w:val="none" w:sz="0" w:space="0" w:color="auto"/>
        <w:bottom w:val="none" w:sz="0" w:space="0" w:color="auto"/>
        <w:right w:val="none" w:sz="0" w:space="0" w:color="auto"/>
      </w:divBdr>
      <w:divsChild>
        <w:div w:id="1597786047">
          <w:marLeft w:val="0"/>
          <w:marRight w:val="0"/>
          <w:marTop w:val="0"/>
          <w:marBottom w:val="0"/>
          <w:divBdr>
            <w:top w:val="none" w:sz="0" w:space="0" w:color="auto"/>
            <w:left w:val="none" w:sz="0" w:space="0" w:color="auto"/>
            <w:bottom w:val="none" w:sz="0" w:space="0" w:color="auto"/>
            <w:right w:val="none" w:sz="0" w:space="0" w:color="auto"/>
          </w:divBdr>
        </w:div>
      </w:divsChild>
    </w:div>
    <w:div w:id="364328678">
      <w:bodyDiv w:val="1"/>
      <w:marLeft w:val="0"/>
      <w:marRight w:val="0"/>
      <w:marTop w:val="0"/>
      <w:marBottom w:val="0"/>
      <w:divBdr>
        <w:top w:val="none" w:sz="0" w:space="0" w:color="auto"/>
        <w:left w:val="none" w:sz="0" w:space="0" w:color="auto"/>
        <w:bottom w:val="none" w:sz="0" w:space="0" w:color="auto"/>
        <w:right w:val="none" w:sz="0" w:space="0" w:color="auto"/>
      </w:divBdr>
      <w:divsChild>
        <w:div w:id="924845290">
          <w:marLeft w:val="0"/>
          <w:marRight w:val="0"/>
          <w:marTop w:val="0"/>
          <w:marBottom w:val="0"/>
          <w:divBdr>
            <w:top w:val="none" w:sz="0" w:space="0" w:color="auto"/>
            <w:left w:val="none" w:sz="0" w:space="0" w:color="auto"/>
            <w:bottom w:val="none" w:sz="0" w:space="0" w:color="auto"/>
            <w:right w:val="none" w:sz="0" w:space="0" w:color="auto"/>
          </w:divBdr>
        </w:div>
      </w:divsChild>
    </w:div>
    <w:div w:id="368145361">
      <w:bodyDiv w:val="1"/>
      <w:marLeft w:val="0"/>
      <w:marRight w:val="0"/>
      <w:marTop w:val="0"/>
      <w:marBottom w:val="0"/>
      <w:divBdr>
        <w:top w:val="none" w:sz="0" w:space="0" w:color="auto"/>
        <w:left w:val="none" w:sz="0" w:space="0" w:color="auto"/>
        <w:bottom w:val="none" w:sz="0" w:space="0" w:color="auto"/>
        <w:right w:val="none" w:sz="0" w:space="0" w:color="auto"/>
      </w:divBdr>
      <w:divsChild>
        <w:div w:id="2017883872">
          <w:marLeft w:val="0"/>
          <w:marRight w:val="0"/>
          <w:marTop w:val="0"/>
          <w:marBottom w:val="0"/>
          <w:divBdr>
            <w:top w:val="none" w:sz="0" w:space="0" w:color="auto"/>
            <w:left w:val="none" w:sz="0" w:space="0" w:color="auto"/>
            <w:bottom w:val="none" w:sz="0" w:space="0" w:color="auto"/>
            <w:right w:val="none" w:sz="0" w:space="0" w:color="auto"/>
          </w:divBdr>
        </w:div>
      </w:divsChild>
    </w:div>
    <w:div w:id="398133833">
      <w:bodyDiv w:val="1"/>
      <w:marLeft w:val="0"/>
      <w:marRight w:val="0"/>
      <w:marTop w:val="0"/>
      <w:marBottom w:val="0"/>
      <w:divBdr>
        <w:top w:val="none" w:sz="0" w:space="0" w:color="auto"/>
        <w:left w:val="none" w:sz="0" w:space="0" w:color="auto"/>
        <w:bottom w:val="none" w:sz="0" w:space="0" w:color="auto"/>
        <w:right w:val="none" w:sz="0" w:space="0" w:color="auto"/>
      </w:divBdr>
      <w:divsChild>
        <w:div w:id="784079818">
          <w:marLeft w:val="0"/>
          <w:marRight w:val="0"/>
          <w:marTop w:val="0"/>
          <w:marBottom w:val="0"/>
          <w:divBdr>
            <w:top w:val="none" w:sz="0" w:space="0" w:color="auto"/>
            <w:left w:val="none" w:sz="0" w:space="0" w:color="auto"/>
            <w:bottom w:val="none" w:sz="0" w:space="0" w:color="auto"/>
            <w:right w:val="none" w:sz="0" w:space="0" w:color="auto"/>
          </w:divBdr>
        </w:div>
      </w:divsChild>
    </w:div>
    <w:div w:id="399448311">
      <w:bodyDiv w:val="1"/>
      <w:marLeft w:val="0"/>
      <w:marRight w:val="0"/>
      <w:marTop w:val="0"/>
      <w:marBottom w:val="0"/>
      <w:divBdr>
        <w:top w:val="none" w:sz="0" w:space="0" w:color="auto"/>
        <w:left w:val="none" w:sz="0" w:space="0" w:color="auto"/>
        <w:bottom w:val="none" w:sz="0" w:space="0" w:color="auto"/>
        <w:right w:val="none" w:sz="0" w:space="0" w:color="auto"/>
      </w:divBdr>
      <w:divsChild>
        <w:div w:id="1841656170">
          <w:marLeft w:val="0"/>
          <w:marRight w:val="0"/>
          <w:marTop w:val="0"/>
          <w:marBottom w:val="0"/>
          <w:divBdr>
            <w:top w:val="none" w:sz="0" w:space="0" w:color="auto"/>
            <w:left w:val="none" w:sz="0" w:space="0" w:color="auto"/>
            <w:bottom w:val="none" w:sz="0" w:space="0" w:color="auto"/>
            <w:right w:val="none" w:sz="0" w:space="0" w:color="auto"/>
          </w:divBdr>
        </w:div>
      </w:divsChild>
    </w:div>
    <w:div w:id="456679703">
      <w:bodyDiv w:val="1"/>
      <w:marLeft w:val="0"/>
      <w:marRight w:val="0"/>
      <w:marTop w:val="0"/>
      <w:marBottom w:val="0"/>
      <w:divBdr>
        <w:top w:val="none" w:sz="0" w:space="0" w:color="auto"/>
        <w:left w:val="none" w:sz="0" w:space="0" w:color="auto"/>
        <w:bottom w:val="none" w:sz="0" w:space="0" w:color="auto"/>
        <w:right w:val="none" w:sz="0" w:space="0" w:color="auto"/>
      </w:divBdr>
    </w:div>
    <w:div w:id="469396156">
      <w:bodyDiv w:val="1"/>
      <w:marLeft w:val="0"/>
      <w:marRight w:val="0"/>
      <w:marTop w:val="0"/>
      <w:marBottom w:val="0"/>
      <w:divBdr>
        <w:top w:val="none" w:sz="0" w:space="0" w:color="auto"/>
        <w:left w:val="none" w:sz="0" w:space="0" w:color="auto"/>
        <w:bottom w:val="none" w:sz="0" w:space="0" w:color="auto"/>
        <w:right w:val="none" w:sz="0" w:space="0" w:color="auto"/>
      </w:divBdr>
    </w:div>
    <w:div w:id="498430587">
      <w:bodyDiv w:val="1"/>
      <w:marLeft w:val="0"/>
      <w:marRight w:val="0"/>
      <w:marTop w:val="0"/>
      <w:marBottom w:val="0"/>
      <w:divBdr>
        <w:top w:val="none" w:sz="0" w:space="0" w:color="auto"/>
        <w:left w:val="none" w:sz="0" w:space="0" w:color="auto"/>
        <w:bottom w:val="none" w:sz="0" w:space="0" w:color="auto"/>
        <w:right w:val="none" w:sz="0" w:space="0" w:color="auto"/>
      </w:divBdr>
    </w:div>
    <w:div w:id="507256093">
      <w:bodyDiv w:val="1"/>
      <w:marLeft w:val="0"/>
      <w:marRight w:val="0"/>
      <w:marTop w:val="0"/>
      <w:marBottom w:val="0"/>
      <w:divBdr>
        <w:top w:val="none" w:sz="0" w:space="0" w:color="auto"/>
        <w:left w:val="none" w:sz="0" w:space="0" w:color="auto"/>
        <w:bottom w:val="none" w:sz="0" w:space="0" w:color="auto"/>
        <w:right w:val="none" w:sz="0" w:space="0" w:color="auto"/>
      </w:divBdr>
      <w:divsChild>
        <w:div w:id="529881886">
          <w:marLeft w:val="0"/>
          <w:marRight w:val="0"/>
          <w:marTop w:val="0"/>
          <w:marBottom w:val="0"/>
          <w:divBdr>
            <w:top w:val="none" w:sz="0" w:space="0" w:color="auto"/>
            <w:left w:val="none" w:sz="0" w:space="0" w:color="auto"/>
            <w:bottom w:val="none" w:sz="0" w:space="0" w:color="auto"/>
            <w:right w:val="none" w:sz="0" w:space="0" w:color="auto"/>
          </w:divBdr>
        </w:div>
      </w:divsChild>
    </w:div>
    <w:div w:id="521743965">
      <w:bodyDiv w:val="1"/>
      <w:marLeft w:val="0"/>
      <w:marRight w:val="0"/>
      <w:marTop w:val="0"/>
      <w:marBottom w:val="0"/>
      <w:divBdr>
        <w:top w:val="none" w:sz="0" w:space="0" w:color="auto"/>
        <w:left w:val="none" w:sz="0" w:space="0" w:color="auto"/>
        <w:bottom w:val="none" w:sz="0" w:space="0" w:color="auto"/>
        <w:right w:val="none" w:sz="0" w:space="0" w:color="auto"/>
      </w:divBdr>
    </w:div>
    <w:div w:id="548759855">
      <w:bodyDiv w:val="1"/>
      <w:marLeft w:val="0"/>
      <w:marRight w:val="0"/>
      <w:marTop w:val="0"/>
      <w:marBottom w:val="0"/>
      <w:divBdr>
        <w:top w:val="none" w:sz="0" w:space="0" w:color="auto"/>
        <w:left w:val="none" w:sz="0" w:space="0" w:color="auto"/>
        <w:bottom w:val="none" w:sz="0" w:space="0" w:color="auto"/>
        <w:right w:val="none" w:sz="0" w:space="0" w:color="auto"/>
      </w:divBdr>
      <w:divsChild>
        <w:div w:id="1326010061">
          <w:marLeft w:val="0"/>
          <w:marRight w:val="0"/>
          <w:marTop w:val="0"/>
          <w:marBottom w:val="0"/>
          <w:divBdr>
            <w:top w:val="none" w:sz="0" w:space="0" w:color="auto"/>
            <w:left w:val="none" w:sz="0" w:space="0" w:color="auto"/>
            <w:bottom w:val="none" w:sz="0" w:space="0" w:color="auto"/>
            <w:right w:val="none" w:sz="0" w:space="0" w:color="auto"/>
          </w:divBdr>
        </w:div>
      </w:divsChild>
    </w:div>
    <w:div w:id="555748342">
      <w:bodyDiv w:val="1"/>
      <w:marLeft w:val="0"/>
      <w:marRight w:val="0"/>
      <w:marTop w:val="0"/>
      <w:marBottom w:val="0"/>
      <w:divBdr>
        <w:top w:val="none" w:sz="0" w:space="0" w:color="auto"/>
        <w:left w:val="none" w:sz="0" w:space="0" w:color="auto"/>
        <w:bottom w:val="none" w:sz="0" w:space="0" w:color="auto"/>
        <w:right w:val="none" w:sz="0" w:space="0" w:color="auto"/>
      </w:divBdr>
      <w:divsChild>
        <w:div w:id="1472289812">
          <w:marLeft w:val="0"/>
          <w:marRight w:val="0"/>
          <w:marTop w:val="0"/>
          <w:marBottom w:val="0"/>
          <w:divBdr>
            <w:top w:val="none" w:sz="0" w:space="0" w:color="auto"/>
            <w:left w:val="none" w:sz="0" w:space="0" w:color="auto"/>
            <w:bottom w:val="none" w:sz="0" w:space="0" w:color="auto"/>
            <w:right w:val="none" w:sz="0" w:space="0" w:color="auto"/>
          </w:divBdr>
        </w:div>
      </w:divsChild>
    </w:div>
    <w:div w:id="572741653">
      <w:bodyDiv w:val="1"/>
      <w:marLeft w:val="0"/>
      <w:marRight w:val="0"/>
      <w:marTop w:val="0"/>
      <w:marBottom w:val="0"/>
      <w:divBdr>
        <w:top w:val="none" w:sz="0" w:space="0" w:color="auto"/>
        <w:left w:val="none" w:sz="0" w:space="0" w:color="auto"/>
        <w:bottom w:val="none" w:sz="0" w:space="0" w:color="auto"/>
        <w:right w:val="none" w:sz="0" w:space="0" w:color="auto"/>
      </w:divBdr>
    </w:div>
    <w:div w:id="576744731">
      <w:bodyDiv w:val="1"/>
      <w:marLeft w:val="0"/>
      <w:marRight w:val="0"/>
      <w:marTop w:val="0"/>
      <w:marBottom w:val="0"/>
      <w:divBdr>
        <w:top w:val="none" w:sz="0" w:space="0" w:color="auto"/>
        <w:left w:val="none" w:sz="0" w:space="0" w:color="auto"/>
        <w:bottom w:val="none" w:sz="0" w:space="0" w:color="auto"/>
        <w:right w:val="none" w:sz="0" w:space="0" w:color="auto"/>
      </w:divBdr>
      <w:divsChild>
        <w:div w:id="990719550">
          <w:marLeft w:val="0"/>
          <w:marRight w:val="0"/>
          <w:marTop w:val="0"/>
          <w:marBottom w:val="0"/>
          <w:divBdr>
            <w:top w:val="none" w:sz="0" w:space="0" w:color="auto"/>
            <w:left w:val="none" w:sz="0" w:space="0" w:color="auto"/>
            <w:bottom w:val="none" w:sz="0" w:space="0" w:color="auto"/>
            <w:right w:val="none" w:sz="0" w:space="0" w:color="auto"/>
          </w:divBdr>
        </w:div>
      </w:divsChild>
    </w:div>
    <w:div w:id="596716622">
      <w:bodyDiv w:val="1"/>
      <w:marLeft w:val="0"/>
      <w:marRight w:val="0"/>
      <w:marTop w:val="0"/>
      <w:marBottom w:val="0"/>
      <w:divBdr>
        <w:top w:val="none" w:sz="0" w:space="0" w:color="auto"/>
        <w:left w:val="none" w:sz="0" w:space="0" w:color="auto"/>
        <w:bottom w:val="none" w:sz="0" w:space="0" w:color="auto"/>
        <w:right w:val="none" w:sz="0" w:space="0" w:color="auto"/>
      </w:divBdr>
    </w:div>
    <w:div w:id="659892753">
      <w:bodyDiv w:val="1"/>
      <w:marLeft w:val="0"/>
      <w:marRight w:val="0"/>
      <w:marTop w:val="0"/>
      <w:marBottom w:val="0"/>
      <w:divBdr>
        <w:top w:val="none" w:sz="0" w:space="0" w:color="auto"/>
        <w:left w:val="none" w:sz="0" w:space="0" w:color="auto"/>
        <w:bottom w:val="none" w:sz="0" w:space="0" w:color="auto"/>
        <w:right w:val="none" w:sz="0" w:space="0" w:color="auto"/>
      </w:divBdr>
      <w:divsChild>
        <w:div w:id="876161495">
          <w:marLeft w:val="0"/>
          <w:marRight w:val="0"/>
          <w:marTop w:val="0"/>
          <w:marBottom w:val="0"/>
          <w:divBdr>
            <w:top w:val="none" w:sz="0" w:space="0" w:color="auto"/>
            <w:left w:val="none" w:sz="0" w:space="0" w:color="auto"/>
            <w:bottom w:val="none" w:sz="0" w:space="0" w:color="auto"/>
            <w:right w:val="none" w:sz="0" w:space="0" w:color="auto"/>
          </w:divBdr>
          <w:divsChild>
            <w:div w:id="1187866936">
              <w:marLeft w:val="0"/>
              <w:marRight w:val="0"/>
              <w:marTop w:val="0"/>
              <w:marBottom w:val="0"/>
              <w:divBdr>
                <w:top w:val="none" w:sz="0" w:space="0" w:color="auto"/>
                <w:left w:val="none" w:sz="0" w:space="0" w:color="auto"/>
                <w:bottom w:val="none" w:sz="0" w:space="0" w:color="auto"/>
                <w:right w:val="none" w:sz="0" w:space="0" w:color="auto"/>
              </w:divBdr>
              <w:divsChild>
                <w:div w:id="1167281423">
                  <w:marLeft w:val="0"/>
                  <w:marRight w:val="0"/>
                  <w:marTop w:val="0"/>
                  <w:marBottom w:val="0"/>
                  <w:divBdr>
                    <w:top w:val="none" w:sz="0" w:space="0" w:color="auto"/>
                    <w:left w:val="none" w:sz="0" w:space="0" w:color="auto"/>
                    <w:bottom w:val="none" w:sz="0" w:space="0" w:color="auto"/>
                    <w:right w:val="none" w:sz="0" w:space="0" w:color="auto"/>
                  </w:divBdr>
                  <w:divsChild>
                    <w:div w:id="519242794">
                      <w:marLeft w:val="0"/>
                      <w:marRight w:val="0"/>
                      <w:marTop w:val="0"/>
                      <w:marBottom w:val="0"/>
                      <w:divBdr>
                        <w:top w:val="none" w:sz="0" w:space="0" w:color="auto"/>
                        <w:left w:val="none" w:sz="0" w:space="0" w:color="auto"/>
                        <w:bottom w:val="none" w:sz="0" w:space="0" w:color="auto"/>
                        <w:right w:val="none" w:sz="0" w:space="0" w:color="auto"/>
                      </w:divBdr>
                      <w:divsChild>
                        <w:div w:id="1765804781">
                          <w:marLeft w:val="0"/>
                          <w:marRight w:val="0"/>
                          <w:marTop w:val="0"/>
                          <w:marBottom w:val="0"/>
                          <w:divBdr>
                            <w:top w:val="none" w:sz="0" w:space="0" w:color="auto"/>
                            <w:left w:val="none" w:sz="0" w:space="0" w:color="auto"/>
                            <w:bottom w:val="none" w:sz="0" w:space="0" w:color="auto"/>
                            <w:right w:val="none" w:sz="0" w:space="0" w:color="auto"/>
                          </w:divBdr>
                          <w:divsChild>
                            <w:div w:id="982928969">
                              <w:marLeft w:val="0"/>
                              <w:marRight w:val="0"/>
                              <w:marTop w:val="0"/>
                              <w:marBottom w:val="0"/>
                              <w:divBdr>
                                <w:top w:val="none" w:sz="0" w:space="0" w:color="auto"/>
                                <w:left w:val="none" w:sz="0" w:space="0" w:color="auto"/>
                                <w:bottom w:val="none" w:sz="0" w:space="0" w:color="auto"/>
                                <w:right w:val="none" w:sz="0" w:space="0" w:color="auto"/>
                              </w:divBdr>
                              <w:divsChild>
                                <w:div w:id="364138349">
                                  <w:marLeft w:val="0"/>
                                  <w:marRight w:val="0"/>
                                  <w:marTop w:val="0"/>
                                  <w:marBottom w:val="0"/>
                                  <w:divBdr>
                                    <w:top w:val="none" w:sz="0" w:space="0" w:color="auto"/>
                                    <w:left w:val="none" w:sz="0" w:space="0" w:color="auto"/>
                                    <w:bottom w:val="none" w:sz="0" w:space="0" w:color="auto"/>
                                    <w:right w:val="none" w:sz="0" w:space="0" w:color="auto"/>
                                  </w:divBdr>
                                  <w:divsChild>
                                    <w:div w:id="178954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517423">
      <w:bodyDiv w:val="1"/>
      <w:marLeft w:val="0"/>
      <w:marRight w:val="0"/>
      <w:marTop w:val="0"/>
      <w:marBottom w:val="0"/>
      <w:divBdr>
        <w:top w:val="none" w:sz="0" w:space="0" w:color="auto"/>
        <w:left w:val="none" w:sz="0" w:space="0" w:color="auto"/>
        <w:bottom w:val="none" w:sz="0" w:space="0" w:color="auto"/>
        <w:right w:val="none" w:sz="0" w:space="0" w:color="auto"/>
      </w:divBdr>
      <w:divsChild>
        <w:div w:id="1729256012">
          <w:marLeft w:val="0"/>
          <w:marRight w:val="0"/>
          <w:marTop w:val="0"/>
          <w:marBottom w:val="0"/>
          <w:divBdr>
            <w:top w:val="none" w:sz="0" w:space="0" w:color="auto"/>
            <w:left w:val="none" w:sz="0" w:space="0" w:color="auto"/>
            <w:bottom w:val="none" w:sz="0" w:space="0" w:color="auto"/>
            <w:right w:val="none" w:sz="0" w:space="0" w:color="auto"/>
          </w:divBdr>
        </w:div>
      </w:divsChild>
    </w:div>
    <w:div w:id="741027629">
      <w:bodyDiv w:val="1"/>
      <w:marLeft w:val="0"/>
      <w:marRight w:val="0"/>
      <w:marTop w:val="0"/>
      <w:marBottom w:val="0"/>
      <w:divBdr>
        <w:top w:val="none" w:sz="0" w:space="0" w:color="auto"/>
        <w:left w:val="none" w:sz="0" w:space="0" w:color="auto"/>
        <w:bottom w:val="none" w:sz="0" w:space="0" w:color="auto"/>
        <w:right w:val="none" w:sz="0" w:space="0" w:color="auto"/>
      </w:divBdr>
      <w:divsChild>
        <w:div w:id="1543400657">
          <w:marLeft w:val="0"/>
          <w:marRight w:val="0"/>
          <w:marTop w:val="0"/>
          <w:marBottom w:val="0"/>
          <w:divBdr>
            <w:top w:val="none" w:sz="0" w:space="0" w:color="auto"/>
            <w:left w:val="none" w:sz="0" w:space="0" w:color="auto"/>
            <w:bottom w:val="none" w:sz="0" w:space="0" w:color="auto"/>
            <w:right w:val="none" w:sz="0" w:space="0" w:color="auto"/>
          </w:divBdr>
        </w:div>
      </w:divsChild>
    </w:div>
    <w:div w:id="845944525">
      <w:bodyDiv w:val="1"/>
      <w:marLeft w:val="0"/>
      <w:marRight w:val="0"/>
      <w:marTop w:val="0"/>
      <w:marBottom w:val="0"/>
      <w:divBdr>
        <w:top w:val="none" w:sz="0" w:space="0" w:color="auto"/>
        <w:left w:val="none" w:sz="0" w:space="0" w:color="auto"/>
        <w:bottom w:val="none" w:sz="0" w:space="0" w:color="auto"/>
        <w:right w:val="none" w:sz="0" w:space="0" w:color="auto"/>
      </w:divBdr>
    </w:div>
    <w:div w:id="850148499">
      <w:bodyDiv w:val="1"/>
      <w:marLeft w:val="0"/>
      <w:marRight w:val="0"/>
      <w:marTop w:val="0"/>
      <w:marBottom w:val="0"/>
      <w:divBdr>
        <w:top w:val="none" w:sz="0" w:space="0" w:color="auto"/>
        <w:left w:val="none" w:sz="0" w:space="0" w:color="auto"/>
        <w:bottom w:val="none" w:sz="0" w:space="0" w:color="auto"/>
        <w:right w:val="none" w:sz="0" w:space="0" w:color="auto"/>
      </w:divBdr>
    </w:div>
    <w:div w:id="906957512">
      <w:bodyDiv w:val="1"/>
      <w:marLeft w:val="0"/>
      <w:marRight w:val="0"/>
      <w:marTop w:val="0"/>
      <w:marBottom w:val="0"/>
      <w:divBdr>
        <w:top w:val="none" w:sz="0" w:space="0" w:color="auto"/>
        <w:left w:val="none" w:sz="0" w:space="0" w:color="auto"/>
        <w:bottom w:val="none" w:sz="0" w:space="0" w:color="auto"/>
        <w:right w:val="none" w:sz="0" w:space="0" w:color="auto"/>
      </w:divBdr>
      <w:divsChild>
        <w:div w:id="174612601">
          <w:marLeft w:val="0"/>
          <w:marRight w:val="0"/>
          <w:marTop w:val="0"/>
          <w:marBottom w:val="0"/>
          <w:divBdr>
            <w:top w:val="none" w:sz="0" w:space="0" w:color="auto"/>
            <w:left w:val="none" w:sz="0" w:space="0" w:color="auto"/>
            <w:bottom w:val="none" w:sz="0" w:space="0" w:color="auto"/>
            <w:right w:val="none" w:sz="0" w:space="0" w:color="auto"/>
          </w:divBdr>
        </w:div>
      </w:divsChild>
    </w:div>
    <w:div w:id="945430509">
      <w:bodyDiv w:val="1"/>
      <w:marLeft w:val="0"/>
      <w:marRight w:val="0"/>
      <w:marTop w:val="0"/>
      <w:marBottom w:val="0"/>
      <w:divBdr>
        <w:top w:val="none" w:sz="0" w:space="0" w:color="auto"/>
        <w:left w:val="none" w:sz="0" w:space="0" w:color="auto"/>
        <w:bottom w:val="none" w:sz="0" w:space="0" w:color="auto"/>
        <w:right w:val="none" w:sz="0" w:space="0" w:color="auto"/>
      </w:divBdr>
      <w:divsChild>
        <w:div w:id="1416508498">
          <w:marLeft w:val="0"/>
          <w:marRight w:val="0"/>
          <w:marTop w:val="0"/>
          <w:marBottom w:val="0"/>
          <w:divBdr>
            <w:top w:val="none" w:sz="0" w:space="0" w:color="auto"/>
            <w:left w:val="none" w:sz="0" w:space="0" w:color="auto"/>
            <w:bottom w:val="none" w:sz="0" w:space="0" w:color="auto"/>
            <w:right w:val="none" w:sz="0" w:space="0" w:color="auto"/>
          </w:divBdr>
        </w:div>
      </w:divsChild>
    </w:div>
    <w:div w:id="953025152">
      <w:bodyDiv w:val="1"/>
      <w:marLeft w:val="0"/>
      <w:marRight w:val="0"/>
      <w:marTop w:val="0"/>
      <w:marBottom w:val="0"/>
      <w:divBdr>
        <w:top w:val="none" w:sz="0" w:space="0" w:color="auto"/>
        <w:left w:val="none" w:sz="0" w:space="0" w:color="auto"/>
        <w:bottom w:val="none" w:sz="0" w:space="0" w:color="auto"/>
        <w:right w:val="none" w:sz="0" w:space="0" w:color="auto"/>
      </w:divBdr>
    </w:div>
    <w:div w:id="1002243946">
      <w:bodyDiv w:val="1"/>
      <w:marLeft w:val="0"/>
      <w:marRight w:val="0"/>
      <w:marTop w:val="0"/>
      <w:marBottom w:val="0"/>
      <w:divBdr>
        <w:top w:val="none" w:sz="0" w:space="0" w:color="auto"/>
        <w:left w:val="none" w:sz="0" w:space="0" w:color="auto"/>
        <w:bottom w:val="none" w:sz="0" w:space="0" w:color="auto"/>
        <w:right w:val="none" w:sz="0" w:space="0" w:color="auto"/>
      </w:divBdr>
    </w:div>
    <w:div w:id="1049233371">
      <w:bodyDiv w:val="1"/>
      <w:marLeft w:val="0"/>
      <w:marRight w:val="0"/>
      <w:marTop w:val="0"/>
      <w:marBottom w:val="0"/>
      <w:divBdr>
        <w:top w:val="none" w:sz="0" w:space="0" w:color="auto"/>
        <w:left w:val="none" w:sz="0" w:space="0" w:color="auto"/>
        <w:bottom w:val="none" w:sz="0" w:space="0" w:color="auto"/>
        <w:right w:val="none" w:sz="0" w:space="0" w:color="auto"/>
      </w:divBdr>
      <w:divsChild>
        <w:div w:id="900558747">
          <w:marLeft w:val="0"/>
          <w:marRight w:val="0"/>
          <w:marTop w:val="0"/>
          <w:marBottom w:val="0"/>
          <w:divBdr>
            <w:top w:val="none" w:sz="0" w:space="0" w:color="auto"/>
            <w:left w:val="none" w:sz="0" w:space="0" w:color="auto"/>
            <w:bottom w:val="none" w:sz="0" w:space="0" w:color="auto"/>
            <w:right w:val="none" w:sz="0" w:space="0" w:color="auto"/>
          </w:divBdr>
        </w:div>
      </w:divsChild>
    </w:div>
    <w:div w:id="1076587202">
      <w:bodyDiv w:val="1"/>
      <w:marLeft w:val="0"/>
      <w:marRight w:val="0"/>
      <w:marTop w:val="0"/>
      <w:marBottom w:val="0"/>
      <w:divBdr>
        <w:top w:val="none" w:sz="0" w:space="0" w:color="auto"/>
        <w:left w:val="none" w:sz="0" w:space="0" w:color="auto"/>
        <w:bottom w:val="none" w:sz="0" w:space="0" w:color="auto"/>
        <w:right w:val="none" w:sz="0" w:space="0" w:color="auto"/>
      </w:divBdr>
      <w:divsChild>
        <w:div w:id="1249928221">
          <w:marLeft w:val="0"/>
          <w:marRight w:val="0"/>
          <w:marTop w:val="0"/>
          <w:marBottom w:val="0"/>
          <w:divBdr>
            <w:top w:val="none" w:sz="0" w:space="0" w:color="auto"/>
            <w:left w:val="none" w:sz="0" w:space="0" w:color="auto"/>
            <w:bottom w:val="none" w:sz="0" w:space="0" w:color="auto"/>
            <w:right w:val="none" w:sz="0" w:space="0" w:color="auto"/>
          </w:divBdr>
        </w:div>
      </w:divsChild>
    </w:div>
    <w:div w:id="1108622407">
      <w:bodyDiv w:val="1"/>
      <w:marLeft w:val="0"/>
      <w:marRight w:val="0"/>
      <w:marTop w:val="0"/>
      <w:marBottom w:val="0"/>
      <w:divBdr>
        <w:top w:val="none" w:sz="0" w:space="0" w:color="auto"/>
        <w:left w:val="none" w:sz="0" w:space="0" w:color="auto"/>
        <w:bottom w:val="none" w:sz="0" w:space="0" w:color="auto"/>
        <w:right w:val="none" w:sz="0" w:space="0" w:color="auto"/>
      </w:divBdr>
    </w:div>
    <w:div w:id="1178811567">
      <w:bodyDiv w:val="1"/>
      <w:marLeft w:val="0"/>
      <w:marRight w:val="0"/>
      <w:marTop w:val="0"/>
      <w:marBottom w:val="0"/>
      <w:divBdr>
        <w:top w:val="none" w:sz="0" w:space="0" w:color="auto"/>
        <w:left w:val="none" w:sz="0" w:space="0" w:color="auto"/>
        <w:bottom w:val="none" w:sz="0" w:space="0" w:color="auto"/>
        <w:right w:val="none" w:sz="0" w:space="0" w:color="auto"/>
      </w:divBdr>
    </w:div>
    <w:div w:id="1289242202">
      <w:bodyDiv w:val="1"/>
      <w:marLeft w:val="0"/>
      <w:marRight w:val="0"/>
      <w:marTop w:val="0"/>
      <w:marBottom w:val="0"/>
      <w:divBdr>
        <w:top w:val="none" w:sz="0" w:space="0" w:color="auto"/>
        <w:left w:val="none" w:sz="0" w:space="0" w:color="auto"/>
        <w:bottom w:val="none" w:sz="0" w:space="0" w:color="auto"/>
        <w:right w:val="none" w:sz="0" w:space="0" w:color="auto"/>
      </w:divBdr>
    </w:div>
    <w:div w:id="1304701674">
      <w:bodyDiv w:val="1"/>
      <w:marLeft w:val="0"/>
      <w:marRight w:val="0"/>
      <w:marTop w:val="0"/>
      <w:marBottom w:val="0"/>
      <w:divBdr>
        <w:top w:val="none" w:sz="0" w:space="0" w:color="auto"/>
        <w:left w:val="none" w:sz="0" w:space="0" w:color="auto"/>
        <w:bottom w:val="none" w:sz="0" w:space="0" w:color="auto"/>
        <w:right w:val="none" w:sz="0" w:space="0" w:color="auto"/>
      </w:divBdr>
    </w:div>
    <w:div w:id="1312711098">
      <w:bodyDiv w:val="1"/>
      <w:marLeft w:val="0"/>
      <w:marRight w:val="0"/>
      <w:marTop w:val="0"/>
      <w:marBottom w:val="0"/>
      <w:divBdr>
        <w:top w:val="none" w:sz="0" w:space="0" w:color="auto"/>
        <w:left w:val="none" w:sz="0" w:space="0" w:color="auto"/>
        <w:bottom w:val="none" w:sz="0" w:space="0" w:color="auto"/>
        <w:right w:val="none" w:sz="0" w:space="0" w:color="auto"/>
      </w:divBdr>
    </w:div>
    <w:div w:id="1342583831">
      <w:bodyDiv w:val="1"/>
      <w:marLeft w:val="0"/>
      <w:marRight w:val="0"/>
      <w:marTop w:val="0"/>
      <w:marBottom w:val="0"/>
      <w:divBdr>
        <w:top w:val="none" w:sz="0" w:space="0" w:color="auto"/>
        <w:left w:val="none" w:sz="0" w:space="0" w:color="auto"/>
        <w:bottom w:val="none" w:sz="0" w:space="0" w:color="auto"/>
        <w:right w:val="none" w:sz="0" w:space="0" w:color="auto"/>
      </w:divBdr>
    </w:div>
    <w:div w:id="1408964728">
      <w:bodyDiv w:val="1"/>
      <w:marLeft w:val="0"/>
      <w:marRight w:val="0"/>
      <w:marTop w:val="0"/>
      <w:marBottom w:val="0"/>
      <w:divBdr>
        <w:top w:val="none" w:sz="0" w:space="0" w:color="auto"/>
        <w:left w:val="none" w:sz="0" w:space="0" w:color="auto"/>
        <w:bottom w:val="none" w:sz="0" w:space="0" w:color="auto"/>
        <w:right w:val="none" w:sz="0" w:space="0" w:color="auto"/>
      </w:divBdr>
      <w:divsChild>
        <w:div w:id="1575318845">
          <w:marLeft w:val="0"/>
          <w:marRight w:val="0"/>
          <w:marTop w:val="0"/>
          <w:marBottom w:val="0"/>
          <w:divBdr>
            <w:top w:val="none" w:sz="0" w:space="0" w:color="auto"/>
            <w:left w:val="none" w:sz="0" w:space="0" w:color="auto"/>
            <w:bottom w:val="none" w:sz="0" w:space="0" w:color="auto"/>
            <w:right w:val="none" w:sz="0" w:space="0" w:color="auto"/>
          </w:divBdr>
        </w:div>
      </w:divsChild>
    </w:div>
    <w:div w:id="1422918878">
      <w:bodyDiv w:val="1"/>
      <w:marLeft w:val="0"/>
      <w:marRight w:val="0"/>
      <w:marTop w:val="0"/>
      <w:marBottom w:val="0"/>
      <w:divBdr>
        <w:top w:val="none" w:sz="0" w:space="0" w:color="auto"/>
        <w:left w:val="none" w:sz="0" w:space="0" w:color="auto"/>
        <w:bottom w:val="none" w:sz="0" w:space="0" w:color="auto"/>
        <w:right w:val="none" w:sz="0" w:space="0" w:color="auto"/>
      </w:divBdr>
      <w:divsChild>
        <w:div w:id="1590771448">
          <w:marLeft w:val="0"/>
          <w:marRight w:val="0"/>
          <w:marTop w:val="0"/>
          <w:marBottom w:val="0"/>
          <w:divBdr>
            <w:top w:val="none" w:sz="0" w:space="0" w:color="auto"/>
            <w:left w:val="none" w:sz="0" w:space="0" w:color="auto"/>
            <w:bottom w:val="none" w:sz="0" w:space="0" w:color="auto"/>
            <w:right w:val="none" w:sz="0" w:space="0" w:color="auto"/>
          </w:divBdr>
          <w:divsChild>
            <w:div w:id="1200126540">
              <w:marLeft w:val="0"/>
              <w:marRight w:val="0"/>
              <w:marTop w:val="0"/>
              <w:marBottom w:val="0"/>
              <w:divBdr>
                <w:top w:val="none" w:sz="0" w:space="0" w:color="auto"/>
                <w:left w:val="none" w:sz="0" w:space="0" w:color="auto"/>
                <w:bottom w:val="none" w:sz="0" w:space="0" w:color="auto"/>
                <w:right w:val="none" w:sz="0" w:space="0" w:color="auto"/>
              </w:divBdr>
              <w:divsChild>
                <w:div w:id="890731240">
                  <w:marLeft w:val="0"/>
                  <w:marRight w:val="0"/>
                  <w:marTop w:val="0"/>
                  <w:marBottom w:val="0"/>
                  <w:divBdr>
                    <w:top w:val="none" w:sz="0" w:space="0" w:color="auto"/>
                    <w:left w:val="none" w:sz="0" w:space="0" w:color="auto"/>
                    <w:bottom w:val="none" w:sz="0" w:space="0" w:color="auto"/>
                    <w:right w:val="none" w:sz="0" w:space="0" w:color="auto"/>
                  </w:divBdr>
                  <w:divsChild>
                    <w:div w:id="475530245">
                      <w:marLeft w:val="0"/>
                      <w:marRight w:val="0"/>
                      <w:marTop w:val="0"/>
                      <w:marBottom w:val="0"/>
                      <w:divBdr>
                        <w:top w:val="none" w:sz="0" w:space="0" w:color="auto"/>
                        <w:left w:val="none" w:sz="0" w:space="0" w:color="auto"/>
                        <w:bottom w:val="none" w:sz="0" w:space="0" w:color="auto"/>
                        <w:right w:val="none" w:sz="0" w:space="0" w:color="auto"/>
                      </w:divBdr>
                      <w:divsChild>
                        <w:div w:id="1299186669">
                          <w:marLeft w:val="0"/>
                          <w:marRight w:val="0"/>
                          <w:marTop w:val="0"/>
                          <w:marBottom w:val="0"/>
                          <w:divBdr>
                            <w:top w:val="none" w:sz="0" w:space="0" w:color="auto"/>
                            <w:left w:val="none" w:sz="0" w:space="0" w:color="auto"/>
                            <w:bottom w:val="none" w:sz="0" w:space="0" w:color="auto"/>
                            <w:right w:val="none" w:sz="0" w:space="0" w:color="auto"/>
                          </w:divBdr>
                          <w:divsChild>
                            <w:div w:id="1739788545">
                              <w:marLeft w:val="0"/>
                              <w:marRight w:val="0"/>
                              <w:marTop w:val="0"/>
                              <w:marBottom w:val="0"/>
                              <w:divBdr>
                                <w:top w:val="none" w:sz="0" w:space="0" w:color="auto"/>
                                <w:left w:val="none" w:sz="0" w:space="0" w:color="auto"/>
                                <w:bottom w:val="none" w:sz="0" w:space="0" w:color="auto"/>
                                <w:right w:val="none" w:sz="0" w:space="0" w:color="auto"/>
                              </w:divBdr>
                              <w:divsChild>
                                <w:div w:id="457994294">
                                  <w:marLeft w:val="0"/>
                                  <w:marRight w:val="0"/>
                                  <w:marTop w:val="0"/>
                                  <w:marBottom w:val="0"/>
                                  <w:divBdr>
                                    <w:top w:val="none" w:sz="0" w:space="0" w:color="auto"/>
                                    <w:left w:val="none" w:sz="0" w:space="0" w:color="auto"/>
                                    <w:bottom w:val="none" w:sz="0" w:space="0" w:color="auto"/>
                                    <w:right w:val="none" w:sz="0" w:space="0" w:color="auto"/>
                                  </w:divBdr>
                                  <w:divsChild>
                                    <w:div w:id="45556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7333110">
      <w:bodyDiv w:val="1"/>
      <w:marLeft w:val="0"/>
      <w:marRight w:val="0"/>
      <w:marTop w:val="0"/>
      <w:marBottom w:val="0"/>
      <w:divBdr>
        <w:top w:val="none" w:sz="0" w:space="0" w:color="auto"/>
        <w:left w:val="none" w:sz="0" w:space="0" w:color="auto"/>
        <w:bottom w:val="none" w:sz="0" w:space="0" w:color="auto"/>
        <w:right w:val="none" w:sz="0" w:space="0" w:color="auto"/>
      </w:divBdr>
      <w:divsChild>
        <w:div w:id="1812675811">
          <w:marLeft w:val="0"/>
          <w:marRight w:val="0"/>
          <w:marTop w:val="0"/>
          <w:marBottom w:val="0"/>
          <w:divBdr>
            <w:top w:val="none" w:sz="0" w:space="0" w:color="auto"/>
            <w:left w:val="none" w:sz="0" w:space="0" w:color="auto"/>
            <w:bottom w:val="none" w:sz="0" w:space="0" w:color="auto"/>
            <w:right w:val="none" w:sz="0" w:space="0" w:color="auto"/>
          </w:divBdr>
        </w:div>
      </w:divsChild>
    </w:div>
    <w:div w:id="1566405624">
      <w:bodyDiv w:val="1"/>
      <w:marLeft w:val="0"/>
      <w:marRight w:val="0"/>
      <w:marTop w:val="0"/>
      <w:marBottom w:val="0"/>
      <w:divBdr>
        <w:top w:val="none" w:sz="0" w:space="0" w:color="auto"/>
        <w:left w:val="none" w:sz="0" w:space="0" w:color="auto"/>
        <w:bottom w:val="none" w:sz="0" w:space="0" w:color="auto"/>
        <w:right w:val="none" w:sz="0" w:space="0" w:color="auto"/>
      </w:divBdr>
    </w:div>
    <w:div w:id="1672289777">
      <w:bodyDiv w:val="1"/>
      <w:marLeft w:val="0"/>
      <w:marRight w:val="0"/>
      <w:marTop w:val="0"/>
      <w:marBottom w:val="0"/>
      <w:divBdr>
        <w:top w:val="none" w:sz="0" w:space="0" w:color="auto"/>
        <w:left w:val="none" w:sz="0" w:space="0" w:color="auto"/>
        <w:bottom w:val="none" w:sz="0" w:space="0" w:color="auto"/>
        <w:right w:val="none" w:sz="0" w:space="0" w:color="auto"/>
      </w:divBdr>
    </w:div>
    <w:div w:id="1727340048">
      <w:bodyDiv w:val="1"/>
      <w:marLeft w:val="0"/>
      <w:marRight w:val="0"/>
      <w:marTop w:val="0"/>
      <w:marBottom w:val="0"/>
      <w:divBdr>
        <w:top w:val="none" w:sz="0" w:space="0" w:color="auto"/>
        <w:left w:val="none" w:sz="0" w:space="0" w:color="auto"/>
        <w:bottom w:val="none" w:sz="0" w:space="0" w:color="auto"/>
        <w:right w:val="none" w:sz="0" w:space="0" w:color="auto"/>
      </w:divBdr>
      <w:divsChild>
        <w:div w:id="1411846368">
          <w:marLeft w:val="0"/>
          <w:marRight w:val="0"/>
          <w:marTop w:val="0"/>
          <w:marBottom w:val="0"/>
          <w:divBdr>
            <w:top w:val="none" w:sz="0" w:space="0" w:color="auto"/>
            <w:left w:val="none" w:sz="0" w:space="0" w:color="auto"/>
            <w:bottom w:val="none" w:sz="0" w:space="0" w:color="auto"/>
            <w:right w:val="none" w:sz="0" w:space="0" w:color="auto"/>
          </w:divBdr>
        </w:div>
      </w:divsChild>
    </w:div>
    <w:div w:id="1763992987">
      <w:bodyDiv w:val="1"/>
      <w:marLeft w:val="0"/>
      <w:marRight w:val="0"/>
      <w:marTop w:val="0"/>
      <w:marBottom w:val="0"/>
      <w:divBdr>
        <w:top w:val="none" w:sz="0" w:space="0" w:color="auto"/>
        <w:left w:val="none" w:sz="0" w:space="0" w:color="auto"/>
        <w:bottom w:val="none" w:sz="0" w:space="0" w:color="auto"/>
        <w:right w:val="none" w:sz="0" w:space="0" w:color="auto"/>
      </w:divBdr>
      <w:divsChild>
        <w:div w:id="596331081">
          <w:marLeft w:val="0"/>
          <w:marRight w:val="0"/>
          <w:marTop w:val="0"/>
          <w:marBottom w:val="0"/>
          <w:divBdr>
            <w:top w:val="none" w:sz="0" w:space="0" w:color="auto"/>
            <w:left w:val="none" w:sz="0" w:space="0" w:color="auto"/>
            <w:bottom w:val="none" w:sz="0" w:space="0" w:color="auto"/>
            <w:right w:val="none" w:sz="0" w:space="0" w:color="auto"/>
          </w:divBdr>
        </w:div>
      </w:divsChild>
    </w:div>
    <w:div w:id="1825660287">
      <w:bodyDiv w:val="1"/>
      <w:marLeft w:val="0"/>
      <w:marRight w:val="0"/>
      <w:marTop w:val="0"/>
      <w:marBottom w:val="0"/>
      <w:divBdr>
        <w:top w:val="none" w:sz="0" w:space="0" w:color="auto"/>
        <w:left w:val="none" w:sz="0" w:space="0" w:color="auto"/>
        <w:bottom w:val="none" w:sz="0" w:space="0" w:color="auto"/>
        <w:right w:val="none" w:sz="0" w:space="0" w:color="auto"/>
      </w:divBdr>
      <w:divsChild>
        <w:div w:id="77529111">
          <w:marLeft w:val="0"/>
          <w:marRight w:val="0"/>
          <w:marTop w:val="0"/>
          <w:marBottom w:val="0"/>
          <w:divBdr>
            <w:top w:val="none" w:sz="0" w:space="0" w:color="auto"/>
            <w:left w:val="none" w:sz="0" w:space="0" w:color="auto"/>
            <w:bottom w:val="none" w:sz="0" w:space="0" w:color="auto"/>
            <w:right w:val="none" w:sz="0" w:space="0" w:color="auto"/>
          </w:divBdr>
        </w:div>
      </w:divsChild>
    </w:div>
    <w:div w:id="1836991061">
      <w:bodyDiv w:val="1"/>
      <w:marLeft w:val="0"/>
      <w:marRight w:val="0"/>
      <w:marTop w:val="0"/>
      <w:marBottom w:val="0"/>
      <w:divBdr>
        <w:top w:val="none" w:sz="0" w:space="0" w:color="auto"/>
        <w:left w:val="none" w:sz="0" w:space="0" w:color="auto"/>
        <w:bottom w:val="none" w:sz="0" w:space="0" w:color="auto"/>
        <w:right w:val="none" w:sz="0" w:space="0" w:color="auto"/>
      </w:divBdr>
    </w:div>
    <w:div w:id="1885556060">
      <w:bodyDiv w:val="1"/>
      <w:marLeft w:val="0"/>
      <w:marRight w:val="0"/>
      <w:marTop w:val="0"/>
      <w:marBottom w:val="0"/>
      <w:divBdr>
        <w:top w:val="none" w:sz="0" w:space="0" w:color="auto"/>
        <w:left w:val="none" w:sz="0" w:space="0" w:color="auto"/>
        <w:bottom w:val="none" w:sz="0" w:space="0" w:color="auto"/>
        <w:right w:val="none" w:sz="0" w:space="0" w:color="auto"/>
      </w:divBdr>
    </w:div>
    <w:div w:id="1886916088">
      <w:bodyDiv w:val="1"/>
      <w:marLeft w:val="0"/>
      <w:marRight w:val="0"/>
      <w:marTop w:val="0"/>
      <w:marBottom w:val="0"/>
      <w:divBdr>
        <w:top w:val="none" w:sz="0" w:space="0" w:color="auto"/>
        <w:left w:val="none" w:sz="0" w:space="0" w:color="auto"/>
        <w:bottom w:val="none" w:sz="0" w:space="0" w:color="auto"/>
        <w:right w:val="none" w:sz="0" w:space="0" w:color="auto"/>
      </w:divBdr>
    </w:div>
    <w:div w:id="1970015838">
      <w:bodyDiv w:val="1"/>
      <w:marLeft w:val="0"/>
      <w:marRight w:val="0"/>
      <w:marTop w:val="0"/>
      <w:marBottom w:val="0"/>
      <w:divBdr>
        <w:top w:val="none" w:sz="0" w:space="0" w:color="auto"/>
        <w:left w:val="none" w:sz="0" w:space="0" w:color="auto"/>
        <w:bottom w:val="none" w:sz="0" w:space="0" w:color="auto"/>
        <w:right w:val="none" w:sz="0" w:space="0" w:color="auto"/>
      </w:divBdr>
    </w:div>
    <w:div w:id="1999262969">
      <w:bodyDiv w:val="1"/>
      <w:marLeft w:val="0"/>
      <w:marRight w:val="0"/>
      <w:marTop w:val="0"/>
      <w:marBottom w:val="0"/>
      <w:divBdr>
        <w:top w:val="none" w:sz="0" w:space="0" w:color="auto"/>
        <w:left w:val="none" w:sz="0" w:space="0" w:color="auto"/>
        <w:bottom w:val="none" w:sz="0" w:space="0" w:color="auto"/>
        <w:right w:val="none" w:sz="0" w:space="0" w:color="auto"/>
      </w:divBdr>
    </w:div>
    <w:div w:id="207042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20https://www.tandfonline.com/doi/abs/10.1080/10409289.2015.1036348?casa_token=wZTEpqLv3PkAAAAA:o5cdl5V08EbezI-wUs3Db3OOvNMkoFK01EJYuvpnI0NXiAnjNQH5meAbLg-H4JPNWyMhPpG2-H_1hods%20-%20Wiley%20Online%20Library" TargetMode="External"/><Relationship Id="rId13" Type="http://schemas.openxmlformats.org/officeDocument/2006/relationships/hyperlink" Target="https://www.tandfonline.com/doi/abs/10.1080/10409289.2015.1036348?casa_token=wZTEpqLv3PkAAAAA:o5cdl5V08EbezI-wUs3Db3OOvNMkoFK01EJYuvpnI0NXiAnjNQH5meAbLg-H4JPNWyMhPpG2-H_1utory%20and%20Mandatory%20Training%20in%20Health%20and%20Social%20Care%20|%20A%20Toolkit" TargetMode="External"/><Relationship Id="rId18" Type="http://schemas.openxmlformats.org/officeDocument/2006/relationships/hyperlink" Target="%20https://www.tandfonline.com/doi/abs/10.1080/10409289.2015.1036348?casa_token=wZTEpqLv3PkAAAAA:o5cdl5V08EbezI-wUs3Db3OOvNMkoFK01EJYuvpnI0NXiAnjNQH5meAbLg-H4JPNWyMhPpG2-H_1nstitutional%20Care%20-%20Katharin%20Hermenau,%20Katharina%20Goessmann,%20Niels%20Peter%20Rygaard,%20Markus%20A.%20Landolt,%20Tobias%20Hecker,%20201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20https://www.tandfonline.com/doi/abs/10.1080/10409289.2015.1036348?casa_token=wZTEpqLv3PkAAAAA:o5cdl5V08EbezI-wUs3Db3OOvNMkoFK01EJYuvpnI0NXiAnjNQH5meAbLg-H4JPNWyMhPpG2-H_1rLink" TargetMode="External"/><Relationship Id="rId7" Type="http://schemas.openxmlformats.org/officeDocument/2006/relationships/hyperlink" Target="https://www.tandfonline.com/doi/abs/10.1080/10409289.2015.1036348?casa_token=wZTEpqLv3PkAAAAA:o5cdl5V08EbezI-wUs3Db3OOvNMkoFK01EJYuvpnI0NXiAnjNQH5meAbLg-H4JPNWyMhPpG2-H_1%20Care%20Inspectorate%20Wales" TargetMode="External"/><Relationship Id="rId12" Type="http://schemas.openxmlformats.org/officeDocument/2006/relationships/hyperlink" Target="%20%20https://www.tandfonline.com/doi/abs/10.1080/10409289.2015.1036348?casa_token=wZTEpqLv3PkAAAAA:o5cdl5V08EbezI-wUs3Db3OOvNMkoFK01EJYuvpnI0NXiAnjNQH5meAbLg-H4JPNWyMhPpG2-H_1_Emotional_Well_being_scales_Presentation.pdftion" TargetMode="External"/><Relationship Id="rId17" Type="http://schemas.openxmlformats.org/officeDocument/2006/relationships/hyperlink" Target="https://link.springer.com/article/10.1007/s40889-017-0034-2"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kaplanco.com/product/28800/early-childhood-environment-rating-scale-third-edition-ecers-3?c=17%7CEA1015vironment%20Rating%20Scale&#174;,%20Third%20Edition%20(ECERS-3&#8482;)" TargetMode="External"/><Relationship Id="rId20" Type="http://schemas.openxmlformats.org/officeDocument/2006/relationships/hyperlink" Target="https://www.sciencedirect.com/science/article/pii/S0925527315005344?casa_token=_xlEo8eReH0AAAAA:jOXwGWLqzIgKvJMzquAUDUkj6AkNY7tlK3J4Rtlw5xbNGZvgNy1bqvOHEzZ835qadBYhHYDwLj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abs/10.1080/10409289.2015.1036348?casa_token=wZTEpqLv3PkAAAAA:o5cdl5V08EbezI-wUs3Db3OOvNMkoFK01EJYuvpnI0NXiAnjNQH5meAbLg-H4JPNWyMhPpG2-H_1yn" TargetMode="External"/><Relationship Id="rId24" Type="http://schemas.openxmlformats.org/officeDocument/2006/relationships/hyperlink" Target="%20https://www.vic.gov.au/sustained-shared-thinking-and-emotional-wellbeing-sstew-scaled%20Emotional%20Wellbeing%20(SSTEW)%20Scale%20|%20vic.gov.au" TargetMode="External"/><Relationship Id="rId5" Type="http://schemas.openxmlformats.org/officeDocument/2006/relationships/footnotes" Target="footnotes.xml"/><Relationship Id="rId15" Type="http://schemas.openxmlformats.org/officeDocument/2006/relationships/hyperlink" Target="https://www.tandfonline.com/doi/abs/10.1080/10409289.2015.1036348?casa_token=wZTEpqLv3PkAAAAA:o5cdl5V08EbezI-wUs3Db3OOvNMkoFK01EJYuvpnI0NXiAnjNQH5meAbLg-H4JPNWyMhPpG2-H_1d%20-%20GOV.UK" TargetMode="External"/><Relationship Id="rId23" Type="http://schemas.openxmlformats.org/officeDocument/2006/relationships/hyperlink" Target="https://www.tandfonline.com/doi/abs/10.1080/10409289.2015.1036348?casa_token=wZTEpqLv3PkAAAAA:o5cdl5V08EbezI-wUs3Db3OOvNMkoFK01EJYuvpnI0NXiAnjNQH5meAbLg-H4JPNWyMhPpG2-H_1" TargetMode="External"/><Relationship Id="rId10" Type="http://schemas.openxmlformats.org/officeDocument/2006/relationships/hyperlink" Target="%20https://www.tandfonline.com/doi/abs/10.1080/10409289.2015.1036348?casa_token=wZTEpqLv3PkAAAAA:o5cdl5V08EbezI-wUs3Db3OOvNMkoFK01EJYuvpnI0NXiAnjNQH5meAbLg-H4JPNWyMhPpG2-H_1Emerald%20Insight" TargetMode="External"/><Relationship Id="rId19" Type="http://schemas.openxmlformats.org/officeDocument/2006/relationships/hyperlink" Target="https://www.routledge.com/The-Sustained-Shared-Thinking-and-Emotional-Well-being-SSTEW-Scale-Supporting-Process-Quality-in-Early-Childhood/Siraj-Kingston-Melhuish/p/book/9781032460499?srsltid=AfmBOoqIn8nbizy_RXQ4TbZLjT7A68anDFLB7BhEJAeRzuRWwxeJ9FQF" TargetMode="External"/><Relationship Id="rId4" Type="http://schemas.openxmlformats.org/officeDocument/2006/relationships/webSettings" Target="webSettings.xml"/><Relationship Id="rId9" Type="http://schemas.openxmlformats.org/officeDocument/2006/relationships/hyperlink" Target="https://www.tandfonline.com/doi/full/10.1080/00131911.2022.2077704" TargetMode="External"/><Relationship Id="rId14" Type="http://schemas.openxmlformats.org/officeDocument/2006/relationships/hyperlink" Target="https://www.tandfonline.com/doi/abs/10.1080/10409289.2015.1036348?casa_token=wZTEpqLv3PkAAAAA:o5cdl5V08EbezI-wUs3Db3OOvNMkoFK01EJYuvpnI0NXiAnjNQH5meAbLg-H4JPNWyMhPpG2-H_1Relation%20to%20School%20Readiness%20Goals:%20Early%20Education%20and%20Development:%20Vol%2026,%20No%208" TargetMode="External"/><Relationship Id="rId22" Type="http://schemas.openxmlformats.org/officeDocument/2006/relationships/hyperlink" Target="file:///C:\Users\User\Downloads\1-WhatisQuality.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8026</TotalTime>
  <Pages>9</Pages>
  <Words>3278</Words>
  <Characters>18685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Watts (2204216)</dc:creator>
  <cp:keywords/>
  <dc:description/>
  <cp:lastModifiedBy>Lauren Watts (2204216)</cp:lastModifiedBy>
  <cp:revision>6</cp:revision>
  <dcterms:created xsi:type="dcterms:W3CDTF">2025-03-31T16:14:00Z</dcterms:created>
  <dcterms:modified xsi:type="dcterms:W3CDTF">2025-04-06T14:51:00Z</dcterms:modified>
</cp:coreProperties>
</file>