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AC9891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1225E">
              <w:rPr>
                <w:rFonts w:ascii="Times New Roman" w:hAnsi="Times New Roman" w:cs="Times New Roman"/>
                <w:b/>
                <w:color w:val="auto"/>
                <w:sz w:val="48"/>
              </w:rPr>
              <w:t xml:space="preserve">Joanne Millar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63D26D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732C7">
              <w:rPr>
                <w:rFonts w:ascii="Times New Roman" w:hAnsi="Times New Roman" w:cs="Times New Roman"/>
                <w:b/>
                <w:color w:val="auto"/>
                <w:sz w:val="48"/>
              </w:rPr>
              <w:t xml:space="preserve"> joanne.millar@flintshire.gov.uk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AF7EB0" w14:textId="7D2BA260" w:rsidR="009732C7" w:rsidRPr="005D3F07" w:rsidRDefault="009732C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2222013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0CBF62A5" w14:textId="77777777" w:rsidR="0035175F" w:rsidRDefault="0035175F" w:rsidP="0035175F">
            <w:pPr>
              <w:spacing w:line="360" w:lineRule="auto"/>
              <w:jc w:val="both"/>
              <w:rPr>
                <w:sz w:val="24"/>
                <w:szCs w:val="24"/>
              </w:rPr>
            </w:pPr>
            <w:r>
              <w:rPr>
                <w:sz w:val="24"/>
                <w:szCs w:val="24"/>
              </w:rPr>
              <w:t xml:space="preserve">Whilst I am currently working as a social worker in Childrens Services part of my role is to build relationships with the parents of the children I am working with. During my time working with the parents, it is imperative that I also have some knowledge and understanding around adult safeguarding and what process I should follow if I am concerned an adult is at risk of harm. Having the knowledge and understanding of adult safeguarding legislation ensure’ s that I am aware how to support the parents that I am working with and make referrals if required. Outlined within the Social Services Wellbeing Act (SSWBA) (2014) part of my duty as a social worker is to safeguard all individuals that may be at risk of harm. </w:t>
            </w:r>
          </w:p>
          <w:p w14:paraId="2537FB6E" w14:textId="77777777" w:rsidR="0035175F" w:rsidRDefault="0035175F" w:rsidP="0035175F">
            <w:pPr>
              <w:jc w:val="both"/>
              <w:rPr>
                <w:sz w:val="24"/>
                <w:szCs w:val="24"/>
              </w:rPr>
            </w:pPr>
          </w:p>
          <w:p w14:paraId="6FB57A3C" w14:textId="77777777" w:rsidR="0035175F" w:rsidRDefault="0035175F" w:rsidP="0035175F">
            <w:pPr>
              <w:overflowPunct/>
              <w:autoSpaceDE/>
              <w:autoSpaceDN/>
              <w:adjustRightInd/>
              <w:spacing w:after="160" w:line="360" w:lineRule="auto"/>
              <w:jc w:val="both"/>
              <w:textAlignment w:val="auto"/>
              <w:rPr>
                <w:iCs/>
                <w:sz w:val="24"/>
                <w:szCs w:val="24"/>
              </w:rPr>
            </w:pPr>
            <w:r w:rsidRPr="00F60661">
              <w:rPr>
                <w:color w:val="auto"/>
                <w:sz w:val="24"/>
                <w:szCs w:val="24"/>
                <w:lang w:val="en-US" w:eastAsia="en-US"/>
              </w:rPr>
              <w:t>An adult at risk i</w:t>
            </w:r>
            <w:r>
              <w:rPr>
                <w:color w:val="auto"/>
                <w:sz w:val="24"/>
                <w:szCs w:val="24"/>
                <w:lang w:val="en-US" w:eastAsia="en-US"/>
              </w:rPr>
              <w:t>s</w:t>
            </w:r>
            <w:r w:rsidRPr="00F60661">
              <w:rPr>
                <w:color w:val="auto"/>
                <w:sz w:val="24"/>
                <w:szCs w:val="24"/>
                <w:lang w:val="en-US" w:eastAsia="en-US"/>
              </w:rPr>
              <w:t xml:space="preserve"> defined in Part 7 of the Social Services and Wellbeing Act (2014); which state</w:t>
            </w:r>
            <w:r>
              <w:rPr>
                <w:color w:val="auto"/>
                <w:sz w:val="24"/>
                <w:szCs w:val="24"/>
                <w:lang w:val="en-US" w:eastAsia="en-US"/>
              </w:rPr>
              <w:t xml:space="preserve">s </w:t>
            </w:r>
            <w:r w:rsidRPr="00F60661">
              <w:rPr>
                <w:color w:val="auto"/>
                <w:sz w:val="24"/>
                <w:szCs w:val="24"/>
                <w:lang w:val="en-US" w:eastAsia="en-US"/>
              </w:rPr>
              <w:t>that and adult at risk is an individua</w:t>
            </w:r>
            <w:r>
              <w:rPr>
                <w:color w:val="auto"/>
                <w:sz w:val="24"/>
                <w:szCs w:val="24"/>
                <w:lang w:val="en-US" w:eastAsia="en-US"/>
              </w:rPr>
              <w:t xml:space="preserve">l over the age of 18 years, </w:t>
            </w:r>
            <w:r w:rsidRPr="00F60661">
              <w:rPr>
                <w:color w:val="auto"/>
                <w:sz w:val="24"/>
                <w:szCs w:val="24"/>
                <w:lang w:val="en-US" w:eastAsia="en-US"/>
              </w:rPr>
              <w:t>who is at risk of abuse or neglect</w:t>
            </w:r>
            <w:r>
              <w:rPr>
                <w:color w:val="auto"/>
                <w:sz w:val="24"/>
                <w:szCs w:val="24"/>
                <w:lang w:val="en-US" w:eastAsia="en-US"/>
              </w:rPr>
              <w:t xml:space="preserve">. The act further states the individual may be at risk if they have a care and support need, which if the need is not met it could place them at risk of abuse or neglect. </w:t>
            </w:r>
            <w:r w:rsidRPr="00F60661">
              <w:rPr>
                <w:color w:val="auto"/>
                <w:sz w:val="24"/>
                <w:szCs w:val="24"/>
                <w:lang w:val="en-US" w:eastAsia="en-US"/>
              </w:rPr>
              <w:t xml:space="preserve"> </w:t>
            </w:r>
            <w:r w:rsidRPr="00AE2069">
              <w:rPr>
                <w:iCs/>
                <w:color w:val="auto"/>
                <w:sz w:val="24"/>
                <w:szCs w:val="24"/>
              </w:rPr>
              <w:t>Within</w:t>
            </w:r>
            <w:r w:rsidRPr="0010090F">
              <w:rPr>
                <w:iCs/>
                <w:sz w:val="24"/>
                <w:szCs w:val="24"/>
              </w:rPr>
              <w:t xml:space="preserve"> the Local Authority</w:t>
            </w:r>
            <w:r>
              <w:rPr>
                <w:iCs/>
                <w:sz w:val="24"/>
                <w:szCs w:val="24"/>
              </w:rPr>
              <w:t xml:space="preserve"> that I work </w:t>
            </w:r>
            <w:r w:rsidRPr="0010090F">
              <w:rPr>
                <w:iCs/>
                <w:sz w:val="24"/>
                <w:szCs w:val="24"/>
              </w:rPr>
              <w:t xml:space="preserve">there is a process </w:t>
            </w:r>
            <w:r>
              <w:rPr>
                <w:iCs/>
                <w:sz w:val="24"/>
                <w:szCs w:val="24"/>
              </w:rPr>
              <w:t xml:space="preserve">in place in order to </w:t>
            </w:r>
            <w:r w:rsidRPr="0010090F">
              <w:rPr>
                <w:iCs/>
                <w:sz w:val="24"/>
                <w:szCs w:val="24"/>
              </w:rPr>
              <w:t>safeguard any vulnerable adult</w:t>
            </w:r>
            <w:r>
              <w:rPr>
                <w:iCs/>
                <w:sz w:val="24"/>
                <w:szCs w:val="24"/>
              </w:rPr>
              <w:t>s</w:t>
            </w:r>
            <w:r w:rsidRPr="0010090F">
              <w:rPr>
                <w:iCs/>
                <w:sz w:val="24"/>
                <w:szCs w:val="24"/>
              </w:rPr>
              <w:t xml:space="preserve">. </w:t>
            </w:r>
            <w:r>
              <w:rPr>
                <w:iCs/>
                <w:sz w:val="24"/>
                <w:szCs w:val="24"/>
              </w:rPr>
              <w:t xml:space="preserve">If a social worker or any individual were to be concerned that an adult was at risk of harm a referral should be made to adult services Single Point of Access (SPOA).  </w:t>
            </w:r>
          </w:p>
          <w:p w14:paraId="1A89C7B2" w14:textId="77777777" w:rsidR="0081308B" w:rsidRDefault="0035175F" w:rsidP="0035175F">
            <w:pPr>
              <w:spacing w:line="360" w:lineRule="auto"/>
              <w:jc w:val="both"/>
              <w:rPr>
                <w:sz w:val="24"/>
                <w:szCs w:val="24"/>
              </w:rPr>
            </w:pPr>
            <w:r>
              <w:rPr>
                <w:iCs/>
                <w:sz w:val="24"/>
                <w:szCs w:val="24"/>
              </w:rPr>
              <w:t xml:space="preserve">SPOA will then read the referral and </w:t>
            </w:r>
            <w:r w:rsidRPr="0010090F">
              <w:rPr>
                <w:iCs/>
                <w:sz w:val="24"/>
                <w:szCs w:val="24"/>
              </w:rPr>
              <w:t xml:space="preserve">input the information </w:t>
            </w:r>
            <w:r>
              <w:rPr>
                <w:iCs/>
                <w:sz w:val="24"/>
                <w:szCs w:val="24"/>
              </w:rPr>
              <w:t>onto</w:t>
            </w:r>
            <w:r w:rsidRPr="0010090F">
              <w:rPr>
                <w:iCs/>
                <w:sz w:val="24"/>
                <w:szCs w:val="24"/>
              </w:rPr>
              <w:t xml:space="preserve"> the online system before sending the information to the Adults Safeguarding Team. Under Part 7 Section 126 of the </w:t>
            </w:r>
            <w:r w:rsidRPr="0010090F">
              <w:rPr>
                <w:iCs/>
                <w:sz w:val="24"/>
                <w:szCs w:val="24"/>
              </w:rPr>
              <w:lastRenderedPageBreak/>
              <w:t>S</w:t>
            </w:r>
            <w:r>
              <w:rPr>
                <w:iCs/>
                <w:sz w:val="24"/>
                <w:szCs w:val="24"/>
              </w:rPr>
              <w:t xml:space="preserve">ocial </w:t>
            </w:r>
            <w:r w:rsidRPr="0010090F">
              <w:rPr>
                <w:iCs/>
                <w:sz w:val="24"/>
                <w:szCs w:val="24"/>
              </w:rPr>
              <w:t>S</w:t>
            </w:r>
            <w:r>
              <w:rPr>
                <w:iCs/>
                <w:sz w:val="24"/>
                <w:szCs w:val="24"/>
              </w:rPr>
              <w:t xml:space="preserve">ervices </w:t>
            </w:r>
            <w:r w:rsidRPr="0010090F">
              <w:rPr>
                <w:iCs/>
                <w:sz w:val="24"/>
                <w:szCs w:val="24"/>
              </w:rPr>
              <w:t>W</w:t>
            </w:r>
            <w:r>
              <w:rPr>
                <w:iCs/>
                <w:sz w:val="24"/>
                <w:szCs w:val="24"/>
              </w:rPr>
              <w:t xml:space="preserve">ell </w:t>
            </w:r>
            <w:r w:rsidRPr="0010090F">
              <w:rPr>
                <w:iCs/>
                <w:sz w:val="24"/>
                <w:szCs w:val="24"/>
              </w:rPr>
              <w:t>B</w:t>
            </w:r>
            <w:r>
              <w:rPr>
                <w:iCs/>
                <w:sz w:val="24"/>
                <w:szCs w:val="24"/>
              </w:rPr>
              <w:t xml:space="preserve">eing </w:t>
            </w:r>
            <w:r w:rsidRPr="0010090F">
              <w:rPr>
                <w:iCs/>
                <w:sz w:val="24"/>
                <w:szCs w:val="24"/>
              </w:rPr>
              <w:t>A</w:t>
            </w:r>
            <w:r>
              <w:rPr>
                <w:iCs/>
                <w:sz w:val="24"/>
                <w:szCs w:val="24"/>
              </w:rPr>
              <w:t>ct (</w:t>
            </w:r>
            <w:r w:rsidRPr="0010090F">
              <w:rPr>
                <w:iCs/>
                <w:sz w:val="24"/>
                <w:szCs w:val="24"/>
              </w:rPr>
              <w:t>2014</w:t>
            </w:r>
            <w:r>
              <w:rPr>
                <w:iCs/>
                <w:sz w:val="24"/>
                <w:szCs w:val="24"/>
              </w:rPr>
              <w:t>)</w:t>
            </w:r>
            <w:r w:rsidRPr="0010090F">
              <w:rPr>
                <w:iCs/>
                <w:sz w:val="24"/>
                <w:szCs w:val="24"/>
              </w:rPr>
              <w:t xml:space="preserve"> </w:t>
            </w:r>
            <w:r w:rsidRPr="00754C83">
              <w:rPr>
                <w:iCs/>
                <w:color w:val="auto"/>
                <w:sz w:val="24"/>
                <w:szCs w:val="24"/>
              </w:rPr>
              <w:t>the Local Authority have a duty to</w:t>
            </w:r>
            <w:r>
              <w:rPr>
                <w:iCs/>
                <w:color w:val="auto"/>
                <w:sz w:val="24"/>
                <w:szCs w:val="24"/>
              </w:rPr>
              <w:t xml:space="preserve"> establish what</w:t>
            </w:r>
            <w:r w:rsidRPr="00754C83">
              <w:rPr>
                <w:iCs/>
                <w:color w:val="auto"/>
                <w:sz w:val="24"/>
                <w:szCs w:val="24"/>
              </w:rPr>
              <w:t xml:space="preserve"> enquiries</w:t>
            </w:r>
            <w:r>
              <w:rPr>
                <w:iCs/>
                <w:color w:val="auto"/>
                <w:sz w:val="24"/>
                <w:szCs w:val="24"/>
              </w:rPr>
              <w:t xml:space="preserve"> need are necessary in order to determine whether an</w:t>
            </w:r>
            <w:r w:rsidRPr="00754C83">
              <w:rPr>
                <w:iCs/>
                <w:color w:val="auto"/>
                <w:sz w:val="24"/>
                <w:szCs w:val="24"/>
              </w:rPr>
              <w:t xml:space="preserve"> adult at risk of abuse or neglect. </w:t>
            </w:r>
            <w:r>
              <w:rPr>
                <w:iCs/>
                <w:color w:val="auto"/>
                <w:sz w:val="24"/>
                <w:szCs w:val="24"/>
              </w:rPr>
              <w:t xml:space="preserve">As part of these enquires social services have the lead role and should criminal activity be suspected police should be notified as a criminal investigation may also be required. </w:t>
            </w:r>
            <w:r w:rsidRPr="00754C83">
              <w:rPr>
                <w:iCs/>
                <w:color w:val="auto"/>
                <w:sz w:val="24"/>
                <w:szCs w:val="24"/>
              </w:rPr>
              <w:t>These enquires should be person centred,</w:t>
            </w:r>
            <w:r>
              <w:rPr>
                <w:iCs/>
                <w:color w:val="auto"/>
                <w:sz w:val="24"/>
                <w:szCs w:val="24"/>
              </w:rPr>
              <w:t xml:space="preserve"> ensuring that the individuals views and wishes are taken into account and that the adult is offered an advocate. Consideration should also be given to the </w:t>
            </w:r>
            <w:r>
              <w:rPr>
                <w:color w:val="auto"/>
                <w:sz w:val="24"/>
                <w:szCs w:val="24"/>
                <w:lang w:val="en-US" w:eastAsia="en-US"/>
              </w:rPr>
              <w:t xml:space="preserve">Mental Capacity Act, (2005) </w:t>
            </w:r>
            <w:r>
              <w:rPr>
                <w:sz w:val="24"/>
                <w:szCs w:val="24"/>
              </w:rPr>
              <w:t>which states</w:t>
            </w:r>
            <w:r w:rsidRPr="007E3E22">
              <w:rPr>
                <w:sz w:val="24"/>
                <w:szCs w:val="24"/>
              </w:rPr>
              <w:t xml:space="preserve"> that</w:t>
            </w:r>
            <w:r>
              <w:rPr>
                <w:sz w:val="24"/>
                <w:szCs w:val="24"/>
              </w:rPr>
              <w:t xml:space="preserve"> it should be assumed an</w:t>
            </w:r>
            <w:r w:rsidRPr="007E3E22">
              <w:rPr>
                <w:sz w:val="24"/>
                <w:szCs w:val="24"/>
              </w:rPr>
              <w:t xml:space="preserve"> </w:t>
            </w:r>
            <w:r>
              <w:rPr>
                <w:sz w:val="24"/>
                <w:szCs w:val="24"/>
              </w:rPr>
              <w:t xml:space="preserve">individual </w:t>
            </w:r>
            <w:r w:rsidRPr="007E3E22">
              <w:rPr>
                <w:sz w:val="24"/>
                <w:szCs w:val="24"/>
              </w:rPr>
              <w:t>ha</w:t>
            </w:r>
            <w:r>
              <w:rPr>
                <w:sz w:val="24"/>
                <w:szCs w:val="24"/>
              </w:rPr>
              <w:t>s</w:t>
            </w:r>
            <w:r w:rsidRPr="007E3E22">
              <w:rPr>
                <w:sz w:val="24"/>
                <w:szCs w:val="24"/>
              </w:rPr>
              <w:t xml:space="preserve"> capacity unless proven otherwise. </w:t>
            </w:r>
          </w:p>
          <w:p w14:paraId="5B30994A" w14:textId="77777777" w:rsidR="0081308B" w:rsidRDefault="0081308B" w:rsidP="0035175F">
            <w:pPr>
              <w:spacing w:line="360" w:lineRule="auto"/>
              <w:jc w:val="both"/>
              <w:rPr>
                <w:sz w:val="24"/>
                <w:szCs w:val="24"/>
              </w:rPr>
            </w:pPr>
          </w:p>
          <w:p w14:paraId="201F3062" w14:textId="32BEC24C" w:rsidR="0035175F" w:rsidRDefault="0035175F" w:rsidP="0035175F">
            <w:pPr>
              <w:spacing w:line="360" w:lineRule="auto"/>
              <w:jc w:val="both"/>
              <w:rPr>
                <w:iCs/>
                <w:color w:val="auto"/>
                <w:sz w:val="24"/>
                <w:szCs w:val="24"/>
              </w:rPr>
            </w:pPr>
            <w:r w:rsidRPr="007E3E22">
              <w:rPr>
                <w:sz w:val="24"/>
                <w:szCs w:val="24"/>
              </w:rPr>
              <w:t>The consent of the adult is therefore a</w:t>
            </w:r>
            <w:r>
              <w:rPr>
                <w:sz w:val="24"/>
                <w:szCs w:val="24"/>
              </w:rPr>
              <w:t>n important</w:t>
            </w:r>
            <w:r w:rsidRPr="007E3E22">
              <w:rPr>
                <w:sz w:val="24"/>
                <w:szCs w:val="24"/>
              </w:rPr>
              <w:t xml:space="preserve"> factor </w:t>
            </w:r>
            <w:r>
              <w:rPr>
                <w:sz w:val="24"/>
                <w:szCs w:val="24"/>
              </w:rPr>
              <w:t>when</w:t>
            </w:r>
            <w:r w:rsidRPr="007E3E22">
              <w:rPr>
                <w:sz w:val="24"/>
                <w:szCs w:val="24"/>
              </w:rPr>
              <w:t xml:space="preserve"> deciding what </w:t>
            </w:r>
            <w:r>
              <w:rPr>
                <w:sz w:val="24"/>
                <w:szCs w:val="24"/>
              </w:rPr>
              <w:t xml:space="preserve">course of </w:t>
            </w:r>
            <w:r w:rsidRPr="007E3E22">
              <w:rPr>
                <w:sz w:val="24"/>
                <w:szCs w:val="24"/>
              </w:rPr>
              <w:t>action to take in response to a concern or allegation</w:t>
            </w:r>
            <w:r>
              <w:rPr>
                <w:sz w:val="24"/>
                <w:szCs w:val="24"/>
              </w:rPr>
              <w:t xml:space="preserve"> surrounding an adult being at risk. The Local Authority should t</w:t>
            </w:r>
            <w:r>
              <w:rPr>
                <w:iCs/>
                <w:color w:val="auto"/>
                <w:sz w:val="24"/>
                <w:szCs w:val="24"/>
              </w:rPr>
              <w:t xml:space="preserve">ake into consideration an individual’s wishes and feelings and this will support the Local Authority to </w:t>
            </w:r>
            <w:r w:rsidRPr="00754C83">
              <w:rPr>
                <w:iCs/>
                <w:color w:val="auto"/>
                <w:sz w:val="24"/>
                <w:szCs w:val="24"/>
              </w:rPr>
              <w:t xml:space="preserve"> identify any care and support needs</w:t>
            </w:r>
            <w:r>
              <w:rPr>
                <w:iCs/>
                <w:color w:val="auto"/>
                <w:sz w:val="24"/>
                <w:szCs w:val="24"/>
              </w:rPr>
              <w:t>. The enquires should assist the Local Authority’s decision making process surrounding whether any actions need to be taken. (legislation.Gov,2025). Upon concluding the enquiry, if it has been established that the adult is at risk and they then consent to a care and support plan this should be implemented and recorded. If an adult has not consented to a care and support plan the findings should be recorded so they are easily accessible in the future (Wales safeguarding procedures, 2025).</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3CF728DC" w:rsidR="00FC0334" w:rsidRDefault="0081308B" w:rsidP="00FF7EBB">
            <w:pPr>
              <w:jc w:val="both"/>
              <w:rPr>
                <w:sz w:val="24"/>
                <w:szCs w:val="24"/>
              </w:rPr>
            </w:pPr>
            <w:r>
              <w:rPr>
                <w:sz w:val="24"/>
                <w:szCs w:val="24"/>
              </w:rPr>
              <w:t>WORD COUNT 532</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09D47F8" w14:textId="77777777" w:rsidR="00071080" w:rsidRDefault="00071080" w:rsidP="00071080">
            <w:pPr>
              <w:spacing w:line="360" w:lineRule="auto"/>
              <w:jc w:val="both"/>
              <w:rPr>
                <w:sz w:val="24"/>
                <w:szCs w:val="24"/>
              </w:rPr>
            </w:pPr>
            <w:r>
              <w:rPr>
                <w:sz w:val="24"/>
                <w:szCs w:val="24"/>
              </w:rPr>
              <w:t xml:space="preserve">Part 7 of the Social Services and Wellbeing (Wales) Act 2014 (SSWBA, 2014) focuses on safeguarding. It is one piece of legislation that addresses wellbeing for both children and adults. Whilst it is accepted that there are some similarities when safeguarding children and protecting adults at risk of harm, one of the main differences is the area of consent and </w:t>
            </w:r>
            <w:r>
              <w:rPr>
                <w:sz w:val="24"/>
                <w:szCs w:val="24"/>
              </w:rPr>
              <w:lastRenderedPageBreak/>
              <w:t xml:space="preserve">capacity, due to this there is different legislation in place in order to ensure a child is safeguarded. </w:t>
            </w:r>
          </w:p>
          <w:p w14:paraId="5897065C" w14:textId="77777777" w:rsidR="00444055" w:rsidRDefault="00444055" w:rsidP="00071080">
            <w:pPr>
              <w:spacing w:line="360" w:lineRule="auto"/>
              <w:jc w:val="both"/>
              <w:rPr>
                <w:sz w:val="24"/>
                <w:szCs w:val="24"/>
              </w:rPr>
            </w:pPr>
          </w:p>
          <w:p w14:paraId="2CDE98C3" w14:textId="77777777" w:rsidR="00071080" w:rsidRDefault="00071080" w:rsidP="00071080">
            <w:pPr>
              <w:spacing w:line="360" w:lineRule="auto"/>
              <w:jc w:val="both"/>
              <w:rPr>
                <w:sz w:val="24"/>
                <w:szCs w:val="24"/>
                <w:lang w:eastAsia="en-US"/>
              </w:rPr>
            </w:pPr>
            <w:r>
              <w:rPr>
                <w:sz w:val="24"/>
                <w:szCs w:val="24"/>
              </w:rPr>
              <w:t xml:space="preserve">A child can be removed from their parents care immediately should they be deemed to be in a risky situation and at significant risk of harm. This can be done by police under the auspices of a Police Protection Order which is in place for a period of 72 hours. </w:t>
            </w:r>
            <w:r w:rsidRPr="00B90EAD">
              <w:rPr>
                <w:sz w:val="24"/>
                <w:szCs w:val="24"/>
                <w:lang w:eastAsia="en-US"/>
              </w:rPr>
              <w:t xml:space="preserve">If the risk </w:t>
            </w:r>
            <w:r>
              <w:rPr>
                <w:sz w:val="24"/>
                <w:szCs w:val="24"/>
                <w:lang w:eastAsia="en-US"/>
              </w:rPr>
              <w:t xml:space="preserve">of harm to the child </w:t>
            </w:r>
            <w:r w:rsidRPr="00B90EAD">
              <w:rPr>
                <w:sz w:val="24"/>
                <w:szCs w:val="24"/>
                <w:lang w:eastAsia="en-US"/>
              </w:rPr>
              <w:t>remain</w:t>
            </w:r>
            <w:r>
              <w:rPr>
                <w:sz w:val="24"/>
                <w:szCs w:val="24"/>
                <w:lang w:eastAsia="en-US"/>
              </w:rPr>
              <w:t xml:space="preserve">s significant the Local Authority could make </w:t>
            </w:r>
            <w:r w:rsidRPr="00B90EAD">
              <w:rPr>
                <w:sz w:val="24"/>
                <w:szCs w:val="24"/>
                <w:lang w:eastAsia="en-US"/>
              </w:rPr>
              <w:t>an application</w:t>
            </w:r>
            <w:r>
              <w:rPr>
                <w:sz w:val="24"/>
                <w:szCs w:val="24"/>
                <w:lang w:eastAsia="en-US"/>
              </w:rPr>
              <w:t xml:space="preserve"> to the courts</w:t>
            </w:r>
            <w:r w:rsidRPr="00B90EAD">
              <w:rPr>
                <w:sz w:val="24"/>
                <w:szCs w:val="24"/>
                <w:lang w:eastAsia="en-US"/>
              </w:rPr>
              <w:t xml:space="preserve"> for an Emergency Protection Order, which, </w:t>
            </w:r>
            <w:r>
              <w:rPr>
                <w:sz w:val="24"/>
                <w:szCs w:val="24"/>
                <w:lang w:eastAsia="en-US"/>
              </w:rPr>
              <w:t xml:space="preserve">the courts could grant for a maximum of 15 days. It would be expected that after this period of time the Local Authority should have made a decision regarding whether to apply to the courts for an Interim Care Order or place the children back into their parents’ care and manage the risk. </w:t>
            </w:r>
          </w:p>
          <w:p w14:paraId="729735FF" w14:textId="77777777" w:rsidR="00071080" w:rsidRDefault="00071080" w:rsidP="00071080">
            <w:pPr>
              <w:spacing w:line="360" w:lineRule="auto"/>
              <w:jc w:val="both"/>
              <w:rPr>
                <w:sz w:val="24"/>
                <w:szCs w:val="24"/>
                <w:lang w:eastAsia="en-US"/>
              </w:rPr>
            </w:pPr>
          </w:p>
          <w:p w14:paraId="2DFF7614" w14:textId="504C9855" w:rsidR="00071080" w:rsidRDefault="00071080" w:rsidP="00071080">
            <w:pPr>
              <w:spacing w:line="360" w:lineRule="auto"/>
              <w:jc w:val="both"/>
              <w:rPr>
                <w:color w:val="FF0000"/>
                <w:sz w:val="24"/>
                <w:szCs w:val="24"/>
              </w:rPr>
            </w:pPr>
            <w:r>
              <w:rPr>
                <w:sz w:val="24"/>
                <w:szCs w:val="24"/>
                <w:lang w:eastAsia="en-US"/>
              </w:rPr>
              <w:t>The decision to intervene and take such steps in order to protect the child can be made against the parents and the child’s wishes and feelings in order to keep them safe. These rigid measures cannot be taken within adult’s services as ad</w:t>
            </w:r>
            <w:r>
              <w:rPr>
                <w:sz w:val="24"/>
                <w:szCs w:val="24"/>
              </w:rPr>
              <w:t xml:space="preserve">ults are able to consent to their own decisions and make choices which could place them at risk of harm. Should and adult decide to not access the identified support their decision would be accepted as Social Services Wellbeing Act (2014) promotes the right for individuals to have choice and control. However should a person’s capacity be questioned a Mental Capacity Assessment would occur under the Mental Capacity Act (2005) and if they are deemed to not have the capacity to keep themselves safe or they may pose a risk to others then more stringent measures would be implemented which could mean that the adult loses their choice regarding making their own </w:t>
            </w:r>
            <w:r w:rsidR="00D9503C">
              <w:rPr>
                <w:sz w:val="24"/>
                <w:szCs w:val="24"/>
              </w:rPr>
              <w:t>decisions (</w:t>
            </w:r>
            <w:r w:rsidRPr="00D9503C">
              <w:rPr>
                <w:color w:val="000000" w:themeColor="text1"/>
                <w:sz w:val="24"/>
                <w:szCs w:val="24"/>
              </w:rPr>
              <w:t xml:space="preserve">Koubel,2016).  </w:t>
            </w:r>
          </w:p>
          <w:p w14:paraId="795C6051" w14:textId="77777777" w:rsidR="00FC0334" w:rsidRDefault="00FC0334" w:rsidP="00FC0334">
            <w:pPr>
              <w:jc w:val="both"/>
              <w:rPr>
                <w:sz w:val="24"/>
                <w:szCs w:val="24"/>
              </w:rPr>
            </w:pPr>
          </w:p>
          <w:p w14:paraId="7B7B4827" w14:textId="6CB5FAE0" w:rsidR="00FC0334" w:rsidRDefault="00A0264F" w:rsidP="00FC0334">
            <w:pPr>
              <w:jc w:val="both"/>
              <w:rPr>
                <w:sz w:val="24"/>
                <w:szCs w:val="24"/>
              </w:rPr>
            </w:pPr>
            <w:r>
              <w:rPr>
                <w:sz w:val="24"/>
                <w:szCs w:val="24"/>
              </w:rPr>
              <w:t>WORD COUNT 363</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4C786D">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7240811">
    <w:abstractNumId w:val="1"/>
    <w:lvlOverride w:ilvl="0">
      <w:lvl w:ilvl="0">
        <w:start w:val="1"/>
        <w:numFmt w:val="bullet"/>
        <w:lvlText w:val=""/>
        <w:lvlJc w:val="left"/>
        <w:pPr>
          <w:ind w:left="720" w:hanging="360"/>
        </w:pPr>
        <w:rPr>
          <w:rFonts w:ascii="Symbol" w:hAnsi="Symbol" w:hint="default"/>
        </w:rPr>
      </w:lvl>
    </w:lvlOverride>
  </w:num>
  <w:num w:numId="2" w16cid:durableId="1930849004">
    <w:abstractNumId w:val="22"/>
  </w:num>
  <w:num w:numId="3" w16cid:durableId="304358478">
    <w:abstractNumId w:val="45"/>
  </w:num>
  <w:num w:numId="4" w16cid:durableId="1567455416">
    <w:abstractNumId w:val="47"/>
  </w:num>
  <w:num w:numId="5" w16cid:durableId="795029305">
    <w:abstractNumId w:val="34"/>
  </w:num>
  <w:num w:numId="6" w16cid:durableId="1287396916">
    <w:abstractNumId w:val="32"/>
  </w:num>
  <w:num w:numId="7" w16cid:durableId="405036155">
    <w:abstractNumId w:val="29"/>
  </w:num>
  <w:num w:numId="8" w16cid:durableId="1965693860">
    <w:abstractNumId w:val="30"/>
  </w:num>
  <w:num w:numId="9" w16cid:durableId="935793204">
    <w:abstractNumId w:val="10"/>
  </w:num>
  <w:num w:numId="10" w16cid:durableId="1730881668">
    <w:abstractNumId w:val="33"/>
  </w:num>
  <w:num w:numId="11" w16cid:durableId="882326059">
    <w:abstractNumId w:val="17"/>
  </w:num>
  <w:num w:numId="12" w16cid:durableId="1263535384">
    <w:abstractNumId w:val="16"/>
  </w:num>
  <w:num w:numId="13" w16cid:durableId="26831116">
    <w:abstractNumId w:val="27"/>
  </w:num>
  <w:num w:numId="14" w16cid:durableId="349526530">
    <w:abstractNumId w:val="8"/>
  </w:num>
  <w:num w:numId="15" w16cid:durableId="1618366115">
    <w:abstractNumId w:val="26"/>
  </w:num>
  <w:num w:numId="16" w16cid:durableId="1034698879">
    <w:abstractNumId w:val="15"/>
  </w:num>
  <w:num w:numId="17" w16cid:durableId="616639867">
    <w:abstractNumId w:val="13"/>
  </w:num>
  <w:num w:numId="18" w16cid:durableId="128916206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92764076">
    <w:abstractNumId w:val="23"/>
  </w:num>
  <w:num w:numId="20" w16cid:durableId="791242642">
    <w:abstractNumId w:val="18"/>
  </w:num>
  <w:num w:numId="21" w16cid:durableId="675691153">
    <w:abstractNumId w:val="14"/>
  </w:num>
  <w:num w:numId="22" w16cid:durableId="658197343">
    <w:abstractNumId w:val="11"/>
  </w:num>
  <w:num w:numId="23" w16cid:durableId="366220302">
    <w:abstractNumId w:val="28"/>
  </w:num>
  <w:num w:numId="24" w16cid:durableId="595214185">
    <w:abstractNumId w:val="19"/>
  </w:num>
  <w:num w:numId="25" w16cid:durableId="1586527682">
    <w:abstractNumId w:val="41"/>
  </w:num>
  <w:num w:numId="26" w16cid:durableId="1970354438">
    <w:abstractNumId w:val="35"/>
  </w:num>
  <w:num w:numId="27" w16cid:durableId="2100054250">
    <w:abstractNumId w:val="40"/>
  </w:num>
  <w:num w:numId="28" w16cid:durableId="87888650">
    <w:abstractNumId w:val="20"/>
  </w:num>
  <w:num w:numId="29" w16cid:durableId="982081593">
    <w:abstractNumId w:val="43"/>
  </w:num>
  <w:num w:numId="30" w16cid:durableId="521748959">
    <w:abstractNumId w:val="31"/>
  </w:num>
  <w:num w:numId="31" w16cid:durableId="643461646">
    <w:abstractNumId w:val="12"/>
  </w:num>
  <w:num w:numId="32" w16cid:durableId="1448159585">
    <w:abstractNumId w:val="44"/>
  </w:num>
  <w:num w:numId="33" w16cid:durableId="1704750307">
    <w:abstractNumId w:val="39"/>
  </w:num>
  <w:num w:numId="34" w16cid:durableId="2033145658">
    <w:abstractNumId w:val="5"/>
  </w:num>
  <w:num w:numId="35" w16cid:durableId="9793654">
    <w:abstractNumId w:val="46"/>
  </w:num>
  <w:num w:numId="36" w16cid:durableId="787360743">
    <w:abstractNumId w:val="42"/>
  </w:num>
  <w:num w:numId="37" w16cid:durableId="843545643">
    <w:abstractNumId w:val="36"/>
  </w:num>
  <w:num w:numId="38" w16cid:durableId="226233766">
    <w:abstractNumId w:val="37"/>
  </w:num>
  <w:num w:numId="39" w16cid:durableId="1778133099">
    <w:abstractNumId w:val="4"/>
  </w:num>
  <w:num w:numId="40" w16cid:durableId="171452398">
    <w:abstractNumId w:val="6"/>
  </w:num>
  <w:num w:numId="41" w16cid:durableId="615258410">
    <w:abstractNumId w:val="25"/>
  </w:num>
  <w:num w:numId="42" w16cid:durableId="755829805">
    <w:abstractNumId w:val="7"/>
  </w:num>
  <w:num w:numId="43" w16cid:durableId="432018956">
    <w:abstractNumId w:val="3"/>
  </w:num>
  <w:num w:numId="44" w16cid:durableId="682127599">
    <w:abstractNumId w:val="38"/>
  </w:num>
  <w:num w:numId="45" w16cid:durableId="1991670279">
    <w:abstractNumId w:val="0"/>
  </w:num>
  <w:num w:numId="46" w16cid:durableId="1044447451">
    <w:abstractNumId w:val="14"/>
  </w:num>
  <w:num w:numId="47" w16cid:durableId="2145270080">
    <w:abstractNumId w:val="48"/>
  </w:num>
  <w:num w:numId="48" w16cid:durableId="24592257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78153140">
    <w:abstractNumId w:val="11"/>
  </w:num>
  <w:num w:numId="50" w16cid:durableId="1023478817">
    <w:abstractNumId w:val="28"/>
  </w:num>
  <w:num w:numId="51" w16cid:durableId="1669359270">
    <w:abstractNumId w:val="24"/>
  </w:num>
  <w:num w:numId="52" w16cid:durableId="1693609062">
    <w:abstractNumId w:val="21"/>
  </w:num>
  <w:num w:numId="53" w16cid:durableId="139388923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080"/>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C6F"/>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5B0"/>
    <w:rsid w:val="00316815"/>
    <w:rsid w:val="003168CA"/>
    <w:rsid w:val="00321255"/>
    <w:rsid w:val="0032230D"/>
    <w:rsid w:val="00322A0B"/>
    <w:rsid w:val="00330881"/>
    <w:rsid w:val="00331CD2"/>
    <w:rsid w:val="00332426"/>
    <w:rsid w:val="00335C41"/>
    <w:rsid w:val="00335FC5"/>
    <w:rsid w:val="0033771E"/>
    <w:rsid w:val="00337FEF"/>
    <w:rsid w:val="0035175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4055"/>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786D"/>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25E"/>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08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262"/>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2C7"/>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64F"/>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22A"/>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191C"/>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B02"/>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503C"/>
    <w:rsid w:val="00DA1025"/>
    <w:rsid w:val="00DA22EC"/>
    <w:rsid w:val="00DA5682"/>
    <w:rsid w:val="00DA5860"/>
    <w:rsid w:val="00DA5C0C"/>
    <w:rsid w:val="00DB15C4"/>
    <w:rsid w:val="00DB2767"/>
    <w:rsid w:val="00DC1B10"/>
    <w:rsid w:val="00DC2924"/>
    <w:rsid w:val="00DC4729"/>
    <w:rsid w:val="00DD31C5"/>
    <w:rsid w:val="00DD5020"/>
    <w:rsid w:val="00DD63BE"/>
    <w:rsid w:val="00DE4296"/>
    <w:rsid w:val="00DF2469"/>
    <w:rsid w:val="00DF7899"/>
    <w:rsid w:val="00E0524C"/>
    <w:rsid w:val="00E116E7"/>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BFF"/>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58EC0C-BFFC-4FF1-9CD9-98944091C656}">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1102</Words>
  <Characters>5439</Characters>
  <Application>Microsoft Office Word</Application>
  <DocSecurity>0</DocSecurity>
  <Lines>45</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Millar</cp:lastModifiedBy>
  <cp:revision>2</cp:revision>
  <cp:lastPrinted>2020-02-11T19:20:00Z</cp:lastPrinted>
  <dcterms:created xsi:type="dcterms:W3CDTF">2025-02-18T19:52:00Z</dcterms:created>
  <dcterms:modified xsi:type="dcterms:W3CDTF">2025-02-18T19:52:00Z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