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5756" w:rsidRPr="008639AC" w:rsidRDefault="00E55756" w:rsidP="008639AC">
      <w:pPr>
        <w:rPr>
          <w:b/>
        </w:rPr>
      </w:pPr>
      <w:r w:rsidRPr="008639AC">
        <w:rPr>
          <w:b/>
        </w:rPr>
        <w:t>An encyclopaedia entry (1000 words) on ONE of the following Jewish fest</w:t>
      </w:r>
      <w:bookmarkStart w:id="0" w:name="_GoBack"/>
      <w:bookmarkEnd w:id="0"/>
      <w:r w:rsidRPr="008639AC">
        <w:rPr>
          <w:b/>
        </w:rPr>
        <w:t>ivals (25%): As well as highlighting the main features of your chosen festival, you should also assess the festival's significance within Judaism.</w:t>
      </w:r>
    </w:p>
    <w:p w:rsidR="00E55756" w:rsidRPr="003E364A" w:rsidRDefault="00E55756" w:rsidP="00E55756">
      <w:r>
        <w:t>This encyclopaedia entry shall firstly examine t</w:t>
      </w:r>
      <w:r w:rsidR="00C8702E">
        <w:t>he main features of the Jewish f</w:t>
      </w:r>
      <w:r>
        <w:t xml:space="preserve">estival Yom Kippur whilst further assessing the festival’s significance within Judaism. This encyclopaedia entry would appear in a </w:t>
      </w:r>
      <w:r w:rsidR="003E364A">
        <w:t xml:space="preserve">subject-specific encyclopaedia such as </w:t>
      </w:r>
      <w:r w:rsidR="003E364A">
        <w:rPr>
          <w:i/>
        </w:rPr>
        <w:t>Encyclopaedia of Religion</w:t>
      </w:r>
      <w:r w:rsidR="003E364A">
        <w:t xml:space="preserve"> due to the </w:t>
      </w:r>
      <w:r w:rsidR="00D31FB1">
        <w:t xml:space="preserve">focus on </w:t>
      </w:r>
      <w:r w:rsidR="00C8702E">
        <w:t>the origin,</w:t>
      </w:r>
      <w:r w:rsidR="00D31FB1">
        <w:t xml:space="preserve"> history, law an</w:t>
      </w:r>
      <w:r w:rsidR="00C8702E">
        <w:t>d purpose of the festival as a</w:t>
      </w:r>
      <w:r w:rsidR="00D31FB1">
        <w:t xml:space="preserve"> whole.</w:t>
      </w:r>
    </w:p>
    <w:p w:rsidR="00E55756" w:rsidRDefault="00254C8F" w:rsidP="00E55756">
      <w:pPr>
        <w:rPr>
          <w:b/>
        </w:rPr>
      </w:pPr>
      <w:r>
        <w:rPr>
          <w:b/>
        </w:rPr>
        <w:t>Origin and</w:t>
      </w:r>
      <w:r w:rsidR="00097E2E">
        <w:rPr>
          <w:b/>
        </w:rPr>
        <w:t xml:space="preserve"> History</w:t>
      </w:r>
      <w:r>
        <w:rPr>
          <w:b/>
        </w:rPr>
        <w:t xml:space="preserve"> of Yom Kippur</w:t>
      </w:r>
    </w:p>
    <w:p w:rsidR="007F610B" w:rsidRDefault="00B44D82" w:rsidP="00E55756">
      <w:r>
        <w:t>Yom Kipp</w:t>
      </w:r>
      <w:r w:rsidR="00C8702E">
        <w:t>ur i</w:t>
      </w:r>
      <w:r>
        <w:t>s a major Jewish festival known as the Day of Atonement</w:t>
      </w:r>
      <w:r w:rsidR="00901DDD">
        <w:t xml:space="preserve"> and can often be described as one of the holiest days in the Jewish </w:t>
      </w:r>
      <w:r w:rsidR="002A7F03">
        <w:t>Calendar</w:t>
      </w:r>
      <w:r w:rsidR="000F1A52">
        <w:t xml:space="preserve"> (celebrated in the tenth month of the lunar calendar,</w:t>
      </w:r>
      <w:r w:rsidR="000F1A52" w:rsidRPr="000F1A52">
        <w:t xml:space="preserve"> </w:t>
      </w:r>
      <w:proofErr w:type="spellStart"/>
      <w:r w:rsidR="000F1A52" w:rsidRPr="000F1A52">
        <w:rPr>
          <w:i/>
        </w:rPr>
        <w:t>Tishr</w:t>
      </w:r>
      <w:bookmarkStart w:id="1" w:name="_Hlk496726719"/>
      <w:r w:rsidR="000F1A52" w:rsidRPr="000F1A52">
        <w:rPr>
          <w:rFonts w:cstheme="minorHAnsi"/>
          <w:i/>
        </w:rPr>
        <w:t>ẻ</w:t>
      </w:r>
      <w:bookmarkEnd w:id="1"/>
      <w:proofErr w:type="spellEnd"/>
      <w:r w:rsidR="000F1A52">
        <w:rPr>
          <w:rFonts w:cstheme="minorHAnsi"/>
        </w:rPr>
        <w:t>)</w:t>
      </w:r>
      <w:r w:rsidR="000F1A52">
        <w:t xml:space="preserve"> </w:t>
      </w:r>
      <w:r>
        <w:t>.</w:t>
      </w:r>
      <w:r w:rsidR="00901DDD">
        <w:rPr>
          <w:rStyle w:val="FootnoteReference"/>
        </w:rPr>
        <w:footnoteReference w:id="1"/>
      </w:r>
      <w:r w:rsidR="000F1A52">
        <w:t xml:space="preserve"> </w:t>
      </w:r>
      <w:r>
        <w:t xml:space="preserve">It is known as </w:t>
      </w:r>
      <w:r w:rsidR="000F1A52">
        <w:t>one of the holiest days</w:t>
      </w:r>
      <w:r>
        <w:t xml:space="preserve"> because it mark</w:t>
      </w:r>
      <w:r w:rsidR="00C8702E">
        <w:t xml:space="preserve">s the end of the </w:t>
      </w:r>
      <w:r>
        <w:t>Ten Days of Penitence and as such reflects the themes of forgiveness and atonement for one</w:t>
      </w:r>
      <w:r w:rsidR="00C8702E">
        <w:t>’</w:t>
      </w:r>
      <w:r>
        <w:t>s sin against God.</w:t>
      </w:r>
      <w:r w:rsidR="00901DDD">
        <w:rPr>
          <w:rStyle w:val="FootnoteReference"/>
        </w:rPr>
        <w:footnoteReference w:id="2"/>
      </w:r>
    </w:p>
    <w:p w:rsidR="00694509" w:rsidRPr="00106902" w:rsidRDefault="000B6D24" w:rsidP="00E55756">
      <w:r>
        <w:t xml:space="preserve">The name Yom Kippur originates from the </w:t>
      </w:r>
      <w:r w:rsidR="002B4925">
        <w:t xml:space="preserve">Hebrew </w:t>
      </w:r>
      <w:r w:rsidR="002B4925" w:rsidRPr="002B4925">
        <w:rPr>
          <w:i/>
        </w:rPr>
        <w:t>Yom Ha-</w:t>
      </w:r>
      <w:proofErr w:type="spellStart"/>
      <w:r w:rsidR="002B4925" w:rsidRPr="002B4925">
        <w:rPr>
          <w:i/>
        </w:rPr>
        <w:t>Kippurim</w:t>
      </w:r>
      <w:proofErr w:type="spellEnd"/>
      <w:r w:rsidR="002B4925">
        <w:rPr>
          <w:i/>
        </w:rPr>
        <w:t xml:space="preserve">. </w:t>
      </w:r>
      <w:r w:rsidR="002B4925" w:rsidRPr="002B4925">
        <w:rPr>
          <w:i/>
        </w:rPr>
        <w:t>Yom</w:t>
      </w:r>
      <w:r w:rsidR="002B4925" w:rsidRPr="002B4925">
        <w:t xml:space="preserve"> is translated at meaning ‘</w:t>
      </w:r>
      <w:r w:rsidR="002B4925">
        <w:t>day’</w:t>
      </w:r>
      <w:r w:rsidR="002B4925" w:rsidRPr="002B4925">
        <w:t xml:space="preserve"> and</w:t>
      </w:r>
      <w:r w:rsidR="002B4925">
        <w:t xml:space="preserve"> </w:t>
      </w:r>
      <w:r w:rsidR="002B4925" w:rsidRPr="002B4925">
        <w:rPr>
          <w:i/>
        </w:rPr>
        <w:t>‘</w:t>
      </w:r>
      <w:proofErr w:type="spellStart"/>
      <w:r w:rsidR="002B4925" w:rsidRPr="002B4925">
        <w:rPr>
          <w:i/>
        </w:rPr>
        <w:t>kippur</w:t>
      </w:r>
      <w:proofErr w:type="spellEnd"/>
      <w:r w:rsidR="002B4925" w:rsidRPr="002B4925">
        <w:rPr>
          <w:i/>
        </w:rPr>
        <w:t>’</w:t>
      </w:r>
      <w:r w:rsidR="002B4925">
        <w:t xml:space="preserve"> meaning ‘to cleanse thoroughly’.</w:t>
      </w:r>
      <w:r w:rsidR="00676989">
        <w:rPr>
          <w:rStyle w:val="FootnoteReference"/>
        </w:rPr>
        <w:footnoteReference w:id="3"/>
      </w:r>
      <w:r w:rsidR="002B4925">
        <w:t xml:space="preserve"> The</w:t>
      </w:r>
      <w:r w:rsidR="004C27AE">
        <w:t xml:space="preserve"> origin and importance of Yom Kippur is particularly highlighted in the Torah (Le</w:t>
      </w:r>
      <w:r w:rsidR="00EA70EE">
        <w:t>viticus 23:26-32). This passage outlines various prescriptions for the</w:t>
      </w:r>
      <w:r w:rsidR="00C8702E">
        <w:t xml:space="preserve"> Day of Atonement which include</w:t>
      </w:r>
      <w:r w:rsidR="00EA70EE">
        <w:t xml:space="preserve"> doing no work on this day, the need to fast, the importance of worship and th</w:t>
      </w:r>
      <w:r w:rsidR="00106902">
        <w:t>e need for atonement. During Temple times a feature of the Yom Kippur ceremony was the “scapegoat”.</w:t>
      </w:r>
      <w:r w:rsidR="00343CB0">
        <w:rPr>
          <w:rStyle w:val="FootnoteReference"/>
        </w:rPr>
        <w:footnoteReference w:id="4"/>
      </w:r>
      <w:r w:rsidR="00C8702E">
        <w:t xml:space="preserve"> This ceremony symbolized</w:t>
      </w:r>
      <w:r w:rsidR="00106902">
        <w:t xml:space="preserve"> the goat </w:t>
      </w:r>
      <w:r w:rsidR="00106902" w:rsidRPr="00106902">
        <w:t>encompass</w:t>
      </w:r>
      <w:r w:rsidR="00106902">
        <w:t>ing the sins of the people and therefore cleansing them through this sacrifice and the confession of their sins.</w:t>
      </w:r>
    </w:p>
    <w:p w:rsidR="007F610B" w:rsidRDefault="000F628E" w:rsidP="00E55756">
      <w:pPr>
        <w:rPr>
          <w:b/>
        </w:rPr>
      </w:pPr>
      <w:r>
        <w:rPr>
          <w:b/>
        </w:rPr>
        <w:t xml:space="preserve">Fasting during </w:t>
      </w:r>
      <w:r w:rsidR="007F610B">
        <w:rPr>
          <w:b/>
        </w:rPr>
        <w:t>Yom Kippur</w:t>
      </w:r>
    </w:p>
    <w:p w:rsidR="00254C8F" w:rsidRPr="00254C8F" w:rsidRDefault="00254C8F" w:rsidP="00E55756">
      <w:r>
        <w:t>One key obligatory feature of Yom Kippur is that of fasting</w:t>
      </w:r>
      <w:r w:rsidR="00C01FC6">
        <w:t xml:space="preserve"> which appears several times in the Torah for example the prescription in Leviticus to ‘afflict yourself’</w:t>
      </w:r>
      <w:r w:rsidR="00A13C32">
        <w:t xml:space="preserve"> (Leviticus 16.29</w:t>
      </w:r>
      <w:r w:rsidR="00C01FC6">
        <w:t xml:space="preserve">). </w:t>
      </w:r>
      <w:r w:rsidR="00A13C32">
        <w:t>This affliction is understood to take the form of fasting and self-denial and as such it became obligatory to fast during Yom Kippur. Fasting during Yom Kippur is f</w:t>
      </w:r>
      <w:r w:rsidR="00C8702E">
        <w:t>ound to have four aims which include</w:t>
      </w:r>
      <w:r w:rsidR="00A13C32">
        <w:t xml:space="preserve"> acting as a penance, encouraging self-discipline, heightening concentration on the spiritual and as a means of cultivating compassion towards those less fortunate.</w:t>
      </w:r>
      <w:r w:rsidR="00A13C32">
        <w:rPr>
          <w:rStyle w:val="FootnoteReference"/>
        </w:rPr>
        <w:footnoteReference w:id="5"/>
      </w:r>
    </w:p>
    <w:p w:rsidR="007F610B" w:rsidRDefault="007F610B" w:rsidP="00E55756">
      <w:pPr>
        <w:rPr>
          <w:b/>
        </w:rPr>
      </w:pPr>
      <w:r>
        <w:rPr>
          <w:b/>
        </w:rPr>
        <w:t>Laws</w:t>
      </w:r>
      <w:r w:rsidR="008639AC">
        <w:rPr>
          <w:b/>
        </w:rPr>
        <w:t>/Customs</w:t>
      </w:r>
      <w:r>
        <w:rPr>
          <w:b/>
        </w:rPr>
        <w:t xml:space="preserve"> governing Yom Kippur</w:t>
      </w:r>
    </w:p>
    <w:p w:rsidR="005D6377" w:rsidRDefault="00653987" w:rsidP="00E55756">
      <w:pPr>
        <w:rPr>
          <w:i/>
        </w:rPr>
      </w:pPr>
      <w:r>
        <w:t>There are various different laws associated with Yom Kippur and these govern the way in which Yom Kippur is celebrated and the significance of the Jewish f</w:t>
      </w:r>
      <w:r w:rsidR="00FA45A8">
        <w:t>estival as a whole.</w:t>
      </w:r>
      <w:r w:rsidR="00EE0328">
        <w:t xml:space="preserve"> Among some of the forbidden </w:t>
      </w:r>
      <w:r w:rsidR="006475C5">
        <w:t xml:space="preserve">acts </w:t>
      </w:r>
      <w:r w:rsidR="00EE0328">
        <w:t>during Yom Kippur</w:t>
      </w:r>
      <w:r w:rsidR="006475C5">
        <w:t>, interpreted by the Rabbis</w:t>
      </w:r>
      <w:r w:rsidR="002332A1">
        <w:t xml:space="preserve"> (</w:t>
      </w:r>
      <w:r w:rsidR="00D1340B">
        <w:t xml:space="preserve">contained </w:t>
      </w:r>
      <w:r w:rsidR="00EE0328">
        <w:t>in the Mishnah</w:t>
      </w:r>
      <w:r w:rsidR="002332A1">
        <w:t>) are</w:t>
      </w:r>
      <w:r w:rsidR="00EE0328">
        <w:t xml:space="preserve"> eating, drinking, bathing, anointing (with oil), putting on a sandal or engaging in</w:t>
      </w:r>
      <w:r w:rsidR="00C8702E">
        <w:t xml:space="preserve"> sexual relations (</w:t>
      </w:r>
      <w:proofErr w:type="spellStart"/>
      <w:r w:rsidR="00C8702E">
        <w:t>Mo’ed</w:t>
      </w:r>
      <w:proofErr w:type="spellEnd"/>
      <w:r w:rsidR="00C8702E">
        <w:t xml:space="preserve">: </w:t>
      </w:r>
      <w:proofErr w:type="spellStart"/>
      <w:r w:rsidR="00C8702E">
        <w:t>Yoma</w:t>
      </w:r>
      <w:proofErr w:type="spellEnd"/>
      <w:r w:rsidR="00C8702E">
        <w:t xml:space="preserve">, </w:t>
      </w:r>
      <w:r w:rsidR="00EE0328">
        <w:t xml:space="preserve">8:1A). </w:t>
      </w:r>
      <w:r w:rsidR="00243E61">
        <w:t xml:space="preserve">These forbidden acts/afflictions, known as </w:t>
      </w:r>
      <w:proofErr w:type="spellStart"/>
      <w:r w:rsidR="00243E61">
        <w:rPr>
          <w:i/>
        </w:rPr>
        <w:t>innuyim</w:t>
      </w:r>
      <w:proofErr w:type="spellEnd"/>
      <w:r w:rsidR="00243E61">
        <w:t xml:space="preserve">, </w:t>
      </w:r>
      <w:r w:rsidR="00243E61" w:rsidRPr="005D6377">
        <w:t>remain in place for twenty-five hours and has the purpose of focusing one’s mind on cultivating a positive,</w:t>
      </w:r>
      <w:r w:rsidR="00952D9B" w:rsidRPr="005D6377">
        <w:t xml:space="preserve"> clear and penitential outlook.</w:t>
      </w:r>
      <w:r w:rsidR="00952D9B" w:rsidRPr="005D6377">
        <w:rPr>
          <w:rStyle w:val="FootnoteReference"/>
        </w:rPr>
        <w:footnoteReference w:id="6"/>
      </w:r>
      <w:r w:rsidR="00243E61">
        <w:rPr>
          <w:i/>
        </w:rPr>
        <w:t xml:space="preserve"> </w:t>
      </w:r>
    </w:p>
    <w:p w:rsidR="000A181D" w:rsidRPr="000A181D" w:rsidRDefault="005D6377" w:rsidP="00E55756">
      <w:r>
        <w:t>There are several exceptions to the laws regarding Yom Kippur includi</w:t>
      </w:r>
      <w:r w:rsidR="005E1378">
        <w:t>ng there being no obligation</w:t>
      </w:r>
      <w:r>
        <w:t xml:space="preserve"> for males under the age of thirteen and females under 12 to participate in the fast</w:t>
      </w:r>
      <w:r w:rsidR="005E1378">
        <w:t xml:space="preserve"> and</w:t>
      </w:r>
      <w:r>
        <w:t xml:space="preserve"> </w:t>
      </w:r>
      <w:r w:rsidR="005E1378">
        <w:t xml:space="preserve">the </w:t>
      </w:r>
      <w:r w:rsidR="005E1378">
        <w:lastRenderedPageBreak/>
        <w:t>dispensation for sick people to take nec</w:t>
      </w:r>
      <w:r w:rsidR="00D1220B">
        <w:t>essary medicine and food/drink.</w:t>
      </w:r>
      <w:r w:rsidR="00D1220B">
        <w:rPr>
          <w:rStyle w:val="FootnoteReference"/>
        </w:rPr>
        <w:footnoteReference w:id="7"/>
      </w:r>
      <w:r w:rsidR="00C568D2">
        <w:rPr>
          <w:color w:val="FF0000"/>
        </w:rPr>
        <w:t xml:space="preserve"> </w:t>
      </w:r>
      <w:r w:rsidR="000A181D">
        <w:t xml:space="preserve">This allowance within the laws surrounding Yom Kippur shows a level of interpretation of the written law found in the Torah, further developing </w:t>
      </w:r>
      <w:r w:rsidR="00E50627">
        <w:t xml:space="preserve">and maintaining both </w:t>
      </w:r>
      <w:r w:rsidR="000A181D">
        <w:t xml:space="preserve">the significance and relevance of this festival within Judaism. </w:t>
      </w:r>
    </w:p>
    <w:p w:rsidR="00CC07C1" w:rsidRDefault="00535C8B" w:rsidP="00E55756">
      <w:r>
        <w:t xml:space="preserve">The synagogue takes central place during Yom Kippur </w:t>
      </w:r>
      <w:r w:rsidR="007017A9">
        <w:t>and it can often be the case that worshippers remain there all day to practice prayerful and penitential reflection</w:t>
      </w:r>
      <w:r w:rsidR="00BB7423">
        <w:t xml:space="preserve"> whilst engaging in the various services of the day</w:t>
      </w:r>
      <w:r w:rsidR="007017A9">
        <w:t>.</w:t>
      </w:r>
      <w:r w:rsidR="00950177">
        <w:rPr>
          <w:rStyle w:val="FootnoteReference"/>
        </w:rPr>
        <w:footnoteReference w:id="8"/>
      </w:r>
      <w:r w:rsidR="00045985">
        <w:t xml:space="preserve"> The aim of this is to seek reconciliation with God for all the sinful acts of that year, that God may then bless the individual for the following year. It is customary before this is done however,</w:t>
      </w:r>
      <w:r w:rsidR="00D13083">
        <w:t xml:space="preserve"> </w:t>
      </w:r>
      <w:r w:rsidR="00F051A4">
        <w:t>‘for people to beg one another for forgiveness for any wrongs done to them during the past year’</w:t>
      </w:r>
      <w:r w:rsidR="00771A13">
        <w:t>.</w:t>
      </w:r>
      <w:r w:rsidR="00F051A4">
        <w:rPr>
          <w:rStyle w:val="FootnoteReference"/>
        </w:rPr>
        <w:footnoteReference w:id="9"/>
      </w:r>
      <w:r w:rsidR="00045985">
        <w:t xml:space="preserve"> </w:t>
      </w:r>
      <w:r w:rsidR="00771A13">
        <w:t>This is in keeping with the key theme within Yom Kippur of reconciliation and provides an understanding that before one atones with God they must first seek forgiveness for sins committed against others, so that they may become cleansed for the following year.</w:t>
      </w:r>
    </w:p>
    <w:p w:rsidR="00693647" w:rsidRDefault="0020716D" w:rsidP="00E55756">
      <w:pPr>
        <w:rPr>
          <w:b/>
        </w:rPr>
      </w:pPr>
      <w:proofErr w:type="spellStart"/>
      <w:r>
        <w:rPr>
          <w:b/>
        </w:rPr>
        <w:t>Kol</w:t>
      </w:r>
      <w:proofErr w:type="spellEnd"/>
      <w:r>
        <w:rPr>
          <w:b/>
        </w:rPr>
        <w:t xml:space="preserve"> </w:t>
      </w:r>
      <w:proofErr w:type="spellStart"/>
      <w:r>
        <w:rPr>
          <w:b/>
        </w:rPr>
        <w:t>Nidr</w:t>
      </w:r>
      <w:r w:rsidRPr="0020716D">
        <w:rPr>
          <w:b/>
        </w:rPr>
        <w:t>ẻ</w:t>
      </w:r>
      <w:proofErr w:type="spellEnd"/>
    </w:p>
    <w:p w:rsidR="0020716D" w:rsidRDefault="0020716D" w:rsidP="00E55756">
      <w:pPr>
        <w:rPr>
          <w:rFonts w:cstheme="minorHAnsi"/>
        </w:rPr>
      </w:pPr>
      <w:r>
        <w:t xml:space="preserve">One major aspect of the festival is called </w:t>
      </w:r>
      <w:proofErr w:type="spellStart"/>
      <w:r w:rsidRPr="0020716D">
        <w:rPr>
          <w:i/>
        </w:rPr>
        <w:t>Kol</w:t>
      </w:r>
      <w:proofErr w:type="spellEnd"/>
      <w:r w:rsidRPr="0020716D">
        <w:rPr>
          <w:i/>
        </w:rPr>
        <w:t xml:space="preserve"> </w:t>
      </w:r>
      <w:proofErr w:type="spellStart"/>
      <w:r w:rsidRPr="0020716D">
        <w:rPr>
          <w:i/>
        </w:rPr>
        <w:t>Nidr</w:t>
      </w:r>
      <w:r w:rsidRPr="0020716D">
        <w:rPr>
          <w:rFonts w:cstheme="minorHAnsi"/>
          <w:i/>
        </w:rPr>
        <w:t>ẻ</w:t>
      </w:r>
      <w:proofErr w:type="spellEnd"/>
      <w:r>
        <w:rPr>
          <w:rFonts w:cstheme="minorHAnsi"/>
          <w:i/>
        </w:rPr>
        <w:t xml:space="preserve">, </w:t>
      </w:r>
      <w:r>
        <w:rPr>
          <w:rFonts w:cstheme="minorHAnsi"/>
        </w:rPr>
        <w:t>a prayerful remission of sins through song which features on the eve of Yom Kippur</w:t>
      </w:r>
      <w:r>
        <w:rPr>
          <w:rFonts w:cstheme="minorHAnsi"/>
          <w:i/>
        </w:rPr>
        <w:t xml:space="preserve">. </w:t>
      </w:r>
      <w:r w:rsidR="00A21208">
        <w:rPr>
          <w:rFonts w:cstheme="minorHAnsi"/>
        </w:rPr>
        <w:t>This aspect invokes</w:t>
      </w:r>
      <w:r>
        <w:rPr>
          <w:rFonts w:cstheme="minorHAnsi"/>
        </w:rPr>
        <w:t xml:space="preserve"> a public confession of sins against God, the inevitable repentance for these sins and the sinner asking for their sins to be forgiven. </w:t>
      </w:r>
      <w:r w:rsidR="00F023AA">
        <w:rPr>
          <w:rStyle w:val="FootnoteReference"/>
          <w:rFonts w:cstheme="minorHAnsi"/>
        </w:rPr>
        <w:footnoteReference w:id="10"/>
      </w:r>
    </w:p>
    <w:p w:rsidR="00F72586" w:rsidRDefault="00F72586" w:rsidP="00E55756">
      <w:pPr>
        <w:rPr>
          <w:rFonts w:cstheme="minorHAnsi"/>
          <w:b/>
        </w:rPr>
      </w:pPr>
      <w:r w:rsidRPr="00F72586">
        <w:rPr>
          <w:rFonts w:cstheme="minorHAnsi"/>
          <w:b/>
        </w:rPr>
        <w:t xml:space="preserve">The significance of Yom Kippur </w:t>
      </w:r>
    </w:p>
    <w:p w:rsidR="0095351E" w:rsidRPr="0095351E" w:rsidRDefault="00F72586" w:rsidP="00E55756">
      <w:pPr>
        <w:rPr>
          <w:rFonts w:cstheme="minorHAnsi"/>
        </w:rPr>
      </w:pPr>
      <w:r>
        <w:rPr>
          <w:rFonts w:cstheme="minorHAnsi"/>
        </w:rPr>
        <w:t>The significance of Yom Kippur within Judaism cannot be underestimated. It is widely recognised as one of the holiest d</w:t>
      </w:r>
      <w:r w:rsidR="00EC3D9F">
        <w:rPr>
          <w:rFonts w:cstheme="minorHAnsi"/>
        </w:rPr>
        <w:t>ays in the Jewish Calendar and is associated in the Talmud as ‘The Day’ (</w:t>
      </w:r>
      <w:proofErr w:type="spellStart"/>
      <w:r w:rsidR="00EC3D9F">
        <w:rPr>
          <w:rFonts w:cstheme="minorHAnsi"/>
        </w:rPr>
        <w:t>Yoma</w:t>
      </w:r>
      <w:proofErr w:type="spellEnd"/>
      <w:r w:rsidR="00EC3D9F">
        <w:rPr>
          <w:rFonts w:cstheme="minorHAnsi"/>
        </w:rPr>
        <w:t xml:space="preserve"> 14b) which reflects an understanding of Yom Kippur as being of unique significance.</w:t>
      </w:r>
      <w:r w:rsidR="00A16ECF">
        <w:rPr>
          <w:rFonts w:cstheme="minorHAnsi"/>
        </w:rPr>
        <w:t xml:space="preserve"> It is a festival which has remained significant for Jews from Temple times onwards and takes it authority from the Torah. Further significance of Yom Kippur is found through the fact that often Yom Kippur is observed by pious and non-practicing Jews which highlights the festival as being a statement of Jewish identity with the added religious significance for pious Jews.</w:t>
      </w:r>
    </w:p>
    <w:p w:rsidR="007F610B" w:rsidRDefault="00C46167" w:rsidP="00E55756">
      <w:r>
        <w:t>The Jewish festival of Yom Kippur can ultimately be seen as one of jubilation and joyous reflection over the past year. It is a</w:t>
      </w:r>
      <w:r w:rsidR="00545F9A">
        <w:t xml:space="preserve"> festival which culminates in the</w:t>
      </w:r>
      <w:r>
        <w:t xml:space="preserve"> ultimate knowledge that God has heard the prayers of the people</w:t>
      </w:r>
      <w:r w:rsidR="00743FD3">
        <w:t>, accepted the sincere repentance and as such has blessed his people once again.</w:t>
      </w:r>
      <w:r w:rsidR="00743FD3">
        <w:rPr>
          <w:rStyle w:val="FootnoteReference"/>
        </w:rPr>
        <w:footnoteReference w:id="11"/>
      </w:r>
      <w:r w:rsidR="001D5DE2">
        <w:t xml:space="preserve"> As a result, </w:t>
      </w:r>
      <w:r w:rsidR="003C00A3">
        <w:t>this is a festival which will continue to remain significant for Jews because of the symbolic spiritual and moral cleansing the festival offers to Jews each year.</w:t>
      </w:r>
    </w:p>
    <w:p w:rsidR="00FC1256" w:rsidRDefault="00FC1256" w:rsidP="00E55756"/>
    <w:p w:rsidR="00FC1256" w:rsidRDefault="00FC1256" w:rsidP="00E55756"/>
    <w:p w:rsidR="00FC1256" w:rsidRDefault="00FC1256" w:rsidP="00E55756"/>
    <w:p w:rsidR="00FC1256" w:rsidRDefault="00FC1256" w:rsidP="00E55756"/>
    <w:p w:rsidR="00FC1256" w:rsidRDefault="00FC1256" w:rsidP="00E55756"/>
    <w:p w:rsidR="008639AC" w:rsidRDefault="008639AC" w:rsidP="00E55756">
      <w:pPr>
        <w:rPr>
          <w:b/>
        </w:rPr>
      </w:pPr>
    </w:p>
    <w:p w:rsidR="00FC1256" w:rsidRDefault="00FC1256" w:rsidP="00E55756">
      <w:pPr>
        <w:rPr>
          <w:b/>
        </w:rPr>
      </w:pPr>
      <w:r w:rsidRPr="00FC1256">
        <w:rPr>
          <w:b/>
        </w:rPr>
        <w:lastRenderedPageBreak/>
        <w:t>Bibliography</w:t>
      </w:r>
    </w:p>
    <w:p w:rsidR="00FC1256" w:rsidRDefault="0078024E" w:rsidP="00E55756">
      <w:r w:rsidRPr="00FD3304">
        <w:t>Brawer</w:t>
      </w:r>
      <w:r>
        <w:t>, Naftali</w:t>
      </w:r>
      <w:r w:rsidR="00787AE9">
        <w:t>,</w:t>
      </w:r>
      <w:r>
        <w:t xml:space="preserve"> </w:t>
      </w:r>
      <w:r w:rsidRPr="00FD3304">
        <w:rPr>
          <w:i/>
        </w:rPr>
        <w:t>A brief guide to Judaism : theology, history and practice</w:t>
      </w:r>
      <w:r>
        <w:rPr>
          <w:i/>
        </w:rPr>
        <w:t xml:space="preserve"> </w:t>
      </w:r>
      <w:r>
        <w:t xml:space="preserve">(Philadelphia, </w:t>
      </w:r>
      <w:r w:rsidRPr="00FD3304">
        <w:t>PA : Running Press</w:t>
      </w:r>
      <w:r>
        <w:t>, 2008) [e-book]</w:t>
      </w:r>
    </w:p>
    <w:p w:rsidR="00787AE9" w:rsidRDefault="00787AE9" w:rsidP="00E55756">
      <w:r>
        <w:t xml:space="preserve">Cohn- </w:t>
      </w:r>
      <w:proofErr w:type="spellStart"/>
      <w:r>
        <w:t>Sherbok</w:t>
      </w:r>
      <w:proofErr w:type="spellEnd"/>
      <w:r>
        <w:t xml:space="preserve">, Dan, </w:t>
      </w:r>
      <w:r>
        <w:rPr>
          <w:i/>
        </w:rPr>
        <w:t>Judaism: History, Belief and Practice (</w:t>
      </w:r>
      <w:r>
        <w:t>London: Routledge, 2003)</w:t>
      </w:r>
    </w:p>
    <w:p w:rsidR="00787AE9" w:rsidRDefault="00787AE9" w:rsidP="00E55756">
      <w:r>
        <w:t xml:space="preserve">De Lange, Nicholas, </w:t>
      </w:r>
      <w:r>
        <w:rPr>
          <w:i/>
        </w:rPr>
        <w:t>An Introduction to Judaism: Second Edition (</w:t>
      </w:r>
      <w:r>
        <w:t>Cambridge: Cambridge University Press, 2010)</w:t>
      </w:r>
    </w:p>
    <w:p w:rsidR="00787AE9" w:rsidRDefault="00787AE9" w:rsidP="00E55756">
      <w:r w:rsidRPr="00787AE9">
        <w:t xml:space="preserve">Jacobs, </w:t>
      </w:r>
      <w:r>
        <w:t xml:space="preserve">Louis, </w:t>
      </w:r>
      <w:r w:rsidRPr="00787AE9">
        <w:t xml:space="preserve">The Jewish Religion: A Companion (Oxford: Oxford </w:t>
      </w:r>
      <w:r>
        <w:t>University Press, 1995)</w:t>
      </w:r>
    </w:p>
    <w:p w:rsidR="00787AE9" w:rsidRDefault="00787AE9" w:rsidP="00E55756">
      <w:proofErr w:type="spellStart"/>
      <w:r>
        <w:t>Neusner</w:t>
      </w:r>
      <w:proofErr w:type="spellEnd"/>
      <w:r>
        <w:t xml:space="preserve">, Jacob, </w:t>
      </w:r>
      <w:r>
        <w:rPr>
          <w:i/>
        </w:rPr>
        <w:t xml:space="preserve">Judaism: The Basics </w:t>
      </w:r>
      <w:r>
        <w:t>(London: Routledge, 2006) [e-book]</w:t>
      </w:r>
    </w:p>
    <w:p w:rsidR="00FA5A4B" w:rsidRDefault="00FA5A4B" w:rsidP="00E55756">
      <w:r>
        <w:t xml:space="preserve">Segal, Eliezer, </w:t>
      </w:r>
      <w:r>
        <w:rPr>
          <w:i/>
        </w:rPr>
        <w:t>Introducing Judaism</w:t>
      </w:r>
      <w:r>
        <w:t xml:space="preserve"> (London: Routledge, 2009)</w:t>
      </w:r>
    </w:p>
    <w:p w:rsidR="00FA5A4B" w:rsidRDefault="00FA5A4B" w:rsidP="00E55756">
      <w:r w:rsidRPr="00FA5A4B">
        <w:t>Solomon,</w:t>
      </w:r>
      <w:r>
        <w:t xml:space="preserve"> Norman,</w:t>
      </w:r>
      <w:r w:rsidRPr="00FA5A4B">
        <w:t xml:space="preserve"> Judaism: A Very Short Introduction (Oxford: Oxford</w:t>
      </w:r>
      <w:r w:rsidR="007236EF">
        <w:t xml:space="preserve"> University Press, 2014)</w:t>
      </w:r>
    </w:p>
    <w:p w:rsidR="00FA5A4B" w:rsidRDefault="00FA5A4B" w:rsidP="00E55756"/>
    <w:p w:rsidR="00787AE9" w:rsidRDefault="00787AE9" w:rsidP="00E55756"/>
    <w:p w:rsidR="00787AE9" w:rsidRDefault="00787AE9" w:rsidP="00E55756"/>
    <w:p w:rsidR="00787AE9" w:rsidRDefault="00787AE9" w:rsidP="00E55756"/>
    <w:p w:rsidR="00787AE9" w:rsidRDefault="00787AE9" w:rsidP="00E55756"/>
    <w:p w:rsidR="0078024E" w:rsidRPr="00FC1256" w:rsidRDefault="0078024E" w:rsidP="00E55756">
      <w:pPr>
        <w:rPr>
          <w:b/>
        </w:rPr>
      </w:pPr>
    </w:p>
    <w:sectPr w:rsidR="0078024E" w:rsidRPr="00FC125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5F9F" w:rsidRDefault="00925F9F" w:rsidP="00901DDD">
      <w:pPr>
        <w:spacing w:after="0" w:line="240" w:lineRule="auto"/>
      </w:pPr>
      <w:r>
        <w:separator/>
      </w:r>
    </w:p>
  </w:endnote>
  <w:endnote w:type="continuationSeparator" w:id="0">
    <w:p w:rsidR="00925F9F" w:rsidRDefault="00925F9F" w:rsidP="00901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5F9F" w:rsidRDefault="00925F9F" w:rsidP="00901DDD">
      <w:pPr>
        <w:spacing w:after="0" w:line="240" w:lineRule="auto"/>
      </w:pPr>
      <w:r>
        <w:separator/>
      </w:r>
    </w:p>
  </w:footnote>
  <w:footnote w:type="continuationSeparator" w:id="0">
    <w:p w:rsidR="00925F9F" w:rsidRDefault="00925F9F" w:rsidP="00901DDD">
      <w:pPr>
        <w:spacing w:after="0" w:line="240" w:lineRule="auto"/>
      </w:pPr>
      <w:r>
        <w:continuationSeparator/>
      </w:r>
    </w:p>
  </w:footnote>
  <w:footnote w:id="1">
    <w:p w:rsidR="00901DDD" w:rsidRPr="00FD3304" w:rsidRDefault="00901DDD">
      <w:pPr>
        <w:pStyle w:val="FootnoteText"/>
      </w:pPr>
      <w:r>
        <w:rPr>
          <w:rStyle w:val="FootnoteReference"/>
        </w:rPr>
        <w:footnoteRef/>
      </w:r>
      <w:r>
        <w:t xml:space="preserve"> </w:t>
      </w:r>
      <w:r w:rsidR="00FD3304" w:rsidRPr="00FD3304">
        <w:t>Naftali</w:t>
      </w:r>
      <w:r w:rsidR="00FD3304">
        <w:t>.</w:t>
      </w:r>
      <w:r w:rsidR="00FD3304" w:rsidRPr="00FD3304">
        <w:t xml:space="preserve"> Brawer</w:t>
      </w:r>
      <w:r w:rsidR="00FD3304">
        <w:t xml:space="preserve">, </w:t>
      </w:r>
      <w:r w:rsidRPr="00FD3304">
        <w:rPr>
          <w:i/>
        </w:rPr>
        <w:t>A brief guide to Judaism : theology, history and practice</w:t>
      </w:r>
      <w:r w:rsidR="00FD3304">
        <w:rPr>
          <w:i/>
        </w:rPr>
        <w:t xml:space="preserve"> </w:t>
      </w:r>
      <w:r w:rsidR="00FD3304">
        <w:t xml:space="preserve">(Philadelphia, </w:t>
      </w:r>
      <w:r w:rsidR="00FD3304" w:rsidRPr="00FD3304">
        <w:t>PA : Running Press</w:t>
      </w:r>
      <w:r w:rsidR="00FD3304">
        <w:t>, 2008), p. 199.</w:t>
      </w:r>
      <w:r w:rsidR="007D1AE9">
        <w:t xml:space="preserve"> [e-book]</w:t>
      </w:r>
    </w:p>
  </w:footnote>
  <w:footnote w:id="2">
    <w:p w:rsidR="00901DDD" w:rsidRDefault="00901DDD">
      <w:pPr>
        <w:pStyle w:val="FootnoteText"/>
      </w:pPr>
      <w:r>
        <w:rPr>
          <w:rStyle w:val="FootnoteReference"/>
        </w:rPr>
        <w:footnoteRef/>
      </w:r>
      <w:r>
        <w:t xml:space="preserve"> </w:t>
      </w:r>
      <w:bookmarkStart w:id="2" w:name="_Hlk496795145"/>
      <w:r>
        <w:t xml:space="preserve">Norman. Solomon, </w:t>
      </w:r>
      <w:r>
        <w:rPr>
          <w:i/>
        </w:rPr>
        <w:t>Judaism: A Very Short Introduction</w:t>
      </w:r>
      <w:r>
        <w:t xml:space="preserve"> (Oxford: Oxford University Press, 2014), p. 62. </w:t>
      </w:r>
      <w:bookmarkEnd w:id="2"/>
    </w:p>
  </w:footnote>
  <w:footnote w:id="3">
    <w:p w:rsidR="00676989" w:rsidRDefault="00676989">
      <w:pPr>
        <w:pStyle w:val="FootnoteText"/>
      </w:pPr>
      <w:r>
        <w:rPr>
          <w:rStyle w:val="FootnoteReference"/>
        </w:rPr>
        <w:footnoteRef/>
      </w:r>
      <w:r>
        <w:t xml:space="preserve"> </w:t>
      </w:r>
      <w:r w:rsidRPr="00676989">
        <w:t>Louis. Jacobs, The Jewish Religion: A Companion (Oxford: Oxford</w:t>
      </w:r>
      <w:r>
        <w:t xml:space="preserve"> University Press, 1995), p. 613</w:t>
      </w:r>
      <w:r w:rsidRPr="00676989">
        <w:t>.</w:t>
      </w:r>
    </w:p>
  </w:footnote>
  <w:footnote w:id="4">
    <w:p w:rsidR="00343CB0" w:rsidRPr="00B3696E" w:rsidRDefault="00343CB0">
      <w:pPr>
        <w:pStyle w:val="FootnoteText"/>
      </w:pPr>
      <w:r>
        <w:rPr>
          <w:rStyle w:val="FootnoteReference"/>
        </w:rPr>
        <w:footnoteRef/>
      </w:r>
      <w:r>
        <w:t xml:space="preserve"> </w:t>
      </w:r>
      <w:r w:rsidR="00B3696E">
        <w:t xml:space="preserve">Eliezer. Segal, </w:t>
      </w:r>
      <w:r w:rsidR="00B3696E">
        <w:rPr>
          <w:i/>
        </w:rPr>
        <w:t>Introducing Judaism</w:t>
      </w:r>
      <w:r w:rsidR="00B3696E">
        <w:t xml:space="preserve"> (London: Routledge, 2009), p.287.</w:t>
      </w:r>
    </w:p>
  </w:footnote>
  <w:footnote w:id="5">
    <w:p w:rsidR="00A13C32" w:rsidRPr="00717FDE" w:rsidRDefault="00A13C32">
      <w:pPr>
        <w:pStyle w:val="FootnoteText"/>
      </w:pPr>
      <w:r>
        <w:rPr>
          <w:rStyle w:val="FootnoteReference"/>
        </w:rPr>
        <w:footnoteRef/>
      </w:r>
      <w:r>
        <w:t xml:space="preserve"> Louis. Jacobs, </w:t>
      </w:r>
      <w:r w:rsidR="00676989">
        <w:t>1995</w:t>
      </w:r>
      <w:r w:rsidR="00717FDE">
        <w:t>, p. 614.</w:t>
      </w:r>
    </w:p>
  </w:footnote>
  <w:footnote w:id="6">
    <w:p w:rsidR="00952D9B" w:rsidRDefault="00952D9B">
      <w:pPr>
        <w:pStyle w:val="FootnoteText"/>
      </w:pPr>
      <w:r>
        <w:rPr>
          <w:rStyle w:val="FootnoteReference"/>
        </w:rPr>
        <w:footnoteRef/>
      </w:r>
      <w:r w:rsidR="00C029C2">
        <w:t xml:space="preserve"> Norman. Solomon, 2014, p. 64</w:t>
      </w:r>
      <w:r w:rsidR="00C029C2" w:rsidRPr="00C029C2">
        <w:t>.</w:t>
      </w:r>
    </w:p>
  </w:footnote>
  <w:footnote w:id="7">
    <w:p w:rsidR="00D1220B" w:rsidRDefault="00D1220B">
      <w:pPr>
        <w:pStyle w:val="FootnoteText"/>
      </w:pPr>
      <w:r>
        <w:rPr>
          <w:rStyle w:val="FootnoteReference"/>
        </w:rPr>
        <w:footnoteRef/>
      </w:r>
      <w:r>
        <w:t xml:space="preserve"> Dan. Cohn- </w:t>
      </w:r>
      <w:proofErr w:type="spellStart"/>
      <w:r>
        <w:t>Sherbok</w:t>
      </w:r>
      <w:proofErr w:type="spellEnd"/>
      <w:r>
        <w:t xml:space="preserve">, </w:t>
      </w:r>
      <w:r>
        <w:rPr>
          <w:i/>
        </w:rPr>
        <w:t>Judaism: History, Belief and Practice (</w:t>
      </w:r>
      <w:r>
        <w:t xml:space="preserve">London: Routledge, 2003), </w:t>
      </w:r>
      <w:r w:rsidR="00587943">
        <w:t>p</w:t>
      </w:r>
      <w:r>
        <w:t>.516.</w:t>
      </w:r>
    </w:p>
  </w:footnote>
  <w:footnote w:id="8">
    <w:p w:rsidR="00950177" w:rsidRPr="00950177" w:rsidRDefault="00950177">
      <w:pPr>
        <w:pStyle w:val="FootnoteText"/>
      </w:pPr>
      <w:r>
        <w:rPr>
          <w:rStyle w:val="FootnoteReference"/>
        </w:rPr>
        <w:footnoteRef/>
      </w:r>
      <w:r>
        <w:t xml:space="preserve"> Nicholas. De Lange, </w:t>
      </w:r>
      <w:r>
        <w:rPr>
          <w:i/>
        </w:rPr>
        <w:t>An Introduction to Judaism: Second Edition (</w:t>
      </w:r>
      <w:r>
        <w:t>Cambridge: Cambridge University Press, 2010), p. 102.</w:t>
      </w:r>
    </w:p>
  </w:footnote>
  <w:footnote w:id="9">
    <w:p w:rsidR="00F051A4" w:rsidRDefault="00F051A4">
      <w:pPr>
        <w:pStyle w:val="FootnoteText"/>
      </w:pPr>
      <w:r>
        <w:rPr>
          <w:rStyle w:val="FootnoteReference"/>
        </w:rPr>
        <w:footnoteRef/>
      </w:r>
      <w:r>
        <w:t xml:space="preserve"> </w:t>
      </w:r>
      <w:r w:rsidR="00937C4A" w:rsidRPr="00937C4A">
        <w:t xml:space="preserve">Louis. Jacobs, </w:t>
      </w:r>
      <w:r w:rsidR="00937C4A">
        <w:t>1995</w:t>
      </w:r>
      <w:r w:rsidR="00937C4A" w:rsidRPr="00937C4A">
        <w:t>, p. 614.</w:t>
      </w:r>
    </w:p>
  </w:footnote>
  <w:footnote w:id="10">
    <w:p w:rsidR="00F023AA" w:rsidRPr="008621F3" w:rsidRDefault="00F023AA">
      <w:pPr>
        <w:pStyle w:val="FootnoteText"/>
      </w:pPr>
      <w:r>
        <w:rPr>
          <w:rStyle w:val="FootnoteReference"/>
        </w:rPr>
        <w:footnoteRef/>
      </w:r>
      <w:r>
        <w:t xml:space="preserve"> </w:t>
      </w:r>
      <w:r w:rsidR="008621F3">
        <w:t xml:space="preserve">Jacob. </w:t>
      </w:r>
      <w:proofErr w:type="spellStart"/>
      <w:r w:rsidR="008621F3">
        <w:t>Neusner</w:t>
      </w:r>
      <w:proofErr w:type="spellEnd"/>
      <w:r w:rsidR="008621F3">
        <w:t xml:space="preserve">, </w:t>
      </w:r>
      <w:r w:rsidR="008621F3">
        <w:rPr>
          <w:i/>
        </w:rPr>
        <w:t xml:space="preserve">Judaism: The Basics </w:t>
      </w:r>
      <w:r w:rsidR="008621F3">
        <w:t>(London: Routledge, 2006), p.56. [e-book]</w:t>
      </w:r>
    </w:p>
  </w:footnote>
  <w:footnote w:id="11">
    <w:p w:rsidR="00743FD3" w:rsidRDefault="00743FD3">
      <w:pPr>
        <w:pStyle w:val="FootnoteText"/>
      </w:pPr>
      <w:r>
        <w:rPr>
          <w:rStyle w:val="FootnoteReference"/>
        </w:rPr>
        <w:footnoteRef/>
      </w:r>
      <w:r>
        <w:t xml:space="preserve"> </w:t>
      </w:r>
      <w:r w:rsidRPr="00FD3304">
        <w:t>Naftali</w:t>
      </w:r>
      <w:r>
        <w:t>.</w:t>
      </w:r>
      <w:r w:rsidRPr="00FD3304">
        <w:t xml:space="preserve"> Brawer</w:t>
      </w:r>
      <w:r>
        <w:t>, 2008, p. 201. [e-book]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0E2" w:rsidRDefault="00F270E2">
    <w:pPr>
      <w:pStyle w:val="Header"/>
    </w:pPr>
    <w:r>
      <w:t>HPRS5001</w:t>
    </w:r>
    <w:r>
      <w:ptab w:relativeTo="margin" w:alignment="center" w:leader="none"/>
    </w:r>
    <w:r>
      <w:t>Assignment 1- Encyclopaedia Entry</w:t>
    </w:r>
    <w:r>
      <w:ptab w:relativeTo="margin" w:alignment="right" w:leader="none"/>
    </w:r>
    <w:r>
      <w:t>1600551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896C84"/>
    <w:multiLevelType w:val="hybridMultilevel"/>
    <w:tmpl w:val="212E3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756"/>
    <w:rsid w:val="00020F4C"/>
    <w:rsid w:val="00045985"/>
    <w:rsid w:val="00097E2E"/>
    <w:rsid w:val="000A181D"/>
    <w:rsid w:val="000B6D24"/>
    <w:rsid w:val="000E2926"/>
    <w:rsid w:val="000E3E61"/>
    <w:rsid w:val="000F1A52"/>
    <w:rsid w:val="000F628E"/>
    <w:rsid w:val="00106902"/>
    <w:rsid w:val="001A721F"/>
    <w:rsid w:val="001D424A"/>
    <w:rsid w:val="001D5DE2"/>
    <w:rsid w:val="001E5E15"/>
    <w:rsid w:val="00201052"/>
    <w:rsid w:val="00202257"/>
    <w:rsid w:val="0020716D"/>
    <w:rsid w:val="00217923"/>
    <w:rsid w:val="002332A1"/>
    <w:rsid w:val="00243E61"/>
    <w:rsid w:val="00254C8F"/>
    <w:rsid w:val="002A7F03"/>
    <w:rsid w:val="002B4925"/>
    <w:rsid w:val="002D3216"/>
    <w:rsid w:val="00322425"/>
    <w:rsid w:val="00343CB0"/>
    <w:rsid w:val="003562D9"/>
    <w:rsid w:val="00386A29"/>
    <w:rsid w:val="003C00A3"/>
    <w:rsid w:val="003E364A"/>
    <w:rsid w:val="003F743D"/>
    <w:rsid w:val="004C27AE"/>
    <w:rsid w:val="004C44A1"/>
    <w:rsid w:val="00535C8B"/>
    <w:rsid w:val="00545F9A"/>
    <w:rsid w:val="00587943"/>
    <w:rsid w:val="00593ACC"/>
    <w:rsid w:val="005D6377"/>
    <w:rsid w:val="005E1378"/>
    <w:rsid w:val="00645D72"/>
    <w:rsid w:val="006475C5"/>
    <w:rsid w:val="00653987"/>
    <w:rsid w:val="00676989"/>
    <w:rsid w:val="00693647"/>
    <w:rsid w:val="00694509"/>
    <w:rsid w:val="007017A9"/>
    <w:rsid w:val="007112A8"/>
    <w:rsid w:val="00717FDE"/>
    <w:rsid w:val="007236EF"/>
    <w:rsid w:val="00733594"/>
    <w:rsid w:val="00743FD3"/>
    <w:rsid w:val="007450CA"/>
    <w:rsid w:val="00771A13"/>
    <w:rsid w:val="0078024E"/>
    <w:rsid w:val="00787AE9"/>
    <w:rsid w:val="00791D31"/>
    <w:rsid w:val="007D1AE9"/>
    <w:rsid w:val="007F610B"/>
    <w:rsid w:val="008621F3"/>
    <w:rsid w:val="008639AC"/>
    <w:rsid w:val="008B176D"/>
    <w:rsid w:val="008B7B2B"/>
    <w:rsid w:val="00901DDD"/>
    <w:rsid w:val="00911694"/>
    <w:rsid w:val="00925F9F"/>
    <w:rsid w:val="00937C4A"/>
    <w:rsid w:val="00950177"/>
    <w:rsid w:val="00952D9B"/>
    <w:rsid w:val="0095351E"/>
    <w:rsid w:val="00976E97"/>
    <w:rsid w:val="009C2A13"/>
    <w:rsid w:val="009D1E3A"/>
    <w:rsid w:val="00A01DF0"/>
    <w:rsid w:val="00A13C32"/>
    <w:rsid w:val="00A16ECF"/>
    <w:rsid w:val="00A21208"/>
    <w:rsid w:val="00A949D3"/>
    <w:rsid w:val="00AE4C5C"/>
    <w:rsid w:val="00AF7F03"/>
    <w:rsid w:val="00B3696E"/>
    <w:rsid w:val="00B44D82"/>
    <w:rsid w:val="00B46DA5"/>
    <w:rsid w:val="00B73BE3"/>
    <w:rsid w:val="00BB7423"/>
    <w:rsid w:val="00C01FC6"/>
    <w:rsid w:val="00C029C2"/>
    <w:rsid w:val="00C46167"/>
    <w:rsid w:val="00C5448E"/>
    <w:rsid w:val="00C568D2"/>
    <w:rsid w:val="00C8702E"/>
    <w:rsid w:val="00CC07C1"/>
    <w:rsid w:val="00CE3F30"/>
    <w:rsid w:val="00D10AB4"/>
    <w:rsid w:val="00D1220B"/>
    <w:rsid w:val="00D13083"/>
    <w:rsid w:val="00D1340B"/>
    <w:rsid w:val="00D16449"/>
    <w:rsid w:val="00D31FB1"/>
    <w:rsid w:val="00D55588"/>
    <w:rsid w:val="00DA0A11"/>
    <w:rsid w:val="00E50627"/>
    <w:rsid w:val="00E55756"/>
    <w:rsid w:val="00E7652B"/>
    <w:rsid w:val="00EA70EE"/>
    <w:rsid w:val="00EB0452"/>
    <w:rsid w:val="00EB0C45"/>
    <w:rsid w:val="00EC3D9F"/>
    <w:rsid w:val="00EE0328"/>
    <w:rsid w:val="00F023AA"/>
    <w:rsid w:val="00F051A4"/>
    <w:rsid w:val="00F158F2"/>
    <w:rsid w:val="00F270E2"/>
    <w:rsid w:val="00F32E9C"/>
    <w:rsid w:val="00F4102B"/>
    <w:rsid w:val="00F72586"/>
    <w:rsid w:val="00FA45A8"/>
    <w:rsid w:val="00FA5A4B"/>
    <w:rsid w:val="00FC1256"/>
    <w:rsid w:val="00FD3304"/>
    <w:rsid w:val="00FE5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8AAF0"/>
  <w15:chartTrackingRefBased/>
  <w15:docId w15:val="{AACEB733-F4E7-4B54-89BA-5DAA48C1E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756"/>
    <w:pPr>
      <w:ind w:left="720"/>
      <w:contextualSpacing/>
    </w:pPr>
  </w:style>
  <w:style w:type="paragraph" w:styleId="FootnoteText">
    <w:name w:val="footnote text"/>
    <w:basedOn w:val="Normal"/>
    <w:link w:val="FootnoteTextChar"/>
    <w:uiPriority w:val="99"/>
    <w:semiHidden/>
    <w:unhideWhenUsed/>
    <w:rsid w:val="00901D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1DDD"/>
    <w:rPr>
      <w:sz w:val="20"/>
      <w:szCs w:val="20"/>
    </w:rPr>
  </w:style>
  <w:style w:type="character" w:styleId="FootnoteReference">
    <w:name w:val="footnote reference"/>
    <w:basedOn w:val="DefaultParagraphFont"/>
    <w:uiPriority w:val="99"/>
    <w:semiHidden/>
    <w:unhideWhenUsed/>
    <w:rsid w:val="00901DDD"/>
    <w:rPr>
      <w:vertAlign w:val="superscript"/>
    </w:rPr>
  </w:style>
  <w:style w:type="paragraph" w:styleId="Header">
    <w:name w:val="header"/>
    <w:basedOn w:val="Normal"/>
    <w:link w:val="HeaderChar"/>
    <w:uiPriority w:val="99"/>
    <w:unhideWhenUsed/>
    <w:rsid w:val="00F270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0E2"/>
  </w:style>
  <w:style w:type="paragraph" w:styleId="Footer">
    <w:name w:val="footer"/>
    <w:basedOn w:val="Normal"/>
    <w:link w:val="FooterChar"/>
    <w:uiPriority w:val="99"/>
    <w:unhideWhenUsed/>
    <w:rsid w:val="00F270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829227">
      <w:bodyDiv w:val="1"/>
      <w:marLeft w:val="0"/>
      <w:marRight w:val="0"/>
      <w:marTop w:val="0"/>
      <w:marBottom w:val="0"/>
      <w:divBdr>
        <w:top w:val="none" w:sz="0" w:space="0" w:color="auto"/>
        <w:left w:val="none" w:sz="0" w:space="0" w:color="auto"/>
        <w:bottom w:val="none" w:sz="0" w:space="0" w:color="auto"/>
        <w:right w:val="none" w:sz="0" w:space="0" w:color="auto"/>
      </w:divBdr>
      <w:divsChild>
        <w:div w:id="295571995">
          <w:marLeft w:val="0"/>
          <w:marRight w:val="0"/>
          <w:marTop w:val="0"/>
          <w:marBottom w:val="0"/>
          <w:divBdr>
            <w:top w:val="none" w:sz="0" w:space="0" w:color="auto"/>
            <w:left w:val="none" w:sz="0" w:space="0" w:color="auto"/>
            <w:bottom w:val="none" w:sz="0" w:space="0" w:color="auto"/>
            <w:right w:val="none" w:sz="0" w:space="0" w:color="auto"/>
          </w:divBdr>
          <w:divsChild>
            <w:div w:id="197671116">
              <w:marLeft w:val="0"/>
              <w:marRight w:val="0"/>
              <w:marTop w:val="0"/>
              <w:marBottom w:val="0"/>
              <w:divBdr>
                <w:top w:val="none" w:sz="0" w:space="0" w:color="auto"/>
                <w:left w:val="none" w:sz="0" w:space="0" w:color="auto"/>
                <w:bottom w:val="none" w:sz="0" w:space="0" w:color="auto"/>
                <w:right w:val="none" w:sz="0" w:space="0" w:color="auto"/>
              </w:divBdr>
              <w:divsChild>
                <w:div w:id="824050845">
                  <w:marLeft w:val="0"/>
                  <w:marRight w:val="0"/>
                  <w:marTop w:val="0"/>
                  <w:marBottom w:val="0"/>
                  <w:divBdr>
                    <w:top w:val="none" w:sz="0" w:space="0" w:color="auto"/>
                    <w:left w:val="none" w:sz="0" w:space="0" w:color="auto"/>
                    <w:bottom w:val="none" w:sz="0" w:space="0" w:color="auto"/>
                    <w:right w:val="none" w:sz="0" w:space="0" w:color="auto"/>
                  </w:divBdr>
                  <w:divsChild>
                    <w:div w:id="163399149">
                      <w:marLeft w:val="0"/>
                      <w:marRight w:val="0"/>
                      <w:marTop w:val="0"/>
                      <w:marBottom w:val="0"/>
                      <w:divBdr>
                        <w:top w:val="none" w:sz="0" w:space="0" w:color="auto"/>
                        <w:left w:val="none" w:sz="0" w:space="0" w:color="auto"/>
                        <w:bottom w:val="none" w:sz="0" w:space="0" w:color="auto"/>
                        <w:right w:val="none" w:sz="0" w:space="0" w:color="auto"/>
                      </w:divBdr>
                      <w:divsChild>
                        <w:div w:id="468329191">
                          <w:marLeft w:val="0"/>
                          <w:marRight w:val="0"/>
                          <w:marTop w:val="0"/>
                          <w:marBottom w:val="0"/>
                          <w:divBdr>
                            <w:top w:val="none" w:sz="0" w:space="0" w:color="auto"/>
                            <w:left w:val="none" w:sz="0" w:space="0" w:color="auto"/>
                            <w:bottom w:val="none" w:sz="0" w:space="0" w:color="auto"/>
                            <w:right w:val="none" w:sz="0" w:space="0" w:color="auto"/>
                          </w:divBdr>
                          <w:divsChild>
                            <w:div w:id="2023891120">
                              <w:marLeft w:val="0"/>
                              <w:marRight w:val="0"/>
                              <w:marTop w:val="0"/>
                              <w:marBottom w:val="240"/>
                              <w:divBdr>
                                <w:top w:val="none" w:sz="0" w:space="0" w:color="auto"/>
                                <w:left w:val="none" w:sz="0" w:space="0" w:color="auto"/>
                                <w:bottom w:val="none" w:sz="0" w:space="0" w:color="auto"/>
                                <w:right w:val="none" w:sz="0" w:space="0" w:color="auto"/>
                              </w:divBdr>
                              <w:divsChild>
                                <w:div w:id="510801563">
                                  <w:marLeft w:val="0"/>
                                  <w:marRight w:val="0"/>
                                  <w:marTop w:val="0"/>
                                  <w:marBottom w:val="0"/>
                                  <w:divBdr>
                                    <w:top w:val="none" w:sz="0" w:space="0" w:color="auto"/>
                                    <w:left w:val="single" w:sz="6" w:space="0" w:color="8FB9D0"/>
                                    <w:bottom w:val="single" w:sz="6" w:space="0" w:color="8FB9D0"/>
                                    <w:right w:val="single" w:sz="6" w:space="0" w:color="8FB9D0"/>
                                  </w:divBdr>
                                  <w:divsChild>
                                    <w:div w:id="1990203508">
                                      <w:marLeft w:val="0"/>
                                      <w:marRight w:val="0"/>
                                      <w:marTop w:val="0"/>
                                      <w:marBottom w:val="0"/>
                                      <w:divBdr>
                                        <w:top w:val="none" w:sz="0" w:space="0" w:color="auto"/>
                                        <w:left w:val="none" w:sz="0" w:space="0" w:color="auto"/>
                                        <w:bottom w:val="none" w:sz="0" w:space="0" w:color="auto"/>
                                        <w:right w:val="none" w:sz="0" w:space="0" w:color="auto"/>
                                      </w:divBdr>
                                      <w:divsChild>
                                        <w:div w:id="176614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6DB82-C827-449A-98AA-96E847A2F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3</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boyce</dc:creator>
  <cp:keywords/>
  <dc:description/>
  <cp:lastModifiedBy>joshua boyce</cp:lastModifiedBy>
  <cp:revision>116</cp:revision>
  <dcterms:created xsi:type="dcterms:W3CDTF">2017-10-23T12:34:00Z</dcterms:created>
  <dcterms:modified xsi:type="dcterms:W3CDTF">2017-10-26T18:20:00Z</dcterms:modified>
</cp:coreProperties>
</file>