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08680" w14:textId="77777777" w:rsidR="00650244" w:rsidRPr="004E0DDA" w:rsidRDefault="00650244" w:rsidP="004E0DDA">
      <w:pPr>
        <w:spacing w:line="360" w:lineRule="auto"/>
        <w:jc w:val="center"/>
        <w:rPr>
          <w:rFonts w:ascii="Arial" w:hAnsi="Arial" w:cs="Arial"/>
          <w:b/>
          <w:bCs/>
          <w:lang w:val="en-US"/>
        </w:rPr>
      </w:pPr>
      <w:r w:rsidRPr="004E0DDA">
        <w:rPr>
          <w:rFonts w:ascii="Arial" w:hAnsi="Arial" w:cs="Arial"/>
          <w:b/>
          <w:bCs/>
          <w:lang w:val="en-US"/>
        </w:rPr>
        <w:t>Individual project report</w:t>
      </w:r>
    </w:p>
    <w:p w14:paraId="4D44CFFD" w14:textId="77777777" w:rsidR="00791BDC" w:rsidRPr="004E0DDA" w:rsidRDefault="00791BDC" w:rsidP="004E0DDA">
      <w:pPr>
        <w:spacing w:line="360" w:lineRule="auto"/>
        <w:jc w:val="center"/>
        <w:rPr>
          <w:rFonts w:ascii="Arial" w:hAnsi="Arial" w:cs="Arial"/>
          <w:lang w:val="en-US"/>
        </w:rPr>
      </w:pPr>
      <w:r w:rsidRPr="004E0DDA">
        <w:rPr>
          <w:rFonts w:ascii="Arial" w:hAnsi="Arial" w:cs="Arial"/>
          <w:b/>
          <w:bCs/>
          <w:lang w:val="en-US"/>
        </w:rPr>
        <w:t>Name:</w:t>
      </w:r>
      <w:r w:rsidRPr="004E0DDA">
        <w:rPr>
          <w:rFonts w:ascii="Arial" w:hAnsi="Arial" w:cs="Arial"/>
          <w:lang w:val="en-US"/>
        </w:rPr>
        <w:t xml:space="preserve"> Petrica Stefan (2020611)</w:t>
      </w:r>
    </w:p>
    <w:p w14:paraId="63EBF240" w14:textId="77777777" w:rsidR="00791BDC" w:rsidRPr="004E0DDA" w:rsidRDefault="00791BDC" w:rsidP="004E0DDA">
      <w:pPr>
        <w:spacing w:line="360" w:lineRule="auto"/>
        <w:jc w:val="center"/>
        <w:rPr>
          <w:rFonts w:ascii="Arial" w:hAnsi="Arial" w:cs="Arial"/>
          <w:lang w:val="en-US"/>
        </w:rPr>
      </w:pPr>
      <w:r w:rsidRPr="004E0DDA">
        <w:rPr>
          <w:rFonts w:ascii="Arial" w:hAnsi="Arial" w:cs="Arial"/>
          <w:b/>
          <w:bCs/>
          <w:lang w:val="en-US"/>
        </w:rPr>
        <w:t>Course</w:t>
      </w:r>
      <w:r w:rsidRPr="004E0DDA">
        <w:rPr>
          <w:rFonts w:ascii="Arial" w:hAnsi="Arial" w:cs="Arial"/>
          <w:lang w:val="en-US"/>
        </w:rPr>
        <w:t xml:space="preserve">: </w:t>
      </w:r>
      <w:r w:rsidRPr="004E0DDA">
        <w:rPr>
          <w:rFonts w:ascii="Arial" w:hAnsi="Arial" w:cs="Arial"/>
        </w:rPr>
        <w:t>Global Business Environment, LCBB4005</w:t>
      </w:r>
    </w:p>
    <w:p w14:paraId="6DB97D2E" w14:textId="4A990CE1" w:rsidR="00791BDC" w:rsidRPr="004E0DDA" w:rsidRDefault="00791BDC" w:rsidP="004E0DDA">
      <w:pPr>
        <w:spacing w:line="360" w:lineRule="auto"/>
        <w:jc w:val="center"/>
        <w:rPr>
          <w:rFonts w:ascii="Arial" w:hAnsi="Arial" w:cs="Arial"/>
        </w:rPr>
      </w:pPr>
      <w:r w:rsidRPr="004E0DDA">
        <w:rPr>
          <w:rFonts w:ascii="Arial" w:hAnsi="Arial" w:cs="Arial"/>
          <w:b/>
          <w:bCs/>
        </w:rPr>
        <w:t>Lecturer</w:t>
      </w:r>
      <w:r w:rsidRPr="004E0DDA">
        <w:rPr>
          <w:rFonts w:ascii="Arial" w:hAnsi="Arial" w:cs="Arial"/>
        </w:rPr>
        <w:t xml:space="preserve">: </w:t>
      </w:r>
      <w:proofErr w:type="spellStart"/>
      <w:r w:rsidRPr="004E0DDA">
        <w:rPr>
          <w:rFonts w:ascii="Arial" w:hAnsi="Arial" w:cs="Arial"/>
        </w:rPr>
        <w:t>Dr.</w:t>
      </w:r>
      <w:proofErr w:type="spellEnd"/>
      <w:r w:rsidRPr="004E0DDA">
        <w:rPr>
          <w:rFonts w:ascii="Arial" w:hAnsi="Arial" w:cs="Arial"/>
        </w:rPr>
        <w:t xml:space="preserve"> Eric Osei</w:t>
      </w:r>
    </w:p>
    <w:p w14:paraId="67BCC265" w14:textId="77777777" w:rsidR="00650244" w:rsidRPr="004E0DDA" w:rsidRDefault="00650244" w:rsidP="004E0DDA">
      <w:pPr>
        <w:spacing w:line="360" w:lineRule="auto"/>
        <w:jc w:val="center"/>
        <w:rPr>
          <w:rFonts w:ascii="Arial" w:hAnsi="Arial" w:cs="Arial"/>
          <w:lang w:val="en-US"/>
        </w:rPr>
      </w:pPr>
      <w:r w:rsidRPr="004E0DDA">
        <w:rPr>
          <w:rFonts w:ascii="Arial" w:hAnsi="Arial" w:cs="Arial"/>
          <w:b/>
          <w:bCs/>
          <w:lang w:val="en-US"/>
        </w:rPr>
        <w:t>University</w:t>
      </w:r>
      <w:r w:rsidRPr="004E0DDA">
        <w:rPr>
          <w:rFonts w:ascii="Arial" w:hAnsi="Arial" w:cs="Arial"/>
          <w:lang w:val="en-US"/>
        </w:rPr>
        <w:t xml:space="preserve"> </w:t>
      </w:r>
      <w:r w:rsidRPr="004E0DDA">
        <w:rPr>
          <w:rFonts w:ascii="Arial" w:hAnsi="Arial" w:cs="Arial"/>
          <w:color w:val="202124"/>
          <w:shd w:val="clear" w:color="auto" w:fill="FFFFFF"/>
        </w:rPr>
        <w:t>of Wales Trinity Saint David</w:t>
      </w:r>
    </w:p>
    <w:p w14:paraId="6C8FE7CE" w14:textId="77777777" w:rsidR="00650244" w:rsidRPr="004E0DDA" w:rsidRDefault="00650244" w:rsidP="004E0DDA">
      <w:pPr>
        <w:spacing w:line="360" w:lineRule="auto"/>
        <w:jc w:val="center"/>
        <w:rPr>
          <w:rFonts w:ascii="Arial" w:hAnsi="Arial" w:cs="Arial"/>
        </w:rPr>
      </w:pPr>
    </w:p>
    <w:p w14:paraId="58764164" w14:textId="57DAA4AE" w:rsidR="00791BDC" w:rsidRPr="004E0DDA" w:rsidRDefault="00BC1F1C" w:rsidP="004E0DDA">
      <w:pPr>
        <w:spacing w:line="360" w:lineRule="auto"/>
        <w:jc w:val="both"/>
        <w:rPr>
          <w:rFonts w:ascii="Arial" w:hAnsi="Arial" w:cs="Arial"/>
          <w:b/>
          <w:bCs/>
        </w:rPr>
      </w:pPr>
      <w:r w:rsidRPr="004E0DDA">
        <w:rPr>
          <w:rFonts w:ascii="Arial" w:hAnsi="Arial" w:cs="Arial"/>
          <w:b/>
          <w:bCs/>
        </w:rPr>
        <w:t>Question 1</w:t>
      </w:r>
    </w:p>
    <w:p w14:paraId="07B141B1" w14:textId="65944CE5" w:rsidR="00791BDC" w:rsidRPr="004E0DDA" w:rsidRDefault="00252C19" w:rsidP="004E0DDA">
      <w:pPr>
        <w:spacing w:line="360" w:lineRule="auto"/>
        <w:ind w:firstLine="720"/>
        <w:jc w:val="both"/>
        <w:rPr>
          <w:rFonts w:ascii="Arial" w:hAnsi="Arial" w:cs="Arial"/>
        </w:rPr>
      </w:pPr>
      <w:r w:rsidRPr="004E0DDA">
        <w:rPr>
          <w:rFonts w:ascii="Arial" w:hAnsi="Arial" w:cs="Arial"/>
        </w:rPr>
        <w:t xml:space="preserve">In the food industry </w:t>
      </w:r>
      <w:r w:rsidR="00791BDC" w:rsidRPr="004E0DDA">
        <w:rPr>
          <w:rFonts w:ascii="Arial" w:hAnsi="Arial" w:cs="Arial"/>
        </w:rPr>
        <w:t xml:space="preserve">Darius Processing Company is regarded as one of the best food processing firms in the United Kingdom. The company boasts </w:t>
      </w:r>
      <w:proofErr w:type="gramStart"/>
      <w:r w:rsidR="00791BDC" w:rsidRPr="004E0DDA">
        <w:rPr>
          <w:rFonts w:ascii="Arial" w:hAnsi="Arial" w:cs="Arial"/>
        </w:rPr>
        <w:t>a number of</w:t>
      </w:r>
      <w:proofErr w:type="gramEnd"/>
      <w:r w:rsidR="00791BDC" w:rsidRPr="004E0DDA">
        <w:rPr>
          <w:rFonts w:ascii="Arial" w:hAnsi="Arial" w:cs="Arial"/>
        </w:rPr>
        <w:t xml:space="preserve"> high-quality processed food products and claims to have a significant market share in a fast-growing sector in its ten years of operation. </w:t>
      </w:r>
      <w:r w:rsidRPr="004E0DDA">
        <w:rPr>
          <w:rFonts w:ascii="Arial" w:hAnsi="Arial" w:cs="Arial"/>
        </w:rPr>
        <w:t xml:space="preserve">Using the BCG </w:t>
      </w:r>
      <w:proofErr w:type="gramStart"/>
      <w:r w:rsidRPr="004E0DDA">
        <w:rPr>
          <w:rFonts w:ascii="Arial" w:hAnsi="Arial" w:cs="Arial"/>
        </w:rPr>
        <w:t>Matrix</w:t>
      </w:r>
      <w:proofErr w:type="gramEnd"/>
      <w:r w:rsidRPr="004E0DDA">
        <w:rPr>
          <w:rFonts w:ascii="Arial" w:hAnsi="Arial" w:cs="Arial"/>
        </w:rPr>
        <w:t xml:space="preserve"> the position of the business is: </w:t>
      </w:r>
    </w:p>
    <w:p w14:paraId="0556D8F1" w14:textId="628A5CF1" w:rsidR="00252C19" w:rsidRPr="004E0DDA" w:rsidRDefault="00252C19" w:rsidP="004E0DDA">
      <w:pPr>
        <w:spacing w:line="360" w:lineRule="auto"/>
        <w:ind w:firstLine="720"/>
        <w:jc w:val="both"/>
        <w:rPr>
          <w:rFonts w:ascii="Arial" w:hAnsi="Arial" w:cs="Arial"/>
          <w:b/>
          <w:bCs/>
        </w:rPr>
      </w:pPr>
      <w:r w:rsidRPr="004E0DDA">
        <w:rPr>
          <w:rFonts w:ascii="Arial" w:hAnsi="Arial" w:cs="Arial"/>
          <w:b/>
          <w:bCs/>
        </w:rPr>
        <w:t>Star</w:t>
      </w:r>
    </w:p>
    <w:p w14:paraId="3B4BB2E1" w14:textId="603FAA45" w:rsidR="00252C19" w:rsidRPr="004E0DDA" w:rsidRDefault="00252C19" w:rsidP="004E0DDA">
      <w:pPr>
        <w:spacing w:line="360" w:lineRule="auto"/>
        <w:ind w:firstLine="720"/>
        <w:jc w:val="both"/>
        <w:rPr>
          <w:rFonts w:ascii="Arial" w:hAnsi="Arial" w:cs="Arial"/>
        </w:rPr>
      </w:pPr>
      <w:r w:rsidRPr="004E0DDA">
        <w:rPr>
          <w:rFonts w:ascii="Arial" w:hAnsi="Arial" w:cs="Arial"/>
        </w:rPr>
        <w:t xml:space="preserve">They are identified by gaining a significant market share in a rapidly rising market. They are thought to offer the best prospects for the company's growth and benefits (Thompson &amp; Strickland, 1995). They are the business's leaders, yet they still require a great deal of assistance in terms of promotion and placement. In this situation, they generate significant sums of money </w:t>
      </w:r>
      <w:proofErr w:type="gramStart"/>
      <w:r w:rsidRPr="004E0DDA">
        <w:rPr>
          <w:rFonts w:ascii="Arial" w:hAnsi="Arial" w:cs="Arial"/>
        </w:rPr>
        <w:t>in order to</w:t>
      </w:r>
      <w:proofErr w:type="gramEnd"/>
      <w:r w:rsidRPr="004E0DDA">
        <w:rPr>
          <w:rFonts w:ascii="Arial" w:hAnsi="Arial" w:cs="Arial"/>
        </w:rPr>
        <w:t xml:space="preserve"> maintain a strong market share. Due to their rapid expansion, they also consume a lot of money. They have a proclivity to make a mess. They make a lot of money through their business. The industry matures when its market share exceeds a certain threshold, and the market's growth pace slows; the superstar becomes a cash cow.</w:t>
      </w:r>
    </w:p>
    <w:p w14:paraId="3C00C4D9" w14:textId="65BAB0BE" w:rsidR="00252C19" w:rsidRPr="004E0DDA" w:rsidRDefault="00252C19" w:rsidP="004E0DDA">
      <w:pPr>
        <w:spacing w:line="360" w:lineRule="auto"/>
        <w:ind w:firstLine="720"/>
        <w:jc w:val="both"/>
        <w:rPr>
          <w:rFonts w:ascii="Arial" w:hAnsi="Arial" w:cs="Arial"/>
        </w:rPr>
      </w:pPr>
      <w:r w:rsidRPr="004E0DDA">
        <w:rPr>
          <w:rFonts w:ascii="Arial" w:hAnsi="Arial" w:cs="Arial"/>
        </w:rPr>
        <w:t xml:space="preserve">The strategic action Darius Processing Company </w:t>
      </w:r>
      <w:proofErr w:type="gramStart"/>
      <w:r w:rsidR="008950FF" w:rsidRPr="004E0DDA">
        <w:rPr>
          <w:rFonts w:ascii="Arial" w:hAnsi="Arial" w:cs="Arial"/>
        </w:rPr>
        <w:t>has to</w:t>
      </w:r>
      <w:proofErr w:type="gramEnd"/>
      <w:r w:rsidR="008950FF" w:rsidRPr="004E0DDA">
        <w:rPr>
          <w:rFonts w:ascii="Arial" w:hAnsi="Arial" w:cs="Arial"/>
        </w:rPr>
        <w:t xml:space="preserve"> take after using the BCG Matrix is to maintain the position that exists at this time, keep serving customers well and to add new customers by means of promotions, always maintain the product quality and to improve it so that it remains in demand in the market. Continue to increase sales volume by maintaining the quality of products and services to consumers.</w:t>
      </w:r>
    </w:p>
    <w:p w14:paraId="3D161215" w14:textId="77777777" w:rsidR="00306AF9" w:rsidRPr="004E0DDA" w:rsidRDefault="00306AF9" w:rsidP="004E0DDA">
      <w:pPr>
        <w:spacing w:line="360" w:lineRule="auto"/>
        <w:jc w:val="both"/>
        <w:rPr>
          <w:rFonts w:ascii="Arial" w:hAnsi="Arial" w:cs="Arial"/>
          <w:b/>
        </w:rPr>
      </w:pPr>
    </w:p>
    <w:p w14:paraId="29C58CBB" w14:textId="21AE76F3" w:rsidR="00306AF9" w:rsidRPr="004E0DDA" w:rsidRDefault="00306AF9" w:rsidP="004E0DDA">
      <w:pPr>
        <w:spacing w:line="360" w:lineRule="auto"/>
        <w:jc w:val="both"/>
        <w:rPr>
          <w:rFonts w:ascii="Arial" w:hAnsi="Arial" w:cs="Arial"/>
          <w:b/>
        </w:rPr>
      </w:pPr>
      <w:r w:rsidRPr="004E0DDA">
        <w:rPr>
          <w:rFonts w:ascii="Arial" w:hAnsi="Arial" w:cs="Arial"/>
          <w:b/>
        </w:rPr>
        <w:t>Question 2</w:t>
      </w:r>
    </w:p>
    <w:p w14:paraId="7254CC27" w14:textId="77777777" w:rsidR="00306AF9" w:rsidRPr="004E0DDA" w:rsidRDefault="00306AF9" w:rsidP="004E0DDA">
      <w:pPr>
        <w:spacing w:line="360" w:lineRule="auto"/>
        <w:ind w:firstLine="720"/>
        <w:jc w:val="both"/>
        <w:rPr>
          <w:rFonts w:ascii="Arial" w:hAnsi="Arial" w:cs="Arial"/>
        </w:rPr>
      </w:pPr>
      <w:r w:rsidRPr="004E0DDA">
        <w:rPr>
          <w:rFonts w:ascii="Arial" w:hAnsi="Arial" w:cs="Arial"/>
        </w:rPr>
        <w:t>In a market environment, the two main economic concepts are supply and demand</w:t>
      </w:r>
    </w:p>
    <w:p w14:paraId="3A28EE3A" w14:textId="77777777" w:rsidR="00306AF9" w:rsidRPr="004E0DDA" w:rsidRDefault="00306AF9" w:rsidP="004E0DDA">
      <w:pPr>
        <w:spacing w:line="360" w:lineRule="auto"/>
        <w:jc w:val="both"/>
        <w:rPr>
          <w:rFonts w:ascii="Arial" w:hAnsi="Arial" w:cs="Arial"/>
        </w:rPr>
      </w:pPr>
      <w:r w:rsidRPr="004E0DDA">
        <w:rPr>
          <w:rFonts w:ascii="Arial" w:hAnsi="Arial" w:cs="Arial"/>
        </w:rPr>
        <w:t xml:space="preserve">and they form part of an economic model which is a tool that is used to determine the price and quantity of a specific product </w:t>
      </w:r>
      <w:proofErr w:type="gramStart"/>
      <w:r w:rsidRPr="004E0DDA">
        <w:rPr>
          <w:rFonts w:ascii="Arial" w:hAnsi="Arial" w:cs="Arial"/>
        </w:rPr>
        <w:t>in a given</w:t>
      </w:r>
      <w:proofErr w:type="gramEnd"/>
      <w:r w:rsidRPr="004E0DDA">
        <w:rPr>
          <w:rFonts w:ascii="Arial" w:hAnsi="Arial" w:cs="Arial"/>
        </w:rPr>
        <w:t xml:space="preserve"> market and time (Roy,2020). Supply refers to the amount of goods and services that a company </w:t>
      </w:r>
      <w:proofErr w:type="gramStart"/>
      <w:r w:rsidRPr="004E0DDA">
        <w:rPr>
          <w:rFonts w:ascii="Arial" w:hAnsi="Arial" w:cs="Arial"/>
        </w:rPr>
        <w:t>is able to</w:t>
      </w:r>
      <w:proofErr w:type="gramEnd"/>
      <w:r w:rsidRPr="004E0DDA">
        <w:rPr>
          <w:rFonts w:ascii="Arial" w:hAnsi="Arial" w:cs="Arial"/>
        </w:rPr>
        <w:t xml:space="preserve"> provide for its consumers in a market </w:t>
      </w:r>
      <w:r w:rsidRPr="004E0DDA">
        <w:rPr>
          <w:rFonts w:ascii="Arial" w:hAnsi="Arial" w:cs="Arial"/>
        </w:rPr>
        <w:lastRenderedPageBreak/>
        <w:t>whereas demand refers to the consumers’ willingness to purchase the goods and services from a company in an open market.</w:t>
      </w:r>
    </w:p>
    <w:p w14:paraId="4F47FCDD" w14:textId="77777777" w:rsidR="00306AF9" w:rsidRPr="004E0DDA" w:rsidRDefault="00306AF9" w:rsidP="004E0DDA">
      <w:pPr>
        <w:spacing w:line="360" w:lineRule="auto"/>
        <w:ind w:firstLine="720"/>
        <w:jc w:val="both"/>
        <w:rPr>
          <w:rFonts w:ascii="Arial" w:hAnsi="Arial" w:cs="Arial"/>
        </w:rPr>
      </w:pPr>
      <w:r w:rsidRPr="004E0DDA">
        <w:rPr>
          <w:rFonts w:ascii="Arial" w:hAnsi="Arial" w:cs="Arial"/>
        </w:rPr>
        <w:t xml:space="preserve"> Demand and supply each operate on certain laws. For example, the law of supply denotes that the price and supply of products and services are directly related. Therefore, whenever the price of a product increases, the supply also increases since the manufacturer or provider of the products anticipates getting more profits. Conversely, if the price goes down, then the supply is reduced as there is no incentive to increase production of goods or offer the services. </w:t>
      </w:r>
    </w:p>
    <w:p w14:paraId="17BC834E" w14:textId="77777777" w:rsidR="00306AF9" w:rsidRPr="004E0DDA" w:rsidRDefault="00306AF9" w:rsidP="004E0DDA">
      <w:pPr>
        <w:spacing w:line="360" w:lineRule="auto"/>
        <w:ind w:firstLine="720"/>
        <w:jc w:val="both"/>
        <w:rPr>
          <w:rFonts w:ascii="Arial" w:hAnsi="Arial" w:cs="Arial"/>
        </w:rPr>
      </w:pPr>
      <w:r w:rsidRPr="004E0DDA">
        <w:rPr>
          <w:rFonts w:ascii="Arial" w:hAnsi="Arial" w:cs="Arial"/>
        </w:rPr>
        <w:t>On the other hand, the law of demand indicates an inverse relationship between the demand and price. As a result, when the demand for products is high the market price goes down and when the demand is low the price for the goods and services goes high. When the price is low, the idea is to ensure the availability of the products whereas when the price goes up, the logic is that the increased prices are required to cover the product costs. Consequently, the operation of demand and supply laws is based on the notion that everything else in the market remains constant.</w:t>
      </w:r>
    </w:p>
    <w:p w14:paraId="3605F2B8" w14:textId="77777777" w:rsidR="00306AF9" w:rsidRPr="004E0DDA" w:rsidRDefault="00306AF9" w:rsidP="004E0DDA">
      <w:pPr>
        <w:spacing w:line="360" w:lineRule="auto"/>
        <w:ind w:firstLine="720"/>
        <w:jc w:val="both"/>
        <w:rPr>
          <w:rFonts w:ascii="Arial" w:hAnsi="Arial" w:cs="Arial"/>
        </w:rPr>
      </w:pPr>
      <w:r w:rsidRPr="004E0DDA">
        <w:rPr>
          <w:rFonts w:ascii="Arial" w:hAnsi="Arial" w:cs="Arial"/>
        </w:rPr>
        <w:t xml:space="preserve"> In addition, the other difference between supply and demand is that supply is determined by marginal costs whereas demand is characterized by marginal utility (Roy, 2020). Thus, in supply, the requirement is that the company needs to be a perfect competitor whereas in demand, the requirement is that the consumer needs to be a perfect competitor. Moreover, the changes that happen between demand and supply are illustrated via a graph whereby the price is represented on the vertical axis whereas the demand or supply is represented on the horizontal axis (Roy, 2020). The supply curve goes in an upward direction and the demand curve goes in the opposite direction.</w:t>
      </w:r>
    </w:p>
    <w:p w14:paraId="1D3D5D34" w14:textId="77777777" w:rsidR="00306AF9" w:rsidRPr="004E0DDA" w:rsidRDefault="00306AF9" w:rsidP="004E0DDA">
      <w:pPr>
        <w:spacing w:line="360" w:lineRule="auto"/>
        <w:ind w:firstLine="720"/>
        <w:jc w:val="both"/>
        <w:rPr>
          <w:rFonts w:ascii="Arial" w:hAnsi="Arial" w:cs="Arial"/>
        </w:rPr>
      </w:pPr>
      <w:r w:rsidRPr="004E0DDA">
        <w:rPr>
          <w:rFonts w:ascii="Arial" w:hAnsi="Arial" w:cs="Arial"/>
        </w:rPr>
        <w:t>Demand is affected by various factors such as consumers’ income, taste and</w:t>
      </w:r>
    </w:p>
    <w:p w14:paraId="562D5DFE" w14:textId="77777777" w:rsidR="00306AF9" w:rsidRPr="004E0DDA" w:rsidRDefault="00306AF9" w:rsidP="004E0DDA">
      <w:pPr>
        <w:spacing w:line="360" w:lineRule="auto"/>
        <w:jc w:val="both"/>
        <w:rPr>
          <w:rFonts w:ascii="Arial" w:hAnsi="Arial" w:cs="Arial"/>
        </w:rPr>
      </w:pPr>
      <w:r w:rsidRPr="004E0DDA">
        <w:rPr>
          <w:rFonts w:ascii="Arial" w:hAnsi="Arial" w:cs="Arial"/>
        </w:rPr>
        <w:t>preferences and the price of related goods. Consumers’ income impacts demand in that when they have higher income, the demand increases at every price (Sori, 2021). This usually occurs with normal goods for example increased income may lead to an increase in the purchase of new cars.</w:t>
      </w:r>
    </w:p>
    <w:p w14:paraId="257BCBC4" w14:textId="77777777" w:rsidR="00306AF9" w:rsidRPr="004E0DDA" w:rsidRDefault="00306AF9" w:rsidP="004E0DDA">
      <w:pPr>
        <w:spacing w:line="360" w:lineRule="auto"/>
        <w:jc w:val="both"/>
        <w:rPr>
          <w:rFonts w:ascii="Arial" w:hAnsi="Arial" w:cs="Arial"/>
        </w:rPr>
      </w:pPr>
      <w:r w:rsidRPr="004E0DDA">
        <w:rPr>
          <w:rFonts w:ascii="Arial" w:hAnsi="Arial" w:cs="Arial"/>
        </w:rPr>
        <w:tab/>
        <w:t xml:space="preserve">In addition, taste and preferences impacts demand. When a consumer’s taste and preferences change, they are less likely to purchase the same product which means that the demand for the product goes down. On the other hand, the new preferred product in terms of taste and preference by a consumer increases the demand for that product (Sori,2021).  On a graph, the demand curve shifts to the right when the consumer prefers a certain </w:t>
      </w:r>
      <w:proofErr w:type="gramStart"/>
      <w:r w:rsidRPr="004E0DDA">
        <w:rPr>
          <w:rFonts w:ascii="Arial" w:hAnsi="Arial" w:cs="Arial"/>
        </w:rPr>
        <w:t>product</w:t>
      </w:r>
      <w:proofErr w:type="gramEnd"/>
      <w:r w:rsidRPr="004E0DDA">
        <w:rPr>
          <w:rFonts w:ascii="Arial" w:hAnsi="Arial" w:cs="Arial"/>
        </w:rPr>
        <w:t xml:space="preserve"> and </w:t>
      </w:r>
      <w:r w:rsidRPr="004E0DDA">
        <w:rPr>
          <w:rFonts w:ascii="Arial" w:hAnsi="Arial" w:cs="Arial"/>
        </w:rPr>
        <w:lastRenderedPageBreak/>
        <w:t>the curve shifts to the left indicating a decrease in demand of a product that a consumer no longer prefers.</w:t>
      </w:r>
    </w:p>
    <w:p w14:paraId="1944E6A9" w14:textId="2ACC4B27" w:rsidR="00306AF9" w:rsidRPr="004E0DDA" w:rsidRDefault="00306AF9" w:rsidP="004E0DDA">
      <w:pPr>
        <w:spacing w:line="360" w:lineRule="auto"/>
        <w:ind w:firstLine="720"/>
        <w:jc w:val="both"/>
        <w:rPr>
          <w:rFonts w:ascii="Arial" w:hAnsi="Arial" w:cs="Arial"/>
        </w:rPr>
      </w:pPr>
      <w:r w:rsidRPr="004E0DDA">
        <w:rPr>
          <w:rFonts w:ascii="Arial" w:hAnsi="Arial" w:cs="Arial"/>
        </w:rPr>
        <w:t>In conclusion, the demand for a product or service is also influenced by a change in the price of other related goods and services. These related goods or services may be complements or substitutes which means they are products that may be used together with or in place of another good or service (Sori, 2021). For example, when the availability of electronic books increases, a decrease in demand for traditional printed books may be observed. Conversely, when the price for a substitute product decreases, it may impact the demand for the other product. For example, lower prices for tablets have led to a lower demand for laptops.</w:t>
      </w:r>
    </w:p>
    <w:p w14:paraId="35BF47A6" w14:textId="77777777" w:rsidR="004E0DDA" w:rsidRPr="004E0DDA" w:rsidRDefault="004E0DDA" w:rsidP="004E0DDA">
      <w:pPr>
        <w:spacing w:line="360" w:lineRule="auto"/>
        <w:jc w:val="both"/>
        <w:rPr>
          <w:rFonts w:ascii="Arial" w:hAnsi="Arial" w:cs="Arial"/>
          <w:b/>
          <w:bCs/>
        </w:rPr>
      </w:pPr>
      <w:bookmarkStart w:id="0" w:name="_Hlk78278909"/>
      <w:r w:rsidRPr="004E0DDA">
        <w:rPr>
          <w:rFonts w:ascii="Arial" w:hAnsi="Arial" w:cs="Arial"/>
          <w:b/>
          <w:bCs/>
        </w:rPr>
        <w:t>Question 3</w:t>
      </w:r>
    </w:p>
    <w:p w14:paraId="062C7856" w14:textId="77777777" w:rsidR="004E0DDA" w:rsidRPr="004E0DDA" w:rsidRDefault="004E0DDA" w:rsidP="004E0DDA">
      <w:pPr>
        <w:spacing w:line="360" w:lineRule="auto"/>
        <w:ind w:firstLine="720"/>
        <w:jc w:val="both"/>
        <w:rPr>
          <w:rFonts w:ascii="Arial" w:hAnsi="Arial" w:cs="Arial"/>
        </w:rPr>
      </w:pPr>
      <w:r w:rsidRPr="004E0DDA">
        <w:rPr>
          <w:rFonts w:ascii="Arial" w:hAnsi="Arial" w:cs="Arial"/>
        </w:rPr>
        <w:t>Investment on research and development – the automotive industry has grown amicably and for the European car manufacturer to thrive in US market, the corporate must invest heavily on the new technology to design and manufacture new models of cars that meets the customer demands. Researching on the customer demands in US market is also significant to ensure the new design models caters for the demands in the market. Training of recruits – the foreign company must invest heavily in training of new recruits on the skills and the new technology in the manufacturing of new car models. Adopting effective marketing and distribution strategies – these strategies enable the car manufacturer to enhance their market share; hence, enabling it to remain competitive in the foreign market.</w:t>
      </w:r>
    </w:p>
    <w:p w14:paraId="7311243A" w14:textId="77777777" w:rsidR="004E0DDA" w:rsidRPr="004E0DDA" w:rsidRDefault="004E0DDA" w:rsidP="004E0DDA">
      <w:pPr>
        <w:spacing w:line="360" w:lineRule="auto"/>
        <w:ind w:firstLine="720"/>
        <w:jc w:val="both"/>
        <w:rPr>
          <w:rFonts w:ascii="Arial" w:hAnsi="Arial" w:cs="Arial"/>
        </w:rPr>
      </w:pPr>
      <w:r w:rsidRPr="004E0DDA">
        <w:rPr>
          <w:rFonts w:ascii="Arial" w:hAnsi="Arial" w:cs="Arial"/>
        </w:rPr>
        <w:t>Takeover or merger – the US retail food company can buy out a local food company in the European market as a way of gaining an immediate access to the market and sales network. This would enable the foreign company to take over the existing business, transfer operation processes and control, and all other technical activities within a short time. merging with a food company in the foreign market facilitates less expenditure on infrastructure, resources and sales and marketing network.</w:t>
      </w:r>
    </w:p>
    <w:p w14:paraId="73A7AC9E" w14:textId="77777777" w:rsidR="004E0DDA" w:rsidRPr="004E0DDA" w:rsidRDefault="004E0DDA" w:rsidP="004E0DDA">
      <w:pPr>
        <w:spacing w:line="360" w:lineRule="auto"/>
        <w:ind w:firstLine="720"/>
        <w:jc w:val="both"/>
        <w:rPr>
          <w:rFonts w:ascii="Arial" w:hAnsi="Arial" w:cs="Arial"/>
        </w:rPr>
      </w:pPr>
      <w:r w:rsidRPr="004E0DDA">
        <w:rPr>
          <w:rFonts w:ascii="Arial" w:hAnsi="Arial" w:cs="Arial"/>
        </w:rPr>
        <w:t>Setting up stores in foreign market – as part of expansion into the European market, the food retailer company should open stores in the European market depending on the rate of growth in the foreign market. These stores create and promotes the company brand and limits the foreign company exposure into risks. Moreover, the company uses the stores in building resources and training employees as a means of managing international operations.</w:t>
      </w:r>
    </w:p>
    <w:p w14:paraId="02962ACE" w14:textId="77777777" w:rsidR="004E0DDA" w:rsidRPr="004E0DDA" w:rsidRDefault="004E0DDA" w:rsidP="004E0DDA">
      <w:pPr>
        <w:spacing w:line="360" w:lineRule="auto"/>
        <w:ind w:firstLine="720"/>
        <w:jc w:val="both"/>
        <w:rPr>
          <w:rFonts w:ascii="Arial" w:hAnsi="Arial" w:cs="Arial"/>
        </w:rPr>
      </w:pPr>
      <w:r w:rsidRPr="004E0DDA">
        <w:rPr>
          <w:rFonts w:ascii="Arial" w:hAnsi="Arial" w:cs="Arial"/>
        </w:rPr>
        <w:t xml:space="preserve">Non-controlling interest- this is a strategy that the food retailer company may choose to adopt if it has insufficient European market intelligence and much understanding of the </w:t>
      </w:r>
      <w:r w:rsidRPr="004E0DDA">
        <w:rPr>
          <w:rFonts w:ascii="Arial" w:hAnsi="Arial" w:cs="Arial"/>
        </w:rPr>
        <w:lastRenderedPageBreak/>
        <w:t>market. Hence, the food retailer may choose to invest in existing food business without no direct control of the management and acquire the market knowledge and a minor stake.</w:t>
      </w:r>
    </w:p>
    <w:p w14:paraId="5895DFBF" w14:textId="77777777" w:rsidR="004E0DDA" w:rsidRPr="004E0DDA" w:rsidRDefault="004E0DDA" w:rsidP="004E0DDA">
      <w:pPr>
        <w:spacing w:line="360" w:lineRule="auto"/>
        <w:ind w:firstLine="720"/>
        <w:jc w:val="both"/>
        <w:rPr>
          <w:rFonts w:ascii="Arial" w:hAnsi="Arial" w:cs="Arial"/>
        </w:rPr>
      </w:pPr>
      <w:r w:rsidRPr="004E0DDA">
        <w:rPr>
          <w:rFonts w:ascii="Arial" w:hAnsi="Arial" w:cs="Arial"/>
        </w:rPr>
        <w:t>Joint venture with the existing companies in the foreign market. This is a temporal partnership which enables the foreign company to reduce its expenditure in marketing and sales in the market.</w:t>
      </w:r>
    </w:p>
    <w:p w14:paraId="08B579D5" w14:textId="77777777" w:rsidR="004E0DDA" w:rsidRPr="004E0DDA" w:rsidRDefault="004E0DDA" w:rsidP="004E0DDA">
      <w:pPr>
        <w:spacing w:line="360" w:lineRule="auto"/>
        <w:ind w:firstLine="720"/>
        <w:jc w:val="both"/>
        <w:rPr>
          <w:rFonts w:ascii="Arial" w:hAnsi="Arial" w:cs="Arial"/>
        </w:rPr>
      </w:pPr>
      <w:r w:rsidRPr="004E0DDA">
        <w:rPr>
          <w:rFonts w:ascii="Arial" w:hAnsi="Arial" w:cs="Arial"/>
        </w:rPr>
        <w:t xml:space="preserve">Merger or takeover of company in foreign market- helps the foreign corporate to reduce on the amount of investment in research, </w:t>
      </w:r>
      <w:proofErr w:type="gramStart"/>
      <w:r w:rsidRPr="004E0DDA">
        <w:rPr>
          <w:rFonts w:ascii="Arial" w:hAnsi="Arial" w:cs="Arial"/>
        </w:rPr>
        <w:t>marketing</w:t>
      </w:r>
      <w:proofErr w:type="gramEnd"/>
      <w:r w:rsidRPr="004E0DDA">
        <w:rPr>
          <w:rFonts w:ascii="Arial" w:hAnsi="Arial" w:cs="Arial"/>
        </w:rPr>
        <w:t xml:space="preserve"> and all other processes of the company.</w:t>
      </w:r>
    </w:p>
    <w:p w14:paraId="350F92E2" w14:textId="77777777" w:rsidR="004E0DDA" w:rsidRPr="004E0DDA" w:rsidRDefault="004E0DDA" w:rsidP="004E0DDA">
      <w:pPr>
        <w:spacing w:line="360" w:lineRule="auto"/>
        <w:ind w:firstLine="720"/>
        <w:jc w:val="both"/>
        <w:rPr>
          <w:rFonts w:ascii="Arial" w:hAnsi="Arial" w:cs="Arial"/>
        </w:rPr>
      </w:pPr>
      <w:r w:rsidRPr="004E0DDA">
        <w:rPr>
          <w:rFonts w:ascii="Arial" w:hAnsi="Arial" w:cs="Arial"/>
        </w:rPr>
        <w:t>Investment in research and development- this enables the foreign company to understand the demand of the customers in the market and design phone models based on the market demands</w:t>
      </w:r>
      <w:bookmarkEnd w:id="0"/>
      <w:r w:rsidRPr="004E0DDA">
        <w:rPr>
          <w:rFonts w:ascii="Arial" w:hAnsi="Arial" w:cs="Arial"/>
        </w:rPr>
        <w:t>.</w:t>
      </w:r>
    </w:p>
    <w:p w14:paraId="288098AA" w14:textId="79EC7EFC" w:rsidR="008950FF" w:rsidRPr="004E0DDA" w:rsidRDefault="008950FF" w:rsidP="004E0DDA">
      <w:pPr>
        <w:spacing w:line="360" w:lineRule="auto"/>
        <w:ind w:firstLine="720"/>
        <w:jc w:val="both"/>
        <w:rPr>
          <w:rFonts w:ascii="Arial" w:hAnsi="Arial" w:cs="Arial"/>
          <w:b/>
          <w:bCs/>
        </w:rPr>
      </w:pPr>
    </w:p>
    <w:p w14:paraId="00D094EB" w14:textId="7336E770" w:rsidR="00BC1F1C" w:rsidRPr="004E0DDA" w:rsidRDefault="00BC1F1C" w:rsidP="004E0DDA">
      <w:pPr>
        <w:spacing w:line="360" w:lineRule="auto"/>
        <w:jc w:val="both"/>
        <w:rPr>
          <w:rFonts w:ascii="Arial" w:hAnsi="Arial" w:cs="Arial"/>
          <w:b/>
          <w:bCs/>
        </w:rPr>
      </w:pPr>
      <w:r w:rsidRPr="004E0DDA">
        <w:rPr>
          <w:rFonts w:ascii="Arial" w:hAnsi="Arial" w:cs="Arial"/>
          <w:b/>
          <w:bCs/>
        </w:rPr>
        <w:t>Question 4</w:t>
      </w:r>
    </w:p>
    <w:p w14:paraId="1C59B458" w14:textId="58FB3461" w:rsidR="00BC1F1C" w:rsidRPr="004E0DDA" w:rsidRDefault="00BC1F1C" w:rsidP="004E0DDA">
      <w:pPr>
        <w:spacing w:line="360" w:lineRule="auto"/>
        <w:ind w:firstLine="720"/>
        <w:jc w:val="both"/>
        <w:rPr>
          <w:rFonts w:ascii="Arial" w:hAnsi="Arial" w:cs="Arial"/>
        </w:rPr>
      </w:pPr>
      <w:r w:rsidRPr="004E0DDA">
        <w:rPr>
          <w:rFonts w:ascii="Arial" w:hAnsi="Arial" w:cs="Arial"/>
        </w:rPr>
        <w:t>It has become common knowledge that once the UK quits the EU, it would be forced to renegotiate key components of its WTO rights and obligations, including its concessions under GATT 1994 Article II and GATS Article XX. The UK's status inside the WTO will not alter at all, based on WTO law, GATT 1947 practise, and state succession regulations. First, even if its commitments are outlined in the EU's schedules, the UK is already a full WTO member with full multilateral WTO rights and obligations. Following Brexit, both the exercise of these rights and the assumption of responsibility (</w:t>
      </w:r>
      <w:proofErr w:type="gramStart"/>
      <w:r w:rsidRPr="004E0DDA">
        <w:rPr>
          <w:rFonts w:ascii="Arial" w:hAnsi="Arial" w:cs="Arial"/>
        </w:rPr>
        <w:t>i.e.</w:t>
      </w:r>
      <w:proofErr w:type="gramEnd"/>
      <w:r w:rsidRPr="004E0DDA">
        <w:rPr>
          <w:rFonts w:ascii="Arial" w:hAnsi="Arial" w:cs="Arial"/>
        </w:rPr>
        <w:t xml:space="preserve"> attribution) for these obligations will be transferred from the EU to the UK. All that remains is to determine what these rights and obligations are. This is simple for rights and responsibilities that apply to all WTO Members.</w:t>
      </w:r>
    </w:p>
    <w:p w14:paraId="4BCDF28F" w14:textId="0A2F6698" w:rsidR="008950FF" w:rsidRPr="004E0DDA" w:rsidRDefault="00BC1F1C" w:rsidP="004E0DDA">
      <w:pPr>
        <w:spacing w:line="360" w:lineRule="auto"/>
        <w:ind w:firstLine="720"/>
        <w:jc w:val="both"/>
        <w:rPr>
          <w:rFonts w:ascii="Arial" w:hAnsi="Arial" w:cs="Arial"/>
        </w:rPr>
      </w:pPr>
      <w:r w:rsidRPr="004E0DDA">
        <w:rPr>
          <w:rFonts w:ascii="Arial" w:hAnsi="Arial" w:cs="Arial"/>
        </w:rPr>
        <w:t xml:space="preserve">The UK's obligations in relation to tariff rate quotas and agricultural subsidies are more difficult to determine. This can be done, and the UK is also authorised to submit a new schedule for certification as a change rather than a </w:t>
      </w:r>
      <w:r w:rsidR="000B1774" w:rsidRPr="004E0DDA">
        <w:rPr>
          <w:rFonts w:ascii="Arial" w:hAnsi="Arial" w:cs="Arial"/>
        </w:rPr>
        <w:t>modification of</w:t>
      </w:r>
      <w:r w:rsidRPr="004E0DDA">
        <w:rPr>
          <w:rFonts w:ascii="Arial" w:hAnsi="Arial" w:cs="Arial"/>
        </w:rPr>
        <w:t xml:space="preserve"> existing schedule, according to the submission. </w:t>
      </w:r>
      <w:r w:rsidR="000B1774" w:rsidRPr="004E0DDA">
        <w:rPr>
          <w:rFonts w:ascii="Arial" w:hAnsi="Arial" w:cs="Arial"/>
        </w:rPr>
        <w:t>Any concerns will have to be settled in dispute resolution proceedings, where the UK is likely to prevail if the schedules are properly written.</w:t>
      </w:r>
    </w:p>
    <w:p w14:paraId="2AAE4DC1" w14:textId="7BE9C0AC" w:rsidR="008950FF" w:rsidRPr="004E0DDA" w:rsidRDefault="008950FF" w:rsidP="004E0DDA">
      <w:pPr>
        <w:spacing w:line="360" w:lineRule="auto"/>
        <w:ind w:firstLine="720"/>
        <w:jc w:val="both"/>
        <w:rPr>
          <w:rFonts w:ascii="Arial" w:hAnsi="Arial" w:cs="Arial"/>
        </w:rPr>
      </w:pPr>
    </w:p>
    <w:p w14:paraId="51918556" w14:textId="56B52203" w:rsidR="008950FF" w:rsidRPr="004E0DDA" w:rsidRDefault="008950FF" w:rsidP="004E0DDA">
      <w:pPr>
        <w:spacing w:line="360" w:lineRule="auto"/>
        <w:ind w:firstLine="720"/>
        <w:jc w:val="both"/>
        <w:rPr>
          <w:rFonts w:ascii="Arial" w:hAnsi="Arial" w:cs="Arial"/>
        </w:rPr>
      </w:pPr>
    </w:p>
    <w:p w14:paraId="7DE6AAE6" w14:textId="15372348" w:rsidR="008950FF" w:rsidRPr="004E0DDA" w:rsidRDefault="008950FF" w:rsidP="004E0DDA">
      <w:pPr>
        <w:spacing w:line="360" w:lineRule="auto"/>
        <w:ind w:firstLine="720"/>
        <w:jc w:val="both"/>
        <w:rPr>
          <w:rFonts w:ascii="Arial" w:hAnsi="Arial" w:cs="Arial"/>
        </w:rPr>
      </w:pPr>
    </w:p>
    <w:p w14:paraId="7F514004" w14:textId="77777777" w:rsidR="008950FF" w:rsidRPr="004E0DDA" w:rsidRDefault="008950FF" w:rsidP="004E0DDA">
      <w:pPr>
        <w:spacing w:line="360" w:lineRule="auto"/>
        <w:ind w:firstLine="720"/>
        <w:jc w:val="both"/>
        <w:rPr>
          <w:rFonts w:ascii="Arial" w:hAnsi="Arial" w:cs="Arial"/>
        </w:rPr>
      </w:pPr>
    </w:p>
    <w:p w14:paraId="46612061" w14:textId="16A63F4B" w:rsidR="00252C19" w:rsidRPr="004E0DDA" w:rsidRDefault="00252C19" w:rsidP="004E0DDA">
      <w:pPr>
        <w:spacing w:line="360" w:lineRule="auto"/>
        <w:ind w:firstLine="720"/>
        <w:jc w:val="both"/>
        <w:rPr>
          <w:rFonts w:ascii="Arial" w:hAnsi="Arial" w:cs="Arial"/>
          <w:b/>
          <w:bCs/>
        </w:rPr>
      </w:pPr>
    </w:p>
    <w:p w14:paraId="02D6ED93" w14:textId="0A64E544" w:rsidR="00306AF9" w:rsidRPr="004E0DDA" w:rsidRDefault="00306AF9" w:rsidP="004E0DDA">
      <w:pPr>
        <w:spacing w:line="360" w:lineRule="auto"/>
        <w:ind w:firstLine="720"/>
        <w:jc w:val="both"/>
        <w:rPr>
          <w:rFonts w:ascii="Arial" w:hAnsi="Arial" w:cs="Arial"/>
          <w:b/>
          <w:bCs/>
        </w:rPr>
      </w:pPr>
    </w:p>
    <w:p w14:paraId="5BBC1268" w14:textId="591B1329" w:rsidR="00306AF9" w:rsidRPr="004E0DDA" w:rsidRDefault="00306AF9" w:rsidP="004E0DDA">
      <w:pPr>
        <w:spacing w:line="360" w:lineRule="auto"/>
        <w:ind w:firstLine="720"/>
        <w:jc w:val="both"/>
        <w:rPr>
          <w:rFonts w:ascii="Arial" w:hAnsi="Arial" w:cs="Arial"/>
          <w:b/>
          <w:bCs/>
        </w:rPr>
      </w:pPr>
    </w:p>
    <w:p w14:paraId="7EBAF251" w14:textId="64EF193D" w:rsidR="00306AF9" w:rsidRPr="004E0DDA" w:rsidRDefault="00306AF9" w:rsidP="004E0DDA">
      <w:pPr>
        <w:spacing w:line="360" w:lineRule="auto"/>
        <w:ind w:firstLine="720"/>
        <w:jc w:val="both"/>
        <w:rPr>
          <w:rFonts w:ascii="Arial" w:hAnsi="Arial" w:cs="Arial"/>
          <w:b/>
          <w:bCs/>
        </w:rPr>
      </w:pPr>
    </w:p>
    <w:p w14:paraId="43A83744" w14:textId="77777777" w:rsidR="00306AF9" w:rsidRPr="004E0DDA" w:rsidRDefault="00306AF9" w:rsidP="004E0DDA">
      <w:pPr>
        <w:spacing w:line="360" w:lineRule="auto"/>
        <w:ind w:firstLine="720"/>
        <w:jc w:val="both"/>
        <w:rPr>
          <w:rFonts w:ascii="Arial" w:hAnsi="Arial" w:cs="Arial"/>
          <w:b/>
          <w:bCs/>
        </w:rPr>
      </w:pPr>
    </w:p>
    <w:p w14:paraId="3F791AF9" w14:textId="60B5CDE2" w:rsidR="008950FF" w:rsidRDefault="008950FF" w:rsidP="004E0DDA">
      <w:pPr>
        <w:spacing w:line="360" w:lineRule="auto"/>
        <w:jc w:val="both"/>
        <w:rPr>
          <w:rFonts w:ascii="Arial" w:hAnsi="Arial" w:cs="Arial"/>
        </w:rPr>
      </w:pPr>
      <w:r w:rsidRPr="004E0DDA">
        <w:rPr>
          <w:rFonts w:ascii="Arial" w:hAnsi="Arial" w:cs="Arial"/>
        </w:rPr>
        <w:t xml:space="preserve">Reference: </w:t>
      </w:r>
    </w:p>
    <w:p w14:paraId="0AFF0545" w14:textId="77777777" w:rsidR="004E0DDA" w:rsidRPr="008E1885" w:rsidRDefault="004E0DDA" w:rsidP="004E0DDA">
      <w:pPr>
        <w:pStyle w:val="NormalWeb"/>
        <w:spacing w:before="0" w:beforeAutospacing="0" w:after="0" w:afterAutospacing="0" w:line="360" w:lineRule="auto"/>
        <w:ind w:left="720" w:hanging="720"/>
        <w:rPr>
          <w:rFonts w:ascii="Arial" w:hAnsi="Arial" w:cs="Arial"/>
          <w:sz w:val="22"/>
          <w:szCs w:val="22"/>
        </w:rPr>
      </w:pPr>
      <w:r w:rsidRPr="008E1885">
        <w:rPr>
          <w:rFonts w:ascii="Arial" w:hAnsi="Arial" w:cs="Arial"/>
          <w:sz w:val="22"/>
          <w:szCs w:val="22"/>
        </w:rPr>
        <w:t xml:space="preserve">Gutiérrez, Fernando Robles, and </w:t>
      </w:r>
      <w:proofErr w:type="spellStart"/>
      <w:r w:rsidRPr="008E1885">
        <w:rPr>
          <w:rFonts w:ascii="Arial" w:hAnsi="Arial" w:cs="Arial"/>
          <w:sz w:val="22"/>
          <w:szCs w:val="22"/>
        </w:rPr>
        <w:t>Kety</w:t>
      </w:r>
      <w:proofErr w:type="spellEnd"/>
      <w:r w:rsidRPr="008E1885">
        <w:rPr>
          <w:rFonts w:ascii="Arial" w:hAnsi="Arial" w:cs="Arial"/>
          <w:sz w:val="22"/>
          <w:szCs w:val="22"/>
        </w:rPr>
        <w:t xml:space="preserve"> Lourdes </w:t>
      </w:r>
      <w:proofErr w:type="spellStart"/>
      <w:r w:rsidRPr="008E1885">
        <w:rPr>
          <w:rFonts w:ascii="Arial" w:hAnsi="Arial" w:cs="Arial"/>
          <w:sz w:val="22"/>
          <w:szCs w:val="22"/>
        </w:rPr>
        <w:t>Jáuregui</w:t>
      </w:r>
      <w:proofErr w:type="spellEnd"/>
      <w:r w:rsidRPr="008E1885">
        <w:rPr>
          <w:rFonts w:ascii="Arial" w:hAnsi="Arial" w:cs="Arial"/>
          <w:sz w:val="22"/>
          <w:szCs w:val="22"/>
        </w:rPr>
        <w:t xml:space="preserve"> </w:t>
      </w:r>
      <w:proofErr w:type="spellStart"/>
      <w:r w:rsidRPr="008E1885">
        <w:rPr>
          <w:rFonts w:ascii="Arial" w:hAnsi="Arial" w:cs="Arial"/>
          <w:sz w:val="22"/>
          <w:szCs w:val="22"/>
        </w:rPr>
        <w:t>Machuca</w:t>
      </w:r>
      <w:proofErr w:type="spellEnd"/>
      <w:r w:rsidRPr="008E1885">
        <w:rPr>
          <w:rFonts w:ascii="Arial" w:hAnsi="Arial" w:cs="Arial"/>
          <w:sz w:val="22"/>
          <w:szCs w:val="22"/>
        </w:rPr>
        <w:t xml:space="preserve">. “International Markets Entry Strategy Determinants: An Exploratory Study in Peru.” </w:t>
      </w:r>
      <w:proofErr w:type="spellStart"/>
      <w:r w:rsidRPr="008E1885">
        <w:rPr>
          <w:rFonts w:ascii="Arial" w:hAnsi="Arial" w:cs="Arial"/>
          <w:i/>
          <w:iCs/>
          <w:sz w:val="22"/>
          <w:szCs w:val="22"/>
        </w:rPr>
        <w:t>Cuadernos</w:t>
      </w:r>
      <w:proofErr w:type="spellEnd"/>
      <w:r w:rsidRPr="008E1885">
        <w:rPr>
          <w:rFonts w:ascii="Arial" w:hAnsi="Arial" w:cs="Arial"/>
          <w:i/>
          <w:iCs/>
          <w:sz w:val="22"/>
          <w:szCs w:val="22"/>
        </w:rPr>
        <w:t xml:space="preserve"> de </w:t>
      </w:r>
      <w:proofErr w:type="spellStart"/>
      <w:r w:rsidRPr="008E1885">
        <w:rPr>
          <w:rFonts w:ascii="Arial" w:hAnsi="Arial" w:cs="Arial"/>
          <w:i/>
          <w:iCs/>
          <w:sz w:val="22"/>
          <w:szCs w:val="22"/>
        </w:rPr>
        <w:t>Administración</w:t>
      </w:r>
      <w:proofErr w:type="spellEnd"/>
      <w:r w:rsidRPr="008E1885">
        <w:rPr>
          <w:rFonts w:ascii="Arial" w:hAnsi="Arial" w:cs="Arial"/>
          <w:i/>
          <w:iCs/>
          <w:sz w:val="22"/>
          <w:szCs w:val="22"/>
        </w:rPr>
        <w:t xml:space="preserve"> (Universidad Del Valle)</w:t>
      </w:r>
      <w:r w:rsidRPr="008E1885">
        <w:rPr>
          <w:rFonts w:ascii="Arial" w:hAnsi="Arial" w:cs="Arial"/>
          <w:sz w:val="22"/>
          <w:szCs w:val="22"/>
        </w:rPr>
        <w:t>, vol. 33, no. 59, 2017, pp. 02-19, www.redalyc.org/journal/2250/225057026002/html/. Accessed 27 July 2021.</w:t>
      </w:r>
    </w:p>
    <w:p w14:paraId="5C953CBD" w14:textId="77777777" w:rsidR="00306AF9" w:rsidRPr="004E0DDA" w:rsidRDefault="00306AF9" w:rsidP="004E0DDA">
      <w:pPr>
        <w:spacing w:line="360" w:lineRule="auto"/>
        <w:rPr>
          <w:rFonts w:ascii="Arial" w:hAnsi="Arial" w:cs="Arial"/>
        </w:rPr>
      </w:pPr>
      <w:r w:rsidRPr="004E0DDA">
        <w:rPr>
          <w:rFonts w:ascii="Arial" w:hAnsi="Arial" w:cs="Arial"/>
        </w:rPr>
        <w:t>Roy, A. (2020). Demand Supply and Market Equilibrium. Retrieved 27 July 2021, from.</w:t>
      </w:r>
    </w:p>
    <w:p w14:paraId="6448004A" w14:textId="5F3E3A1A" w:rsidR="00306AF9" w:rsidRPr="004E0DDA" w:rsidRDefault="00306AF9" w:rsidP="004E0DDA">
      <w:pPr>
        <w:spacing w:line="360" w:lineRule="auto"/>
        <w:rPr>
          <w:rFonts w:ascii="Arial" w:hAnsi="Arial" w:cs="Arial"/>
        </w:rPr>
      </w:pPr>
      <w:r w:rsidRPr="004E0DDA">
        <w:rPr>
          <w:rFonts w:ascii="Arial" w:hAnsi="Arial" w:cs="Arial"/>
        </w:rPr>
        <w:t xml:space="preserve">Sori, O. (2021). Factors affecting groundnut market supply in Western Oromia, Ethiopia. </w:t>
      </w:r>
      <w:proofErr w:type="spellStart"/>
      <w:r w:rsidRPr="004E0DDA">
        <w:rPr>
          <w:rFonts w:ascii="Arial" w:hAnsi="Arial" w:cs="Arial"/>
        </w:rPr>
        <w:t>Heliyon</w:t>
      </w:r>
      <w:proofErr w:type="spellEnd"/>
      <w:r w:rsidRPr="004E0DDA">
        <w:rPr>
          <w:rFonts w:ascii="Arial" w:hAnsi="Arial" w:cs="Arial"/>
        </w:rPr>
        <w:t>, 7(1)</w:t>
      </w:r>
    </w:p>
    <w:p w14:paraId="54F08C36" w14:textId="7BA6F48C" w:rsidR="000B1774" w:rsidRPr="004E0DDA" w:rsidRDefault="000B1774" w:rsidP="004E0DDA">
      <w:pPr>
        <w:spacing w:line="360" w:lineRule="auto"/>
        <w:rPr>
          <w:rFonts w:ascii="Arial" w:hAnsi="Arial" w:cs="Arial"/>
        </w:rPr>
      </w:pPr>
      <w:r w:rsidRPr="004E0DDA">
        <w:rPr>
          <w:rFonts w:ascii="Arial" w:hAnsi="Arial" w:cs="Arial"/>
        </w:rPr>
        <w:t xml:space="preserve">Bartels, </w:t>
      </w:r>
      <w:proofErr w:type="spellStart"/>
      <w:r w:rsidRPr="004E0DDA">
        <w:rPr>
          <w:rFonts w:ascii="Arial" w:hAnsi="Arial" w:cs="Arial"/>
        </w:rPr>
        <w:t>Lorand</w:t>
      </w:r>
      <w:proofErr w:type="spellEnd"/>
      <w:r w:rsidRPr="004E0DDA">
        <w:rPr>
          <w:rFonts w:ascii="Arial" w:hAnsi="Arial" w:cs="Arial"/>
        </w:rPr>
        <w:t>, The UK's Status in the WTO after Brexit (September 23, 2016)</w:t>
      </w:r>
    </w:p>
    <w:p w14:paraId="4F0CF76C" w14:textId="39C87914" w:rsidR="00791BDC" w:rsidRPr="004E0DDA" w:rsidRDefault="008950FF" w:rsidP="004E0DDA">
      <w:pPr>
        <w:spacing w:line="360" w:lineRule="auto"/>
        <w:rPr>
          <w:rFonts w:ascii="Arial" w:hAnsi="Arial" w:cs="Arial"/>
        </w:rPr>
      </w:pPr>
      <w:proofErr w:type="spellStart"/>
      <w:r w:rsidRPr="004E0DDA">
        <w:rPr>
          <w:rFonts w:ascii="Arial" w:hAnsi="Arial" w:cs="Arial"/>
        </w:rPr>
        <w:t>Mohajan</w:t>
      </w:r>
      <w:proofErr w:type="spellEnd"/>
      <w:r w:rsidRPr="004E0DDA">
        <w:rPr>
          <w:rFonts w:ascii="Arial" w:hAnsi="Arial" w:cs="Arial"/>
        </w:rPr>
        <w:t>, H. K. (2015). Present and Future of Nestlé Bangladesh Limited. American Journal of Food and Nutrition, 3(2), 34-43</w:t>
      </w:r>
    </w:p>
    <w:p w14:paraId="5AD9D239" w14:textId="0892E1AC" w:rsidR="008950FF" w:rsidRPr="004E0DDA" w:rsidRDefault="008950FF" w:rsidP="004E0DDA">
      <w:pPr>
        <w:spacing w:line="360" w:lineRule="auto"/>
        <w:rPr>
          <w:rFonts w:ascii="Arial" w:hAnsi="Arial" w:cs="Arial"/>
        </w:rPr>
      </w:pPr>
      <w:r w:rsidRPr="004E0DDA">
        <w:rPr>
          <w:rFonts w:ascii="Arial" w:hAnsi="Arial" w:cs="Arial"/>
        </w:rPr>
        <w:t>Hambrick, D. C., MacMillan, I. C., &amp; Day, D. L. (1982). Strategic Attributes and Performance in the BCG Matrix–A Profit Impact of Market Strategies (PIMS)-Based Analysis of Industrial Product Businesses. Academy of Management Journal, 25(3), 510-31</w:t>
      </w:r>
    </w:p>
    <w:sectPr w:rsidR="008950FF" w:rsidRPr="004E0DDA" w:rsidSect="005F413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2B0D6" w14:textId="77777777" w:rsidR="009A4A04" w:rsidRDefault="009A4A04" w:rsidP="005F413C">
      <w:pPr>
        <w:spacing w:after="0" w:line="240" w:lineRule="auto"/>
      </w:pPr>
      <w:r>
        <w:separator/>
      </w:r>
    </w:p>
  </w:endnote>
  <w:endnote w:type="continuationSeparator" w:id="0">
    <w:p w14:paraId="363D60E3" w14:textId="77777777" w:rsidR="009A4A04" w:rsidRDefault="009A4A04" w:rsidP="005F4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b/>
        <w:bCs/>
      </w:rPr>
      <w:id w:val="-1458241436"/>
      <w:docPartObj>
        <w:docPartGallery w:val="Page Numbers (Bottom of Page)"/>
        <w:docPartUnique/>
      </w:docPartObj>
    </w:sdtPr>
    <w:sdtEndPr>
      <w:rPr>
        <w:noProof/>
      </w:rPr>
    </w:sdtEndPr>
    <w:sdtContent>
      <w:p w14:paraId="001A0624" w14:textId="66A595CC" w:rsidR="005F413C" w:rsidRPr="005F413C" w:rsidRDefault="005F413C">
        <w:pPr>
          <w:pStyle w:val="Footer"/>
          <w:jc w:val="center"/>
          <w:rPr>
            <w:rFonts w:ascii="Arial" w:hAnsi="Arial" w:cs="Arial"/>
            <w:b/>
            <w:bCs/>
          </w:rPr>
        </w:pPr>
        <w:r w:rsidRPr="005F413C">
          <w:rPr>
            <w:rFonts w:ascii="Arial" w:hAnsi="Arial" w:cs="Arial"/>
            <w:b/>
            <w:bCs/>
          </w:rPr>
          <w:fldChar w:fldCharType="begin"/>
        </w:r>
        <w:r w:rsidRPr="005F413C">
          <w:rPr>
            <w:rFonts w:ascii="Arial" w:hAnsi="Arial" w:cs="Arial"/>
            <w:b/>
            <w:bCs/>
          </w:rPr>
          <w:instrText xml:space="preserve"> PAGE   \* MERGEFORMAT </w:instrText>
        </w:r>
        <w:r w:rsidRPr="005F413C">
          <w:rPr>
            <w:rFonts w:ascii="Arial" w:hAnsi="Arial" w:cs="Arial"/>
            <w:b/>
            <w:bCs/>
          </w:rPr>
          <w:fldChar w:fldCharType="separate"/>
        </w:r>
        <w:r w:rsidRPr="005F413C">
          <w:rPr>
            <w:rFonts w:ascii="Arial" w:hAnsi="Arial" w:cs="Arial"/>
            <w:b/>
            <w:bCs/>
            <w:noProof/>
          </w:rPr>
          <w:t>2</w:t>
        </w:r>
        <w:r w:rsidRPr="005F413C">
          <w:rPr>
            <w:rFonts w:ascii="Arial" w:hAnsi="Arial" w:cs="Arial"/>
            <w:b/>
            <w:bCs/>
            <w:noProof/>
          </w:rPr>
          <w:fldChar w:fldCharType="end"/>
        </w:r>
      </w:p>
    </w:sdtContent>
  </w:sdt>
  <w:p w14:paraId="38383E34" w14:textId="2B9EA483" w:rsidR="005F413C" w:rsidRPr="005F413C" w:rsidRDefault="005F413C">
    <w:pPr>
      <w:pStyle w:val="Footer"/>
      <w:rPr>
        <w:rFonts w:ascii="Arial" w:hAnsi="Arial" w:cs="Arial"/>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B7309" w14:textId="77777777" w:rsidR="009A4A04" w:rsidRDefault="009A4A04" w:rsidP="005F413C">
      <w:pPr>
        <w:spacing w:after="0" w:line="240" w:lineRule="auto"/>
      </w:pPr>
      <w:r>
        <w:separator/>
      </w:r>
    </w:p>
  </w:footnote>
  <w:footnote w:type="continuationSeparator" w:id="0">
    <w:p w14:paraId="613B86FC" w14:textId="77777777" w:rsidR="009A4A04" w:rsidRDefault="009A4A04" w:rsidP="005F41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23CA3"/>
    <w:multiLevelType w:val="hybridMultilevel"/>
    <w:tmpl w:val="F9C833EC"/>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FFD"/>
    <w:rsid w:val="00007FFD"/>
    <w:rsid w:val="000B1774"/>
    <w:rsid w:val="00252C19"/>
    <w:rsid w:val="00306AF9"/>
    <w:rsid w:val="004E0DDA"/>
    <w:rsid w:val="0058099B"/>
    <w:rsid w:val="005F413C"/>
    <w:rsid w:val="00646A6D"/>
    <w:rsid w:val="00650244"/>
    <w:rsid w:val="00791BDC"/>
    <w:rsid w:val="007A71D7"/>
    <w:rsid w:val="008950FF"/>
    <w:rsid w:val="009A4A04"/>
    <w:rsid w:val="00BC1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956BE6"/>
  <w15:chartTrackingRefBased/>
  <w15:docId w15:val="{646C61CA-2280-4266-A441-8062BE57E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B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6AF9"/>
    <w:pPr>
      <w:spacing w:after="0" w:line="480" w:lineRule="auto"/>
      <w:ind w:left="720"/>
      <w:contextualSpacing/>
    </w:pPr>
    <w:rPr>
      <w:lang w:val="en-US"/>
    </w:rPr>
  </w:style>
  <w:style w:type="character" w:styleId="Hyperlink">
    <w:name w:val="Hyperlink"/>
    <w:basedOn w:val="DefaultParagraphFont"/>
    <w:uiPriority w:val="99"/>
    <w:unhideWhenUsed/>
    <w:rsid w:val="00306AF9"/>
    <w:rPr>
      <w:color w:val="0563C1" w:themeColor="hyperlink"/>
      <w:u w:val="single"/>
    </w:rPr>
  </w:style>
  <w:style w:type="paragraph" w:styleId="Header">
    <w:name w:val="header"/>
    <w:basedOn w:val="Normal"/>
    <w:link w:val="HeaderChar"/>
    <w:uiPriority w:val="99"/>
    <w:unhideWhenUsed/>
    <w:rsid w:val="005F4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13C"/>
  </w:style>
  <w:style w:type="paragraph" w:styleId="Footer">
    <w:name w:val="footer"/>
    <w:basedOn w:val="Normal"/>
    <w:link w:val="FooterChar"/>
    <w:uiPriority w:val="99"/>
    <w:unhideWhenUsed/>
    <w:rsid w:val="005F4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13C"/>
  </w:style>
  <w:style w:type="paragraph" w:styleId="NormalWeb">
    <w:name w:val="Normal (Web)"/>
    <w:basedOn w:val="Normal"/>
    <w:uiPriority w:val="99"/>
    <w:semiHidden/>
    <w:unhideWhenUsed/>
    <w:rsid w:val="004E0DDA"/>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1536</Words>
  <Characters>8758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Stefan (2020611)</dc:creator>
  <cp:keywords/>
  <dc:description/>
  <cp:lastModifiedBy>Petrica Stefan (2020611)</cp:lastModifiedBy>
  <cp:revision>2</cp:revision>
  <dcterms:created xsi:type="dcterms:W3CDTF">2021-07-27T10:52:00Z</dcterms:created>
  <dcterms:modified xsi:type="dcterms:W3CDTF">2021-07-27T10:52:00Z</dcterms:modified>
</cp:coreProperties>
</file>