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1D10F" w14:textId="77777777" w:rsidR="00353981" w:rsidRPr="00810E04" w:rsidRDefault="00353981" w:rsidP="00353981">
      <w:pPr>
        <w:pStyle w:val="Title"/>
        <w:rPr>
          <w:rFonts w:asciiTheme="minorHAnsi" w:hAnsiTheme="minorHAnsi"/>
          <w:sz w:val="48"/>
          <w:szCs w:val="48"/>
        </w:rPr>
      </w:pPr>
      <w:r w:rsidRPr="00810E04">
        <w:rPr>
          <w:rFonts w:asciiTheme="minorHAnsi" w:hAnsiTheme="minorHAnsi"/>
          <w:sz w:val="48"/>
          <w:szCs w:val="48"/>
        </w:rPr>
        <w:t xml:space="preserve">5CO01 – Organisational Performance and Culture </w:t>
      </w:r>
      <w:r>
        <w:rPr>
          <w:rFonts w:asciiTheme="minorHAnsi" w:hAnsiTheme="minorHAnsi"/>
          <w:sz w:val="48"/>
          <w:szCs w:val="48"/>
        </w:rPr>
        <w:t>i</w:t>
      </w:r>
      <w:r w:rsidRPr="00810E04">
        <w:rPr>
          <w:rFonts w:asciiTheme="minorHAnsi" w:hAnsiTheme="minorHAnsi"/>
          <w:sz w:val="48"/>
          <w:szCs w:val="48"/>
        </w:rPr>
        <w:t>n Practice</w:t>
      </w:r>
    </w:p>
    <w:p w14:paraId="4E3E05EA" w14:textId="77777777" w:rsidR="00353981" w:rsidRPr="00445F26" w:rsidRDefault="00353981" w:rsidP="00353981">
      <w:pPr>
        <w:rPr>
          <w:rFonts w:asciiTheme="minorHAnsi" w:hAnsiTheme="minorHAnsi"/>
        </w:rPr>
      </w:pPr>
    </w:p>
    <w:p w14:paraId="3C75B734"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b/>
          <w:bCs/>
          <w:i/>
          <w:iCs/>
          <w:szCs w:val="22"/>
        </w:rPr>
        <w:t>AC 1.1</w:t>
      </w:r>
    </w:p>
    <w:p w14:paraId="0B020D87"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Within a divisional structure, the outward focus is on the customer, product or service and can be described as having a top level of management comprising of a CEO, followed by a decentralised hierarchy of divisional managers who oversee a smaller unit or division. Examples of this type of structure include the Walt Disney Corporation and McDonalds.</w:t>
      </w:r>
    </w:p>
    <w:p w14:paraId="68CD9A08"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Each division has its own targets and goals and sometimes its own customer base, it will report upward through management and will have little contact with the top executives while still working under the policies and procedures of the organisation. </w:t>
      </w:r>
    </w:p>
    <w:p w14:paraId="329B0245"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The advantage of this structure is that by being autonomous of other divisions, each one may work independently and have the focus be on the customer, service, or product. However, this in turn can also be a disadvantage as it does not foster cross collaboration between divisions making work across divisions that much more difficult. Although the divisions will align under the corporate policy and procedure, each division may have a different process or system that could prevent working together harmoniously (Burton, Obel and DeSanctis, 2011). </w:t>
      </w:r>
    </w:p>
    <w:p w14:paraId="7FB2D0FA" w14:textId="77777777" w:rsidR="00353981" w:rsidRDefault="00353981" w:rsidP="00353981">
      <w:pPr>
        <w:contextualSpacing/>
        <w:rPr>
          <w:rFonts w:asciiTheme="minorHAnsi" w:eastAsia="Arial" w:hAnsiTheme="minorHAnsi" w:cs="Times New Roman"/>
          <w:szCs w:val="22"/>
        </w:rPr>
      </w:pPr>
    </w:p>
    <w:p w14:paraId="0A0804B4"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A matrix structure differs in its make up in that it usually combines multiple structures and is usually found in project-based organisations such as advertising agencies, universities, and include companies such as BMW, IMB and Boeing. The simplest description of a matrix structure is that employees have two managers: 1) departmental manager, 2) project manager (Robbins and Judge, 2017). This also means that communication can be multi-directional as an employee may report to either manager whilst these managers also have cross-communication. </w:t>
      </w:r>
    </w:p>
    <w:p w14:paraId="70A926DC"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Additionally, when a project is assigned, teams come together from different disciplines to work together allowing for flexibility of resources and expertise. The advantage of this is that it leads to better communication, collaboration and can be effective in dynamic environments. </w:t>
      </w:r>
    </w:p>
    <w:p w14:paraId="2444ABFA"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However, Robbins and Judge also go on to say that it can be disadvantageous in the way that it creates confusion in reporting relationships for employees and could also lead to a fostering of power struggles between managers. </w:t>
      </w:r>
    </w:p>
    <w:p w14:paraId="79865894" w14:textId="77777777" w:rsidR="00353981" w:rsidRDefault="00353981" w:rsidP="00353981">
      <w:pPr>
        <w:contextualSpacing/>
        <w:rPr>
          <w:rFonts w:asciiTheme="minorHAnsi" w:eastAsia="Arial" w:hAnsiTheme="minorHAnsi" w:cs="Times New Roman"/>
          <w:szCs w:val="22"/>
        </w:rPr>
      </w:pPr>
    </w:p>
    <w:p w14:paraId="32011FE6"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Essentially, there is no right or wrong structure for an organisation to follow, with there being advantages and disadvantages to both. What will dictate the success of an organisation is how its structure aligns itself with the corporate strategy, goals and objectives. </w:t>
      </w:r>
    </w:p>
    <w:p w14:paraId="70319763" w14:textId="77777777" w:rsidR="00353981" w:rsidRDefault="00353981" w:rsidP="00353981">
      <w:pPr>
        <w:contextualSpacing/>
        <w:rPr>
          <w:rFonts w:asciiTheme="minorHAnsi" w:eastAsia="Arial" w:hAnsiTheme="minorHAnsi" w:cs="Times New Roman"/>
          <w:szCs w:val="22"/>
        </w:rPr>
      </w:pPr>
    </w:p>
    <w:p w14:paraId="3989B331" w14:textId="77777777" w:rsidR="00353981" w:rsidRDefault="00353981" w:rsidP="00353981">
      <w:pPr>
        <w:contextualSpacing/>
        <w:rPr>
          <w:rFonts w:asciiTheme="minorHAnsi" w:eastAsia="Arial" w:hAnsiTheme="minorHAnsi" w:cs="Times New Roman"/>
          <w:b/>
          <w:bCs/>
          <w:i/>
          <w:iCs/>
          <w:szCs w:val="22"/>
        </w:rPr>
      </w:pPr>
      <w:r>
        <w:rPr>
          <w:rFonts w:asciiTheme="minorHAnsi" w:eastAsia="Arial" w:hAnsiTheme="minorHAnsi" w:cs="Times New Roman"/>
          <w:b/>
          <w:bCs/>
          <w:i/>
          <w:iCs/>
          <w:szCs w:val="22"/>
        </w:rPr>
        <w:t>AC 1.2</w:t>
      </w:r>
    </w:p>
    <w:p w14:paraId="72AC2CF3" w14:textId="77777777" w:rsidR="00353981" w:rsidRDefault="00353981" w:rsidP="00353981">
      <w:pPr>
        <w:contextualSpacing/>
        <w:rPr>
          <w:rFonts w:asciiTheme="minorHAnsi" w:eastAsia="Arial" w:hAnsiTheme="minorHAnsi" w:cs="Times New Roman"/>
          <w:szCs w:val="22"/>
        </w:rPr>
      </w:pPr>
      <w:r w:rsidRPr="00D62C58">
        <w:rPr>
          <w:rFonts w:asciiTheme="minorHAnsi" w:eastAsia="Arial" w:hAnsiTheme="minorHAnsi" w:cs="Times New Roman"/>
          <w:szCs w:val="22"/>
        </w:rPr>
        <w:t>In m</w:t>
      </w:r>
      <w:r>
        <w:rPr>
          <w:rFonts w:asciiTheme="minorHAnsi" w:eastAsia="Arial" w:hAnsiTheme="minorHAnsi" w:cs="Times New Roman"/>
          <w:szCs w:val="22"/>
        </w:rPr>
        <w:t>y current position, I work for a Local Government Authority (LGA) which can be described as having a functional-hierarchical structure. Meaning we have a Chief Executive that sits above a group of five directors who oversee the key business areas. Underneath this the five directors have a varying number of service managers who look after the myriad departments within each directorate. However, being a political organisation, we have a council of sixty elected members who oversee any final decisions (Pembrokeshire County Council, 2023). This can prove difficult as although they are advised by the experts, senior leaders and directors, the decision is put through a political process and voted upon.</w:t>
      </w:r>
    </w:p>
    <w:p w14:paraId="5245516D" w14:textId="77777777" w:rsidR="00353981" w:rsidRDefault="00353981" w:rsidP="00353981">
      <w:pPr>
        <w:contextualSpacing/>
        <w:rPr>
          <w:rFonts w:asciiTheme="minorHAnsi" w:eastAsia="Arial" w:hAnsiTheme="minorHAnsi" w:cs="Times New Roman"/>
          <w:szCs w:val="22"/>
        </w:rPr>
      </w:pPr>
    </w:p>
    <w:p w14:paraId="485192D8"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One strategy of the organisations is to maintain its “golden thread” – meaning that </w:t>
      </w:r>
      <w:r>
        <w:rPr>
          <w:rFonts w:asciiTheme="minorHAnsi" w:eastAsia="Arial" w:hAnsiTheme="minorHAnsi" w:cs="Times New Roman"/>
          <w:i/>
          <w:iCs/>
          <w:szCs w:val="22"/>
        </w:rPr>
        <w:t>“</w:t>
      </w:r>
      <w:r w:rsidRPr="008E574D">
        <w:rPr>
          <w:rFonts w:asciiTheme="minorHAnsi" w:eastAsia="Arial" w:hAnsiTheme="minorHAnsi" w:cs="Times New Roman"/>
          <w:szCs w:val="22"/>
        </w:rPr>
        <w:t>The Corporate Strategy will only be effective if it reflects Cabinet’s priorities in a coherent manner</w:t>
      </w:r>
      <w:r>
        <w:rPr>
          <w:rFonts w:asciiTheme="minorHAnsi" w:eastAsia="Arial" w:hAnsiTheme="minorHAnsi" w:cs="Times New Roman"/>
          <w:i/>
          <w:iCs/>
          <w:szCs w:val="22"/>
        </w:rPr>
        <w:t>”</w:t>
      </w:r>
      <w:r>
        <w:rPr>
          <w:rFonts w:asciiTheme="minorHAnsi" w:eastAsia="Arial" w:hAnsiTheme="minorHAnsi" w:cs="Times New Roman"/>
          <w:szCs w:val="22"/>
        </w:rPr>
        <w:t xml:space="preserve"> (Pembrokeshire County Council, 2024). This is reflected in that within the elected officials there are a select few that speak on issues within some the service areas that we provide for example: Finance, Housing and Residential Services. Effectively, these divisions within the authority structure work alongside the elected member to provide high quality service to the residents of our county.</w:t>
      </w:r>
    </w:p>
    <w:p w14:paraId="7C7B56E9" w14:textId="77777777" w:rsidR="00353981" w:rsidRDefault="00353981" w:rsidP="00353981">
      <w:pPr>
        <w:contextualSpacing/>
        <w:rPr>
          <w:rFonts w:asciiTheme="minorHAnsi" w:eastAsia="Arial" w:hAnsiTheme="minorHAnsi" w:cs="Times New Roman"/>
          <w:szCs w:val="22"/>
        </w:rPr>
      </w:pPr>
    </w:p>
    <w:p w14:paraId="22C21ECF"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The overall mission statement for the authority is “Working Together, Improving Lives” and this is foundational in all the work that we do (Pembrokeshire County Council, 2024). Initially, each service area must have a clear understand of who their customer is and by providing multiple services to almost 125,000 residents, not all needs will be the same. This could mean that within housing for example, there are multiple strategies for different groups of individuals but all working toward the same goal. When it comes to planned vs emergent strategies, we may have to use different strategies for different times (Stobierski, 2020). When policy is agreed it must first pass through the elected members, if it does not, sometimes quick adjustments may be needed to satisfy, thus making the strategies more emergent. </w:t>
      </w:r>
    </w:p>
    <w:p w14:paraId="0C24AFE9" w14:textId="77777777" w:rsidR="00353981" w:rsidRDefault="00353981" w:rsidP="00353981">
      <w:pPr>
        <w:contextualSpacing/>
        <w:rPr>
          <w:rFonts w:asciiTheme="minorHAnsi" w:eastAsia="Arial" w:hAnsiTheme="minorHAnsi" w:cs="Times New Roman"/>
          <w:szCs w:val="22"/>
        </w:rPr>
      </w:pPr>
    </w:p>
    <w:p w14:paraId="767D46C6"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However, by having a good foundation of customer analytics, the development of policy and then good implementation, we can be assured we have good delivery of service to our customers/residents. One example of this was the distribution of food waste bags. Complaints were received that food waste bags were not easily accessible (analysis), the consultation of where would be easier to retrieve them from brought back two final options (development), and they were held from that point on in leisure centres and libraries (implementation). </w:t>
      </w:r>
    </w:p>
    <w:p w14:paraId="3F10FE8F" w14:textId="77777777" w:rsidR="00353981" w:rsidRDefault="00353981" w:rsidP="00353981">
      <w:pPr>
        <w:contextualSpacing/>
        <w:rPr>
          <w:rFonts w:asciiTheme="minorHAnsi" w:eastAsia="Arial" w:hAnsiTheme="minorHAnsi" w:cs="Times New Roman"/>
          <w:szCs w:val="22"/>
        </w:rPr>
      </w:pPr>
    </w:p>
    <w:p w14:paraId="0A028BB2" w14:textId="77777777" w:rsidR="00353981" w:rsidRDefault="00353981" w:rsidP="00353981">
      <w:pPr>
        <w:rPr>
          <w:rFonts w:asciiTheme="minorHAnsi" w:eastAsia="Arial" w:hAnsiTheme="minorHAnsi" w:cs="Times New Roman"/>
          <w:b/>
          <w:bCs/>
          <w:i/>
          <w:iCs/>
          <w:szCs w:val="22"/>
        </w:rPr>
      </w:pPr>
      <w:r w:rsidRPr="0009577B">
        <w:rPr>
          <w:rFonts w:asciiTheme="minorHAnsi" w:eastAsia="Arial" w:hAnsiTheme="minorHAnsi" w:cs="Times New Roman"/>
          <w:b/>
          <w:bCs/>
          <w:i/>
          <w:iCs/>
          <w:szCs w:val="22"/>
        </w:rPr>
        <w:t>AC 1.3</w:t>
      </w:r>
    </w:p>
    <w:p w14:paraId="1EB5D3AE" w14:textId="77777777" w:rsidR="00353981" w:rsidRDefault="00353981" w:rsidP="00353981">
      <w:pPr>
        <w:contextualSpacing/>
        <w:rPr>
          <w:rFonts w:asciiTheme="minorHAnsi" w:eastAsia="Arial" w:hAnsiTheme="minorHAnsi" w:cs="Times New Roman"/>
          <w:szCs w:val="22"/>
        </w:rPr>
      </w:pPr>
      <w:r w:rsidRPr="00B67A6A">
        <w:rPr>
          <w:rFonts w:asciiTheme="minorHAnsi" w:eastAsia="Arial" w:hAnsiTheme="minorHAnsi" w:cs="Times New Roman"/>
          <w:szCs w:val="22"/>
        </w:rPr>
        <w:t xml:space="preserve">In recent years, as a result of both rising interest rates and inflation, Pembrokeshire County Council has a gap in its funding. The budget statement for 2025-26 states that there is a gap of </w:t>
      </w:r>
      <w:r>
        <w:rPr>
          <w:rFonts w:asciiTheme="minorHAnsi" w:eastAsia="Arial" w:hAnsiTheme="minorHAnsi" w:cs="Times New Roman"/>
          <w:szCs w:val="22"/>
        </w:rPr>
        <w:t>“</w:t>
      </w:r>
      <w:r w:rsidRPr="00B67A6A">
        <w:rPr>
          <w:rFonts w:asciiTheme="minorHAnsi" w:eastAsia="Arial" w:hAnsiTheme="minorHAnsi" w:cs="Times New Roman"/>
          <w:szCs w:val="22"/>
        </w:rPr>
        <w:t>34.1 million (net funding)</w:t>
      </w:r>
      <w:r>
        <w:rPr>
          <w:rFonts w:asciiTheme="minorHAnsi" w:eastAsia="Arial" w:hAnsiTheme="minorHAnsi" w:cs="Times New Roman"/>
          <w:szCs w:val="22"/>
        </w:rPr>
        <w:t xml:space="preserve">” </w:t>
      </w:r>
      <w:r w:rsidRPr="00B67A6A">
        <w:rPr>
          <w:rFonts w:asciiTheme="minorHAnsi" w:eastAsia="Arial" w:hAnsiTheme="minorHAnsi" w:cs="Times New Roman"/>
          <w:szCs w:val="22"/>
        </w:rPr>
        <w:t xml:space="preserve">and this is projected to reach £64 million by the end of 2029 (Pembrokeshire County Council, 2025). The impact of this has led to cuts across the entire organisation in the form of voluntary redundancy and severance, departmental closures and the cutting of funding to services. This has meant a decrease in staff morale, increased workloads/pressures and the inability to provide the quality of some services to our customer base. </w:t>
      </w:r>
    </w:p>
    <w:p w14:paraId="40866D8A" w14:textId="77777777" w:rsidR="00353981" w:rsidRDefault="00353981" w:rsidP="00353981">
      <w:pPr>
        <w:contextualSpacing/>
        <w:rPr>
          <w:rFonts w:asciiTheme="minorHAnsi" w:eastAsia="Arial" w:hAnsiTheme="minorHAnsi" w:cs="Times New Roman"/>
          <w:szCs w:val="22"/>
        </w:rPr>
      </w:pPr>
    </w:p>
    <w:p w14:paraId="00250ADF" w14:textId="77777777" w:rsidR="00353981" w:rsidRPr="001E72CC" w:rsidRDefault="00353981" w:rsidP="00353981">
      <w:pPr>
        <w:rPr>
          <w:rFonts w:asciiTheme="minorHAnsi" w:hAnsiTheme="minorHAnsi"/>
          <w:szCs w:val="22"/>
        </w:rPr>
      </w:pPr>
      <w:r w:rsidRPr="001E72CC">
        <w:rPr>
          <w:rFonts w:asciiTheme="minorHAnsi" w:hAnsiTheme="minorHAnsi"/>
          <w:szCs w:val="22"/>
        </w:rPr>
        <w:t xml:space="preserve">The organisation has highlighted the increased pressures to its budget which include </w:t>
      </w:r>
    </w:p>
    <w:p w14:paraId="281EC848" w14:textId="77777777" w:rsidR="00353981" w:rsidRPr="001E72CC" w:rsidRDefault="00353981" w:rsidP="00353981">
      <w:pPr>
        <w:pStyle w:val="ListParagraph"/>
        <w:numPr>
          <w:ilvl w:val="0"/>
          <w:numId w:val="7"/>
        </w:numPr>
        <w:spacing w:after="160" w:line="278" w:lineRule="auto"/>
        <w:rPr>
          <w:rFonts w:asciiTheme="minorHAnsi" w:hAnsiTheme="minorHAnsi"/>
          <w:szCs w:val="22"/>
        </w:rPr>
      </w:pPr>
      <w:r w:rsidRPr="001E72CC">
        <w:rPr>
          <w:rFonts w:asciiTheme="minorHAnsi" w:hAnsiTheme="minorHAnsi"/>
          <w:szCs w:val="22"/>
        </w:rPr>
        <w:t>a rise in the cost of employment in line with inflation pay </w:t>
      </w:r>
    </w:p>
    <w:p w14:paraId="3FF63FA2" w14:textId="77777777" w:rsidR="00353981" w:rsidRPr="001E72CC" w:rsidRDefault="00353981" w:rsidP="00353981">
      <w:pPr>
        <w:pStyle w:val="ListParagraph"/>
        <w:numPr>
          <w:ilvl w:val="0"/>
          <w:numId w:val="7"/>
        </w:numPr>
        <w:spacing w:after="160" w:line="278" w:lineRule="auto"/>
        <w:rPr>
          <w:rFonts w:asciiTheme="minorHAnsi" w:hAnsiTheme="minorHAnsi"/>
          <w:szCs w:val="22"/>
        </w:rPr>
      </w:pPr>
      <w:r w:rsidRPr="001E72CC">
        <w:rPr>
          <w:rFonts w:asciiTheme="minorHAnsi" w:hAnsiTheme="minorHAnsi"/>
          <w:szCs w:val="22"/>
        </w:rPr>
        <w:t>increased demand for services within schools, social care &amp; housing and the costs associated with this</w:t>
      </w:r>
    </w:p>
    <w:p w14:paraId="64F40B08" w14:textId="77777777" w:rsidR="00353981" w:rsidRPr="001E72CC" w:rsidRDefault="00353981" w:rsidP="00353981">
      <w:pPr>
        <w:pStyle w:val="ListParagraph"/>
        <w:numPr>
          <w:ilvl w:val="0"/>
          <w:numId w:val="7"/>
        </w:numPr>
        <w:spacing w:after="160" w:line="278" w:lineRule="auto"/>
        <w:rPr>
          <w:rFonts w:asciiTheme="minorHAnsi" w:hAnsiTheme="minorHAnsi"/>
          <w:szCs w:val="22"/>
        </w:rPr>
      </w:pPr>
      <w:r w:rsidRPr="001E72CC">
        <w:rPr>
          <w:rFonts w:asciiTheme="minorHAnsi" w:hAnsiTheme="minorHAnsi"/>
          <w:szCs w:val="22"/>
        </w:rPr>
        <w:t>a decision to keep council tax lower than the average for Wales (Pembrokeshire County Council, 2025).</w:t>
      </w:r>
    </w:p>
    <w:p w14:paraId="0158224E" w14:textId="77777777" w:rsidR="00353981" w:rsidRDefault="00353981" w:rsidP="00353981">
      <w:pPr>
        <w:rPr>
          <w:rFonts w:asciiTheme="minorHAnsi" w:hAnsiTheme="minorHAnsi"/>
          <w:szCs w:val="22"/>
        </w:rPr>
      </w:pPr>
      <w:r w:rsidRPr="001E72CC">
        <w:rPr>
          <w:rFonts w:asciiTheme="minorHAnsi" w:hAnsiTheme="minorHAnsi"/>
          <w:szCs w:val="22"/>
        </w:rPr>
        <w:t xml:space="preserve">As a large-scale employer (6,500 approx.), the cost of employment is circumstantial, but also, the service area of social care &amp; housing is the largest within the organisation. These two factors contribute to the large gap in funding significantly. Alongside this, the political factor of elected officials has an impact on financial pressures. These elected officials have used the low </w:t>
      </w:r>
      <w:r w:rsidRPr="001E72CC">
        <w:rPr>
          <w:rFonts w:asciiTheme="minorHAnsi" w:hAnsiTheme="minorHAnsi"/>
          <w:szCs w:val="22"/>
        </w:rPr>
        <w:lastRenderedPageBreak/>
        <w:t xml:space="preserve">rates of council tax as part of their platform for election/re-election, which has meant the advice of financial departments being overridden. </w:t>
      </w:r>
    </w:p>
    <w:p w14:paraId="2D28A922" w14:textId="77777777" w:rsidR="00353981" w:rsidRDefault="00353981" w:rsidP="00353981">
      <w:pPr>
        <w:rPr>
          <w:rFonts w:asciiTheme="minorHAnsi" w:hAnsiTheme="minorHAnsi"/>
          <w:szCs w:val="22"/>
        </w:rPr>
      </w:pPr>
    </w:p>
    <w:p w14:paraId="0BED49EF" w14:textId="77777777" w:rsidR="00353981" w:rsidRPr="001E72CC" w:rsidRDefault="00353981" w:rsidP="00353981">
      <w:pPr>
        <w:rPr>
          <w:rFonts w:asciiTheme="minorHAnsi" w:hAnsiTheme="minorHAnsi"/>
          <w:szCs w:val="22"/>
        </w:rPr>
      </w:pPr>
      <w:r>
        <w:rPr>
          <w:rFonts w:asciiTheme="minorHAnsi" w:hAnsiTheme="minorHAnsi"/>
          <w:szCs w:val="22"/>
        </w:rPr>
        <w:t xml:space="preserve">Within the HR function, key areas have been identified as organisational priority. This has meant facilitating the communication and management of change, supporting the wellbeing of employees and development of employees. Through encouraging development, the L&amp;D function has been able to analyse skill gaps and providing training to upskill and grow talent from within. This has meant roles are filled without the need for recruiting and its associated costs. Facilitating and managing change has been important in navigating this difficult and uncertain time and this has also been hand-in-hand with supporting wellbeing. </w:t>
      </w:r>
    </w:p>
    <w:p w14:paraId="293A06DE" w14:textId="77777777" w:rsidR="00353981" w:rsidRDefault="00353981" w:rsidP="00353981">
      <w:pPr>
        <w:contextualSpacing/>
        <w:rPr>
          <w:rFonts w:asciiTheme="minorHAnsi" w:eastAsia="Arial" w:hAnsiTheme="minorHAnsi" w:cs="Times New Roman"/>
          <w:szCs w:val="22"/>
        </w:rPr>
      </w:pPr>
    </w:p>
    <w:p w14:paraId="322634D9" w14:textId="77777777" w:rsidR="00353981" w:rsidRPr="00E3502B" w:rsidRDefault="00353981" w:rsidP="00353981">
      <w:pPr>
        <w:contextualSpacing/>
        <w:rPr>
          <w:rFonts w:asciiTheme="minorHAnsi" w:eastAsia="Arial" w:hAnsiTheme="minorHAnsi" w:cs="Times New Roman"/>
          <w:b/>
          <w:bCs/>
          <w:i/>
          <w:iCs/>
          <w:szCs w:val="22"/>
        </w:rPr>
      </w:pPr>
      <w:r w:rsidRPr="00E3502B">
        <w:rPr>
          <w:rFonts w:asciiTheme="minorHAnsi" w:eastAsia="Arial" w:hAnsiTheme="minorHAnsi" w:cs="Times New Roman"/>
          <w:b/>
          <w:bCs/>
          <w:i/>
          <w:iCs/>
          <w:szCs w:val="22"/>
        </w:rPr>
        <w:t>AC 1.4</w:t>
      </w:r>
    </w:p>
    <w:p w14:paraId="7EC641E1"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There are several ways in which AI can be integrated into the operation of my organisation. However, in agreement with the above statement, people practitioners must be vigilant in its uses. The UK government issued guidance for local government in 2019, but it has not been further updated. In the guidance it does state that we can use AI to “</w:t>
      </w:r>
      <w:r w:rsidRPr="00617E94">
        <w:rPr>
          <w:rFonts w:asciiTheme="minorHAnsi" w:eastAsia="Arial" w:hAnsiTheme="minorHAnsi" w:cs="Times New Roman"/>
          <w:szCs w:val="22"/>
        </w:rPr>
        <w:t>deliver more for less, and give a better experience as we do so.</w:t>
      </w:r>
      <w:r>
        <w:rPr>
          <w:rFonts w:asciiTheme="minorHAnsi" w:eastAsia="Arial" w:hAnsiTheme="minorHAnsi" w:cs="Times New Roman"/>
          <w:szCs w:val="22"/>
        </w:rPr>
        <w:t xml:space="preserve">” (GOV UK, 2019). However, it must be monitored effectively so that the statement remains true. </w:t>
      </w:r>
    </w:p>
    <w:p w14:paraId="16DA6384" w14:textId="77777777" w:rsidR="00353981" w:rsidRDefault="00353981" w:rsidP="00353981">
      <w:pPr>
        <w:contextualSpacing/>
        <w:rPr>
          <w:rFonts w:asciiTheme="minorHAnsi" w:eastAsia="Arial" w:hAnsiTheme="minorHAnsi" w:cs="Times New Roman"/>
          <w:szCs w:val="22"/>
        </w:rPr>
      </w:pPr>
    </w:p>
    <w:p w14:paraId="53288A1B"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One was the organisation I work for is using AI is in the creation of learning curriculums, lesson plans and resources. By inputting the skeleton framework for a curriculum, we can use AI to fill in some of the material and give appropriate references to use. However, as people practitioners, we must proofread, fact-check and monitor the material for consistency. Once this is done, they can use this breakdown of lessons to create a singular lesson plan, with activities and resources included. This impacts work by cutting down planning time and increasing productivity. However, an indirect impact of this is in the creation of another role within IT to maintain and develop systems. </w:t>
      </w:r>
    </w:p>
    <w:p w14:paraId="55470EC4" w14:textId="77777777" w:rsidR="00353981" w:rsidRDefault="00353981" w:rsidP="00353981">
      <w:pPr>
        <w:contextualSpacing/>
        <w:rPr>
          <w:rFonts w:asciiTheme="minorHAnsi" w:eastAsia="Arial" w:hAnsiTheme="minorHAnsi" w:cs="Times New Roman"/>
          <w:szCs w:val="22"/>
        </w:rPr>
      </w:pPr>
    </w:p>
    <w:p w14:paraId="220E50B1"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One further use could be the automation of some customer service roles. By using an AI chatbot to answer incoming queries this would free up agents to deal with more complex matters. Initially the chatbot would have to assess </w:t>
      </w:r>
      <w:proofErr w:type="spellStart"/>
      <w:r>
        <w:rPr>
          <w:rFonts w:asciiTheme="minorHAnsi" w:eastAsia="Arial" w:hAnsiTheme="minorHAnsi" w:cs="Times New Roman"/>
          <w:szCs w:val="22"/>
        </w:rPr>
        <w:t>weather</w:t>
      </w:r>
      <w:proofErr w:type="spellEnd"/>
      <w:r>
        <w:rPr>
          <w:rFonts w:asciiTheme="minorHAnsi" w:eastAsia="Arial" w:hAnsiTheme="minorHAnsi" w:cs="Times New Roman"/>
          <w:szCs w:val="22"/>
        </w:rPr>
        <w:t xml:space="preserve"> the query was simple or complex and the system would need to be seamless in its handoff to a live agent. The University of Cincinnati (2024) notes that by moving toward this way of working we can provide “customer service excellence” as well as increasing output and cutting the time taken for customers to be dealt with. This needs to be carefully monitored to ensure that it is working as intended and through feedback refined to ensure customers are satisfied. </w:t>
      </w:r>
    </w:p>
    <w:p w14:paraId="1A3A67D3" w14:textId="77777777" w:rsidR="00353981" w:rsidRPr="00810E04" w:rsidRDefault="00353981" w:rsidP="00353981">
      <w:pPr>
        <w:contextualSpacing/>
        <w:rPr>
          <w:rFonts w:asciiTheme="minorHAnsi" w:eastAsia="Arial" w:hAnsiTheme="minorHAnsi" w:cs="Times New Roman"/>
          <w:b/>
          <w:bCs/>
          <w:i/>
          <w:iCs/>
          <w:szCs w:val="22"/>
        </w:rPr>
      </w:pPr>
    </w:p>
    <w:p w14:paraId="4DADD51B" w14:textId="77777777" w:rsidR="00353981" w:rsidRDefault="00353981" w:rsidP="00353981">
      <w:pPr>
        <w:contextualSpacing/>
        <w:rPr>
          <w:rFonts w:asciiTheme="minorHAnsi" w:eastAsia="Arial" w:hAnsiTheme="minorHAnsi" w:cs="Times New Roman"/>
          <w:b/>
          <w:bCs/>
          <w:i/>
          <w:iCs/>
          <w:szCs w:val="22"/>
        </w:rPr>
      </w:pPr>
      <w:r w:rsidRPr="00810E04">
        <w:rPr>
          <w:rFonts w:asciiTheme="minorHAnsi" w:eastAsia="Arial" w:hAnsiTheme="minorHAnsi" w:cs="Times New Roman"/>
          <w:b/>
          <w:bCs/>
          <w:i/>
          <w:iCs/>
          <w:szCs w:val="22"/>
        </w:rPr>
        <w:t>AC 2.1</w:t>
      </w:r>
    </w:p>
    <w:p w14:paraId="20D54347"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Organisational culture reflects the behaviour of the individuals within and can shape the success, or failure, of an organisation. Watkins (2013) describes it as “</w:t>
      </w:r>
      <w:r w:rsidRPr="00BF323B">
        <w:rPr>
          <w:rFonts w:asciiTheme="minorHAnsi" w:eastAsia="Arial" w:hAnsiTheme="minorHAnsi" w:cs="Times New Roman"/>
          <w:szCs w:val="22"/>
        </w:rPr>
        <w:t>organization’s immune system</w:t>
      </w:r>
      <w:r>
        <w:rPr>
          <w:rFonts w:asciiTheme="minorHAnsi" w:eastAsia="Arial" w:hAnsiTheme="minorHAnsi" w:cs="Times New Roman"/>
          <w:szCs w:val="22"/>
        </w:rPr>
        <w:t xml:space="preserve">”. Handy’s model of organisational culture takes inspiration from the buildings of Greece and divides culture into four distinct pillars: Power, Role, Task and Person. It is sometimes visualised as a Greek building and in his book </w:t>
      </w:r>
      <w:r>
        <w:rPr>
          <w:rFonts w:asciiTheme="minorHAnsi" w:eastAsia="Arial" w:hAnsiTheme="minorHAnsi" w:cs="Times New Roman"/>
          <w:i/>
          <w:iCs/>
          <w:szCs w:val="22"/>
        </w:rPr>
        <w:t xml:space="preserve">Gods of Management </w:t>
      </w:r>
      <w:r>
        <w:rPr>
          <w:rFonts w:asciiTheme="minorHAnsi" w:eastAsia="Arial" w:hAnsiTheme="minorHAnsi" w:cs="Times New Roman"/>
          <w:szCs w:val="22"/>
        </w:rPr>
        <w:t xml:space="preserve">(2020), Handy draws further on his inspiration by assigning Greek deities to his four descriptions: </w:t>
      </w:r>
    </w:p>
    <w:p w14:paraId="3082C5CC" w14:textId="77777777" w:rsidR="00353981" w:rsidRDefault="00353981" w:rsidP="00353981">
      <w:pPr>
        <w:rPr>
          <w:rFonts w:asciiTheme="minorHAnsi" w:eastAsia="Arial" w:hAnsiTheme="minorHAnsi" w:cs="Times New Roman"/>
          <w:szCs w:val="22"/>
        </w:rPr>
      </w:pPr>
      <w:r w:rsidRPr="00DB729D">
        <w:rPr>
          <w:rFonts w:asciiTheme="minorHAnsi" w:eastAsia="Arial" w:hAnsiTheme="minorHAnsi" w:cs="Times New Roman"/>
          <w:szCs w:val="22"/>
        </w:rPr>
        <w:t>Power &amp; Zeus</w:t>
      </w:r>
      <w:r>
        <w:rPr>
          <w:rFonts w:asciiTheme="minorHAnsi" w:eastAsia="Arial" w:hAnsiTheme="minorHAnsi" w:cs="Times New Roman"/>
          <w:szCs w:val="22"/>
        </w:rPr>
        <w:t xml:space="preserve">, Role &amp; Apollo, Task &amp; Athena, Person &amp; Dionysus. </w:t>
      </w:r>
    </w:p>
    <w:p w14:paraId="23EAF622" w14:textId="77777777" w:rsidR="00353981" w:rsidRDefault="00353981" w:rsidP="00353981">
      <w:pPr>
        <w:rPr>
          <w:rFonts w:asciiTheme="minorHAnsi" w:eastAsia="Arial" w:hAnsiTheme="minorHAnsi" w:cs="Times New Roman"/>
          <w:szCs w:val="22"/>
        </w:rPr>
      </w:pPr>
    </w:p>
    <w:p w14:paraId="07F133B9" w14:textId="77777777" w:rsidR="00353981" w:rsidRDefault="00353981" w:rsidP="00353981">
      <w:pPr>
        <w:pStyle w:val="ListParagraph"/>
        <w:numPr>
          <w:ilvl w:val="0"/>
          <w:numId w:val="4"/>
        </w:numPr>
        <w:rPr>
          <w:rFonts w:asciiTheme="minorHAnsi" w:eastAsia="Arial" w:hAnsiTheme="minorHAnsi" w:cs="Times New Roman"/>
          <w:szCs w:val="22"/>
        </w:rPr>
      </w:pPr>
      <w:r w:rsidRPr="00B51F63">
        <w:rPr>
          <w:rFonts w:asciiTheme="minorHAnsi" w:eastAsia="Arial" w:hAnsiTheme="minorHAnsi" w:cs="Times New Roman"/>
          <w:b/>
          <w:bCs/>
          <w:szCs w:val="22"/>
        </w:rPr>
        <w:t>Power culture</w:t>
      </w:r>
      <w:r w:rsidRPr="002D5369">
        <w:rPr>
          <w:rFonts w:asciiTheme="minorHAnsi" w:eastAsia="Arial" w:hAnsiTheme="minorHAnsi" w:cs="Times New Roman"/>
          <w:szCs w:val="22"/>
        </w:rPr>
        <w:t xml:space="preserve"> can be defined by having centralised power that is held by a small number of individuals, it is also sometimes visualised by a drawing of a spiderweb as </w:t>
      </w:r>
      <w:r w:rsidRPr="002D5369">
        <w:rPr>
          <w:rFonts w:asciiTheme="minorHAnsi" w:eastAsia="Arial" w:hAnsiTheme="minorHAnsi" w:cs="Times New Roman"/>
          <w:szCs w:val="22"/>
        </w:rPr>
        <w:lastRenderedPageBreak/>
        <w:t>the power, although centralised, has a ripple effect across the web when executed</w:t>
      </w:r>
      <w:r>
        <w:rPr>
          <w:rFonts w:asciiTheme="minorHAnsi" w:eastAsia="Arial" w:hAnsiTheme="minorHAnsi" w:cs="Times New Roman"/>
          <w:szCs w:val="22"/>
        </w:rPr>
        <w:t xml:space="preserve"> (Handy, 1993)</w:t>
      </w:r>
      <w:r w:rsidRPr="002D5369">
        <w:rPr>
          <w:rFonts w:asciiTheme="minorHAnsi" w:eastAsia="Arial" w:hAnsiTheme="minorHAnsi" w:cs="Times New Roman"/>
          <w:szCs w:val="22"/>
        </w:rPr>
        <w:t xml:space="preserve">. Decision making is quick and effective, and it is easy to see why Zeus was chosen to represent as he is the figurehead of Greek myth. </w:t>
      </w:r>
      <w:r>
        <w:rPr>
          <w:rFonts w:asciiTheme="minorHAnsi" w:eastAsia="Arial" w:hAnsiTheme="minorHAnsi" w:cs="Times New Roman"/>
          <w:szCs w:val="22"/>
        </w:rPr>
        <w:t>These types of organisations usually have a flat structure, reporting to one figurehead, and are usually small family businesses or start-up companies.</w:t>
      </w:r>
    </w:p>
    <w:p w14:paraId="4B59EA9E" w14:textId="77777777" w:rsidR="00353981" w:rsidRDefault="00353981" w:rsidP="00353981">
      <w:pPr>
        <w:pStyle w:val="ListParagraph"/>
        <w:numPr>
          <w:ilvl w:val="0"/>
          <w:numId w:val="4"/>
        </w:numPr>
        <w:rPr>
          <w:rFonts w:asciiTheme="minorHAnsi" w:eastAsia="Arial" w:hAnsiTheme="minorHAnsi" w:cs="Times New Roman"/>
          <w:szCs w:val="22"/>
        </w:rPr>
      </w:pPr>
      <w:r w:rsidRPr="00B51F63">
        <w:rPr>
          <w:rFonts w:asciiTheme="minorHAnsi" w:eastAsia="Arial" w:hAnsiTheme="minorHAnsi" w:cs="Times New Roman"/>
          <w:b/>
          <w:bCs/>
          <w:szCs w:val="22"/>
        </w:rPr>
        <w:t>Role culture</w:t>
      </w:r>
      <w:r>
        <w:rPr>
          <w:rFonts w:asciiTheme="minorHAnsi" w:eastAsia="Arial" w:hAnsiTheme="minorHAnsi" w:cs="Times New Roman"/>
          <w:szCs w:val="22"/>
        </w:rPr>
        <w:t xml:space="preserve"> is described as having clearly defined roles, procedures and hierarchies. Employees are assigned based on their skillset, qualifications and experience and are assigned roles accordingly. Decision making is based on the established lines of communication and as employees work their way up the ladder, they take on more power and responsibility. However, without sufficient succession planning, there is no support for employees to grow. Handy (2020) affiliates this culture with Apollo as he was the patron of rules and procedure. This is most common in large organisations. </w:t>
      </w:r>
    </w:p>
    <w:p w14:paraId="538A81E5" w14:textId="77777777" w:rsidR="00353981" w:rsidRDefault="00353981" w:rsidP="00353981">
      <w:pPr>
        <w:pStyle w:val="ListParagraph"/>
        <w:numPr>
          <w:ilvl w:val="0"/>
          <w:numId w:val="4"/>
        </w:numPr>
        <w:rPr>
          <w:rFonts w:asciiTheme="minorHAnsi" w:eastAsia="Arial" w:hAnsiTheme="minorHAnsi" w:cs="Times New Roman"/>
          <w:szCs w:val="22"/>
        </w:rPr>
      </w:pPr>
      <w:r>
        <w:rPr>
          <w:rFonts w:asciiTheme="minorHAnsi" w:eastAsia="Arial" w:hAnsiTheme="minorHAnsi" w:cs="Times New Roman"/>
          <w:b/>
          <w:bCs/>
          <w:szCs w:val="22"/>
        </w:rPr>
        <w:t>Task Culture</w:t>
      </w:r>
      <w:r>
        <w:rPr>
          <w:rFonts w:asciiTheme="minorHAnsi" w:eastAsia="Arial" w:hAnsiTheme="minorHAnsi" w:cs="Times New Roman"/>
          <w:szCs w:val="22"/>
        </w:rPr>
        <w:t xml:space="preserve"> has a focus on completing specific tasks and bringing teams together with a specific skillset to complete the task assigned. Decisions are influenced by those with expert knowledge rather than authority and there is a big focus on collaboration and end results. However, one disadvantage is the risk of losing employees if not everyone within the team performs. It is affiliated with Athena as she was concerned with the “continuous and successful solution of problems” (Handy, 2020). Organisations that focus on project-based work usually follow this culture, such as advertising agencies.</w:t>
      </w:r>
    </w:p>
    <w:p w14:paraId="03A60783" w14:textId="77777777" w:rsidR="00353981" w:rsidRDefault="00353981" w:rsidP="00353981">
      <w:pPr>
        <w:pStyle w:val="ListParagraph"/>
        <w:numPr>
          <w:ilvl w:val="0"/>
          <w:numId w:val="4"/>
        </w:numPr>
        <w:rPr>
          <w:rFonts w:asciiTheme="minorHAnsi" w:eastAsia="Arial" w:hAnsiTheme="minorHAnsi" w:cs="Times New Roman"/>
          <w:szCs w:val="22"/>
        </w:rPr>
      </w:pPr>
      <w:r>
        <w:rPr>
          <w:rFonts w:asciiTheme="minorHAnsi" w:eastAsia="Arial" w:hAnsiTheme="minorHAnsi" w:cs="Times New Roman"/>
          <w:b/>
          <w:bCs/>
          <w:szCs w:val="22"/>
        </w:rPr>
        <w:t xml:space="preserve">Person culture </w:t>
      </w:r>
      <w:r>
        <w:rPr>
          <w:rFonts w:asciiTheme="minorHAnsi" w:eastAsia="Arial" w:hAnsiTheme="minorHAnsi" w:cs="Times New Roman"/>
          <w:szCs w:val="22"/>
        </w:rPr>
        <w:t xml:space="preserve">can usually be found in organisations that have little or no hierarchy such as law firms, universities and GP surgeries. Individuals operate independently of each other under a loose and informal structure. Employees prioritise their own goals and have autonomy to do so. It is associated with Dionysus as he perfectly represents the existential nature of such a culture (Handy, 2020). This level of autonomy however, if left unchecked, could lead to complacency and poor performance if not managed effectively. </w:t>
      </w:r>
    </w:p>
    <w:p w14:paraId="137ACD7D" w14:textId="77777777" w:rsidR="00353981" w:rsidRDefault="00353981" w:rsidP="00353981">
      <w:pPr>
        <w:rPr>
          <w:rFonts w:asciiTheme="minorHAnsi" w:eastAsia="Arial" w:hAnsiTheme="minorHAnsi" w:cs="Times New Roman"/>
          <w:szCs w:val="22"/>
        </w:rPr>
      </w:pPr>
    </w:p>
    <w:p w14:paraId="6929DDEB" w14:textId="77777777" w:rsidR="00353981" w:rsidRDefault="00353981" w:rsidP="00353981">
      <w:pPr>
        <w:rPr>
          <w:rFonts w:asciiTheme="minorHAnsi" w:eastAsia="Arial" w:hAnsiTheme="minorHAnsi" w:cs="Times New Roman"/>
          <w:szCs w:val="22"/>
        </w:rPr>
      </w:pPr>
      <w:r>
        <w:rPr>
          <w:rFonts w:asciiTheme="minorHAnsi" w:eastAsia="Arial" w:hAnsiTheme="minorHAnsi" w:cs="Times New Roman"/>
          <w:szCs w:val="22"/>
        </w:rPr>
        <w:t>David Rock’s SCARF is a psychological theory that helps us understand the triggers that drive our behaviour to achieve:</w:t>
      </w:r>
    </w:p>
    <w:p w14:paraId="06337257" w14:textId="77777777" w:rsidR="00353981" w:rsidRDefault="00353981" w:rsidP="00353981">
      <w:pPr>
        <w:pStyle w:val="ListParagraph"/>
        <w:numPr>
          <w:ilvl w:val="0"/>
          <w:numId w:val="4"/>
        </w:numPr>
        <w:rPr>
          <w:rFonts w:asciiTheme="minorHAnsi" w:eastAsia="Arial" w:hAnsiTheme="minorHAnsi" w:cs="Times New Roman"/>
          <w:szCs w:val="22"/>
        </w:rPr>
      </w:pPr>
      <w:r w:rsidRPr="001F1D2E">
        <w:rPr>
          <w:rFonts w:asciiTheme="minorHAnsi" w:eastAsia="Arial" w:hAnsiTheme="minorHAnsi" w:cs="Times New Roman"/>
          <w:b/>
          <w:bCs/>
          <w:szCs w:val="22"/>
        </w:rPr>
        <w:t>S</w:t>
      </w:r>
      <w:r w:rsidRPr="001F1D2E">
        <w:rPr>
          <w:rFonts w:asciiTheme="minorHAnsi" w:eastAsia="Arial" w:hAnsiTheme="minorHAnsi" w:cs="Times New Roman"/>
          <w:szCs w:val="22"/>
        </w:rPr>
        <w:t>tatus</w:t>
      </w:r>
      <w:r>
        <w:rPr>
          <w:rFonts w:asciiTheme="minorHAnsi" w:eastAsia="Arial" w:hAnsiTheme="minorHAnsi" w:cs="Times New Roman"/>
          <w:szCs w:val="22"/>
        </w:rPr>
        <w:t xml:space="preserve"> – our relative importance to others</w:t>
      </w:r>
    </w:p>
    <w:p w14:paraId="7EB631A5" w14:textId="77777777" w:rsidR="00353981" w:rsidRDefault="00353981" w:rsidP="00353981">
      <w:pPr>
        <w:pStyle w:val="ListParagraph"/>
        <w:numPr>
          <w:ilvl w:val="0"/>
          <w:numId w:val="4"/>
        </w:numPr>
        <w:rPr>
          <w:rFonts w:asciiTheme="minorHAnsi" w:eastAsia="Arial" w:hAnsiTheme="minorHAnsi" w:cs="Times New Roman"/>
          <w:szCs w:val="22"/>
        </w:rPr>
      </w:pPr>
      <w:r w:rsidRPr="001F1D2E">
        <w:rPr>
          <w:rFonts w:asciiTheme="minorHAnsi" w:eastAsia="Arial" w:hAnsiTheme="minorHAnsi" w:cs="Times New Roman"/>
          <w:b/>
          <w:bCs/>
          <w:szCs w:val="22"/>
        </w:rPr>
        <w:t>C</w:t>
      </w:r>
      <w:r w:rsidRPr="001F1D2E">
        <w:rPr>
          <w:rFonts w:asciiTheme="minorHAnsi" w:eastAsia="Arial" w:hAnsiTheme="minorHAnsi" w:cs="Times New Roman"/>
          <w:szCs w:val="22"/>
        </w:rPr>
        <w:t>ertainty</w:t>
      </w:r>
      <w:r>
        <w:rPr>
          <w:rFonts w:asciiTheme="minorHAnsi" w:eastAsia="Arial" w:hAnsiTheme="minorHAnsi" w:cs="Times New Roman"/>
          <w:szCs w:val="22"/>
        </w:rPr>
        <w:t xml:space="preserve"> – clarity and predictability </w:t>
      </w:r>
    </w:p>
    <w:p w14:paraId="2E9B7011" w14:textId="77777777" w:rsidR="00353981" w:rsidRDefault="00353981" w:rsidP="00353981">
      <w:pPr>
        <w:pStyle w:val="ListParagraph"/>
        <w:numPr>
          <w:ilvl w:val="0"/>
          <w:numId w:val="4"/>
        </w:numPr>
        <w:rPr>
          <w:rFonts w:asciiTheme="minorHAnsi" w:eastAsia="Arial" w:hAnsiTheme="minorHAnsi" w:cs="Times New Roman"/>
          <w:szCs w:val="22"/>
        </w:rPr>
      </w:pPr>
      <w:r w:rsidRPr="001F1D2E">
        <w:rPr>
          <w:rFonts w:asciiTheme="minorHAnsi" w:eastAsia="Arial" w:hAnsiTheme="minorHAnsi" w:cs="Times New Roman"/>
          <w:b/>
          <w:bCs/>
          <w:szCs w:val="22"/>
        </w:rPr>
        <w:t>A</w:t>
      </w:r>
      <w:r w:rsidRPr="001F1D2E">
        <w:rPr>
          <w:rFonts w:asciiTheme="minorHAnsi" w:eastAsia="Arial" w:hAnsiTheme="minorHAnsi" w:cs="Times New Roman"/>
          <w:szCs w:val="22"/>
        </w:rPr>
        <w:t>utonomy</w:t>
      </w:r>
      <w:r>
        <w:rPr>
          <w:rFonts w:asciiTheme="minorHAnsi" w:eastAsia="Arial" w:hAnsiTheme="minorHAnsi" w:cs="Times New Roman"/>
          <w:szCs w:val="22"/>
        </w:rPr>
        <w:t xml:space="preserve"> – control over our environment and decision</w:t>
      </w:r>
    </w:p>
    <w:p w14:paraId="1C271006" w14:textId="77777777" w:rsidR="00353981" w:rsidRDefault="00353981" w:rsidP="00353981">
      <w:pPr>
        <w:pStyle w:val="ListParagraph"/>
        <w:numPr>
          <w:ilvl w:val="0"/>
          <w:numId w:val="4"/>
        </w:numPr>
        <w:rPr>
          <w:rFonts w:asciiTheme="minorHAnsi" w:eastAsia="Arial" w:hAnsiTheme="minorHAnsi" w:cs="Times New Roman"/>
          <w:szCs w:val="22"/>
        </w:rPr>
      </w:pPr>
      <w:r w:rsidRPr="001F1D2E">
        <w:rPr>
          <w:rFonts w:asciiTheme="minorHAnsi" w:eastAsia="Arial" w:hAnsiTheme="minorHAnsi" w:cs="Times New Roman"/>
          <w:b/>
          <w:bCs/>
          <w:szCs w:val="22"/>
        </w:rPr>
        <w:t>R</w:t>
      </w:r>
      <w:r w:rsidRPr="001F1D2E">
        <w:rPr>
          <w:rFonts w:asciiTheme="minorHAnsi" w:eastAsia="Arial" w:hAnsiTheme="minorHAnsi" w:cs="Times New Roman"/>
          <w:szCs w:val="22"/>
        </w:rPr>
        <w:t xml:space="preserve">elatedness </w:t>
      </w:r>
      <w:r>
        <w:rPr>
          <w:rFonts w:asciiTheme="minorHAnsi" w:eastAsia="Arial" w:hAnsiTheme="minorHAnsi" w:cs="Times New Roman"/>
          <w:szCs w:val="22"/>
        </w:rPr>
        <w:t>– our connection and belonging among others</w:t>
      </w:r>
    </w:p>
    <w:p w14:paraId="219E7379" w14:textId="77777777" w:rsidR="00353981" w:rsidRDefault="00353981" w:rsidP="00353981">
      <w:pPr>
        <w:pStyle w:val="ListParagraph"/>
        <w:numPr>
          <w:ilvl w:val="0"/>
          <w:numId w:val="4"/>
        </w:numPr>
        <w:rPr>
          <w:rFonts w:asciiTheme="minorHAnsi" w:eastAsia="Arial" w:hAnsiTheme="minorHAnsi" w:cs="Times New Roman"/>
          <w:szCs w:val="22"/>
        </w:rPr>
      </w:pPr>
      <w:r w:rsidRPr="001F1D2E">
        <w:rPr>
          <w:rFonts w:asciiTheme="minorHAnsi" w:eastAsia="Arial" w:hAnsiTheme="minorHAnsi" w:cs="Times New Roman"/>
          <w:b/>
          <w:bCs/>
          <w:szCs w:val="22"/>
        </w:rPr>
        <w:t>F</w:t>
      </w:r>
      <w:r w:rsidRPr="001F1D2E">
        <w:rPr>
          <w:rFonts w:asciiTheme="minorHAnsi" w:eastAsia="Arial" w:hAnsiTheme="minorHAnsi" w:cs="Times New Roman"/>
          <w:szCs w:val="22"/>
        </w:rPr>
        <w:t>airness</w:t>
      </w:r>
      <w:r>
        <w:rPr>
          <w:rFonts w:asciiTheme="minorHAnsi" w:eastAsia="Arial" w:hAnsiTheme="minorHAnsi" w:cs="Times New Roman"/>
          <w:szCs w:val="22"/>
        </w:rPr>
        <w:t xml:space="preserve"> – equality among all parties</w:t>
      </w:r>
      <w:r w:rsidRPr="001F1D2E">
        <w:rPr>
          <w:rFonts w:asciiTheme="minorHAnsi" w:eastAsia="Arial" w:hAnsiTheme="minorHAnsi" w:cs="Times New Roman"/>
          <w:szCs w:val="22"/>
        </w:rPr>
        <w:t xml:space="preserve"> (BiteSize Learning, 2025). </w:t>
      </w:r>
    </w:p>
    <w:p w14:paraId="56C0B2C3" w14:textId="77777777" w:rsidR="00353981" w:rsidRPr="001F1D2E" w:rsidRDefault="00353981" w:rsidP="00353981">
      <w:pPr>
        <w:rPr>
          <w:rFonts w:asciiTheme="minorHAnsi" w:eastAsia="Arial" w:hAnsiTheme="minorHAnsi" w:cs="Times New Roman"/>
          <w:szCs w:val="22"/>
        </w:rPr>
      </w:pPr>
      <w:r w:rsidRPr="001F1D2E">
        <w:rPr>
          <w:rFonts w:asciiTheme="minorHAnsi" w:eastAsia="Arial" w:hAnsiTheme="minorHAnsi" w:cs="Times New Roman"/>
          <w:szCs w:val="22"/>
        </w:rPr>
        <w:t>When we have opportunity to increase the amount of these we hold, we may find it rewarding, however, challenges to these areas may also push us to withdraw or feel threatened. There are many ways in which these areas may be affected both positively and negatively and these are summed in the following graphic.</w:t>
      </w:r>
    </w:p>
    <w:p w14:paraId="3996B975" w14:textId="77777777" w:rsidR="00353981" w:rsidRDefault="00353981" w:rsidP="00353981">
      <w:pPr>
        <w:rPr>
          <w:rFonts w:asciiTheme="minorHAnsi" w:eastAsia="Arial" w:hAnsiTheme="minorHAnsi" w:cs="Times New Roman"/>
          <w:szCs w:val="22"/>
        </w:rPr>
      </w:pPr>
      <w:r>
        <w:rPr>
          <w:rFonts w:asciiTheme="minorHAnsi" w:eastAsia="Arial" w:hAnsiTheme="minorHAnsi" w:cs="Times New Roman"/>
          <w:noProof/>
          <w:szCs w:val="22"/>
          <w14:ligatures w14:val="standardContextual"/>
        </w:rPr>
        <w:lastRenderedPageBreak/>
        <w:drawing>
          <wp:inline distT="0" distB="0" distL="0" distR="0" wp14:anchorId="307441BD" wp14:editId="770AAE39">
            <wp:extent cx="3419475" cy="1913558"/>
            <wp:effectExtent l="0" t="0" r="0" b="0"/>
            <wp:docPr id="1423319096" name="Picture 1"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9096" name="Picture 1" descr="A screen shot of a websit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52080" cy="1931804"/>
                    </a:xfrm>
                    <a:prstGeom prst="rect">
                      <a:avLst/>
                    </a:prstGeom>
                  </pic:spPr>
                </pic:pic>
              </a:graphicData>
            </a:graphic>
          </wp:inline>
        </w:drawing>
      </w:r>
    </w:p>
    <w:p w14:paraId="66559671" w14:textId="77777777" w:rsidR="00353981" w:rsidRDefault="00353981" w:rsidP="00353981">
      <w:pPr>
        <w:contextualSpacing/>
        <w:rPr>
          <w:rFonts w:asciiTheme="minorHAnsi" w:eastAsia="Arial" w:hAnsiTheme="minorHAnsi" w:cs="Times New Roman"/>
          <w:i/>
          <w:iCs/>
          <w:szCs w:val="22"/>
        </w:rPr>
      </w:pPr>
      <w:r>
        <w:rPr>
          <w:rFonts w:asciiTheme="minorHAnsi" w:eastAsia="Arial" w:hAnsiTheme="minorHAnsi" w:cs="Times New Roman"/>
          <w:i/>
          <w:iCs/>
          <w:szCs w:val="22"/>
        </w:rPr>
        <w:t xml:space="preserve">Figure 1. The SCARF model (BiteSize Learning, 2025). </w:t>
      </w:r>
    </w:p>
    <w:p w14:paraId="7C795E30" w14:textId="77777777" w:rsidR="00353981" w:rsidRPr="00A378A8" w:rsidRDefault="00353981" w:rsidP="00353981">
      <w:pPr>
        <w:contextualSpacing/>
        <w:rPr>
          <w:rFonts w:asciiTheme="minorHAnsi" w:eastAsia="Arial" w:hAnsiTheme="minorHAnsi" w:cs="Times New Roman"/>
          <w:i/>
          <w:iCs/>
          <w:szCs w:val="22"/>
        </w:rPr>
      </w:pPr>
      <w:r>
        <w:rPr>
          <w:rFonts w:asciiTheme="minorHAnsi" w:eastAsia="Arial" w:hAnsiTheme="minorHAnsi" w:cs="Times New Roman"/>
          <w:szCs w:val="22"/>
        </w:rPr>
        <w:t xml:space="preserve">There are stimuli that may affect the different aspects of SCARF, both in the positive and negative. By having an awareness of these, we can control the ways in which we react whilst protecting our psychological safety. We need to be proactive when facing these stimuli as opposed to waiting for things to go wrong and simply following instructions. If we have that psychological safety in place, we can feel more confident to take risks. </w:t>
      </w:r>
    </w:p>
    <w:p w14:paraId="571F6247" w14:textId="77777777" w:rsidR="00353981" w:rsidRPr="00810E04" w:rsidRDefault="00353981" w:rsidP="00353981">
      <w:pPr>
        <w:rPr>
          <w:rFonts w:asciiTheme="minorHAnsi" w:eastAsia="Arial" w:hAnsiTheme="minorHAnsi" w:cs="Times New Roman"/>
          <w:i/>
          <w:iCs/>
          <w:szCs w:val="22"/>
        </w:rPr>
      </w:pPr>
    </w:p>
    <w:p w14:paraId="6A0A2DF5" w14:textId="77777777" w:rsidR="00353981" w:rsidRDefault="00353981" w:rsidP="00353981">
      <w:pPr>
        <w:contextualSpacing/>
        <w:rPr>
          <w:rFonts w:asciiTheme="minorHAnsi" w:eastAsia="Arial" w:hAnsiTheme="minorHAnsi" w:cs="Times New Roman"/>
          <w:b/>
          <w:bCs/>
          <w:i/>
          <w:iCs/>
          <w:szCs w:val="22"/>
        </w:rPr>
      </w:pPr>
      <w:r w:rsidRPr="00810E04">
        <w:rPr>
          <w:rFonts w:asciiTheme="minorHAnsi" w:eastAsia="Arial" w:hAnsiTheme="minorHAnsi" w:cs="Times New Roman"/>
          <w:b/>
          <w:bCs/>
          <w:i/>
          <w:iCs/>
          <w:szCs w:val="22"/>
        </w:rPr>
        <w:t>AC 2.2</w:t>
      </w:r>
    </w:p>
    <w:p w14:paraId="23920CFD"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As an organisation we have three main culture areas: Purpose, Learning &amp; Results. Therefore, the consistent development of our staff is highly encouraged. </w:t>
      </w:r>
    </w:p>
    <w:p w14:paraId="3508F87D" w14:textId="77777777" w:rsidR="00353981" w:rsidRDefault="00353981" w:rsidP="00353981">
      <w:pPr>
        <w:contextualSpacing/>
        <w:rPr>
          <w:rFonts w:asciiTheme="minorHAnsi" w:eastAsia="Arial" w:hAnsiTheme="minorHAnsi" w:cs="Times New Roman"/>
          <w:szCs w:val="22"/>
        </w:rPr>
      </w:pPr>
      <w:r>
        <w:rPr>
          <w:noProof/>
        </w:rPr>
        <w:drawing>
          <wp:inline distT="0" distB="0" distL="0" distR="0" wp14:anchorId="6FCAB43E" wp14:editId="4E71B252">
            <wp:extent cx="4338638" cy="1673255"/>
            <wp:effectExtent l="0" t="0" r="5080" b="3175"/>
            <wp:docPr id="18800443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44359"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38638" cy="1673255"/>
                    </a:xfrm>
                    <a:prstGeom prst="rect">
                      <a:avLst/>
                    </a:prstGeom>
                    <a:noFill/>
                    <a:ln>
                      <a:noFill/>
                    </a:ln>
                  </pic:spPr>
                </pic:pic>
              </a:graphicData>
            </a:graphic>
          </wp:inline>
        </w:drawing>
      </w:r>
    </w:p>
    <w:p w14:paraId="34319E31"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Figure 2. </w:t>
      </w:r>
      <w:r>
        <w:rPr>
          <w:rFonts w:asciiTheme="minorHAnsi" w:eastAsia="Arial" w:hAnsiTheme="minorHAnsi" w:cs="Times New Roman"/>
          <w:i/>
          <w:iCs/>
          <w:szCs w:val="22"/>
        </w:rPr>
        <w:t>Culture Standards</w:t>
      </w:r>
      <w:r>
        <w:rPr>
          <w:rFonts w:asciiTheme="minorHAnsi" w:eastAsia="Arial" w:hAnsiTheme="minorHAnsi" w:cs="Times New Roman"/>
          <w:szCs w:val="22"/>
        </w:rPr>
        <w:t xml:space="preserve"> (Pembrokeshire County Council, 2019) </w:t>
      </w:r>
    </w:p>
    <w:p w14:paraId="6E8E7BEA" w14:textId="77777777" w:rsidR="00353981" w:rsidRDefault="00353981" w:rsidP="00353981">
      <w:pPr>
        <w:contextualSpacing/>
        <w:rPr>
          <w:rFonts w:asciiTheme="minorHAnsi" w:eastAsia="Arial" w:hAnsiTheme="minorHAnsi" w:cs="Times New Roman"/>
          <w:szCs w:val="22"/>
        </w:rPr>
      </w:pPr>
    </w:p>
    <w:p w14:paraId="6B34B019"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As a Learning &amp; Development professional, we are at the forefront of both implementing this culture and encouraging its message throughout the organisation. Paine (2021) states that the culture of learning “bridges the gap” between what an organisation needs to become more productive and what the L&amp;D function was able to deliver. By encouraging development both through the internal programmes and in their own time, we as an organisation are fostering skills that are multi disciplined. </w:t>
      </w:r>
    </w:p>
    <w:p w14:paraId="5F54A518"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For example, as part of our management development framework, we conduct a DiSC Assessment on each of the delegates attending. Wiley (2023) claims that it helps to ‘build better relationships &amp; inspire great managers’ though the awareness of ones DiSC profile. We have found that because the organisation supports the development of the individual, not only do they achieve this but also encourage it of others. By sharing the experience with their wider teams, the culture has grown exponentially, and we are finding more people interested in the linked courses of managing behaviour and working collaboratively. We have also noticed that there is greater consistency in attendance figures. </w:t>
      </w:r>
    </w:p>
    <w:p w14:paraId="4D4E66DB" w14:textId="77777777" w:rsidR="00353981" w:rsidRDefault="00353981" w:rsidP="00353981">
      <w:pPr>
        <w:contextualSpacing/>
        <w:rPr>
          <w:rFonts w:asciiTheme="minorHAnsi" w:eastAsia="Arial" w:hAnsiTheme="minorHAnsi" w:cs="Times New Roman"/>
          <w:szCs w:val="22"/>
        </w:rPr>
      </w:pPr>
    </w:p>
    <w:p w14:paraId="53CCB0EE"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lastRenderedPageBreak/>
        <w:t>Overall, by having a foundational focus on learning within our culture, we are encouraging employees to seek out opportunities to develop. The impact of this is meaning that teams are working together with better cohesion. Most recently this has been supported by the inclusion of CPD accreditation on some internal programmes, so the reward factor is also seeing a rise in growth mindset when it comes to training, learning and development.</w:t>
      </w:r>
    </w:p>
    <w:p w14:paraId="6EAC7E56" w14:textId="77777777" w:rsidR="00353981" w:rsidRDefault="00353981" w:rsidP="00353981">
      <w:pPr>
        <w:contextualSpacing/>
        <w:rPr>
          <w:rFonts w:asciiTheme="minorHAnsi" w:eastAsia="Arial" w:hAnsiTheme="minorHAnsi" w:cs="Times New Roman"/>
          <w:szCs w:val="22"/>
        </w:rPr>
      </w:pPr>
    </w:p>
    <w:p w14:paraId="6A77AE50" w14:textId="77777777" w:rsidR="00353981" w:rsidRDefault="00353981" w:rsidP="00353981">
      <w:pPr>
        <w:contextualSpacing/>
        <w:rPr>
          <w:rFonts w:asciiTheme="minorHAnsi" w:eastAsia="Arial" w:hAnsiTheme="minorHAnsi" w:cs="Times New Roman"/>
          <w:b/>
          <w:bCs/>
          <w:i/>
          <w:iCs/>
          <w:szCs w:val="22"/>
        </w:rPr>
      </w:pPr>
      <w:r>
        <w:rPr>
          <w:rFonts w:asciiTheme="minorHAnsi" w:eastAsia="Arial" w:hAnsiTheme="minorHAnsi" w:cs="Times New Roman"/>
          <w:b/>
          <w:bCs/>
          <w:i/>
          <w:iCs/>
          <w:szCs w:val="22"/>
        </w:rPr>
        <w:t>AC 2.3</w:t>
      </w:r>
    </w:p>
    <w:p w14:paraId="0C6723AF"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There are many ways in which we as people practitioners can help in facilitating change, and similarly, numerous models which can assist us in doing so. One such model is Kotter’s 8 step change model: </w:t>
      </w:r>
    </w:p>
    <w:p w14:paraId="6BD0A446" w14:textId="77777777" w:rsidR="00353981" w:rsidRDefault="00353981" w:rsidP="00353981">
      <w:pPr>
        <w:contextualSpacing/>
        <w:rPr>
          <w:rFonts w:asciiTheme="minorHAnsi" w:eastAsia="Arial" w:hAnsiTheme="minorHAnsi" w:cs="Times New Roman"/>
          <w:szCs w:val="22"/>
        </w:rPr>
      </w:pPr>
    </w:p>
    <w:p w14:paraId="3E3AF802"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1 –</w:t>
      </w:r>
      <w:r>
        <w:rPr>
          <w:rFonts w:asciiTheme="minorHAnsi" w:eastAsia="Arial" w:hAnsiTheme="minorHAnsi" w:cs="Times New Roman"/>
          <w:szCs w:val="22"/>
        </w:rPr>
        <w:t xml:space="preserve"> establishing a sense of urgency</w:t>
      </w:r>
    </w:p>
    <w:p w14:paraId="774931D3"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2 –</w:t>
      </w:r>
      <w:r>
        <w:rPr>
          <w:rFonts w:asciiTheme="minorHAnsi" w:eastAsia="Arial" w:hAnsiTheme="minorHAnsi" w:cs="Times New Roman"/>
          <w:szCs w:val="22"/>
        </w:rPr>
        <w:t xml:space="preserve"> build a guiding coalition</w:t>
      </w:r>
    </w:p>
    <w:p w14:paraId="4E096855"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3 –</w:t>
      </w:r>
      <w:r>
        <w:rPr>
          <w:rFonts w:asciiTheme="minorHAnsi" w:eastAsia="Arial" w:hAnsiTheme="minorHAnsi" w:cs="Times New Roman"/>
          <w:szCs w:val="22"/>
        </w:rPr>
        <w:t xml:space="preserve"> form a strategic vision</w:t>
      </w:r>
    </w:p>
    <w:p w14:paraId="59F4684F"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4 –</w:t>
      </w:r>
      <w:r>
        <w:rPr>
          <w:rFonts w:asciiTheme="minorHAnsi" w:eastAsia="Arial" w:hAnsiTheme="minorHAnsi" w:cs="Times New Roman"/>
          <w:szCs w:val="22"/>
        </w:rPr>
        <w:t xml:space="preserve"> Enlist a volunteer army</w:t>
      </w:r>
    </w:p>
    <w:p w14:paraId="105279F7"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5 –</w:t>
      </w:r>
      <w:r>
        <w:rPr>
          <w:rFonts w:asciiTheme="minorHAnsi" w:eastAsia="Arial" w:hAnsiTheme="minorHAnsi" w:cs="Times New Roman"/>
          <w:szCs w:val="22"/>
        </w:rPr>
        <w:t xml:space="preserve"> Enable action by removing barriers</w:t>
      </w:r>
    </w:p>
    <w:p w14:paraId="471DB559"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6 –</w:t>
      </w:r>
      <w:r>
        <w:rPr>
          <w:rFonts w:asciiTheme="minorHAnsi" w:eastAsia="Arial" w:hAnsiTheme="minorHAnsi" w:cs="Times New Roman"/>
          <w:szCs w:val="22"/>
        </w:rPr>
        <w:t xml:space="preserve"> generate short term wins</w:t>
      </w:r>
    </w:p>
    <w:p w14:paraId="59C2EF26"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7 –</w:t>
      </w:r>
      <w:r>
        <w:rPr>
          <w:rFonts w:asciiTheme="minorHAnsi" w:eastAsia="Arial" w:hAnsiTheme="minorHAnsi" w:cs="Times New Roman"/>
          <w:szCs w:val="22"/>
        </w:rPr>
        <w:t xml:space="preserve"> sustain acceleration</w:t>
      </w:r>
    </w:p>
    <w:p w14:paraId="265D5A26" w14:textId="77777777" w:rsidR="00353981" w:rsidRDefault="00353981" w:rsidP="00353981">
      <w:pPr>
        <w:contextualSpacing/>
        <w:rPr>
          <w:rFonts w:asciiTheme="minorHAnsi" w:eastAsia="Arial" w:hAnsiTheme="minorHAnsi" w:cs="Times New Roman"/>
          <w:szCs w:val="22"/>
        </w:rPr>
      </w:pPr>
      <w:r w:rsidRPr="00D258B9">
        <w:rPr>
          <w:rFonts w:asciiTheme="minorHAnsi" w:eastAsia="Arial" w:hAnsiTheme="minorHAnsi" w:cs="Times New Roman"/>
          <w:b/>
          <w:bCs/>
          <w:szCs w:val="22"/>
        </w:rPr>
        <w:t>8 –</w:t>
      </w:r>
      <w:r>
        <w:rPr>
          <w:rFonts w:asciiTheme="minorHAnsi" w:eastAsia="Arial" w:hAnsiTheme="minorHAnsi" w:cs="Times New Roman"/>
          <w:szCs w:val="22"/>
        </w:rPr>
        <w:t xml:space="preserve"> institute change (Kotter, 2025)</w:t>
      </w:r>
    </w:p>
    <w:p w14:paraId="6658395F" w14:textId="77777777" w:rsidR="00353981" w:rsidRDefault="00353981" w:rsidP="00353981">
      <w:pPr>
        <w:contextualSpacing/>
        <w:rPr>
          <w:rFonts w:asciiTheme="minorHAnsi" w:eastAsia="Arial" w:hAnsiTheme="minorHAnsi" w:cs="Times New Roman"/>
          <w:szCs w:val="22"/>
        </w:rPr>
      </w:pPr>
    </w:p>
    <w:p w14:paraId="619DDBFC"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With reference to the scenario of bringing employees back to the office for at least two days a week, Kotter’s model can be applied in the following ways. </w:t>
      </w:r>
    </w:p>
    <w:p w14:paraId="000D30A9"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Kotter (2012) talks about a lack of urgency being aligned with complacency, in this scenario the employees may be comfortable in their surroundings at home and not want to return to office. But to establish change, according to the first step, we need to create a sense of urgency. This could simply be adding a time constraint or deadline for the action to happen.</w:t>
      </w:r>
    </w:p>
    <w:p w14:paraId="15107C45" w14:textId="77777777" w:rsidR="00353981" w:rsidRDefault="00353981" w:rsidP="00353981">
      <w:pPr>
        <w:contextualSpacing/>
        <w:rPr>
          <w:rFonts w:asciiTheme="minorHAnsi" w:eastAsia="Arial" w:hAnsiTheme="minorHAnsi" w:cs="Times New Roman"/>
          <w:szCs w:val="22"/>
        </w:rPr>
      </w:pPr>
    </w:p>
    <w:p w14:paraId="347C1160"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The coalition, different to the volunteer army in the way that the coalition are the team forming the plan and the army are the ones delivering the change. People practitioners may sit on either bench as we can have a hand in drafting the plan but also in delivering the communication for change. A coalition needs “committed people, born of its own ranks” (Kotter, 2025) so that the next step of a strategic vision is drawn up with a clear vision on how the future will be different and benefit from this change but also that everyone is represented fairly. </w:t>
      </w:r>
    </w:p>
    <w:p w14:paraId="16B35AC0"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Following this, the army, usually made up of managers from across the organisation (alongside HR), will communicate this change. Importantly, they must also want to enact change and present a unified front in the pursuit of a common goal.</w:t>
      </w:r>
    </w:p>
    <w:p w14:paraId="79AD34F7" w14:textId="77777777" w:rsidR="00353981" w:rsidRDefault="00353981" w:rsidP="00353981">
      <w:pPr>
        <w:contextualSpacing/>
        <w:rPr>
          <w:rFonts w:asciiTheme="minorHAnsi" w:eastAsia="Arial" w:hAnsiTheme="minorHAnsi" w:cs="Times New Roman"/>
          <w:szCs w:val="22"/>
        </w:rPr>
      </w:pPr>
    </w:p>
    <w:p w14:paraId="04D5D0EF"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To remove barriers, the organisation must clear the way for people to adjust to this change. This must be done promptly and continuously so as not to halt the acceleration of change. In this scenario, this may introduce flexible working arrangements regarding working hours or the days in which employees are required in person. Rather than being fixed, the freedom involves the full employee population and would encourage a positive attitude to this new change. This would also lead to generating short-term wins as more face-to-face contact may generate better working relationships. This should be recognised and communicated back often to “energise the volunteer army to persist” (Kotter, 2025) </w:t>
      </w:r>
    </w:p>
    <w:p w14:paraId="19BD1534" w14:textId="77777777" w:rsidR="00353981" w:rsidRDefault="00353981" w:rsidP="00353981">
      <w:pPr>
        <w:contextualSpacing/>
        <w:rPr>
          <w:rFonts w:asciiTheme="minorHAnsi" w:eastAsia="Arial" w:hAnsiTheme="minorHAnsi" w:cs="Times New Roman"/>
          <w:szCs w:val="22"/>
        </w:rPr>
      </w:pPr>
    </w:p>
    <w:p w14:paraId="05E31E19"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Once we have this, we can continue to accelerate the success of the change while also appraising what has worked well and what needs to adjust to continue to institute change. </w:t>
      </w:r>
      <w:r>
        <w:rPr>
          <w:rFonts w:asciiTheme="minorHAnsi" w:eastAsia="Arial" w:hAnsiTheme="minorHAnsi" w:cs="Times New Roman"/>
          <w:szCs w:val="22"/>
        </w:rPr>
        <w:lastRenderedPageBreak/>
        <w:t>Leaders must then communicate this success and reinforce that the change is “permanent and here to stay” (Rose, 1999)</w:t>
      </w:r>
    </w:p>
    <w:p w14:paraId="75064D04" w14:textId="77777777" w:rsidR="00353981" w:rsidRPr="00B871E8"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The advantages of this model mean that it is an easy step-by-step model with a clear linear path. However, each step must be followed, in order, or organisations risk the failure in implementing their change. It may be time consuming to be so detailed and special consideration must be made in that everyone is represented in the coalition so as not to discourage participation. </w:t>
      </w:r>
    </w:p>
    <w:p w14:paraId="0DC58B8A" w14:textId="77777777" w:rsidR="00353981" w:rsidRDefault="00353981" w:rsidP="00353981">
      <w:pPr>
        <w:contextualSpacing/>
        <w:rPr>
          <w:rFonts w:asciiTheme="minorHAnsi" w:eastAsia="Arial" w:hAnsiTheme="minorHAnsi" w:cs="Times New Roman"/>
          <w:szCs w:val="22"/>
        </w:rPr>
      </w:pPr>
    </w:p>
    <w:p w14:paraId="6E86F4FD" w14:textId="77777777" w:rsidR="00353981" w:rsidRDefault="00353981" w:rsidP="00353981">
      <w:pPr>
        <w:contextualSpacing/>
        <w:rPr>
          <w:rFonts w:asciiTheme="minorHAnsi" w:eastAsia="Arial" w:hAnsiTheme="minorHAnsi" w:cs="Times New Roman"/>
          <w:b/>
          <w:bCs/>
          <w:i/>
          <w:iCs/>
          <w:szCs w:val="22"/>
        </w:rPr>
      </w:pPr>
      <w:r>
        <w:rPr>
          <w:rFonts w:asciiTheme="minorHAnsi" w:eastAsia="Arial" w:hAnsiTheme="minorHAnsi" w:cs="Times New Roman"/>
          <w:b/>
          <w:bCs/>
          <w:i/>
          <w:iCs/>
          <w:szCs w:val="22"/>
        </w:rPr>
        <w:t>A</w:t>
      </w:r>
      <w:r w:rsidRPr="008838ED">
        <w:rPr>
          <w:rFonts w:asciiTheme="minorHAnsi" w:eastAsia="Arial" w:hAnsiTheme="minorHAnsi" w:cs="Times New Roman"/>
          <w:b/>
          <w:bCs/>
          <w:i/>
          <w:iCs/>
          <w:szCs w:val="22"/>
        </w:rPr>
        <w:t>C</w:t>
      </w:r>
      <w:r>
        <w:rPr>
          <w:rFonts w:asciiTheme="minorHAnsi" w:eastAsia="Arial" w:hAnsiTheme="minorHAnsi" w:cs="Times New Roman"/>
          <w:b/>
          <w:bCs/>
          <w:i/>
          <w:iCs/>
          <w:szCs w:val="22"/>
        </w:rPr>
        <w:t xml:space="preserve"> </w:t>
      </w:r>
      <w:r w:rsidRPr="008838ED">
        <w:rPr>
          <w:rFonts w:asciiTheme="minorHAnsi" w:eastAsia="Arial" w:hAnsiTheme="minorHAnsi" w:cs="Times New Roman"/>
          <w:b/>
          <w:bCs/>
          <w:i/>
          <w:iCs/>
          <w:szCs w:val="22"/>
        </w:rPr>
        <w:t>2.4</w:t>
      </w:r>
    </w:p>
    <w:p w14:paraId="4A716F2B" w14:textId="77777777" w:rsidR="00353981" w:rsidRDefault="00353981" w:rsidP="00353981">
      <w:pPr>
        <w:spacing w:after="160"/>
        <w:rPr>
          <w:rFonts w:asciiTheme="minorHAnsi" w:eastAsia="Arial" w:hAnsiTheme="minorHAnsi" w:cs="Times New Roman"/>
          <w:szCs w:val="22"/>
        </w:rPr>
      </w:pPr>
      <w:r>
        <w:rPr>
          <w:rFonts w:asciiTheme="minorHAnsi" w:eastAsia="Arial" w:hAnsiTheme="minorHAnsi" w:cs="Times New Roman"/>
          <w:szCs w:val="22"/>
        </w:rPr>
        <w:t>D</w:t>
      </w:r>
      <w:r w:rsidRPr="00B05C51">
        <w:rPr>
          <w:rFonts w:asciiTheme="minorHAnsi" w:eastAsia="Arial" w:hAnsiTheme="minorHAnsi" w:cs="Times New Roman"/>
          <w:szCs w:val="22"/>
        </w:rPr>
        <w:t>eveloped by Elisabeth Kubler-Ross</w:t>
      </w:r>
      <w:r>
        <w:rPr>
          <w:rFonts w:asciiTheme="minorHAnsi" w:eastAsia="Arial" w:hAnsiTheme="minorHAnsi" w:cs="Times New Roman"/>
          <w:szCs w:val="22"/>
        </w:rPr>
        <w:t xml:space="preserve"> in the 1960’s, the change curve gives visual representation to the process of experiencing change. Split into three stages, it describes the emotions that someone may experience when change occurs. Based on responses to grief, the stages have evolved some over time but are typically consistent in their description (Roberts and Tracey, 2024). </w:t>
      </w:r>
    </w:p>
    <w:p w14:paraId="7CC295C4" w14:textId="77777777" w:rsidR="00353981" w:rsidRDefault="00353981" w:rsidP="00353981">
      <w:pPr>
        <w:spacing w:after="160"/>
        <w:rPr>
          <w:rFonts w:asciiTheme="minorHAnsi" w:eastAsia="Arial" w:hAnsiTheme="minorHAnsi" w:cs="Times New Roman"/>
          <w:szCs w:val="22"/>
        </w:rPr>
      </w:pPr>
      <w:r w:rsidRPr="0075052E">
        <w:rPr>
          <w:rFonts w:asciiTheme="minorHAnsi" w:eastAsia="Arial" w:hAnsiTheme="minorHAnsi" w:cs="Times New Roman"/>
          <w:b/>
          <w:bCs/>
          <w:szCs w:val="22"/>
        </w:rPr>
        <w:t>Stage one – Shock and Denial.</w:t>
      </w:r>
      <w:r>
        <w:rPr>
          <w:rFonts w:asciiTheme="minorHAnsi" w:eastAsia="Arial" w:hAnsiTheme="minorHAnsi" w:cs="Times New Roman"/>
          <w:szCs w:val="22"/>
        </w:rPr>
        <w:t xml:space="preserve"> Typically, the initial response to change is shock, and while this is temporary and sometimes short lived, it can result in a slowing down and loss of productivity. This can be brought on due to lack of information, fear of the unknown or looking stupid and can then lead to a stage of denial (Exeter University, 2010). Whilst in denial, individuals may look to the past and ask why there is need for change as they find comfort in the status quo. Additionally, individuals who have not experienced change before may feel the effects of these emotions slightly more than others. At this point communicating the details of change and its benefits, whilst giving reassurance, is paramount. </w:t>
      </w:r>
    </w:p>
    <w:p w14:paraId="4FF8758A" w14:textId="77777777" w:rsidR="00353981" w:rsidRDefault="00353981" w:rsidP="00353981">
      <w:pPr>
        <w:spacing w:after="160"/>
        <w:rPr>
          <w:rFonts w:asciiTheme="minorHAnsi" w:eastAsia="Arial" w:hAnsiTheme="minorHAnsi" w:cs="Times New Roman"/>
          <w:szCs w:val="22"/>
        </w:rPr>
      </w:pPr>
      <w:r w:rsidRPr="0075052E">
        <w:rPr>
          <w:rFonts w:asciiTheme="minorHAnsi" w:eastAsia="Arial" w:hAnsiTheme="minorHAnsi" w:cs="Times New Roman"/>
          <w:b/>
          <w:bCs/>
          <w:szCs w:val="22"/>
        </w:rPr>
        <w:t xml:space="preserve">Stage two – Anger and Depression. </w:t>
      </w:r>
      <w:r>
        <w:rPr>
          <w:rFonts w:asciiTheme="minorHAnsi" w:eastAsia="Arial" w:hAnsiTheme="minorHAnsi" w:cs="Times New Roman"/>
          <w:szCs w:val="22"/>
        </w:rPr>
        <w:t>Following Denial, anger usually follows and may be directed at the organisation, a group of people or indeed an individual. By focusing attention on one or more of these, blame is placed outwardly and feelings associated with denial may continue alongside suspicion and frustration. Depression, the lowest point of the curve, brings with it a low level of morale and an increase in apathy and isolation. It is also interesting to note at this point, that individuals may enter the curve at any point, not just the start. Some individuals, for example, may enter the curve immediately at anger (Roberts and Tracey, 2024).</w:t>
      </w:r>
    </w:p>
    <w:p w14:paraId="09C21A5C" w14:textId="77777777" w:rsidR="00353981" w:rsidRDefault="00353981" w:rsidP="00353981">
      <w:pPr>
        <w:spacing w:after="160"/>
        <w:rPr>
          <w:rFonts w:asciiTheme="minorHAnsi" w:eastAsia="Arial" w:hAnsiTheme="minorHAnsi" w:cs="Times New Roman"/>
          <w:szCs w:val="22"/>
        </w:rPr>
      </w:pPr>
      <w:r w:rsidRPr="00AA317B">
        <w:rPr>
          <w:rFonts w:asciiTheme="minorHAnsi" w:eastAsia="Arial" w:hAnsiTheme="minorHAnsi" w:cs="Times New Roman"/>
          <w:b/>
          <w:bCs/>
          <w:szCs w:val="22"/>
        </w:rPr>
        <w:t xml:space="preserve">Stage three – Acceptance and Integration. </w:t>
      </w:r>
      <w:r>
        <w:rPr>
          <w:rFonts w:asciiTheme="minorHAnsi" w:eastAsia="Arial" w:hAnsiTheme="minorHAnsi" w:cs="Times New Roman"/>
          <w:szCs w:val="22"/>
        </w:rPr>
        <w:t xml:space="preserve">At this point we begin to arc upwards within the curve. Individuals may now come to terms with the change at hand and they may begin to test out what it means for them going forward. This then leads to integration when individuals “assimilate the change and adjust to new ways of working” (Roberts and Tracey, 2024). It is also important to note that as well as entering the curve from differing points, individuals will experience them at different paces. While some may spend more time in stages one and two, an individual who is accustomed to change may move to stage three much quicker than others. </w:t>
      </w:r>
    </w:p>
    <w:p w14:paraId="7679EC1F" w14:textId="77777777" w:rsidR="00353981" w:rsidRDefault="00353981" w:rsidP="00353981">
      <w:pPr>
        <w:spacing w:after="160"/>
        <w:rPr>
          <w:rFonts w:asciiTheme="minorHAnsi" w:eastAsia="Arial" w:hAnsiTheme="minorHAnsi" w:cs="Times New Roman"/>
          <w:szCs w:val="22"/>
        </w:rPr>
      </w:pPr>
      <w:r>
        <w:rPr>
          <w:rFonts w:asciiTheme="minorHAnsi" w:eastAsia="Arial" w:hAnsiTheme="minorHAnsi" w:cs="Times New Roman"/>
          <w:szCs w:val="22"/>
        </w:rPr>
        <w:t xml:space="preserve">Knowing where an individual sits on the curve will help when deciding how to communicate information going forward and what level of support is needed. While this model is not used to implement change, it can be a useful tool to assist people practitioners in managing employees expectations of and reactions to change (Roberts and Tracey, 2024). </w:t>
      </w:r>
    </w:p>
    <w:p w14:paraId="3E646403" w14:textId="77777777" w:rsidR="00353981" w:rsidRPr="00C33F4F" w:rsidRDefault="00353981" w:rsidP="00353981">
      <w:pPr>
        <w:contextualSpacing/>
        <w:rPr>
          <w:rFonts w:asciiTheme="minorHAnsi" w:eastAsia="Arial" w:hAnsiTheme="minorHAnsi" w:cs="Times New Roman"/>
          <w:b/>
          <w:bCs/>
          <w:i/>
          <w:iCs/>
          <w:szCs w:val="22"/>
        </w:rPr>
      </w:pPr>
      <w:r w:rsidRPr="00C33F4F">
        <w:rPr>
          <w:rFonts w:asciiTheme="minorHAnsi" w:eastAsia="Arial" w:hAnsiTheme="minorHAnsi" w:cs="Times New Roman"/>
          <w:b/>
          <w:bCs/>
          <w:i/>
          <w:iCs/>
          <w:szCs w:val="22"/>
        </w:rPr>
        <w:t>AC 2.5</w:t>
      </w:r>
    </w:p>
    <w:p w14:paraId="2C5D9F95"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Initially, it is easy to assume that the rise in wellbeing strategies is in response to the Covid-19 pandemic. However, health and wellbeing are not new concepts. The World Health Organization (2022) states that “</w:t>
      </w:r>
      <w:r w:rsidRPr="00A80C54">
        <w:rPr>
          <w:rFonts w:asciiTheme="minorHAnsi" w:eastAsia="Arial" w:hAnsiTheme="minorHAnsi" w:cs="Times New Roman"/>
          <w:szCs w:val="22"/>
        </w:rPr>
        <w:t>Mental health is a state of mental well-being that enables people to cope with the stresses of life, realize their abilities, learn well and work well</w:t>
      </w:r>
      <w:r>
        <w:rPr>
          <w:rFonts w:asciiTheme="minorHAnsi" w:eastAsia="Arial" w:hAnsiTheme="minorHAnsi" w:cs="Times New Roman"/>
          <w:szCs w:val="22"/>
        </w:rPr>
        <w:t xml:space="preserve">” and goes </w:t>
      </w:r>
      <w:r>
        <w:rPr>
          <w:rFonts w:asciiTheme="minorHAnsi" w:eastAsia="Arial" w:hAnsiTheme="minorHAnsi" w:cs="Times New Roman"/>
          <w:szCs w:val="22"/>
        </w:rPr>
        <w:lastRenderedPageBreak/>
        <w:t xml:space="preserve">on to say that this has a direct impact on the way we make decisions, build relationships and help to shape the world we live in. Therefore, it is easy to see why this can be applied not only to our personal lives but also to </w:t>
      </w:r>
      <w:proofErr w:type="spellStart"/>
      <w:r>
        <w:rPr>
          <w:rFonts w:asciiTheme="minorHAnsi" w:eastAsia="Arial" w:hAnsiTheme="minorHAnsi" w:cs="Times New Roman"/>
          <w:szCs w:val="22"/>
        </w:rPr>
        <w:t>out</w:t>
      </w:r>
      <w:proofErr w:type="spellEnd"/>
      <w:r>
        <w:rPr>
          <w:rFonts w:asciiTheme="minorHAnsi" w:eastAsia="Arial" w:hAnsiTheme="minorHAnsi" w:cs="Times New Roman"/>
          <w:szCs w:val="22"/>
        </w:rPr>
        <w:t xml:space="preserve"> professional. </w:t>
      </w:r>
    </w:p>
    <w:p w14:paraId="1EBFDE77" w14:textId="77777777" w:rsidR="00353981" w:rsidRDefault="00353981" w:rsidP="00353981">
      <w:pPr>
        <w:contextualSpacing/>
        <w:rPr>
          <w:rFonts w:asciiTheme="minorHAnsi" w:eastAsia="Arial" w:hAnsiTheme="minorHAnsi" w:cs="Times New Roman"/>
          <w:szCs w:val="22"/>
        </w:rPr>
      </w:pPr>
    </w:p>
    <w:p w14:paraId="41C62BB6"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The CIPD factsheet states that the direct benefits of focusing on wellbeing at work include: </w:t>
      </w:r>
    </w:p>
    <w:p w14:paraId="6A87AC99" w14:textId="77777777" w:rsidR="00353981" w:rsidRDefault="00353981" w:rsidP="00353981">
      <w:pPr>
        <w:pStyle w:val="ListParagraph"/>
        <w:rPr>
          <w:rFonts w:asciiTheme="minorHAnsi" w:eastAsia="Arial" w:hAnsiTheme="minorHAnsi" w:cs="Times New Roman"/>
          <w:szCs w:val="22"/>
        </w:rPr>
      </w:pPr>
    </w:p>
    <w:p w14:paraId="71F54E5C" w14:textId="77777777" w:rsidR="00353981" w:rsidRDefault="00353981" w:rsidP="00353981">
      <w:pPr>
        <w:pStyle w:val="ListParagraph"/>
        <w:numPr>
          <w:ilvl w:val="0"/>
          <w:numId w:val="4"/>
        </w:numPr>
        <w:rPr>
          <w:rFonts w:asciiTheme="minorHAnsi" w:eastAsia="Arial" w:hAnsiTheme="minorHAnsi" w:cs="Times New Roman"/>
          <w:szCs w:val="22"/>
        </w:rPr>
      </w:pPr>
      <w:r>
        <w:rPr>
          <w:rFonts w:asciiTheme="minorHAnsi" w:eastAsia="Arial" w:hAnsiTheme="minorHAnsi" w:cs="Times New Roman"/>
          <w:szCs w:val="22"/>
        </w:rPr>
        <w:t xml:space="preserve">Better employee morale </w:t>
      </w:r>
    </w:p>
    <w:p w14:paraId="6ACC0506" w14:textId="77777777" w:rsidR="00353981" w:rsidRDefault="00353981" w:rsidP="00353981">
      <w:pPr>
        <w:pStyle w:val="ListParagraph"/>
        <w:numPr>
          <w:ilvl w:val="0"/>
          <w:numId w:val="4"/>
        </w:numPr>
        <w:rPr>
          <w:rFonts w:asciiTheme="minorHAnsi" w:eastAsia="Arial" w:hAnsiTheme="minorHAnsi" w:cs="Times New Roman"/>
          <w:szCs w:val="22"/>
        </w:rPr>
      </w:pPr>
      <w:r>
        <w:rPr>
          <w:rFonts w:asciiTheme="minorHAnsi" w:eastAsia="Arial" w:hAnsiTheme="minorHAnsi" w:cs="Times New Roman"/>
          <w:szCs w:val="22"/>
        </w:rPr>
        <w:t>More inclusive culture</w:t>
      </w:r>
    </w:p>
    <w:p w14:paraId="2FE99CB5" w14:textId="77777777" w:rsidR="00353981" w:rsidRDefault="00353981" w:rsidP="00353981">
      <w:pPr>
        <w:pStyle w:val="ListParagraph"/>
        <w:numPr>
          <w:ilvl w:val="0"/>
          <w:numId w:val="4"/>
        </w:numPr>
        <w:rPr>
          <w:rFonts w:asciiTheme="minorHAnsi" w:eastAsia="Arial" w:hAnsiTheme="minorHAnsi" w:cs="Times New Roman"/>
          <w:szCs w:val="22"/>
        </w:rPr>
      </w:pPr>
      <w:r>
        <w:rPr>
          <w:rFonts w:asciiTheme="minorHAnsi" w:eastAsia="Arial" w:hAnsiTheme="minorHAnsi" w:cs="Times New Roman"/>
          <w:szCs w:val="22"/>
        </w:rPr>
        <w:t>Better work-life balance</w:t>
      </w:r>
    </w:p>
    <w:p w14:paraId="302DAA64" w14:textId="77777777" w:rsidR="00353981" w:rsidRDefault="00353981" w:rsidP="00353981">
      <w:pPr>
        <w:pStyle w:val="ListParagraph"/>
        <w:numPr>
          <w:ilvl w:val="0"/>
          <w:numId w:val="4"/>
        </w:numPr>
        <w:rPr>
          <w:rFonts w:asciiTheme="minorHAnsi" w:eastAsia="Arial" w:hAnsiTheme="minorHAnsi" w:cs="Times New Roman"/>
          <w:szCs w:val="22"/>
        </w:rPr>
      </w:pPr>
      <w:r>
        <w:rPr>
          <w:rFonts w:asciiTheme="minorHAnsi" w:eastAsia="Arial" w:hAnsiTheme="minorHAnsi" w:cs="Times New Roman"/>
          <w:szCs w:val="22"/>
        </w:rPr>
        <w:t>Reduction in absenteeism and employee turnover</w:t>
      </w:r>
    </w:p>
    <w:p w14:paraId="62EE819D" w14:textId="77777777" w:rsidR="00353981" w:rsidRDefault="00353981" w:rsidP="00353981">
      <w:pPr>
        <w:rPr>
          <w:rFonts w:asciiTheme="minorHAnsi" w:eastAsia="Arial" w:hAnsiTheme="minorHAnsi" w:cs="Times New Roman"/>
          <w:szCs w:val="22"/>
        </w:rPr>
      </w:pPr>
    </w:p>
    <w:p w14:paraId="72EF4238" w14:textId="77777777" w:rsidR="00353981" w:rsidRDefault="00353981" w:rsidP="00353981">
      <w:pPr>
        <w:rPr>
          <w:rFonts w:asciiTheme="minorHAnsi" w:eastAsia="Arial" w:hAnsiTheme="minorHAnsi" w:cs="Times New Roman"/>
          <w:szCs w:val="22"/>
        </w:rPr>
      </w:pPr>
      <w:r>
        <w:rPr>
          <w:rFonts w:asciiTheme="minorHAnsi" w:eastAsia="Arial" w:hAnsiTheme="minorHAnsi" w:cs="Times New Roman"/>
          <w:szCs w:val="22"/>
        </w:rPr>
        <w:t xml:space="preserve">It is important that this is integrated holistically into an organisations culture so it can prevent work-based stress and create a positive working environment where everyone can thrive (Suff, 2024). However, organisations must consider that not all people experience health and wellbeing in the same way. Hasson and Butler (2020) write that “wellbeing is subjective” and that every person will have their own personal beliefs about what makes up their own wellbeing. This is definitely something that organisations need to be mindful of and people practitioners especially must accommodate differing perspectives. </w:t>
      </w:r>
    </w:p>
    <w:p w14:paraId="5FCC448B" w14:textId="77777777" w:rsidR="00353981" w:rsidRDefault="00353981" w:rsidP="00353981">
      <w:pPr>
        <w:rPr>
          <w:rFonts w:asciiTheme="minorHAnsi" w:eastAsia="Arial" w:hAnsiTheme="minorHAnsi" w:cs="Times New Roman"/>
          <w:szCs w:val="22"/>
        </w:rPr>
      </w:pPr>
      <w:r>
        <w:rPr>
          <w:rFonts w:asciiTheme="minorHAnsi" w:eastAsia="Arial" w:hAnsiTheme="minorHAnsi" w:cs="Times New Roman"/>
          <w:szCs w:val="22"/>
        </w:rPr>
        <w:t xml:space="preserve">Within the breakdown of the 2024 good work index for Wales (CIPD, 2024), 40% of respondents answered that work affects their mental health positively. This is a slight increase from the year previous but by continuing to foster this positive culture we could see it rise again. This is important as by doing so we can then hopefully see a rise in the direct benefits listed above. Interestingly, one of the direct benefits of a good work-life balance scored well in the index with 76% respondents answering positively. Alongside this, one of the key findings was that “Employee engagement remains positive, with fairly high levels of enthusiasm at work” (CIPD, 2024). This could also be considered as being assisted by a good wellbeing strategy. </w:t>
      </w:r>
    </w:p>
    <w:p w14:paraId="3A6E7F68" w14:textId="77777777" w:rsidR="00353981" w:rsidRDefault="00353981" w:rsidP="00353981">
      <w:pPr>
        <w:contextualSpacing/>
        <w:rPr>
          <w:rFonts w:asciiTheme="minorHAnsi" w:eastAsia="Arial" w:hAnsiTheme="minorHAnsi" w:cs="Times New Roman"/>
          <w:b/>
          <w:bCs/>
          <w:i/>
          <w:iCs/>
          <w:color w:val="FF0000"/>
          <w:szCs w:val="22"/>
        </w:rPr>
      </w:pPr>
    </w:p>
    <w:p w14:paraId="3C1A9CBC" w14:textId="77777777" w:rsidR="00353981" w:rsidRPr="009B3584" w:rsidRDefault="00353981" w:rsidP="00353981">
      <w:pPr>
        <w:contextualSpacing/>
        <w:rPr>
          <w:rFonts w:asciiTheme="minorHAnsi" w:eastAsia="Arial" w:hAnsiTheme="minorHAnsi" w:cs="Times New Roman"/>
          <w:b/>
          <w:bCs/>
          <w:i/>
          <w:iCs/>
          <w:color w:val="FF0000"/>
          <w:szCs w:val="22"/>
        </w:rPr>
      </w:pPr>
      <w:r w:rsidRPr="006A1F26">
        <w:rPr>
          <w:rFonts w:asciiTheme="minorHAnsi" w:eastAsia="Arial" w:hAnsiTheme="minorHAnsi" w:cs="Times New Roman"/>
          <w:b/>
          <w:bCs/>
          <w:i/>
          <w:iCs/>
          <w:szCs w:val="22"/>
        </w:rPr>
        <w:t>(AC 3.1)</w:t>
      </w:r>
    </w:p>
    <w:p w14:paraId="63FBBDF9"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The employee lifecycle is the description to the journey an employee takes before joining an organisation, through their development, their final day of work and beyond. It is influenced by the customer experience and is a way for organisations to assess the experience of an employee at multiple stages through their employment (Maddox-Daines, 2023).  It is defined by six sections: Attract, Recruit, Onboard, Develop, Retain and Separate. Within this cycle, people practitioners have a role to play in all areas.</w:t>
      </w:r>
    </w:p>
    <w:p w14:paraId="4BB3E5F4" w14:textId="77777777" w:rsidR="00353981" w:rsidRDefault="00353981" w:rsidP="00353981">
      <w:pPr>
        <w:contextualSpacing/>
        <w:rPr>
          <w:rFonts w:asciiTheme="minorHAnsi" w:eastAsia="Arial" w:hAnsiTheme="minorHAnsi" w:cs="Times New Roman"/>
          <w:szCs w:val="22"/>
        </w:rPr>
      </w:pPr>
    </w:p>
    <w:p w14:paraId="4F899C14"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Attraction, the way in which the organisation choses to fill potential vacancies, could refer to job adverts, social media campaigns or job fairs for example. After successfully attracting a candidate to apply for a role, the recruitment and selection phase can begin.  This is usually the first time the candidate will have direct contact with the organisation and may encompass them learning about the organisation’s culture, values and more specifics of the advertised position (Maddox-Daines, 2023). As people practitioners, especially those with a recruitment focused role, it is paramount to recruit in a fair, unbiased and ethical way. This means that not only should an organisation focus on getting the right person for the role, they should do so in a way that treats everyone fairly </w:t>
      </w:r>
      <w:proofErr w:type="gramStart"/>
      <w:r>
        <w:rPr>
          <w:rFonts w:asciiTheme="minorHAnsi" w:eastAsia="Arial" w:hAnsiTheme="minorHAnsi" w:cs="Times New Roman"/>
          <w:szCs w:val="22"/>
        </w:rPr>
        <w:t>and on a level</w:t>
      </w:r>
      <w:proofErr w:type="gramEnd"/>
      <w:r>
        <w:rPr>
          <w:rFonts w:asciiTheme="minorHAnsi" w:eastAsia="Arial" w:hAnsiTheme="minorHAnsi" w:cs="Times New Roman"/>
          <w:szCs w:val="22"/>
        </w:rPr>
        <w:t xml:space="preserve"> playing field. Another aspect of this stage is the formal interview and again, people practitioners will be vital in assisting the hiring manager in this process. </w:t>
      </w:r>
    </w:p>
    <w:p w14:paraId="6D358E52" w14:textId="77777777" w:rsidR="00353981" w:rsidRDefault="00353981" w:rsidP="00353981">
      <w:pPr>
        <w:contextualSpacing/>
        <w:rPr>
          <w:rFonts w:asciiTheme="minorHAnsi" w:eastAsia="Arial" w:hAnsiTheme="minorHAnsi" w:cs="Times New Roman"/>
          <w:szCs w:val="22"/>
        </w:rPr>
      </w:pPr>
    </w:p>
    <w:p w14:paraId="3AA1BE93"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lastRenderedPageBreak/>
        <w:t>Onboarding, welcoming the new employee to the organisation, then begins as soon as the candidate accepts the role. This process is a collaboration between the HR and Line manager but could also involve other departments, such as IT, which are relevant to the position (Maddox-Daines, 2023). Once the employee is inducted into their role, the next stage of development may begin. People practitioners, especially those in a Learning &amp; Development function, can provide their expertise. By collaborating with management and identifying training needs, L&amp;D teams may provide vital learning opportunities to help develop the employee. However, as Paine (2021) points out, the operation must “enhance relevant learning not multiply the instances of irrelevant learning”. By providing opportunities for continuous development the employee feels invested in.</w:t>
      </w:r>
    </w:p>
    <w:p w14:paraId="6A18DEB3" w14:textId="77777777" w:rsidR="00353981" w:rsidRDefault="00353981" w:rsidP="00353981">
      <w:pPr>
        <w:contextualSpacing/>
        <w:rPr>
          <w:rFonts w:asciiTheme="minorHAnsi" w:eastAsia="Arial" w:hAnsiTheme="minorHAnsi" w:cs="Times New Roman"/>
          <w:szCs w:val="22"/>
        </w:rPr>
      </w:pPr>
    </w:p>
    <w:p w14:paraId="572455F0"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Employee retention is important not only for an organisations reputation, but it is more cost effective than using time and resources to constantly recruit new employees. By investing in employees through their continuous development, we can foster this. However, there are instances where the employee may decide to leave. This separation is not always caused by dissatisfaction, it could be retirement or relocation for example. People practitioners must therefore be involved to assure a smooth transitionary period and a positive experience in the remaining time before exit (Maddox-Daines, 2023). </w:t>
      </w:r>
    </w:p>
    <w:p w14:paraId="2801BB05" w14:textId="77777777" w:rsidR="00353981" w:rsidRDefault="00353981" w:rsidP="00353981">
      <w:pPr>
        <w:contextualSpacing/>
        <w:rPr>
          <w:rFonts w:asciiTheme="minorHAnsi" w:eastAsia="Arial" w:hAnsiTheme="minorHAnsi" w:cs="Times New Roman"/>
          <w:szCs w:val="22"/>
        </w:rPr>
      </w:pPr>
      <w:r>
        <w:rPr>
          <w:rFonts w:asciiTheme="minorHAnsi" w:eastAsia="Arial" w:hAnsiTheme="minorHAnsi" w:cs="Times New Roman"/>
          <w:szCs w:val="22"/>
        </w:rPr>
        <w:t xml:space="preserve">Capturing data, in the form of an exit interview for example, is important as we are then able to analyse the data for the development of the organisation. Understanding why a person leaves may give us insight into where things may be going wrong and help to improve retention figures.  Although not officially a part of the life cycle, having good communication with ex-employees can assist in helping the attraction process through word of mouth, positive promotion and success stories. </w:t>
      </w:r>
    </w:p>
    <w:p w14:paraId="657078B2" w14:textId="77777777" w:rsidR="00353981" w:rsidRDefault="00353981" w:rsidP="00353981">
      <w:pPr>
        <w:contextualSpacing/>
        <w:rPr>
          <w:rFonts w:asciiTheme="minorHAnsi" w:eastAsia="Arial" w:hAnsiTheme="minorHAnsi" w:cs="Times New Roman"/>
          <w:b/>
          <w:bCs/>
          <w:i/>
          <w:iCs/>
          <w:color w:val="FF0000"/>
          <w:szCs w:val="22"/>
        </w:rPr>
      </w:pPr>
    </w:p>
    <w:p w14:paraId="26D32240" w14:textId="77777777" w:rsidR="00353981" w:rsidRPr="00637423" w:rsidRDefault="00353981" w:rsidP="00353981">
      <w:pPr>
        <w:contextualSpacing/>
        <w:rPr>
          <w:rFonts w:asciiTheme="minorHAnsi" w:eastAsia="Arial" w:hAnsiTheme="minorHAnsi" w:cs="Times New Roman"/>
          <w:szCs w:val="22"/>
        </w:rPr>
      </w:pPr>
      <w:r w:rsidRPr="00E73B08">
        <w:rPr>
          <w:rFonts w:asciiTheme="minorHAnsi" w:eastAsia="Arial" w:hAnsiTheme="minorHAnsi" w:cs="Times New Roman"/>
          <w:b/>
          <w:bCs/>
          <w:i/>
          <w:iCs/>
          <w:color w:val="FF0000"/>
          <w:szCs w:val="22"/>
        </w:rPr>
        <w:t>Analyse how people practice supports organisational strategy through vertical integration and how people practice supports wider people strategies through horizontal integration. (AC 3.2)</w:t>
      </w:r>
    </w:p>
    <w:p w14:paraId="0CD5C613" w14:textId="77777777" w:rsidR="00353981" w:rsidRPr="00E73B08" w:rsidRDefault="00353981" w:rsidP="00353981">
      <w:pPr>
        <w:ind w:left="720"/>
        <w:contextualSpacing/>
        <w:rPr>
          <w:rFonts w:asciiTheme="minorHAnsi" w:eastAsia="Arial" w:hAnsiTheme="minorHAnsi" w:cs="Times New Roman"/>
          <w:b/>
          <w:bCs/>
          <w:i/>
          <w:iCs/>
          <w:color w:val="FF0000"/>
          <w:szCs w:val="22"/>
        </w:rPr>
      </w:pPr>
    </w:p>
    <w:p w14:paraId="001C6BB2" w14:textId="77777777" w:rsidR="00353981" w:rsidRPr="00E73B08" w:rsidRDefault="00353981" w:rsidP="00353981">
      <w:pPr>
        <w:contextualSpacing/>
        <w:rPr>
          <w:rFonts w:asciiTheme="minorHAnsi" w:eastAsia="Arial" w:hAnsiTheme="minorHAnsi" w:cs="Times New Roman"/>
          <w:b/>
          <w:bCs/>
          <w:i/>
          <w:iCs/>
          <w:color w:val="FF0000"/>
          <w:szCs w:val="22"/>
        </w:rPr>
      </w:pPr>
      <w:r w:rsidRPr="00E73B08">
        <w:rPr>
          <w:rFonts w:asciiTheme="minorHAnsi" w:eastAsia="Arial" w:hAnsiTheme="minorHAnsi" w:cs="Times New Roman"/>
          <w:b/>
          <w:bCs/>
          <w:i/>
          <w:iCs/>
          <w:color w:val="FF0000"/>
          <w:szCs w:val="22"/>
        </w:rPr>
        <w:t>An organisation is planning to introduce a four-day working week. Discuss the processes the people function could use to consult and engage with managers and employees to understand their needs when moving from a five-day to four-day working week. (AC 3.3)</w:t>
      </w:r>
    </w:p>
    <w:p w14:paraId="5D5C4642" w14:textId="77777777" w:rsidR="00353981" w:rsidRDefault="00353981" w:rsidP="00353981">
      <w:pPr>
        <w:rPr>
          <w:rFonts w:asciiTheme="minorHAnsi" w:hAnsiTheme="minorHAnsi"/>
          <w:i/>
          <w:iCs/>
          <w:szCs w:val="22"/>
        </w:rPr>
      </w:pPr>
    </w:p>
    <w:p w14:paraId="38002D77" w14:textId="77777777" w:rsidR="00353981" w:rsidRDefault="00353981" w:rsidP="00353981">
      <w:pPr>
        <w:rPr>
          <w:rFonts w:asciiTheme="minorHAnsi" w:hAnsiTheme="minorHAnsi"/>
          <w:i/>
          <w:iCs/>
          <w:szCs w:val="22"/>
        </w:rPr>
      </w:pPr>
    </w:p>
    <w:p w14:paraId="79DD0E23" w14:textId="77777777" w:rsidR="00353981" w:rsidRPr="00810E04" w:rsidRDefault="00353981" w:rsidP="00353981">
      <w:pPr>
        <w:rPr>
          <w:rFonts w:asciiTheme="minorHAnsi" w:hAnsiTheme="minorHAnsi"/>
          <w:i/>
          <w:iCs/>
          <w:szCs w:val="22"/>
        </w:rPr>
      </w:pPr>
    </w:p>
    <w:p w14:paraId="54C4D2DF" w14:textId="77777777" w:rsidR="00353981" w:rsidRDefault="00353981"/>
    <w:sectPr w:rsidR="003539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C47DA"/>
    <w:multiLevelType w:val="multilevel"/>
    <w:tmpl w:val="71F2E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F01A5"/>
    <w:multiLevelType w:val="hybridMultilevel"/>
    <w:tmpl w:val="0772F24E"/>
    <w:lvl w:ilvl="0" w:tplc="11CAB77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03A26"/>
    <w:multiLevelType w:val="hybridMultilevel"/>
    <w:tmpl w:val="C40CBD38"/>
    <w:lvl w:ilvl="0" w:tplc="3A52CBE6">
      <w:numFmt w:val="bullet"/>
      <w:lvlText w:val="-"/>
      <w:lvlJc w:val="left"/>
      <w:pPr>
        <w:ind w:left="720" w:hanging="360"/>
      </w:pPr>
      <w:rPr>
        <w:rFonts w:ascii="Aptos" w:eastAsia="Arial"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915B5"/>
    <w:multiLevelType w:val="hybridMultilevel"/>
    <w:tmpl w:val="0892350C"/>
    <w:lvl w:ilvl="0" w:tplc="FB4E9BA2">
      <w:numFmt w:val="bullet"/>
      <w:lvlText w:val="-"/>
      <w:lvlJc w:val="left"/>
      <w:pPr>
        <w:ind w:left="720" w:hanging="360"/>
      </w:pPr>
      <w:rPr>
        <w:rFonts w:ascii="Aptos" w:eastAsia="Arial"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FF00F8"/>
    <w:multiLevelType w:val="multilevel"/>
    <w:tmpl w:val="BBECC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E9229A"/>
    <w:multiLevelType w:val="hybridMultilevel"/>
    <w:tmpl w:val="8AEE5814"/>
    <w:lvl w:ilvl="0" w:tplc="19EA77DA">
      <w:start w:val="2"/>
      <w:numFmt w:val="bullet"/>
      <w:lvlText w:val="-"/>
      <w:lvlJc w:val="left"/>
      <w:pPr>
        <w:ind w:left="720" w:hanging="360"/>
      </w:pPr>
      <w:rPr>
        <w:rFonts w:ascii="Aptos" w:eastAsia="Arial"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8E036A"/>
    <w:multiLevelType w:val="hybridMultilevel"/>
    <w:tmpl w:val="512ED6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4613044"/>
    <w:multiLevelType w:val="multilevel"/>
    <w:tmpl w:val="D4765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4C62F1"/>
    <w:multiLevelType w:val="hybridMultilevel"/>
    <w:tmpl w:val="BE32FA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6"/>
  </w:num>
  <w:num w:numId="2" w16cid:durableId="1201480910">
    <w:abstractNumId w:val="0"/>
  </w:num>
  <w:num w:numId="3" w16cid:durableId="1704204782">
    <w:abstractNumId w:val="3"/>
  </w:num>
  <w:num w:numId="4" w16cid:durableId="291249551">
    <w:abstractNumId w:val="2"/>
  </w:num>
  <w:num w:numId="5" w16cid:durableId="1236889710">
    <w:abstractNumId w:val="5"/>
  </w:num>
  <w:num w:numId="6" w16cid:durableId="976106301">
    <w:abstractNumId w:val="8"/>
  </w:num>
  <w:num w:numId="7" w16cid:durableId="71054269">
    <w:abstractNumId w:val="1"/>
  </w:num>
  <w:num w:numId="8" w16cid:durableId="1243181264">
    <w:abstractNumId w:val="7"/>
  </w:num>
  <w:num w:numId="9" w16cid:durableId="1362899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981"/>
    <w:rsid w:val="00353981"/>
    <w:rsid w:val="00EB0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84775"/>
  <w15:chartTrackingRefBased/>
  <w15:docId w15:val="{34667DE9-7EAE-491B-886E-76C482044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53981"/>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3539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39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39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39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9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9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9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9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9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9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39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39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39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9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9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9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9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981"/>
    <w:rPr>
      <w:rFonts w:eastAsiaTheme="majorEastAsia" w:cstheme="majorBidi"/>
      <w:color w:val="272727" w:themeColor="text1" w:themeTint="D8"/>
    </w:rPr>
  </w:style>
  <w:style w:type="paragraph" w:styleId="Title">
    <w:name w:val="Title"/>
    <w:basedOn w:val="Normal"/>
    <w:next w:val="Normal"/>
    <w:link w:val="TitleChar"/>
    <w:uiPriority w:val="10"/>
    <w:qFormat/>
    <w:rsid w:val="003539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9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9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9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981"/>
    <w:pPr>
      <w:spacing w:before="160"/>
      <w:jc w:val="center"/>
    </w:pPr>
    <w:rPr>
      <w:i/>
      <w:iCs/>
      <w:color w:val="404040" w:themeColor="text1" w:themeTint="BF"/>
    </w:rPr>
  </w:style>
  <w:style w:type="character" w:customStyle="1" w:styleId="QuoteChar">
    <w:name w:val="Quote Char"/>
    <w:basedOn w:val="DefaultParagraphFont"/>
    <w:link w:val="Quote"/>
    <w:uiPriority w:val="29"/>
    <w:rsid w:val="00353981"/>
    <w:rPr>
      <w:i/>
      <w:iCs/>
      <w:color w:val="404040" w:themeColor="text1" w:themeTint="BF"/>
    </w:rPr>
  </w:style>
  <w:style w:type="paragraph" w:styleId="ListParagraph">
    <w:name w:val="List Paragraph"/>
    <w:basedOn w:val="Normal"/>
    <w:link w:val="ListParagraphChar"/>
    <w:uiPriority w:val="34"/>
    <w:qFormat/>
    <w:rsid w:val="00353981"/>
    <w:pPr>
      <w:ind w:left="720"/>
      <w:contextualSpacing/>
    </w:pPr>
  </w:style>
  <w:style w:type="character" w:styleId="IntenseEmphasis">
    <w:name w:val="Intense Emphasis"/>
    <w:basedOn w:val="DefaultParagraphFont"/>
    <w:uiPriority w:val="21"/>
    <w:qFormat/>
    <w:rsid w:val="00353981"/>
    <w:rPr>
      <w:i/>
      <w:iCs/>
      <w:color w:val="0F4761" w:themeColor="accent1" w:themeShade="BF"/>
    </w:rPr>
  </w:style>
  <w:style w:type="paragraph" w:styleId="IntenseQuote">
    <w:name w:val="Intense Quote"/>
    <w:basedOn w:val="Normal"/>
    <w:next w:val="Normal"/>
    <w:link w:val="IntenseQuoteChar"/>
    <w:uiPriority w:val="30"/>
    <w:qFormat/>
    <w:rsid w:val="003539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981"/>
    <w:rPr>
      <w:i/>
      <w:iCs/>
      <w:color w:val="0F4761" w:themeColor="accent1" w:themeShade="BF"/>
    </w:rPr>
  </w:style>
  <w:style w:type="character" w:styleId="IntenseReference">
    <w:name w:val="Intense Reference"/>
    <w:basedOn w:val="DefaultParagraphFont"/>
    <w:uiPriority w:val="32"/>
    <w:qFormat/>
    <w:rsid w:val="00353981"/>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353981"/>
  </w:style>
  <w:style w:type="character" w:styleId="Hyperlink">
    <w:name w:val="Hyperlink"/>
    <w:basedOn w:val="DefaultParagraphFont"/>
    <w:uiPriority w:val="99"/>
    <w:unhideWhenUsed/>
    <w:rsid w:val="00353981"/>
    <w:rPr>
      <w:color w:val="467886" w:themeColor="hyperlink"/>
      <w:u w:val="single"/>
    </w:rPr>
  </w:style>
  <w:style w:type="character" w:styleId="UnresolvedMention">
    <w:name w:val="Unresolved Mention"/>
    <w:basedOn w:val="DefaultParagraphFont"/>
    <w:uiPriority w:val="99"/>
    <w:semiHidden/>
    <w:unhideWhenUsed/>
    <w:rsid w:val="003539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4068</Words>
  <Characters>23190</Characters>
  <Application>Microsoft Office Word</Application>
  <DocSecurity>0</DocSecurity>
  <Lines>193</Lines>
  <Paragraphs>54</Paragraphs>
  <ScaleCrop>false</ScaleCrop>
  <Company/>
  <LinksUpToDate>false</LinksUpToDate>
  <CharactersWithSpaces>27204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dc:creator>
  <cp:keywords/>
  <dc:description/>
  <cp:lastModifiedBy>Matthew Jones</cp:lastModifiedBy>
  <cp:revision>1</cp:revision>
  <dcterms:created xsi:type="dcterms:W3CDTF">2025-02-02T11:27:00Z</dcterms:created>
  <dcterms:modified xsi:type="dcterms:W3CDTF">2025-02-02T11:28:00Z</dcterms:modified>
</cp:coreProperties>
</file>