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F95EE" w14:textId="77777777" w:rsidR="00190118" w:rsidRPr="006B7B78" w:rsidRDefault="00190118">
      <w:pPr>
        <w:jc w:val="center"/>
        <w:rPr>
          <w:b/>
          <w:color w:val="000000" w:themeColor="text1"/>
          <w:sz w:val="28"/>
          <w:szCs w:val="28"/>
        </w:rPr>
      </w:pPr>
    </w:p>
    <w:p w14:paraId="32F785AF" w14:textId="77777777" w:rsidR="00190118" w:rsidRPr="006B7B78" w:rsidRDefault="00190118">
      <w:pPr>
        <w:jc w:val="center"/>
        <w:rPr>
          <w:b/>
          <w:color w:val="000000" w:themeColor="text1"/>
          <w:sz w:val="28"/>
          <w:szCs w:val="28"/>
        </w:rPr>
      </w:pPr>
    </w:p>
    <w:p w14:paraId="5CD04EB8" w14:textId="77777777" w:rsidR="00190118" w:rsidRPr="006B7B78" w:rsidRDefault="00190118">
      <w:pPr>
        <w:jc w:val="center"/>
        <w:rPr>
          <w:b/>
          <w:color w:val="000000" w:themeColor="text1"/>
          <w:sz w:val="28"/>
          <w:szCs w:val="28"/>
        </w:rPr>
      </w:pPr>
    </w:p>
    <w:p w14:paraId="3E68DD9F" w14:textId="77777777" w:rsidR="00190118" w:rsidRPr="006B7B78" w:rsidRDefault="00190118">
      <w:pPr>
        <w:jc w:val="center"/>
        <w:rPr>
          <w:b/>
          <w:color w:val="000000" w:themeColor="text1"/>
          <w:sz w:val="28"/>
          <w:szCs w:val="28"/>
        </w:rPr>
      </w:pPr>
    </w:p>
    <w:p w14:paraId="580AE6CA" w14:textId="77777777" w:rsidR="00190118" w:rsidRPr="006B7B78" w:rsidRDefault="00190118">
      <w:pPr>
        <w:jc w:val="center"/>
        <w:rPr>
          <w:b/>
          <w:color w:val="000000" w:themeColor="text1"/>
          <w:sz w:val="28"/>
          <w:szCs w:val="28"/>
        </w:rPr>
      </w:pPr>
    </w:p>
    <w:p w14:paraId="3544BEE8" w14:textId="77777777" w:rsidR="00190118" w:rsidRPr="006B7B78" w:rsidRDefault="00190118">
      <w:pPr>
        <w:jc w:val="center"/>
        <w:rPr>
          <w:b/>
          <w:color w:val="000000" w:themeColor="text1"/>
          <w:sz w:val="28"/>
          <w:szCs w:val="28"/>
        </w:rPr>
      </w:pPr>
    </w:p>
    <w:p w14:paraId="295C96DC" w14:textId="77777777" w:rsidR="00190118" w:rsidRPr="006B7B78" w:rsidRDefault="00190118">
      <w:pPr>
        <w:jc w:val="center"/>
        <w:rPr>
          <w:b/>
          <w:color w:val="000000" w:themeColor="text1"/>
          <w:sz w:val="28"/>
          <w:szCs w:val="28"/>
        </w:rPr>
      </w:pPr>
    </w:p>
    <w:p w14:paraId="601441D3" w14:textId="77777777" w:rsidR="00190118" w:rsidRPr="006B7B78" w:rsidRDefault="00190118">
      <w:pPr>
        <w:jc w:val="center"/>
        <w:rPr>
          <w:b/>
          <w:color w:val="000000" w:themeColor="text1"/>
          <w:sz w:val="28"/>
          <w:szCs w:val="28"/>
        </w:rPr>
      </w:pPr>
    </w:p>
    <w:p w14:paraId="042E1592" w14:textId="77777777" w:rsidR="00190118" w:rsidRPr="006B7B78" w:rsidRDefault="00190118">
      <w:pPr>
        <w:jc w:val="center"/>
        <w:rPr>
          <w:b/>
          <w:color w:val="000000" w:themeColor="text1"/>
          <w:sz w:val="28"/>
          <w:szCs w:val="28"/>
        </w:rPr>
      </w:pPr>
    </w:p>
    <w:p w14:paraId="76FE3450" w14:textId="77777777" w:rsidR="00190118" w:rsidRPr="006B7B78" w:rsidRDefault="00190118">
      <w:pPr>
        <w:jc w:val="center"/>
        <w:rPr>
          <w:b/>
          <w:color w:val="000000" w:themeColor="text1"/>
          <w:sz w:val="28"/>
          <w:szCs w:val="28"/>
        </w:rPr>
      </w:pPr>
    </w:p>
    <w:p w14:paraId="1129DCB3" w14:textId="77777777" w:rsidR="00190118" w:rsidRPr="006B7B78" w:rsidRDefault="00874130">
      <w:pPr>
        <w:jc w:val="center"/>
        <w:rPr>
          <w:b/>
          <w:color w:val="000000" w:themeColor="text1"/>
          <w:sz w:val="32"/>
          <w:szCs w:val="32"/>
        </w:rPr>
      </w:pPr>
      <w:r w:rsidRPr="006B7B78">
        <w:rPr>
          <w:b/>
          <w:color w:val="000000" w:themeColor="text1"/>
          <w:sz w:val="32"/>
          <w:szCs w:val="32"/>
        </w:rPr>
        <w:t xml:space="preserve">CONTEMPORARY THEMES IN THE HOTEL AND HOSPITALITY SECTOR </w:t>
      </w:r>
    </w:p>
    <w:p w14:paraId="3E52FD71" w14:textId="77777777" w:rsidR="005D762D" w:rsidRDefault="00874130">
      <w:pPr>
        <w:jc w:val="center"/>
        <w:rPr>
          <w:b/>
          <w:color w:val="000000" w:themeColor="text1"/>
          <w:sz w:val="32"/>
          <w:szCs w:val="32"/>
        </w:rPr>
      </w:pPr>
      <w:r w:rsidRPr="006B7B78">
        <w:rPr>
          <w:b/>
          <w:color w:val="000000" w:themeColor="text1"/>
          <w:sz w:val="32"/>
          <w:szCs w:val="32"/>
        </w:rPr>
        <w:t>MODULE CODE: BMIH6001</w:t>
      </w:r>
    </w:p>
    <w:p w14:paraId="1D1EC751" w14:textId="77777777" w:rsidR="002B5FDB" w:rsidRDefault="005D762D">
      <w:pPr>
        <w:jc w:val="center"/>
        <w:rPr>
          <w:b/>
          <w:bCs/>
          <w:color w:val="000000" w:themeColor="text1"/>
          <w:sz w:val="32"/>
          <w:szCs w:val="32"/>
        </w:rPr>
      </w:pPr>
      <w:r w:rsidRPr="005D762D">
        <w:rPr>
          <w:b/>
          <w:bCs/>
          <w:color w:val="000000" w:themeColor="text1"/>
          <w:sz w:val="32"/>
          <w:szCs w:val="32"/>
        </w:rPr>
        <w:t>OPTION FIVE: THE MOUNTING FINANCIAL PRESSURES FACED BY THE HOSPITALITY INDUSTRY</w:t>
      </w:r>
    </w:p>
    <w:p w14:paraId="34E2CC00" w14:textId="687A52BC" w:rsidR="002B5FDB" w:rsidRDefault="00702687">
      <w:pPr>
        <w:jc w:val="center"/>
        <w:rPr>
          <w:b/>
          <w:bCs/>
          <w:color w:val="000000" w:themeColor="text1"/>
          <w:sz w:val="32"/>
          <w:szCs w:val="32"/>
        </w:rPr>
      </w:pPr>
      <w:r>
        <w:rPr>
          <w:b/>
          <w:bCs/>
          <w:color w:val="000000" w:themeColor="text1"/>
          <w:sz w:val="32"/>
          <w:szCs w:val="32"/>
        </w:rPr>
        <w:t>M</w:t>
      </w:r>
      <w:r w:rsidR="00493FB8">
        <w:rPr>
          <w:b/>
          <w:bCs/>
          <w:color w:val="000000" w:themeColor="text1"/>
          <w:sz w:val="32"/>
          <w:szCs w:val="32"/>
        </w:rPr>
        <w:t xml:space="preserve">odule Lead: </w:t>
      </w:r>
      <w:r w:rsidR="00755B64">
        <w:rPr>
          <w:b/>
          <w:bCs/>
          <w:color w:val="000000" w:themeColor="text1"/>
          <w:sz w:val="32"/>
          <w:szCs w:val="32"/>
        </w:rPr>
        <w:t>Natalie</w:t>
      </w:r>
      <w:r w:rsidR="001754D5">
        <w:rPr>
          <w:b/>
          <w:bCs/>
          <w:color w:val="000000" w:themeColor="text1"/>
          <w:sz w:val="32"/>
          <w:szCs w:val="32"/>
        </w:rPr>
        <w:t xml:space="preserve"> Brailsford</w:t>
      </w:r>
    </w:p>
    <w:p w14:paraId="1965475B" w14:textId="114A7A80" w:rsidR="001754D5" w:rsidRDefault="001754D5">
      <w:pPr>
        <w:jc w:val="center"/>
        <w:rPr>
          <w:b/>
          <w:bCs/>
          <w:color w:val="000000" w:themeColor="text1"/>
          <w:sz w:val="32"/>
          <w:szCs w:val="32"/>
        </w:rPr>
      </w:pPr>
      <w:r>
        <w:rPr>
          <w:b/>
          <w:bCs/>
          <w:color w:val="000000" w:themeColor="text1"/>
          <w:sz w:val="32"/>
          <w:szCs w:val="32"/>
        </w:rPr>
        <w:t xml:space="preserve">Student </w:t>
      </w:r>
      <w:r w:rsidR="00D25CA8">
        <w:rPr>
          <w:b/>
          <w:bCs/>
          <w:color w:val="000000" w:themeColor="text1"/>
          <w:sz w:val="32"/>
          <w:szCs w:val="32"/>
        </w:rPr>
        <w:t>name: Mihaela Alecu</w:t>
      </w:r>
    </w:p>
    <w:p w14:paraId="46377550" w14:textId="14E1180A" w:rsidR="00D25CA8" w:rsidRDefault="00D25CA8">
      <w:pPr>
        <w:jc w:val="center"/>
        <w:rPr>
          <w:b/>
          <w:bCs/>
          <w:color w:val="000000" w:themeColor="text1"/>
          <w:sz w:val="32"/>
          <w:szCs w:val="32"/>
        </w:rPr>
      </w:pPr>
      <w:r>
        <w:rPr>
          <w:b/>
          <w:bCs/>
          <w:color w:val="000000" w:themeColor="text1"/>
          <w:sz w:val="32"/>
          <w:szCs w:val="32"/>
        </w:rPr>
        <w:t>Student c</w:t>
      </w:r>
      <w:r w:rsidR="002A4392">
        <w:rPr>
          <w:b/>
          <w:bCs/>
          <w:color w:val="000000" w:themeColor="text1"/>
          <w:sz w:val="32"/>
          <w:szCs w:val="32"/>
        </w:rPr>
        <w:t>ode: 2223648</w:t>
      </w:r>
    </w:p>
    <w:p w14:paraId="01435037" w14:textId="77777777" w:rsidR="002B5FDB" w:rsidRDefault="002B5FDB">
      <w:pPr>
        <w:jc w:val="center"/>
        <w:rPr>
          <w:b/>
          <w:bCs/>
          <w:color w:val="000000" w:themeColor="text1"/>
          <w:sz w:val="32"/>
          <w:szCs w:val="32"/>
        </w:rPr>
      </w:pPr>
    </w:p>
    <w:p w14:paraId="3AEA6105" w14:textId="77777777" w:rsidR="002B5FDB" w:rsidRDefault="002B5FDB">
      <w:pPr>
        <w:rPr>
          <w:rFonts w:ascii="Helvetica" w:hAnsi="Helvetica"/>
          <w:color w:val="000000"/>
          <w:sz w:val="27"/>
          <w:szCs w:val="27"/>
          <w:lang w:eastAsia="en-GB"/>
        </w:rPr>
      </w:pPr>
      <w:r>
        <w:br w:type="page"/>
      </w:r>
    </w:p>
    <w:p w14:paraId="44751B84" w14:textId="6D8C501D" w:rsidR="002B5FDB" w:rsidRDefault="002B5FDB" w:rsidP="002B5FDB">
      <w:pPr>
        <w:pStyle w:val="p1"/>
        <w:jc w:val="center"/>
      </w:pPr>
      <w:r>
        <w:lastRenderedPageBreak/>
        <w:t>Acknowledgement Statement format for AI Tool(s)</w:t>
      </w:r>
    </w:p>
    <w:p w14:paraId="5BAD6C38" w14:textId="497A228D" w:rsidR="002B5FDB" w:rsidRDefault="002B5FDB" w:rsidP="002B5FDB">
      <w:pPr>
        <w:pStyle w:val="p1"/>
        <w:jc w:val="center"/>
      </w:pPr>
      <w:r>
        <w:t>usage</w:t>
      </w:r>
    </w:p>
    <w:p w14:paraId="1EE2B788" w14:textId="77777777" w:rsidR="002B5FDB" w:rsidRDefault="002B5FDB" w:rsidP="002B5FDB">
      <w:pPr>
        <w:pStyle w:val="p1"/>
        <w:jc w:val="center"/>
      </w:pPr>
    </w:p>
    <w:p w14:paraId="0D4134FF" w14:textId="77777777" w:rsidR="002B5FDB" w:rsidRDefault="002B5FDB" w:rsidP="002B5FDB">
      <w:pPr>
        <w:pStyle w:val="p1"/>
        <w:jc w:val="center"/>
      </w:pPr>
    </w:p>
    <w:p w14:paraId="62A882CB" w14:textId="77777777" w:rsidR="002B5FDB" w:rsidRPr="002B5FDB" w:rsidRDefault="002B5FDB" w:rsidP="002B5FDB">
      <w:pPr>
        <w:pStyle w:val="p1"/>
        <w:spacing w:line="360" w:lineRule="auto"/>
        <w:rPr>
          <w:sz w:val="24"/>
          <w:szCs w:val="24"/>
        </w:rPr>
      </w:pPr>
    </w:p>
    <w:p w14:paraId="65EFCC47" w14:textId="00156F52" w:rsidR="002B5FDB" w:rsidRPr="002B5FDB" w:rsidRDefault="002B5FDB" w:rsidP="002B5FDB">
      <w:pPr>
        <w:jc w:val="left"/>
        <w:rPr>
          <w:rFonts w:ascii="Helvetica" w:hAnsi="Helvetica"/>
          <w:color w:val="000000"/>
          <w:lang w:eastAsia="en-GB"/>
        </w:rPr>
      </w:pPr>
      <w:r w:rsidRPr="002B5FDB">
        <w:rPr>
          <w:rFonts w:ascii="Helvetica" w:hAnsi="Helvetica"/>
          <w:color w:val="000000"/>
          <w:lang w:eastAsia="en-GB"/>
        </w:rPr>
        <w:t>I confirm that I have not presented any AI generated text as my</w:t>
      </w:r>
      <w:r>
        <w:rPr>
          <w:rFonts w:ascii="Helvetica" w:hAnsi="Helvetica"/>
          <w:color w:val="000000"/>
          <w:lang w:eastAsia="en-GB"/>
        </w:rPr>
        <w:t xml:space="preserve"> </w:t>
      </w:r>
      <w:r w:rsidRPr="002B5FDB">
        <w:rPr>
          <w:rFonts w:ascii="Helvetica" w:hAnsi="Helvetica"/>
          <w:color w:val="000000"/>
          <w:lang w:eastAsia="en-GB"/>
        </w:rPr>
        <w:t>own work. I confirm I</w:t>
      </w:r>
      <w:r>
        <w:rPr>
          <w:rFonts w:ascii="Helvetica" w:hAnsi="Helvetica"/>
          <w:color w:val="000000"/>
          <w:lang w:eastAsia="en-GB"/>
        </w:rPr>
        <w:t xml:space="preserve"> </w:t>
      </w:r>
      <w:r w:rsidRPr="002B5FDB">
        <w:rPr>
          <w:rFonts w:ascii="Helvetica" w:hAnsi="Helvetica"/>
          <w:color w:val="000000"/>
          <w:lang w:eastAsia="en-GB"/>
        </w:rPr>
        <w:t>have copies of my drafts, notes, and other</w:t>
      </w:r>
      <w:r>
        <w:rPr>
          <w:rFonts w:ascii="Helvetica" w:hAnsi="Helvetica"/>
          <w:color w:val="000000"/>
          <w:lang w:eastAsia="en-GB"/>
        </w:rPr>
        <w:t xml:space="preserve"> </w:t>
      </w:r>
      <w:r w:rsidRPr="002B5FDB">
        <w:rPr>
          <w:rFonts w:ascii="Helvetica" w:hAnsi="Helvetica"/>
          <w:color w:val="000000"/>
          <w:lang w:eastAsia="en-GB"/>
        </w:rPr>
        <w:t>resources I used before, and after the use of AI tools which I may</w:t>
      </w:r>
      <w:r>
        <w:rPr>
          <w:rFonts w:ascii="Helvetica" w:hAnsi="Helvetica"/>
          <w:color w:val="000000"/>
          <w:lang w:eastAsia="en-GB"/>
        </w:rPr>
        <w:t xml:space="preserve"> </w:t>
      </w:r>
      <w:r w:rsidRPr="002B5FDB">
        <w:rPr>
          <w:rFonts w:ascii="Helvetica" w:hAnsi="Helvetica"/>
          <w:color w:val="000000"/>
          <w:lang w:eastAsia="en-GB"/>
        </w:rPr>
        <w:t>be asked to provide in evidence.</w:t>
      </w:r>
    </w:p>
    <w:p w14:paraId="1F0068FB" w14:textId="77777777" w:rsidR="002B5FDB" w:rsidRPr="002B5FDB" w:rsidRDefault="002B5FDB" w:rsidP="002B5FDB">
      <w:pPr>
        <w:jc w:val="left"/>
        <w:rPr>
          <w:rFonts w:ascii="Helvetica" w:hAnsi="Helvetica"/>
          <w:color w:val="000000"/>
          <w:lang w:eastAsia="en-GB"/>
        </w:rPr>
      </w:pPr>
    </w:p>
    <w:p w14:paraId="3B7CB49B" w14:textId="3C8C4BA5" w:rsidR="002B5FDB" w:rsidRPr="002B5FDB" w:rsidRDefault="002B5FDB" w:rsidP="002B5FDB">
      <w:pPr>
        <w:jc w:val="left"/>
        <w:rPr>
          <w:rFonts w:ascii="Helvetica" w:hAnsi="Helvetica"/>
          <w:color w:val="000000"/>
          <w:lang w:eastAsia="en-GB"/>
        </w:rPr>
      </w:pPr>
    </w:p>
    <w:p w14:paraId="432AA61D" w14:textId="77777777" w:rsidR="002B5FDB" w:rsidRDefault="002B5FDB" w:rsidP="002B5FDB">
      <w:pPr>
        <w:pStyle w:val="p1"/>
        <w:jc w:val="center"/>
      </w:pPr>
    </w:p>
    <w:p w14:paraId="0E04676B" w14:textId="7BB8F2B0" w:rsidR="00190118" w:rsidRPr="005D762D" w:rsidRDefault="005D762D">
      <w:pPr>
        <w:jc w:val="center"/>
        <w:rPr>
          <w:b/>
          <w:bCs/>
          <w:color w:val="000000" w:themeColor="text1"/>
          <w:sz w:val="32"/>
          <w:szCs w:val="32"/>
        </w:rPr>
      </w:pPr>
      <w:r w:rsidRPr="005D762D">
        <w:rPr>
          <w:b/>
          <w:bCs/>
          <w:color w:val="000000" w:themeColor="text1"/>
        </w:rPr>
        <w:br w:type="page"/>
      </w:r>
    </w:p>
    <w:p w14:paraId="5A0023AD" w14:textId="77777777" w:rsidR="00190118" w:rsidRPr="006B7B78" w:rsidRDefault="00874130">
      <w:pPr>
        <w:pBdr>
          <w:top w:val="nil"/>
          <w:left w:val="nil"/>
          <w:bottom w:val="nil"/>
          <w:right w:val="nil"/>
          <w:between w:val="nil"/>
        </w:pBdr>
        <w:jc w:val="center"/>
        <w:rPr>
          <w:b/>
          <w:color w:val="000000" w:themeColor="text1"/>
          <w:sz w:val="28"/>
          <w:szCs w:val="28"/>
        </w:rPr>
      </w:pPr>
      <w:r w:rsidRPr="006B7B78">
        <w:rPr>
          <w:b/>
          <w:color w:val="000000" w:themeColor="text1"/>
          <w:sz w:val="28"/>
          <w:szCs w:val="28"/>
        </w:rPr>
        <w:lastRenderedPageBreak/>
        <w:t>Abstract</w:t>
      </w:r>
    </w:p>
    <w:p w14:paraId="52657957" w14:textId="2775BE21" w:rsidR="00190118" w:rsidRPr="006B7B78" w:rsidRDefault="00BB3AC5">
      <w:pPr>
        <w:pBdr>
          <w:top w:val="nil"/>
          <w:left w:val="nil"/>
          <w:bottom w:val="nil"/>
          <w:right w:val="nil"/>
          <w:between w:val="nil"/>
        </w:pBdr>
        <w:rPr>
          <w:b/>
          <w:color w:val="000000" w:themeColor="text1"/>
          <w:sz w:val="28"/>
          <w:szCs w:val="28"/>
        </w:rPr>
      </w:pPr>
      <w:r w:rsidRPr="006B7B78">
        <w:rPr>
          <w:color w:val="000000" w:themeColor="text1"/>
        </w:rPr>
        <w:t xml:space="preserve">This research paper highlights the issues faced by the hospitality industry due to mounting financial pressure. This is due to a host of reasons including a rise in costs of labour, shifts in consumer spending and </w:t>
      </w:r>
      <w:r w:rsidR="00D03B23" w:rsidRPr="006B7B78">
        <w:rPr>
          <w:color w:val="000000" w:themeColor="text1"/>
        </w:rPr>
        <w:t xml:space="preserve">limiting </w:t>
      </w:r>
      <w:r w:rsidRPr="006B7B78">
        <w:rPr>
          <w:color w:val="000000" w:themeColor="text1"/>
        </w:rPr>
        <w:t xml:space="preserve">credit conditions </w:t>
      </w:r>
      <w:r w:rsidR="00D03B23" w:rsidRPr="006B7B78">
        <w:rPr>
          <w:color w:val="000000" w:themeColor="text1"/>
        </w:rPr>
        <w:t xml:space="preserve">by ensuring reliance </w:t>
      </w:r>
      <w:r w:rsidRPr="006B7B78">
        <w:rPr>
          <w:color w:val="000000" w:themeColor="text1"/>
        </w:rPr>
        <w:t xml:space="preserve">with the business. The UK hospitality industry </w:t>
      </w:r>
      <w:r w:rsidR="00D03B23" w:rsidRPr="006B7B78">
        <w:rPr>
          <w:color w:val="000000" w:themeColor="text1"/>
        </w:rPr>
        <w:t xml:space="preserve">is </w:t>
      </w:r>
      <w:r w:rsidRPr="006B7B78">
        <w:rPr>
          <w:color w:val="000000" w:themeColor="text1"/>
        </w:rPr>
        <w:t xml:space="preserve">one of the major contributors to the economy, generating more than £54 billion in tax receipts. The literature review highlights the need </w:t>
      </w:r>
      <w:r w:rsidR="00D03B23" w:rsidRPr="006B7B78">
        <w:rPr>
          <w:color w:val="000000" w:themeColor="text1"/>
        </w:rPr>
        <w:t xml:space="preserve">to develop </w:t>
      </w:r>
      <w:r w:rsidRPr="006B7B78">
        <w:rPr>
          <w:color w:val="000000" w:themeColor="text1"/>
        </w:rPr>
        <w:t xml:space="preserve">interventions in collaboration with government agencies. The SWOT and PESTLE analysis highlight the challenges faced in the form of a rise in inflation rates and a reduction in consumer </w:t>
      </w:r>
      <w:r w:rsidR="00D03B23" w:rsidRPr="006B7B78">
        <w:rPr>
          <w:color w:val="000000" w:themeColor="text1"/>
        </w:rPr>
        <w:t>spending power</w:t>
      </w:r>
      <w:r w:rsidRPr="006B7B78">
        <w:rPr>
          <w:color w:val="000000" w:themeColor="text1"/>
        </w:rPr>
        <w:t xml:space="preserve">. Furthermore, it highlights the need to adopt technologies that can be useful in mitigating labour shortage issues. </w:t>
      </w:r>
      <w:r w:rsidR="00D03B23" w:rsidRPr="006B7B78">
        <w:rPr>
          <w:color w:val="000000" w:themeColor="text1"/>
        </w:rPr>
        <w:t>B</w:t>
      </w:r>
      <w:r w:rsidRPr="006B7B78">
        <w:rPr>
          <w:color w:val="000000" w:themeColor="text1"/>
        </w:rPr>
        <w:t xml:space="preserve">usinesses can use technologies including menu engineering to enhance overall profitability. </w:t>
      </w:r>
      <w:r w:rsidR="00D03B23" w:rsidRPr="006B7B78">
        <w:rPr>
          <w:color w:val="000000" w:themeColor="text1"/>
        </w:rPr>
        <w:t>However</w:t>
      </w:r>
      <w:r w:rsidRPr="006B7B78">
        <w:rPr>
          <w:color w:val="000000" w:themeColor="text1"/>
        </w:rPr>
        <w:t xml:space="preserve">, </w:t>
      </w:r>
      <w:r w:rsidR="00D03B23" w:rsidRPr="006B7B78">
        <w:rPr>
          <w:color w:val="000000" w:themeColor="text1"/>
        </w:rPr>
        <w:t>businesses</w:t>
      </w:r>
      <w:r w:rsidRPr="006B7B78">
        <w:rPr>
          <w:color w:val="000000" w:themeColor="text1"/>
        </w:rPr>
        <w:t xml:space="preserve"> can </w:t>
      </w:r>
      <w:r w:rsidR="00D03B23" w:rsidRPr="006B7B78">
        <w:rPr>
          <w:color w:val="000000" w:themeColor="text1"/>
        </w:rPr>
        <w:t xml:space="preserve">also </w:t>
      </w:r>
      <w:r w:rsidRPr="006B7B78">
        <w:rPr>
          <w:color w:val="000000" w:themeColor="text1"/>
        </w:rPr>
        <w:t xml:space="preserve">invest in automated technologies to facilitate </w:t>
      </w:r>
      <w:r w:rsidR="001309F6" w:rsidRPr="006B7B78">
        <w:rPr>
          <w:color w:val="000000" w:themeColor="text1"/>
        </w:rPr>
        <w:t>operational efficiency</w:t>
      </w:r>
      <w:r w:rsidRPr="006B7B78">
        <w:rPr>
          <w:color w:val="000000" w:themeColor="text1"/>
        </w:rPr>
        <w:t xml:space="preserve">. </w:t>
      </w:r>
    </w:p>
    <w:p w14:paraId="19ECE21D" w14:textId="77777777" w:rsidR="00190118" w:rsidRPr="006B7B78" w:rsidRDefault="00874130">
      <w:pPr>
        <w:rPr>
          <w:b/>
          <w:color w:val="000000" w:themeColor="text1"/>
          <w:sz w:val="28"/>
          <w:szCs w:val="28"/>
        </w:rPr>
      </w:pPr>
      <w:bookmarkStart w:id="0" w:name="_heading=h.y4kc7mlpfca5" w:colFirst="0" w:colLast="0"/>
      <w:bookmarkEnd w:id="0"/>
      <w:r w:rsidRPr="006B7B78">
        <w:rPr>
          <w:color w:val="000000" w:themeColor="text1"/>
        </w:rPr>
        <w:br w:type="page"/>
      </w:r>
    </w:p>
    <w:p w14:paraId="2CE29FDC" w14:textId="77777777" w:rsidR="00190118" w:rsidRPr="006B7B78" w:rsidRDefault="00874130">
      <w:pPr>
        <w:pStyle w:val="Heading1"/>
        <w:rPr>
          <w:color w:val="000000" w:themeColor="text1"/>
        </w:rPr>
      </w:pPr>
      <w:bookmarkStart w:id="1" w:name="_Toc212699128"/>
      <w:r w:rsidRPr="006B7B78">
        <w:rPr>
          <w:color w:val="000000" w:themeColor="text1"/>
        </w:rPr>
        <w:lastRenderedPageBreak/>
        <w:t>1. Introduction</w:t>
      </w:r>
      <w:bookmarkEnd w:id="1"/>
    </w:p>
    <w:p w14:paraId="0D1B8A20" w14:textId="77777777" w:rsidR="00190118" w:rsidRPr="006B7B78" w:rsidRDefault="00874130">
      <w:pPr>
        <w:pStyle w:val="Heading2"/>
        <w:rPr>
          <w:color w:val="000000" w:themeColor="text1"/>
        </w:rPr>
      </w:pPr>
      <w:bookmarkStart w:id="2" w:name="_Toc212699129"/>
      <w:r w:rsidRPr="006B7B78">
        <w:rPr>
          <w:color w:val="000000" w:themeColor="text1"/>
        </w:rPr>
        <w:t>Chosen contemporary theme importance</w:t>
      </w:r>
      <w:bookmarkEnd w:id="2"/>
    </w:p>
    <w:p w14:paraId="748EA0E0" w14:textId="44609855"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The hospitality industry faces multiple financial pressures such as </w:t>
      </w:r>
      <w:r w:rsidR="001309F6" w:rsidRPr="006B7B78">
        <w:rPr>
          <w:color w:val="000000" w:themeColor="text1"/>
        </w:rPr>
        <w:t>reduced cost margins and impacting operations.</w:t>
      </w:r>
      <w:r w:rsidRPr="006B7B78">
        <w:rPr>
          <w:color w:val="000000" w:themeColor="text1"/>
        </w:rPr>
        <w:t xml:space="preserve"> </w:t>
      </w:r>
      <w:r w:rsidR="001309F6" w:rsidRPr="006B7B78">
        <w:rPr>
          <w:color w:val="000000" w:themeColor="text1"/>
        </w:rPr>
        <w:t xml:space="preserve">These constant pressures impact operational costs, contribute to labour shortages, and reduce consumer spending. Additionally, this may lead to </w:t>
      </w:r>
      <w:r w:rsidRPr="006B7B78">
        <w:rPr>
          <w:color w:val="000000" w:themeColor="text1"/>
        </w:rPr>
        <w:t xml:space="preserve">tightening of the credit conditions associated with the business. Analysing this can help in understanding how businesses can develop resilience and </w:t>
      </w:r>
      <w:r w:rsidR="001309F6" w:rsidRPr="006B7B78">
        <w:rPr>
          <w:color w:val="000000" w:themeColor="text1"/>
        </w:rPr>
        <w:t xml:space="preserve">navigate investment decisions and improve overall profitability. </w:t>
      </w:r>
      <w:r w:rsidRPr="006B7B78">
        <w:rPr>
          <w:color w:val="000000" w:themeColor="text1"/>
        </w:rPr>
        <w:t xml:space="preserve">This can also help in making sure that the businesses </w:t>
      </w:r>
      <w:r w:rsidR="001309F6" w:rsidRPr="006B7B78">
        <w:rPr>
          <w:color w:val="000000" w:themeColor="text1"/>
        </w:rPr>
        <w:t xml:space="preserve">achieve long-term stability </w:t>
      </w:r>
      <w:r w:rsidRPr="006B7B78">
        <w:rPr>
          <w:color w:val="000000" w:themeColor="text1"/>
        </w:rPr>
        <w:t>within the hospitality in</w:t>
      </w:r>
      <w:r w:rsidRPr="006B7B78">
        <w:rPr>
          <w:color w:val="000000" w:themeColor="text1"/>
        </w:rPr>
        <w:t>dustry.</w:t>
      </w:r>
    </w:p>
    <w:p w14:paraId="1EBE9482" w14:textId="77777777" w:rsidR="00190118" w:rsidRPr="006B7B78" w:rsidRDefault="00874130">
      <w:pPr>
        <w:pStyle w:val="Heading2"/>
        <w:rPr>
          <w:color w:val="000000" w:themeColor="text1"/>
        </w:rPr>
      </w:pPr>
      <w:bookmarkStart w:id="3" w:name="_Toc212699130"/>
      <w:r w:rsidRPr="006B7B78">
        <w:rPr>
          <w:color w:val="000000" w:themeColor="text1"/>
        </w:rPr>
        <w:t>Sector details</w:t>
      </w:r>
      <w:bookmarkEnd w:id="3"/>
    </w:p>
    <w:p w14:paraId="1053FEB2" w14:textId="08FD4874" w:rsidR="00190118" w:rsidRPr="006B7B78" w:rsidRDefault="00BD22CA">
      <w:pPr>
        <w:pBdr>
          <w:top w:val="nil"/>
          <w:left w:val="nil"/>
          <w:bottom w:val="nil"/>
          <w:right w:val="nil"/>
          <w:between w:val="nil"/>
        </w:pBdr>
        <w:rPr>
          <w:color w:val="000000" w:themeColor="text1"/>
        </w:rPr>
      </w:pPr>
      <w:r w:rsidRPr="006B7B78">
        <w:rPr>
          <w:color w:val="000000" w:themeColor="text1"/>
        </w:rPr>
        <w:t xml:space="preserve">The UK hospitality industry is a major contributor to the economy as it generates revenues of more than £93 billion annually. The sector also employs 3.5 million individuals within the region (Ukhospitality.org.uk, 2025). It has been predicted that the industry can generate up to £29 billion and employ up to 500,000 individuals. In 2022, the hospitality industry generated £54 billion in tax receipts. In the same year, the industry had generated £20 billion in exports and attracted £7 billion in business investment (Ukhospitality.org.uk, 2025). This has resulted in generating maximised revenues, which have contributed to the overall growth of the economy. </w:t>
      </w:r>
    </w:p>
    <w:p w14:paraId="015EA060" w14:textId="77777777" w:rsidR="00190118" w:rsidRPr="006B7B78" w:rsidRDefault="00874130">
      <w:pPr>
        <w:pStyle w:val="Heading1"/>
        <w:rPr>
          <w:color w:val="000000" w:themeColor="text1"/>
        </w:rPr>
      </w:pPr>
      <w:bookmarkStart w:id="4" w:name="_Toc212699131"/>
      <w:r w:rsidRPr="006B7B78">
        <w:rPr>
          <w:color w:val="000000" w:themeColor="text1"/>
        </w:rPr>
        <w:t>2. Literature Review</w:t>
      </w:r>
      <w:bookmarkEnd w:id="4"/>
    </w:p>
    <w:p w14:paraId="263B2EB6" w14:textId="77777777" w:rsidR="00190118" w:rsidRPr="006B7B78" w:rsidRDefault="00874130">
      <w:pPr>
        <w:pStyle w:val="Heading2"/>
        <w:rPr>
          <w:color w:val="000000" w:themeColor="text1"/>
        </w:rPr>
      </w:pPr>
      <w:bookmarkStart w:id="5" w:name="_Toc212699132"/>
      <w:r w:rsidRPr="006B7B78">
        <w:rPr>
          <w:color w:val="000000" w:themeColor="text1"/>
        </w:rPr>
        <w:t>Impact of rising costs on business profitability</w:t>
      </w:r>
      <w:bookmarkEnd w:id="5"/>
    </w:p>
    <w:p w14:paraId="477BB98F" w14:textId="1151ED46"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A rise in business costs directly affects the operational profits associated with a hospitality business by reducing the Net Operating Income (NOI) and </w:t>
      </w:r>
      <w:r w:rsidR="00BD22CA" w:rsidRPr="006B7B78">
        <w:rPr>
          <w:color w:val="000000" w:themeColor="text1"/>
        </w:rPr>
        <w:t>resulting in shrinking profit margins</w:t>
      </w:r>
      <w:r w:rsidRPr="006B7B78">
        <w:rPr>
          <w:color w:val="000000" w:themeColor="text1"/>
        </w:rPr>
        <w:t xml:space="preserve">. As per the findings of Crespí-Cladera, Martín-Oliver and Pascual-Fuster (2021), it has been noted that the financial pressure associated with the industry results in operators increasing the prices of their products and services. </w:t>
      </w:r>
    </w:p>
    <w:p w14:paraId="708A8630" w14:textId="77777777" w:rsidR="00190118" w:rsidRPr="006B7B78" w:rsidRDefault="00874130">
      <w:pPr>
        <w:pBdr>
          <w:top w:val="nil"/>
          <w:left w:val="nil"/>
          <w:bottom w:val="nil"/>
          <w:right w:val="nil"/>
          <w:between w:val="nil"/>
        </w:pBdr>
        <w:jc w:val="center"/>
        <w:rPr>
          <w:color w:val="000000" w:themeColor="text1"/>
        </w:rPr>
      </w:pPr>
      <w:r w:rsidRPr="006B7B78">
        <w:rPr>
          <w:noProof/>
          <w:color w:val="000000" w:themeColor="text1"/>
        </w:rPr>
        <w:lastRenderedPageBreak/>
        <w:drawing>
          <wp:inline distT="114300" distB="114300" distL="114300" distR="114300" wp14:anchorId="35508AC4" wp14:editId="6DE84B74">
            <wp:extent cx="4667524" cy="2581427"/>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6"/>
                    <a:stretch>
                      <a:fillRect/>
                    </a:stretch>
                  </pic:blipFill>
                  <pic:spPr>
                    <a:xfrm>
                      <a:off x="0" y="0"/>
                      <a:ext cx="4667524" cy="2581427"/>
                    </a:xfrm>
                    <a:prstGeom prst="rect">
                      <a:avLst/>
                    </a:prstGeom>
                    <a:ln w="12700">
                      <a:solidFill>
                        <a:srgbClr val="000000"/>
                      </a:solidFill>
                      <a:prstDash val="solid"/>
                    </a:ln>
                  </pic:spPr>
                </pic:pic>
              </a:graphicData>
            </a:graphic>
          </wp:inline>
        </w:drawing>
      </w:r>
    </w:p>
    <w:p w14:paraId="0D4AE2DD" w14:textId="77777777" w:rsidR="00190118" w:rsidRPr="006B7B78" w:rsidRDefault="00874130">
      <w:pPr>
        <w:pBdr>
          <w:top w:val="nil"/>
          <w:left w:val="nil"/>
          <w:bottom w:val="nil"/>
          <w:right w:val="nil"/>
          <w:between w:val="nil"/>
        </w:pBdr>
        <w:jc w:val="center"/>
        <w:rPr>
          <w:b/>
          <w:color w:val="000000" w:themeColor="text1"/>
        </w:rPr>
      </w:pPr>
      <w:r w:rsidRPr="006B7B78">
        <w:rPr>
          <w:b/>
          <w:color w:val="000000" w:themeColor="text1"/>
        </w:rPr>
        <w:t>Figure 1: Relationship between external financial pressure and prices of products and services</w:t>
      </w:r>
    </w:p>
    <w:p w14:paraId="0CEE02D8" w14:textId="680E83D2" w:rsidR="00190118" w:rsidRPr="006B7B78" w:rsidRDefault="00874130">
      <w:pPr>
        <w:pBdr>
          <w:top w:val="nil"/>
          <w:left w:val="nil"/>
          <w:bottom w:val="nil"/>
          <w:right w:val="nil"/>
          <w:between w:val="nil"/>
        </w:pBdr>
        <w:rPr>
          <w:color w:val="000000" w:themeColor="text1"/>
        </w:rPr>
      </w:pPr>
      <w:r w:rsidRPr="006B7B78">
        <w:rPr>
          <w:color w:val="000000" w:themeColor="text1"/>
        </w:rPr>
        <w:t>This in turn results in customer dissatisfaction and reduced consumer loyalty. This can result in a lack of brand cohesion from customers, which results in a loss of confidence in the brand.</w:t>
      </w:r>
      <w:r w:rsidR="00BD22CA" w:rsidRPr="006B7B78">
        <w:rPr>
          <w:color w:val="000000" w:themeColor="text1"/>
        </w:rPr>
        <w:t xml:space="preserve"> Alternatively</w:t>
      </w:r>
      <w:r w:rsidRPr="006B7B78">
        <w:rPr>
          <w:color w:val="000000" w:themeColor="text1"/>
        </w:rPr>
        <w:t xml:space="preserve">, the findings of Sharma, Perdue and Nicolau (2022) have pointed out that the presence of high costs results in market-based losses due to which the operators recover the said costs in the form of taxes and high prices charged to the end customers through the products and services delivered. </w:t>
      </w:r>
    </w:p>
    <w:p w14:paraId="21EFC1AE" w14:textId="77777777" w:rsidR="00190118" w:rsidRPr="006B7B78" w:rsidRDefault="00874130">
      <w:pPr>
        <w:pStyle w:val="Heading2"/>
        <w:rPr>
          <w:color w:val="000000" w:themeColor="text1"/>
        </w:rPr>
      </w:pPr>
      <w:bookmarkStart w:id="6" w:name="_Toc212699133"/>
      <w:r w:rsidRPr="006B7B78">
        <w:rPr>
          <w:color w:val="000000" w:themeColor="text1"/>
        </w:rPr>
        <w:t>Factors contributing towards the rise in financial pressure</w:t>
      </w:r>
      <w:bookmarkEnd w:id="6"/>
    </w:p>
    <w:p w14:paraId="05E6064F" w14:textId="3A282B18" w:rsidR="00190118" w:rsidRPr="006B7B78" w:rsidRDefault="00874130">
      <w:pPr>
        <w:pBdr>
          <w:top w:val="nil"/>
          <w:left w:val="nil"/>
          <w:bottom w:val="nil"/>
          <w:right w:val="nil"/>
          <w:between w:val="nil"/>
        </w:pBdr>
        <w:rPr>
          <w:b/>
          <w:color w:val="000000" w:themeColor="text1"/>
        </w:rPr>
      </w:pPr>
      <w:r w:rsidRPr="006B7B78">
        <w:rPr>
          <w:color w:val="000000" w:themeColor="text1"/>
        </w:rPr>
        <w:t xml:space="preserve">As per the findings of Nworie and Nwoye (2023), it can be noted that a rise in operational costs </w:t>
      </w:r>
      <w:r w:rsidR="00BD22CA" w:rsidRPr="006B7B78">
        <w:rPr>
          <w:color w:val="000000" w:themeColor="text1"/>
        </w:rPr>
        <w:t xml:space="preserve">can contribute to rising costs. </w:t>
      </w:r>
      <w:r w:rsidRPr="006B7B78">
        <w:rPr>
          <w:color w:val="000000" w:themeColor="text1"/>
        </w:rPr>
        <w:t xml:space="preserve">This results in lowering the margins of the businesses, which can be potentially viewed as a loss. Contrary to this, the findings of Clegg, Skyttermoen and Vaagaasar (2020) have reflected that labour shortages are also an important factor. Due to this, it is more than likely that business owners will try saving labour costs due to reduced staff and </w:t>
      </w:r>
      <w:r w:rsidR="00BD22CA" w:rsidRPr="006B7B78">
        <w:rPr>
          <w:color w:val="000000" w:themeColor="text1"/>
        </w:rPr>
        <w:t>avoiding temporary hires.</w:t>
      </w:r>
      <w:r w:rsidR="00CC29AA" w:rsidRPr="006B7B78">
        <w:rPr>
          <w:color w:val="000000" w:themeColor="text1"/>
        </w:rPr>
        <w:t xml:space="preserve"> </w:t>
      </w:r>
      <w:r w:rsidRPr="006B7B78">
        <w:rPr>
          <w:color w:val="000000" w:themeColor="text1"/>
        </w:rPr>
        <w:t>Reisenbichler and Wiedemann (2022) have pointed out that due to a reduction in consumer spending busine</w:t>
      </w:r>
      <w:r w:rsidRPr="006B7B78">
        <w:rPr>
          <w:color w:val="000000" w:themeColor="text1"/>
        </w:rPr>
        <w:t xml:space="preserve">sses have been facing limited profit margins. </w:t>
      </w:r>
    </w:p>
    <w:p w14:paraId="648CACDC" w14:textId="77777777" w:rsidR="00190118" w:rsidRPr="006B7B78" w:rsidRDefault="00874130">
      <w:pPr>
        <w:pStyle w:val="Heading2"/>
        <w:rPr>
          <w:color w:val="000000" w:themeColor="text1"/>
        </w:rPr>
      </w:pPr>
      <w:bookmarkStart w:id="7" w:name="_Toc212699134"/>
      <w:r w:rsidRPr="006B7B78">
        <w:rPr>
          <w:color w:val="000000" w:themeColor="text1"/>
        </w:rPr>
        <w:t>Impact on business profitability</w:t>
      </w:r>
      <w:bookmarkEnd w:id="7"/>
    </w:p>
    <w:p w14:paraId="03D05B8D" w14:textId="18A1F0E2" w:rsidR="00190118" w:rsidRPr="006B7B78" w:rsidRDefault="00874130">
      <w:pPr>
        <w:rPr>
          <w:color w:val="000000" w:themeColor="text1"/>
        </w:rPr>
      </w:pPr>
      <w:r w:rsidRPr="006B7B78">
        <w:rPr>
          <w:color w:val="000000" w:themeColor="text1"/>
        </w:rPr>
        <w:t xml:space="preserve">Due to an increase in costs hospitality business owners and hoteliers have been facing </w:t>
      </w:r>
      <w:r w:rsidR="00BD22CA" w:rsidRPr="006B7B78">
        <w:rPr>
          <w:color w:val="000000" w:themeColor="text1"/>
        </w:rPr>
        <w:t xml:space="preserve">declining profits driven by rising initial costs. </w:t>
      </w:r>
      <w:r w:rsidRPr="006B7B78">
        <w:rPr>
          <w:color w:val="000000" w:themeColor="text1"/>
        </w:rPr>
        <w:t xml:space="preserve">Ram </w:t>
      </w:r>
      <w:r w:rsidRPr="006B7B78">
        <w:rPr>
          <w:i/>
          <w:color w:val="000000" w:themeColor="text1"/>
        </w:rPr>
        <w:t xml:space="preserve">et al., </w:t>
      </w:r>
      <w:r w:rsidRPr="006B7B78">
        <w:rPr>
          <w:color w:val="000000" w:themeColor="text1"/>
        </w:rPr>
        <w:t>(2022) have noted that a rise in business costs can result in reduced staffing. In the long run, it is more than likely to reduce the number of employees within the industry in the future.</w:t>
      </w:r>
      <w:r w:rsidRPr="006B7B78">
        <w:rPr>
          <w:b/>
          <w:color w:val="000000" w:themeColor="text1"/>
        </w:rPr>
        <w:t xml:space="preserve"> </w:t>
      </w:r>
      <w:r w:rsidRPr="006B7B78">
        <w:rPr>
          <w:color w:val="000000" w:themeColor="text1"/>
        </w:rPr>
        <w:t xml:space="preserve">Furthermore, the studies of Fan Chen and Chen (2023) have revealed that the rise in prices in operations </w:t>
      </w:r>
      <w:r w:rsidR="00BD22CA" w:rsidRPr="006B7B78">
        <w:rPr>
          <w:color w:val="000000" w:themeColor="text1"/>
        </w:rPr>
        <w:t xml:space="preserve">may deter business investment </w:t>
      </w:r>
      <w:r w:rsidRPr="006B7B78">
        <w:rPr>
          <w:color w:val="000000" w:themeColor="text1"/>
        </w:rPr>
        <w:t xml:space="preserve">in operational growth and expansion. The resulting financial strain could be caused as a direct </w:t>
      </w:r>
      <w:r w:rsidRPr="006B7B78">
        <w:rPr>
          <w:color w:val="000000" w:themeColor="text1"/>
        </w:rPr>
        <w:lastRenderedPageBreak/>
        <w:t>result of limited resources and the unavailability of funds to support the costs. This can r</w:t>
      </w:r>
      <w:r w:rsidRPr="006B7B78">
        <w:rPr>
          <w:color w:val="000000" w:themeColor="text1"/>
        </w:rPr>
        <w:t xml:space="preserve">esult in the entirety of the industry facing a lack of professionals, a shortage in staff and reduced profit rates. In the long run, this will discourage further investments and </w:t>
      </w:r>
    </w:p>
    <w:p w14:paraId="6B54EBB7" w14:textId="77777777" w:rsidR="00190118" w:rsidRPr="006B7B78" w:rsidRDefault="00874130">
      <w:pPr>
        <w:pStyle w:val="Heading2"/>
        <w:rPr>
          <w:color w:val="000000" w:themeColor="text1"/>
        </w:rPr>
      </w:pPr>
      <w:bookmarkStart w:id="8" w:name="_Toc212699135"/>
      <w:r w:rsidRPr="006B7B78">
        <w:rPr>
          <w:color w:val="000000" w:themeColor="text1"/>
        </w:rPr>
        <w:t>Recommendations to control the impact of financial burden</w:t>
      </w:r>
      <w:bookmarkEnd w:id="8"/>
    </w:p>
    <w:p w14:paraId="33E3ADDD" w14:textId="5EB359EA"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The works of Santos and Silva (2019) have pointed out that government intervention can play an important role in overcoming the impact due to the rise in financial pressure in hospitality businesses which includes tourism. This includes reducing VAT rates through which the business operators can be given any concession, which can maximise their overall profits. On the other hand, the findings of Zalmi and Sinaga (2024) highlight that the government can work with the business owners in reducing the business </w:t>
      </w:r>
      <w:r w:rsidRPr="006B7B78">
        <w:rPr>
          <w:color w:val="000000" w:themeColor="text1"/>
        </w:rPr>
        <w:t>rates and can offer tax grants as well. The discounts can play an important role in reducing operating costs.</w:t>
      </w:r>
      <w:r w:rsidR="00D27EEC" w:rsidRPr="006B7B78">
        <w:rPr>
          <w:color w:val="000000" w:themeColor="text1"/>
        </w:rPr>
        <w:t xml:space="preserve"> Additionally</w:t>
      </w:r>
      <w:r w:rsidRPr="006B7B78">
        <w:rPr>
          <w:color w:val="000000" w:themeColor="text1"/>
        </w:rPr>
        <w:t xml:space="preserve">, other strategies can include/involve strategic government investment in infrastructure, which can help in supporting businesses and can provide various financial-based incentives and subsidies. </w:t>
      </w:r>
    </w:p>
    <w:p w14:paraId="4091BDCB" w14:textId="3B784D86"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As per the studies of Prideaux, Laws and Faulkner (2007) the government can play a vital role as they can offer subsidies in various forms. This can be availed by businesses based on their size and the nature of business operations as determined by the government bodies. This can help business owners </w:t>
      </w:r>
      <w:r w:rsidR="00BD22CA" w:rsidRPr="006B7B78">
        <w:rPr>
          <w:color w:val="000000" w:themeColor="text1"/>
        </w:rPr>
        <w:t>with</w:t>
      </w:r>
      <w:r w:rsidRPr="006B7B78">
        <w:rPr>
          <w:color w:val="000000" w:themeColor="text1"/>
        </w:rPr>
        <w:t xml:space="preserve"> availing subsidies, which </w:t>
      </w:r>
      <w:r w:rsidR="00BD22CA" w:rsidRPr="006B7B78">
        <w:rPr>
          <w:color w:val="000000" w:themeColor="text1"/>
        </w:rPr>
        <w:t xml:space="preserve">can strengthen financial capacity. </w:t>
      </w:r>
      <w:r w:rsidRPr="006B7B78">
        <w:rPr>
          <w:color w:val="000000" w:themeColor="text1"/>
        </w:rPr>
        <w:t xml:space="preserve">This can make business expansion possible and can encourage </w:t>
      </w:r>
      <w:r w:rsidR="005726AE" w:rsidRPr="006B7B78">
        <w:rPr>
          <w:color w:val="000000" w:themeColor="text1"/>
        </w:rPr>
        <w:t xml:space="preserve">strategic investment. </w:t>
      </w:r>
      <w:r w:rsidRPr="006B7B78">
        <w:rPr>
          <w:color w:val="000000" w:themeColor="text1"/>
        </w:rPr>
        <w:t xml:space="preserve">Apart from this, hospitality bodies can also develop their policies that can help them in controlling the overall costs associated with operations. Contrary to this, Cooper and Hall (2022) have opined that the government can develop policies as well as subsidies. This can help dedicated hospitality business owners like tourism operators </w:t>
      </w:r>
      <w:r w:rsidR="005726AE" w:rsidRPr="006B7B78">
        <w:rPr>
          <w:color w:val="000000" w:themeColor="text1"/>
        </w:rPr>
        <w:t xml:space="preserve">which may benefit from government policies. </w:t>
      </w:r>
      <w:r w:rsidRPr="006B7B78">
        <w:rPr>
          <w:color w:val="000000" w:themeColor="text1"/>
        </w:rPr>
        <w:t xml:space="preserve">One of the best examples of this can be offering tax relaxations for smaller businesses based on a given operations size based on which tax deductions can be offered to the business owners. </w:t>
      </w:r>
    </w:p>
    <w:p w14:paraId="322AEBAA" w14:textId="7AE2E370" w:rsidR="00190118" w:rsidRPr="006B7B78" w:rsidRDefault="00874130">
      <w:pPr>
        <w:pBdr>
          <w:top w:val="nil"/>
          <w:left w:val="nil"/>
          <w:bottom w:val="nil"/>
          <w:right w:val="nil"/>
          <w:between w:val="nil"/>
        </w:pBdr>
        <w:rPr>
          <w:color w:val="000000" w:themeColor="text1"/>
        </w:rPr>
      </w:pPr>
      <w:r w:rsidRPr="006B7B78">
        <w:rPr>
          <w:color w:val="000000" w:themeColor="text1"/>
        </w:rPr>
        <w:t>The revised taxation systems could include provisions for specific business outlets, offering them relaxations. For example, retail businesses could be given discounts, considering the fact that they face a high volume of visitors within any region. The studies of Buhalis</w:t>
      </w:r>
      <w:r w:rsidRPr="006B7B78">
        <w:rPr>
          <w:i/>
          <w:color w:val="000000" w:themeColor="text1"/>
        </w:rPr>
        <w:t>et al.,</w:t>
      </w:r>
      <w:r w:rsidRPr="006B7B78">
        <w:rPr>
          <w:color w:val="000000" w:themeColor="text1"/>
        </w:rPr>
        <w:t xml:space="preserve"> (2012) indicate that businesses can </w:t>
      </w:r>
      <w:r w:rsidR="005726AE" w:rsidRPr="006B7B78">
        <w:rPr>
          <w:color w:val="000000" w:themeColor="text1"/>
        </w:rPr>
        <w:t xml:space="preserve">consider looking beyond traditional design to promote </w:t>
      </w:r>
      <w:r w:rsidRPr="006B7B78">
        <w:rPr>
          <w:color w:val="000000" w:themeColor="text1"/>
        </w:rPr>
        <w:t xml:space="preserve">a universally accessible design which can help in enhancing revenues. The findings of Ford and Sturman (2019) also highlight that businesses can involve guests in co-creating their experiences. This can help in meeting their needs and controlling the costs as required. </w:t>
      </w:r>
    </w:p>
    <w:p w14:paraId="339FA735" w14:textId="77777777" w:rsidR="00190118" w:rsidRPr="006B7B78" w:rsidRDefault="00874130">
      <w:pPr>
        <w:pStyle w:val="Heading1"/>
        <w:rPr>
          <w:color w:val="000000" w:themeColor="text1"/>
        </w:rPr>
      </w:pPr>
      <w:bookmarkStart w:id="9" w:name="_Toc212699136"/>
      <w:r w:rsidRPr="006B7B78">
        <w:rPr>
          <w:color w:val="000000" w:themeColor="text1"/>
        </w:rPr>
        <w:lastRenderedPageBreak/>
        <w:t>3. Method</w:t>
      </w:r>
      <w:bookmarkEnd w:id="9"/>
    </w:p>
    <w:p w14:paraId="0EDE7CEA" w14:textId="77777777" w:rsidR="00190118" w:rsidRPr="006B7B78" w:rsidRDefault="00874130">
      <w:pPr>
        <w:pStyle w:val="Heading2"/>
        <w:rPr>
          <w:color w:val="000000" w:themeColor="text1"/>
        </w:rPr>
      </w:pPr>
      <w:bookmarkStart w:id="10" w:name="_Toc212699137"/>
      <w:r w:rsidRPr="006B7B78">
        <w:rPr>
          <w:color w:val="000000" w:themeColor="text1"/>
        </w:rPr>
        <w:t>Research data collection</w:t>
      </w:r>
      <w:bookmarkEnd w:id="10"/>
    </w:p>
    <w:p w14:paraId="086ADCA0" w14:textId="3CC61426"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The data collection for the given research will include a secondary data collection method. Under this, </w:t>
      </w:r>
      <w:r w:rsidR="005726AE" w:rsidRPr="006B7B78">
        <w:rPr>
          <w:color w:val="000000" w:themeColor="text1"/>
        </w:rPr>
        <w:t xml:space="preserve">data will be collected from publicly available sources </w:t>
      </w:r>
      <w:r w:rsidRPr="006B7B78">
        <w:rPr>
          <w:color w:val="000000" w:themeColor="text1"/>
        </w:rPr>
        <w:t xml:space="preserve">(Mazhar </w:t>
      </w:r>
      <w:r w:rsidRPr="006B7B78">
        <w:rPr>
          <w:i/>
          <w:color w:val="000000" w:themeColor="text1"/>
        </w:rPr>
        <w:t>et al.,</w:t>
      </w:r>
      <w:r w:rsidRPr="006B7B78">
        <w:rPr>
          <w:color w:val="000000" w:themeColor="text1"/>
        </w:rPr>
        <w:t xml:space="preserve"> 2021). This includes the use of data sources available on the internet, which include journals, government websites, and articles among others. </w:t>
      </w:r>
    </w:p>
    <w:p w14:paraId="069EA1C6" w14:textId="77777777" w:rsidR="00190118" w:rsidRPr="006B7B78" w:rsidRDefault="00874130">
      <w:pPr>
        <w:pBdr>
          <w:top w:val="nil"/>
          <w:left w:val="nil"/>
          <w:bottom w:val="nil"/>
          <w:right w:val="nil"/>
          <w:between w:val="nil"/>
        </w:pBdr>
        <w:jc w:val="center"/>
        <w:rPr>
          <w:color w:val="000000" w:themeColor="text1"/>
        </w:rPr>
      </w:pPr>
      <w:r w:rsidRPr="006B7B78">
        <w:rPr>
          <w:noProof/>
          <w:color w:val="000000" w:themeColor="text1"/>
        </w:rPr>
        <w:drawing>
          <wp:inline distT="114300" distB="114300" distL="114300" distR="114300" wp14:anchorId="03A3A192" wp14:editId="377A1E67">
            <wp:extent cx="4673868" cy="2387737"/>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7"/>
                    <a:stretch>
                      <a:fillRect/>
                    </a:stretch>
                  </pic:blipFill>
                  <pic:spPr>
                    <a:xfrm>
                      <a:off x="0" y="0"/>
                      <a:ext cx="4673868" cy="2387737"/>
                    </a:xfrm>
                    <a:prstGeom prst="rect">
                      <a:avLst/>
                    </a:prstGeom>
                    <a:ln w="12700">
                      <a:solidFill>
                        <a:srgbClr val="000000"/>
                      </a:solidFill>
                      <a:prstDash val="solid"/>
                    </a:ln>
                  </pic:spPr>
                </pic:pic>
              </a:graphicData>
            </a:graphic>
          </wp:inline>
        </w:drawing>
      </w:r>
    </w:p>
    <w:p w14:paraId="0EB0CC86" w14:textId="77777777" w:rsidR="00190118" w:rsidRPr="006B7B78" w:rsidRDefault="00874130">
      <w:pPr>
        <w:pBdr>
          <w:top w:val="nil"/>
          <w:left w:val="nil"/>
          <w:bottom w:val="nil"/>
          <w:right w:val="nil"/>
          <w:between w:val="nil"/>
        </w:pBdr>
        <w:jc w:val="center"/>
        <w:rPr>
          <w:b/>
          <w:color w:val="000000" w:themeColor="text1"/>
        </w:rPr>
      </w:pPr>
      <w:r w:rsidRPr="006B7B78">
        <w:rPr>
          <w:b/>
          <w:color w:val="000000" w:themeColor="text1"/>
        </w:rPr>
        <w:t>Figure 2: Types of secondary data sources</w:t>
      </w:r>
    </w:p>
    <w:p w14:paraId="2FA2EEDF" w14:textId="77777777"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The above figure highlights the types of secondary data sources considered for data collection. </w:t>
      </w:r>
    </w:p>
    <w:p w14:paraId="18B2B1B6" w14:textId="77777777" w:rsidR="00190118" w:rsidRPr="006B7B78" w:rsidRDefault="00874130">
      <w:pPr>
        <w:pStyle w:val="Heading2"/>
        <w:rPr>
          <w:color w:val="000000" w:themeColor="text1"/>
        </w:rPr>
      </w:pPr>
      <w:bookmarkStart w:id="11" w:name="_Toc212699138"/>
      <w:r w:rsidRPr="006B7B78">
        <w:rPr>
          <w:color w:val="000000" w:themeColor="text1"/>
        </w:rPr>
        <w:t>Analytical techniques</w:t>
      </w:r>
      <w:bookmarkEnd w:id="11"/>
    </w:p>
    <w:p w14:paraId="1A585EA6" w14:textId="4D9A0563"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The analytical techniques which have been used in the given case include highlighting the various cases associated with the data provided. The suggested theme in the given case has been used in developing individual topics, based on which a literature review has been conducted. After this, </w:t>
      </w:r>
      <w:r w:rsidR="005726AE" w:rsidRPr="006B7B78">
        <w:rPr>
          <w:color w:val="000000" w:themeColor="text1"/>
        </w:rPr>
        <w:t xml:space="preserve">the tools help interpret current industry trends </w:t>
      </w:r>
      <w:r w:rsidRPr="006B7B78">
        <w:rPr>
          <w:color w:val="000000" w:themeColor="text1"/>
        </w:rPr>
        <w:t xml:space="preserve">associated with the industry. Based on this, the relevant analysis could be undertaken. </w:t>
      </w:r>
    </w:p>
    <w:p w14:paraId="4B33BD60" w14:textId="77777777" w:rsidR="00190118" w:rsidRPr="006B7B78" w:rsidRDefault="00874130">
      <w:pPr>
        <w:pStyle w:val="Heading2"/>
        <w:rPr>
          <w:color w:val="000000" w:themeColor="text1"/>
        </w:rPr>
      </w:pPr>
      <w:bookmarkStart w:id="12" w:name="_Toc212699139"/>
      <w:r w:rsidRPr="006B7B78">
        <w:rPr>
          <w:color w:val="000000" w:themeColor="text1"/>
        </w:rPr>
        <w:t>Tools used</w:t>
      </w:r>
      <w:bookmarkEnd w:id="12"/>
    </w:p>
    <w:p w14:paraId="1AF4F91F" w14:textId="77777777" w:rsidR="00190118" w:rsidRPr="006B7B78" w:rsidRDefault="00874130">
      <w:pPr>
        <w:pBdr>
          <w:top w:val="nil"/>
          <w:left w:val="nil"/>
          <w:bottom w:val="nil"/>
          <w:right w:val="nil"/>
          <w:between w:val="nil"/>
        </w:pBdr>
        <w:rPr>
          <w:color w:val="000000" w:themeColor="text1"/>
        </w:rPr>
      </w:pPr>
      <w:r w:rsidRPr="006B7B78">
        <w:rPr>
          <w:color w:val="000000" w:themeColor="text1"/>
        </w:rPr>
        <w:t>The analytics tools which have been used in the given case include SWOT analysis and PESTLE analysis. The SWOT analysis can be used to highlight the internal factors associated with the industry. Similarly, PESTLE analysis has been used to highlight the external factors associated with the industry.</w:t>
      </w:r>
    </w:p>
    <w:p w14:paraId="4305EDA8" w14:textId="77777777" w:rsidR="00190118" w:rsidRPr="006B7B78" w:rsidRDefault="00874130">
      <w:pPr>
        <w:pStyle w:val="Heading1"/>
        <w:rPr>
          <w:color w:val="000000" w:themeColor="text1"/>
        </w:rPr>
      </w:pPr>
      <w:bookmarkStart w:id="13" w:name="_Toc212699140"/>
      <w:r w:rsidRPr="006B7B78">
        <w:rPr>
          <w:color w:val="000000" w:themeColor="text1"/>
        </w:rPr>
        <w:t>4. Theme impact analysis</w:t>
      </w:r>
      <w:bookmarkEnd w:id="13"/>
    </w:p>
    <w:p w14:paraId="557B263D" w14:textId="77777777" w:rsidR="00190118" w:rsidRPr="006B7B78" w:rsidRDefault="00874130">
      <w:pPr>
        <w:pStyle w:val="Heading2"/>
        <w:rPr>
          <w:color w:val="000000" w:themeColor="text1"/>
        </w:rPr>
      </w:pPr>
      <w:bookmarkStart w:id="14" w:name="_Toc212699141"/>
      <w:r w:rsidRPr="006B7B78">
        <w:rPr>
          <w:color w:val="000000" w:themeColor="text1"/>
        </w:rPr>
        <w:t>Impact of the theme on the hotel and hospitality industry</w:t>
      </w:r>
      <w:bookmarkEnd w:id="14"/>
    </w:p>
    <w:p w14:paraId="7076D4B0" w14:textId="6B54C0FB" w:rsidR="00190118" w:rsidRPr="006B7B78" w:rsidRDefault="005726AE">
      <w:pPr>
        <w:pBdr>
          <w:top w:val="nil"/>
          <w:left w:val="nil"/>
          <w:bottom w:val="nil"/>
          <w:right w:val="nil"/>
          <w:between w:val="nil"/>
        </w:pBdr>
        <w:rPr>
          <w:color w:val="000000" w:themeColor="text1"/>
        </w:rPr>
      </w:pPr>
      <w:r w:rsidRPr="006B7B78">
        <w:rPr>
          <w:color w:val="000000" w:themeColor="text1"/>
        </w:rPr>
        <w:t xml:space="preserve">To assess the theme’s impact within the hospitality industry, a SWOT and PESTEL analysis has been used as a strategic tool in the given case. </w:t>
      </w:r>
    </w:p>
    <w:p w14:paraId="19CA5EAC" w14:textId="77777777" w:rsidR="00190118" w:rsidRPr="006B7B78" w:rsidRDefault="00874130">
      <w:pPr>
        <w:pStyle w:val="Heading3"/>
        <w:rPr>
          <w:color w:val="000000" w:themeColor="text1"/>
        </w:rPr>
      </w:pPr>
      <w:bookmarkStart w:id="15" w:name="_Toc212699142"/>
      <w:r w:rsidRPr="006B7B78">
        <w:rPr>
          <w:color w:val="000000" w:themeColor="text1"/>
        </w:rPr>
        <w:lastRenderedPageBreak/>
        <w:t>SWOT</w:t>
      </w:r>
      <w:bookmarkEnd w:id="15"/>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485"/>
      </w:tblGrid>
      <w:tr w:rsidR="006B7B78" w:rsidRPr="006B7B78" w14:paraId="1AD34549" w14:textId="77777777">
        <w:trPr>
          <w:cantSplit/>
          <w:tblHeader/>
        </w:trPr>
        <w:tc>
          <w:tcPr>
            <w:tcW w:w="4515" w:type="dxa"/>
            <w:tcMar>
              <w:top w:w="100" w:type="dxa"/>
              <w:left w:w="100" w:type="dxa"/>
              <w:bottom w:w="100" w:type="dxa"/>
              <w:right w:w="100" w:type="dxa"/>
            </w:tcMar>
          </w:tcPr>
          <w:p w14:paraId="039EB458" w14:textId="77777777" w:rsidR="00190118" w:rsidRPr="006B7B78" w:rsidRDefault="00874130">
            <w:pPr>
              <w:widowControl w:val="0"/>
              <w:pBdr>
                <w:top w:val="nil"/>
                <w:left w:val="nil"/>
                <w:bottom w:val="nil"/>
                <w:right w:val="nil"/>
                <w:between w:val="nil"/>
              </w:pBdr>
              <w:spacing w:line="240" w:lineRule="auto"/>
              <w:jc w:val="center"/>
              <w:rPr>
                <w:b/>
                <w:color w:val="000000" w:themeColor="text1"/>
              </w:rPr>
            </w:pPr>
            <w:r w:rsidRPr="006B7B78">
              <w:rPr>
                <w:b/>
                <w:color w:val="000000" w:themeColor="text1"/>
              </w:rPr>
              <w:t>STRENGTHS</w:t>
            </w:r>
          </w:p>
        </w:tc>
        <w:tc>
          <w:tcPr>
            <w:tcW w:w="4485" w:type="dxa"/>
            <w:tcMar>
              <w:top w:w="100" w:type="dxa"/>
              <w:left w:w="100" w:type="dxa"/>
              <w:bottom w:w="100" w:type="dxa"/>
              <w:right w:w="100" w:type="dxa"/>
            </w:tcMar>
          </w:tcPr>
          <w:p w14:paraId="7A794EDC" w14:textId="77777777" w:rsidR="00190118" w:rsidRPr="006B7B78" w:rsidRDefault="00874130">
            <w:pPr>
              <w:widowControl w:val="0"/>
              <w:pBdr>
                <w:top w:val="nil"/>
                <w:left w:val="nil"/>
                <w:bottom w:val="nil"/>
                <w:right w:val="nil"/>
                <w:between w:val="nil"/>
              </w:pBdr>
              <w:spacing w:line="240" w:lineRule="auto"/>
              <w:jc w:val="center"/>
              <w:rPr>
                <w:b/>
                <w:color w:val="000000" w:themeColor="text1"/>
              </w:rPr>
            </w:pPr>
            <w:r w:rsidRPr="006B7B78">
              <w:rPr>
                <w:b/>
                <w:color w:val="000000" w:themeColor="text1"/>
              </w:rPr>
              <w:t xml:space="preserve">WEAKNESS </w:t>
            </w:r>
          </w:p>
        </w:tc>
      </w:tr>
      <w:tr w:rsidR="006B7B78" w:rsidRPr="006B7B78" w14:paraId="0BABC3F2" w14:textId="77777777">
        <w:trPr>
          <w:cantSplit/>
          <w:tblHeader/>
        </w:trPr>
        <w:tc>
          <w:tcPr>
            <w:tcW w:w="4515" w:type="dxa"/>
            <w:tcMar>
              <w:top w:w="100" w:type="dxa"/>
              <w:left w:w="100" w:type="dxa"/>
              <w:bottom w:w="100" w:type="dxa"/>
              <w:right w:w="100" w:type="dxa"/>
            </w:tcMar>
          </w:tcPr>
          <w:p w14:paraId="3615C2A2" w14:textId="77777777" w:rsidR="00190118" w:rsidRPr="006B7B78" w:rsidRDefault="00874130">
            <w:pPr>
              <w:widowControl w:val="0"/>
              <w:numPr>
                <w:ilvl w:val="0"/>
                <w:numId w:val="2"/>
              </w:numPr>
              <w:pBdr>
                <w:top w:val="nil"/>
                <w:left w:val="nil"/>
                <w:bottom w:val="nil"/>
                <w:right w:val="nil"/>
                <w:between w:val="nil"/>
              </w:pBdr>
              <w:rPr>
                <w:color w:val="000000" w:themeColor="text1"/>
              </w:rPr>
            </w:pPr>
            <w:r w:rsidRPr="006B7B78">
              <w:rPr>
                <w:color w:val="000000" w:themeColor="text1"/>
              </w:rPr>
              <w:t xml:space="preserve">The hospitality industry has shown positive growth after the pandemic and has been a major facilitator of the economy (Ntounis </w:t>
            </w:r>
            <w:r w:rsidRPr="006B7B78">
              <w:rPr>
                <w:i/>
                <w:color w:val="000000" w:themeColor="text1"/>
              </w:rPr>
              <w:t>et al.,</w:t>
            </w:r>
            <w:r w:rsidRPr="006B7B78">
              <w:rPr>
                <w:color w:val="000000" w:themeColor="text1"/>
              </w:rPr>
              <w:t xml:space="preserve"> 2022). </w:t>
            </w:r>
          </w:p>
          <w:p w14:paraId="7BD894C5" w14:textId="3863184A" w:rsidR="00190118" w:rsidRPr="006B7B78" w:rsidRDefault="005726AE">
            <w:pPr>
              <w:widowControl w:val="0"/>
              <w:numPr>
                <w:ilvl w:val="0"/>
                <w:numId w:val="2"/>
              </w:numPr>
              <w:pBdr>
                <w:top w:val="nil"/>
                <w:left w:val="nil"/>
                <w:bottom w:val="nil"/>
                <w:right w:val="nil"/>
                <w:between w:val="nil"/>
              </w:pBdr>
              <w:rPr>
                <w:color w:val="000000" w:themeColor="text1"/>
              </w:rPr>
            </w:pPr>
            <w:r w:rsidRPr="006B7B78">
              <w:rPr>
                <w:color w:val="000000" w:themeColor="text1"/>
              </w:rPr>
              <w:t xml:space="preserve">The sector includes diverse establishments such as pubs, hotels, and inns. </w:t>
            </w:r>
          </w:p>
          <w:p w14:paraId="3ED03431" w14:textId="77777777" w:rsidR="00190118" w:rsidRPr="006B7B78" w:rsidRDefault="00190118">
            <w:pPr>
              <w:widowControl w:val="0"/>
              <w:pBdr>
                <w:top w:val="nil"/>
                <w:left w:val="nil"/>
                <w:bottom w:val="nil"/>
                <w:right w:val="nil"/>
                <w:between w:val="nil"/>
              </w:pBdr>
              <w:rPr>
                <w:color w:val="000000" w:themeColor="text1"/>
              </w:rPr>
            </w:pPr>
          </w:p>
        </w:tc>
        <w:tc>
          <w:tcPr>
            <w:tcW w:w="4485" w:type="dxa"/>
            <w:tcMar>
              <w:top w:w="100" w:type="dxa"/>
              <w:left w:w="100" w:type="dxa"/>
              <w:bottom w:w="100" w:type="dxa"/>
              <w:right w:w="100" w:type="dxa"/>
            </w:tcMar>
          </w:tcPr>
          <w:p w14:paraId="546F018F" w14:textId="77777777" w:rsidR="00190118" w:rsidRPr="006B7B78" w:rsidRDefault="00874130">
            <w:pPr>
              <w:widowControl w:val="0"/>
              <w:numPr>
                <w:ilvl w:val="0"/>
                <w:numId w:val="3"/>
              </w:numPr>
              <w:pBdr>
                <w:top w:val="nil"/>
                <w:left w:val="nil"/>
                <w:bottom w:val="nil"/>
                <w:right w:val="nil"/>
                <w:between w:val="nil"/>
              </w:pBdr>
              <w:rPr>
                <w:color w:val="000000" w:themeColor="text1"/>
              </w:rPr>
            </w:pPr>
            <w:r w:rsidRPr="006B7B78">
              <w:rPr>
                <w:color w:val="000000" w:themeColor="text1"/>
              </w:rPr>
              <w:t xml:space="preserve">A rise in external costs is influencing the business to reduce costs by taking steps such as reducing staff to offset the impact. </w:t>
            </w:r>
          </w:p>
          <w:p w14:paraId="419BA8E9" w14:textId="77777777" w:rsidR="00190118" w:rsidRPr="006B7B78" w:rsidRDefault="00874130">
            <w:pPr>
              <w:widowControl w:val="0"/>
              <w:numPr>
                <w:ilvl w:val="0"/>
                <w:numId w:val="3"/>
              </w:numPr>
              <w:pBdr>
                <w:top w:val="nil"/>
                <w:left w:val="nil"/>
                <w:bottom w:val="nil"/>
                <w:right w:val="nil"/>
                <w:between w:val="nil"/>
              </w:pBdr>
              <w:rPr>
                <w:color w:val="000000" w:themeColor="text1"/>
              </w:rPr>
            </w:pPr>
            <w:r w:rsidRPr="006B7B78">
              <w:rPr>
                <w:color w:val="000000" w:themeColor="text1"/>
              </w:rPr>
              <w:t xml:space="preserve">The industry faces challenges in recruiting and retaining staff in operations. </w:t>
            </w:r>
          </w:p>
        </w:tc>
      </w:tr>
      <w:tr w:rsidR="006B7B78" w:rsidRPr="006B7B78" w14:paraId="2A8162E9" w14:textId="77777777">
        <w:trPr>
          <w:cantSplit/>
          <w:tblHeader/>
        </w:trPr>
        <w:tc>
          <w:tcPr>
            <w:tcW w:w="4515" w:type="dxa"/>
            <w:tcMar>
              <w:top w:w="100" w:type="dxa"/>
              <w:left w:w="100" w:type="dxa"/>
              <w:bottom w:w="100" w:type="dxa"/>
              <w:right w:w="100" w:type="dxa"/>
            </w:tcMar>
          </w:tcPr>
          <w:p w14:paraId="5788D176" w14:textId="77777777" w:rsidR="00190118" w:rsidRPr="006B7B78" w:rsidRDefault="00874130">
            <w:pPr>
              <w:widowControl w:val="0"/>
              <w:pBdr>
                <w:top w:val="nil"/>
                <w:left w:val="nil"/>
                <w:bottom w:val="nil"/>
                <w:right w:val="nil"/>
                <w:between w:val="nil"/>
              </w:pBdr>
              <w:spacing w:line="240" w:lineRule="auto"/>
              <w:jc w:val="center"/>
              <w:rPr>
                <w:b/>
                <w:color w:val="000000" w:themeColor="text1"/>
              </w:rPr>
            </w:pPr>
            <w:r w:rsidRPr="006B7B78">
              <w:rPr>
                <w:b/>
                <w:color w:val="000000" w:themeColor="text1"/>
              </w:rPr>
              <w:t xml:space="preserve">OPPORTUNITIES </w:t>
            </w:r>
          </w:p>
        </w:tc>
        <w:tc>
          <w:tcPr>
            <w:tcW w:w="4485" w:type="dxa"/>
            <w:tcMar>
              <w:top w:w="100" w:type="dxa"/>
              <w:left w:w="100" w:type="dxa"/>
              <w:bottom w:w="100" w:type="dxa"/>
              <w:right w:w="100" w:type="dxa"/>
            </w:tcMar>
          </w:tcPr>
          <w:p w14:paraId="36D87EB3" w14:textId="77777777" w:rsidR="00190118" w:rsidRPr="006B7B78" w:rsidRDefault="00874130">
            <w:pPr>
              <w:widowControl w:val="0"/>
              <w:pBdr>
                <w:top w:val="nil"/>
                <w:left w:val="nil"/>
                <w:bottom w:val="nil"/>
                <w:right w:val="nil"/>
                <w:between w:val="nil"/>
              </w:pBdr>
              <w:spacing w:line="240" w:lineRule="auto"/>
              <w:jc w:val="center"/>
              <w:rPr>
                <w:b/>
                <w:color w:val="000000" w:themeColor="text1"/>
              </w:rPr>
            </w:pPr>
            <w:r w:rsidRPr="006B7B78">
              <w:rPr>
                <w:b/>
                <w:color w:val="000000" w:themeColor="text1"/>
              </w:rPr>
              <w:t xml:space="preserve">THREATS </w:t>
            </w:r>
          </w:p>
        </w:tc>
      </w:tr>
      <w:tr w:rsidR="006B7B78" w:rsidRPr="006B7B78" w14:paraId="7B5CA974" w14:textId="77777777">
        <w:trPr>
          <w:cantSplit/>
          <w:tblHeader/>
        </w:trPr>
        <w:tc>
          <w:tcPr>
            <w:tcW w:w="4515" w:type="dxa"/>
            <w:tcMar>
              <w:top w:w="100" w:type="dxa"/>
              <w:left w:w="100" w:type="dxa"/>
              <w:bottom w:w="100" w:type="dxa"/>
              <w:right w:w="100" w:type="dxa"/>
            </w:tcMar>
          </w:tcPr>
          <w:p w14:paraId="40BC3BDE" w14:textId="77777777" w:rsidR="00190118" w:rsidRPr="006B7B78" w:rsidRDefault="00874130">
            <w:pPr>
              <w:widowControl w:val="0"/>
              <w:numPr>
                <w:ilvl w:val="0"/>
                <w:numId w:val="4"/>
              </w:numPr>
              <w:pBdr>
                <w:top w:val="nil"/>
                <w:left w:val="nil"/>
                <w:bottom w:val="nil"/>
                <w:right w:val="nil"/>
                <w:between w:val="nil"/>
              </w:pBdr>
              <w:rPr>
                <w:color w:val="000000" w:themeColor="text1"/>
              </w:rPr>
            </w:pPr>
            <w:r w:rsidRPr="006B7B78">
              <w:rPr>
                <w:color w:val="000000" w:themeColor="text1"/>
              </w:rPr>
              <w:t xml:space="preserve">There are ongoing talks associated with government agencies and industry-based bodies. </w:t>
            </w:r>
          </w:p>
          <w:p w14:paraId="10518878" w14:textId="20833307" w:rsidR="00190118" w:rsidRPr="006B7B78" w:rsidRDefault="00874130">
            <w:pPr>
              <w:widowControl w:val="0"/>
              <w:numPr>
                <w:ilvl w:val="0"/>
                <w:numId w:val="4"/>
              </w:numPr>
              <w:pBdr>
                <w:top w:val="nil"/>
                <w:left w:val="nil"/>
                <w:bottom w:val="nil"/>
                <w:right w:val="nil"/>
                <w:between w:val="nil"/>
              </w:pBdr>
              <w:rPr>
                <w:color w:val="000000" w:themeColor="text1"/>
              </w:rPr>
            </w:pPr>
            <w:r w:rsidRPr="006B7B78">
              <w:rPr>
                <w:color w:val="000000" w:themeColor="text1"/>
              </w:rPr>
              <w:t xml:space="preserve">The government has provided various forms of concessions to the bodies, which include VAT-based reductions and other financial </w:t>
            </w:r>
            <w:r w:rsidR="005726AE" w:rsidRPr="006B7B78">
              <w:rPr>
                <w:color w:val="000000" w:themeColor="text1"/>
              </w:rPr>
              <w:t>leeway</w:t>
            </w:r>
            <w:r w:rsidRPr="006B7B78">
              <w:rPr>
                <w:color w:val="000000" w:themeColor="text1"/>
              </w:rPr>
              <w:t>.</w:t>
            </w:r>
          </w:p>
        </w:tc>
        <w:tc>
          <w:tcPr>
            <w:tcW w:w="4485" w:type="dxa"/>
            <w:tcMar>
              <w:top w:w="100" w:type="dxa"/>
              <w:left w:w="100" w:type="dxa"/>
              <w:bottom w:w="100" w:type="dxa"/>
              <w:right w:w="100" w:type="dxa"/>
            </w:tcMar>
          </w:tcPr>
          <w:p w14:paraId="22ED2EC0" w14:textId="60344813" w:rsidR="00190118" w:rsidRPr="006B7B78" w:rsidRDefault="00874130">
            <w:pPr>
              <w:widowControl w:val="0"/>
              <w:numPr>
                <w:ilvl w:val="0"/>
                <w:numId w:val="1"/>
              </w:numPr>
              <w:pBdr>
                <w:top w:val="nil"/>
                <w:left w:val="nil"/>
                <w:bottom w:val="nil"/>
                <w:right w:val="nil"/>
                <w:between w:val="nil"/>
              </w:pBdr>
              <w:rPr>
                <w:color w:val="000000" w:themeColor="text1"/>
              </w:rPr>
            </w:pPr>
            <w:r w:rsidRPr="006B7B78">
              <w:rPr>
                <w:color w:val="000000" w:themeColor="text1"/>
              </w:rPr>
              <w:t xml:space="preserve">The consumer purchasing capacities within the region can fluctuate, </w:t>
            </w:r>
            <w:r w:rsidR="005726AE" w:rsidRPr="006B7B78">
              <w:rPr>
                <w:color w:val="000000" w:themeColor="text1"/>
              </w:rPr>
              <w:t xml:space="preserve">leading to fluctuating customer footfall. </w:t>
            </w:r>
          </w:p>
          <w:p w14:paraId="00273659" w14:textId="2303E894" w:rsidR="00190118" w:rsidRPr="006B7B78" w:rsidRDefault="00874130">
            <w:pPr>
              <w:widowControl w:val="0"/>
              <w:numPr>
                <w:ilvl w:val="0"/>
                <w:numId w:val="1"/>
              </w:numPr>
              <w:pBdr>
                <w:top w:val="nil"/>
                <w:left w:val="nil"/>
                <w:bottom w:val="nil"/>
                <w:right w:val="nil"/>
                <w:between w:val="nil"/>
              </w:pBdr>
              <w:rPr>
                <w:color w:val="000000" w:themeColor="text1"/>
              </w:rPr>
            </w:pPr>
            <w:r w:rsidRPr="006B7B78">
              <w:rPr>
                <w:color w:val="000000" w:themeColor="text1"/>
              </w:rPr>
              <w:t xml:space="preserve">Shifts in consumer </w:t>
            </w:r>
            <w:r w:rsidR="005726AE" w:rsidRPr="006B7B78">
              <w:rPr>
                <w:color w:val="000000" w:themeColor="text1"/>
              </w:rPr>
              <w:t>demand</w:t>
            </w:r>
            <w:r w:rsidRPr="006B7B78">
              <w:rPr>
                <w:color w:val="000000" w:themeColor="text1"/>
              </w:rPr>
              <w:t xml:space="preserve"> can result in a potential decline in demand for hospitality-based services within the UK region. </w:t>
            </w:r>
          </w:p>
        </w:tc>
      </w:tr>
    </w:tbl>
    <w:p w14:paraId="2CDDBF07" w14:textId="77777777" w:rsidR="00190118" w:rsidRPr="006B7B78" w:rsidRDefault="00874130">
      <w:pPr>
        <w:pBdr>
          <w:top w:val="nil"/>
          <w:left w:val="nil"/>
          <w:bottom w:val="nil"/>
          <w:right w:val="nil"/>
          <w:between w:val="nil"/>
        </w:pBdr>
        <w:jc w:val="center"/>
        <w:rPr>
          <w:b/>
          <w:color w:val="000000" w:themeColor="text1"/>
        </w:rPr>
      </w:pPr>
      <w:r w:rsidRPr="006B7B78">
        <w:rPr>
          <w:b/>
          <w:color w:val="000000" w:themeColor="text1"/>
        </w:rPr>
        <w:t>Table 1: SWOT analysis</w:t>
      </w:r>
    </w:p>
    <w:p w14:paraId="51F64962" w14:textId="77777777" w:rsidR="00190118" w:rsidRPr="006B7B78" w:rsidRDefault="00874130">
      <w:pPr>
        <w:pBdr>
          <w:top w:val="nil"/>
          <w:left w:val="nil"/>
          <w:bottom w:val="nil"/>
          <w:right w:val="nil"/>
          <w:between w:val="nil"/>
        </w:pBdr>
        <w:rPr>
          <w:color w:val="000000" w:themeColor="text1"/>
        </w:rPr>
      </w:pPr>
      <w:r w:rsidRPr="006B7B78">
        <w:rPr>
          <w:b/>
          <w:color w:val="000000" w:themeColor="text1"/>
        </w:rPr>
        <w:t>Analysis</w:t>
      </w:r>
    </w:p>
    <w:p w14:paraId="706A0645" w14:textId="6DE25232"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Strengths involve the potential for the growth of the industry after COVID. Weaknesses involve challenges in recruiting and retaining staff for businesses in the industry, which are posed by the increased regulation and competition. Opportunities highlight that the tourism-based bodies have reached out to the governments of other organisations to promote a free passage of tourism in and out of the region. Threats include reduced purchase capacities and </w:t>
      </w:r>
      <w:r w:rsidR="005726AE" w:rsidRPr="006B7B78">
        <w:rPr>
          <w:color w:val="000000" w:themeColor="text1"/>
        </w:rPr>
        <w:t>shift</w:t>
      </w:r>
      <w:r w:rsidRPr="006B7B78">
        <w:rPr>
          <w:color w:val="000000" w:themeColor="text1"/>
        </w:rPr>
        <w:t xml:space="preserve"> in demand. </w:t>
      </w:r>
    </w:p>
    <w:p w14:paraId="2E7F84D2" w14:textId="77777777" w:rsidR="00190118" w:rsidRPr="006B7B78" w:rsidRDefault="00874130">
      <w:pPr>
        <w:pStyle w:val="Heading3"/>
        <w:rPr>
          <w:color w:val="000000" w:themeColor="text1"/>
        </w:rPr>
      </w:pPr>
      <w:bookmarkStart w:id="16" w:name="_Toc212699143"/>
      <w:r w:rsidRPr="006B7B78">
        <w:rPr>
          <w:color w:val="000000" w:themeColor="text1"/>
        </w:rPr>
        <w:lastRenderedPageBreak/>
        <w:t>PESTLE Analysis</w:t>
      </w:r>
      <w:bookmarkEnd w:id="16"/>
    </w:p>
    <w:tbl>
      <w:tblPr>
        <w:tblStyle w:val="Table2"/>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80"/>
        <w:gridCol w:w="6720"/>
      </w:tblGrid>
      <w:tr w:rsidR="006B7B78" w:rsidRPr="006B7B78" w14:paraId="4D24469F" w14:textId="77777777">
        <w:trPr>
          <w:cantSplit/>
          <w:tblHeader/>
        </w:trPr>
        <w:tc>
          <w:tcPr>
            <w:tcW w:w="2280" w:type="dxa"/>
            <w:tcMar>
              <w:top w:w="100" w:type="dxa"/>
              <w:left w:w="100" w:type="dxa"/>
              <w:bottom w:w="100" w:type="dxa"/>
              <w:right w:w="100" w:type="dxa"/>
            </w:tcMar>
          </w:tcPr>
          <w:p w14:paraId="6D173A96" w14:textId="77777777" w:rsidR="00190118" w:rsidRPr="006B7B78" w:rsidRDefault="00874130">
            <w:pPr>
              <w:widowControl w:val="0"/>
              <w:pBdr>
                <w:top w:val="nil"/>
                <w:left w:val="nil"/>
                <w:bottom w:val="nil"/>
                <w:right w:val="nil"/>
                <w:between w:val="nil"/>
              </w:pBdr>
              <w:spacing w:line="240" w:lineRule="auto"/>
              <w:jc w:val="center"/>
              <w:rPr>
                <w:b/>
                <w:color w:val="000000" w:themeColor="text1"/>
              </w:rPr>
            </w:pPr>
            <w:r w:rsidRPr="006B7B78">
              <w:rPr>
                <w:b/>
                <w:color w:val="000000" w:themeColor="text1"/>
              </w:rPr>
              <w:t xml:space="preserve">FACTORS </w:t>
            </w:r>
          </w:p>
        </w:tc>
        <w:tc>
          <w:tcPr>
            <w:tcW w:w="6720" w:type="dxa"/>
            <w:tcMar>
              <w:top w:w="100" w:type="dxa"/>
              <w:left w:w="100" w:type="dxa"/>
              <w:bottom w:w="100" w:type="dxa"/>
              <w:right w:w="100" w:type="dxa"/>
            </w:tcMar>
          </w:tcPr>
          <w:p w14:paraId="2F2F8594" w14:textId="77777777" w:rsidR="00190118" w:rsidRPr="006B7B78" w:rsidRDefault="00874130">
            <w:pPr>
              <w:widowControl w:val="0"/>
              <w:pBdr>
                <w:top w:val="nil"/>
                <w:left w:val="nil"/>
                <w:bottom w:val="nil"/>
                <w:right w:val="nil"/>
                <w:between w:val="nil"/>
              </w:pBdr>
              <w:spacing w:line="240" w:lineRule="auto"/>
              <w:jc w:val="center"/>
              <w:rPr>
                <w:b/>
                <w:color w:val="000000" w:themeColor="text1"/>
              </w:rPr>
            </w:pPr>
            <w:r w:rsidRPr="006B7B78">
              <w:rPr>
                <w:b/>
                <w:color w:val="000000" w:themeColor="text1"/>
              </w:rPr>
              <w:t xml:space="preserve">DETAILS </w:t>
            </w:r>
          </w:p>
        </w:tc>
      </w:tr>
      <w:tr w:rsidR="006B7B78" w:rsidRPr="006B7B78" w14:paraId="7151DDF6" w14:textId="77777777">
        <w:trPr>
          <w:cantSplit/>
          <w:tblHeader/>
        </w:trPr>
        <w:tc>
          <w:tcPr>
            <w:tcW w:w="2280" w:type="dxa"/>
            <w:tcMar>
              <w:top w:w="100" w:type="dxa"/>
              <w:left w:w="100" w:type="dxa"/>
              <w:bottom w:w="100" w:type="dxa"/>
              <w:right w:w="100" w:type="dxa"/>
            </w:tcMar>
          </w:tcPr>
          <w:p w14:paraId="03B62306"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Political </w:t>
            </w:r>
          </w:p>
        </w:tc>
        <w:tc>
          <w:tcPr>
            <w:tcW w:w="6720" w:type="dxa"/>
            <w:tcMar>
              <w:top w:w="100" w:type="dxa"/>
              <w:left w:w="100" w:type="dxa"/>
              <w:bottom w:w="100" w:type="dxa"/>
              <w:right w:w="100" w:type="dxa"/>
            </w:tcMar>
          </w:tcPr>
          <w:p w14:paraId="7D6A47CF" w14:textId="23894F84"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The political stability index of the UK is 0.51, </w:t>
            </w:r>
            <w:r w:rsidR="005726AE" w:rsidRPr="006B7B78">
              <w:rPr>
                <w:color w:val="000000" w:themeColor="text1"/>
              </w:rPr>
              <w:t xml:space="preserve">which is relatively low and may influence policy decisions </w:t>
            </w:r>
            <w:r w:rsidRPr="006B7B78">
              <w:rPr>
                <w:color w:val="000000" w:themeColor="text1"/>
              </w:rPr>
              <w:t xml:space="preserve">associated with the hospitality industry (Theglobaleconomy.com, 2025). </w:t>
            </w:r>
          </w:p>
        </w:tc>
      </w:tr>
      <w:tr w:rsidR="006B7B78" w:rsidRPr="006B7B78" w14:paraId="65735A42" w14:textId="77777777">
        <w:trPr>
          <w:cantSplit/>
          <w:tblHeader/>
        </w:trPr>
        <w:tc>
          <w:tcPr>
            <w:tcW w:w="2280" w:type="dxa"/>
            <w:tcMar>
              <w:top w:w="100" w:type="dxa"/>
              <w:left w:w="100" w:type="dxa"/>
              <w:bottom w:w="100" w:type="dxa"/>
              <w:right w:w="100" w:type="dxa"/>
            </w:tcMar>
          </w:tcPr>
          <w:p w14:paraId="6CBD19AE"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Economic </w:t>
            </w:r>
          </w:p>
        </w:tc>
        <w:tc>
          <w:tcPr>
            <w:tcW w:w="6720" w:type="dxa"/>
            <w:tcMar>
              <w:top w:w="100" w:type="dxa"/>
              <w:left w:w="100" w:type="dxa"/>
              <w:bottom w:w="100" w:type="dxa"/>
              <w:right w:w="100" w:type="dxa"/>
            </w:tcMar>
          </w:tcPr>
          <w:p w14:paraId="2D8F1708" w14:textId="542C53B5"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The rate of inflation within the UK is 4.1% as of 2025 and has been affecting the consumer spending </w:t>
            </w:r>
            <w:r w:rsidR="005726AE" w:rsidRPr="006B7B78">
              <w:rPr>
                <w:color w:val="000000" w:themeColor="text1"/>
              </w:rPr>
              <w:t xml:space="preserve">power </w:t>
            </w:r>
            <w:r w:rsidRPr="006B7B78">
              <w:rPr>
                <w:color w:val="000000" w:themeColor="text1"/>
              </w:rPr>
              <w:t xml:space="preserve">within the region (Ons.gov.uk, 2025). </w:t>
            </w:r>
          </w:p>
        </w:tc>
      </w:tr>
      <w:tr w:rsidR="006B7B78" w:rsidRPr="006B7B78" w14:paraId="1F4015D6" w14:textId="77777777">
        <w:trPr>
          <w:cantSplit/>
          <w:tblHeader/>
        </w:trPr>
        <w:tc>
          <w:tcPr>
            <w:tcW w:w="2280" w:type="dxa"/>
            <w:tcMar>
              <w:top w:w="100" w:type="dxa"/>
              <w:left w:w="100" w:type="dxa"/>
              <w:bottom w:w="100" w:type="dxa"/>
              <w:right w:w="100" w:type="dxa"/>
            </w:tcMar>
          </w:tcPr>
          <w:p w14:paraId="155A7357"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Social </w:t>
            </w:r>
          </w:p>
        </w:tc>
        <w:tc>
          <w:tcPr>
            <w:tcW w:w="6720" w:type="dxa"/>
            <w:tcMar>
              <w:top w:w="100" w:type="dxa"/>
              <w:left w:w="100" w:type="dxa"/>
              <w:bottom w:w="100" w:type="dxa"/>
              <w:right w:w="100" w:type="dxa"/>
            </w:tcMar>
          </w:tcPr>
          <w:p w14:paraId="4A079085" w14:textId="448A6C91"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Changes in the preferences of consumers </w:t>
            </w:r>
            <w:r w:rsidR="005726AE" w:rsidRPr="006B7B78">
              <w:rPr>
                <w:color w:val="000000" w:themeColor="text1"/>
              </w:rPr>
              <w:t>have affected the industry.</w:t>
            </w:r>
            <w:r w:rsidR="00CC29AA" w:rsidRPr="006B7B78">
              <w:rPr>
                <w:color w:val="000000" w:themeColor="text1"/>
              </w:rPr>
              <w:t xml:space="preserve"> </w:t>
            </w:r>
          </w:p>
        </w:tc>
      </w:tr>
      <w:tr w:rsidR="006B7B78" w:rsidRPr="006B7B78" w14:paraId="68073E3E" w14:textId="77777777">
        <w:trPr>
          <w:cantSplit/>
          <w:tblHeader/>
        </w:trPr>
        <w:tc>
          <w:tcPr>
            <w:tcW w:w="2280" w:type="dxa"/>
            <w:tcMar>
              <w:top w:w="100" w:type="dxa"/>
              <w:left w:w="100" w:type="dxa"/>
              <w:bottom w:w="100" w:type="dxa"/>
              <w:right w:w="100" w:type="dxa"/>
            </w:tcMar>
          </w:tcPr>
          <w:p w14:paraId="78926C36"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Technological </w:t>
            </w:r>
          </w:p>
        </w:tc>
        <w:tc>
          <w:tcPr>
            <w:tcW w:w="6720" w:type="dxa"/>
            <w:tcMar>
              <w:top w:w="100" w:type="dxa"/>
              <w:left w:w="100" w:type="dxa"/>
              <w:bottom w:w="100" w:type="dxa"/>
              <w:right w:w="100" w:type="dxa"/>
            </w:tcMar>
          </w:tcPr>
          <w:p w14:paraId="244E39AC"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Businesses are investing in technologies due to the rise in labour costs within the region. </w:t>
            </w:r>
          </w:p>
        </w:tc>
      </w:tr>
      <w:tr w:rsidR="006B7B78" w:rsidRPr="006B7B78" w14:paraId="58933FD8" w14:textId="77777777">
        <w:trPr>
          <w:cantSplit/>
          <w:tblHeader/>
        </w:trPr>
        <w:tc>
          <w:tcPr>
            <w:tcW w:w="2280" w:type="dxa"/>
            <w:tcMar>
              <w:top w:w="100" w:type="dxa"/>
              <w:left w:w="100" w:type="dxa"/>
              <w:bottom w:w="100" w:type="dxa"/>
              <w:right w:w="100" w:type="dxa"/>
            </w:tcMar>
          </w:tcPr>
          <w:p w14:paraId="78EBCAA7"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Legal </w:t>
            </w:r>
          </w:p>
        </w:tc>
        <w:tc>
          <w:tcPr>
            <w:tcW w:w="6720" w:type="dxa"/>
            <w:tcMar>
              <w:top w:w="100" w:type="dxa"/>
              <w:left w:w="100" w:type="dxa"/>
              <w:bottom w:w="100" w:type="dxa"/>
              <w:right w:w="100" w:type="dxa"/>
            </w:tcMar>
          </w:tcPr>
          <w:p w14:paraId="08CA6BB9"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The regulations associated with the industry are followed, which includes the likes of Martyn’s law that dictates access to public places (Protectuk.police.uk, 2025). </w:t>
            </w:r>
          </w:p>
        </w:tc>
      </w:tr>
      <w:tr w:rsidR="006B7B78" w:rsidRPr="006B7B78" w14:paraId="3051EDFB" w14:textId="77777777">
        <w:trPr>
          <w:cantSplit/>
          <w:tblHeader/>
        </w:trPr>
        <w:tc>
          <w:tcPr>
            <w:tcW w:w="2280" w:type="dxa"/>
            <w:tcMar>
              <w:top w:w="100" w:type="dxa"/>
              <w:left w:w="100" w:type="dxa"/>
              <w:bottom w:w="100" w:type="dxa"/>
              <w:right w:w="100" w:type="dxa"/>
            </w:tcMar>
          </w:tcPr>
          <w:p w14:paraId="24051EAE" w14:textId="77777777"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Environmental</w:t>
            </w:r>
          </w:p>
        </w:tc>
        <w:tc>
          <w:tcPr>
            <w:tcW w:w="6720" w:type="dxa"/>
            <w:tcMar>
              <w:top w:w="100" w:type="dxa"/>
              <w:left w:w="100" w:type="dxa"/>
              <w:bottom w:w="100" w:type="dxa"/>
              <w:right w:w="100" w:type="dxa"/>
            </w:tcMar>
          </w:tcPr>
          <w:p w14:paraId="7376D18C" w14:textId="058D7332" w:rsidR="00190118" w:rsidRPr="006B7B78" w:rsidRDefault="00874130">
            <w:pPr>
              <w:widowControl w:val="0"/>
              <w:pBdr>
                <w:top w:val="nil"/>
                <w:left w:val="nil"/>
                <w:bottom w:val="nil"/>
                <w:right w:val="nil"/>
                <w:between w:val="nil"/>
              </w:pBdr>
              <w:rPr>
                <w:color w:val="000000" w:themeColor="text1"/>
              </w:rPr>
            </w:pPr>
            <w:r w:rsidRPr="006B7B78">
              <w:rPr>
                <w:color w:val="000000" w:themeColor="text1"/>
              </w:rPr>
              <w:t xml:space="preserve">Due to the global environmental crisis, the hospitality industry has been forced to include changes within its operations that can help </w:t>
            </w:r>
            <w:r w:rsidR="005726AE" w:rsidRPr="006B7B78">
              <w:rPr>
                <w:color w:val="000000" w:themeColor="text1"/>
              </w:rPr>
              <w:t>offset cost-related impacts</w:t>
            </w:r>
            <w:r w:rsidRPr="006B7B78">
              <w:rPr>
                <w:color w:val="000000" w:themeColor="text1"/>
              </w:rPr>
              <w:t xml:space="preserve">. </w:t>
            </w:r>
          </w:p>
        </w:tc>
      </w:tr>
    </w:tbl>
    <w:p w14:paraId="5223956B" w14:textId="77777777" w:rsidR="00190118" w:rsidRPr="006B7B78" w:rsidRDefault="00874130">
      <w:pPr>
        <w:pBdr>
          <w:top w:val="nil"/>
          <w:left w:val="nil"/>
          <w:bottom w:val="nil"/>
          <w:right w:val="nil"/>
          <w:between w:val="nil"/>
        </w:pBdr>
        <w:jc w:val="center"/>
        <w:rPr>
          <w:b/>
          <w:color w:val="000000" w:themeColor="text1"/>
        </w:rPr>
      </w:pPr>
      <w:r w:rsidRPr="006B7B78">
        <w:rPr>
          <w:b/>
          <w:color w:val="000000" w:themeColor="text1"/>
        </w:rPr>
        <w:t>Table 2: PESTLE analysis</w:t>
      </w:r>
    </w:p>
    <w:p w14:paraId="3A27FE8A" w14:textId="77777777" w:rsidR="00190118" w:rsidRPr="006B7B78" w:rsidRDefault="00874130">
      <w:pPr>
        <w:pBdr>
          <w:top w:val="nil"/>
          <w:left w:val="nil"/>
          <w:bottom w:val="nil"/>
          <w:right w:val="nil"/>
          <w:between w:val="nil"/>
        </w:pBdr>
        <w:rPr>
          <w:b/>
          <w:color w:val="000000" w:themeColor="text1"/>
        </w:rPr>
      </w:pPr>
      <w:r w:rsidRPr="006B7B78">
        <w:rPr>
          <w:b/>
          <w:color w:val="000000" w:themeColor="text1"/>
        </w:rPr>
        <w:t>Analysis</w:t>
      </w:r>
    </w:p>
    <w:p w14:paraId="2B5CD7B7" w14:textId="45DBB15E" w:rsidR="00190118" w:rsidRPr="006B7B78" w:rsidRDefault="00874130">
      <w:pPr>
        <w:pBdr>
          <w:top w:val="nil"/>
          <w:left w:val="nil"/>
          <w:bottom w:val="nil"/>
          <w:right w:val="nil"/>
          <w:between w:val="nil"/>
        </w:pBdr>
        <w:rPr>
          <w:b/>
          <w:color w:val="000000" w:themeColor="text1"/>
        </w:rPr>
      </w:pPr>
      <w:r w:rsidRPr="006B7B78">
        <w:rPr>
          <w:color w:val="000000" w:themeColor="text1"/>
        </w:rPr>
        <w:t xml:space="preserve">Political and social factors </w:t>
      </w:r>
      <w:r w:rsidR="005726AE" w:rsidRPr="006B7B78">
        <w:rPr>
          <w:color w:val="000000" w:themeColor="text1"/>
        </w:rPr>
        <w:t xml:space="preserve">highlight </w:t>
      </w:r>
      <w:r w:rsidRPr="006B7B78">
        <w:rPr>
          <w:color w:val="000000" w:themeColor="text1"/>
        </w:rPr>
        <w:t xml:space="preserve">the impact due to inflation and political stability. The social factors highlight changes in consumer behaviour that require businesses to invest more in modifying the existing business structure, </w:t>
      </w:r>
      <w:r w:rsidR="0051758D" w:rsidRPr="006B7B78">
        <w:rPr>
          <w:color w:val="000000" w:themeColor="text1"/>
        </w:rPr>
        <w:t xml:space="preserve">which remains limited by low budgets </w:t>
      </w:r>
      <w:r w:rsidRPr="006B7B78">
        <w:rPr>
          <w:color w:val="000000" w:themeColor="text1"/>
        </w:rPr>
        <w:t xml:space="preserve">and lowered profit margins. Technological aspects can involve the examples of businesses such as Greene King, </w:t>
      </w:r>
      <w:r w:rsidR="0051758D" w:rsidRPr="006B7B78">
        <w:rPr>
          <w:color w:val="000000" w:themeColor="text1"/>
        </w:rPr>
        <w:t>which invests</w:t>
      </w:r>
      <w:r w:rsidRPr="006B7B78">
        <w:rPr>
          <w:color w:val="000000" w:themeColor="text1"/>
        </w:rPr>
        <w:t xml:space="preserve"> in automation-based technologies that </w:t>
      </w:r>
      <w:r w:rsidR="0051758D" w:rsidRPr="006B7B78">
        <w:rPr>
          <w:color w:val="000000" w:themeColor="text1"/>
        </w:rPr>
        <w:t xml:space="preserve">can reduce labour costs </w:t>
      </w:r>
      <w:r w:rsidRPr="006B7B78">
        <w:rPr>
          <w:color w:val="000000" w:themeColor="text1"/>
        </w:rPr>
        <w:t>(Greeneking.co.uk, 2025). The rise in environmental factors can include the impact due to th</w:t>
      </w:r>
      <w:r w:rsidRPr="006B7B78">
        <w:rPr>
          <w:color w:val="000000" w:themeColor="text1"/>
        </w:rPr>
        <w:t>e global rise in energy costs since 2021 (Iea.org, 2025). This event has led businesses to increase costs associated with energy usage due to the global power crisis.</w:t>
      </w:r>
    </w:p>
    <w:p w14:paraId="23CC4A52" w14:textId="77777777" w:rsidR="00190118" w:rsidRPr="006B7B78" w:rsidRDefault="00874130">
      <w:pPr>
        <w:pStyle w:val="Heading2"/>
        <w:rPr>
          <w:color w:val="000000" w:themeColor="text1"/>
        </w:rPr>
      </w:pPr>
      <w:bookmarkStart w:id="17" w:name="_Toc212699144"/>
      <w:r w:rsidRPr="006B7B78">
        <w:rPr>
          <w:color w:val="000000" w:themeColor="text1"/>
        </w:rPr>
        <w:lastRenderedPageBreak/>
        <w:t>Examples of industry responses</w:t>
      </w:r>
      <w:bookmarkEnd w:id="17"/>
    </w:p>
    <w:p w14:paraId="6F4BE029" w14:textId="77777777" w:rsidR="00190118" w:rsidRPr="006B7B78" w:rsidRDefault="00874130">
      <w:pPr>
        <w:pStyle w:val="Heading3"/>
        <w:rPr>
          <w:color w:val="000000" w:themeColor="text1"/>
        </w:rPr>
      </w:pPr>
      <w:bookmarkStart w:id="18" w:name="_Toc212699145"/>
      <w:r w:rsidRPr="006B7B78">
        <w:rPr>
          <w:color w:val="000000" w:themeColor="text1"/>
        </w:rPr>
        <w:t>Government responses</w:t>
      </w:r>
      <w:bookmarkEnd w:id="18"/>
    </w:p>
    <w:p w14:paraId="4CE383D3" w14:textId="111D8DE6"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Within the UK, the annual budget 2021 has reduced </w:t>
      </w:r>
      <w:r w:rsidR="0051758D" w:rsidRPr="006B7B78">
        <w:rPr>
          <w:color w:val="000000" w:themeColor="text1"/>
        </w:rPr>
        <w:t xml:space="preserve">rates that were applied </w:t>
      </w:r>
      <w:r w:rsidRPr="006B7B78">
        <w:rPr>
          <w:color w:val="000000" w:themeColor="text1"/>
        </w:rPr>
        <w:t xml:space="preserve">and have ended on 31 March 2022. The reduced rate included 5% starting from 15 July 2020 to 30 September 2021 and 5% to 30 September 2021 then 12.5% to 31 March 2022 (Assets.publishing.service.gov.uk, 2025). The government had made an announcement on 8 July 2020 that had allowed VAT-registered businesses </w:t>
      </w:r>
      <w:r w:rsidR="0051758D" w:rsidRPr="006B7B78">
        <w:rPr>
          <w:color w:val="000000" w:themeColor="text1"/>
        </w:rPr>
        <w:t>had allowed</w:t>
      </w:r>
      <w:r w:rsidRPr="006B7B78">
        <w:rPr>
          <w:color w:val="000000" w:themeColor="text1"/>
        </w:rPr>
        <w:t xml:space="preserve"> a temporary reduced rate of VAT, which </w:t>
      </w:r>
      <w:r w:rsidR="0051758D" w:rsidRPr="006B7B78">
        <w:rPr>
          <w:color w:val="000000" w:themeColor="text1"/>
        </w:rPr>
        <w:t>included</w:t>
      </w:r>
      <w:r w:rsidRPr="006B7B78">
        <w:rPr>
          <w:color w:val="000000" w:themeColor="text1"/>
        </w:rPr>
        <w:t xml:space="preserve"> hospitality-based services, hotel and holiday accommodation and admission to certain </w:t>
      </w:r>
      <w:r w:rsidR="0051758D" w:rsidRPr="006B7B78">
        <w:rPr>
          <w:color w:val="000000" w:themeColor="text1"/>
        </w:rPr>
        <w:t>attractions.</w:t>
      </w:r>
      <w:r w:rsidRPr="006B7B78">
        <w:rPr>
          <w:color w:val="000000" w:themeColor="text1"/>
        </w:rPr>
        <w:t xml:space="preserve"> </w:t>
      </w:r>
    </w:p>
    <w:p w14:paraId="4F45041A" w14:textId="77777777" w:rsidR="00190118" w:rsidRPr="006B7B78" w:rsidRDefault="00874130">
      <w:pPr>
        <w:pStyle w:val="Heading3"/>
        <w:rPr>
          <w:color w:val="000000" w:themeColor="text1"/>
        </w:rPr>
      </w:pPr>
      <w:bookmarkStart w:id="19" w:name="_Toc212699146"/>
      <w:r w:rsidRPr="006B7B78">
        <w:rPr>
          <w:color w:val="000000" w:themeColor="text1"/>
        </w:rPr>
        <w:t>Response by tourism bodies</w:t>
      </w:r>
      <w:bookmarkEnd w:id="19"/>
    </w:p>
    <w:p w14:paraId="25BB3A1B" w14:textId="58C34F61"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To offset the impact due to a rise in operational costs, the tourism and hospitality business operators </w:t>
      </w:r>
      <w:r w:rsidR="0051758D" w:rsidRPr="006B7B78">
        <w:rPr>
          <w:color w:val="000000" w:themeColor="text1"/>
        </w:rPr>
        <w:t xml:space="preserve">have partnered with the government </w:t>
      </w:r>
      <w:r w:rsidRPr="006B7B78">
        <w:rPr>
          <w:color w:val="000000" w:themeColor="text1"/>
        </w:rPr>
        <w:t>in partnering with other countries to facilitate tourism within the region. This includes the bodies honouring the CARIFORUM-United Kingdom (UK) Agreement on 22 March 2019 (Wto.org, 2025). This had ensured that the UK was the main source of income for Barbados from tourism-related travel. Additionally, the hospitality business bodies that include the Hospitality Sector Council have been engaged with bodies such as Business, Energy and Industrial Strategy (BEIS). The bodies</w:t>
      </w:r>
      <w:r w:rsidRPr="006B7B78">
        <w:rPr>
          <w:color w:val="000000" w:themeColor="text1"/>
        </w:rPr>
        <w:t xml:space="preserve"> have been responsible for developing a team within the BEIS which can help in providing ongoing support (Gov.uk, 2025a). This support can </w:t>
      </w:r>
      <w:r w:rsidR="0051758D" w:rsidRPr="006B7B78">
        <w:rPr>
          <w:color w:val="000000" w:themeColor="text1"/>
        </w:rPr>
        <w:t xml:space="preserve">help these bodies engage with business leaders </w:t>
      </w:r>
      <w:r w:rsidRPr="006B7B78">
        <w:rPr>
          <w:color w:val="000000" w:themeColor="text1"/>
        </w:rPr>
        <w:t xml:space="preserve">and listen to the concerns laid out by them. </w:t>
      </w:r>
    </w:p>
    <w:p w14:paraId="1AB0DD6D" w14:textId="77777777" w:rsidR="00190118" w:rsidRPr="006B7B78" w:rsidRDefault="00874130">
      <w:pPr>
        <w:pStyle w:val="Heading2"/>
        <w:rPr>
          <w:color w:val="000000" w:themeColor="text1"/>
        </w:rPr>
      </w:pPr>
      <w:bookmarkStart w:id="20" w:name="_Toc212699147"/>
      <w:r w:rsidRPr="006B7B78">
        <w:rPr>
          <w:color w:val="000000" w:themeColor="text1"/>
        </w:rPr>
        <w:t>Strengths and limitations</w:t>
      </w:r>
      <w:bookmarkEnd w:id="20"/>
    </w:p>
    <w:p w14:paraId="0E2B5A3E" w14:textId="77777777" w:rsidR="00190118" w:rsidRPr="006B7B78" w:rsidRDefault="00874130">
      <w:pPr>
        <w:pStyle w:val="Heading3"/>
        <w:rPr>
          <w:color w:val="000000" w:themeColor="text1"/>
        </w:rPr>
      </w:pPr>
      <w:bookmarkStart w:id="21" w:name="_Toc212699148"/>
      <w:r w:rsidRPr="006B7B78">
        <w:rPr>
          <w:color w:val="000000" w:themeColor="text1"/>
        </w:rPr>
        <w:t>Strengths</w:t>
      </w:r>
      <w:bookmarkEnd w:id="21"/>
    </w:p>
    <w:p w14:paraId="3031C67B" w14:textId="5253C4B1"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Tax concessions as offered by the UK government </w:t>
      </w:r>
      <w:r w:rsidR="0051758D" w:rsidRPr="006B7B78">
        <w:rPr>
          <w:color w:val="000000" w:themeColor="text1"/>
        </w:rPr>
        <w:t xml:space="preserve">public-facing businesses </w:t>
      </w:r>
      <w:r w:rsidRPr="006B7B78">
        <w:rPr>
          <w:color w:val="000000" w:themeColor="text1"/>
        </w:rPr>
        <w:t xml:space="preserve">and hospitality operators in saving costs on operations. The policies associated with reduced rates initiated by the government have reduced the costs associated with the supplies that have been made between July 2020 and March 2022 (Gov.uk, 2025b). This has resulted in providing leeways for businesses in ensuring that they have </w:t>
      </w:r>
      <w:r w:rsidR="0051758D" w:rsidRPr="006B7B78">
        <w:rPr>
          <w:color w:val="000000" w:themeColor="text1"/>
        </w:rPr>
        <w:t>an</w:t>
      </w:r>
      <w:r w:rsidRPr="006B7B78">
        <w:rPr>
          <w:color w:val="000000" w:themeColor="text1"/>
        </w:rPr>
        <w:t xml:space="preserve"> </w:t>
      </w:r>
      <w:r w:rsidR="0051758D" w:rsidRPr="006B7B78">
        <w:rPr>
          <w:color w:val="000000" w:themeColor="text1"/>
        </w:rPr>
        <w:t>opportunity for cost savings</w:t>
      </w:r>
      <w:r w:rsidRPr="006B7B78">
        <w:rPr>
          <w:color w:val="000000" w:themeColor="text1"/>
        </w:rPr>
        <w:t xml:space="preserve">. </w:t>
      </w:r>
    </w:p>
    <w:p w14:paraId="00981AE1" w14:textId="77777777" w:rsidR="00190118" w:rsidRPr="006B7B78" w:rsidRDefault="00874130">
      <w:pPr>
        <w:pStyle w:val="Heading3"/>
        <w:rPr>
          <w:color w:val="000000" w:themeColor="text1"/>
        </w:rPr>
      </w:pPr>
      <w:bookmarkStart w:id="22" w:name="_Toc212699149"/>
      <w:r w:rsidRPr="006B7B78">
        <w:rPr>
          <w:color w:val="000000" w:themeColor="text1"/>
        </w:rPr>
        <w:t>Limitations</w:t>
      </w:r>
      <w:bookmarkEnd w:id="22"/>
    </w:p>
    <w:p w14:paraId="664BD412" w14:textId="4C3B6313"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While the government might provide a reduction in taxes, the impact of inflation remains a considerable threat to the industry. The government has no control over inflation and political unrest within the UK </w:t>
      </w:r>
      <w:r w:rsidR="0051758D" w:rsidRPr="006B7B78">
        <w:rPr>
          <w:color w:val="000000" w:themeColor="text1"/>
        </w:rPr>
        <w:t>may further contribute to inflation</w:t>
      </w:r>
      <w:r w:rsidRPr="006B7B78">
        <w:rPr>
          <w:color w:val="000000" w:themeColor="text1"/>
        </w:rPr>
        <w:t>.</w:t>
      </w:r>
      <w:r w:rsidR="00ED7A92" w:rsidRPr="006B7B78">
        <w:rPr>
          <w:color w:val="000000" w:themeColor="text1"/>
        </w:rPr>
        <w:t xml:space="preserve"> </w:t>
      </w:r>
      <w:r w:rsidRPr="006B7B78">
        <w:rPr>
          <w:color w:val="000000" w:themeColor="text1"/>
        </w:rPr>
        <w:t xml:space="preserve">Similarly, the profitability of the businesses within the industry can vary due to changing prices. </w:t>
      </w:r>
    </w:p>
    <w:p w14:paraId="0613A86F" w14:textId="77777777" w:rsidR="00190118" w:rsidRPr="006B7B78" w:rsidRDefault="00874130">
      <w:pPr>
        <w:pStyle w:val="Heading1"/>
        <w:rPr>
          <w:color w:val="000000" w:themeColor="text1"/>
        </w:rPr>
      </w:pPr>
      <w:bookmarkStart w:id="23" w:name="_Toc212699150"/>
      <w:r w:rsidRPr="006B7B78">
        <w:rPr>
          <w:color w:val="000000" w:themeColor="text1"/>
        </w:rPr>
        <w:lastRenderedPageBreak/>
        <w:t>5. Conclusion</w:t>
      </w:r>
      <w:bookmarkEnd w:id="23"/>
    </w:p>
    <w:p w14:paraId="3B316CDC" w14:textId="37F2FEBA" w:rsidR="00190118" w:rsidRPr="006B7B78" w:rsidRDefault="00874130">
      <w:pPr>
        <w:pBdr>
          <w:top w:val="nil"/>
          <w:left w:val="nil"/>
          <w:bottom w:val="nil"/>
          <w:right w:val="nil"/>
          <w:between w:val="nil"/>
        </w:pBdr>
        <w:rPr>
          <w:color w:val="000000" w:themeColor="text1"/>
        </w:rPr>
      </w:pPr>
      <w:r w:rsidRPr="006B7B78">
        <w:rPr>
          <w:color w:val="000000" w:themeColor="text1"/>
        </w:rPr>
        <w:t>The chosen theme in the given case includes the impact of adverse financial conditions that have resulted from various factors. These factors include pressure due to a rise in operational costs, labour shortages, reduced consumer spending and others. This situation has persisted despite attempts to counter the impact. The findings indicate that the hospitality industry is one of the biggest contributors towards the economy within the region.</w:t>
      </w:r>
      <w:r w:rsidR="00ED7A92" w:rsidRPr="006B7B78">
        <w:rPr>
          <w:color w:val="000000" w:themeColor="text1"/>
        </w:rPr>
        <w:t xml:space="preserve"> </w:t>
      </w:r>
      <w:r w:rsidRPr="006B7B78">
        <w:rPr>
          <w:color w:val="000000" w:themeColor="text1"/>
        </w:rPr>
        <w:t xml:space="preserve">The analytics tools used in the given case include SWOT and PESTLE analysis. The two analyses can be used to highlight the factors associated with the industry </w:t>
      </w:r>
      <w:r w:rsidR="0051758D" w:rsidRPr="006B7B78">
        <w:rPr>
          <w:color w:val="000000" w:themeColor="text1"/>
        </w:rPr>
        <w:t xml:space="preserve">to provide a current industry overview </w:t>
      </w:r>
      <w:r w:rsidRPr="006B7B78">
        <w:rPr>
          <w:color w:val="000000" w:themeColor="text1"/>
        </w:rPr>
        <w:t xml:space="preserve">based on the observations. </w:t>
      </w:r>
    </w:p>
    <w:p w14:paraId="722A1926" w14:textId="77777777" w:rsidR="00190118" w:rsidRPr="006B7B78" w:rsidRDefault="00874130">
      <w:pPr>
        <w:pStyle w:val="Heading1"/>
        <w:rPr>
          <w:color w:val="000000" w:themeColor="text1"/>
        </w:rPr>
      </w:pPr>
      <w:bookmarkStart w:id="24" w:name="_Toc212699151"/>
      <w:r w:rsidRPr="006B7B78">
        <w:rPr>
          <w:color w:val="000000" w:themeColor="text1"/>
        </w:rPr>
        <w:t>6. Recommendations</w:t>
      </w:r>
      <w:bookmarkEnd w:id="24"/>
    </w:p>
    <w:p w14:paraId="5413AFDA" w14:textId="77777777" w:rsidR="00190118" w:rsidRPr="006B7B78" w:rsidRDefault="00874130">
      <w:pPr>
        <w:pStyle w:val="Heading2"/>
        <w:rPr>
          <w:color w:val="000000" w:themeColor="text1"/>
        </w:rPr>
      </w:pPr>
      <w:bookmarkStart w:id="25" w:name="_Toc212699152"/>
      <w:r w:rsidRPr="006B7B78">
        <w:rPr>
          <w:color w:val="000000" w:themeColor="text1"/>
        </w:rPr>
        <w:t>Working with the government</w:t>
      </w:r>
      <w:bookmarkEnd w:id="25"/>
    </w:p>
    <w:p w14:paraId="124E3183" w14:textId="704B55A9" w:rsidR="00190118" w:rsidRPr="006B7B78" w:rsidRDefault="00874130">
      <w:pPr>
        <w:pBdr>
          <w:top w:val="nil"/>
          <w:left w:val="nil"/>
          <w:bottom w:val="nil"/>
          <w:right w:val="nil"/>
          <w:between w:val="nil"/>
        </w:pBdr>
        <w:rPr>
          <w:color w:val="000000" w:themeColor="text1"/>
        </w:rPr>
      </w:pPr>
      <w:r w:rsidRPr="006B7B78">
        <w:rPr>
          <w:color w:val="000000" w:themeColor="text1"/>
        </w:rPr>
        <w:t>As of present, the hospitality bodies within the UK region have been working with the government with continued support and collaboration (Commonslibrary.parliament.uk, 2025). This needs to continue in the future as well, which can help in making sure that the funding passage between the public agencies and the hospitality industry remains available. The steps taken by the government in countering the impact of these costs can provide a scope for changes. These changes within the industry can now be impleme</w:t>
      </w:r>
      <w:r w:rsidRPr="006B7B78">
        <w:rPr>
          <w:color w:val="000000" w:themeColor="text1"/>
        </w:rPr>
        <w:t xml:space="preserve">nted within the industry and </w:t>
      </w:r>
      <w:r w:rsidR="0051758D" w:rsidRPr="006B7B78">
        <w:rPr>
          <w:color w:val="000000" w:themeColor="text1"/>
        </w:rPr>
        <w:t>to improve existing systems.</w:t>
      </w:r>
    </w:p>
    <w:p w14:paraId="5CCE36F8" w14:textId="77777777" w:rsidR="00190118" w:rsidRPr="006B7B78" w:rsidRDefault="00874130">
      <w:pPr>
        <w:pStyle w:val="Heading2"/>
        <w:rPr>
          <w:color w:val="000000" w:themeColor="text1"/>
        </w:rPr>
      </w:pPr>
      <w:bookmarkStart w:id="26" w:name="_Toc212699153"/>
      <w:r w:rsidRPr="006B7B78">
        <w:rPr>
          <w:color w:val="000000" w:themeColor="text1"/>
        </w:rPr>
        <w:t>Role played by the Hospitality Sector Council</w:t>
      </w:r>
      <w:bookmarkEnd w:id="26"/>
    </w:p>
    <w:p w14:paraId="6E1FB3C3" w14:textId="29DF9C44"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The Hospitality Sector Council is an existing body within the UK that monitors the hospitality industry (Hospitalitysectorcouncil.org, 2025). This includes experts who are responsible for reviewing government decisions based on the hotel and hospitality industry in the UK. The body can reach out to bodies, including the National Insurance Council (NICs), which is responsible for the rise in labour prices (Theaccessgroup.com, 2025). In case of any further disruptive events such as the COVID-19 pandemic, the </w:t>
      </w:r>
      <w:r w:rsidRPr="006B7B78">
        <w:rPr>
          <w:color w:val="000000" w:themeColor="text1"/>
        </w:rPr>
        <w:t xml:space="preserve">representatives of the body </w:t>
      </w:r>
      <w:r w:rsidR="0051758D" w:rsidRPr="006B7B78">
        <w:rPr>
          <w:color w:val="000000" w:themeColor="text1"/>
        </w:rPr>
        <w:t xml:space="preserve">can collaborate with the government </w:t>
      </w:r>
      <w:r w:rsidRPr="006B7B78">
        <w:rPr>
          <w:color w:val="000000" w:themeColor="text1"/>
        </w:rPr>
        <w:t xml:space="preserve">in developing necessary measures. By developing collaboration between the government bodies, necessary steps can be taken to protect the business interests of the businesses with the government. </w:t>
      </w:r>
    </w:p>
    <w:p w14:paraId="514040B7" w14:textId="77777777" w:rsidR="00190118" w:rsidRPr="006B7B78" w:rsidRDefault="00874130">
      <w:pPr>
        <w:pStyle w:val="Heading2"/>
        <w:rPr>
          <w:color w:val="000000" w:themeColor="text1"/>
        </w:rPr>
      </w:pPr>
      <w:bookmarkStart w:id="27" w:name="_Toc212699154"/>
      <w:r w:rsidRPr="006B7B78">
        <w:rPr>
          <w:color w:val="000000" w:themeColor="text1"/>
        </w:rPr>
        <w:t>Using techniques including menu engineering</w:t>
      </w:r>
      <w:bookmarkEnd w:id="27"/>
    </w:p>
    <w:p w14:paraId="28FF9681" w14:textId="6F354C35"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Hospitality-based businesses can consider looking for additional sources of income. This can be done with the help of menu engineering and </w:t>
      </w:r>
      <w:r w:rsidR="0051758D" w:rsidRPr="006B7B78">
        <w:rPr>
          <w:color w:val="000000" w:themeColor="text1"/>
        </w:rPr>
        <w:t>adjusting menu prices accordingly</w:t>
      </w:r>
      <w:r w:rsidRPr="006B7B78">
        <w:rPr>
          <w:color w:val="000000" w:themeColor="text1"/>
        </w:rPr>
        <w:t xml:space="preserve">. The existing menu items can be monitored and then engineered based on their prices and sales potential. This can help hotels and restaurants and service providers in maximising their profits with the </w:t>
      </w:r>
      <w:r w:rsidRPr="006B7B78">
        <w:rPr>
          <w:color w:val="000000" w:themeColor="text1"/>
        </w:rPr>
        <w:lastRenderedPageBreak/>
        <w:t xml:space="preserve">help of offsetting initial costs associated with the same. Furthermore, hospitality businesses can invest more in various forms of technologies such as Artificial Intelligence (AI). </w:t>
      </w:r>
    </w:p>
    <w:p w14:paraId="703DAD86" w14:textId="77777777" w:rsidR="00190118" w:rsidRPr="006B7B78" w:rsidRDefault="00874130">
      <w:pPr>
        <w:pStyle w:val="Heading2"/>
        <w:rPr>
          <w:color w:val="000000" w:themeColor="text1"/>
        </w:rPr>
      </w:pPr>
      <w:bookmarkStart w:id="28" w:name="_Toc212699155"/>
      <w:r w:rsidRPr="006B7B78">
        <w:rPr>
          <w:color w:val="000000" w:themeColor="text1"/>
        </w:rPr>
        <w:t>Making strategic investments in technologies</w:t>
      </w:r>
      <w:bookmarkEnd w:id="28"/>
    </w:p>
    <w:p w14:paraId="0936E5A5" w14:textId="120ABF2A" w:rsidR="00190118" w:rsidRPr="006B7B78" w:rsidRDefault="00874130">
      <w:pPr>
        <w:pBdr>
          <w:top w:val="nil"/>
          <w:left w:val="nil"/>
          <w:bottom w:val="nil"/>
          <w:right w:val="nil"/>
          <w:between w:val="nil"/>
        </w:pBdr>
        <w:rPr>
          <w:color w:val="000000" w:themeColor="text1"/>
        </w:rPr>
      </w:pPr>
      <w:r w:rsidRPr="006B7B78">
        <w:rPr>
          <w:color w:val="000000" w:themeColor="text1"/>
        </w:rPr>
        <w:t xml:space="preserve">This </w:t>
      </w:r>
      <w:r w:rsidR="00CA3E68" w:rsidRPr="006B7B78">
        <w:rPr>
          <w:color w:val="000000" w:themeColor="text1"/>
        </w:rPr>
        <w:t xml:space="preserve">can unlock significant operational opportunities </w:t>
      </w:r>
      <w:r w:rsidRPr="006B7B78">
        <w:rPr>
          <w:color w:val="000000" w:themeColor="text1"/>
        </w:rPr>
        <w:t xml:space="preserve">associated with operational efficiencies. Within the UK-based hospitality industry, various establishments including restaurants, pubs and bars are showing potential for using technologies such as AI. This can be coupled in the future with the help of automation as </w:t>
      </w:r>
      <w:r w:rsidR="00D27EEC" w:rsidRPr="006B7B78">
        <w:rPr>
          <w:color w:val="000000" w:themeColor="text1"/>
        </w:rPr>
        <w:t>well,</w:t>
      </w:r>
      <w:r w:rsidRPr="006B7B78">
        <w:rPr>
          <w:color w:val="000000" w:themeColor="text1"/>
        </w:rPr>
        <w:t xml:space="preserve"> which can streamline operations.</w:t>
      </w:r>
      <w:r w:rsidR="00D27EEC" w:rsidRPr="006B7B78">
        <w:rPr>
          <w:color w:val="000000" w:themeColor="text1"/>
        </w:rPr>
        <w:t xml:space="preserve"> Moreover,</w:t>
      </w:r>
      <w:r w:rsidRPr="006B7B78">
        <w:rPr>
          <w:color w:val="000000" w:themeColor="text1"/>
        </w:rPr>
        <w:t xml:space="preserve"> it can be used for other purposes as well, which include demand forecasting and staff scheduling (Gravita.com, 2025).</w:t>
      </w:r>
      <w:r w:rsidR="00D27EEC" w:rsidRPr="006B7B78">
        <w:rPr>
          <w:color w:val="000000" w:themeColor="text1"/>
        </w:rPr>
        <w:t xml:space="preserve"> Thus</w:t>
      </w:r>
      <w:r w:rsidRPr="006B7B78">
        <w:rPr>
          <w:color w:val="000000" w:themeColor="text1"/>
        </w:rPr>
        <w:t>, experimental robotic ass</w:t>
      </w:r>
      <w:r w:rsidRPr="006B7B78">
        <w:rPr>
          <w:color w:val="000000" w:themeColor="text1"/>
        </w:rPr>
        <w:t xml:space="preserve">istants can be used within restaurants to ensure that food service is made possible. </w:t>
      </w:r>
    </w:p>
    <w:p w14:paraId="1A149714" w14:textId="77777777" w:rsidR="00190118" w:rsidRPr="006B7B78" w:rsidRDefault="00190118">
      <w:pPr>
        <w:pBdr>
          <w:top w:val="nil"/>
          <w:left w:val="nil"/>
          <w:bottom w:val="nil"/>
          <w:right w:val="nil"/>
          <w:between w:val="nil"/>
        </w:pBdr>
        <w:rPr>
          <w:color w:val="000000" w:themeColor="text1"/>
        </w:rPr>
      </w:pPr>
    </w:p>
    <w:p w14:paraId="22F48D38" w14:textId="77777777" w:rsidR="00190118" w:rsidRPr="006B7B78" w:rsidRDefault="00190118">
      <w:pPr>
        <w:pBdr>
          <w:top w:val="nil"/>
          <w:left w:val="nil"/>
          <w:bottom w:val="nil"/>
          <w:right w:val="nil"/>
          <w:between w:val="nil"/>
        </w:pBdr>
        <w:rPr>
          <w:color w:val="000000" w:themeColor="text1"/>
        </w:rPr>
      </w:pPr>
    </w:p>
    <w:p w14:paraId="1ADA649A" w14:textId="77777777" w:rsidR="00190118" w:rsidRPr="006B7B78" w:rsidRDefault="00190118">
      <w:pPr>
        <w:pBdr>
          <w:top w:val="nil"/>
          <w:left w:val="nil"/>
          <w:bottom w:val="nil"/>
          <w:right w:val="nil"/>
          <w:between w:val="nil"/>
        </w:pBdr>
        <w:rPr>
          <w:color w:val="000000" w:themeColor="text1"/>
        </w:rPr>
      </w:pPr>
    </w:p>
    <w:p w14:paraId="475237D2" w14:textId="77777777" w:rsidR="00190118" w:rsidRPr="006B7B78" w:rsidRDefault="00190118">
      <w:pPr>
        <w:pBdr>
          <w:top w:val="nil"/>
          <w:left w:val="nil"/>
          <w:bottom w:val="nil"/>
          <w:right w:val="nil"/>
          <w:between w:val="nil"/>
        </w:pBdr>
        <w:rPr>
          <w:color w:val="000000" w:themeColor="text1"/>
        </w:rPr>
      </w:pPr>
    </w:p>
    <w:p w14:paraId="38343EE4" w14:textId="77777777" w:rsidR="00190118" w:rsidRPr="006B7B78" w:rsidRDefault="00874130">
      <w:pPr>
        <w:pStyle w:val="Heading1"/>
        <w:rPr>
          <w:color w:val="000000" w:themeColor="text1"/>
        </w:rPr>
      </w:pPr>
      <w:bookmarkStart w:id="29" w:name="_heading=h.23vvdn346fe" w:colFirst="0" w:colLast="0"/>
      <w:bookmarkEnd w:id="29"/>
      <w:r w:rsidRPr="006B7B78">
        <w:rPr>
          <w:color w:val="000000" w:themeColor="text1"/>
        </w:rPr>
        <w:br w:type="page"/>
      </w:r>
    </w:p>
    <w:p w14:paraId="475D953B" w14:textId="77777777" w:rsidR="00190118" w:rsidRPr="006B7B78" w:rsidRDefault="00874130">
      <w:pPr>
        <w:pStyle w:val="Heading1"/>
        <w:rPr>
          <w:color w:val="000000" w:themeColor="text1"/>
        </w:rPr>
      </w:pPr>
      <w:bookmarkStart w:id="30" w:name="_Toc212699156"/>
      <w:r w:rsidRPr="006B7B78">
        <w:rPr>
          <w:color w:val="000000" w:themeColor="text1"/>
        </w:rPr>
        <w:lastRenderedPageBreak/>
        <w:t>References</w:t>
      </w:r>
      <w:bookmarkEnd w:id="30"/>
    </w:p>
    <w:p w14:paraId="6C32E18E" w14:textId="77777777" w:rsidR="00190118" w:rsidRPr="006B7B78" w:rsidRDefault="00874130">
      <w:pPr>
        <w:pBdr>
          <w:top w:val="nil"/>
          <w:left w:val="nil"/>
          <w:bottom w:val="nil"/>
          <w:right w:val="nil"/>
          <w:between w:val="nil"/>
        </w:pBdr>
        <w:rPr>
          <w:color w:val="000000" w:themeColor="text1"/>
        </w:rPr>
      </w:pPr>
      <w:r w:rsidRPr="006B7B78">
        <w:rPr>
          <w:color w:val="000000" w:themeColor="text1"/>
        </w:rPr>
        <w:t>Assets.publishing.service.gov.uk (2025) Budget 2021:policy costings’. Available at: https://assets.publishing.service.gov.uk/media/603d2bef8fa8f577bcd9ded8/Budget_2021_policy_costings_.pdf (Accessed: 15 October 2025).</w:t>
      </w:r>
    </w:p>
    <w:p w14:paraId="7703FEB7"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Buhalis, D., Darcy, S. and Ambrose, I. eds. (2012) ‘Best practice in accessible tourism: Inclusion, disability, ageing population and tourism’ (Vol. 53). Channel View Publications.</w:t>
      </w:r>
    </w:p>
    <w:p w14:paraId="6F4FB5AD" w14:textId="5C58E4ED" w:rsidR="00190118" w:rsidRPr="006B7B78" w:rsidRDefault="00874130">
      <w:pPr>
        <w:pBdr>
          <w:top w:val="nil"/>
          <w:left w:val="nil"/>
          <w:bottom w:val="nil"/>
          <w:right w:val="nil"/>
          <w:between w:val="nil"/>
        </w:pBdr>
        <w:rPr>
          <w:color w:val="000000" w:themeColor="text1"/>
        </w:rPr>
      </w:pPr>
      <w:r w:rsidRPr="006B7B78">
        <w:rPr>
          <w:color w:val="000000" w:themeColor="text1"/>
        </w:rPr>
        <w:t>Commonslibrary.parliament.uk (2025)</w:t>
      </w:r>
      <w:r w:rsidRPr="006B7B78">
        <w:rPr>
          <w:i/>
          <w:color w:val="000000" w:themeColor="text1"/>
        </w:rPr>
        <w:t xml:space="preserve"> </w:t>
      </w:r>
      <w:r w:rsidRPr="006B7B78">
        <w:rPr>
          <w:color w:val="000000" w:themeColor="text1"/>
        </w:rPr>
        <w:t>‘Government support for the hospitality sector’</w:t>
      </w:r>
      <w:r w:rsidRPr="006B7B78">
        <w:rPr>
          <w:i/>
          <w:color w:val="000000" w:themeColor="text1"/>
        </w:rPr>
        <w:t xml:space="preserve">. </w:t>
      </w:r>
      <w:r w:rsidRPr="006B7B78">
        <w:rPr>
          <w:color w:val="000000" w:themeColor="text1"/>
        </w:rPr>
        <w:t>Available at: https://commonslibrary.parliament.uk/research-briefings/cdp-2025-0147/ (Accessed: 15 October 2025).</w:t>
      </w:r>
    </w:p>
    <w:p w14:paraId="5FF9B025"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Cooper, C. and Hall, C.M. (2022) ‘Contemporary tourism: An international approach’.</w:t>
      </w:r>
    </w:p>
    <w:p w14:paraId="08E776DA"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Crespí-Cladera</w:t>
      </w:r>
      <w:r w:rsidRPr="006B7B78">
        <w:rPr>
          <w:color w:val="000000" w:themeColor="text1"/>
          <w:highlight w:val="white"/>
        </w:rPr>
        <w:t xml:space="preserve">, R., Martín-Oliver, A. and Pascual-Fuster, B. (2021) ‘Financial distress in the hospitality industry during the Covid-19 disaster’. </w:t>
      </w:r>
      <w:r w:rsidRPr="006B7B78">
        <w:rPr>
          <w:i/>
          <w:color w:val="000000" w:themeColor="text1"/>
          <w:highlight w:val="white"/>
        </w:rPr>
        <w:t>Tourism Management</w:t>
      </w:r>
      <w:r w:rsidRPr="006B7B78">
        <w:rPr>
          <w:color w:val="000000" w:themeColor="text1"/>
          <w:highlight w:val="white"/>
        </w:rPr>
        <w:t xml:space="preserve">, </w:t>
      </w:r>
      <w:r w:rsidRPr="006B7B78">
        <w:rPr>
          <w:i/>
          <w:color w:val="000000" w:themeColor="text1"/>
          <w:highlight w:val="white"/>
        </w:rPr>
        <w:t>85</w:t>
      </w:r>
      <w:r w:rsidRPr="006B7B78">
        <w:rPr>
          <w:color w:val="000000" w:themeColor="text1"/>
          <w:highlight w:val="white"/>
        </w:rPr>
        <w:t xml:space="preserve">, p.104301. Available at: https://doi.org/10.1016/j.tourman.2021.104301 </w:t>
      </w:r>
    </w:p>
    <w:p w14:paraId="32C742E4"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Fan, X., Chen, K. and Chen, Y.J. (2023) ‘Is price commitment a better solution to control carbon emissions and promote technology investment?’. </w:t>
      </w:r>
      <w:r w:rsidRPr="006B7B78">
        <w:rPr>
          <w:i/>
          <w:color w:val="000000" w:themeColor="text1"/>
          <w:highlight w:val="white"/>
        </w:rPr>
        <w:t>Management Science</w:t>
      </w:r>
      <w:r w:rsidRPr="006B7B78">
        <w:rPr>
          <w:color w:val="000000" w:themeColor="text1"/>
          <w:highlight w:val="white"/>
        </w:rPr>
        <w:t xml:space="preserve">, </w:t>
      </w:r>
      <w:r w:rsidRPr="006B7B78">
        <w:rPr>
          <w:i/>
          <w:color w:val="000000" w:themeColor="text1"/>
          <w:highlight w:val="white"/>
        </w:rPr>
        <w:t>69</w:t>
      </w:r>
      <w:r w:rsidRPr="006B7B78">
        <w:rPr>
          <w:color w:val="000000" w:themeColor="text1"/>
          <w:highlight w:val="white"/>
        </w:rPr>
        <w:t>(1), pp.325-341. Available at: https://doi.org/10.1287/mnsc.2022.4365</w:t>
      </w:r>
    </w:p>
    <w:p w14:paraId="215DF96D"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Ford, R.C. and Sturman, M.C. (2019) ‘Managing hospitality organizations: Achieving excellence in the guest experience</w:t>
      </w:r>
      <w:r w:rsidRPr="006B7B78">
        <w:rPr>
          <w:i/>
          <w:color w:val="000000" w:themeColor="text1"/>
          <w:highlight w:val="white"/>
        </w:rPr>
        <w:t>’</w:t>
      </w:r>
      <w:r w:rsidRPr="006B7B78">
        <w:rPr>
          <w:color w:val="000000" w:themeColor="text1"/>
          <w:highlight w:val="white"/>
        </w:rPr>
        <w:t>. SAGE Publications.</w:t>
      </w:r>
    </w:p>
    <w:p w14:paraId="2D3680D9"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Gov.uk (2025a) ’Hospitality strategy: reopening, recovery, resilience</w:t>
      </w:r>
      <w:r w:rsidRPr="006B7B78">
        <w:rPr>
          <w:i/>
          <w:color w:val="000000" w:themeColor="text1"/>
          <w:highlight w:val="white"/>
        </w:rPr>
        <w:t>’</w:t>
      </w:r>
      <w:r w:rsidRPr="006B7B78">
        <w:rPr>
          <w:color w:val="000000" w:themeColor="text1"/>
          <w:highlight w:val="white"/>
        </w:rPr>
        <w:t>. Available at: https://www.gov.uk/government/publications/hospitality-strategy-reopening-recovery-resilience/hospitality-strategy-reopening-recovery-resilience (Accessed: 15 October 2025).</w:t>
      </w:r>
    </w:p>
    <w:p w14:paraId="1EF9CBCB" w14:textId="2D58BD80"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Gov.uk (2025</w:t>
      </w:r>
      <w:r w:rsidR="00CC29AA" w:rsidRPr="006B7B78">
        <w:rPr>
          <w:color w:val="000000" w:themeColor="text1"/>
          <w:highlight w:val="white"/>
        </w:rPr>
        <w:t xml:space="preserve">b) </w:t>
      </w:r>
      <w:r w:rsidRPr="006B7B78">
        <w:rPr>
          <w:color w:val="000000" w:themeColor="text1"/>
          <w:highlight w:val="white"/>
        </w:rPr>
        <w:t>VAT: reduced rate for hospitality, holiday accommodation and attractions’. Available at: https://www.gov.uk/guidance/vat-reduced-rate-for-hospitality-holiday-accommodation-and-attractions (Accessed: 14 October 2025).</w:t>
      </w:r>
    </w:p>
    <w:p w14:paraId="700BDEBE" w14:textId="77777777" w:rsidR="00190118" w:rsidRPr="006B7B78" w:rsidRDefault="00874130">
      <w:pPr>
        <w:pBdr>
          <w:top w:val="nil"/>
          <w:left w:val="nil"/>
          <w:bottom w:val="nil"/>
          <w:right w:val="nil"/>
          <w:between w:val="nil"/>
        </w:pBdr>
        <w:rPr>
          <w:color w:val="000000" w:themeColor="text1"/>
        </w:rPr>
      </w:pPr>
      <w:r w:rsidRPr="006B7B78">
        <w:rPr>
          <w:color w:val="000000" w:themeColor="text1"/>
        </w:rPr>
        <w:t>Gravita.com (2025) ‘Resilience in a challenging market and how UK hospitality is adapting in 2025’. Available at: https://www.gravita.com/insights/resilience-in-a-challenging-market-and-how-uk-hospitality-is-adapting-in-2025/ (Accessed: 15 October 2025).</w:t>
      </w:r>
    </w:p>
    <w:p w14:paraId="126D217A"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Greeneking.co.uk (2025) ‘Greene king to invest £10 m into its new hr &amp; payroll platform, workday, to enhance employee experience’</w:t>
      </w:r>
      <w:r w:rsidRPr="006B7B78">
        <w:rPr>
          <w:i/>
          <w:color w:val="000000" w:themeColor="text1"/>
          <w:highlight w:val="white"/>
        </w:rPr>
        <w:t>.</w:t>
      </w:r>
      <w:r w:rsidRPr="006B7B78">
        <w:rPr>
          <w:color w:val="000000" w:themeColor="text1"/>
          <w:highlight w:val="white"/>
        </w:rPr>
        <w:t xml:space="preserve"> Available at: https://www.greeneking.co.uk/newsroom/investment-into-a-new-hr-and-payroll-platform (Accessed: 15 October 2025).</w:t>
      </w:r>
    </w:p>
    <w:p w14:paraId="7FAA01EF"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Hospitalitysectorcouncil.org (2025) ‘Hospitality Sector Council’. Available at: https://hospitalitysectorcouncil.org/ (Accessed: 14 October 2025).</w:t>
      </w:r>
    </w:p>
    <w:p w14:paraId="38192C01" w14:textId="77777777" w:rsidR="00190118" w:rsidRPr="006B7B78" w:rsidRDefault="00874130">
      <w:pPr>
        <w:pBdr>
          <w:top w:val="nil"/>
          <w:left w:val="nil"/>
          <w:bottom w:val="nil"/>
          <w:right w:val="nil"/>
          <w:between w:val="nil"/>
        </w:pBdr>
        <w:rPr>
          <w:color w:val="000000" w:themeColor="text1"/>
        </w:rPr>
      </w:pPr>
      <w:r w:rsidRPr="006B7B78">
        <w:rPr>
          <w:color w:val="000000" w:themeColor="text1"/>
          <w:highlight w:val="white"/>
        </w:rPr>
        <w:lastRenderedPageBreak/>
        <w:t>Iea.org (2025) ‘What is the energy crisis?’. Available at:</w:t>
      </w:r>
      <w:r w:rsidRPr="006B7B78">
        <w:rPr>
          <w:color w:val="000000" w:themeColor="text1"/>
        </w:rPr>
        <w:t>https://www.iea.org/topics/global-energy-crisis (Accessed: 15 October 2025).</w:t>
      </w:r>
    </w:p>
    <w:p w14:paraId="38B9F7B5" w14:textId="77777777" w:rsidR="00190118" w:rsidRPr="006B7B78" w:rsidRDefault="00874130">
      <w:pPr>
        <w:pBdr>
          <w:top w:val="nil"/>
          <w:left w:val="nil"/>
          <w:bottom w:val="nil"/>
          <w:right w:val="nil"/>
          <w:between w:val="nil"/>
        </w:pBdr>
        <w:rPr>
          <w:color w:val="000000" w:themeColor="text1"/>
        </w:rPr>
      </w:pPr>
      <w:r w:rsidRPr="006B7B78">
        <w:rPr>
          <w:color w:val="000000" w:themeColor="text1"/>
          <w:highlight w:val="white"/>
        </w:rPr>
        <w:t xml:space="preserve">Mazhar, S.A., Anjum, R., Anwar, A.I. and Khan, A.A., (2021) ‘Methods of data collection: A fundamental tool of research’. </w:t>
      </w:r>
      <w:r w:rsidRPr="006B7B78">
        <w:rPr>
          <w:i/>
          <w:color w:val="000000" w:themeColor="text1"/>
          <w:highlight w:val="white"/>
        </w:rPr>
        <w:t>Journal of Integrated Community Health</w:t>
      </w:r>
      <w:r w:rsidRPr="006B7B78">
        <w:rPr>
          <w:color w:val="000000" w:themeColor="text1"/>
          <w:highlight w:val="white"/>
        </w:rPr>
        <w:t xml:space="preserve">, </w:t>
      </w:r>
      <w:r w:rsidRPr="006B7B78">
        <w:rPr>
          <w:i/>
          <w:color w:val="000000" w:themeColor="text1"/>
          <w:highlight w:val="white"/>
        </w:rPr>
        <w:t>10</w:t>
      </w:r>
      <w:r w:rsidRPr="006B7B78">
        <w:rPr>
          <w:color w:val="000000" w:themeColor="text1"/>
          <w:highlight w:val="white"/>
        </w:rPr>
        <w:t>(1), pp.6-10. Available at: https://doi.org/10.24321/2319.9113.202101</w:t>
      </w:r>
    </w:p>
    <w:p w14:paraId="5160B052" w14:textId="77777777" w:rsidR="00190118" w:rsidRPr="006B7B78" w:rsidRDefault="00874130">
      <w:pPr>
        <w:pBdr>
          <w:top w:val="nil"/>
          <w:left w:val="nil"/>
          <w:bottom w:val="nil"/>
          <w:right w:val="nil"/>
          <w:between w:val="nil"/>
        </w:pBdr>
        <w:rPr>
          <w:color w:val="000000" w:themeColor="text1"/>
        </w:rPr>
      </w:pPr>
      <w:r w:rsidRPr="006B7B78">
        <w:rPr>
          <w:color w:val="000000" w:themeColor="text1"/>
        </w:rPr>
        <w:t>Ntounis, N., Parker, C., Skinner, H., Steadman, C. and Warnaby, G., (2022) ‘Tourism and Hospitality industry resilience during the Covid-19 pandemic: Evidence from England’. Current Issues in Tourism, 25(1), pp.46-59. Available at: https://doi.org/10.1080/13683500.2021.1883556</w:t>
      </w:r>
    </w:p>
    <w:p w14:paraId="05592444"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Nworie, G.O. and Nwoye, U.J. (2023) ‘Drivers of operating profit: A focus on selected firms’ costs’. </w:t>
      </w:r>
      <w:r w:rsidRPr="006B7B78">
        <w:rPr>
          <w:i/>
          <w:color w:val="000000" w:themeColor="text1"/>
          <w:highlight w:val="white"/>
        </w:rPr>
        <w:t>CECCAR Business Review</w:t>
      </w:r>
      <w:r w:rsidRPr="006B7B78">
        <w:rPr>
          <w:color w:val="000000" w:themeColor="text1"/>
          <w:highlight w:val="white"/>
        </w:rPr>
        <w:t xml:space="preserve">, </w:t>
      </w:r>
      <w:r w:rsidRPr="006B7B78">
        <w:rPr>
          <w:i/>
          <w:color w:val="000000" w:themeColor="text1"/>
          <w:highlight w:val="white"/>
        </w:rPr>
        <w:t>4</w:t>
      </w:r>
      <w:r w:rsidRPr="006B7B78">
        <w:rPr>
          <w:color w:val="000000" w:themeColor="text1"/>
          <w:highlight w:val="white"/>
        </w:rPr>
        <w:t xml:space="preserve">(2), pp.62-72. Available at: https://doi.org/10.37945/cbr.2023.02.07 </w:t>
      </w:r>
    </w:p>
    <w:p w14:paraId="47D0FC73" w14:textId="574A91FA"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Ons.gov.uk (</w:t>
      </w:r>
      <w:r w:rsidR="00CC29AA" w:rsidRPr="006B7B78">
        <w:rPr>
          <w:color w:val="000000" w:themeColor="text1"/>
          <w:highlight w:val="white"/>
        </w:rPr>
        <w:t xml:space="preserve">2025) </w:t>
      </w:r>
      <w:r w:rsidRPr="006B7B78">
        <w:rPr>
          <w:color w:val="000000" w:themeColor="text1"/>
          <w:highlight w:val="white"/>
        </w:rPr>
        <w:t>Inflation and price indices’</w:t>
      </w:r>
      <w:r w:rsidRPr="006B7B78">
        <w:rPr>
          <w:i/>
          <w:color w:val="000000" w:themeColor="text1"/>
          <w:highlight w:val="white"/>
        </w:rPr>
        <w:t xml:space="preserve">. </w:t>
      </w:r>
      <w:r w:rsidRPr="006B7B78">
        <w:rPr>
          <w:color w:val="000000" w:themeColor="text1"/>
          <w:highlight w:val="white"/>
        </w:rPr>
        <w:t xml:space="preserve">Available at: https://www.ons.gov.uk/economy/inflationandpriceindices (Accessed: 15 October 2025). </w:t>
      </w:r>
    </w:p>
    <w:p w14:paraId="3771A703"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Prideaux, B., Laws, E. and Faulkner, B. (2007) ‘Events in Indonesia: Exploring the limits to formal tourism trends forecasting methods in complex crisis situations’. In </w:t>
      </w:r>
      <w:r w:rsidRPr="006B7B78">
        <w:rPr>
          <w:i/>
          <w:color w:val="000000" w:themeColor="text1"/>
          <w:highlight w:val="white"/>
        </w:rPr>
        <w:t>Crisis management in tourism</w:t>
      </w:r>
      <w:r w:rsidRPr="006B7B78">
        <w:rPr>
          <w:color w:val="000000" w:themeColor="text1"/>
          <w:highlight w:val="white"/>
        </w:rPr>
        <w:t xml:space="preserve"> (pp. 353-374). Wallingford UK: CABI. Available at: https://doi.org/10.1016/S0261-5177(02)00115-2</w:t>
      </w:r>
    </w:p>
    <w:p w14:paraId="1E20F2C3"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Protectuk.police.uk (2025) ‘Martyn's Law</w:t>
      </w:r>
      <w:r w:rsidRPr="006B7B78">
        <w:rPr>
          <w:i/>
          <w:color w:val="000000" w:themeColor="text1"/>
          <w:highlight w:val="white"/>
        </w:rPr>
        <w:t>’</w:t>
      </w:r>
      <w:r w:rsidRPr="006B7B78">
        <w:rPr>
          <w:color w:val="000000" w:themeColor="text1"/>
          <w:highlight w:val="white"/>
        </w:rPr>
        <w:t>. Available at: https://www.protectuk.police.uk/martyns-law (Accessed: 15 October 2025).</w:t>
      </w:r>
    </w:p>
    <w:p w14:paraId="710DE00E"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 Ram, M., Osorio-Aravena, J.C., Aghahosseini, A., Bogdanov, D. and Breyer, C. (2022) ‘Job creation during a climate compliant global energy transition across the power, heat, transport, and desalination sectors by 2050’. </w:t>
      </w:r>
      <w:r w:rsidRPr="006B7B78">
        <w:rPr>
          <w:i/>
          <w:color w:val="000000" w:themeColor="text1"/>
          <w:highlight w:val="white"/>
        </w:rPr>
        <w:t>Energy</w:t>
      </w:r>
      <w:r w:rsidRPr="006B7B78">
        <w:rPr>
          <w:color w:val="000000" w:themeColor="text1"/>
          <w:highlight w:val="white"/>
        </w:rPr>
        <w:t xml:space="preserve">, </w:t>
      </w:r>
      <w:r w:rsidRPr="006B7B78">
        <w:rPr>
          <w:i/>
          <w:color w:val="000000" w:themeColor="text1"/>
          <w:highlight w:val="white"/>
        </w:rPr>
        <w:t>238</w:t>
      </w:r>
      <w:r w:rsidRPr="006B7B78">
        <w:rPr>
          <w:color w:val="000000" w:themeColor="text1"/>
          <w:highlight w:val="white"/>
        </w:rPr>
        <w:t xml:space="preserve">, p.121690. Available at: https://doi.org/10.1016/j.energy.2021.121690 </w:t>
      </w:r>
    </w:p>
    <w:p w14:paraId="3C596249"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Reisenbichler, A. and Wiedemann, A. (2022) ‘Credit-driven and consumption-led growth models in the United States and United Kingdom’. </w:t>
      </w:r>
      <w:r w:rsidRPr="006B7B78">
        <w:rPr>
          <w:i/>
          <w:color w:val="000000" w:themeColor="text1"/>
          <w:highlight w:val="white"/>
        </w:rPr>
        <w:t>Diminishing returns: the new politics of growth and stagnation</w:t>
      </w:r>
      <w:r w:rsidRPr="006B7B78">
        <w:rPr>
          <w:color w:val="000000" w:themeColor="text1"/>
          <w:highlight w:val="white"/>
        </w:rPr>
        <w:t xml:space="preserve">, pp.213-37. Available at: https://reisenbichler.net/wp-content/uploads/2022/03/reisenbichler_wiedemann_oup_2022.pdf </w:t>
      </w:r>
    </w:p>
    <w:p w14:paraId="4C1C6542"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Santos, J.D. and Silva, O.L. eds. (2019) ‘Digital marketing strategies for tourism, hospitality, and airline industries’. IGI Global.</w:t>
      </w:r>
    </w:p>
    <w:p w14:paraId="78656D8A"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Sharma, A., Perdue, R.R. and Nicolau, J.L. (2022) ‘The effect of lodging taxes on the performance of US hotels’. </w:t>
      </w:r>
      <w:r w:rsidRPr="006B7B78">
        <w:rPr>
          <w:i/>
          <w:color w:val="000000" w:themeColor="text1"/>
          <w:highlight w:val="white"/>
        </w:rPr>
        <w:t>Journal of Travel Research</w:t>
      </w:r>
      <w:r w:rsidRPr="006B7B78">
        <w:rPr>
          <w:color w:val="000000" w:themeColor="text1"/>
          <w:highlight w:val="white"/>
        </w:rPr>
        <w:t xml:space="preserve">, </w:t>
      </w:r>
      <w:r w:rsidRPr="006B7B78">
        <w:rPr>
          <w:i/>
          <w:color w:val="000000" w:themeColor="text1"/>
          <w:highlight w:val="white"/>
        </w:rPr>
        <w:t>61</w:t>
      </w:r>
      <w:r w:rsidRPr="006B7B78">
        <w:rPr>
          <w:color w:val="000000" w:themeColor="text1"/>
          <w:highlight w:val="white"/>
        </w:rPr>
        <w:t xml:space="preserve">(1), pp.108-119. Available at: https://doi.org/10.1177/0047287520971044 </w:t>
      </w:r>
    </w:p>
    <w:p w14:paraId="66283BCB"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lastRenderedPageBreak/>
        <w:t>Theaccessgroup.com (2025) ‘2025 National Insurance Increase - Impact on Hospitality Employers’</w:t>
      </w:r>
      <w:r w:rsidRPr="006B7B78">
        <w:rPr>
          <w:i/>
          <w:color w:val="000000" w:themeColor="text1"/>
          <w:highlight w:val="white"/>
        </w:rPr>
        <w:t xml:space="preserve">. </w:t>
      </w:r>
      <w:r w:rsidRPr="006B7B78">
        <w:rPr>
          <w:color w:val="000000" w:themeColor="text1"/>
          <w:highlight w:val="white"/>
        </w:rPr>
        <w:t>Available at: https://www.theaccessgroup.com/en-gb/blog/hos-national-insurance-increase/ (Accessed: 15 October 2025).</w:t>
      </w:r>
    </w:p>
    <w:p w14:paraId="308AD3E8"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Theglobaleconomy.com (2025) ‘United Kingdom: Political stability’. Available at: https://www.theglobaleconomy.com/United-Kingdom/wb_political_stability/ (Accessed: 15 October 2025).</w:t>
      </w:r>
    </w:p>
    <w:p w14:paraId="58F03A1B" w14:textId="77777777" w:rsidR="00190118" w:rsidRPr="006B7B78" w:rsidRDefault="00874130">
      <w:pPr>
        <w:pBdr>
          <w:top w:val="nil"/>
          <w:left w:val="nil"/>
          <w:bottom w:val="nil"/>
          <w:right w:val="nil"/>
          <w:between w:val="nil"/>
        </w:pBdr>
        <w:rPr>
          <w:color w:val="000000" w:themeColor="text1"/>
        </w:rPr>
      </w:pPr>
      <w:r w:rsidRPr="006B7B78">
        <w:rPr>
          <w:color w:val="000000" w:themeColor="text1"/>
        </w:rPr>
        <w:t>Ukhospitality.org.uk (2025). ‘Facts and stats’</w:t>
      </w:r>
      <w:r w:rsidRPr="006B7B78">
        <w:rPr>
          <w:i/>
          <w:color w:val="000000" w:themeColor="text1"/>
        </w:rPr>
        <w:t xml:space="preserve">. </w:t>
      </w:r>
      <w:r w:rsidRPr="006B7B78">
        <w:rPr>
          <w:color w:val="000000" w:themeColor="text1"/>
        </w:rPr>
        <w:t>Available at: https://www.ukhospitality.org.uk/media-centre/facts-and-stats/ (Accessed: 14 October 2025).</w:t>
      </w:r>
    </w:p>
    <w:p w14:paraId="12F1FAF3"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Wto.org (2025)</w:t>
      </w:r>
      <w:r w:rsidRPr="006B7B78">
        <w:rPr>
          <w:i/>
          <w:color w:val="000000" w:themeColor="text1"/>
          <w:highlight w:val="white"/>
        </w:rPr>
        <w:t xml:space="preserve"> </w:t>
      </w:r>
      <w:r w:rsidRPr="006B7B78">
        <w:rPr>
          <w:color w:val="000000" w:themeColor="text1"/>
          <w:highlight w:val="white"/>
        </w:rPr>
        <w:t>‘TRADE POLICY REVIEW’</w:t>
      </w:r>
      <w:r w:rsidRPr="006B7B78">
        <w:rPr>
          <w:i/>
          <w:color w:val="000000" w:themeColor="text1"/>
          <w:highlight w:val="white"/>
        </w:rPr>
        <w:t xml:space="preserve">. </w:t>
      </w:r>
      <w:r w:rsidRPr="006B7B78">
        <w:rPr>
          <w:color w:val="000000" w:themeColor="text1"/>
          <w:highlight w:val="white"/>
        </w:rPr>
        <w:t>Available at: https://www.wto.org/english/tratop_e/tpr_e/g431_e.pdf (Accessed: 14 October 2025).</w:t>
      </w:r>
    </w:p>
    <w:p w14:paraId="6834E749" w14:textId="77777777" w:rsidR="00190118" w:rsidRPr="006B7B78" w:rsidRDefault="00874130">
      <w:pPr>
        <w:pBdr>
          <w:top w:val="nil"/>
          <w:left w:val="nil"/>
          <w:bottom w:val="nil"/>
          <w:right w:val="nil"/>
          <w:between w:val="nil"/>
        </w:pBdr>
        <w:rPr>
          <w:color w:val="000000" w:themeColor="text1"/>
          <w:highlight w:val="white"/>
        </w:rPr>
      </w:pPr>
      <w:r w:rsidRPr="006B7B78">
        <w:rPr>
          <w:color w:val="000000" w:themeColor="text1"/>
          <w:highlight w:val="white"/>
        </w:rPr>
        <w:t xml:space="preserve">Zalmi, R.F. and Sinaga, R.P. (2024) ‘The economic impact of hospitality sector tax contributions on genuine regional income: a case study of Karo district’. </w:t>
      </w:r>
      <w:r w:rsidRPr="006B7B78">
        <w:rPr>
          <w:i/>
          <w:color w:val="000000" w:themeColor="text1"/>
          <w:highlight w:val="white"/>
        </w:rPr>
        <w:t>Law and Economics</w:t>
      </w:r>
      <w:r w:rsidRPr="006B7B78">
        <w:rPr>
          <w:color w:val="000000" w:themeColor="text1"/>
          <w:highlight w:val="white"/>
        </w:rPr>
        <w:t xml:space="preserve">, </w:t>
      </w:r>
      <w:r w:rsidRPr="006B7B78">
        <w:rPr>
          <w:i/>
          <w:color w:val="000000" w:themeColor="text1"/>
          <w:highlight w:val="white"/>
        </w:rPr>
        <w:t>18</w:t>
      </w:r>
      <w:r w:rsidRPr="006B7B78">
        <w:rPr>
          <w:color w:val="000000" w:themeColor="text1"/>
          <w:highlight w:val="white"/>
        </w:rPr>
        <w:t xml:space="preserve">(1), pp.47-59. Available at: https://journals.ristek.or.id/index.php/LE/article/view/67 </w:t>
      </w:r>
    </w:p>
    <w:p w14:paraId="5099BF66" w14:textId="77777777" w:rsidR="00190118" w:rsidRPr="006B7B78" w:rsidRDefault="00190118">
      <w:pPr>
        <w:pBdr>
          <w:top w:val="nil"/>
          <w:left w:val="nil"/>
          <w:bottom w:val="nil"/>
          <w:right w:val="nil"/>
          <w:between w:val="nil"/>
        </w:pBdr>
        <w:rPr>
          <w:color w:val="000000" w:themeColor="text1"/>
        </w:rPr>
      </w:pPr>
    </w:p>
    <w:sectPr w:rsidR="00190118" w:rsidRPr="006B7B7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03720"/>
    <w:multiLevelType w:val="hybridMultilevel"/>
    <w:tmpl w:val="00000000"/>
    <w:lvl w:ilvl="0" w:tplc="0CF685B6">
      <w:start w:val="1"/>
      <w:numFmt w:val="bullet"/>
      <w:lvlText w:val="●"/>
      <w:lvlJc w:val="left"/>
      <w:pPr>
        <w:ind w:left="720" w:hanging="360"/>
      </w:pPr>
      <w:rPr>
        <w:u w:val="none"/>
      </w:rPr>
    </w:lvl>
    <w:lvl w:ilvl="1" w:tplc="070EE5EE">
      <w:start w:val="1"/>
      <w:numFmt w:val="bullet"/>
      <w:lvlText w:val="○"/>
      <w:lvlJc w:val="left"/>
      <w:pPr>
        <w:ind w:left="1440" w:hanging="360"/>
      </w:pPr>
      <w:rPr>
        <w:u w:val="none"/>
      </w:rPr>
    </w:lvl>
    <w:lvl w:ilvl="2" w:tplc="6C1CE9B0">
      <w:start w:val="1"/>
      <w:numFmt w:val="bullet"/>
      <w:lvlText w:val="■"/>
      <w:lvlJc w:val="left"/>
      <w:pPr>
        <w:ind w:left="2160" w:hanging="360"/>
      </w:pPr>
      <w:rPr>
        <w:u w:val="none"/>
      </w:rPr>
    </w:lvl>
    <w:lvl w:ilvl="3" w:tplc="CC1E1492">
      <w:start w:val="1"/>
      <w:numFmt w:val="bullet"/>
      <w:lvlText w:val="●"/>
      <w:lvlJc w:val="left"/>
      <w:pPr>
        <w:ind w:left="2880" w:hanging="360"/>
      </w:pPr>
      <w:rPr>
        <w:u w:val="none"/>
      </w:rPr>
    </w:lvl>
    <w:lvl w:ilvl="4" w:tplc="A6BAC5C8">
      <w:start w:val="1"/>
      <w:numFmt w:val="bullet"/>
      <w:lvlText w:val="○"/>
      <w:lvlJc w:val="left"/>
      <w:pPr>
        <w:ind w:left="3600" w:hanging="360"/>
      </w:pPr>
      <w:rPr>
        <w:u w:val="none"/>
      </w:rPr>
    </w:lvl>
    <w:lvl w:ilvl="5" w:tplc="34D439A6">
      <w:start w:val="1"/>
      <w:numFmt w:val="bullet"/>
      <w:lvlText w:val="■"/>
      <w:lvlJc w:val="left"/>
      <w:pPr>
        <w:ind w:left="4320" w:hanging="360"/>
      </w:pPr>
      <w:rPr>
        <w:u w:val="none"/>
      </w:rPr>
    </w:lvl>
    <w:lvl w:ilvl="6" w:tplc="EAF8B434">
      <w:start w:val="1"/>
      <w:numFmt w:val="bullet"/>
      <w:lvlText w:val="●"/>
      <w:lvlJc w:val="left"/>
      <w:pPr>
        <w:ind w:left="5040" w:hanging="360"/>
      </w:pPr>
      <w:rPr>
        <w:u w:val="none"/>
      </w:rPr>
    </w:lvl>
    <w:lvl w:ilvl="7" w:tplc="CE3C67B4">
      <w:start w:val="1"/>
      <w:numFmt w:val="bullet"/>
      <w:lvlText w:val="○"/>
      <w:lvlJc w:val="left"/>
      <w:pPr>
        <w:ind w:left="5760" w:hanging="360"/>
      </w:pPr>
      <w:rPr>
        <w:u w:val="none"/>
      </w:rPr>
    </w:lvl>
    <w:lvl w:ilvl="8" w:tplc="DD36E074">
      <w:start w:val="1"/>
      <w:numFmt w:val="bullet"/>
      <w:lvlText w:val="■"/>
      <w:lvlJc w:val="left"/>
      <w:pPr>
        <w:ind w:left="6480" w:hanging="360"/>
      </w:pPr>
      <w:rPr>
        <w:u w:val="none"/>
      </w:rPr>
    </w:lvl>
  </w:abstractNum>
  <w:abstractNum w:abstractNumId="1" w15:restartNumberingAfterBreak="0">
    <w:nsid w:val="1559CD02"/>
    <w:multiLevelType w:val="hybridMultilevel"/>
    <w:tmpl w:val="00000000"/>
    <w:lvl w:ilvl="0" w:tplc="786C2D50">
      <w:start w:val="1"/>
      <w:numFmt w:val="bullet"/>
      <w:lvlText w:val="●"/>
      <w:lvlJc w:val="left"/>
      <w:pPr>
        <w:ind w:left="720" w:hanging="360"/>
      </w:pPr>
      <w:rPr>
        <w:u w:val="none"/>
      </w:rPr>
    </w:lvl>
    <w:lvl w:ilvl="1" w:tplc="A82E7AAC">
      <w:start w:val="1"/>
      <w:numFmt w:val="bullet"/>
      <w:lvlText w:val="○"/>
      <w:lvlJc w:val="left"/>
      <w:pPr>
        <w:ind w:left="1440" w:hanging="360"/>
      </w:pPr>
      <w:rPr>
        <w:u w:val="none"/>
      </w:rPr>
    </w:lvl>
    <w:lvl w:ilvl="2" w:tplc="B58C3EEE">
      <w:start w:val="1"/>
      <w:numFmt w:val="bullet"/>
      <w:lvlText w:val="■"/>
      <w:lvlJc w:val="left"/>
      <w:pPr>
        <w:ind w:left="2160" w:hanging="360"/>
      </w:pPr>
      <w:rPr>
        <w:u w:val="none"/>
      </w:rPr>
    </w:lvl>
    <w:lvl w:ilvl="3" w:tplc="A8D8188A">
      <w:start w:val="1"/>
      <w:numFmt w:val="bullet"/>
      <w:lvlText w:val="●"/>
      <w:lvlJc w:val="left"/>
      <w:pPr>
        <w:ind w:left="2880" w:hanging="360"/>
      </w:pPr>
      <w:rPr>
        <w:u w:val="none"/>
      </w:rPr>
    </w:lvl>
    <w:lvl w:ilvl="4" w:tplc="A4469B04">
      <w:start w:val="1"/>
      <w:numFmt w:val="bullet"/>
      <w:lvlText w:val="○"/>
      <w:lvlJc w:val="left"/>
      <w:pPr>
        <w:ind w:left="3600" w:hanging="360"/>
      </w:pPr>
      <w:rPr>
        <w:u w:val="none"/>
      </w:rPr>
    </w:lvl>
    <w:lvl w:ilvl="5" w:tplc="6FEAFD92">
      <w:start w:val="1"/>
      <w:numFmt w:val="bullet"/>
      <w:lvlText w:val="■"/>
      <w:lvlJc w:val="left"/>
      <w:pPr>
        <w:ind w:left="4320" w:hanging="360"/>
      </w:pPr>
      <w:rPr>
        <w:u w:val="none"/>
      </w:rPr>
    </w:lvl>
    <w:lvl w:ilvl="6" w:tplc="986E26B8">
      <w:start w:val="1"/>
      <w:numFmt w:val="bullet"/>
      <w:lvlText w:val="●"/>
      <w:lvlJc w:val="left"/>
      <w:pPr>
        <w:ind w:left="5040" w:hanging="360"/>
      </w:pPr>
      <w:rPr>
        <w:u w:val="none"/>
      </w:rPr>
    </w:lvl>
    <w:lvl w:ilvl="7" w:tplc="ADB22CCC">
      <w:start w:val="1"/>
      <w:numFmt w:val="bullet"/>
      <w:lvlText w:val="○"/>
      <w:lvlJc w:val="left"/>
      <w:pPr>
        <w:ind w:left="5760" w:hanging="360"/>
      </w:pPr>
      <w:rPr>
        <w:u w:val="none"/>
      </w:rPr>
    </w:lvl>
    <w:lvl w:ilvl="8" w:tplc="F1FC03EA">
      <w:start w:val="1"/>
      <w:numFmt w:val="bullet"/>
      <w:lvlText w:val="■"/>
      <w:lvlJc w:val="left"/>
      <w:pPr>
        <w:ind w:left="6480" w:hanging="360"/>
      </w:pPr>
      <w:rPr>
        <w:u w:val="none"/>
      </w:rPr>
    </w:lvl>
  </w:abstractNum>
  <w:abstractNum w:abstractNumId="2" w15:restartNumberingAfterBreak="0">
    <w:nsid w:val="411641BF"/>
    <w:multiLevelType w:val="hybridMultilevel"/>
    <w:tmpl w:val="00000000"/>
    <w:lvl w:ilvl="0" w:tplc="80A82E5A">
      <w:start w:val="1"/>
      <w:numFmt w:val="bullet"/>
      <w:lvlText w:val="●"/>
      <w:lvlJc w:val="left"/>
      <w:pPr>
        <w:ind w:left="720" w:hanging="360"/>
      </w:pPr>
      <w:rPr>
        <w:u w:val="none"/>
      </w:rPr>
    </w:lvl>
    <w:lvl w:ilvl="1" w:tplc="85A23414">
      <w:start w:val="1"/>
      <w:numFmt w:val="bullet"/>
      <w:lvlText w:val="○"/>
      <w:lvlJc w:val="left"/>
      <w:pPr>
        <w:ind w:left="1440" w:hanging="360"/>
      </w:pPr>
      <w:rPr>
        <w:u w:val="none"/>
      </w:rPr>
    </w:lvl>
    <w:lvl w:ilvl="2" w:tplc="42EEFE64">
      <w:start w:val="1"/>
      <w:numFmt w:val="bullet"/>
      <w:lvlText w:val="■"/>
      <w:lvlJc w:val="left"/>
      <w:pPr>
        <w:ind w:left="2160" w:hanging="360"/>
      </w:pPr>
      <w:rPr>
        <w:u w:val="none"/>
      </w:rPr>
    </w:lvl>
    <w:lvl w:ilvl="3" w:tplc="CFA2FBA2">
      <w:start w:val="1"/>
      <w:numFmt w:val="bullet"/>
      <w:lvlText w:val="●"/>
      <w:lvlJc w:val="left"/>
      <w:pPr>
        <w:ind w:left="2880" w:hanging="360"/>
      </w:pPr>
      <w:rPr>
        <w:u w:val="none"/>
      </w:rPr>
    </w:lvl>
    <w:lvl w:ilvl="4" w:tplc="3056A96C">
      <w:start w:val="1"/>
      <w:numFmt w:val="bullet"/>
      <w:lvlText w:val="○"/>
      <w:lvlJc w:val="left"/>
      <w:pPr>
        <w:ind w:left="3600" w:hanging="360"/>
      </w:pPr>
      <w:rPr>
        <w:u w:val="none"/>
      </w:rPr>
    </w:lvl>
    <w:lvl w:ilvl="5" w:tplc="190EA9A0">
      <w:start w:val="1"/>
      <w:numFmt w:val="bullet"/>
      <w:lvlText w:val="■"/>
      <w:lvlJc w:val="left"/>
      <w:pPr>
        <w:ind w:left="4320" w:hanging="360"/>
      </w:pPr>
      <w:rPr>
        <w:u w:val="none"/>
      </w:rPr>
    </w:lvl>
    <w:lvl w:ilvl="6" w:tplc="0BE8FCF6">
      <w:start w:val="1"/>
      <w:numFmt w:val="bullet"/>
      <w:lvlText w:val="●"/>
      <w:lvlJc w:val="left"/>
      <w:pPr>
        <w:ind w:left="5040" w:hanging="360"/>
      </w:pPr>
      <w:rPr>
        <w:u w:val="none"/>
      </w:rPr>
    </w:lvl>
    <w:lvl w:ilvl="7" w:tplc="0428C2DC">
      <w:start w:val="1"/>
      <w:numFmt w:val="bullet"/>
      <w:lvlText w:val="○"/>
      <w:lvlJc w:val="left"/>
      <w:pPr>
        <w:ind w:left="5760" w:hanging="360"/>
      </w:pPr>
      <w:rPr>
        <w:u w:val="none"/>
      </w:rPr>
    </w:lvl>
    <w:lvl w:ilvl="8" w:tplc="1CB0011C">
      <w:start w:val="1"/>
      <w:numFmt w:val="bullet"/>
      <w:lvlText w:val="■"/>
      <w:lvlJc w:val="left"/>
      <w:pPr>
        <w:ind w:left="6480" w:hanging="360"/>
      </w:pPr>
      <w:rPr>
        <w:u w:val="none"/>
      </w:rPr>
    </w:lvl>
  </w:abstractNum>
  <w:abstractNum w:abstractNumId="3" w15:restartNumberingAfterBreak="0">
    <w:nsid w:val="46DA2714"/>
    <w:multiLevelType w:val="hybridMultilevel"/>
    <w:tmpl w:val="00000000"/>
    <w:lvl w:ilvl="0" w:tplc="B55877CC">
      <w:start w:val="1"/>
      <w:numFmt w:val="bullet"/>
      <w:lvlText w:val="●"/>
      <w:lvlJc w:val="left"/>
      <w:pPr>
        <w:ind w:left="720" w:hanging="360"/>
      </w:pPr>
      <w:rPr>
        <w:u w:val="none"/>
      </w:rPr>
    </w:lvl>
    <w:lvl w:ilvl="1" w:tplc="633C80AC">
      <w:start w:val="1"/>
      <w:numFmt w:val="bullet"/>
      <w:lvlText w:val="○"/>
      <w:lvlJc w:val="left"/>
      <w:pPr>
        <w:ind w:left="1440" w:hanging="360"/>
      </w:pPr>
      <w:rPr>
        <w:u w:val="none"/>
      </w:rPr>
    </w:lvl>
    <w:lvl w:ilvl="2" w:tplc="C75EFF0A">
      <w:start w:val="1"/>
      <w:numFmt w:val="bullet"/>
      <w:lvlText w:val="■"/>
      <w:lvlJc w:val="left"/>
      <w:pPr>
        <w:ind w:left="2160" w:hanging="360"/>
      </w:pPr>
      <w:rPr>
        <w:u w:val="none"/>
      </w:rPr>
    </w:lvl>
    <w:lvl w:ilvl="3" w:tplc="BC8601D2">
      <w:start w:val="1"/>
      <w:numFmt w:val="bullet"/>
      <w:lvlText w:val="●"/>
      <w:lvlJc w:val="left"/>
      <w:pPr>
        <w:ind w:left="2880" w:hanging="360"/>
      </w:pPr>
      <w:rPr>
        <w:u w:val="none"/>
      </w:rPr>
    </w:lvl>
    <w:lvl w:ilvl="4" w:tplc="108ABE9A">
      <w:start w:val="1"/>
      <w:numFmt w:val="bullet"/>
      <w:lvlText w:val="○"/>
      <w:lvlJc w:val="left"/>
      <w:pPr>
        <w:ind w:left="3600" w:hanging="360"/>
      </w:pPr>
      <w:rPr>
        <w:u w:val="none"/>
      </w:rPr>
    </w:lvl>
    <w:lvl w:ilvl="5" w:tplc="A26A252C">
      <w:start w:val="1"/>
      <w:numFmt w:val="bullet"/>
      <w:lvlText w:val="■"/>
      <w:lvlJc w:val="left"/>
      <w:pPr>
        <w:ind w:left="4320" w:hanging="360"/>
      </w:pPr>
      <w:rPr>
        <w:u w:val="none"/>
      </w:rPr>
    </w:lvl>
    <w:lvl w:ilvl="6" w:tplc="64FED366">
      <w:start w:val="1"/>
      <w:numFmt w:val="bullet"/>
      <w:lvlText w:val="●"/>
      <w:lvlJc w:val="left"/>
      <w:pPr>
        <w:ind w:left="5040" w:hanging="360"/>
      </w:pPr>
      <w:rPr>
        <w:u w:val="none"/>
      </w:rPr>
    </w:lvl>
    <w:lvl w:ilvl="7" w:tplc="9D1E1F94">
      <w:start w:val="1"/>
      <w:numFmt w:val="bullet"/>
      <w:lvlText w:val="○"/>
      <w:lvlJc w:val="left"/>
      <w:pPr>
        <w:ind w:left="5760" w:hanging="360"/>
      </w:pPr>
      <w:rPr>
        <w:u w:val="none"/>
      </w:rPr>
    </w:lvl>
    <w:lvl w:ilvl="8" w:tplc="B53893B6">
      <w:start w:val="1"/>
      <w:numFmt w:val="bullet"/>
      <w:lvlText w:val="■"/>
      <w:lvlJc w:val="left"/>
      <w:pPr>
        <w:ind w:left="6480" w:hanging="360"/>
      </w:pPr>
      <w:rPr>
        <w:u w:val="none"/>
      </w:rPr>
    </w:lvl>
  </w:abstractNum>
  <w:num w:numId="1" w16cid:durableId="1847213385">
    <w:abstractNumId w:val="2"/>
  </w:num>
  <w:num w:numId="2" w16cid:durableId="2018849867">
    <w:abstractNumId w:val="0"/>
  </w:num>
  <w:num w:numId="3" w16cid:durableId="1093820163">
    <w:abstractNumId w:val="1"/>
  </w:num>
  <w:num w:numId="4" w16cid:durableId="19993361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118"/>
    <w:rsid w:val="00122A84"/>
    <w:rsid w:val="001309F6"/>
    <w:rsid w:val="001754D5"/>
    <w:rsid w:val="00190118"/>
    <w:rsid w:val="001D55EB"/>
    <w:rsid w:val="002A4392"/>
    <w:rsid w:val="002B5FDB"/>
    <w:rsid w:val="003B2116"/>
    <w:rsid w:val="003D6531"/>
    <w:rsid w:val="00493FB8"/>
    <w:rsid w:val="004D58CA"/>
    <w:rsid w:val="0051758D"/>
    <w:rsid w:val="005726AE"/>
    <w:rsid w:val="005D762D"/>
    <w:rsid w:val="006B7B78"/>
    <w:rsid w:val="00702687"/>
    <w:rsid w:val="00755B64"/>
    <w:rsid w:val="007B516B"/>
    <w:rsid w:val="007F0827"/>
    <w:rsid w:val="0082326E"/>
    <w:rsid w:val="00841EB4"/>
    <w:rsid w:val="008D52C7"/>
    <w:rsid w:val="00A51FC0"/>
    <w:rsid w:val="00B36FA9"/>
    <w:rsid w:val="00BB3AC5"/>
    <w:rsid w:val="00BD22CA"/>
    <w:rsid w:val="00BF487F"/>
    <w:rsid w:val="00CA3E68"/>
    <w:rsid w:val="00CC29AA"/>
    <w:rsid w:val="00D03B23"/>
    <w:rsid w:val="00D25CA8"/>
    <w:rsid w:val="00D27EEC"/>
    <w:rsid w:val="00D83983"/>
    <w:rsid w:val="00DB6BC8"/>
    <w:rsid w:val="00E12C78"/>
    <w:rsid w:val="00EA2D2F"/>
    <w:rsid w:val="00ED4D6F"/>
    <w:rsid w:val="00ED7A92"/>
    <w:rsid w:val="00F706CF"/>
    <w:rsid w:val="00FC0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96AEE"/>
  <w15:docId w15:val="{4B204103-A9D2-4ECD-8451-69E13DE1D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pPr>
      <w:keepNext/>
      <w:keepLines/>
      <w:pBdr>
        <w:top w:val="nil"/>
        <w:left w:val="nil"/>
        <w:bottom w:val="nil"/>
        <w:right w:val="nil"/>
        <w:between w:val="nil"/>
      </w:pBdr>
      <w:outlineLvl w:val="1"/>
    </w:pPr>
    <w:rPr>
      <w:b/>
      <w:color w:val="000000"/>
    </w:rPr>
  </w:style>
  <w:style w:type="paragraph" w:styleId="Heading3">
    <w:name w:val="heading 3"/>
    <w:basedOn w:val="Normal"/>
    <w:next w:val="Normal"/>
    <w:pPr>
      <w:keepNext/>
      <w:keepLines/>
      <w:pBdr>
        <w:top w:val="nil"/>
        <w:left w:val="nil"/>
        <w:bottom w:val="nil"/>
        <w:right w:val="nil"/>
        <w:between w:val="nil"/>
      </w:pBdr>
      <w:outlineLvl w:val="2"/>
    </w:pPr>
    <w:rPr>
      <w:b/>
      <w:i/>
      <w:color w:val="000000"/>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table" w:customStyle="1" w:styleId="TableNormal00">
    <w:name w:val="TableNormal_0"/>
    <w:rsid w:val="00397B10"/>
    <w:tblPr>
      <w:tblCellMar>
        <w:top w:w="100" w:type="dxa"/>
        <w:left w:w="100" w:type="dxa"/>
        <w:bottom w:w="100" w:type="dxa"/>
        <w:right w:w="100" w:type="dxa"/>
      </w:tblCellMar>
    </w:tblPr>
  </w:style>
  <w:style w:type="paragraph" w:customStyle="1" w:styleId="Normal1">
    <w:name w:val="Normal1"/>
    <w:rsid w:val="00397B10"/>
  </w:style>
  <w:style w:type="table" w:customStyle="1" w:styleId="a">
    <w:name w:val="a"/>
    <w:basedOn w:val="TableNormal00"/>
    <w:rsid w:val="00397B10"/>
    <w:tblPr>
      <w:tblStyleRowBandSize w:val="1"/>
      <w:tblStyleColBandSize w:val="1"/>
    </w:tblPr>
  </w:style>
  <w:style w:type="table" w:customStyle="1" w:styleId="a0">
    <w:name w:val="a0"/>
    <w:basedOn w:val="TableNormal00"/>
    <w:rsid w:val="00397B10"/>
    <w:tblPr>
      <w:tblStyleRowBandSize w:val="1"/>
      <w:tblStyleColBandSize w:val="1"/>
    </w:tblPr>
  </w:style>
  <w:style w:type="paragraph" w:styleId="CommentText">
    <w:name w:val="annotation text"/>
    <w:basedOn w:val="Normal"/>
    <w:link w:val="CommentTextChar"/>
    <w:uiPriority w:val="99"/>
    <w:semiHidden/>
    <w:unhideWhenUsed/>
    <w:rsid w:val="00397B10"/>
    <w:pPr>
      <w:spacing w:line="240" w:lineRule="auto"/>
    </w:pPr>
    <w:rPr>
      <w:sz w:val="20"/>
      <w:szCs w:val="20"/>
    </w:rPr>
  </w:style>
  <w:style w:type="character" w:customStyle="1" w:styleId="CommentTextChar">
    <w:name w:val="Comment Text Char"/>
    <w:basedOn w:val="DefaultParagraphFont"/>
    <w:link w:val="CommentText"/>
    <w:uiPriority w:val="99"/>
    <w:semiHidden/>
    <w:rsid w:val="00397B10"/>
    <w:rPr>
      <w:sz w:val="20"/>
      <w:szCs w:val="20"/>
    </w:rPr>
  </w:style>
  <w:style w:type="character" w:styleId="CommentReference">
    <w:name w:val="annotation reference"/>
    <w:basedOn w:val="DefaultParagraphFont"/>
    <w:uiPriority w:val="99"/>
    <w:semiHidden/>
    <w:unhideWhenUsed/>
    <w:rsid w:val="00397B10"/>
    <w:rPr>
      <w:sz w:val="16"/>
      <w:szCs w:val="16"/>
    </w:rPr>
  </w:style>
  <w:style w:type="paragraph" w:styleId="BalloonText">
    <w:name w:val="Balloon Text"/>
    <w:basedOn w:val="Normal"/>
    <w:link w:val="BalloonTextChar"/>
    <w:uiPriority w:val="99"/>
    <w:semiHidden/>
    <w:unhideWhenUsed/>
    <w:rsid w:val="002F3D7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3D77"/>
    <w:rPr>
      <w:rFonts w:ascii="Tahoma" w:hAnsi="Tahoma" w:cs="Tahoma"/>
      <w:sz w:val="16"/>
      <w:szCs w:val="16"/>
    </w:rPr>
  </w:style>
  <w:style w:type="paragraph" w:styleId="TOCHeading">
    <w:name w:val="TOC Heading"/>
    <w:basedOn w:val="Heading1"/>
    <w:next w:val="Normal"/>
    <w:uiPriority w:val="39"/>
    <w:unhideWhenUsed/>
    <w:qFormat/>
    <w:rsid w:val="00223E5A"/>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23E5A"/>
    <w:pPr>
      <w:spacing w:after="100"/>
    </w:pPr>
  </w:style>
  <w:style w:type="paragraph" w:styleId="TOC2">
    <w:name w:val="toc 2"/>
    <w:basedOn w:val="Normal"/>
    <w:next w:val="Normal"/>
    <w:autoRedefine/>
    <w:uiPriority w:val="39"/>
    <w:unhideWhenUsed/>
    <w:rsid w:val="00223E5A"/>
    <w:pPr>
      <w:spacing w:after="100"/>
      <w:ind w:left="240"/>
    </w:pPr>
  </w:style>
  <w:style w:type="paragraph" w:styleId="TOC3">
    <w:name w:val="toc 3"/>
    <w:basedOn w:val="Normal"/>
    <w:next w:val="Normal"/>
    <w:autoRedefine/>
    <w:uiPriority w:val="39"/>
    <w:unhideWhenUsed/>
    <w:rsid w:val="00223E5A"/>
    <w:pPr>
      <w:spacing w:after="100"/>
      <w:ind w:left="480"/>
    </w:pPr>
  </w:style>
  <w:style w:type="character" w:styleId="Hyperlink">
    <w:name w:val="Hyperlink"/>
    <w:basedOn w:val="DefaultParagraphFont"/>
    <w:uiPriority w:val="99"/>
    <w:unhideWhenUsed/>
    <w:rsid w:val="00223E5A"/>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4373A4"/>
    <w:rPr>
      <w:b/>
      <w:bCs/>
    </w:rPr>
  </w:style>
  <w:style w:type="character" w:customStyle="1" w:styleId="CommentSubjectChar">
    <w:name w:val="Comment Subject Char"/>
    <w:basedOn w:val="CommentTextChar"/>
    <w:link w:val="CommentSubject"/>
    <w:uiPriority w:val="99"/>
    <w:semiHidden/>
    <w:rsid w:val="004373A4"/>
    <w:rPr>
      <w:b/>
      <w:bCs/>
      <w:sz w:val="20"/>
      <w:szCs w:val="20"/>
    </w:rPr>
  </w:style>
  <w:style w:type="paragraph" w:styleId="Subtitle">
    <w:name w:val="Subtitle"/>
    <w:basedOn w:val="Normal"/>
    <w:next w:val="Normal"/>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
    <w:tblPr>
      <w:tblStyleRowBandSize w:val="1"/>
      <w:tblStyleColBandSize w:val="1"/>
    </w:tblPr>
  </w:style>
  <w:style w:type="table" w:customStyle="1" w:styleId="Table2">
    <w:name w:val="Table2"/>
    <w:basedOn w:val="TableNormal"/>
    <w:tblPr>
      <w:tblStyleRowBandSize w:val="1"/>
      <w:tblStyleColBandSize w:val="1"/>
    </w:tblPr>
  </w:style>
  <w:style w:type="paragraph" w:customStyle="1" w:styleId="p1">
    <w:name w:val="p1"/>
    <w:basedOn w:val="Normal"/>
    <w:rsid w:val="002B5FDB"/>
    <w:pPr>
      <w:spacing w:line="240" w:lineRule="auto"/>
      <w:jc w:val="left"/>
    </w:pPr>
    <w:rPr>
      <w:rFonts w:ascii="Helvetica" w:hAnsi="Helvetica"/>
      <w:color w:val="000000"/>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y6FaSKHeRofpq1NT91xz7a9Zxw==">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</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3389</Words>
  <Characters>20776</Characters>
  <Application>Microsoft Office Word</Application>
  <DocSecurity>0</DocSecurity>
  <Lines>407</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2223648@student.uwtsd.ac.uk</dc:creator>
  <cp:lastModifiedBy>Alecu Mihaela</cp:lastModifiedBy>
  <cp:revision>2</cp:revision>
  <dcterms:created xsi:type="dcterms:W3CDTF">2025-10-30T06:50:00Z</dcterms:created>
  <dcterms:modified xsi:type="dcterms:W3CDTF">2025-10-30T06:50:00Z</dcterms:modified>
</cp:coreProperties>
</file>