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284D5D8F" w:rsidR="004E568D" w:rsidRPr="00C319EB" w:rsidRDefault="00C319EB" w:rsidP="00C319EB">
      <w:pPr>
        <w:rPr>
          <w:rFonts w:ascii="Arial" w:hAnsi="Arial" w:cs="Arial"/>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lang w:val="en-US" w:eastAsia="en-US"/>
        </w:rPr>
        <w:t xml:space="preserve">. </w:t>
      </w:r>
      <w:r>
        <w:rPr>
          <w:rFonts w:ascii="Arial" w:hAnsi="Arial" w:cs="Arial"/>
          <w:lang w:val="en-US" w:eastAsia="en-US"/>
        </w:rPr>
        <w:t xml:space="preserve"> </w:t>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1C37C01F" w:rsidR="00FB0D09" w:rsidRPr="004A1148" w:rsidRDefault="00FB0D09" w:rsidP="00F5276B">
      <w:pPr>
        <w:pStyle w:val="TableHeading"/>
        <w:jc w:val="left"/>
        <w:rPr>
          <w:rFonts w:cs="Arial"/>
        </w:rPr>
        <w:sectPr w:rsidR="00FB0D09" w:rsidRPr="004A1148" w:rsidSect="00B943CE">
          <w:footerReference w:type="default" r:id="rId13"/>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557"/>
        <w:gridCol w:w="2416"/>
        <w:gridCol w:w="2552"/>
        <w:gridCol w:w="2724"/>
        <w:gridCol w:w="2922"/>
        <w:gridCol w:w="2905"/>
      </w:tblGrid>
      <w:tr w:rsidR="004A7D3D" w:rsidRPr="004A1148" w14:paraId="0ADBC58B" w14:textId="77777777" w:rsidTr="003001CB">
        <w:trPr>
          <w:cantSplit/>
          <w:trHeight w:val="510"/>
          <w:jc w:val="center"/>
        </w:trPr>
        <w:tc>
          <w:tcPr>
            <w:tcW w:w="155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416"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3001CB">
        <w:trPr>
          <w:cantSplit/>
          <w:trHeight w:val="510"/>
          <w:jc w:val="center"/>
        </w:trPr>
        <w:tc>
          <w:tcPr>
            <w:tcW w:w="1557" w:type="dxa"/>
            <w:vAlign w:val="bottom"/>
          </w:tcPr>
          <w:p w14:paraId="2C3618AC" w14:textId="3C2E9278" w:rsidR="004A7D3D" w:rsidRPr="004A1148" w:rsidRDefault="00314E4A" w:rsidP="00F5276B">
            <w:pPr>
              <w:pStyle w:val="TableText"/>
              <w:ind w:left="284"/>
              <w:rPr>
                <w:rFonts w:cs="Arial"/>
              </w:rPr>
            </w:pPr>
            <w:r>
              <w:rPr>
                <w:rFonts w:cs="Arial"/>
              </w:rPr>
              <w:t>B</w:t>
            </w:r>
            <w:r w:rsidR="008A07D3">
              <w:rPr>
                <w:rFonts w:cs="Arial"/>
              </w:rPr>
              <w:t xml:space="preserve"> </w:t>
            </w:r>
          </w:p>
        </w:tc>
        <w:tc>
          <w:tcPr>
            <w:tcW w:w="2416" w:type="dxa"/>
            <w:vAlign w:val="bottom"/>
          </w:tcPr>
          <w:p w14:paraId="325D5AA6" w14:textId="3D6F7F98" w:rsidR="004A7D3D" w:rsidRPr="004A1148" w:rsidRDefault="008A07D3" w:rsidP="00F5276B">
            <w:pPr>
              <w:pStyle w:val="TableText"/>
              <w:rPr>
                <w:rFonts w:cs="Arial"/>
              </w:rPr>
            </w:pPr>
            <w:r>
              <w:rPr>
                <w:rFonts w:cs="Arial"/>
              </w:rPr>
              <w:t>172.16.</w:t>
            </w:r>
            <w:r w:rsidR="006B4FC3">
              <w:rPr>
                <w:rFonts w:cs="Arial"/>
              </w:rPr>
              <w:t>2</w:t>
            </w:r>
            <w:r>
              <w:rPr>
                <w:rFonts w:cs="Arial"/>
              </w:rPr>
              <w:t>.0</w:t>
            </w:r>
          </w:p>
        </w:tc>
        <w:tc>
          <w:tcPr>
            <w:tcW w:w="2552" w:type="dxa"/>
          </w:tcPr>
          <w:p w14:paraId="64D79944" w14:textId="3B121D2D" w:rsidR="004A7D3D" w:rsidRPr="004A1148" w:rsidRDefault="006B4FC3" w:rsidP="00F5276B">
            <w:pPr>
              <w:pStyle w:val="TableText"/>
              <w:rPr>
                <w:rFonts w:cs="Arial"/>
              </w:rPr>
            </w:pPr>
            <w:r>
              <w:rPr>
                <w:rFonts w:cs="Arial"/>
              </w:rPr>
              <w:t>255.255.248.0</w:t>
            </w:r>
          </w:p>
        </w:tc>
        <w:tc>
          <w:tcPr>
            <w:tcW w:w="2724" w:type="dxa"/>
            <w:vAlign w:val="bottom"/>
          </w:tcPr>
          <w:p w14:paraId="426B55D1" w14:textId="5BED0CE4" w:rsidR="004A7D3D" w:rsidRPr="004A1148" w:rsidRDefault="006B4FC3" w:rsidP="00F5276B">
            <w:pPr>
              <w:pStyle w:val="TableText"/>
              <w:rPr>
                <w:rFonts w:cs="Arial"/>
              </w:rPr>
            </w:pPr>
            <w:r>
              <w:rPr>
                <w:rFonts w:cs="Arial"/>
              </w:rPr>
              <w:t>172.16.2.1</w:t>
            </w:r>
          </w:p>
        </w:tc>
        <w:tc>
          <w:tcPr>
            <w:tcW w:w="2922" w:type="dxa"/>
            <w:vAlign w:val="bottom"/>
          </w:tcPr>
          <w:p w14:paraId="2AC7FFA7" w14:textId="3A8ABF7B" w:rsidR="004A7D3D" w:rsidRPr="004A1148" w:rsidRDefault="006B4FC3" w:rsidP="00F5276B">
            <w:pPr>
              <w:pStyle w:val="TableText"/>
              <w:rPr>
                <w:rFonts w:cs="Arial"/>
              </w:rPr>
            </w:pPr>
            <w:r>
              <w:rPr>
                <w:rFonts w:cs="Arial"/>
              </w:rPr>
              <w:t>172.16.2.254</w:t>
            </w:r>
          </w:p>
        </w:tc>
        <w:tc>
          <w:tcPr>
            <w:tcW w:w="2905" w:type="dxa"/>
            <w:vAlign w:val="bottom"/>
          </w:tcPr>
          <w:p w14:paraId="55A78382" w14:textId="7F29FBFB" w:rsidR="004A7D3D" w:rsidRPr="004A1148" w:rsidRDefault="006B4FC3" w:rsidP="00F5276B">
            <w:pPr>
              <w:pStyle w:val="TableText"/>
              <w:ind w:left="284"/>
              <w:rPr>
                <w:rFonts w:cs="Arial"/>
              </w:rPr>
            </w:pPr>
            <w:r>
              <w:rPr>
                <w:rFonts w:cs="Arial"/>
              </w:rPr>
              <w:t>172.16.9.255</w:t>
            </w:r>
          </w:p>
        </w:tc>
      </w:tr>
      <w:tr w:rsidR="004A7D3D" w:rsidRPr="004A1148" w14:paraId="25431512" w14:textId="77777777" w:rsidTr="003001CB">
        <w:trPr>
          <w:cantSplit/>
          <w:trHeight w:val="510"/>
          <w:jc w:val="center"/>
        </w:trPr>
        <w:tc>
          <w:tcPr>
            <w:tcW w:w="1557" w:type="dxa"/>
            <w:vAlign w:val="bottom"/>
          </w:tcPr>
          <w:p w14:paraId="6A6FC7F1" w14:textId="554BEC80" w:rsidR="004A7D3D" w:rsidRPr="004A1148" w:rsidRDefault="008A07D3" w:rsidP="00F5276B">
            <w:pPr>
              <w:pStyle w:val="TableText"/>
              <w:ind w:left="284"/>
              <w:rPr>
                <w:rFonts w:cs="Arial"/>
              </w:rPr>
            </w:pPr>
            <w:r>
              <w:rPr>
                <w:rFonts w:cs="Arial"/>
              </w:rPr>
              <w:t>D</w:t>
            </w:r>
          </w:p>
        </w:tc>
        <w:tc>
          <w:tcPr>
            <w:tcW w:w="2416" w:type="dxa"/>
            <w:vAlign w:val="bottom"/>
          </w:tcPr>
          <w:p w14:paraId="5D565D23" w14:textId="3383E373" w:rsidR="004A7D3D" w:rsidRPr="004A1148" w:rsidRDefault="006B4FC3" w:rsidP="00F5276B">
            <w:pPr>
              <w:pStyle w:val="TableText"/>
              <w:rPr>
                <w:rFonts w:cs="Arial"/>
              </w:rPr>
            </w:pPr>
            <w:r>
              <w:rPr>
                <w:rFonts w:cs="Arial"/>
              </w:rPr>
              <w:t>172.16.10.0</w:t>
            </w:r>
          </w:p>
        </w:tc>
        <w:tc>
          <w:tcPr>
            <w:tcW w:w="2552" w:type="dxa"/>
          </w:tcPr>
          <w:p w14:paraId="5E77A652" w14:textId="71A78FC8" w:rsidR="004A7D3D" w:rsidRPr="004A1148" w:rsidRDefault="006B4FC3" w:rsidP="00F5276B">
            <w:pPr>
              <w:pStyle w:val="TableText"/>
              <w:rPr>
                <w:rFonts w:cs="Arial"/>
              </w:rPr>
            </w:pPr>
            <w:r>
              <w:rPr>
                <w:rFonts w:cs="Arial"/>
              </w:rPr>
              <w:t>255.255.254.0</w:t>
            </w:r>
          </w:p>
        </w:tc>
        <w:tc>
          <w:tcPr>
            <w:tcW w:w="2724" w:type="dxa"/>
            <w:vAlign w:val="bottom"/>
          </w:tcPr>
          <w:p w14:paraId="553FF9D4" w14:textId="5778AF08" w:rsidR="004A7D3D" w:rsidRPr="004A1148" w:rsidRDefault="006B4FC3" w:rsidP="00F5276B">
            <w:pPr>
              <w:pStyle w:val="TableText"/>
              <w:rPr>
                <w:rFonts w:cs="Arial"/>
              </w:rPr>
            </w:pPr>
            <w:r>
              <w:rPr>
                <w:rFonts w:cs="Arial"/>
              </w:rPr>
              <w:t>172.16.10.1</w:t>
            </w:r>
          </w:p>
        </w:tc>
        <w:tc>
          <w:tcPr>
            <w:tcW w:w="2922" w:type="dxa"/>
            <w:vAlign w:val="bottom"/>
          </w:tcPr>
          <w:p w14:paraId="12602C5C" w14:textId="3250608C" w:rsidR="004A7D3D" w:rsidRPr="004A1148" w:rsidRDefault="006B4FC3" w:rsidP="00F5276B">
            <w:pPr>
              <w:pStyle w:val="TableText"/>
              <w:rPr>
                <w:rFonts w:cs="Arial"/>
              </w:rPr>
            </w:pPr>
            <w:r>
              <w:rPr>
                <w:rFonts w:cs="Arial"/>
              </w:rPr>
              <w:t>172.16.11.25</w:t>
            </w:r>
            <w:r w:rsidR="00E30BE8">
              <w:rPr>
                <w:rFonts w:cs="Arial"/>
              </w:rPr>
              <w:t>4</w:t>
            </w:r>
          </w:p>
        </w:tc>
        <w:tc>
          <w:tcPr>
            <w:tcW w:w="2905" w:type="dxa"/>
            <w:vAlign w:val="bottom"/>
          </w:tcPr>
          <w:p w14:paraId="0E927FF2" w14:textId="31B26165" w:rsidR="004A7D3D" w:rsidRPr="004A1148" w:rsidRDefault="006B4FC3" w:rsidP="00F5276B">
            <w:pPr>
              <w:pStyle w:val="TableText"/>
              <w:ind w:left="284"/>
              <w:rPr>
                <w:rFonts w:cs="Arial"/>
              </w:rPr>
            </w:pPr>
            <w:r>
              <w:rPr>
                <w:rFonts w:cs="Arial"/>
              </w:rPr>
              <w:t>172.16.11.255</w:t>
            </w:r>
          </w:p>
        </w:tc>
      </w:tr>
      <w:tr w:rsidR="004A7D3D" w:rsidRPr="004A1148" w14:paraId="1804910C" w14:textId="77777777" w:rsidTr="003001CB">
        <w:trPr>
          <w:cantSplit/>
          <w:trHeight w:val="510"/>
          <w:jc w:val="center"/>
        </w:trPr>
        <w:tc>
          <w:tcPr>
            <w:tcW w:w="1557" w:type="dxa"/>
            <w:vAlign w:val="bottom"/>
          </w:tcPr>
          <w:p w14:paraId="198C292F" w14:textId="510CEC0B" w:rsidR="004A7D3D" w:rsidRPr="004A1148" w:rsidRDefault="008A07D3" w:rsidP="00F5276B">
            <w:pPr>
              <w:pStyle w:val="TableText"/>
              <w:ind w:left="284"/>
              <w:rPr>
                <w:rFonts w:cs="Arial"/>
              </w:rPr>
            </w:pPr>
            <w:r>
              <w:rPr>
                <w:rFonts w:cs="Arial"/>
              </w:rPr>
              <w:t>F</w:t>
            </w:r>
          </w:p>
        </w:tc>
        <w:tc>
          <w:tcPr>
            <w:tcW w:w="2416" w:type="dxa"/>
            <w:vAlign w:val="bottom"/>
          </w:tcPr>
          <w:p w14:paraId="3114BB27" w14:textId="178EA02F" w:rsidR="004A7D3D" w:rsidRPr="004A1148" w:rsidRDefault="006B4FC3" w:rsidP="00F5276B">
            <w:pPr>
              <w:pStyle w:val="TableText"/>
              <w:rPr>
                <w:rFonts w:cs="Arial"/>
              </w:rPr>
            </w:pPr>
            <w:r>
              <w:rPr>
                <w:rFonts w:cs="Arial"/>
              </w:rPr>
              <w:t>172.16.12.0</w:t>
            </w:r>
          </w:p>
        </w:tc>
        <w:tc>
          <w:tcPr>
            <w:tcW w:w="2552" w:type="dxa"/>
          </w:tcPr>
          <w:p w14:paraId="0D8FD5C7" w14:textId="4B55A945" w:rsidR="004A7D3D" w:rsidRPr="004A1148" w:rsidRDefault="00E30BE8" w:rsidP="00F5276B">
            <w:pPr>
              <w:pStyle w:val="TableText"/>
              <w:rPr>
                <w:rFonts w:cs="Arial"/>
              </w:rPr>
            </w:pPr>
            <w:r>
              <w:rPr>
                <w:rFonts w:cs="Arial"/>
              </w:rPr>
              <w:t>255.255.255.0</w:t>
            </w:r>
          </w:p>
        </w:tc>
        <w:tc>
          <w:tcPr>
            <w:tcW w:w="2724" w:type="dxa"/>
            <w:vAlign w:val="bottom"/>
          </w:tcPr>
          <w:p w14:paraId="035CA129" w14:textId="6B25EFD4" w:rsidR="004A7D3D" w:rsidRPr="004A1148" w:rsidRDefault="00E30BE8" w:rsidP="00F5276B">
            <w:pPr>
              <w:pStyle w:val="TableText"/>
              <w:rPr>
                <w:rFonts w:cs="Arial"/>
              </w:rPr>
            </w:pPr>
            <w:r>
              <w:rPr>
                <w:rFonts w:cs="Arial"/>
              </w:rPr>
              <w:t>172.16.12.1</w:t>
            </w:r>
          </w:p>
        </w:tc>
        <w:tc>
          <w:tcPr>
            <w:tcW w:w="2922" w:type="dxa"/>
            <w:vAlign w:val="bottom"/>
          </w:tcPr>
          <w:p w14:paraId="139F5B25" w14:textId="50A306BF" w:rsidR="004A7D3D" w:rsidRPr="004A1148" w:rsidRDefault="00E30BE8" w:rsidP="00F5276B">
            <w:pPr>
              <w:pStyle w:val="TableText"/>
              <w:rPr>
                <w:rFonts w:cs="Arial"/>
              </w:rPr>
            </w:pPr>
            <w:r>
              <w:rPr>
                <w:rFonts w:cs="Arial"/>
              </w:rPr>
              <w:t>172.16.1</w:t>
            </w:r>
            <w:r w:rsidR="00F85C27">
              <w:rPr>
                <w:rFonts w:cs="Arial"/>
              </w:rPr>
              <w:t>2</w:t>
            </w:r>
            <w:r>
              <w:rPr>
                <w:rFonts w:cs="Arial"/>
              </w:rPr>
              <w:t>.254</w:t>
            </w:r>
          </w:p>
        </w:tc>
        <w:tc>
          <w:tcPr>
            <w:tcW w:w="2905" w:type="dxa"/>
            <w:vAlign w:val="bottom"/>
          </w:tcPr>
          <w:p w14:paraId="63784539" w14:textId="4764D68E" w:rsidR="004A7D3D" w:rsidRPr="004A1148" w:rsidRDefault="00E30BE8" w:rsidP="00F5276B">
            <w:pPr>
              <w:pStyle w:val="TableText"/>
              <w:ind w:left="284"/>
              <w:rPr>
                <w:rFonts w:cs="Arial"/>
              </w:rPr>
            </w:pPr>
            <w:r>
              <w:rPr>
                <w:rFonts w:cs="Arial"/>
              </w:rPr>
              <w:t>172.16.12.255</w:t>
            </w:r>
          </w:p>
        </w:tc>
      </w:tr>
      <w:tr w:rsidR="004A7D3D" w:rsidRPr="004A1148" w14:paraId="6FCEA750" w14:textId="77777777" w:rsidTr="003001CB">
        <w:trPr>
          <w:cantSplit/>
          <w:trHeight w:val="510"/>
          <w:jc w:val="center"/>
        </w:trPr>
        <w:tc>
          <w:tcPr>
            <w:tcW w:w="1557" w:type="dxa"/>
            <w:vAlign w:val="bottom"/>
          </w:tcPr>
          <w:p w14:paraId="023D3E13" w14:textId="746F0614" w:rsidR="004A7D3D" w:rsidRPr="004A1148" w:rsidRDefault="008A07D3" w:rsidP="00F5276B">
            <w:pPr>
              <w:pStyle w:val="TableText"/>
              <w:ind w:left="284"/>
              <w:rPr>
                <w:rFonts w:cs="Arial"/>
              </w:rPr>
            </w:pPr>
            <w:r>
              <w:rPr>
                <w:rFonts w:cs="Arial"/>
              </w:rPr>
              <w:t>E</w:t>
            </w:r>
          </w:p>
        </w:tc>
        <w:tc>
          <w:tcPr>
            <w:tcW w:w="2416" w:type="dxa"/>
            <w:vAlign w:val="bottom"/>
          </w:tcPr>
          <w:p w14:paraId="028301AC" w14:textId="4DE76414" w:rsidR="004A7D3D" w:rsidRPr="004A1148" w:rsidRDefault="00E30BE8" w:rsidP="00F5276B">
            <w:pPr>
              <w:pStyle w:val="TableText"/>
              <w:rPr>
                <w:rFonts w:cs="Arial"/>
              </w:rPr>
            </w:pPr>
            <w:r>
              <w:rPr>
                <w:rFonts w:cs="Arial"/>
              </w:rPr>
              <w:t>172.16.13.0</w:t>
            </w:r>
          </w:p>
        </w:tc>
        <w:tc>
          <w:tcPr>
            <w:tcW w:w="2552" w:type="dxa"/>
          </w:tcPr>
          <w:p w14:paraId="0E107CA2" w14:textId="68B26E44" w:rsidR="004A7D3D" w:rsidRPr="004A1148" w:rsidRDefault="00E30BE8" w:rsidP="00F5276B">
            <w:pPr>
              <w:pStyle w:val="TableText"/>
              <w:rPr>
                <w:rFonts w:cs="Arial"/>
              </w:rPr>
            </w:pPr>
            <w:r>
              <w:rPr>
                <w:rFonts w:cs="Arial"/>
              </w:rPr>
              <w:t>255.255.255.192</w:t>
            </w:r>
          </w:p>
        </w:tc>
        <w:tc>
          <w:tcPr>
            <w:tcW w:w="2724" w:type="dxa"/>
            <w:vAlign w:val="bottom"/>
          </w:tcPr>
          <w:p w14:paraId="76E3E1C0" w14:textId="28AB386E" w:rsidR="004A7D3D" w:rsidRPr="004A1148" w:rsidRDefault="00E30BE8" w:rsidP="00F5276B">
            <w:pPr>
              <w:pStyle w:val="TableText"/>
              <w:rPr>
                <w:rFonts w:cs="Arial"/>
              </w:rPr>
            </w:pPr>
            <w:r>
              <w:rPr>
                <w:rFonts w:cs="Arial"/>
              </w:rPr>
              <w:t>172.16.13.1</w:t>
            </w:r>
          </w:p>
        </w:tc>
        <w:tc>
          <w:tcPr>
            <w:tcW w:w="2922" w:type="dxa"/>
            <w:vAlign w:val="bottom"/>
          </w:tcPr>
          <w:p w14:paraId="1F58716B" w14:textId="5A6E6559" w:rsidR="004A7D3D" w:rsidRPr="004A1148" w:rsidRDefault="003542EE" w:rsidP="00F5276B">
            <w:pPr>
              <w:pStyle w:val="TableText"/>
              <w:rPr>
                <w:rFonts w:cs="Arial"/>
              </w:rPr>
            </w:pPr>
            <w:r>
              <w:rPr>
                <w:rFonts w:cs="Arial"/>
              </w:rPr>
              <w:t>172.16.13.62</w:t>
            </w:r>
          </w:p>
        </w:tc>
        <w:tc>
          <w:tcPr>
            <w:tcW w:w="2905" w:type="dxa"/>
            <w:vAlign w:val="bottom"/>
          </w:tcPr>
          <w:p w14:paraId="1F03CCA5" w14:textId="36B33D12" w:rsidR="004A7D3D" w:rsidRPr="004A1148" w:rsidRDefault="001B63F1" w:rsidP="00F5276B">
            <w:pPr>
              <w:pStyle w:val="TableText"/>
              <w:ind w:left="284"/>
              <w:rPr>
                <w:rFonts w:cs="Arial"/>
              </w:rPr>
            </w:pPr>
            <w:r>
              <w:rPr>
                <w:rFonts w:cs="Arial"/>
              </w:rPr>
              <w:t>172.16.13</w:t>
            </w:r>
            <w:r w:rsidR="00087602">
              <w:rPr>
                <w:rFonts w:cs="Arial"/>
              </w:rPr>
              <w:t>.</w:t>
            </w:r>
            <w:r w:rsidR="00DC5995">
              <w:rPr>
                <w:rFonts w:cs="Arial"/>
              </w:rPr>
              <w:t>6</w:t>
            </w:r>
            <w:r w:rsidR="003542EE">
              <w:rPr>
                <w:rFonts w:cs="Arial"/>
              </w:rPr>
              <w:t>3</w:t>
            </w:r>
          </w:p>
        </w:tc>
      </w:tr>
      <w:tr w:rsidR="004A7D3D" w:rsidRPr="004A1148" w14:paraId="6B34B8B1" w14:textId="77777777" w:rsidTr="003001CB">
        <w:trPr>
          <w:cantSplit/>
          <w:trHeight w:val="510"/>
          <w:jc w:val="center"/>
        </w:trPr>
        <w:tc>
          <w:tcPr>
            <w:tcW w:w="1557" w:type="dxa"/>
            <w:vAlign w:val="bottom"/>
          </w:tcPr>
          <w:p w14:paraId="65F58BF1" w14:textId="6249127E" w:rsidR="004A7D3D" w:rsidRPr="004A1148" w:rsidRDefault="008A07D3" w:rsidP="00F5276B">
            <w:pPr>
              <w:pStyle w:val="TableText"/>
              <w:ind w:left="284"/>
              <w:rPr>
                <w:rFonts w:cs="Arial"/>
              </w:rPr>
            </w:pPr>
            <w:r>
              <w:rPr>
                <w:rFonts w:cs="Arial"/>
              </w:rPr>
              <w:t>A</w:t>
            </w:r>
          </w:p>
        </w:tc>
        <w:tc>
          <w:tcPr>
            <w:tcW w:w="2416" w:type="dxa"/>
            <w:vAlign w:val="bottom"/>
          </w:tcPr>
          <w:p w14:paraId="18067B56" w14:textId="4313D6CC" w:rsidR="004A7D3D" w:rsidRPr="004A1148" w:rsidRDefault="008E6D9A" w:rsidP="00F5276B">
            <w:pPr>
              <w:pStyle w:val="TableText"/>
              <w:rPr>
                <w:rFonts w:cs="Arial"/>
              </w:rPr>
            </w:pPr>
            <w:r>
              <w:rPr>
                <w:rFonts w:cs="Arial"/>
              </w:rPr>
              <w:t>172.16.</w:t>
            </w:r>
            <w:r w:rsidR="008F6096">
              <w:rPr>
                <w:rFonts w:cs="Arial"/>
              </w:rPr>
              <w:t>13.64</w:t>
            </w:r>
          </w:p>
        </w:tc>
        <w:tc>
          <w:tcPr>
            <w:tcW w:w="2552" w:type="dxa"/>
          </w:tcPr>
          <w:p w14:paraId="309D051E" w14:textId="6325157A" w:rsidR="004A7D3D" w:rsidRPr="004A1148" w:rsidRDefault="008E6D9A" w:rsidP="00F5276B">
            <w:pPr>
              <w:pStyle w:val="TableText"/>
              <w:rPr>
                <w:rFonts w:cs="Arial"/>
              </w:rPr>
            </w:pPr>
            <w:r>
              <w:rPr>
                <w:rFonts w:cs="Arial"/>
              </w:rPr>
              <w:t>255.255.255.224</w:t>
            </w:r>
          </w:p>
        </w:tc>
        <w:tc>
          <w:tcPr>
            <w:tcW w:w="2724" w:type="dxa"/>
            <w:vAlign w:val="bottom"/>
          </w:tcPr>
          <w:p w14:paraId="4BB66377" w14:textId="3CDEC5F9" w:rsidR="004A7D3D" w:rsidRPr="004A1148" w:rsidRDefault="00763285" w:rsidP="00F5276B">
            <w:pPr>
              <w:pStyle w:val="TableText"/>
              <w:rPr>
                <w:rFonts w:cs="Arial"/>
              </w:rPr>
            </w:pPr>
            <w:r>
              <w:rPr>
                <w:rFonts w:cs="Arial"/>
              </w:rPr>
              <w:t>172.16.13.65</w:t>
            </w:r>
          </w:p>
        </w:tc>
        <w:tc>
          <w:tcPr>
            <w:tcW w:w="2922" w:type="dxa"/>
            <w:vAlign w:val="bottom"/>
          </w:tcPr>
          <w:p w14:paraId="2F12A22D" w14:textId="2E86D4CD" w:rsidR="004A7D3D" w:rsidRPr="004A1148" w:rsidRDefault="00763285" w:rsidP="00F5276B">
            <w:pPr>
              <w:pStyle w:val="TableText"/>
              <w:rPr>
                <w:rFonts w:cs="Arial"/>
              </w:rPr>
            </w:pPr>
            <w:r>
              <w:rPr>
                <w:rFonts w:cs="Arial"/>
              </w:rPr>
              <w:t>172.16.13.94</w:t>
            </w:r>
          </w:p>
        </w:tc>
        <w:tc>
          <w:tcPr>
            <w:tcW w:w="2905" w:type="dxa"/>
            <w:vAlign w:val="bottom"/>
          </w:tcPr>
          <w:p w14:paraId="78E458EF" w14:textId="3C7F58EA" w:rsidR="004A7D3D" w:rsidRPr="004A1148" w:rsidRDefault="008F6096" w:rsidP="00F5276B">
            <w:pPr>
              <w:pStyle w:val="TableText"/>
              <w:ind w:left="284"/>
              <w:rPr>
                <w:rFonts w:cs="Arial"/>
              </w:rPr>
            </w:pPr>
            <w:r>
              <w:rPr>
                <w:rFonts w:cs="Arial"/>
              </w:rPr>
              <w:t>172.16.13.</w:t>
            </w:r>
            <w:r w:rsidR="00DC3288">
              <w:rPr>
                <w:rFonts w:cs="Arial"/>
              </w:rPr>
              <w:t>95</w:t>
            </w:r>
          </w:p>
        </w:tc>
      </w:tr>
      <w:tr w:rsidR="004A7D3D" w:rsidRPr="004A1148" w14:paraId="0B4ED2B0" w14:textId="77777777" w:rsidTr="003001CB">
        <w:trPr>
          <w:cantSplit/>
          <w:trHeight w:val="510"/>
          <w:jc w:val="center"/>
        </w:trPr>
        <w:tc>
          <w:tcPr>
            <w:tcW w:w="1557" w:type="dxa"/>
            <w:vAlign w:val="bottom"/>
          </w:tcPr>
          <w:p w14:paraId="609E3F7B" w14:textId="285754E6" w:rsidR="004A7D3D" w:rsidRPr="004A1148" w:rsidRDefault="008A07D3" w:rsidP="00F5276B">
            <w:pPr>
              <w:pStyle w:val="TableText"/>
              <w:ind w:left="284"/>
              <w:rPr>
                <w:rFonts w:cs="Arial"/>
              </w:rPr>
            </w:pPr>
            <w:r>
              <w:rPr>
                <w:rFonts w:cs="Arial"/>
              </w:rPr>
              <w:t>C</w:t>
            </w:r>
          </w:p>
        </w:tc>
        <w:tc>
          <w:tcPr>
            <w:tcW w:w="2416" w:type="dxa"/>
            <w:vAlign w:val="bottom"/>
          </w:tcPr>
          <w:p w14:paraId="31F64227" w14:textId="5E3CB527" w:rsidR="004A7D3D" w:rsidRPr="004A1148" w:rsidRDefault="006603DF" w:rsidP="00F5276B">
            <w:pPr>
              <w:pStyle w:val="TableText"/>
              <w:rPr>
                <w:rFonts w:cs="Arial"/>
              </w:rPr>
            </w:pPr>
            <w:r>
              <w:rPr>
                <w:rFonts w:cs="Arial"/>
              </w:rPr>
              <w:t>172.16.13.96</w:t>
            </w:r>
          </w:p>
        </w:tc>
        <w:tc>
          <w:tcPr>
            <w:tcW w:w="2552" w:type="dxa"/>
          </w:tcPr>
          <w:p w14:paraId="55665601" w14:textId="22269557" w:rsidR="004A7D3D" w:rsidRPr="004A1148" w:rsidRDefault="006603DF" w:rsidP="00F5276B">
            <w:pPr>
              <w:pStyle w:val="TableText"/>
              <w:rPr>
                <w:rFonts w:cs="Arial"/>
              </w:rPr>
            </w:pPr>
            <w:r>
              <w:rPr>
                <w:rFonts w:cs="Arial"/>
              </w:rPr>
              <w:t>255.255.255.</w:t>
            </w:r>
            <w:r w:rsidR="00365F08">
              <w:rPr>
                <w:rFonts w:cs="Arial"/>
              </w:rPr>
              <w:t>248</w:t>
            </w:r>
          </w:p>
        </w:tc>
        <w:tc>
          <w:tcPr>
            <w:tcW w:w="2724" w:type="dxa"/>
            <w:vAlign w:val="bottom"/>
          </w:tcPr>
          <w:p w14:paraId="4F549E4B" w14:textId="2A7582AD" w:rsidR="004A7D3D" w:rsidRPr="004A1148" w:rsidRDefault="00763285" w:rsidP="00F5276B">
            <w:pPr>
              <w:pStyle w:val="TableText"/>
              <w:rPr>
                <w:rFonts w:cs="Arial"/>
              </w:rPr>
            </w:pPr>
            <w:r>
              <w:rPr>
                <w:rFonts w:cs="Arial"/>
              </w:rPr>
              <w:t>172.16.13.97</w:t>
            </w:r>
          </w:p>
        </w:tc>
        <w:tc>
          <w:tcPr>
            <w:tcW w:w="2922" w:type="dxa"/>
            <w:vAlign w:val="bottom"/>
          </w:tcPr>
          <w:p w14:paraId="7C499210" w14:textId="6F4C31B6" w:rsidR="004A7D3D" w:rsidRPr="004A1148" w:rsidRDefault="00763285" w:rsidP="00F5276B">
            <w:pPr>
              <w:pStyle w:val="TableText"/>
              <w:rPr>
                <w:rFonts w:cs="Arial"/>
              </w:rPr>
            </w:pPr>
            <w:r>
              <w:rPr>
                <w:rFonts w:cs="Arial"/>
              </w:rPr>
              <w:t>172.16.13.102</w:t>
            </w:r>
          </w:p>
        </w:tc>
        <w:tc>
          <w:tcPr>
            <w:tcW w:w="2905" w:type="dxa"/>
            <w:vAlign w:val="bottom"/>
          </w:tcPr>
          <w:p w14:paraId="2D756274" w14:textId="46ACE617" w:rsidR="004A7D3D" w:rsidRPr="004A1148" w:rsidRDefault="00365F08" w:rsidP="00F5276B">
            <w:pPr>
              <w:pStyle w:val="TableText"/>
              <w:ind w:left="284"/>
              <w:rPr>
                <w:rFonts w:cs="Arial"/>
              </w:rPr>
            </w:pPr>
            <w:r>
              <w:rPr>
                <w:rFonts w:cs="Arial"/>
              </w:rPr>
              <w:t>172.</w:t>
            </w:r>
            <w:r w:rsidR="00417693">
              <w:rPr>
                <w:rFonts w:cs="Arial"/>
              </w:rPr>
              <w:t>16.13.</w:t>
            </w:r>
            <w:r w:rsidR="003D55B6">
              <w:rPr>
                <w:rFonts w:cs="Arial"/>
              </w:rPr>
              <w:t>1</w:t>
            </w:r>
            <w:r w:rsidR="00763285">
              <w:rPr>
                <w:rFonts w:cs="Arial"/>
              </w:rPr>
              <w:t>03</w:t>
            </w:r>
          </w:p>
        </w:tc>
      </w:tr>
      <w:tr w:rsidR="004A7D3D" w:rsidRPr="004A1148" w14:paraId="27709968" w14:textId="77777777" w:rsidTr="003001CB">
        <w:trPr>
          <w:cantSplit/>
          <w:trHeight w:val="510"/>
          <w:jc w:val="center"/>
        </w:trPr>
        <w:tc>
          <w:tcPr>
            <w:tcW w:w="1557" w:type="dxa"/>
            <w:vAlign w:val="bottom"/>
          </w:tcPr>
          <w:p w14:paraId="20984A5F" w14:textId="70ED1FB2" w:rsidR="004A7D3D" w:rsidRPr="004A1148" w:rsidRDefault="00FB0D09" w:rsidP="00F5276B">
            <w:pPr>
              <w:pStyle w:val="TableText"/>
              <w:ind w:left="284"/>
              <w:rPr>
                <w:rFonts w:cs="Arial"/>
              </w:rPr>
            </w:pPr>
            <w:r>
              <w:rPr>
                <w:rFonts w:cs="Arial"/>
              </w:rPr>
              <w:t>MGMT</w:t>
            </w:r>
            <w:r w:rsidR="00406AD9">
              <w:rPr>
                <w:rFonts w:cs="Arial"/>
              </w:rPr>
              <w:t xml:space="preserve"> A</w:t>
            </w:r>
            <w:r w:rsidR="003001CB">
              <w:rPr>
                <w:rFonts w:cs="Arial"/>
              </w:rPr>
              <w:t xml:space="preserve"> (dedicated subnet between R1 &amp; R2)</w:t>
            </w:r>
          </w:p>
        </w:tc>
        <w:tc>
          <w:tcPr>
            <w:tcW w:w="2416" w:type="dxa"/>
            <w:vAlign w:val="bottom"/>
          </w:tcPr>
          <w:p w14:paraId="0D69D9DC" w14:textId="78547A17" w:rsidR="004A7D3D" w:rsidRPr="004A1148" w:rsidRDefault="00406AD9" w:rsidP="00F5276B">
            <w:pPr>
              <w:pStyle w:val="TableText"/>
              <w:rPr>
                <w:rFonts w:cs="Arial"/>
              </w:rPr>
            </w:pPr>
            <w:r>
              <w:rPr>
                <w:rFonts w:cs="Arial"/>
              </w:rPr>
              <w:t>172.16.13.</w:t>
            </w:r>
            <w:r w:rsidR="009C6E1F">
              <w:rPr>
                <w:rFonts w:cs="Arial"/>
              </w:rPr>
              <w:t>104</w:t>
            </w:r>
          </w:p>
        </w:tc>
        <w:tc>
          <w:tcPr>
            <w:tcW w:w="2552" w:type="dxa"/>
          </w:tcPr>
          <w:p w14:paraId="30D77B01" w14:textId="4D537CD9" w:rsidR="004A7D3D" w:rsidRPr="004A1148" w:rsidRDefault="009C6E1F" w:rsidP="00F5276B">
            <w:pPr>
              <w:pStyle w:val="TableText"/>
              <w:rPr>
                <w:rFonts w:cs="Arial"/>
              </w:rPr>
            </w:pPr>
            <w:r>
              <w:rPr>
                <w:rFonts w:cs="Arial"/>
              </w:rPr>
              <w:t>255.255.255.252</w:t>
            </w:r>
          </w:p>
        </w:tc>
        <w:tc>
          <w:tcPr>
            <w:tcW w:w="2724" w:type="dxa"/>
            <w:vAlign w:val="bottom"/>
          </w:tcPr>
          <w:p w14:paraId="5596A409" w14:textId="02CFA994" w:rsidR="004A7D3D" w:rsidRPr="004A1148" w:rsidRDefault="001F24F2" w:rsidP="00F5276B">
            <w:pPr>
              <w:pStyle w:val="TableText"/>
              <w:rPr>
                <w:rFonts w:cs="Arial"/>
              </w:rPr>
            </w:pPr>
            <w:r>
              <w:rPr>
                <w:rFonts w:cs="Arial"/>
              </w:rPr>
              <w:t>172.16.13.105</w:t>
            </w:r>
          </w:p>
        </w:tc>
        <w:tc>
          <w:tcPr>
            <w:tcW w:w="2922" w:type="dxa"/>
            <w:vAlign w:val="bottom"/>
          </w:tcPr>
          <w:p w14:paraId="0F1FE2D6" w14:textId="2A39E00A" w:rsidR="004A7D3D" w:rsidRPr="004A1148" w:rsidRDefault="001F24F2" w:rsidP="00F5276B">
            <w:pPr>
              <w:pStyle w:val="TableText"/>
              <w:rPr>
                <w:rFonts w:cs="Arial"/>
              </w:rPr>
            </w:pPr>
            <w:r>
              <w:rPr>
                <w:rFonts w:cs="Arial"/>
              </w:rPr>
              <w:t>172.16.13</w:t>
            </w:r>
            <w:r w:rsidR="0071494B">
              <w:rPr>
                <w:rFonts w:cs="Arial"/>
              </w:rPr>
              <w:t>.106</w:t>
            </w:r>
          </w:p>
        </w:tc>
        <w:tc>
          <w:tcPr>
            <w:tcW w:w="2905" w:type="dxa"/>
            <w:vAlign w:val="bottom"/>
          </w:tcPr>
          <w:p w14:paraId="554DDEFE" w14:textId="29AB3C41" w:rsidR="004A7D3D" w:rsidRPr="004A1148" w:rsidRDefault="00D17FDC" w:rsidP="00F5276B">
            <w:pPr>
              <w:pStyle w:val="TableText"/>
              <w:ind w:left="284"/>
              <w:rPr>
                <w:rFonts w:cs="Arial"/>
              </w:rPr>
            </w:pPr>
            <w:r>
              <w:rPr>
                <w:rFonts w:cs="Arial"/>
              </w:rPr>
              <w:t>172.16.13.107</w:t>
            </w:r>
          </w:p>
        </w:tc>
      </w:tr>
      <w:tr w:rsidR="004A7D3D" w:rsidRPr="004A1148" w14:paraId="0B6C4A12" w14:textId="77777777" w:rsidTr="003001CB">
        <w:trPr>
          <w:cantSplit/>
          <w:trHeight w:val="510"/>
          <w:jc w:val="center"/>
        </w:trPr>
        <w:tc>
          <w:tcPr>
            <w:tcW w:w="1557" w:type="dxa"/>
            <w:vAlign w:val="bottom"/>
          </w:tcPr>
          <w:p w14:paraId="61BCB553" w14:textId="622C35BA" w:rsidR="004A7D3D" w:rsidRPr="004A1148" w:rsidRDefault="00406AD9" w:rsidP="00F5276B">
            <w:pPr>
              <w:pStyle w:val="TableText"/>
              <w:ind w:left="284"/>
              <w:rPr>
                <w:rFonts w:cs="Arial"/>
              </w:rPr>
            </w:pPr>
            <w:r>
              <w:rPr>
                <w:rFonts w:cs="Arial"/>
              </w:rPr>
              <w:t>MGMT B</w:t>
            </w:r>
            <w:r w:rsidR="003001CB">
              <w:rPr>
                <w:rFonts w:cs="Arial"/>
              </w:rPr>
              <w:t xml:space="preserve"> dedicated subnet between R3 &amp; R2)</w:t>
            </w:r>
          </w:p>
        </w:tc>
        <w:tc>
          <w:tcPr>
            <w:tcW w:w="2416" w:type="dxa"/>
            <w:vAlign w:val="bottom"/>
          </w:tcPr>
          <w:p w14:paraId="1F850D77" w14:textId="366BF065" w:rsidR="004A7D3D" w:rsidRPr="004A1148" w:rsidRDefault="001F24F2" w:rsidP="00F5276B">
            <w:pPr>
              <w:pStyle w:val="TableText"/>
              <w:rPr>
                <w:rFonts w:cs="Arial"/>
              </w:rPr>
            </w:pPr>
            <w:r>
              <w:rPr>
                <w:rFonts w:cs="Arial"/>
              </w:rPr>
              <w:t>172.16.12.108</w:t>
            </w:r>
          </w:p>
        </w:tc>
        <w:tc>
          <w:tcPr>
            <w:tcW w:w="2552" w:type="dxa"/>
          </w:tcPr>
          <w:p w14:paraId="4E625FAD" w14:textId="16CAF16F" w:rsidR="004A7D3D" w:rsidRPr="004A1148" w:rsidRDefault="009C6E1F" w:rsidP="00F5276B">
            <w:pPr>
              <w:pStyle w:val="TableText"/>
              <w:rPr>
                <w:rFonts w:cs="Arial"/>
              </w:rPr>
            </w:pPr>
            <w:r>
              <w:rPr>
                <w:rFonts w:cs="Arial"/>
              </w:rPr>
              <w:t>255.255.255.252</w:t>
            </w:r>
          </w:p>
        </w:tc>
        <w:tc>
          <w:tcPr>
            <w:tcW w:w="2724" w:type="dxa"/>
            <w:vAlign w:val="bottom"/>
          </w:tcPr>
          <w:p w14:paraId="2EFD5AB2" w14:textId="119A7B0C" w:rsidR="004A7D3D" w:rsidRPr="004A1148" w:rsidRDefault="0071494B" w:rsidP="00F5276B">
            <w:pPr>
              <w:pStyle w:val="TableText"/>
              <w:rPr>
                <w:rFonts w:cs="Arial"/>
              </w:rPr>
            </w:pPr>
            <w:r>
              <w:rPr>
                <w:rFonts w:cs="Arial"/>
              </w:rPr>
              <w:t>172.16.13.109</w:t>
            </w:r>
          </w:p>
        </w:tc>
        <w:tc>
          <w:tcPr>
            <w:tcW w:w="2922" w:type="dxa"/>
            <w:vAlign w:val="bottom"/>
          </w:tcPr>
          <w:p w14:paraId="488D3941" w14:textId="32954CE7" w:rsidR="004A7D3D" w:rsidRPr="004A1148" w:rsidRDefault="0071494B" w:rsidP="00F5276B">
            <w:pPr>
              <w:pStyle w:val="TableText"/>
              <w:rPr>
                <w:rFonts w:cs="Arial"/>
              </w:rPr>
            </w:pPr>
            <w:r>
              <w:rPr>
                <w:rFonts w:cs="Arial"/>
              </w:rPr>
              <w:t>172.16.13.110</w:t>
            </w:r>
          </w:p>
        </w:tc>
        <w:tc>
          <w:tcPr>
            <w:tcW w:w="2905" w:type="dxa"/>
            <w:vAlign w:val="bottom"/>
          </w:tcPr>
          <w:p w14:paraId="6CDA3D3D" w14:textId="0C05D095" w:rsidR="004A7D3D" w:rsidRPr="004A1148" w:rsidRDefault="001F24F2" w:rsidP="00F5276B">
            <w:pPr>
              <w:pStyle w:val="TableText"/>
              <w:ind w:left="284"/>
              <w:rPr>
                <w:rFonts w:cs="Arial"/>
              </w:rPr>
            </w:pPr>
            <w:r>
              <w:rPr>
                <w:rFonts w:cs="Arial"/>
              </w:rPr>
              <w:t>172.16.13.111</w:t>
            </w:r>
          </w:p>
        </w:tc>
      </w:tr>
      <w:tr w:rsidR="004A7D3D" w:rsidRPr="004A1148" w14:paraId="7FC18FDC" w14:textId="77777777" w:rsidTr="003001CB">
        <w:trPr>
          <w:cantSplit/>
          <w:trHeight w:val="510"/>
          <w:jc w:val="center"/>
        </w:trPr>
        <w:tc>
          <w:tcPr>
            <w:tcW w:w="1557" w:type="dxa"/>
            <w:vAlign w:val="bottom"/>
          </w:tcPr>
          <w:p w14:paraId="1FB33D0A" w14:textId="77777777" w:rsidR="004A7D3D" w:rsidRPr="004A1148" w:rsidRDefault="004A7D3D" w:rsidP="00F5276B">
            <w:pPr>
              <w:pStyle w:val="TableText"/>
              <w:ind w:left="284"/>
              <w:rPr>
                <w:rFonts w:cs="Arial"/>
              </w:rPr>
            </w:pPr>
          </w:p>
        </w:tc>
        <w:tc>
          <w:tcPr>
            <w:tcW w:w="2416" w:type="dxa"/>
            <w:vAlign w:val="bottom"/>
          </w:tcPr>
          <w:p w14:paraId="3A3974FC" w14:textId="77777777" w:rsidR="004A7D3D" w:rsidRPr="004A1148" w:rsidRDefault="004A7D3D" w:rsidP="00F5276B">
            <w:pPr>
              <w:pStyle w:val="TableText"/>
              <w:rPr>
                <w:rFonts w:cs="Arial"/>
              </w:rPr>
            </w:pPr>
          </w:p>
        </w:tc>
        <w:tc>
          <w:tcPr>
            <w:tcW w:w="2552" w:type="dxa"/>
          </w:tcPr>
          <w:p w14:paraId="4949C4E8" w14:textId="77777777" w:rsidR="004A7D3D" w:rsidRPr="004A1148" w:rsidRDefault="004A7D3D" w:rsidP="00F5276B">
            <w:pPr>
              <w:pStyle w:val="TableText"/>
              <w:rPr>
                <w:rFonts w:cs="Arial"/>
              </w:rPr>
            </w:pPr>
          </w:p>
        </w:tc>
        <w:tc>
          <w:tcPr>
            <w:tcW w:w="2724" w:type="dxa"/>
            <w:vAlign w:val="bottom"/>
          </w:tcPr>
          <w:p w14:paraId="2E13DE8F" w14:textId="77777777" w:rsidR="004A7D3D" w:rsidRPr="004A1148" w:rsidRDefault="004A7D3D" w:rsidP="00F5276B">
            <w:pPr>
              <w:pStyle w:val="TableText"/>
              <w:rPr>
                <w:rFonts w:cs="Arial"/>
              </w:rPr>
            </w:pPr>
          </w:p>
        </w:tc>
        <w:tc>
          <w:tcPr>
            <w:tcW w:w="2922" w:type="dxa"/>
            <w:vAlign w:val="bottom"/>
          </w:tcPr>
          <w:p w14:paraId="4B4DEB77" w14:textId="77777777" w:rsidR="004A7D3D" w:rsidRPr="004A1148" w:rsidRDefault="004A7D3D" w:rsidP="00F5276B">
            <w:pPr>
              <w:pStyle w:val="TableText"/>
              <w:rPr>
                <w:rFonts w:cs="Arial"/>
              </w:rPr>
            </w:pPr>
          </w:p>
        </w:tc>
        <w:tc>
          <w:tcPr>
            <w:tcW w:w="2905" w:type="dxa"/>
            <w:vAlign w:val="bottom"/>
          </w:tcPr>
          <w:p w14:paraId="074F1411" w14:textId="77777777" w:rsidR="004A7D3D" w:rsidRPr="004A1148" w:rsidRDefault="004A7D3D" w:rsidP="00F5276B">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5F3A3F0" w:rsidR="006D5DA8" w:rsidRDefault="0086419A" w:rsidP="0086419A">
      <w:pPr>
        <w:pStyle w:val="Heading1"/>
      </w:pPr>
      <w:r>
        <w:lastRenderedPageBreak/>
        <w:t>Features of IPv6 – Report</w:t>
      </w:r>
    </w:p>
    <w:p w14:paraId="03E93E5F" w14:textId="77777777" w:rsidR="00C0020A" w:rsidRPr="00C0020A" w:rsidRDefault="00C0020A" w:rsidP="00C0020A">
      <w:pPr>
        <w:pStyle w:val="H2"/>
      </w:pPr>
      <w:r w:rsidRPr="00C0020A">
        <w:t>Introduction</w:t>
      </w:r>
    </w:p>
    <w:p w14:paraId="260A7ADC" w14:textId="5C3D8632" w:rsidR="00C0020A" w:rsidRPr="00C0020A" w:rsidRDefault="00C0020A" w:rsidP="00C0020A">
      <w:pPr>
        <w:spacing w:after="160" w:line="259" w:lineRule="auto"/>
        <w:rPr>
          <w:rFonts w:eastAsia="Calibri"/>
          <w:szCs w:val="22"/>
          <w:lang w:eastAsia="en-US"/>
        </w:rPr>
      </w:pPr>
      <w:r w:rsidRPr="00C0020A">
        <w:rPr>
          <w:rFonts w:eastAsia="Calibri"/>
          <w:szCs w:val="22"/>
          <w:lang w:eastAsia="en-US"/>
        </w:rPr>
        <w:t>An IP address is comparable to a postal address in the real world</w:t>
      </w:r>
      <w:r w:rsidR="007A1EDC">
        <w:rPr>
          <w:rFonts w:eastAsia="Calibri"/>
          <w:szCs w:val="22"/>
          <w:lang w:eastAsia="en-US"/>
        </w:rPr>
        <w:t>.</w:t>
      </w:r>
      <w:r w:rsidRPr="00C0020A">
        <w:rPr>
          <w:rFonts w:eastAsia="Calibri"/>
          <w:szCs w:val="22"/>
          <w:lang w:eastAsia="en-US"/>
        </w:rPr>
        <w:t xml:space="preserve"> </w:t>
      </w:r>
      <w:r w:rsidR="00F55C36">
        <w:rPr>
          <w:rFonts w:eastAsia="Calibri"/>
          <w:szCs w:val="22"/>
          <w:lang w:eastAsia="en-US"/>
        </w:rPr>
        <w:t>E</w:t>
      </w:r>
      <w:r w:rsidRPr="00C0020A">
        <w:rPr>
          <w:rFonts w:eastAsia="Calibri"/>
          <w:szCs w:val="22"/>
          <w:lang w:eastAsia="en-US"/>
        </w:rPr>
        <w:t>ssentially it is the networking version and allows network devices to understand where data needs to be sent. There are two standards for an IP address; IPv4 &amp; IPv6. Most networked devices will have an IPv4 address but more commonly in the present day, devices will have an IPv6 address</w:t>
      </w:r>
      <w:r w:rsidR="00F17EE0">
        <w:rPr>
          <w:rFonts w:eastAsia="Calibri"/>
          <w:szCs w:val="22"/>
          <w:lang w:eastAsia="en-US"/>
        </w:rPr>
        <w:t xml:space="preserve"> this is a more complex address and includes information </w:t>
      </w:r>
      <w:r w:rsidR="001C16C8">
        <w:rPr>
          <w:rFonts w:eastAsia="Calibri"/>
          <w:szCs w:val="22"/>
          <w:lang w:eastAsia="en-US"/>
        </w:rPr>
        <w:t>in the header.</w:t>
      </w:r>
    </w:p>
    <w:p w14:paraId="7B18142C" w14:textId="77777777" w:rsidR="00C0020A" w:rsidRPr="00C0020A" w:rsidRDefault="00C0020A" w:rsidP="00C0020A">
      <w:pPr>
        <w:keepNext/>
        <w:keepLines/>
        <w:spacing w:before="240" w:line="259" w:lineRule="auto"/>
        <w:outlineLvl w:val="0"/>
        <w:rPr>
          <w:rFonts w:ascii="Calibri Light" w:hAnsi="Calibri Light"/>
          <w:color w:val="2F5496"/>
          <w:sz w:val="32"/>
          <w:szCs w:val="32"/>
          <w:lang w:eastAsia="en-US"/>
        </w:rPr>
      </w:pPr>
      <w:r w:rsidRPr="00C0020A">
        <w:rPr>
          <w:rFonts w:ascii="Calibri Light" w:hAnsi="Calibri Light"/>
          <w:color w:val="2F5496"/>
          <w:sz w:val="32"/>
          <w:szCs w:val="32"/>
          <w:lang w:eastAsia="en-US"/>
        </w:rPr>
        <w:t>Discussion</w:t>
      </w:r>
    </w:p>
    <w:p w14:paraId="65CADC69" w14:textId="77777777" w:rsidR="00C0020A" w:rsidRPr="00C0020A" w:rsidRDefault="00C0020A" w:rsidP="00C0020A">
      <w:pPr>
        <w:pStyle w:val="H3"/>
      </w:pPr>
      <w:r w:rsidRPr="00C0020A">
        <w:t>Structure</w:t>
      </w:r>
    </w:p>
    <w:p w14:paraId="32768EDF" w14:textId="1F7BD3B2" w:rsidR="00C0020A" w:rsidRPr="00C0020A" w:rsidRDefault="00F55C36" w:rsidP="00C0020A">
      <w:pPr>
        <w:spacing w:after="160" w:line="259" w:lineRule="auto"/>
        <w:rPr>
          <w:rFonts w:cs="Calibri"/>
          <w:szCs w:val="22"/>
          <w:lang w:eastAsia="en-US"/>
        </w:rPr>
      </w:pPr>
      <w:r>
        <w:rPr>
          <w:rFonts w:cs="Calibri"/>
          <w:szCs w:val="22"/>
          <w:lang w:eastAsia="en-US"/>
        </w:rPr>
        <w:t>O</w:t>
      </w:r>
      <w:r w:rsidR="00C0020A" w:rsidRPr="00C0020A">
        <w:rPr>
          <w:rFonts w:cs="Calibri"/>
          <w:szCs w:val="22"/>
          <w:lang w:eastAsia="en-US"/>
        </w:rPr>
        <w:t>ne of the main, and most noticeable, changes to an IPv6 address when compared to IPv4; is that an IPv6 address is made up of 128 bits and</w:t>
      </w:r>
      <w:r w:rsidR="00C0020A" w:rsidRPr="00C0020A">
        <w:rPr>
          <w:rStyle w:val="CB11Char"/>
          <w:rFonts w:eastAsiaTheme="minorHAnsi"/>
          <w:lang w:eastAsia="en-US"/>
        </w:rPr>
        <w:t xml:space="preserve"> includes letters as well as numbers, whereas an IPv4 address is made up of 32 bits and will only include numbers</w:t>
      </w:r>
      <w:r w:rsidR="00C0020A" w:rsidRPr="00C0020A">
        <w:rPr>
          <w:rFonts w:cs="Calibri"/>
          <w:szCs w:val="22"/>
          <w:lang w:eastAsia="en-US"/>
        </w:rPr>
        <w:t>.</w:t>
      </w:r>
      <w:r w:rsidR="00816306">
        <w:rPr>
          <w:rFonts w:cs="Calibri"/>
          <w:szCs w:val="22"/>
          <w:lang w:eastAsia="en-US"/>
        </w:rPr>
        <w:t xml:space="preserve"> The first 64bits of the 128 are used for routing</w:t>
      </w:r>
      <w:r w:rsidR="0074273F">
        <w:rPr>
          <w:rFonts w:cs="Calibri"/>
          <w:szCs w:val="22"/>
          <w:lang w:eastAsia="en-US"/>
        </w:rPr>
        <w:t>, within this 64bits is information on the subnet</w:t>
      </w:r>
      <w:r>
        <w:rPr>
          <w:rFonts w:cs="Calibri"/>
          <w:szCs w:val="22"/>
          <w:lang w:eastAsia="en-US"/>
        </w:rPr>
        <w:t>; which</w:t>
      </w:r>
      <w:r w:rsidR="0074273F">
        <w:rPr>
          <w:rFonts w:cs="Calibri"/>
          <w:szCs w:val="22"/>
          <w:lang w:eastAsia="en-US"/>
        </w:rPr>
        <w:t xml:space="preserve"> eradicates the need for a subnet mask that was previously used in IPv4.</w:t>
      </w:r>
      <w:r w:rsidR="001C16C8">
        <w:rPr>
          <w:rFonts w:cs="Calibri"/>
          <w:szCs w:val="22"/>
          <w:lang w:eastAsia="en-US"/>
        </w:rPr>
        <w:t xml:space="preserve"> The half of 64bits is used to uniquely identify a </w:t>
      </w:r>
      <w:r w:rsidR="006A047C">
        <w:rPr>
          <w:rFonts w:cs="Calibri"/>
          <w:szCs w:val="22"/>
          <w:lang w:eastAsia="en-US"/>
        </w:rPr>
        <w:t>host or hosts in a multicast or anycast range.</w:t>
      </w:r>
    </w:p>
    <w:p w14:paraId="0953DBFA" w14:textId="7DA08C75" w:rsidR="00C0020A" w:rsidRPr="00C0020A" w:rsidRDefault="00477099" w:rsidP="00C0020A">
      <w:pPr>
        <w:keepNext/>
        <w:keepLines/>
        <w:spacing w:before="40" w:line="259" w:lineRule="auto"/>
        <w:outlineLvl w:val="1"/>
        <w:rPr>
          <w:rFonts w:ascii="Calibri Light" w:hAnsi="Calibri Light"/>
          <w:color w:val="2F5496"/>
          <w:sz w:val="26"/>
          <w:szCs w:val="26"/>
          <w:lang w:val="en-US" w:eastAsia="en-US"/>
        </w:rPr>
      </w:pPr>
      <w:r>
        <w:rPr>
          <w:rFonts w:ascii="Calibri Light" w:hAnsi="Calibri Light"/>
          <w:color w:val="2F5496"/>
          <w:sz w:val="26"/>
          <w:szCs w:val="26"/>
          <w:lang w:val="en-US" w:eastAsia="en-US"/>
        </w:rPr>
        <w:t>A</w:t>
      </w:r>
      <w:r w:rsidR="00C0020A" w:rsidRPr="00C0020A">
        <w:rPr>
          <w:rFonts w:ascii="Calibri Light" w:hAnsi="Calibri Light"/>
          <w:color w:val="2F5496"/>
          <w:sz w:val="26"/>
          <w:szCs w:val="26"/>
          <w:lang w:val="en-US" w:eastAsia="en-US"/>
        </w:rPr>
        <w:t xml:space="preserve">ddress types </w:t>
      </w:r>
    </w:p>
    <w:p w14:paraId="712ACCED" w14:textId="44581841" w:rsidR="00C0020A" w:rsidRDefault="00B87FBD" w:rsidP="00C0020A">
      <w:pPr>
        <w:pStyle w:val="H4"/>
      </w:pPr>
      <w:r w:rsidRPr="00C0020A">
        <w:t>U</w:t>
      </w:r>
      <w:r w:rsidR="00C0020A" w:rsidRPr="00C0020A">
        <w:t>nicast</w:t>
      </w:r>
    </w:p>
    <w:p w14:paraId="02A74E55" w14:textId="4756DCE9" w:rsidR="00F41C74" w:rsidRDefault="00F41C74" w:rsidP="00F41C74"/>
    <w:p w14:paraId="642BF534" w14:textId="362095D4" w:rsidR="00A160CB" w:rsidRDefault="00F41C74" w:rsidP="00B87FBD">
      <w:pPr>
        <w:pStyle w:val="CB11"/>
        <w:rPr>
          <w:rStyle w:val="Emphasis"/>
          <w:i w:val="0"/>
        </w:rPr>
      </w:pPr>
      <w:r>
        <w:rPr>
          <w:rStyle w:val="Emphasis"/>
          <w:i w:val="0"/>
        </w:rPr>
        <w:t xml:space="preserve">A unicast address is </w:t>
      </w:r>
      <w:r w:rsidR="00A770A5">
        <w:rPr>
          <w:rStyle w:val="Emphasis"/>
          <w:i w:val="0"/>
        </w:rPr>
        <w:t>where packets of data are sent to a specific</w:t>
      </w:r>
      <w:r w:rsidR="00AE4EB7">
        <w:rPr>
          <w:rStyle w:val="Emphasis"/>
          <w:i w:val="0"/>
        </w:rPr>
        <w:t>,</w:t>
      </w:r>
      <w:r w:rsidR="00893F0A">
        <w:rPr>
          <w:rStyle w:val="Emphasis"/>
          <w:i w:val="0"/>
        </w:rPr>
        <w:t xml:space="preserve"> single</w:t>
      </w:r>
      <w:r w:rsidR="00A770A5">
        <w:rPr>
          <w:rStyle w:val="Emphasis"/>
          <w:i w:val="0"/>
        </w:rPr>
        <w:t xml:space="preserve"> interface</w:t>
      </w:r>
      <w:r w:rsidR="00AE4EB7">
        <w:rPr>
          <w:rStyle w:val="Emphasis"/>
          <w:i w:val="0"/>
        </w:rPr>
        <w:t>, as suggested by the ‘</w:t>
      </w:r>
      <w:proofErr w:type="spellStart"/>
      <w:r w:rsidR="00AE4EB7">
        <w:rPr>
          <w:rStyle w:val="Emphasis"/>
          <w:i w:val="0"/>
        </w:rPr>
        <w:t>uni</w:t>
      </w:r>
      <w:proofErr w:type="spellEnd"/>
      <w:r w:rsidR="00AE4EB7">
        <w:rPr>
          <w:rStyle w:val="Emphasis"/>
          <w:i w:val="0"/>
        </w:rPr>
        <w:t>’ prefix</w:t>
      </w:r>
      <w:r w:rsidR="00A770A5">
        <w:rPr>
          <w:rStyle w:val="Emphasis"/>
          <w:i w:val="0"/>
        </w:rPr>
        <w:t>.</w:t>
      </w:r>
    </w:p>
    <w:p w14:paraId="68E8D725" w14:textId="512F412F" w:rsidR="00A160CB" w:rsidRDefault="00B87FBD" w:rsidP="00B87FBD">
      <w:pPr>
        <w:pStyle w:val="CB11"/>
        <w:rPr>
          <w:rStyle w:val="Emphasis"/>
          <w:i w:val="0"/>
        </w:rPr>
      </w:pPr>
      <w:r>
        <w:rPr>
          <w:rStyle w:val="Emphasis"/>
          <w:i w:val="0"/>
        </w:rPr>
        <w:t xml:space="preserve">There are three different types of unicast address’, the first is the version 6 equivalent of a public address (such as 192.168.0.1), this address is named a global address. A global address would be used by devices which communicate over the internet. </w:t>
      </w:r>
      <w:r w:rsidR="009D7D42">
        <w:rPr>
          <w:rStyle w:val="Emphasis"/>
          <w:i w:val="0"/>
        </w:rPr>
        <w:t>These addresses usually begin with 2 or a 3.</w:t>
      </w:r>
    </w:p>
    <w:p w14:paraId="0AC2382D" w14:textId="78BCDE56" w:rsidR="0091372E" w:rsidRDefault="00B87FBD" w:rsidP="00B87FBD">
      <w:pPr>
        <w:pStyle w:val="CB11"/>
        <w:rPr>
          <w:rStyle w:val="Emphasis"/>
          <w:i w:val="0"/>
        </w:rPr>
      </w:pPr>
      <w:r>
        <w:rPr>
          <w:rStyle w:val="Emphasis"/>
          <w:i w:val="0"/>
        </w:rPr>
        <w:t>Secondly is a link-local address, this is used to communicate directly between two interfaces</w:t>
      </w:r>
      <w:r w:rsidR="00A679C8">
        <w:rPr>
          <w:rStyle w:val="Emphasis"/>
          <w:i w:val="0"/>
        </w:rPr>
        <w:t xml:space="preserve"> across a single</w:t>
      </w:r>
      <w:r w:rsidR="00C608E9">
        <w:rPr>
          <w:rStyle w:val="Emphasis"/>
          <w:i w:val="0"/>
        </w:rPr>
        <w:t xml:space="preserve"> link</w:t>
      </w:r>
      <w:r w:rsidR="00F55C36">
        <w:rPr>
          <w:rStyle w:val="Emphasis"/>
          <w:i w:val="0"/>
        </w:rPr>
        <w:t>; which</w:t>
      </w:r>
      <w:r w:rsidR="00C608E9">
        <w:rPr>
          <w:rStyle w:val="Emphasis"/>
          <w:i w:val="0"/>
        </w:rPr>
        <w:t xml:space="preserve"> means no global information is required in the header as only two devices are communicating between each other</w:t>
      </w:r>
      <w:r>
        <w:rPr>
          <w:rStyle w:val="Emphasis"/>
          <w:i w:val="0"/>
        </w:rPr>
        <w:t>.</w:t>
      </w:r>
      <w:r w:rsidR="00F41C74">
        <w:rPr>
          <w:rStyle w:val="Emphasis"/>
          <w:i w:val="0"/>
        </w:rPr>
        <w:t xml:space="preserve"> Rick Graziani</w:t>
      </w:r>
      <w:sdt>
        <w:sdtPr>
          <w:rPr>
            <w:rStyle w:val="Emphasis"/>
            <w:i w:val="0"/>
          </w:rPr>
          <w:id w:val="-1870681407"/>
          <w:citation/>
        </w:sdtPr>
        <w:sdtEndPr>
          <w:rPr>
            <w:rStyle w:val="Emphasis"/>
          </w:rPr>
        </w:sdtEndPr>
        <w:sdtContent>
          <w:r w:rsidR="00F41C74">
            <w:rPr>
              <w:rStyle w:val="Emphasis"/>
              <w:i w:val="0"/>
            </w:rPr>
            <w:fldChar w:fldCharType="begin"/>
          </w:r>
          <w:r w:rsidR="00F41C74">
            <w:rPr>
              <w:rStyle w:val="Emphasis"/>
              <w:i w:val="0"/>
            </w:rPr>
            <w:instrText xml:space="preserve"> CITATION Gra17 \l 2057 </w:instrText>
          </w:r>
          <w:r w:rsidR="00F41C74">
            <w:rPr>
              <w:rStyle w:val="Emphasis"/>
              <w:i w:val="0"/>
            </w:rPr>
            <w:fldChar w:fldCharType="separate"/>
          </w:r>
          <w:r w:rsidR="00355666">
            <w:rPr>
              <w:rStyle w:val="Emphasis"/>
              <w:i w:val="0"/>
              <w:noProof/>
            </w:rPr>
            <w:t xml:space="preserve"> </w:t>
          </w:r>
          <w:r w:rsidR="00355666">
            <w:rPr>
              <w:noProof/>
            </w:rPr>
            <w:t>[1]</w:t>
          </w:r>
          <w:r w:rsidR="00F41C74">
            <w:rPr>
              <w:rStyle w:val="Emphasis"/>
              <w:i w:val="0"/>
            </w:rPr>
            <w:fldChar w:fldCharType="end"/>
          </w:r>
        </w:sdtContent>
      </w:sdt>
      <w:r w:rsidR="00F41C74">
        <w:rPr>
          <w:rStyle w:val="Emphasis"/>
          <w:i w:val="0"/>
        </w:rPr>
        <w:t xml:space="preserve"> confirms this advising that</w:t>
      </w:r>
      <w:r w:rsidR="00C608E9">
        <w:rPr>
          <w:rStyle w:val="Emphasis"/>
          <w:i w:val="0"/>
        </w:rPr>
        <w:t xml:space="preserve"> </w:t>
      </w:r>
      <w:r w:rsidR="00F41C74">
        <w:rPr>
          <w:rStyle w:val="Emphasis"/>
          <w:i w:val="0"/>
        </w:rPr>
        <w:t>“Link-local addresses are not routable off the link” &amp; that “routers do not forward packets with a link-local address”.</w:t>
      </w:r>
      <w:r w:rsidR="009D7D42">
        <w:rPr>
          <w:rStyle w:val="Emphasis"/>
          <w:i w:val="0"/>
        </w:rPr>
        <w:t xml:space="preserve"> </w:t>
      </w:r>
      <w:r w:rsidR="00407BEA">
        <w:rPr>
          <w:rStyle w:val="Emphasis"/>
          <w:i w:val="0"/>
        </w:rPr>
        <w:t>These addresses start with “FE80</w:t>
      </w:r>
      <w:r w:rsidR="0091372E">
        <w:rPr>
          <w:rStyle w:val="Emphasis"/>
          <w:i w:val="0"/>
        </w:rPr>
        <w:t>” and</w:t>
      </w:r>
      <w:r w:rsidR="00407BEA">
        <w:rPr>
          <w:rStyle w:val="Emphasis"/>
          <w:i w:val="0"/>
        </w:rPr>
        <w:t xml:space="preserve"> are equivalent to a ‘169’ or APIPA address in IPv4.</w:t>
      </w:r>
      <w:r w:rsidR="0091372E">
        <w:rPr>
          <w:rStyle w:val="Emphasis"/>
          <w:i w:val="0"/>
        </w:rPr>
        <w:t xml:space="preserve"> Each interface within the network will be assigned one of these addresses.</w:t>
      </w:r>
    </w:p>
    <w:p w14:paraId="69A7A641" w14:textId="3BEBCC18" w:rsidR="00B87FBD" w:rsidRPr="00B87FBD" w:rsidRDefault="00C608E9" w:rsidP="00B87FBD">
      <w:pPr>
        <w:pStyle w:val="CB11"/>
        <w:rPr>
          <w:rStyle w:val="Emphasis"/>
          <w:i w:val="0"/>
        </w:rPr>
      </w:pPr>
      <w:r>
        <w:rPr>
          <w:rStyle w:val="Emphasis"/>
          <w:i w:val="0"/>
        </w:rPr>
        <w:t xml:space="preserve">Lastly there is </w:t>
      </w:r>
      <w:r w:rsidR="00F41C74">
        <w:rPr>
          <w:rStyle w:val="Emphasis"/>
          <w:i w:val="0"/>
        </w:rPr>
        <w:t>a unique local address, this type of address is equivalent to the</w:t>
      </w:r>
      <w:r w:rsidR="00835360">
        <w:rPr>
          <w:rStyle w:val="Emphasis"/>
          <w:i w:val="0"/>
        </w:rPr>
        <w:t xml:space="preserve"> </w:t>
      </w:r>
      <w:r w:rsidR="00A160CB">
        <w:rPr>
          <w:rStyle w:val="Emphasis"/>
          <w:i w:val="0"/>
        </w:rPr>
        <w:t xml:space="preserve">private </w:t>
      </w:r>
      <w:r w:rsidR="00835360">
        <w:rPr>
          <w:rStyle w:val="Emphasis"/>
          <w:i w:val="0"/>
        </w:rPr>
        <w:t>IPv4 addresses currently used within businesses private networks</w:t>
      </w:r>
      <w:r w:rsidR="00F55C36">
        <w:rPr>
          <w:rStyle w:val="Emphasis"/>
          <w:i w:val="0"/>
        </w:rPr>
        <w:t>.</w:t>
      </w:r>
      <w:r w:rsidR="00835360">
        <w:rPr>
          <w:rStyle w:val="Emphasis"/>
          <w:i w:val="0"/>
        </w:rPr>
        <w:t xml:space="preserve"> </w:t>
      </w:r>
      <w:r w:rsidR="00F55C36">
        <w:rPr>
          <w:rStyle w:val="Emphasis"/>
          <w:i w:val="0"/>
        </w:rPr>
        <w:t>T</w:t>
      </w:r>
      <w:r w:rsidR="00835360">
        <w:rPr>
          <w:rStyle w:val="Emphasis"/>
          <w:i w:val="0"/>
        </w:rPr>
        <w:t>he IPv4 address</w:t>
      </w:r>
      <w:r w:rsidR="00A160CB">
        <w:rPr>
          <w:rStyle w:val="Emphasis"/>
          <w:i w:val="0"/>
        </w:rPr>
        <w:t xml:space="preserve"> equivalent would look something like 10.0.0.1</w:t>
      </w:r>
      <w:r w:rsidR="00835360">
        <w:rPr>
          <w:rStyle w:val="Emphasis"/>
          <w:i w:val="0"/>
        </w:rPr>
        <w:t>.</w:t>
      </w:r>
      <w:r w:rsidR="00A160CB">
        <w:rPr>
          <w:rStyle w:val="Emphasis"/>
          <w:i w:val="0"/>
        </w:rPr>
        <w:t xml:space="preserve">  study-ccna.com</w:t>
      </w:r>
      <w:sdt>
        <w:sdtPr>
          <w:rPr>
            <w:rStyle w:val="Emphasis"/>
            <w:i w:val="0"/>
          </w:rPr>
          <w:id w:val="1309823487"/>
          <w:citation/>
        </w:sdtPr>
        <w:sdtEndPr>
          <w:rPr>
            <w:rStyle w:val="Emphasis"/>
          </w:rPr>
        </w:sdtEndPr>
        <w:sdtContent>
          <w:r w:rsidR="00A160CB">
            <w:rPr>
              <w:rStyle w:val="Emphasis"/>
              <w:i w:val="0"/>
            </w:rPr>
            <w:fldChar w:fldCharType="begin"/>
          </w:r>
          <w:r w:rsidR="00A160CB">
            <w:rPr>
              <w:rStyle w:val="Emphasis"/>
              <w:i w:val="0"/>
            </w:rPr>
            <w:instrText xml:space="preserve"> CITATION stu16 \l 2057 </w:instrText>
          </w:r>
          <w:r w:rsidR="00A160CB">
            <w:rPr>
              <w:rStyle w:val="Emphasis"/>
              <w:i w:val="0"/>
            </w:rPr>
            <w:fldChar w:fldCharType="separate"/>
          </w:r>
          <w:r w:rsidR="00355666">
            <w:rPr>
              <w:rStyle w:val="Emphasis"/>
              <w:i w:val="0"/>
              <w:noProof/>
            </w:rPr>
            <w:t xml:space="preserve"> </w:t>
          </w:r>
          <w:r w:rsidR="00355666">
            <w:rPr>
              <w:noProof/>
            </w:rPr>
            <w:t>[2]</w:t>
          </w:r>
          <w:r w:rsidR="00A160CB">
            <w:rPr>
              <w:rStyle w:val="Emphasis"/>
              <w:i w:val="0"/>
            </w:rPr>
            <w:fldChar w:fldCharType="end"/>
          </w:r>
        </w:sdtContent>
      </w:sdt>
      <w:r w:rsidR="00A160CB">
        <w:rPr>
          <w:rStyle w:val="Emphasis"/>
          <w:i w:val="0"/>
        </w:rPr>
        <w:t xml:space="preserve"> summarise the purpose of the unique local address concisely, explaining that “</w:t>
      </w:r>
      <w:r w:rsidR="00A160CB" w:rsidRPr="00A160CB">
        <w:rPr>
          <w:rStyle w:val="Emphasis"/>
          <w:i w:val="0"/>
        </w:rPr>
        <w:t>Unique local IPv6 addresses have the similar function as IPv4 private addresses. They are not allocated by an address registry and are not meant to be routed outside their domain</w:t>
      </w:r>
      <w:r w:rsidR="00A160CB">
        <w:rPr>
          <w:rStyle w:val="Emphasis"/>
          <w:i w:val="0"/>
        </w:rPr>
        <w:t xml:space="preserve">”. As </w:t>
      </w:r>
      <w:r w:rsidR="00B6289B">
        <w:rPr>
          <w:rStyle w:val="Emphasis"/>
          <w:i w:val="0"/>
        </w:rPr>
        <w:t>mentioned,</w:t>
      </w:r>
      <w:r w:rsidR="00A160CB">
        <w:rPr>
          <w:rStyle w:val="Emphasis"/>
          <w:i w:val="0"/>
        </w:rPr>
        <w:t xml:space="preserve"> these are kept within their domain so will not directly communicate with the internet. </w:t>
      </w:r>
      <w:r w:rsidR="00407BEA">
        <w:rPr>
          <w:rStyle w:val="Emphasis"/>
          <w:i w:val="0"/>
        </w:rPr>
        <w:t>These addresses will start with “FD”.</w:t>
      </w:r>
    </w:p>
    <w:p w14:paraId="12048867" w14:textId="30812C3D" w:rsidR="00C0020A" w:rsidRDefault="008540FB" w:rsidP="00C0020A">
      <w:pPr>
        <w:keepNext/>
        <w:keepLines/>
        <w:spacing w:before="40" w:line="259" w:lineRule="auto"/>
        <w:outlineLvl w:val="2"/>
        <w:rPr>
          <w:rFonts w:ascii="Calibri Light" w:hAnsi="Calibri Light"/>
          <w:color w:val="1F3763"/>
          <w:sz w:val="24"/>
          <w:szCs w:val="24"/>
          <w:lang w:val="en-US" w:eastAsia="en-US"/>
        </w:rPr>
      </w:pPr>
      <w:r w:rsidRPr="00C0020A">
        <w:rPr>
          <w:rFonts w:ascii="Calibri Light" w:hAnsi="Calibri Light"/>
          <w:color w:val="1F3763"/>
          <w:sz w:val="24"/>
          <w:szCs w:val="24"/>
          <w:lang w:val="en-US" w:eastAsia="en-US"/>
        </w:rPr>
        <w:t>A</w:t>
      </w:r>
      <w:r w:rsidR="00C0020A" w:rsidRPr="00C0020A">
        <w:rPr>
          <w:rFonts w:ascii="Calibri Light" w:hAnsi="Calibri Light"/>
          <w:color w:val="1F3763"/>
          <w:sz w:val="24"/>
          <w:szCs w:val="24"/>
          <w:lang w:val="en-US" w:eastAsia="en-US"/>
        </w:rPr>
        <w:t>nycast</w:t>
      </w:r>
    </w:p>
    <w:p w14:paraId="668AF6A0" w14:textId="22A130DC" w:rsidR="00407BEA" w:rsidRDefault="00407BEA" w:rsidP="0091372E">
      <w:r>
        <w:t xml:space="preserve">Anycast is where data is transmitted to the nearest node. A good example of where this could be used is </w:t>
      </w:r>
      <w:r w:rsidR="0091372E">
        <w:t>if a company operates globally and has multiple file servers</w:t>
      </w:r>
      <w:r w:rsidR="00F55C36">
        <w:t>;</w:t>
      </w:r>
      <w:r w:rsidR="0091372E">
        <w:t xml:space="preserve"> which mirror data between each of the file servers. All servers which run the mirror would be assigned the same anycast address</w:t>
      </w:r>
      <w:r w:rsidR="00F55C36">
        <w:t>.</w:t>
      </w:r>
      <w:r w:rsidR="0091372E">
        <w:t xml:space="preserve"> </w:t>
      </w:r>
      <w:r w:rsidR="00F55C36">
        <w:t>T</w:t>
      </w:r>
      <w:r w:rsidR="0091372E">
        <w:t>hen if there</w:t>
      </w:r>
      <w:r w:rsidR="00F55C36">
        <w:t xml:space="preserve"> was</w:t>
      </w:r>
      <w:r w:rsidR="0091372E">
        <w:t xml:space="preserve"> an employee based in the UK, when they would go to </w:t>
      </w:r>
      <w:r w:rsidR="00F55C36">
        <w:t>down</w:t>
      </w:r>
      <w:r w:rsidR="0091372E">
        <w:t>load files, the anycast route would determine that the closest server would be the UK server, rather than other servers across the globe; for example, in Canada. This would mean the network would be much more efficient and limit the amount of time taken to upload the files, for the UK based employee.  Anycast address cannot be differentiated from Unicast addresses, as they take the same format, therefore a unicast address can be turned into an anycast address.</w:t>
      </w:r>
    </w:p>
    <w:p w14:paraId="29D9792D" w14:textId="77777777" w:rsidR="008540FB" w:rsidRPr="00C0020A" w:rsidRDefault="008540FB" w:rsidP="00C0020A">
      <w:pPr>
        <w:keepNext/>
        <w:keepLines/>
        <w:spacing w:before="40" w:line="259" w:lineRule="auto"/>
        <w:outlineLvl w:val="2"/>
        <w:rPr>
          <w:rFonts w:ascii="Calibri Light" w:hAnsi="Calibri Light"/>
          <w:color w:val="1F3763"/>
          <w:sz w:val="24"/>
          <w:szCs w:val="24"/>
          <w:lang w:val="en-US" w:eastAsia="en-US"/>
        </w:rPr>
      </w:pPr>
    </w:p>
    <w:p w14:paraId="4E84B33C" w14:textId="4022099C" w:rsidR="00AE4EB7" w:rsidRDefault="00AE4EB7" w:rsidP="00C0020A">
      <w:pPr>
        <w:keepNext/>
        <w:keepLines/>
        <w:spacing w:before="40" w:line="259" w:lineRule="auto"/>
        <w:outlineLvl w:val="2"/>
        <w:rPr>
          <w:rFonts w:ascii="Calibri Light" w:hAnsi="Calibri Light"/>
          <w:color w:val="1F3763"/>
          <w:sz w:val="24"/>
          <w:szCs w:val="24"/>
          <w:lang w:val="en-US" w:eastAsia="en-US"/>
        </w:rPr>
      </w:pPr>
      <w:r w:rsidRPr="00C0020A">
        <w:rPr>
          <w:rFonts w:ascii="Calibri Light" w:hAnsi="Calibri Light"/>
          <w:color w:val="1F3763"/>
          <w:sz w:val="24"/>
          <w:szCs w:val="24"/>
          <w:lang w:val="en-US" w:eastAsia="en-US"/>
        </w:rPr>
        <w:t>M</w:t>
      </w:r>
      <w:r w:rsidR="00C0020A" w:rsidRPr="00C0020A">
        <w:rPr>
          <w:rFonts w:ascii="Calibri Light" w:hAnsi="Calibri Light"/>
          <w:color w:val="1F3763"/>
          <w:sz w:val="24"/>
          <w:szCs w:val="24"/>
          <w:lang w:val="en-US" w:eastAsia="en-US"/>
        </w:rPr>
        <w:t>ulticast</w:t>
      </w:r>
    </w:p>
    <w:p w14:paraId="74D771DF" w14:textId="4624B567" w:rsidR="00AE4EB7" w:rsidRPr="00AE4EB7" w:rsidRDefault="00AE4EB7" w:rsidP="0091372E">
      <w:pPr>
        <w:rPr>
          <w:lang w:val="en-US" w:eastAsia="en-US"/>
        </w:rPr>
      </w:pPr>
      <w:r>
        <w:rPr>
          <w:lang w:val="en-US" w:eastAsia="en-US"/>
        </w:rPr>
        <w:t>Multicast is where a packet of data is sent from one source to multiple destination</w:t>
      </w:r>
      <w:r w:rsidR="00407BEA">
        <w:rPr>
          <w:lang w:val="en-US" w:eastAsia="en-US"/>
        </w:rPr>
        <w:t>s</w:t>
      </w:r>
      <w:r>
        <w:rPr>
          <w:lang w:val="en-US" w:eastAsia="en-US"/>
        </w:rPr>
        <w:t xml:space="preserve">, IPv6 ensures that only </w:t>
      </w:r>
      <w:r w:rsidR="00407BEA">
        <w:rPr>
          <w:lang w:val="en-US" w:eastAsia="en-US"/>
        </w:rPr>
        <w:t>intended recipients can ‘hear’ packets being transmitted</w:t>
      </w:r>
      <w:r w:rsidR="00F55C36">
        <w:rPr>
          <w:lang w:val="en-US" w:eastAsia="en-US"/>
        </w:rPr>
        <w:t>.</w:t>
      </w:r>
      <w:r w:rsidR="00407BEA">
        <w:rPr>
          <w:lang w:val="en-US" w:eastAsia="en-US"/>
        </w:rPr>
        <w:t xml:space="preserve"> </w:t>
      </w:r>
      <w:r w:rsidR="00F55C36">
        <w:rPr>
          <w:lang w:val="en-US" w:eastAsia="en-US"/>
        </w:rPr>
        <w:t>T</w:t>
      </w:r>
      <w:r w:rsidR="00407BEA">
        <w:rPr>
          <w:lang w:val="en-US" w:eastAsia="en-US"/>
        </w:rPr>
        <w:t>his was not the case with the previous ‘broadcast’ method for IPv4 and is an example of improved security, which will be discussed further later in this report.</w:t>
      </w:r>
    </w:p>
    <w:p w14:paraId="602D460F" w14:textId="77777777" w:rsidR="00F55C36" w:rsidRDefault="00F55C36" w:rsidP="00A679C8">
      <w:pPr>
        <w:pStyle w:val="H3"/>
        <w:rPr>
          <w:lang w:val="en-US"/>
        </w:rPr>
      </w:pPr>
    </w:p>
    <w:p w14:paraId="5BF34856" w14:textId="09501473" w:rsidR="00A679C8" w:rsidRDefault="00A679C8" w:rsidP="00A679C8">
      <w:pPr>
        <w:pStyle w:val="H3"/>
        <w:rPr>
          <w:lang w:val="en-US"/>
        </w:rPr>
      </w:pPr>
      <w:r>
        <w:rPr>
          <w:lang w:val="en-US"/>
        </w:rPr>
        <w:t>Advanced Features</w:t>
      </w:r>
    </w:p>
    <w:p w14:paraId="4AE50AAD" w14:textId="5A0F1AC7" w:rsidR="000271DC" w:rsidRDefault="000271DC" w:rsidP="000271DC">
      <w:pPr>
        <w:rPr>
          <w:lang w:val="en-US"/>
        </w:rPr>
      </w:pPr>
      <w:r>
        <w:rPr>
          <w:lang w:val="en-US"/>
        </w:rPr>
        <w:t>IPv6 supersedes IPv4 and therefore improves upon some of the problem</w:t>
      </w:r>
      <w:r w:rsidR="0024752C">
        <w:rPr>
          <w:lang w:val="en-US"/>
        </w:rPr>
        <w:t>s</w:t>
      </w:r>
      <w:r>
        <w:rPr>
          <w:lang w:val="en-US"/>
        </w:rPr>
        <w:t xml:space="preserve"> faced with IPv4 </w:t>
      </w:r>
      <w:r w:rsidR="0024752C">
        <w:rPr>
          <w:lang w:val="en-US"/>
        </w:rPr>
        <w:t>networks. One</w:t>
      </w:r>
      <w:r>
        <w:rPr>
          <w:lang w:val="en-US"/>
        </w:rPr>
        <w:t xml:space="preserve"> of the biggest arguments as to why network users should switch to IPv6</w:t>
      </w:r>
      <w:r w:rsidR="0024752C">
        <w:rPr>
          <w:lang w:val="en-US"/>
        </w:rPr>
        <w:t>,</w:t>
      </w:r>
      <w:r>
        <w:rPr>
          <w:lang w:val="en-US"/>
        </w:rPr>
        <w:t xml:space="preserve"> is that</w:t>
      </w:r>
      <w:r w:rsidR="0024752C">
        <w:rPr>
          <w:lang w:val="en-US"/>
        </w:rPr>
        <w:t>,</w:t>
      </w:r>
      <w:r>
        <w:rPr>
          <w:lang w:val="en-US"/>
        </w:rPr>
        <w:t xml:space="preserve"> at the current rate IPv4 addresses will soon run out</w:t>
      </w:r>
      <w:r w:rsidR="0024752C">
        <w:rPr>
          <w:lang w:val="en-US"/>
        </w:rPr>
        <w:t xml:space="preserve"> across the world</w:t>
      </w:r>
      <w:r>
        <w:rPr>
          <w:lang w:val="en-US"/>
        </w:rPr>
        <w:t xml:space="preserve">. IPv4 addresses will run out because when the </w:t>
      </w:r>
      <w:r w:rsidR="0024752C">
        <w:rPr>
          <w:lang w:val="en-US"/>
        </w:rPr>
        <w:t>internet</w:t>
      </w:r>
      <w:r>
        <w:rPr>
          <w:lang w:val="en-US"/>
        </w:rPr>
        <w:t xml:space="preserve"> was </w:t>
      </w:r>
      <w:r w:rsidR="0024752C">
        <w:rPr>
          <w:lang w:val="en-US"/>
        </w:rPr>
        <w:t>established</w:t>
      </w:r>
      <w:r>
        <w:rPr>
          <w:lang w:val="en-US"/>
        </w:rPr>
        <w:t xml:space="preserve">, nobody could envision </w:t>
      </w:r>
      <w:r w:rsidR="00652C44">
        <w:rPr>
          <w:lang w:val="en-US"/>
        </w:rPr>
        <w:t>modern day network exhaustion,</w:t>
      </w:r>
      <w:r w:rsidR="0024752C">
        <w:rPr>
          <w:lang w:val="en-US"/>
        </w:rPr>
        <w:t xml:space="preserve"> </w:t>
      </w:r>
      <w:r>
        <w:rPr>
          <w:lang w:val="en-US"/>
        </w:rPr>
        <w:t xml:space="preserve">where </w:t>
      </w:r>
      <w:r w:rsidR="0024752C">
        <w:rPr>
          <w:lang w:val="en-US"/>
        </w:rPr>
        <w:t xml:space="preserve">there are less IPv4 addresses </w:t>
      </w:r>
      <w:r w:rsidR="00652C44">
        <w:rPr>
          <w:lang w:val="en-US"/>
        </w:rPr>
        <w:t>in globally than</w:t>
      </w:r>
      <w:r w:rsidR="0024752C">
        <w:rPr>
          <w:lang w:val="en-US"/>
        </w:rPr>
        <w:t xml:space="preserve"> there are people</w:t>
      </w:r>
      <w:sdt>
        <w:sdtPr>
          <w:rPr>
            <w:lang w:val="en-US"/>
          </w:rPr>
          <w:id w:val="776296082"/>
          <w:citation/>
        </w:sdtPr>
        <w:sdtEndPr/>
        <w:sdtContent>
          <w:r w:rsidR="00652C44">
            <w:rPr>
              <w:lang w:val="en-US"/>
            </w:rPr>
            <w:fldChar w:fldCharType="begin"/>
          </w:r>
          <w:r w:rsidR="00652C44">
            <w:instrText xml:space="preserve"> CITATION Wil04 \l 2057 </w:instrText>
          </w:r>
          <w:r w:rsidR="00652C44">
            <w:rPr>
              <w:lang w:val="en-US"/>
            </w:rPr>
            <w:fldChar w:fldCharType="separate"/>
          </w:r>
          <w:r w:rsidR="00355666">
            <w:rPr>
              <w:noProof/>
            </w:rPr>
            <w:t xml:space="preserve"> [3]</w:t>
          </w:r>
          <w:r w:rsidR="00652C44">
            <w:rPr>
              <w:lang w:val="en-US"/>
            </w:rPr>
            <w:fldChar w:fldCharType="end"/>
          </w:r>
        </w:sdtContent>
      </w:sdt>
      <w:r w:rsidR="00652C44">
        <w:rPr>
          <w:lang w:val="en-US"/>
        </w:rPr>
        <w:t>. As well as the fact there are not enough address</w:t>
      </w:r>
      <w:r w:rsidR="00F55C36">
        <w:rPr>
          <w:lang w:val="en-US"/>
        </w:rPr>
        <w:t>es</w:t>
      </w:r>
      <w:r w:rsidR="00652C44">
        <w:rPr>
          <w:lang w:val="en-US"/>
        </w:rPr>
        <w:t xml:space="preserve"> to begin with, there is also the factor that IPv4 addresses have not been assigned efficiently</w:t>
      </w:r>
      <w:r w:rsidR="00F55C36">
        <w:rPr>
          <w:lang w:val="en-US"/>
        </w:rPr>
        <w:t>.</w:t>
      </w:r>
      <w:r w:rsidR="00652C44">
        <w:rPr>
          <w:lang w:val="en-US"/>
        </w:rPr>
        <w:t xml:space="preserve"> </w:t>
      </w:r>
      <w:r w:rsidR="00F55C36">
        <w:rPr>
          <w:lang w:val="en-US"/>
        </w:rPr>
        <w:t>T</w:t>
      </w:r>
      <w:r w:rsidR="00652C44">
        <w:rPr>
          <w:lang w:val="en-US"/>
        </w:rPr>
        <w:t>herefore</w:t>
      </w:r>
      <w:r w:rsidR="00F55C36">
        <w:rPr>
          <w:lang w:val="en-US"/>
        </w:rPr>
        <w:t>,</w:t>
      </w:r>
      <w:r w:rsidR="00652C44">
        <w:rPr>
          <w:lang w:val="en-US"/>
        </w:rPr>
        <w:t xml:space="preserve"> there are large pools of addresses which are unusable. To get around this many business implement network address translation (NAT). NAT in basic terms is where </w:t>
      </w:r>
      <w:r w:rsidR="001F04C9">
        <w:rPr>
          <w:lang w:val="en-US"/>
        </w:rPr>
        <w:t>a router will translate an internal private IP to a single public address</w:t>
      </w:r>
      <w:r w:rsidR="00652C44">
        <w:rPr>
          <w:lang w:val="en-US"/>
        </w:rPr>
        <w:t xml:space="preserve">, </w:t>
      </w:r>
      <w:r w:rsidR="001F04C9">
        <w:rPr>
          <w:lang w:val="en-US"/>
        </w:rPr>
        <w:t xml:space="preserve">and back to the private IP address. NAT is done because it means less public IP addresses are used, while </w:t>
      </w:r>
      <w:r w:rsidR="00652C44">
        <w:rPr>
          <w:lang w:val="en-US"/>
        </w:rPr>
        <w:t>allow</w:t>
      </w:r>
      <w:r w:rsidR="001F04C9">
        <w:rPr>
          <w:lang w:val="en-US"/>
        </w:rPr>
        <w:t xml:space="preserve">ing </w:t>
      </w:r>
      <w:r w:rsidR="00652C44">
        <w:rPr>
          <w:lang w:val="en-US"/>
        </w:rPr>
        <w:t>for a larger pool of</w:t>
      </w:r>
      <w:r w:rsidR="001F04C9">
        <w:rPr>
          <w:lang w:val="en-US"/>
        </w:rPr>
        <w:t xml:space="preserve"> internal addresses. NAT is not needed in IPv6 as there is a much larger address pool.</w:t>
      </w:r>
    </w:p>
    <w:p w14:paraId="4A8A8BFB" w14:textId="77777777" w:rsidR="00652C44" w:rsidRDefault="00652C44" w:rsidP="000271DC">
      <w:pPr>
        <w:rPr>
          <w:lang w:val="en-US"/>
        </w:rPr>
      </w:pPr>
    </w:p>
    <w:p w14:paraId="0A7B3446" w14:textId="531393A7" w:rsidR="001C16C8" w:rsidRDefault="001C16C8" w:rsidP="000271DC">
      <w:pPr>
        <w:rPr>
          <w:lang w:val="en-US"/>
        </w:rPr>
      </w:pPr>
      <w:r>
        <w:rPr>
          <w:lang w:val="en-US"/>
        </w:rPr>
        <w:t>As previously mentioned Anycast is a type of address specific to IPv6, and therefore not available for IPv4. This means that networks in the future will be more efficient.</w:t>
      </w:r>
      <w:r w:rsidR="00446070">
        <w:rPr>
          <w:lang w:val="en-US"/>
        </w:rPr>
        <w:t xml:space="preserve"> </w:t>
      </w:r>
      <w:r w:rsidR="00F55C36">
        <w:rPr>
          <w:lang w:val="en-US"/>
        </w:rPr>
        <w:t>T</w:t>
      </w:r>
      <w:r w:rsidR="00446070">
        <w:rPr>
          <w:lang w:val="en-US"/>
        </w:rPr>
        <w:t xml:space="preserve">his is because Anycast will find the nearest server with the anycast address assigned. </w:t>
      </w:r>
    </w:p>
    <w:p w14:paraId="42047505" w14:textId="26887195" w:rsidR="00DD352A" w:rsidRDefault="00DD352A" w:rsidP="000271DC">
      <w:pPr>
        <w:rPr>
          <w:lang w:val="en-US"/>
        </w:rPr>
      </w:pPr>
    </w:p>
    <w:p w14:paraId="5B7A155A" w14:textId="53C68B35" w:rsidR="004E2BE2" w:rsidRDefault="004E2BE2" w:rsidP="000271DC">
      <w:pPr>
        <w:rPr>
          <w:lang w:val="en-US"/>
        </w:rPr>
      </w:pPr>
      <w:r>
        <w:rPr>
          <w:lang w:val="en-US"/>
        </w:rPr>
        <w:t>Another strong point for IPv6 is that security is of a much higher level. One reason for this is because IPv6 has irradiated the need for a broadcast address. A broadcast address in IPv4, was “</w:t>
      </w:r>
      <w:r w:rsidRPr="004E2BE2">
        <w:rPr>
          <w:lang w:val="en-US"/>
        </w:rPr>
        <w:t>always the highest number possible in a particular network address or subnet</w:t>
      </w:r>
      <w:r>
        <w:rPr>
          <w:lang w:val="en-US"/>
        </w:rPr>
        <w:t xml:space="preserve">” Alison Quine </w:t>
      </w:r>
      <w:sdt>
        <w:sdtPr>
          <w:rPr>
            <w:lang w:val="en-US"/>
          </w:rPr>
          <w:id w:val="818234603"/>
          <w:citation/>
        </w:sdtPr>
        <w:sdtContent>
          <w:r>
            <w:rPr>
              <w:lang w:val="en-US"/>
            </w:rPr>
            <w:fldChar w:fldCharType="begin"/>
          </w:r>
          <w:r>
            <w:instrText xml:space="preserve"> CITATION Ali08 \l 2057 </w:instrText>
          </w:r>
          <w:r>
            <w:rPr>
              <w:lang w:val="en-US"/>
            </w:rPr>
            <w:fldChar w:fldCharType="separate"/>
          </w:r>
          <w:r w:rsidR="00355666">
            <w:rPr>
              <w:noProof/>
            </w:rPr>
            <w:t>[4]</w:t>
          </w:r>
          <w:r>
            <w:rPr>
              <w:lang w:val="en-US"/>
            </w:rPr>
            <w:fldChar w:fldCharType="end"/>
          </w:r>
        </w:sdtContent>
      </w:sdt>
      <w:r>
        <w:rPr>
          <w:lang w:val="en-US"/>
        </w:rPr>
        <w:t xml:space="preserve"> advises. Quine also advises that “</w:t>
      </w:r>
      <w:r w:rsidRPr="004E2BE2">
        <w:rPr>
          <w:lang w:val="en-US"/>
        </w:rPr>
        <w:t>A broadcast address is an address used to indicate that information being sent out should be delivered to every client on the local area network</w:t>
      </w:r>
      <w:r>
        <w:rPr>
          <w:lang w:val="en-US"/>
        </w:rPr>
        <w:t xml:space="preserve">”. This </w:t>
      </w:r>
      <w:r w:rsidR="00355666">
        <w:rPr>
          <w:lang w:val="en-US"/>
        </w:rPr>
        <w:t xml:space="preserve">means that security is at risk because all nodes connected to a network </w:t>
      </w:r>
      <w:r w:rsidR="000B42D9">
        <w:rPr>
          <w:lang w:val="en-US"/>
        </w:rPr>
        <w:t>will have</w:t>
      </w:r>
      <w:r w:rsidR="00355666">
        <w:rPr>
          <w:lang w:val="en-US"/>
        </w:rPr>
        <w:t xml:space="preserve"> data packets sent to them even if they are not an intended recipient, this highlights a security flaw. This flaw is not present in IPv6 as the Anycast can provide more efficient routing, which only sends to interfaces with the Anycast address assigned. </w:t>
      </w:r>
    </w:p>
    <w:p w14:paraId="5E04ADCB" w14:textId="00AA833B" w:rsidR="00C0020A" w:rsidRDefault="00355666" w:rsidP="00A679C8">
      <w:pPr>
        <w:pStyle w:val="H2"/>
      </w:pPr>
      <w:r>
        <w:t>C</w:t>
      </w:r>
      <w:r w:rsidR="00A679C8">
        <w:t>onclusion</w:t>
      </w:r>
    </w:p>
    <w:p w14:paraId="287916D2" w14:textId="531F271A" w:rsidR="00355666" w:rsidRDefault="00355666" w:rsidP="00355666">
      <w:r>
        <w:t>To conclude there a</w:t>
      </w:r>
      <w:r w:rsidR="00A6523D">
        <w:t>re</w:t>
      </w:r>
      <w:r>
        <w:t xml:space="preserve"> many reasons why all network users should look to migrate from IPv4 to IPv6, such as security, efficiency</w:t>
      </w:r>
      <w:r w:rsidR="00A6523D">
        <w:t xml:space="preserve"> and the larger address pool available.</w:t>
      </w:r>
      <w:r w:rsidR="00F3231D">
        <w:t xml:space="preserve"> </w:t>
      </w:r>
      <w:r w:rsidR="00A6523D">
        <w:t xml:space="preserve"> </w:t>
      </w:r>
      <w:r w:rsidR="00F3231D">
        <w:t xml:space="preserve">However, as </w:t>
      </w:r>
      <w:r w:rsidR="00A6523D">
        <w:t xml:space="preserve">complex </w:t>
      </w:r>
      <w:r w:rsidR="00F3231D">
        <w:t xml:space="preserve">as </w:t>
      </w:r>
      <w:bookmarkStart w:id="0" w:name="_GoBack"/>
      <w:bookmarkEnd w:id="0"/>
      <w:r w:rsidR="00A6523D">
        <w:t>it will be to refresh the underpinning infrastructure and configuration for current IPv4 networks, in the future the advantages will be valuable enough to outweigh the challenges faced</w:t>
      </w:r>
      <w:r w:rsidR="00F3231D">
        <w:t xml:space="preserve"> during migration. </w:t>
      </w:r>
    </w:p>
    <w:p w14:paraId="0BCB230D" w14:textId="77777777" w:rsidR="00A6523D" w:rsidRDefault="00A6523D" w:rsidP="00355666"/>
    <w:sdt>
      <w:sdtPr>
        <w:rPr>
          <w:b w:val="0"/>
          <w:sz w:val="22"/>
        </w:rPr>
        <w:id w:val="1851906937"/>
        <w:docPartObj>
          <w:docPartGallery w:val="Bibliographies"/>
          <w:docPartUnique/>
        </w:docPartObj>
      </w:sdtPr>
      <w:sdtEndPr/>
      <w:sdtContent>
        <w:p w14:paraId="1A773F89" w14:textId="4228EDA1" w:rsidR="00987178" w:rsidRDefault="00987178">
          <w:pPr>
            <w:pStyle w:val="Heading1"/>
          </w:pPr>
          <w:r>
            <w:t>References</w:t>
          </w:r>
        </w:p>
        <w:sdt>
          <w:sdtPr>
            <w:id w:val="-573587230"/>
            <w:bibliography/>
          </w:sdtPr>
          <w:sdtEndPr/>
          <w:sdtContent>
            <w:p w14:paraId="11B92F5C" w14:textId="77777777" w:rsidR="00355666" w:rsidRDefault="00987178">
              <w:pPr>
                <w:rPr>
                  <w:rFonts w:ascii="Times New Roman" w:hAnsi="Times New Roman"/>
                  <w:noProof/>
                  <w:sz w:val="20"/>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459"/>
              </w:tblGrid>
              <w:tr w:rsidR="00355666" w14:paraId="5D13F03D" w14:textId="77777777">
                <w:trPr>
                  <w:divId w:val="71314981"/>
                  <w:tblCellSpacing w:w="15" w:type="dxa"/>
                </w:trPr>
                <w:tc>
                  <w:tcPr>
                    <w:tcW w:w="50" w:type="pct"/>
                    <w:hideMark/>
                  </w:tcPr>
                  <w:p w14:paraId="5E9DB800" w14:textId="6F4DAB80" w:rsidR="00355666" w:rsidRDefault="00355666">
                    <w:pPr>
                      <w:pStyle w:val="Bibliography"/>
                      <w:rPr>
                        <w:noProof/>
                        <w:sz w:val="24"/>
                        <w:szCs w:val="24"/>
                      </w:rPr>
                    </w:pPr>
                    <w:r>
                      <w:rPr>
                        <w:noProof/>
                      </w:rPr>
                      <w:t xml:space="preserve">[1] </w:t>
                    </w:r>
                  </w:p>
                </w:tc>
                <w:tc>
                  <w:tcPr>
                    <w:tcW w:w="0" w:type="auto"/>
                    <w:hideMark/>
                  </w:tcPr>
                  <w:p w14:paraId="63A8C82A" w14:textId="77777777" w:rsidR="00355666" w:rsidRDefault="00355666">
                    <w:pPr>
                      <w:pStyle w:val="Bibliography"/>
                      <w:rPr>
                        <w:noProof/>
                      </w:rPr>
                    </w:pPr>
                    <w:r>
                      <w:rPr>
                        <w:noProof/>
                      </w:rPr>
                      <w:t xml:space="preserve">R. Graziani, IPv6 Fundamentals: A Straightforward Approach to Understanding IPv6, 2nd Edition, CiscoPress, 2017. </w:t>
                    </w:r>
                  </w:p>
                </w:tc>
              </w:tr>
              <w:tr w:rsidR="00355666" w14:paraId="6235B42F" w14:textId="77777777">
                <w:trPr>
                  <w:divId w:val="71314981"/>
                  <w:tblCellSpacing w:w="15" w:type="dxa"/>
                </w:trPr>
                <w:tc>
                  <w:tcPr>
                    <w:tcW w:w="50" w:type="pct"/>
                    <w:hideMark/>
                  </w:tcPr>
                  <w:p w14:paraId="60F42D19" w14:textId="77777777" w:rsidR="00355666" w:rsidRDefault="00355666">
                    <w:pPr>
                      <w:pStyle w:val="Bibliography"/>
                      <w:rPr>
                        <w:noProof/>
                      </w:rPr>
                    </w:pPr>
                    <w:r>
                      <w:rPr>
                        <w:noProof/>
                      </w:rPr>
                      <w:t xml:space="preserve">[2] </w:t>
                    </w:r>
                  </w:p>
                </w:tc>
                <w:tc>
                  <w:tcPr>
                    <w:tcW w:w="0" w:type="auto"/>
                    <w:hideMark/>
                  </w:tcPr>
                  <w:p w14:paraId="1273093A" w14:textId="77777777" w:rsidR="00355666" w:rsidRDefault="00355666">
                    <w:pPr>
                      <w:pStyle w:val="Bibliography"/>
                      <w:rPr>
                        <w:noProof/>
                      </w:rPr>
                    </w:pPr>
                    <w:r>
                      <w:rPr>
                        <w:noProof/>
                      </w:rPr>
                      <w:t>study-ccna.com, “IPv6 unique local addresses,” 26 January 2016. [Online]. Available: https://study-ccna.com/ipv6-unique-local-addresses/. [Accessed 9th December 2019].</w:t>
                    </w:r>
                  </w:p>
                </w:tc>
              </w:tr>
              <w:tr w:rsidR="00355666" w14:paraId="50676820" w14:textId="77777777">
                <w:trPr>
                  <w:divId w:val="71314981"/>
                  <w:tblCellSpacing w:w="15" w:type="dxa"/>
                </w:trPr>
                <w:tc>
                  <w:tcPr>
                    <w:tcW w:w="50" w:type="pct"/>
                    <w:hideMark/>
                  </w:tcPr>
                  <w:p w14:paraId="414E5F2B" w14:textId="77777777" w:rsidR="00355666" w:rsidRDefault="00355666">
                    <w:pPr>
                      <w:pStyle w:val="Bibliography"/>
                      <w:rPr>
                        <w:noProof/>
                      </w:rPr>
                    </w:pPr>
                    <w:r>
                      <w:rPr>
                        <w:noProof/>
                      </w:rPr>
                      <w:t xml:space="preserve">[3] </w:t>
                    </w:r>
                  </w:p>
                </w:tc>
                <w:tc>
                  <w:tcPr>
                    <w:tcW w:w="0" w:type="auto"/>
                    <w:hideMark/>
                  </w:tcPr>
                  <w:p w14:paraId="76A5C444" w14:textId="77777777" w:rsidR="00355666" w:rsidRDefault="00355666">
                    <w:pPr>
                      <w:pStyle w:val="Bibliography"/>
                      <w:rPr>
                        <w:noProof/>
                      </w:rPr>
                    </w:pPr>
                    <w:r>
                      <w:rPr>
                        <w:noProof/>
                      </w:rPr>
                      <w:t>W. R. Parkhurst, “Internet Addressing and Routing First Step,” 5th Novemebr 2004. [Online]. Available: http://www.ciscopress.com/articles/article.asp?p=348253. [Accessed 2019 December 2019].</w:t>
                    </w:r>
                  </w:p>
                </w:tc>
              </w:tr>
              <w:tr w:rsidR="00355666" w14:paraId="249DC0A2" w14:textId="77777777">
                <w:trPr>
                  <w:divId w:val="71314981"/>
                  <w:tblCellSpacing w:w="15" w:type="dxa"/>
                </w:trPr>
                <w:tc>
                  <w:tcPr>
                    <w:tcW w:w="50" w:type="pct"/>
                    <w:hideMark/>
                  </w:tcPr>
                  <w:p w14:paraId="2A12848B" w14:textId="77777777" w:rsidR="00355666" w:rsidRDefault="00355666">
                    <w:pPr>
                      <w:pStyle w:val="Bibliography"/>
                      <w:rPr>
                        <w:noProof/>
                      </w:rPr>
                    </w:pPr>
                    <w:r>
                      <w:rPr>
                        <w:noProof/>
                      </w:rPr>
                      <w:t xml:space="preserve">[4] </w:t>
                    </w:r>
                  </w:p>
                </w:tc>
                <w:tc>
                  <w:tcPr>
                    <w:tcW w:w="0" w:type="auto"/>
                    <w:hideMark/>
                  </w:tcPr>
                  <w:p w14:paraId="23739812" w14:textId="77777777" w:rsidR="00355666" w:rsidRDefault="00355666">
                    <w:pPr>
                      <w:pStyle w:val="Bibliography"/>
                      <w:rPr>
                        <w:noProof/>
                      </w:rPr>
                    </w:pPr>
                    <w:r>
                      <w:rPr>
                        <w:noProof/>
                      </w:rPr>
                      <w:t>A. Quine, “How a broadcast addresss works,” itprc.com, 13 Febuary 2008. [Online]. Available: https://www.itprc.com/how-a-broadcast-address-works/. [Accessed 12 December 2019].</w:t>
                    </w:r>
                  </w:p>
                </w:tc>
              </w:tr>
            </w:tbl>
            <w:p w14:paraId="52F3D560" w14:textId="77777777" w:rsidR="00355666" w:rsidRDefault="00355666">
              <w:pPr>
                <w:divId w:val="71314981"/>
                <w:rPr>
                  <w:noProof/>
                </w:rPr>
              </w:pPr>
            </w:p>
            <w:p w14:paraId="6BCD2B5B" w14:textId="701DCC06" w:rsidR="00987178" w:rsidRDefault="00987178">
              <w:r>
                <w:rPr>
                  <w:b/>
                  <w:bCs/>
                  <w:noProof/>
                </w:rPr>
                <w:fldChar w:fldCharType="end"/>
              </w:r>
            </w:p>
          </w:sdtContent>
        </w:sdt>
      </w:sdtContent>
    </w:sdt>
    <w:p w14:paraId="021FEB44" w14:textId="77777777" w:rsidR="00987178" w:rsidRPr="00C0020A" w:rsidRDefault="00987178" w:rsidP="00A679C8">
      <w:pPr>
        <w:pStyle w:val="H2"/>
      </w:pPr>
    </w:p>
    <w:sectPr w:rsidR="00987178" w:rsidRPr="00C0020A"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E33E9" w14:textId="77777777" w:rsidR="00AE5E3A" w:rsidRDefault="00AE5E3A">
      <w:r>
        <w:separator/>
      </w:r>
    </w:p>
  </w:endnote>
  <w:endnote w:type="continuationSeparator" w:id="0">
    <w:p w14:paraId="567E849C" w14:textId="77777777" w:rsidR="00AE5E3A" w:rsidRDefault="00AE5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G Times (WN)">
    <w:altName w:val="Times New Roman"/>
    <w:charset w:val="00"/>
    <w:family w:val="roman"/>
    <w:pitch w:val="variable"/>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8C34F" w14:textId="77777777" w:rsidR="00AE5E3A" w:rsidRDefault="00AE5E3A">
      <w:r>
        <w:separator/>
      </w:r>
    </w:p>
  </w:footnote>
  <w:footnote w:type="continuationSeparator" w:id="0">
    <w:p w14:paraId="223A5C14" w14:textId="77777777" w:rsidR="00AE5E3A" w:rsidRDefault="00AE5E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5A26"/>
    <w:rsid w:val="000271DC"/>
    <w:rsid w:val="00027D2F"/>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87602"/>
    <w:rsid w:val="00091F0F"/>
    <w:rsid w:val="000956B9"/>
    <w:rsid w:val="000971FC"/>
    <w:rsid w:val="000A20D9"/>
    <w:rsid w:val="000A2A3A"/>
    <w:rsid w:val="000A30B6"/>
    <w:rsid w:val="000B0F19"/>
    <w:rsid w:val="000B42D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63F1"/>
    <w:rsid w:val="001B7944"/>
    <w:rsid w:val="001C16C8"/>
    <w:rsid w:val="001C410A"/>
    <w:rsid w:val="001C4DDD"/>
    <w:rsid w:val="001D1232"/>
    <w:rsid w:val="001D6B27"/>
    <w:rsid w:val="001E1050"/>
    <w:rsid w:val="001E1E1F"/>
    <w:rsid w:val="001E3595"/>
    <w:rsid w:val="001E4988"/>
    <w:rsid w:val="001E4F4F"/>
    <w:rsid w:val="001E57C1"/>
    <w:rsid w:val="001F04C9"/>
    <w:rsid w:val="001F07EF"/>
    <w:rsid w:val="001F16E4"/>
    <w:rsid w:val="001F24F2"/>
    <w:rsid w:val="001F2F29"/>
    <w:rsid w:val="001F6D7A"/>
    <w:rsid w:val="00203569"/>
    <w:rsid w:val="0020694C"/>
    <w:rsid w:val="00215B6E"/>
    <w:rsid w:val="002172C5"/>
    <w:rsid w:val="00220632"/>
    <w:rsid w:val="00221C3F"/>
    <w:rsid w:val="00222600"/>
    <w:rsid w:val="002237DA"/>
    <w:rsid w:val="00225F3B"/>
    <w:rsid w:val="00231220"/>
    <w:rsid w:val="002339EB"/>
    <w:rsid w:val="00235F71"/>
    <w:rsid w:val="00243F06"/>
    <w:rsid w:val="002444CA"/>
    <w:rsid w:val="00245A71"/>
    <w:rsid w:val="0024665A"/>
    <w:rsid w:val="0024752C"/>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01CB"/>
    <w:rsid w:val="00302C6F"/>
    <w:rsid w:val="00303DB7"/>
    <w:rsid w:val="003114DE"/>
    <w:rsid w:val="00314E4A"/>
    <w:rsid w:val="003207AF"/>
    <w:rsid w:val="00325DF6"/>
    <w:rsid w:val="00326476"/>
    <w:rsid w:val="0033182A"/>
    <w:rsid w:val="003370E7"/>
    <w:rsid w:val="00343F30"/>
    <w:rsid w:val="003473C9"/>
    <w:rsid w:val="00351230"/>
    <w:rsid w:val="003529CC"/>
    <w:rsid w:val="00353592"/>
    <w:rsid w:val="00353817"/>
    <w:rsid w:val="003542EE"/>
    <w:rsid w:val="0035466C"/>
    <w:rsid w:val="00354BD2"/>
    <w:rsid w:val="00354D3E"/>
    <w:rsid w:val="00354E80"/>
    <w:rsid w:val="00355666"/>
    <w:rsid w:val="00357924"/>
    <w:rsid w:val="00357AEF"/>
    <w:rsid w:val="00362560"/>
    <w:rsid w:val="00363594"/>
    <w:rsid w:val="003645CB"/>
    <w:rsid w:val="0036587E"/>
    <w:rsid w:val="00365F08"/>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D55B6"/>
    <w:rsid w:val="003E35B4"/>
    <w:rsid w:val="003E4926"/>
    <w:rsid w:val="003E4A65"/>
    <w:rsid w:val="003E7250"/>
    <w:rsid w:val="003E77CC"/>
    <w:rsid w:val="003F06BE"/>
    <w:rsid w:val="003F6891"/>
    <w:rsid w:val="003F6F28"/>
    <w:rsid w:val="0040012F"/>
    <w:rsid w:val="00404C50"/>
    <w:rsid w:val="0040542A"/>
    <w:rsid w:val="00406AD9"/>
    <w:rsid w:val="00407BEA"/>
    <w:rsid w:val="00410C68"/>
    <w:rsid w:val="004169E5"/>
    <w:rsid w:val="00417693"/>
    <w:rsid w:val="004238FD"/>
    <w:rsid w:val="00426244"/>
    <w:rsid w:val="0043006A"/>
    <w:rsid w:val="00433C30"/>
    <w:rsid w:val="00434843"/>
    <w:rsid w:val="00446070"/>
    <w:rsid w:val="0045098D"/>
    <w:rsid w:val="00460A84"/>
    <w:rsid w:val="00461A33"/>
    <w:rsid w:val="00463272"/>
    <w:rsid w:val="00465E73"/>
    <w:rsid w:val="00465F88"/>
    <w:rsid w:val="00472C32"/>
    <w:rsid w:val="00476E49"/>
    <w:rsid w:val="00477099"/>
    <w:rsid w:val="004808A2"/>
    <w:rsid w:val="00480EC0"/>
    <w:rsid w:val="004978D5"/>
    <w:rsid w:val="004A1148"/>
    <w:rsid w:val="004A33AD"/>
    <w:rsid w:val="004A7D3D"/>
    <w:rsid w:val="004B14E5"/>
    <w:rsid w:val="004B6A82"/>
    <w:rsid w:val="004C5274"/>
    <w:rsid w:val="004E0538"/>
    <w:rsid w:val="004E2BE2"/>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0A7"/>
    <w:rsid w:val="005F3E76"/>
    <w:rsid w:val="005F526A"/>
    <w:rsid w:val="00603190"/>
    <w:rsid w:val="00605FFC"/>
    <w:rsid w:val="00611ECA"/>
    <w:rsid w:val="006140BF"/>
    <w:rsid w:val="006211CC"/>
    <w:rsid w:val="00621AEA"/>
    <w:rsid w:val="00625008"/>
    <w:rsid w:val="00625850"/>
    <w:rsid w:val="006313B5"/>
    <w:rsid w:val="00632434"/>
    <w:rsid w:val="006327CD"/>
    <w:rsid w:val="00636FC4"/>
    <w:rsid w:val="00641263"/>
    <w:rsid w:val="00641E69"/>
    <w:rsid w:val="00646476"/>
    <w:rsid w:val="00647183"/>
    <w:rsid w:val="006506D9"/>
    <w:rsid w:val="00652C44"/>
    <w:rsid w:val="00654CB0"/>
    <w:rsid w:val="00655C96"/>
    <w:rsid w:val="00657619"/>
    <w:rsid w:val="006603DF"/>
    <w:rsid w:val="00660989"/>
    <w:rsid w:val="00660BD7"/>
    <w:rsid w:val="00661D6F"/>
    <w:rsid w:val="00664C9C"/>
    <w:rsid w:val="00665859"/>
    <w:rsid w:val="006768A9"/>
    <w:rsid w:val="00684E3C"/>
    <w:rsid w:val="00685637"/>
    <w:rsid w:val="006907D2"/>
    <w:rsid w:val="006934D4"/>
    <w:rsid w:val="006941F9"/>
    <w:rsid w:val="006945A0"/>
    <w:rsid w:val="006A047C"/>
    <w:rsid w:val="006A096A"/>
    <w:rsid w:val="006A2182"/>
    <w:rsid w:val="006A2440"/>
    <w:rsid w:val="006A297E"/>
    <w:rsid w:val="006A3D05"/>
    <w:rsid w:val="006A4206"/>
    <w:rsid w:val="006B3BBE"/>
    <w:rsid w:val="006B465F"/>
    <w:rsid w:val="006B4FC3"/>
    <w:rsid w:val="006B7F21"/>
    <w:rsid w:val="006C243F"/>
    <w:rsid w:val="006C24A1"/>
    <w:rsid w:val="006C5249"/>
    <w:rsid w:val="006C6E2E"/>
    <w:rsid w:val="006D050A"/>
    <w:rsid w:val="006D1E14"/>
    <w:rsid w:val="006D462A"/>
    <w:rsid w:val="006D49ED"/>
    <w:rsid w:val="006D55CE"/>
    <w:rsid w:val="006D5DA8"/>
    <w:rsid w:val="006F0A72"/>
    <w:rsid w:val="006F1658"/>
    <w:rsid w:val="006F45BF"/>
    <w:rsid w:val="00702F71"/>
    <w:rsid w:val="00703E7A"/>
    <w:rsid w:val="00707012"/>
    <w:rsid w:val="007107AB"/>
    <w:rsid w:val="0071494B"/>
    <w:rsid w:val="007155D1"/>
    <w:rsid w:val="007241BD"/>
    <w:rsid w:val="0072571F"/>
    <w:rsid w:val="00732AAE"/>
    <w:rsid w:val="00732F31"/>
    <w:rsid w:val="007366DF"/>
    <w:rsid w:val="0074273F"/>
    <w:rsid w:val="00745D2B"/>
    <w:rsid w:val="00747932"/>
    <w:rsid w:val="00751CB8"/>
    <w:rsid w:val="00751F9B"/>
    <w:rsid w:val="00755112"/>
    <w:rsid w:val="0075639C"/>
    <w:rsid w:val="00757839"/>
    <w:rsid w:val="007602EB"/>
    <w:rsid w:val="00763285"/>
    <w:rsid w:val="0076345E"/>
    <w:rsid w:val="00771EE2"/>
    <w:rsid w:val="00771F91"/>
    <w:rsid w:val="007919F0"/>
    <w:rsid w:val="00792A2A"/>
    <w:rsid w:val="007A0717"/>
    <w:rsid w:val="007A0994"/>
    <w:rsid w:val="007A1EDC"/>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06"/>
    <w:rsid w:val="008163EB"/>
    <w:rsid w:val="00816DB5"/>
    <w:rsid w:val="00835183"/>
    <w:rsid w:val="00835360"/>
    <w:rsid w:val="0083789E"/>
    <w:rsid w:val="008440C8"/>
    <w:rsid w:val="00847342"/>
    <w:rsid w:val="00847C8B"/>
    <w:rsid w:val="008509A4"/>
    <w:rsid w:val="008540FB"/>
    <w:rsid w:val="008575DA"/>
    <w:rsid w:val="0086128A"/>
    <w:rsid w:val="0086419A"/>
    <w:rsid w:val="00864BE5"/>
    <w:rsid w:val="00864EF8"/>
    <w:rsid w:val="00866FF5"/>
    <w:rsid w:val="00884733"/>
    <w:rsid w:val="00887D16"/>
    <w:rsid w:val="00887FCC"/>
    <w:rsid w:val="008923BB"/>
    <w:rsid w:val="00893D26"/>
    <w:rsid w:val="00893F0A"/>
    <w:rsid w:val="008A07D3"/>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E6D9A"/>
    <w:rsid w:val="008F00AC"/>
    <w:rsid w:val="008F036F"/>
    <w:rsid w:val="008F6096"/>
    <w:rsid w:val="008F6E9D"/>
    <w:rsid w:val="00901E6B"/>
    <w:rsid w:val="00906E54"/>
    <w:rsid w:val="00906F5B"/>
    <w:rsid w:val="00910CEA"/>
    <w:rsid w:val="00911394"/>
    <w:rsid w:val="00911A75"/>
    <w:rsid w:val="0091372E"/>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1BBF"/>
    <w:rsid w:val="009630B3"/>
    <w:rsid w:val="00965881"/>
    <w:rsid w:val="00971B1E"/>
    <w:rsid w:val="00972701"/>
    <w:rsid w:val="009753C1"/>
    <w:rsid w:val="009767C6"/>
    <w:rsid w:val="00982290"/>
    <w:rsid w:val="00983C7E"/>
    <w:rsid w:val="00987178"/>
    <w:rsid w:val="009871FF"/>
    <w:rsid w:val="009A1145"/>
    <w:rsid w:val="009A43AF"/>
    <w:rsid w:val="009A4F81"/>
    <w:rsid w:val="009C68DF"/>
    <w:rsid w:val="009C6E1F"/>
    <w:rsid w:val="009C6E95"/>
    <w:rsid w:val="009D7D42"/>
    <w:rsid w:val="009E11D1"/>
    <w:rsid w:val="009E183D"/>
    <w:rsid w:val="009E541B"/>
    <w:rsid w:val="009F0BE7"/>
    <w:rsid w:val="009F5486"/>
    <w:rsid w:val="009F7BAE"/>
    <w:rsid w:val="00A05A11"/>
    <w:rsid w:val="00A153E4"/>
    <w:rsid w:val="00A160CB"/>
    <w:rsid w:val="00A1663B"/>
    <w:rsid w:val="00A16F86"/>
    <w:rsid w:val="00A21D1A"/>
    <w:rsid w:val="00A23CC7"/>
    <w:rsid w:val="00A25BEB"/>
    <w:rsid w:val="00A35592"/>
    <w:rsid w:val="00A4036F"/>
    <w:rsid w:val="00A4220D"/>
    <w:rsid w:val="00A423BB"/>
    <w:rsid w:val="00A43A8C"/>
    <w:rsid w:val="00A44AFA"/>
    <w:rsid w:val="00A455B5"/>
    <w:rsid w:val="00A45782"/>
    <w:rsid w:val="00A4641A"/>
    <w:rsid w:val="00A4641C"/>
    <w:rsid w:val="00A503DC"/>
    <w:rsid w:val="00A5153F"/>
    <w:rsid w:val="00A54AE5"/>
    <w:rsid w:val="00A5587C"/>
    <w:rsid w:val="00A560DE"/>
    <w:rsid w:val="00A634FD"/>
    <w:rsid w:val="00A6523D"/>
    <w:rsid w:val="00A6727F"/>
    <w:rsid w:val="00A679C8"/>
    <w:rsid w:val="00A770A5"/>
    <w:rsid w:val="00A868FF"/>
    <w:rsid w:val="00A90238"/>
    <w:rsid w:val="00A9421D"/>
    <w:rsid w:val="00A944A0"/>
    <w:rsid w:val="00A96D02"/>
    <w:rsid w:val="00AA1D33"/>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4EB7"/>
    <w:rsid w:val="00AE50B4"/>
    <w:rsid w:val="00AE5E3A"/>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89B"/>
    <w:rsid w:val="00B62D82"/>
    <w:rsid w:val="00B6685F"/>
    <w:rsid w:val="00B70122"/>
    <w:rsid w:val="00B750BA"/>
    <w:rsid w:val="00B750E1"/>
    <w:rsid w:val="00B829D8"/>
    <w:rsid w:val="00B84688"/>
    <w:rsid w:val="00B84B5B"/>
    <w:rsid w:val="00B85106"/>
    <w:rsid w:val="00B85B00"/>
    <w:rsid w:val="00B87FBD"/>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20A"/>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08E9"/>
    <w:rsid w:val="00C66B33"/>
    <w:rsid w:val="00C75DF8"/>
    <w:rsid w:val="00C7673E"/>
    <w:rsid w:val="00C803C6"/>
    <w:rsid w:val="00C80527"/>
    <w:rsid w:val="00C82D8F"/>
    <w:rsid w:val="00C868FA"/>
    <w:rsid w:val="00C92323"/>
    <w:rsid w:val="00C93A58"/>
    <w:rsid w:val="00C93B79"/>
    <w:rsid w:val="00C93BCB"/>
    <w:rsid w:val="00C9403D"/>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17FDC"/>
    <w:rsid w:val="00D213FB"/>
    <w:rsid w:val="00D235D2"/>
    <w:rsid w:val="00D241F1"/>
    <w:rsid w:val="00D32F6A"/>
    <w:rsid w:val="00D41E0F"/>
    <w:rsid w:val="00D44E65"/>
    <w:rsid w:val="00D47246"/>
    <w:rsid w:val="00D55D61"/>
    <w:rsid w:val="00D70285"/>
    <w:rsid w:val="00D7295D"/>
    <w:rsid w:val="00D75CBA"/>
    <w:rsid w:val="00D809BB"/>
    <w:rsid w:val="00D86DDE"/>
    <w:rsid w:val="00D9332B"/>
    <w:rsid w:val="00D9537F"/>
    <w:rsid w:val="00D96253"/>
    <w:rsid w:val="00D977F3"/>
    <w:rsid w:val="00DA5E19"/>
    <w:rsid w:val="00DB116D"/>
    <w:rsid w:val="00DB5C98"/>
    <w:rsid w:val="00DC1854"/>
    <w:rsid w:val="00DC2DE6"/>
    <w:rsid w:val="00DC3288"/>
    <w:rsid w:val="00DC4B5F"/>
    <w:rsid w:val="00DC5995"/>
    <w:rsid w:val="00DD17CC"/>
    <w:rsid w:val="00DD352A"/>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30BE8"/>
    <w:rsid w:val="00E31396"/>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17EE0"/>
    <w:rsid w:val="00F249F1"/>
    <w:rsid w:val="00F25B9D"/>
    <w:rsid w:val="00F25EE5"/>
    <w:rsid w:val="00F2664E"/>
    <w:rsid w:val="00F31B81"/>
    <w:rsid w:val="00F3231D"/>
    <w:rsid w:val="00F354E9"/>
    <w:rsid w:val="00F3740B"/>
    <w:rsid w:val="00F41C74"/>
    <w:rsid w:val="00F47520"/>
    <w:rsid w:val="00F511F5"/>
    <w:rsid w:val="00F541DB"/>
    <w:rsid w:val="00F55C36"/>
    <w:rsid w:val="00F6103A"/>
    <w:rsid w:val="00F63D13"/>
    <w:rsid w:val="00F74F12"/>
    <w:rsid w:val="00F77099"/>
    <w:rsid w:val="00F841F7"/>
    <w:rsid w:val="00F85C27"/>
    <w:rsid w:val="00F90D08"/>
    <w:rsid w:val="00F9122A"/>
    <w:rsid w:val="00F927EA"/>
    <w:rsid w:val="00F970FC"/>
    <w:rsid w:val="00FA04CD"/>
    <w:rsid w:val="00FA44AE"/>
    <w:rsid w:val="00FA4A88"/>
    <w:rsid w:val="00FB0D09"/>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372E"/>
    <w:rPr>
      <w:rFonts w:ascii="Calibri" w:hAnsi="Calibri"/>
      <w:sz w:val="22"/>
      <w:lang w:eastAsia="en-GB"/>
    </w:rPr>
  </w:style>
  <w:style w:type="paragraph" w:styleId="Heading1">
    <w:name w:val="heading 1"/>
    <w:basedOn w:val="Normal"/>
    <w:next w:val="Normal"/>
    <w:link w:val="Heading1Char"/>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customStyle="1" w:styleId="H2">
    <w:name w:val="H2"/>
    <w:basedOn w:val="Normal"/>
    <w:link w:val="H2Char"/>
    <w:qFormat/>
    <w:rsid w:val="00C0020A"/>
    <w:pPr>
      <w:keepNext/>
      <w:keepLines/>
      <w:spacing w:before="240" w:line="259" w:lineRule="auto"/>
      <w:outlineLvl w:val="0"/>
    </w:pPr>
    <w:rPr>
      <w:rFonts w:ascii="Calibri Light" w:hAnsi="Calibri Light"/>
      <w:color w:val="2F5496"/>
      <w:sz w:val="32"/>
      <w:szCs w:val="32"/>
      <w:lang w:eastAsia="en-US"/>
    </w:rPr>
  </w:style>
  <w:style w:type="paragraph" w:customStyle="1" w:styleId="H3">
    <w:name w:val="H3"/>
    <w:basedOn w:val="Normal"/>
    <w:link w:val="H3Char"/>
    <w:qFormat/>
    <w:rsid w:val="00C0020A"/>
    <w:pPr>
      <w:spacing w:after="160" w:line="259" w:lineRule="auto"/>
    </w:pPr>
    <w:rPr>
      <w:rFonts w:ascii="Calibri Light" w:hAnsi="Calibri Light"/>
      <w:color w:val="2F5496"/>
      <w:sz w:val="26"/>
      <w:szCs w:val="26"/>
      <w:lang w:eastAsia="en-US"/>
    </w:rPr>
  </w:style>
  <w:style w:type="character" w:customStyle="1" w:styleId="H2Char">
    <w:name w:val="H2 Char"/>
    <w:basedOn w:val="DefaultParagraphFont"/>
    <w:link w:val="H2"/>
    <w:rsid w:val="00C0020A"/>
    <w:rPr>
      <w:rFonts w:ascii="Calibri Light" w:hAnsi="Calibri Light"/>
      <w:color w:val="2F5496"/>
      <w:sz w:val="32"/>
      <w:szCs w:val="32"/>
    </w:rPr>
  </w:style>
  <w:style w:type="paragraph" w:customStyle="1" w:styleId="CB11">
    <w:name w:val="CB11"/>
    <w:basedOn w:val="Normal"/>
    <w:link w:val="CB11Char"/>
    <w:qFormat/>
    <w:rsid w:val="00C0020A"/>
    <w:pPr>
      <w:spacing w:after="160" w:line="259" w:lineRule="auto"/>
    </w:pPr>
    <w:rPr>
      <w:rFonts w:cs="Calibri"/>
      <w:szCs w:val="22"/>
      <w:lang w:eastAsia="en-US"/>
    </w:rPr>
  </w:style>
  <w:style w:type="character" w:customStyle="1" w:styleId="H3Char">
    <w:name w:val="H3 Char"/>
    <w:basedOn w:val="DefaultParagraphFont"/>
    <w:link w:val="H3"/>
    <w:rsid w:val="00C0020A"/>
    <w:rPr>
      <w:rFonts w:ascii="Calibri Light" w:hAnsi="Calibri Light"/>
      <w:color w:val="2F5496"/>
      <w:sz w:val="26"/>
      <w:szCs w:val="26"/>
    </w:rPr>
  </w:style>
  <w:style w:type="paragraph" w:customStyle="1" w:styleId="H4">
    <w:name w:val="H4"/>
    <w:basedOn w:val="Normal"/>
    <w:link w:val="H4Char"/>
    <w:qFormat/>
    <w:rsid w:val="00C0020A"/>
    <w:pPr>
      <w:keepNext/>
      <w:keepLines/>
      <w:spacing w:before="40" w:line="259" w:lineRule="auto"/>
      <w:outlineLvl w:val="2"/>
    </w:pPr>
    <w:rPr>
      <w:rFonts w:ascii="Calibri Light" w:hAnsi="Calibri Light"/>
      <w:color w:val="1F3763"/>
      <w:sz w:val="24"/>
      <w:szCs w:val="24"/>
      <w:lang w:val="en-US" w:eastAsia="en-US"/>
    </w:rPr>
  </w:style>
  <w:style w:type="character" w:customStyle="1" w:styleId="CB11Char">
    <w:name w:val="CB11 Char"/>
    <w:basedOn w:val="DefaultParagraphFont"/>
    <w:link w:val="CB11"/>
    <w:rsid w:val="00C0020A"/>
    <w:rPr>
      <w:rFonts w:ascii="Calibri" w:hAnsi="Calibri" w:cs="Calibri"/>
      <w:sz w:val="22"/>
      <w:szCs w:val="22"/>
    </w:rPr>
  </w:style>
  <w:style w:type="character" w:styleId="Emphasis">
    <w:name w:val="Emphasis"/>
    <w:basedOn w:val="DefaultParagraphFont"/>
    <w:qFormat/>
    <w:rsid w:val="00B87FBD"/>
    <w:rPr>
      <w:i/>
      <w:iCs/>
    </w:rPr>
  </w:style>
  <w:style w:type="character" w:customStyle="1" w:styleId="H4Char">
    <w:name w:val="H4 Char"/>
    <w:basedOn w:val="DefaultParagraphFont"/>
    <w:link w:val="H4"/>
    <w:rsid w:val="00C0020A"/>
    <w:rPr>
      <w:rFonts w:ascii="Calibri Light" w:hAnsi="Calibri Light"/>
      <w:color w:val="1F3763"/>
      <w:sz w:val="24"/>
      <w:szCs w:val="24"/>
      <w:lang w:val="en-US"/>
    </w:rPr>
  </w:style>
  <w:style w:type="character" w:customStyle="1" w:styleId="Heading1Char">
    <w:name w:val="Heading 1 Char"/>
    <w:basedOn w:val="DefaultParagraphFont"/>
    <w:link w:val="Heading1"/>
    <w:uiPriority w:val="9"/>
    <w:rsid w:val="00987178"/>
    <w:rPr>
      <w:rFonts w:ascii="Calibri" w:hAnsi="Calibri"/>
      <w:b/>
      <w:sz w:val="36"/>
      <w:shd w:val="pct15" w:color="auto" w:fill="auto"/>
      <w:lang w:eastAsia="en-GB"/>
    </w:rPr>
  </w:style>
  <w:style w:type="paragraph" w:styleId="Bibliography">
    <w:name w:val="Bibliography"/>
    <w:basedOn w:val="Normal"/>
    <w:next w:val="Normal"/>
    <w:uiPriority w:val="37"/>
    <w:unhideWhenUsed/>
    <w:rsid w:val="009871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71314981">
      <w:bodyDiv w:val="1"/>
      <w:marLeft w:val="0"/>
      <w:marRight w:val="0"/>
      <w:marTop w:val="0"/>
      <w:marBottom w:val="0"/>
      <w:divBdr>
        <w:top w:val="none" w:sz="0" w:space="0" w:color="auto"/>
        <w:left w:val="none" w:sz="0" w:space="0" w:color="auto"/>
        <w:bottom w:val="none" w:sz="0" w:space="0" w:color="auto"/>
        <w:right w:val="none" w:sz="0" w:space="0" w:color="auto"/>
      </w:divBdr>
    </w:div>
    <w:div w:id="116341169">
      <w:bodyDiv w:val="1"/>
      <w:marLeft w:val="0"/>
      <w:marRight w:val="0"/>
      <w:marTop w:val="0"/>
      <w:marBottom w:val="0"/>
      <w:divBdr>
        <w:top w:val="none" w:sz="0" w:space="0" w:color="auto"/>
        <w:left w:val="none" w:sz="0" w:space="0" w:color="auto"/>
        <w:bottom w:val="none" w:sz="0" w:space="0" w:color="auto"/>
        <w:right w:val="none" w:sz="0" w:space="0" w:color="auto"/>
      </w:divBdr>
    </w:div>
    <w:div w:id="178547548">
      <w:bodyDiv w:val="1"/>
      <w:marLeft w:val="0"/>
      <w:marRight w:val="0"/>
      <w:marTop w:val="0"/>
      <w:marBottom w:val="0"/>
      <w:divBdr>
        <w:top w:val="none" w:sz="0" w:space="0" w:color="auto"/>
        <w:left w:val="none" w:sz="0" w:space="0" w:color="auto"/>
        <w:bottom w:val="none" w:sz="0" w:space="0" w:color="auto"/>
        <w:right w:val="none" w:sz="0" w:space="0" w:color="auto"/>
      </w:divBdr>
    </w:div>
    <w:div w:id="187065333">
      <w:bodyDiv w:val="1"/>
      <w:marLeft w:val="0"/>
      <w:marRight w:val="0"/>
      <w:marTop w:val="0"/>
      <w:marBottom w:val="0"/>
      <w:divBdr>
        <w:top w:val="none" w:sz="0" w:space="0" w:color="auto"/>
        <w:left w:val="none" w:sz="0" w:space="0" w:color="auto"/>
        <w:bottom w:val="none" w:sz="0" w:space="0" w:color="auto"/>
        <w:right w:val="none" w:sz="0" w:space="0" w:color="auto"/>
      </w:divBdr>
    </w:div>
    <w:div w:id="190581663">
      <w:bodyDiv w:val="1"/>
      <w:marLeft w:val="0"/>
      <w:marRight w:val="0"/>
      <w:marTop w:val="0"/>
      <w:marBottom w:val="0"/>
      <w:divBdr>
        <w:top w:val="none" w:sz="0" w:space="0" w:color="auto"/>
        <w:left w:val="none" w:sz="0" w:space="0" w:color="auto"/>
        <w:bottom w:val="none" w:sz="0" w:space="0" w:color="auto"/>
        <w:right w:val="none" w:sz="0" w:space="0" w:color="auto"/>
      </w:divBdr>
    </w:div>
    <w:div w:id="238904803">
      <w:bodyDiv w:val="1"/>
      <w:marLeft w:val="0"/>
      <w:marRight w:val="0"/>
      <w:marTop w:val="0"/>
      <w:marBottom w:val="0"/>
      <w:divBdr>
        <w:top w:val="none" w:sz="0" w:space="0" w:color="auto"/>
        <w:left w:val="none" w:sz="0" w:space="0" w:color="auto"/>
        <w:bottom w:val="none" w:sz="0" w:space="0" w:color="auto"/>
        <w:right w:val="none" w:sz="0" w:space="0" w:color="auto"/>
      </w:divBdr>
    </w:div>
    <w:div w:id="241914261">
      <w:bodyDiv w:val="1"/>
      <w:marLeft w:val="0"/>
      <w:marRight w:val="0"/>
      <w:marTop w:val="0"/>
      <w:marBottom w:val="0"/>
      <w:divBdr>
        <w:top w:val="none" w:sz="0" w:space="0" w:color="auto"/>
        <w:left w:val="none" w:sz="0" w:space="0" w:color="auto"/>
        <w:bottom w:val="none" w:sz="0" w:space="0" w:color="auto"/>
        <w:right w:val="none" w:sz="0" w:space="0" w:color="auto"/>
      </w:divBdr>
    </w:div>
    <w:div w:id="305204953">
      <w:bodyDiv w:val="1"/>
      <w:marLeft w:val="0"/>
      <w:marRight w:val="0"/>
      <w:marTop w:val="0"/>
      <w:marBottom w:val="0"/>
      <w:divBdr>
        <w:top w:val="none" w:sz="0" w:space="0" w:color="auto"/>
        <w:left w:val="none" w:sz="0" w:space="0" w:color="auto"/>
        <w:bottom w:val="none" w:sz="0" w:space="0" w:color="auto"/>
        <w:right w:val="none" w:sz="0" w:space="0" w:color="auto"/>
      </w:divBdr>
    </w:div>
    <w:div w:id="403991438">
      <w:bodyDiv w:val="1"/>
      <w:marLeft w:val="0"/>
      <w:marRight w:val="0"/>
      <w:marTop w:val="0"/>
      <w:marBottom w:val="0"/>
      <w:divBdr>
        <w:top w:val="none" w:sz="0" w:space="0" w:color="auto"/>
        <w:left w:val="none" w:sz="0" w:space="0" w:color="auto"/>
        <w:bottom w:val="none" w:sz="0" w:space="0" w:color="auto"/>
        <w:right w:val="none" w:sz="0" w:space="0" w:color="auto"/>
      </w:divBdr>
    </w:div>
    <w:div w:id="476580508">
      <w:bodyDiv w:val="1"/>
      <w:marLeft w:val="0"/>
      <w:marRight w:val="0"/>
      <w:marTop w:val="0"/>
      <w:marBottom w:val="0"/>
      <w:divBdr>
        <w:top w:val="none" w:sz="0" w:space="0" w:color="auto"/>
        <w:left w:val="none" w:sz="0" w:space="0" w:color="auto"/>
        <w:bottom w:val="none" w:sz="0" w:space="0" w:color="auto"/>
        <w:right w:val="none" w:sz="0" w:space="0" w:color="auto"/>
      </w:divBdr>
    </w:div>
    <w:div w:id="532958140">
      <w:bodyDiv w:val="1"/>
      <w:marLeft w:val="0"/>
      <w:marRight w:val="0"/>
      <w:marTop w:val="0"/>
      <w:marBottom w:val="0"/>
      <w:divBdr>
        <w:top w:val="none" w:sz="0" w:space="0" w:color="auto"/>
        <w:left w:val="none" w:sz="0" w:space="0" w:color="auto"/>
        <w:bottom w:val="none" w:sz="0" w:space="0" w:color="auto"/>
        <w:right w:val="none" w:sz="0" w:space="0" w:color="auto"/>
      </w:divBdr>
    </w:div>
    <w:div w:id="557088069">
      <w:bodyDiv w:val="1"/>
      <w:marLeft w:val="0"/>
      <w:marRight w:val="0"/>
      <w:marTop w:val="0"/>
      <w:marBottom w:val="0"/>
      <w:divBdr>
        <w:top w:val="none" w:sz="0" w:space="0" w:color="auto"/>
        <w:left w:val="none" w:sz="0" w:space="0" w:color="auto"/>
        <w:bottom w:val="none" w:sz="0" w:space="0" w:color="auto"/>
        <w:right w:val="none" w:sz="0" w:space="0" w:color="auto"/>
      </w:divBdr>
    </w:div>
    <w:div w:id="557714683">
      <w:bodyDiv w:val="1"/>
      <w:marLeft w:val="0"/>
      <w:marRight w:val="0"/>
      <w:marTop w:val="0"/>
      <w:marBottom w:val="0"/>
      <w:divBdr>
        <w:top w:val="none" w:sz="0" w:space="0" w:color="auto"/>
        <w:left w:val="none" w:sz="0" w:space="0" w:color="auto"/>
        <w:bottom w:val="none" w:sz="0" w:space="0" w:color="auto"/>
        <w:right w:val="none" w:sz="0" w:space="0" w:color="auto"/>
      </w:divBdr>
    </w:div>
    <w:div w:id="580453741">
      <w:bodyDiv w:val="1"/>
      <w:marLeft w:val="0"/>
      <w:marRight w:val="0"/>
      <w:marTop w:val="0"/>
      <w:marBottom w:val="0"/>
      <w:divBdr>
        <w:top w:val="none" w:sz="0" w:space="0" w:color="auto"/>
        <w:left w:val="none" w:sz="0" w:space="0" w:color="auto"/>
        <w:bottom w:val="none" w:sz="0" w:space="0" w:color="auto"/>
        <w:right w:val="none" w:sz="0" w:space="0" w:color="auto"/>
      </w:divBdr>
    </w:div>
    <w:div w:id="61467425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946234855">
      <w:bodyDiv w:val="1"/>
      <w:marLeft w:val="0"/>
      <w:marRight w:val="0"/>
      <w:marTop w:val="0"/>
      <w:marBottom w:val="0"/>
      <w:divBdr>
        <w:top w:val="none" w:sz="0" w:space="0" w:color="auto"/>
        <w:left w:val="none" w:sz="0" w:space="0" w:color="auto"/>
        <w:bottom w:val="none" w:sz="0" w:space="0" w:color="auto"/>
        <w:right w:val="none" w:sz="0" w:space="0" w:color="auto"/>
      </w:divBdr>
    </w:div>
    <w:div w:id="956135918">
      <w:bodyDiv w:val="1"/>
      <w:marLeft w:val="0"/>
      <w:marRight w:val="0"/>
      <w:marTop w:val="0"/>
      <w:marBottom w:val="0"/>
      <w:divBdr>
        <w:top w:val="none" w:sz="0" w:space="0" w:color="auto"/>
        <w:left w:val="none" w:sz="0" w:space="0" w:color="auto"/>
        <w:bottom w:val="none" w:sz="0" w:space="0" w:color="auto"/>
        <w:right w:val="none" w:sz="0" w:space="0" w:color="auto"/>
      </w:divBdr>
    </w:div>
    <w:div w:id="981275961">
      <w:bodyDiv w:val="1"/>
      <w:marLeft w:val="0"/>
      <w:marRight w:val="0"/>
      <w:marTop w:val="0"/>
      <w:marBottom w:val="0"/>
      <w:divBdr>
        <w:top w:val="none" w:sz="0" w:space="0" w:color="auto"/>
        <w:left w:val="none" w:sz="0" w:space="0" w:color="auto"/>
        <w:bottom w:val="none" w:sz="0" w:space="0" w:color="auto"/>
        <w:right w:val="none" w:sz="0" w:space="0" w:color="auto"/>
      </w:divBdr>
    </w:div>
    <w:div w:id="1040398491">
      <w:bodyDiv w:val="1"/>
      <w:marLeft w:val="0"/>
      <w:marRight w:val="0"/>
      <w:marTop w:val="0"/>
      <w:marBottom w:val="0"/>
      <w:divBdr>
        <w:top w:val="none" w:sz="0" w:space="0" w:color="auto"/>
        <w:left w:val="none" w:sz="0" w:space="0" w:color="auto"/>
        <w:bottom w:val="none" w:sz="0" w:space="0" w:color="auto"/>
        <w:right w:val="none" w:sz="0" w:space="0" w:color="auto"/>
      </w:divBdr>
    </w:div>
    <w:div w:id="1105223741">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196306238">
      <w:bodyDiv w:val="1"/>
      <w:marLeft w:val="0"/>
      <w:marRight w:val="0"/>
      <w:marTop w:val="0"/>
      <w:marBottom w:val="0"/>
      <w:divBdr>
        <w:top w:val="none" w:sz="0" w:space="0" w:color="auto"/>
        <w:left w:val="none" w:sz="0" w:space="0" w:color="auto"/>
        <w:bottom w:val="none" w:sz="0" w:space="0" w:color="auto"/>
        <w:right w:val="none" w:sz="0" w:space="0" w:color="auto"/>
      </w:divBdr>
    </w:div>
    <w:div w:id="1221793866">
      <w:bodyDiv w:val="1"/>
      <w:marLeft w:val="0"/>
      <w:marRight w:val="0"/>
      <w:marTop w:val="0"/>
      <w:marBottom w:val="0"/>
      <w:divBdr>
        <w:top w:val="none" w:sz="0" w:space="0" w:color="auto"/>
        <w:left w:val="none" w:sz="0" w:space="0" w:color="auto"/>
        <w:bottom w:val="none" w:sz="0" w:space="0" w:color="auto"/>
        <w:right w:val="none" w:sz="0" w:space="0" w:color="auto"/>
      </w:divBdr>
    </w:div>
    <w:div w:id="1294629601">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334646626">
      <w:bodyDiv w:val="1"/>
      <w:marLeft w:val="0"/>
      <w:marRight w:val="0"/>
      <w:marTop w:val="0"/>
      <w:marBottom w:val="0"/>
      <w:divBdr>
        <w:top w:val="none" w:sz="0" w:space="0" w:color="auto"/>
        <w:left w:val="none" w:sz="0" w:space="0" w:color="auto"/>
        <w:bottom w:val="none" w:sz="0" w:space="0" w:color="auto"/>
        <w:right w:val="none" w:sz="0" w:space="0" w:color="auto"/>
      </w:divBdr>
    </w:div>
    <w:div w:id="1372652992">
      <w:bodyDiv w:val="1"/>
      <w:marLeft w:val="0"/>
      <w:marRight w:val="0"/>
      <w:marTop w:val="0"/>
      <w:marBottom w:val="0"/>
      <w:divBdr>
        <w:top w:val="none" w:sz="0" w:space="0" w:color="auto"/>
        <w:left w:val="none" w:sz="0" w:space="0" w:color="auto"/>
        <w:bottom w:val="none" w:sz="0" w:space="0" w:color="auto"/>
        <w:right w:val="none" w:sz="0" w:space="0" w:color="auto"/>
      </w:divBdr>
    </w:div>
    <w:div w:id="1375470387">
      <w:bodyDiv w:val="1"/>
      <w:marLeft w:val="0"/>
      <w:marRight w:val="0"/>
      <w:marTop w:val="0"/>
      <w:marBottom w:val="0"/>
      <w:divBdr>
        <w:top w:val="none" w:sz="0" w:space="0" w:color="auto"/>
        <w:left w:val="none" w:sz="0" w:space="0" w:color="auto"/>
        <w:bottom w:val="none" w:sz="0" w:space="0" w:color="auto"/>
        <w:right w:val="none" w:sz="0" w:space="0" w:color="auto"/>
      </w:divBdr>
    </w:div>
    <w:div w:id="1407872911">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42341605">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51790208">
      <w:bodyDiv w:val="1"/>
      <w:marLeft w:val="0"/>
      <w:marRight w:val="0"/>
      <w:marTop w:val="0"/>
      <w:marBottom w:val="0"/>
      <w:divBdr>
        <w:top w:val="none" w:sz="0" w:space="0" w:color="auto"/>
        <w:left w:val="none" w:sz="0" w:space="0" w:color="auto"/>
        <w:bottom w:val="none" w:sz="0" w:space="0" w:color="auto"/>
        <w:right w:val="none" w:sz="0" w:space="0" w:color="auto"/>
      </w:divBdr>
    </w:div>
    <w:div w:id="165741300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723670356">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13324522">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17590093">
      <w:bodyDiv w:val="1"/>
      <w:marLeft w:val="0"/>
      <w:marRight w:val="0"/>
      <w:marTop w:val="0"/>
      <w:marBottom w:val="0"/>
      <w:divBdr>
        <w:top w:val="none" w:sz="0" w:space="0" w:color="auto"/>
        <w:left w:val="none" w:sz="0" w:space="0" w:color="auto"/>
        <w:bottom w:val="none" w:sz="0" w:space="0" w:color="auto"/>
        <w:right w:val="none" w:sz="0" w:space="0" w:color="auto"/>
      </w:divBdr>
    </w:div>
    <w:div w:id="1931506710">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 w:id="1970893710">
      <w:bodyDiv w:val="1"/>
      <w:marLeft w:val="0"/>
      <w:marRight w:val="0"/>
      <w:marTop w:val="0"/>
      <w:marBottom w:val="0"/>
      <w:divBdr>
        <w:top w:val="none" w:sz="0" w:space="0" w:color="auto"/>
        <w:left w:val="none" w:sz="0" w:space="0" w:color="auto"/>
        <w:bottom w:val="none" w:sz="0" w:space="0" w:color="auto"/>
        <w:right w:val="none" w:sz="0" w:space="0" w:color="auto"/>
      </w:divBdr>
    </w:div>
    <w:div w:id="2021662425">
      <w:bodyDiv w:val="1"/>
      <w:marLeft w:val="0"/>
      <w:marRight w:val="0"/>
      <w:marTop w:val="0"/>
      <w:marBottom w:val="0"/>
      <w:divBdr>
        <w:top w:val="none" w:sz="0" w:space="0" w:color="auto"/>
        <w:left w:val="none" w:sz="0" w:space="0" w:color="auto"/>
        <w:bottom w:val="none" w:sz="0" w:space="0" w:color="auto"/>
        <w:right w:val="none" w:sz="0" w:space="0" w:color="auto"/>
      </w:divBdr>
    </w:div>
    <w:div w:id="2107142956">
      <w:bodyDiv w:val="1"/>
      <w:marLeft w:val="0"/>
      <w:marRight w:val="0"/>
      <w:marTop w:val="0"/>
      <w:marBottom w:val="0"/>
      <w:divBdr>
        <w:top w:val="none" w:sz="0" w:space="0" w:color="auto"/>
        <w:left w:val="none" w:sz="0" w:space="0" w:color="auto"/>
        <w:bottom w:val="none" w:sz="0" w:space="0" w:color="auto"/>
        <w:right w:val="none" w:sz="0" w:space="0" w:color="auto"/>
      </w:divBdr>
    </w:div>
    <w:div w:id="21332819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8" ma:contentTypeDescription="Create a new document." ma:contentTypeScope="" ma:versionID="7d322397d2be09b8f53bf6e30b599835">
  <xsd:schema xmlns:xsd="http://www.w3.org/2001/XMLSchema" xmlns:xs="http://www.w3.org/2001/XMLSchema" xmlns:p="http://schemas.microsoft.com/office/2006/metadata/properties" xmlns:ns3="6ce03418-4b85-46e6-9705-46dd5ee7fda4" targetNamespace="http://schemas.microsoft.com/office/2006/metadata/properties" ma:root="true" ma:fieldsID="bcd40257699ea951d926328433edb02c"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Gra17</b:Tag>
    <b:SourceType>Book</b:SourceType>
    <b:Guid>{D9A80AF0-7B60-4E70-B9E4-C8C23CAAD529}</b:Guid>
    <b:Title>IPv6 Fundamentals: A Straightforward Approach to Understanding IPv6, 2nd Edition</b:Title>
    <b:Year>2017</b:Year>
    <b:Month>Oct</b:Month>
    <b:Day>3</b:Day>
    <b:BookTitle>IPv6 Fundamentals: A Straightforward Approach to Understanding IPv6, 2nd Edition</b:BookTitle>
    <b:Publisher>CiscoPress</b:Publisher>
    <b:Author>
      <b:Author>
        <b:NameList>
          <b:Person>
            <b:Last>Graziani</b:Last>
            <b:First>Rick</b:First>
          </b:Person>
        </b:NameList>
      </b:Author>
    </b:Author>
    <b:RefOrder>1</b:RefOrder>
  </b:Source>
  <b:Source>
    <b:Tag>stu16</b:Tag>
    <b:SourceType>InternetSite</b:SourceType>
    <b:Guid>{93F6775F-C5E1-4B7C-A00A-452AAA12C444}</b:Guid>
    <b:Title>IPv6 unique local addresses</b:Title>
    <b:Year>2016</b:Year>
    <b:Author>
      <b:Author>
        <b:Corporate>study-ccna.com</b:Corporate>
      </b:Author>
    </b:Author>
    <b:Month>January</b:Month>
    <b:Day>26</b:Day>
    <b:YearAccessed>2019</b:YearAccessed>
    <b:MonthAccessed>December</b:MonthAccessed>
    <b:DayAccessed>9th</b:DayAccessed>
    <b:URL>https://study-ccna.com/ipv6-unique-local-addresses/</b:URL>
    <b:RefOrder>2</b:RefOrder>
  </b:Source>
  <b:Source>
    <b:Tag>Wil04</b:Tag>
    <b:SourceType>DocumentFromInternetSite</b:SourceType>
    <b:Guid>{09E0E2CF-ABDF-42A2-8FD1-7A17F969343A}</b:Guid>
    <b:Title>Internet Addressing and Routing First Step</b:Title>
    <b:Year>2004</b:Year>
    <b:Month>Novemebr</b:Month>
    <b:Day>5th</b:Day>
    <b:YearAccessed>2019</b:YearAccessed>
    <b:MonthAccessed>December</b:MonthAccessed>
    <b:DayAccessed>2019</b:DayAccessed>
    <b:URL>http://www.ciscopress.com/articles/article.asp?p=348253</b:URL>
    <b:Author>
      <b:Author>
        <b:NameList>
          <b:Person>
            <b:Last>Parkhurst</b:Last>
            <b:First>William</b:First>
            <b:Middle>R.</b:Middle>
          </b:Person>
        </b:NameList>
      </b:Author>
    </b:Author>
    <b:RefOrder>3</b:RefOrder>
  </b:Source>
  <b:Source>
    <b:Tag>Ali08</b:Tag>
    <b:SourceType>InternetSite</b:SourceType>
    <b:Guid>{8B43ACAB-47A0-426E-9A02-75788D2237D2}</b:Guid>
    <b:Title>How a broadcast addresss works</b:Title>
    <b:Year>2008</b:Year>
    <b:Month>Febuary</b:Month>
    <b:Day>13</b:Day>
    <b:YearAccessed>2019</b:YearAccessed>
    <b:MonthAccessed>December</b:MonthAccessed>
    <b:DayAccessed>12</b:DayAccessed>
    <b:URL>https://www.itprc.com/how-a-broadcast-address-works/</b:URL>
    <b:Author>
      <b:Author>
        <b:NameList>
          <b:Person>
            <b:Last>Quine</b:Last>
            <b:First>Alison</b:First>
          </b:Person>
        </b:NameList>
      </b:Author>
    </b:Author>
    <b:ProductionCompany>itprc.com</b:ProductionCompany>
    <b:RefOrder>4</b:RefOrder>
  </b:Source>
</b:Sources>
</file>

<file path=customXml/itemProps1.xml><?xml version="1.0" encoding="utf-8"?>
<ds:datastoreItem xmlns:ds="http://schemas.openxmlformats.org/officeDocument/2006/customXml" ds:itemID="{783EFACC-AE40-4BAF-B399-D98079A86E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5965CA-58D3-4F5D-B375-A890DB2FB2F6}">
  <ds:schemaRefs>
    <ds:schemaRef ds:uri="http://schemas.microsoft.com/sharepoint/v3/contenttype/forms"/>
  </ds:schemaRefs>
</ds:datastoreItem>
</file>

<file path=customXml/itemProps3.xml><?xml version="1.0" encoding="utf-8"?>
<ds:datastoreItem xmlns:ds="http://schemas.openxmlformats.org/officeDocument/2006/customXml" ds:itemID="{E43034DA-3C6A-498C-9A4C-B8E71E01E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7C3651-8206-4B56-B095-B483CFA62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634</TotalTime>
  <Pages>5</Pages>
  <Words>1296</Words>
  <Characters>7391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8670</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Lloyd Willis (NWIS - Core Services)</cp:lastModifiedBy>
  <cp:revision>23</cp:revision>
  <cp:lastPrinted>2014-11-07T14:47:00Z</cp:lastPrinted>
  <dcterms:created xsi:type="dcterms:W3CDTF">2019-12-04T17:34:00Z</dcterms:created>
  <dcterms:modified xsi:type="dcterms:W3CDTF">2019-12-12T22:32:00Z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0x010100BCBCC568AB4B924493790A5C97E2B48C</vt:lpwstr>
  </property>
</Properties>
</file>