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EFD7A" w14:textId="77777777" w:rsidR="009242E6" w:rsidRPr="009242E6" w:rsidRDefault="009242E6" w:rsidP="00615B63">
      <w:pPr>
        <w:spacing w:line="360" w:lineRule="auto"/>
        <w:jc w:val="center"/>
        <w:rPr>
          <w:rFonts w:ascii="Arial" w:hAnsi="Arial" w:cs="Arial"/>
          <w:b/>
          <w:bCs/>
          <w:i/>
          <w:iCs/>
          <w:sz w:val="40"/>
          <w:szCs w:val="40"/>
          <w:u w:val="single"/>
        </w:rPr>
      </w:pPr>
      <w:r w:rsidRPr="009242E6">
        <w:rPr>
          <w:rFonts w:ascii="Arial" w:hAnsi="Arial" w:cs="Arial"/>
          <w:b/>
          <w:bCs/>
          <w:i/>
          <w:iCs/>
          <w:sz w:val="40"/>
          <w:szCs w:val="40"/>
          <w:u w:val="single"/>
        </w:rPr>
        <w:t>BMHP6026 Component 1</w:t>
      </w:r>
    </w:p>
    <w:p w14:paraId="6754AA31" w14:textId="350E977A" w:rsidR="009242E6" w:rsidRPr="009242E6" w:rsidRDefault="009242E6" w:rsidP="00615B63">
      <w:pPr>
        <w:spacing w:line="360" w:lineRule="auto"/>
        <w:jc w:val="center"/>
        <w:rPr>
          <w:rFonts w:ascii="Arial" w:hAnsi="Arial" w:cs="Arial"/>
          <w:b/>
          <w:bCs/>
          <w:i/>
          <w:iCs/>
          <w:sz w:val="40"/>
          <w:szCs w:val="40"/>
          <w:u w:val="single"/>
        </w:rPr>
      </w:pPr>
      <w:r w:rsidRPr="009242E6">
        <w:rPr>
          <w:rFonts w:ascii="Arial" w:hAnsi="Arial" w:cs="Arial"/>
          <w:b/>
          <w:bCs/>
          <w:i/>
          <w:iCs/>
          <w:sz w:val="40"/>
          <w:szCs w:val="40"/>
          <w:u w:val="single"/>
        </w:rPr>
        <w:t>Digital innovation: NHS COVID-19 App</w:t>
      </w:r>
    </w:p>
    <w:p w14:paraId="615337FD" w14:textId="77777777" w:rsidR="009242E6" w:rsidRPr="009242E6" w:rsidRDefault="009242E6" w:rsidP="00615B63">
      <w:pPr>
        <w:spacing w:line="360" w:lineRule="auto"/>
        <w:jc w:val="both"/>
        <w:rPr>
          <w:rFonts w:ascii="Arial" w:hAnsi="Arial" w:cs="Arial"/>
          <w:sz w:val="22"/>
          <w:szCs w:val="22"/>
        </w:rPr>
      </w:pPr>
    </w:p>
    <w:p w14:paraId="68583F1A" w14:textId="77777777" w:rsidR="009242E6" w:rsidRDefault="009242E6" w:rsidP="00615B63">
      <w:pPr>
        <w:spacing w:line="360" w:lineRule="auto"/>
        <w:jc w:val="both"/>
        <w:rPr>
          <w:rFonts w:ascii="Arial" w:hAnsi="Arial" w:cs="Arial"/>
          <w:sz w:val="22"/>
          <w:szCs w:val="22"/>
        </w:rPr>
      </w:pPr>
    </w:p>
    <w:p w14:paraId="2FA89FE2" w14:textId="26292A8D" w:rsidR="009242E6" w:rsidRPr="00637F0F" w:rsidRDefault="00637F0F" w:rsidP="00615B63">
      <w:pPr>
        <w:spacing w:line="360" w:lineRule="auto"/>
        <w:jc w:val="both"/>
        <w:rPr>
          <w:rFonts w:ascii="Arial" w:hAnsi="Arial" w:cs="Arial"/>
          <w:b/>
          <w:bCs/>
          <w:sz w:val="32"/>
          <w:szCs w:val="32"/>
          <w:lang w:val="nl-NL"/>
        </w:rPr>
      </w:pPr>
      <w:r>
        <w:rPr>
          <w:rFonts w:ascii="Arial" w:hAnsi="Arial" w:cs="Arial"/>
          <w:b/>
          <w:bCs/>
          <w:sz w:val="32"/>
          <w:szCs w:val="32"/>
          <w:lang w:val="nl-NL"/>
        </w:rPr>
        <w:t xml:space="preserve">                   </w:t>
      </w:r>
      <w:r w:rsidR="009242E6" w:rsidRPr="00637F0F">
        <w:rPr>
          <w:rFonts w:ascii="Arial" w:hAnsi="Arial" w:cs="Arial"/>
          <w:b/>
          <w:bCs/>
          <w:sz w:val="32"/>
          <w:szCs w:val="32"/>
          <w:lang w:val="nl-NL"/>
        </w:rPr>
        <w:t xml:space="preserve">Student </w:t>
      </w:r>
      <w:proofErr w:type="spellStart"/>
      <w:r w:rsidR="009242E6" w:rsidRPr="00637F0F">
        <w:rPr>
          <w:rFonts w:ascii="Arial" w:hAnsi="Arial" w:cs="Arial"/>
          <w:b/>
          <w:bCs/>
          <w:sz w:val="32"/>
          <w:szCs w:val="32"/>
          <w:lang w:val="nl-NL"/>
        </w:rPr>
        <w:t>Name</w:t>
      </w:r>
      <w:r w:rsidRPr="00637F0F">
        <w:rPr>
          <w:rFonts w:ascii="Arial" w:hAnsi="Arial" w:cs="Arial"/>
          <w:b/>
          <w:bCs/>
          <w:sz w:val="32"/>
          <w:szCs w:val="32"/>
          <w:lang w:val="nl-NL"/>
        </w:rPr>
        <w:t>:Ionela</w:t>
      </w:r>
      <w:proofErr w:type="spellEnd"/>
      <w:r w:rsidRPr="00637F0F">
        <w:rPr>
          <w:rFonts w:ascii="Arial" w:hAnsi="Arial" w:cs="Arial"/>
          <w:b/>
          <w:bCs/>
          <w:sz w:val="32"/>
          <w:szCs w:val="32"/>
          <w:lang w:val="nl-NL"/>
        </w:rPr>
        <w:t xml:space="preserve"> Slavoiu</w:t>
      </w:r>
    </w:p>
    <w:p w14:paraId="150E57B7" w14:textId="00B217C6" w:rsidR="009242E6" w:rsidRPr="00637F0F" w:rsidRDefault="00637F0F" w:rsidP="00615B63">
      <w:pPr>
        <w:spacing w:line="360" w:lineRule="auto"/>
        <w:jc w:val="both"/>
        <w:rPr>
          <w:rFonts w:ascii="Arial" w:hAnsi="Arial" w:cs="Arial"/>
          <w:b/>
          <w:bCs/>
          <w:sz w:val="32"/>
          <w:szCs w:val="32"/>
          <w:lang w:val="nl-NL"/>
        </w:rPr>
      </w:pPr>
      <w:r>
        <w:rPr>
          <w:rFonts w:ascii="Arial" w:hAnsi="Arial" w:cs="Arial"/>
          <w:b/>
          <w:bCs/>
          <w:sz w:val="32"/>
          <w:szCs w:val="32"/>
          <w:lang w:val="nl-NL"/>
        </w:rPr>
        <w:t xml:space="preserve">                   </w:t>
      </w:r>
      <w:r w:rsidR="009242E6" w:rsidRPr="00637F0F">
        <w:rPr>
          <w:rFonts w:ascii="Arial" w:hAnsi="Arial" w:cs="Arial"/>
          <w:b/>
          <w:bCs/>
          <w:sz w:val="32"/>
          <w:szCs w:val="32"/>
          <w:lang w:val="nl-NL"/>
        </w:rPr>
        <w:t>Student ID</w:t>
      </w:r>
      <w:r w:rsidRPr="00637F0F">
        <w:rPr>
          <w:rFonts w:ascii="Arial" w:hAnsi="Arial" w:cs="Arial"/>
          <w:b/>
          <w:bCs/>
          <w:sz w:val="32"/>
          <w:szCs w:val="32"/>
          <w:lang w:val="nl-NL"/>
        </w:rPr>
        <w:t>:2243475</w:t>
      </w:r>
    </w:p>
    <w:p w14:paraId="2812BA13" w14:textId="1DCF0DBE" w:rsidR="009242E6" w:rsidRPr="00637F0F" w:rsidRDefault="009242E6" w:rsidP="00615B63">
      <w:pPr>
        <w:spacing w:line="360" w:lineRule="auto"/>
        <w:jc w:val="both"/>
        <w:rPr>
          <w:rFonts w:ascii="Arial" w:hAnsi="Arial" w:cs="Arial"/>
          <w:sz w:val="22"/>
          <w:szCs w:val="22"/>
          <w:lang w:val="nl-NL"/>
        </w:rPr>
      </w:pPr>
      <w:r w:rsidRPr="00637F0F">
        <w:rPr>
          <w:rFonts w:ascii="Arial" w:hAnsi="Arial" w:cs="Arial"/>
          <w:sz w:val="22"/>
          <w:szCs w:val="22"/>
          <w:lang w:val="nl-NL"/>
        </w:rPr>
        <w:br w:type="page"/>
      </w:r>
    </w:p>
    <w:sdt>
      <w:sdtPr>
        <w:rPr>
          <w:rFonts w:asciiTheme="minorHAnsi" w:eastAsiaTheme="minorHAnsi" w:hAnsiTheme="minorHAnsi" w:cstheme="minorBidi"/>
          <w:color w:val="auto"/>
          <w:kern w:val="2"/>
          <w:sz w:val="24"/>
          <w:szCs w:val="24"/>
          <w14:ligatures w14:val="standardContextual"/>
        </w:rPr>
        <w:id w:val="-1010216089"/>
        <w:docPartObj>
          <w:docPartGallery w:val="Table of Contents"/>
          <w:docPartUnique/>
        </w:docPartObj>
      </w:sdtPr>
      <w:sdtEndPr>
        <w:rPr>
          <w:b/>
          <w:bCs/>
          <w:noProof/>
        </w:rPr>
      </w:sdtEndPr>
      <w:sdtContent>
        <w:p w14:paraId="1126585C" w14:textId="5F6FDFAE" w:rsidR="004E51F2" w:rsidRDefault="004E51F2" w:rsidP="00615B63">
          <w:pPr>
            <w:pStyle w:val="TOCHeading"/>
            <w:spacing w:line="360" w:lineRule="auto"/>
            <w:jc w:val="both"/>
          </w:pPr>
          <w:r>
            <w:t>Table of Contents</w:t>
          </w:r>
        </w:p>
        <w:p w14:paraId="1E5DBFE7" w14:textId="52FCA1C5" w:rsidR="00FF6DBA" w:rsidRDefault="004E51F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1295051" w:history="1">
            <w:r w:rsidR="00FF6DBA" w:rsidRPr="007F62A0">
              <w:rPr>
                <w:rStyle w:val="Hyperlink"/>
                <w:noProof/>
              </w:rPr>
              <w:t>1. Introduction</w:t>
            </w:r>
            <w:r w:rsidR="00FF6DBA">
              <w:rPr>
                <w:noProof/>
                <w:webHidden/>
              </w:rPr>
              <w:tab/>
            </w:r>
            <w:r w:rsidR="00FF6DBA">
              <w:rPr>
                <w:noProof/>
                <w:webHidden/>
              </w:rPr>
              <w:fldChar w:fldCharType="begin"/>
            </w:r>
            <w:r w:rsidR="00FF6DBA">
              <w:rPr>
                <w:noProof/>
                <w:webHidden/>
              </w:rPr>
              <w:instrText xml:space="preserve"> PAGEREF _Toc211295051 \h </w:instrText>
            </w:r>
            <w:r w:rsidR="00FF6DBA">
              <w:rPr>
                <w:noProof/>
                <w:webHidden/>
              </w:rPr>
            </w:r>
            <w:r w:rsidR="00FF6DBA">
              <w:rPr>
                <w:noProof/>
                <w:webHidden/>
              </w:rPr>
              <w:fldChar w:fldCharType="separate"/>
            </w:r>
            <w:r w:rsidR="00FF6DBA">
              <w:rPr>
                <w:noProof/>
                <w:webHidden/>
              </w:rPr>
              <w:t>3</w:t>
            </w:r>
            <w:r w:rsidR="00FF6DBA">
              <w:rPr>
                <w:noProof/>
                <w:webHidden/>
              </w:rPr>
              <w:fldChar w:fldCharType="end"/>
            </w:r>
          </w:hyperlink>
        </w:p>
        <w:p w14:paraId="0D97C422" w14:textId="0CF21D8B" w:rsidR="00FF6DBA" w:rsidRDefault="00FF6DBA">
          <w:pPr>
            <w:pStyle w:val="TOC1"/>
            <w:tabs>
              <w:tab w:val="right" w:leader="dot" w:pos="9350"/>
            </w:tabs>
            <w:rPr>
              <w:rFonts w:eastAsiaTheme="minorEastAsia"/>
              <w:noProof/>
            </w:rPr>
          </w:pPr>
          <w:hyperlink w:anchor="_Toc211295052" w:history="1">
            <w:r w:rsidRPr="007F62A0">
              <w:rPr>
                <w:rStyle w:val="Hyperlink"/>
                <w:noProof/>
              </w:rPr>
              <w:t>2. Impact on Workforce</w:t>
            </w:r>
            <w:r>
              <w:rPr>
                <w:noProof/>
                <w:webHidden/>
              </w:rPr>
              <w:tab/>
            </w:r>
            <w:r>
              <w:rPr>
                <w:noProof/>
                <w:webHidden/>
              </w:rPr>
              <w:fldChar w:fldCharType="begin"/>
            </w:r>
            <w:r>
              <w:rPr>
                <w:noProof/>
                <w:webHidden/>
              </w:rPr>
              <w:instrText xml:space="preserve"> PAGEREF _Toc211295052 \h </w:instrText>
            </w:r>
            <w:r>
              <w:rPr>
                <w:noProof/>
                <w:webHidden/>
              </w:rPr>
            </w:r>
            <w:r>
              <w:rPr>
                <w:noProof/>
                <w:webHidden/>
              </w:rPr>
              <w:fldChar w:fldCharType="separate"/>
            </w:r>
            <w:r>
              <w:rPr>
                <w:noProof/>
                <w:webHidden/>
              </w:rPr>
              <w:t>4</w:t>
            </w:r>
            <w:r>
              <w:rPr>
                <w:noProof/>
                <w:webHidden/>
              </w:rPr>
              <w:fldChar w:fldCharType="end"/>
            </w:r>
          </w:hyperlink>
        </w:p>
        <w:p w14:paraId="124BFD35" w14:textId="7F0859D0" w:rsidR="00FF6DBA" w:rsidRDefault="00FF6DBA">
          <w:pPr>
            <w:pStyle w:val="TOC2"/>
            <w:tabs>
              <w:tab w:val="right" w:leader="dot" w:pos="9350"/>
            </w:tabs>
            <w:rPr>
              <w:rFonts w:eastAsiaTheme="minorEastAsia"/>
              <w:noProof/>
            </w:rPr>
          </w:pPr>
          <w:hyperlink w:anchor="_Toc211295053" w:history="1">
            <w:r w:rsidRPr="007F62A0">
              <w:rPr>
                <w:rStyle w:val="Hyperlink"/>
                <w:noProof/>
              </w:rPr>
              <w:t>2.1 Evolving Roles and Responsibilities</w:t>
            </w:r>
            <w:r>
              <w:rPr>
                <w:noProof/>
                <w:webHidden/>
              </w:rPr>
              <w:tab/>
            </w:r>
            <w:r>
              <w:rPr>
                <w:noProof/>
                <w:webHidden/>
              </w:rPr>
              <w:fldChar w:fldCharType="begin"/>
            </w:r>
            <w:r>
              <w:rPr>
                <w:noProof/>
                <w:webHidden/>
              </w:rPr>
              <w:instrText xml:space="preserve"> PAGEREF _Toc211295053 \h </w:instrText>
            </w:r>
            <w:r>
              <w:rPr>
                <w:noProof/>
                <w:webHidden/>
              </w:rPr>
            </w:r>
            <w:r>
              <w:rPr>
                <w:noProof/>
                <w:webHidden/>
              </w:rPr>
              <w:fldChar w:fldCharType="separate"/>
            </w:r>
            <w:r>
              <w:rPr>
                <w:noProof/>
                <w:webHidden/>
              </w:rPr>
              <w:t>4</w:t>
            </w:r>
            <w:r>
              <w:rPr>
                <w:noProof/>
                <w:webHidden/>
              </w:rPr>
              <w:fldChar w:fldCharType="end"/>
            </w:r>
          </w:hyperlink>
        </w:p>
        <w:p w14:paraId="083D9E38" w14:textId="55A9FEA8" w:rsidR="00FF6DBA" w:rsidRDefault="00FF6DBA">
          <w:pPr>
            <w:pStyle w:val="TOC2"/>
            <w:tabs>
              <w:tab w:val="right" w:leader="dot" w:pos="9350"/>
            </w:tabs>
            <w:rPr>
              <w:rFonts w:eastAsiaTheme="minorEastAsia"/>
              <w:noProof/>
            </w:rPr>
          </w:pPr>
          <w:hyperlink w:anchor="_Toc211295054" w:history="1">
            <w:r w:rsidRPr="007F62A0">
              <w:rPr>
                <w:rStyle w:val="Hyperlink"/>
                <w:noProof/>
              </w:rPr>
              <w:t>2.2 Skills, Training, and Competency Requirements</w:t>
            </w:r>
            <w:r>
              <w:rPr>
                <w:noProof/>
                <w:webHidden/>
              </w:rPr>
              <w:tab/>
            </w:r>
            <w:r>
              <w:rPr>
                <w:noProof/>
                <w:webHidden/>
              </w:rPr>
              <w:fldChar w:fldCharType="begin"/>
            </w:r>
            <w:r>
              <w:rPr>
                <w:noProof/>
                <w:webHidden/>
              </w:rPr>
              <w:instrText xml:space="preserve"> PAGEREF _Toc211295054 \h </w:instrText>
            </w:r>
            <w:r>
              <w:rPr>
                <w:noProof/>
                <w:webHidden/>
              </w:rPr>
            </w:r>
            <w:r>
              <w:rPr>
                <w:noProof/>
                <w:webHidden/>
              </w:rPr>
              <w:fldChar w:fldCharType="separate"/>
            </w:r>
            <w:r>
              <w:rPr>
                <w:noProof/>
                <w:webHidden/>
              </w:rPr>
              <w:t>4</w:t>
            </w:r>
            <w:r>
              <w:rPr>
                <w:noProof/>
                <w:webHidden/>
              </w:rPr>
              <w:fldChar w:fldCharType="end"/>
            </w:r>
          </w:hyperlink>
        </w:p>
        <w:p w14:paraId="3EEB7427" w14:textId="6516F3B2" w:rsidR="00FF6DBA" w:rsidRDefault="00FF6DBA">
          <w:pPr>
            <w:pStyle w:val="TOC2"/>
            <w:tabs>
              <w:tab w:val="right" w:leader="dot" w:pos="9350"/>
            </w:tabs>
            <w:rPr>
              <w:rFonts w:eastAsiaTheme="minorEastAsia"/>
              <w:noProof/>
            </w:rPr>
          </w:pPr>
          <w:hyperlink w:anchor="_Toc211295055" w:history="1">
            <w:r w:rsidRPr="007F62A0">
              <w:rPr>
                <w:rStyle w:val="Hyperlink"/>
                <w:noProof/>
              </w:rPr>
              <w:t>2.3 Benefits and Challenges</w:t>
            </w:r>
            <w:r>
              <w:rPr>
                <w:noProof/>
                <w:webHidden/>
              </w:rPr>
              <w:tab/>
            </w:r>
            <w:r>
              <w:rPr>
                <w:noProof/>
                <w:webHidden/>
              </w:rPr>
              <w:fldChar w:fldCharType="begin"/>
            </w:r>
            <w:r>
              <w:rPr>
                <w:noProof/>
                <w:webHidden/>
              </w:rPr>
              <w:instrText xml:space="preserve"> PAGEREF _Toc211295055 \h </w:instrText>
            </w:r>
            <w:r>
              <w:rPr>
                <w:noProof/>
                <w:webHidden/>
              </w:rPr>
            </w:r>
            <w:r>
              <w:rPr>
                <w:noProof/>
                <w:webHidden/>
              </w:rPr>
              <w:fldChar w:fldCharType="separate"/>
            </w:r>
            <w:r>
              <w:rPr>
                <w:noProof/>
                <w:webHidden/>
              </w:rPr>
              <w:t>6</w:t>
            </w:r>
            <w:r>
              <w:rPr>
                <w:noProof/>
                <w:webHidden/>
              </w:rPr>
              <w:fldChar w:fldCharType="end"/>
            </w:r>
          </w:hyperlink>
        </w:p>
        <w:p w14:paraId="69D3E3A4" w14:textId="75528DF2" w:rsidR="00FF6DBA" w:rsidRDefault="00FF6DBA">
          <w:pPr>
            <w:pStyle w:val="TOC1"/>
            <w:tabs>
              <w:tab w:val="right" w:leader="dot" w:pos="9350"/>
            </w:tabs>
            <w:rPr>
              <w:rFonts w:eastAsiaTheme="minorEastAsia"/>
              <w:noProof/>
            </w:rPr>
          </w:pPr>
          <w:hyperlink w:anchor="_Toc211295056" w:history="1">
            <w:r w:rsidRPr="007F62A0">
              <w:rPr>
                <w:rStyle w:val="Hyperlink"/>
                <w:noProof/>
              </w:rPr>
              <w:t>3. Impact on Community</w:t>
            </w:r>
            <w:r>
              <w:rPr>
                <w:noProof/>
                <w:webHidden/>
              </w:rPr>
              <w:tab/>
            </w:r>
            <w:r>
              <w:rPr>
                <w:noProof/>
                <w:webHidden/>
              </w:rPr>
              <w:fldChar w:fldCharType="begin"/>
            </w:r>
            <w:r>
              <w:rPr>
                <w:noProof/>
                <w:webHidden/>
              </w:rPr>
              <w:instrText xml:space="preserve"> PAGEREF _Toc211295056 \h </w:instrText>
            </w:r>
            <w:r>
              <w:rPr>
                <w:noProof/>
                <w:webHidden/>
              </w:rPr>
            </w:r>
            <w:r>
              <w:rPr>
                <w:noProof/>
                <w:webHidden/>
              </w:rPr>
              <w:fldChar w:fldCharType="separate"/>
            </w:r>
            <w:r>
              <w:rPr>
                <w:noProof/>
                <w:webHidden/>
              </w:rPr>
              <w:t>6</w:t>
            </w:r>
            <w:r>
              <w:rPr>
                <w:noProof/>
                <w:webHidden/>
              </w:rPr>
              <w:fldChar w:fldCharType="end"/>
            </w:r>
          </w:hyperlink>
        </w:p>
        <w:p w14:paraId="00D104DE" w14:textId="0B66A2C6" w:rsidR="00FF6DBA" w:rsidRDefault="00FF6DBA">
          <w:pPr>
            <w:pStyle w:val="TOC2"/>
            <w:tabs>
              <w:tab w:val="right" w:leader="dot" w:pos="9350"/>
            </w:tabs>
            <w:rPr>
              <w:rFonts w:eastAsiaTheme="minorEastAsia"/>
              <w:noProof/>
            </w:rPr>
          </w:pPr>
          <w:hyperlink w:anchor="_Toc211295057" w:history="1">
            <w:r w:rsidRPr="007F62A0">
              <w:rPr>
                <w:rStyle w:val="Hyperlink"/>
                <w:noProof/>
              </w:rPr>
              <w:t>Impact on Rural and Underserved Communities</w:t>
            </w:r>
            <w:r>
              <w:rPr>
                <w:noProof/>
                <w:webHidden/>
              </w:rPr>
              <w:tab/>
            </w:r>
            <w:r>
              <w:rPr>
                <w:noProof/>
                <w:webHidden/>
              </w:rPr>
              <w:fldChar w:fldCharType="begin"/>
            </w:r>
            <w:r>
              <w:rPr>
                <w:noProof/>
                <w:webHidden/>
              </w:rPr>
              <w:instrText xml:space="preserve"> PAGEREF _Toc211295057 \h </w:instrText>
            </w:r>
            <w:r>
              <w:rPr>
                <w:noProof/>
                <w:webHidden/>
              </w:rPr>
            </w:r>
            <w:r>
              <w:rPr>
                <w:noProof/>
                <w:webHidden/>
              </w:rPr>
              <w:fldChar w:fldCharType="separate"/>
            </w:r>
            <w:r>
              <w:rPr>
                <w:noProof/>
                <w:webHidden/>
              </w:rPr>
              <w:t>6</w:t>
            </w:r>
            <w:r>
              <w:rPr>
                <w:noProof/>
                <w:webHidden/>
              </w:rPr>
              <w:fldChar w:fldCharType="end"/>
            </w:r>
          </w:hyperlink>
        </w:p>
        <w:p w14:paraId="6DB4568B" w14:textId="5CB2C677" w:rsidR="00FF6DBA" w:rsidRDefault="00FF6DBA">
          <w:pPr>
            <w:pStyle w:val="TOC2"/>
            <w:tabs>
              <w:tab w:val="right" w:leader="dot" w:pos="9350"/>
            </w:tabs>
            <w:rPr>
              <w:rFonts w:eastAsiaTheme="minorEastAsia"/>
              <w:noProof/>
            </w:rPr>
          </w:pPr>
          <w:hyperlink w:anchor="_Toc211295058" w:history="1">
            <w:r w:rsidRPr="007F62A0">
              <w:rPr>
                <w:rStyle w:val="Hyperlink"/>
                <w:noProof/>
              </w:rPr>
              <w:t>Effect on Families, Carers, and Public Health</w:t>
            </w:r>
            <w:r>
              <w:rPr>
                <w:noProof/>
                <w:webHidden/>
              </w:rPr>
              <w:tab/>
            </w:r>
            <w:r>
              <w:rPr>
                <w:noProof/>
                <w:webHidden/>
              </w:rPr>
              <w:fldChar w:fldCharType="begin"/>
            </w:r>
            <w:r>
              <w:rPr>
                <w:noProof/>
                <w:webHidden/>
              </w:rPr>
              <w:instrText xml:space="preserve"> PAGEREF _Toc211295058 \h </w:instrText>
            </w:r>
            <w:r>
              <w:rPr>
                <w:noProof/>
                <w:webHidden/>
              </w:rPr>
            </w:r>
            <w:r>
              <w:rPr>
                <w:noProof/>
                <w:webHidden/>
              </w:rPr>
              <w:fldChar w:fldCharType="separate"/>
            </w:r>
            <w:r>
              <w:rPr>
                <w:noProof/>
                <w:webHidden/>
              </w:rPr>
              <w:t>7</w:t>
            </w:r>
            <w:r>
              <w:rPr>
                <w:noProof/>
                <w:webHidden/>
              </w:rPr>
              <w:fldChar w:fldCharType="end"/>
            </w:r>
          </w:hyperlink>
        </w:p>
        <w:p w14:paraId="3A68FE8B" w14:textId="05E7DD1B" w:rsidR="00FF6DBA" w:rsidRDefault="00FF6DBA">
          <w:pPr>
            <w:pStyle w:val="TOC2"/>
            <w:tabs>
              <w:tab w:val="right" w:leader="dot" w:pos="9350"/>
            </w:tabs>
            <w:rPr>
              <w:rFonts w:eastAsiaTheme="minorEastAsia"/>
              <w:noProof/>
            </w:rPr>
          </w:pPr>
          <w:hyperlink w:anchor="_Toc211295059" w:history="1">
            <w:r w:rsidRPr="007F62A0">
              <w:rPr>
                <w:rStyle w:val="Hyperlink"/>
                <w:noProof/>
              </w:rPr>
              <w:t>Co-Production and Collaboration Outcomes</w:t>
            </w:r>
            <w:r>
              <w:rPr>
                <w:noProof/>
                <w:webHidden/>
              </w:rPr>
              <w:tab/>
            </w:r>
            <w:r>
              <w:rPr>
                <w:noProof/>
                <w:webHidden/>
              </w:rPr>
              <w:fldChar w:fldCharType="begin"/>
            </w:r>
            <w:r>
              <w:rPr>
                <w:noProof/>
                <w:webHidden/>
              </w:rPr>
              <w:instrText xml:space="preserve"> PAGEREF _Toc211295059 \h </w:instrText>
            </w:r>
            <w:r>
              <w:rPr>
                <w:noProof/>
                <w:webHidden/>
              </w:rPr>
            </w:r>
            <w:r>
              <w:rPr>
                <w:noProof/>
                <w:webHidden/>
              </w:rPr>
              <w:fldChar w:fldCharType="separate"/>
            </w:r>
            <w:r>
              <w:rPr>
                <w:noProof/>
                <w:webHidden/>
              </w:rPr>
              <w:t>7</w:t>
            </w:r>
            <w:r>
              <w:rPr>
                <w:noProof/>
                <w:webHidden/>
              </w:rPr>
              <w:fldChar w:fldCharType="end"/>
            </w:r>
          </w:hyperlink>
        </w:p>
        <w:p w14:paraId="68F9FD06" w14:textId="20E4E862" w:rsidR="00FF6DBA" w:rsidRDefault="00FF6DBA">
          <w:pPr>
            <w:pStyle w:val="TOC2"/>
            <w:tabs>
              <w:tab w:val="right" w:leader="dot" w:pos="9350"/>
            </w:tabs>
            <w:rPr>
              <w:rFonts w:eastAsiaTheme="minorEastAsia"/>
              <w:noProof/>
            </w:rPr>
          </w:pPr>
          <w:hyperlink w:anchor="_Toc211295060" w:history="1">
            <w:r w:rsidRPr="007F62A0">
              <w:rPr>
                <w:rStyle w:val="Hyperlink"/>
                <w:noProof/>
              </w:rPr>
              <w:t>Critical Evaluation of Community Impact</w:t>
            </w:r>
            <w:r>
              <w:rPr>
                <w:noProof/>
                <w:webHidden/>
              </w:rPr>
              <w:tab/>
            </w:r>
            <w:r>
              <w:rPr>
                <w:noProof/>
                <w:webHidden/>
              </w:rPr>
              <w:fldChar w:fldCharType="begin"/>
            </w:r>
            <w:r>
              <w:rPr>
                <w:noProof/>
                <w:webHidden/>
              </w:rPr>
              <w:instrText xml:space="preserve"> PAGEREF _Toc211295060 \h </w:instrText>
            </w:r>
            <w:r>
              <w:rPr>
                <w:noProof/>
                <w:webHidden/>
              </w:rPr>
            </w:r>
            <w:r>
              <w:rPr>
                <w:noProof/>
                <w:webHidden/>
              </w:rPr>
              <w:fldChar w:fldCharType="separate"/>
            </w:r>
            <w:r>
              <w:rPr>
                <w:noProof/>
                <w:webHidden/>
              </w:rPr>
              <w:t>8</w:t>
            </w:r>
            <w:r>
              <w:rPr>
                <w:noProof/>
                <w:webHidden/>
              </w:rPr>
              <w:fldChar w:fldCharType="end"/>
            </w:r>
          </w:hyperlink>
        </w:p>
        <w:p w14:paraId="596CC9E9" w14:textId="727FCFDD" w:rsidR="00FF6DBA" w:rsidRDefault="00FF6DBA">
          <w:pPr>
            <w:pStyle w:val="TOC1"/>
            <w:tabs>
              <w:tab w:val="right" w:leader="dot" w:pos="9350"/>
            </w:tabs>
            <w:rPr>
              <w:rFonts w:eastAsiaTheme="minorEastAsia"/>
              <w:noProof/>
            </w:rPr>
          </w:pPr>
          <w:hyperlink w:anchor="_Toc211295061" w:history="1">
            <w:r w:rsidRPr="007F62A0">
              <w:rPr>
                <w:rStyle w:val="Hyperlink"/>
                <w:noProof/>
              </w:rPr>
              <w:t>4. Conclusion and Recommendations</w:t>
            </w:r>
            <w:r>
              <w:rPr>
                <w:noProof/>
                <w:webHidden/>
              </w:rPr>
              <w:tab/>
            </w:r>
            <w:r>
              <w:rPr>
                <w:noProof/>
                <w:webHidden/>
              </w:rPr>
              <w:fldChar w:fldCharType="begin"/>
            </w:r>
            <w:r>
              <w:rPr>
                <w:noProof/>
                <w:webHidden/>
              </w:rPr>
              <w:instrText xml:space="preserve"> PAGEREF _Toc211295061 \h </w:instrText>
            </w:r>
            <w:r>
              <w:rPr>
                <w:noProof/>
                <w:webHidden/>
              </w:rPr>
            </w:r>
            <w:r>
              <w:rPr>
                <w:noProof/>
                <w:webHidden/>
              </w:rPr>
              <w:fldChar w:fldCharType="separate"/>
            </w:r>
            <w:r>
              <w:rPr>
                <w:noProof/>
                <w:webHidden/>
              </w:rPr>
              <w:t>9</w:t>
            </w:r>
            <w:r>
              <w:rPr>
                <w:noProof/>
                <w:webHidden/>
              </w:rPr>
              <w:fldChar w:fldCharType="end"/>
            </w:r>
          </w:hyperlink>
        </w:p>
        <w:p w14:paraId="3D8ADDB7" w14:textId="02C0E55B" w:rsidR="00FF6DBA" w:rsidRDefault="00FF6DBA">
          <w:pPr>
            <w:pStyle w:val="TOC1"/>
            <w:tabs>
              <w:tab w:val="right" w:leader="dot" w:pos="9350"/>
            </w:tabs>
            <w:rPr>
              <w:rFonts w:eastAsiaTheme="minorEastAsia"/>
              <w:noProof/>
            </w:rPr>
          </w:pPr>
          <w:hyperlink w:anchor="_Toc211295062" w:history="1">
            <w:r w:rsidRPr="007F62A0">
              <w:rPr>
                <w:rStyle w:val="Hyperlink"/>
                <w:noProof/>
              </w:rPr>
              <w:t>References</w:t>
            </w:r>
            <w:r>
              <w:rPr>
                <w:noProof/>
                <w:webHidden/>
              </w:rPr>
              <w:tab/>
            </w:r>
            <w:r>
              <w:rPr>
                <w:noProof/>
                <w:webHidden/>
              </w:rPr>
              <w:fldChar w:fldCharType="begin"/>
            </w:r>
            <w:r>
              <w:rPr>
                <w:noProof/>
                <w:webHidden/>
              </w:rPr>
              <w:instrText xml:space="preserve"> PAGEREF _Toc211295062 \h </w:instrText>
            </w:r>
            <w:r>
              <w:rPr>
                <w:noProof/>
                <w:webHidden/>
              </w:rPr>
            </w:r>
            <w:r>
              <w:rPr>
                <w:noProof/>
                <w:webHidden/>
              </w:rPr>
              <w:fldChar w:fldCharType="separate"/>
            </w:r>
            <w:r>
              <w:rPr>
                <w:noProof/>
                <w:webHidden/>
              </w:rPr>
              <w:t>10</w:t>
            </w:r>
            <w:r>
              <w:rPr>
                <w:noProof/>
                <w:webHidden/>
              </w:rPr>
              <w:fldChar w:fldCharType="end"/>
            </w:r>
          </w:hyperlink>
        </w:p>
        <w:p w14:paraId="07187A39" w14:textId="136888CE" w:rsidR="004E51F2" w:rsidRDefault="004E51F2" w:rsidP="00615B63">
          <w:pPr>
            <w:spacing w:line="360" w:lineRule="auto"/>
            <w:jc w:val="both"/>
          </w:pPr>
          <w:r>
            <w:rPr>
              <w:b/>
              <w:bCs/>
              <w:noProof/>
            </w:rPr>
            <w:fldChar w:fldCharType="end"/>
          </w:r>
        </w:p>
      </w:sdtContent>
    </w:sdt>
    <w:p w14:paraId="5781E878" w14:textId="77777777" w:rsidR="009242E6" w:rsidRDefault="009242E6" w:rsidP="00615B63">
      <w:pPr>
        <w:spacing w:line="360" w:lineRule="auto"/>
        <w:jc w:val="both"/>
        <w:rPr>
          <w:rFonts w:ascii="Arial" w:hAnsi="Arial" w:cs="Arial"/>
          <w:sz w:val="22"/>
          <w:szCs w:val="22"/>
        </w:rPr>
      </w:pPr>
      <w:r>
        <w:rPr>
          <w:rFonts w:ascii="Arial" w:hAnsi="Arial" w:cs="Arial"/>
          <w:sz w:val="22"/>
          <w:szCs w:val="22"/>
        </w:rPr>
        <w:br w:type="page"/>
      </w:r>
    </w:p>
    <w:p w14:paraId="3E53BC0E" w14:textId="28F84528" w:rsidR="009242E6" w:rsidRPr="00B631F8" w:rsidRDefault="009242E6" w:rsidP="00615B63">
      <w:pPr>
        <w:pStyle w:val="Heading1"/>
        <w:spacing w:line="360" w:lineRule="auto"/>
        <w:jc w:val="both"/>
        <w:rPr>
          <w:b w:val="0"/>
          <w:bCs/>
          <w:color w:val="000000" w:themeColor="text1"/>
        </w:rPr>
      </w:pPr>
      <w:bookmarkStart w:id="0" w:name="_Toc211295051"/>
      <w:r w:rsidRPr="00B631F8">
        <w:rPr>
          <w:b w:val="0"/>
          <w:bCs/>
          <w:color w:val="000000" w:themeColor="text1"/>
        </w:rPr>
        <w:lastRenderedPageBreak/>
        <w:t>1. Introduction</w:t>
      </w:r>
      <w:bookmarkEnd w:id="0"/>
      <w:r w:rsidRPr="00B631F8">
        <w:rPr>
          <w:b w:val="0"/>
          <w:bCs/>
          <w:color w:val="000000" w:themeColor="text1"/>
        </w:rPr>
        <w:t xml:space="preserve"> </w:t>
      </w:r>
    </w:p>
    <w:p w14:paraId="02B7B8DC" w14:textId="77777777" w:rsidR="000778D8" w:rsidRPr="000778D8" w:rsidRDefault="009242E6" w:rsidP="000778D8">
      <w:pPr>
        <w:spacing w:line="360" w:lineRule="auto"/>
        <w:jc w:val="both"/>
        <w:rPr>
          <w:rFonts w:ascii="Arial" w:hAnsi="Arial" w:cs="Arial"/>
          <w:sz w:val="22"/>
          <w:szCs w:val="22"/>
        </w:rPr>
      </w:pPr>
      <w:r w:rsidRPr="009242E6">
        <w:rPr>
          <w:rFonts w:ascii="Arial" w:hAnsi="Arial" w:cs="Arial"/>
          <w:sz w:val="22"/>
          <w:szCs w:val="22"/>
        </w:rPr>
        <w:t>The COVID-19 pandemic created an unprecedented public health emergency in the United Kingdom, overwhelming traditional Test and Trace systems and necessitating rapid adoption of digital solutions</w:t>
      </w:r>
      <w:r w:rsidR="00A45093">
        <w:rPr>
          <w:rFonts w:ascii="Arial" w:hAnsi="Arial" w:cs="Arial"/>
          <w:sz w:val="22"/>
          <w:szCs w:val="22"/>
        </w:rPr>
        <w:t xml:space="preserve"> (Wang et al., 2021)</w:t>
      </w:r>
      <w:r w:rsidRPr="009242E6">
        <w:rPr>
          <w:rFonts w:ascii="Arial" w:hAnsi="Arial" w:cs="Arial"/>
          <w:sz w:val="22"/>
          <w:szCs w:val="22"/>
        </w:rPr>
        <w:t>. In response, NHSX and NHS England launched the NHS COVID-19 App in September 2020</w:t>
      </w:r>
      <w:r w:rsidR="00A45093">
        <w:rPr>
          <w:rFonts w:ascii="Arial" w:hAnsi="Arial" w:cs="Arial"/>
          <w:sz w:val="22"/>
          <w:szCs w:val="22"/>
        </w:rPr>
        <w:t xml:space="preserve"> </w:t>
      </w:r>
      <w:r w:rsidRPr="009242E6">
        <w:rPr>
          <w:rFonts w:ascii="Arial" w:hAnsi="Arial" w:cs="Arial"/>
          <w:sz w:val="22"/>
          <w:szCs w:val="22"/>
        </w:rPr>
        <w:t xml:space="preserve">the first national, Bluetooth-based exposure-notification tool designed to support and enhance manual contact tracing efforts. </w:t>
      </w:r>
      <w:r w:rsidR="000778D8" w:rsidRPr="000778D8">
        <w:rPr>
          <w:rFonts w:ascii="Arial" w:hAnsi="Arial" w:cs="Arial"/>
          <w:sz w:val="22"/>
          <w:szCs w:val="22"/>
        </w:rPr>
        <w:t>The main functionality of the App is anonymous Bluetooth closeness recording to recognize potential exposures, QR-codes venue check-ins to be alerted to location, symptom reporting, and inbuilt self-isolation counseling (Kendall et al., 2023). The concepts behind these features are to hasten the process of identifying and notifying close contacts and disrupting transmission chains more successfully than using manual methods alone.</w:t>
      </w:r>
    </w:p>
    <w:p w14:paraId="5EB5D44E" w14:textId="4C7DB0A3" w:rsidR="009242E6" w:rsidRPr="009242E6" w:rsidRDefault="000778D8" w:rsidP="000778D8">
      <w:pPr>
        <w:spacing w:line="360" w:lineRule="auto"/>
        <w:jc w:val="both"/>
        <w:rPr>
          <w:rFonts w:ascii="Arial" w:hAnsi="Arial" w:cs="Arial"/>
          <w:sz w:val="22"/>
          <w:szCs w:val="22"/>
        </w:rPr>
      </w:pPr>
      <w:r w:rsidRPr="000778D8">
        <w:rPr>
          <w:rFonts w:ascii="Arial" w:hAnsi="Arial" w:cs="Arial"/>
          <w:sz w:val="22"/>
          <w:szCs w:val="22"/>
        </w:rPr>
        <w:t>In this report, the effects of the App on two main areas, namely, Workforce and Community, are critically assessed.</w:t>
      </w:r>
      <w:r w:rsidR="009242E6" w:rsidRPr="009242E6">
        <w:rPr>
          <w:rFonts w:ascii="Arial" w:hAnsi="Arial" w:cs="Arial"/>
          <w:sz w:val="22"/>
          <w:szCs w:val="22"/>
        </w:rPr>
        <w:t xml:space="preserve"> First, the analysis explores how the App reshaped public health workforce roles, training requirements, operational efficiencies, and emerging challenges related to data privacy and digital fatigue. </w:t>
      </w:r>
      <w:r w:rsidR="00FF6DBA" w:rsidRPr="00FF6DBA">
        <w:rPr>
          <w:rFonts w:ascii="Arial" w:hAnsi="Arial" w:cs="Arial"/>
          <w:sz w:val="22"/>
          <w:szCs w:val="22"/>
        </w:rPr>
        <w:t>Second, the discussion considers the effects at the community level, such as the engagement of the population and trust and the digital inclusion and equity barrier and co-production patterns that aimed to maximize the usability of App in different populations. The UK-based data, peer-reviewed studies, and government reports in both positive and negative results are supported. In the conclusion, the report provides evidence-based suggestions of how to maintain digital public-health competencies, enhance equitable access, and incorporate digital-health competencies in future workforce and community preparedness plans.</w:t>
      </w:r>
    </w:p>
    <w:p w14:paraId="009EA662" w14:textId="33E07963" w:rsidR="009242E6" w:rsidRDefault="009242E6" w:rsidP="00615B63">
      <w:pPr>
        <w:spacing w:line="360" w:lineRule="auto"/>
        <w:jc w:val="both"/>
        <w:rPr>
          <w:rFonts w:ascii="Arial" w:hAnsi="Arial" w:cs="Arial"/>
          <w:sz w:val="22"/>
          <w:szCs w:val="22"/>
        </w:rPr>
      </w:pPr>
      <w:r>
        <w:rPr>
          <w:rFonts w:ascii="Arial" w:hAnsi="Arial" w:cs="Arial"/>
          <w:sz w:val="22"/>
          <w:szCs w:val="22"/>
        </w:rPr>
        <w:br w:type="page"/>
      </w:r>
    </w:p>
    <w:p w14:paraId="61619C3F" w14:textId="486FAB0C" w:rsidR="009242E6" w:rsidRPr="00B631F8" w:rsidRDefault="009242E6" w:rsidP="00615B63">
      <w:pPr>
        <w:pStyle w:val="Heading1"/>
        <w:spacing w:line="360" w:lineRule="auto"/>
        <w:jc w:val="both"/>
        <w:rPr>
          <w:b w:val="0"/>
          <w:bCs/>
          <w:color w:val="auto"/>
        </w:rPr>
      </w:pPr>
      <w:bookmarkStart w:id="1" w:name="_Toc211295052"/>
      <w:r w:rsidRPr="00B631F8">
        <w:rPr>
          <w:b w:val="0"/>
          <w:bCs/>
          <w:color w:val="auto"/>
        </w:rPr>
        <w:lastRenderedPageBreak/>
        <w:t>2. Impact on Workforce</w:t>
      </w:r>
      <w:bookmarkEnd w:id="1"/>
      <w:r w:rsidRPr="00B631F8">
        <w:rPr>
          <w:b w:val="0"/>
          <w:bCs/>
          <w:color w:val="auto"/>
        </w:rPr>
        <w:t xml:space="preserve"> </w:t>
      </w:r>
    </w:p>
    <w:p w14:paraId="78B401E3" w14:textId="77777777" w:rsidR="009242E6" w:rsidRPr="00073C46" w:rsidRDefault="009242E6" w:rsidP="00615B63">
      <w:pPr>
        <w:pStyle w:val="Heading2"/>
        <w:spacing w:line="360" w:lineRule="auto"/>
        <w:jc w:val="both"/>
        <w:rPr>
          <w:b w:val="0"/>
          <w:bCs/>
          <w:i w:val="0"/>
          <w:iCs/>
          <w:color w:val="auto"/>
          <w:u w:val="none"/>
        </w:rPr>
      </w:pPr>
      <w:bookmarkStart w:id="2" w:name="_Toc211295053"/>
      <w:r w:rsidRPr="00073C46">
        <w:rPr>
          <w:b w:val="0"/>
          <w:bCs/>
          <w:color w:val="auto"/>
          <w:u w:val="none"/>
        </w:rPr>
        <w:t xml:space="preserve">2.1 </w:t>
      </w:r>
      <w:r w:rsidRPr="00073C46">
        <w:rPr>
          <w:b w:val="0"/>
          <w:bCs/>
          <w:i w:val="0"/>
          <w:iCs/>
          <w:color w:val="auto"/>
          <w:u w:val="none"/>
        </w:rPr>
        <w:t>Evolving Roles and Responsibilities</w:t>
      </w:r>
      <w:bookmarkEnd w:id="2"/>
    </w:p>
    <w:p w14:paraId="22AEC24A" w14:textId="77777777" w:rsidR="00BE14C2" w:rsidRDefault="00BE14C2" w:rsidP="00615B63">
      <w:pPr>
        <w:spacing w:line="360" w:lineRule="auto"/>
        <w:jc w:val="both"/>
        <w:rPr>
          <w:rFonts w:ascii="Arial" w:hAnsi="Arial" w:cs="Arial"/>
          <w:sz w:val="22"/>
          <w:szCs w:val="22"/>
        </w:rPr>
      </w:pPr>
      <w:r w:rsidRPr="00BE14C2">
        <w:rPr>
          <w:rFonts w:ascii="Arial" w:hAnsi="Arial" w:cs="Arial"/>
          <w:sz w:val="22"/>
          <w:szCs w:val="22"/>
        </w:rPr>
        <w:t>The introduction of the NHS COVID-19 App led to the introduction of special purpose Digital Contact-Tracing Officer positions in local authority public health teams, which supplements the current number of manual contact tracers (Blasimme et al., 2021). The duties of these officers were to track automated exposure notifications of the App, to organize the notifications depending on the risk threshold, and to organize subsequent communication with contacts who were identified (Bradford et al., 2020). The former use of traditional contact-trace workers who would call contacts through telephone interview was reallocated in support of digital analytics teams.</w:t>
      </w:r>
    </w:p>
    <w:p w14:paraId="2CB96770" w14:textId="25604AF4" w:rsidR="009242E6" w:rsidRPr="009242E6" w:rsidRDefault="009242E6" w:rsidP="00615B63">
      <w:pPr>
        <w:spacing w:line="360" w:lineRule="auto"/>
        <w:jc w:val="both"/>
        <w:rPr>
          <w:rFonts w:ascii="Arial" w:hAnsi="Arial" w:cs="Arial"/>
          <w:sz w:val="22"/>
          <w:szCs w:val="22"/>
        </w:rPr>
      </w:pPr>
      <w:r w:rsidRPr="009242E6">
        <w:rPr>
          <w:rFonts w:ascii="Arial" w:hAnsi="Arial" w:cs="Arial"/>
          <w:sz w:val="22"/>
          <w:szCs w:val="22"/>
        </w:rPr>
        <w:t>In these units, personnel analysed dashboard metrics</w:t>
      </w:r>
      <w:r w:rsidR="00CD1458">
        <w:rPr>
          <w:rFonts w:ascii="Arial" w:hAnsi="Arial" w:cs="Arial"/>
          <w:sz w:val="22"/>
          <w:szCs w:val="22"/>
        </w:rPr>
        <w:t xml:space="preserve"> </w:t>
      </w:r>
      <w:r w:rsidRPr="009242E6">
        <w:rPr>
          <w:rFonts w:ascii="Arial" w:hAnsi="Arial" w:cs="Arial"/>
          <w:sz w:val="22"/>
          <w:szCs w:val="22"/>
        </w:rPr>
        <w:t>such as daily exposure notifications, venue check-in rates, and symptom-reporting trends</w:t>
      </w:r>
      <w:r w:rsidR="00CD1458">
        <w:rPr>
          <w:rFonts w:ascii="Arial" w:hAnsi="Arial" w:cs="Arial"/>
          <w:sz w:val="22"/>
          <w:szCs w:val="22"/>
        </w:rPr>
        <w:t xml:space="preserve"> </w:t>
      </w:r>
      <w:r w:rsidRPr="009242E6">
        <w:rPr>
          <w:rFonts w:ascii="Arial" w:hAnsi="Arial" w:cs="Arial"/>
          <w:sz w:val="22"/>
          <w:szCs w:val="22"/>
        </w:rPr>
        <w:t>to allocate resources strategically and identify emerging hotspot areas requiring targeted interventions</w:t>
      </w:r>
      <w:r w:rsidR="00CD1458">
        <w:rPr>
          <w:rFonts w:ascii="Arial" w:hAnsi="Arial" w:cs="Arial"/>
          <w:sz w:val="22"/>
          <w:szCs w:val="22"/>
        </w:rPr>
        <w:t xml:space="preserve"> (Dowthwaite et al., 2021)</w:t>
      </w:r>
      <w:r w:rsidRPr="009242E6">
        <w:rPr>
          <w:rFonts w:ascii="Arial" w:hAnsi="Arial" w:cs="Arial"/>
          <w:sz w:val="22"/>
          <w:szCs w:val="22"/>
        </w:rPr>
        <w:t>. This transformation enabled Public Health England, later restructured as the UK Health Security Agency, to centralise data oversight functions and shift workforce focus from time-consuming manual outreach to higher-value analytical and strategic tasks.</w:t>
      </w:r>
    </w:p>
    <w:p w14:paraId="314054B8" w14:textId="77777777" w:rsidR="009242E6" w:rsidRPr="00073C46" w:rsidRDefault="009242E6" w:rsidP="00615B63">
      <w:pPr>
        <w:pStyle w:val="Heading2"/>
        <w:spacing w:line="360" w:lineRule="auto"/>
        <w:jc w:val="both"/>
        <w:rPr>
          <w:b w:val="0"/>
          <w:bCs/>
          <w:i w:val="0"/>
          <w:iCs/>
          <w:color w:val="auto"/>
          <w:u w:val="none"/>
        </w:rPr>
      </w:pPr>
      <w:bookmarkStart w:id="3" w:name="_Toc211295054"/>
      <w:r w:rsidRPr="00073C46">
        <w:rPr>
          <w:b w:val="0"/>
          <w:bCs/>
          <w:i w:val="0"/>
          <w:iCs/>
          <w:color w:val="auto"/>
          <w:u w:val="none"/>
        </w:rPr>
        <w:t>2.2 Skills, Training, and Competency Requirements</w:t>
      </w:r>
      <w:bookmarkEnd w:id="3"/>
    </w:p>
    <w:p w14:paraId="49D7EDDF" w14:textId="77777777" w:rsidR="002B4754" w:rsidRPr="002B4754" w:rsidRDefault="002B4754" w:rsidP="00615B63">
      <w:pPr>
        <w:spacing w:line="360" w:lineRule="auto"/>
        <w:jc w:val="both"/>
        <w:rPr>
          <w:rFonts w:ascii="Arial" w:hAnsi="Arial" w:cs="Arial"/>
          <w:sz w:val="22"/>
          <w:szCs w:val="22"/>
        </w:rPr>
      </w:pPr>
      <w:r w:rsidRPr="002B4754">
        <w:rPr>
          <w:rFonts w:ascii="Arial" w:hAnsi="Arial" w:cs="Arial"/>
          <w:sz w:val="22"/>
          <w:szCs w:val="22"/>
        </w:rPr>
        <w:t>The rapid national rollout of the NHS COVID-19 App exposed significant workforce skill gaps and prompted targeted training measures, though detailed quantitative metrics on training completion are not publicly available.</w:t>
      </w:r>
    </w:p>
    <w:p w14:paraId="0F881207" w14:textId="4C466FDB" w:rsidR="002B4754" w:rsidRPr="002B4754" w:rsidRDefault="002B4754" w:rsidP="00615B63">
      <w:pPr>
        <w:spacing w:line="360" w:lineRule="auto"/>
        <w:jc w:val="both"/>
        <w:rPr>
          <w:rFonts w:ascii="Arial" w:hAnsi="Arial" w:cs="Arial"/>
          <w:sz w:val="22"/>
          <w:szCs w:val="22"/>
        </w:rPr>
      </w:pPr>
      <w:r w:rsidRPr="002B4754">
        <w:rPr>
          <w:rFonts w:ascii="Arial" w:hAnsi="Arial" w:cs="Arial"/>
          <w:sz w:val="22"/>
          <w:szCs w:val="22"/>
        </w:rPr>
        <w:t>The National Audit Office reported that, by April 2021, NHS Test and Trace engaged 2,239 external consultants</w:t>
      </w:r>
      <w:r>
        <w:rPr>
          <w:rFonts w:ascii="Arial" w:hAnsi="Arial" w:cs="Arial"/>
          <w:sz w:val="22"/>
          <w:szCs w:val="22"/>
        </w:rPr>
        <w:t xml:space="preserve"> </w:t>
      </w:r>
      <w:r w:rsidRPr="002B4754">
        <w:rPr>
          <w:rFonts w:ascii="Arial" w:hAnsi="Arial" w:cs="Arial"/>
          <w:sz w:val="22"/>
          <w:szCs w:val="22"/>
        </w:rPr>
        <w:t>approximately 45% of centrally managed staff—to meet urgent digital and operational needs, underscoring internal capacity shortfalls in digital expertise</w:t>
      </w:r>
      <w:r>
        <w:rPr>
          <w:rFonts w:ascii="Arial" w:hAnsi="Arial" w:cs="Arial"/>
          <w:sz w:val="22"/>
          <w:szCs w:val="22"/>
        </w:rPr>
        <w:t xml:space="preserve"> (</w:t>
      </w:r>
      <w:r w:rsidRPr="002B4754">
        <w:rPr>
          <w:rFonts w:ascii="Arial" w:hAnsi="Arial" w:cs="Arial"/>
          <w:sz w:val="22"/>
          <w:szCs w:val="22"/>
        </w:rPr>
        <w:t>National Audit Office</w:t>
      </w:r>
      <w:r>
        <w:rPr>
          <w:rFonts w:ascii="Arial" w:hAnsi="Arial" w:cs="Arial"/>
          <w:sz w:val="22"/>
          <w:szCs w:val="22"/>
        </w:rPr>
        <w:t xml:space="preserve">, </w:t>
      </w:r>
      <w:r w:rsidRPr="002B4754">
        <w:rPr>
          <w:rFonts w:ascii="Arial" w:hAnsi="Arial" w:cs="Arial"/>
          <w:sz w:val="22"/>
          <w:szCs w:val="22"/>
        </w:rPr>
        <w:t>2021</w:t>
      </w:r>
      <w:r>
        <w:rPr>
          <w:rFonts w:ascii="Arial" w:hAnsi="Arial" w:cs="Arial"/>
          <w:sz w:val="22"/>
          <w:szCs w:val="22"/>
        </w:rPr>
        <w:t>)</w:t>
      </w:r>
      <w:r w:rsidRPr="002B4754">
        <w:rPr>
          <w:rFonts w:ascii="Arial" w:hAnsi="Arial" w:cs="Arial"/>
          <w:sz w:val="22"/>
          <w:szCs w:val="22"/>
        </w:rPr>
        <w:t>​</w:t>
      </w:r>
    </w:p>
    <w:p w14:paraId="0F2AEDCD" w14:textId="2FEE7EBD" w:rsidR="002B4754" w:rsidRPr="002B4754" w:rsidRDefault="002B4754" w:rsidP="00615B63">
      <w:pPr>
        <w:spacing w:line="360" w:lineRule="auto"/>
        <w:jc w:val="both"/>
        <w:rPr>
          <w:rFonts w:ascii="Arial" w:hAnsi="Arial" w:cs="Arial"/>
          <w:sz w:val="22"/>
          <w:szCs w:val="22"/>
        </w:rPr>
      </w:pPr>
      <w:r w:rsidRPr="002B4754">
        <w:rPr>
          <w:rFonts w:ascii="Arial" w:hAnsi="Arial" w:cs="Arial"/>
          <w:sz w:val="22"/>
          <w:szCs w:val="22"/>
        </w:rPr>
        <w:t>During the Isle of Wight and Newham pilot phases, local Test and Trace teams received “train-the-trainer” sessions led by implementation partners to support app integration, covering core topics such as Bluetooth proximity technology, secure data handling, and use of management dashboards. These sessions aimed to cascade practical skills across regional contact-tracing cohorts, though the evaluation did not report specific uptake or completion rates</w:t>
      </w:r>
      <w:r w:rsidR="007D50C7">
        <w:rPr>
          <w:rFonts w:ascii="Arial" w:hAnsi="Arial" w:cs="Arial"/>
          <w:sz w:val="22"/>
          <w:szCs w:val="22"/>
        </w:rPr>
        <w:t xml:space="preserve"> (Department of Health and Social Care, 2020)</w:t>
      </w:r>
      <w:r w:rsidRPr="002B4754">
        <w:rPr>
          <w:rFonts w:ascii="Arial" w:hAnsi="Arial" w:cs="Arial"/>
          <w:sz w:val="22"/>
          <w:szCs w:val="22"/>
        </w:rPr>
        <w:t>.​</w:t>
      </w:r>
    </w:p>
    <w:p w14:paraId="702F6AF1" w14:textId="77777777" w:rsidR="00D1031B" w:rsidRPr="00D1031B" w:rsidRDefault="002B4754" w:rsidP="00D1031B">
      <w:pPr>
        <w:spacing w:line="360" w:lineRule="auto"/>
        <w:jc w:val="both"/>
        <w:rPr>
          <w:rFonts w:ascii="Arial" w:hAnsi="Arial" w:cs="Arial"/>
          <w:sz w:val="22"/>
          <w:szCs w:val="22"/>
        </w:rPr>
      </w:pPr>
      <w:r w:rsidRPr="002B4754">
        <w:rPr>
          <w:rFonts w:ascii="Arial" w:hAnsi="Arial" w:cs="Arial"/>
          <w:sz w:val="22"/>
          <w:szCs w:val="22"/>
        </w:rPr>
        <w:lastRenderedPageBreak/>
        <w:t xml:space="preserve">A qualitative study of contact-tracing personnel highlighted that initial induction training was often reactive, with staff describing difficulties assimilating frequent protocol and software updates amid high workloads. </w:t>
      </w:r>
      <w:r w:rsidR="00D1031B" w:rsidRPr="00D1031B">
        <w:rPr>
          <w:rFonts w:ascii="Arial" w:hAnsi="Arial" w:cs="Arial"/>
          <w:sz w:val="22"/>
          <w:szCs w:val="22"/>
        </w:rPr>
        <w:t>The participants said that although introductory sessions gave a background of the app features and the principles of data privacy, the refresher support was an inconsistent experience that made it difficult to keep the competencies in line with the system development.</w:t>
      </w:r>
    </w:p>
    <w:p w14:paraId="66268D52" w14:textId="77777777" w:rsidR="00D1031B" w:rsidRPr="00D1031B" w:rsidRDefault="00D1031B" w:rsidP="00D1031B">
      <w:pPr>
        <w:spacing w:line="360" w:lineRule="auto"/>
        <w:jc w:val="both"/>
        <w:rPr>
          <w:rFonts w:ascii="Arial" w:hAnsi="Arial" w:cs="Arial"/>
          <w:sz w:val="22"/>
          <w:szCs w:val="22"/>
        </w:rPr>
      </w:pPr>
      <w:r w:rsidRPr="00D1031B">
        <w:rPr>
          <w:rFonts w:ascii="Arial" w:hAnsi="Arial" w:cs="Arial"/>
          <w:sz w:val="22"/>
          <w:szCs w:val="22"/>
        </w:rPr>
        <w:t>The main competencies that have been identified in these sources are:</w:t>
      </w:r>
    </w:p>
    <w:p w14:paraId="73ACA9A6" w14:textId="0C71972E" w:rsidR="002B4754" w:rsidRPr="002B4754" w:rsidRDefault="00D1031B" w:rsidP="00D1031B">
      <w:pPr>
        <w:spacing w:line="360" w:lineRule="auto"/>
        <w:jc w:val="both"/>
        <w:rPr>
          <w:rFonts w:ascii="Arial" w:hAnsi="Arial" w:cs="Arial"/>
          <w:sz w:val="22"/>
          <w:szCs w:val="22"/>
        </w:rPr>
      </w:pPr>
      <w:r w:rsidRPr="00D1031B">
        <w:rPr>
          <w:rFonts w:ascii="Arial" w:hAnsi="Arial" w:cs="Arial"/>
          <w:b/>
          <w:bCs/>
          <w:sz w:val="22"/>
          <w:szCs w:val="22"/>
        </w:rPr>
        <w:t>Skills in data interpretation:</w:t>
      </w:r>
      <w:r w:rsidRPr="00D1031B">
        <w:rPr>
          <w:rFonts w:ascii="Arial" w:hAnsi="Arial" w:cs="Arial"/>
          <w:sz w:val="22"/>
          <w:szCs w:val="22"/>
        </w:rPr>
        <w:t xml:space="preserve"> Match the data on exposure through Bluetooth to laboratory test results in order to reduce false positives.</w:t>
      </w:r>
    </w:p>
    <w:p w14:paraId="1B12283B" w14:textId="77777777" w:rsidR="00EB4402" w:rsidRDefault="00EB4402" w:rsidP="00D1031B">
      <w:pPr>
        <w:spacing w:line="360" w:lineRule="auto"/>
        <w:jc w:val="both"/>
        <w:rPr>
          <w:rFonts w:ascii="Arial" w:hAnsi="Arial" w:cs="Arial"/>
          <w:b/>
          <w:bCs/>
          <w:sz w:val="22"/>
          <w:szCs w:val="22"/>
        </w:rPr>
      </w:pPr>
      <w:r w:rsidRPr="00EB4402">
        <w:rPr>
          <w:rFonts w:ascii="Arial" w:hAnsi="Arial" w:cs="Arial"/>
          <w:b/>
          <w:bCs/>
          <w:sz w:val="22"/>
          <w:szCs w:val="22"/>
        </w:rPr>
        <w:t xml:space="preserve">Digital-literacy and dashboard navigation: </w:t>
      </w:r>
      <w:r w:rsidRPr="00EB4402">
        <w:rPr>
          <w:rFonts w:ascii="Arial" w:hAnsi="Arial" w:cs="Arial"/>
          <w:sz w:val="22"/>
          <w:szCs w:val="22"/>
        </w:rPr>
        <w:t>The effective use of the interfaces of administrators to access exposure alerts and take measures.</w:t>
      </w:r>
    </w:p>
    <w:p w14:paraId="5E030DF0" w14:textId="745279A8" w:rsidR="00D1031B" w:rsidRPr="00D1031B" w:rsidRDefault="00D1031B" w:rsidP="00D1031B">
      <w:pPr>
        <w:spacing w:line="360" w:lineRule="auto"/>
        <w:jc w:val="both"/>
        <w:rPr>
          <w:rFonts w:ascii="Arial" w:hAnsi="Arial" w:cs="Arial"/>
          <w:sz w:val="22"/>
          <w:szCs w:val="22"/>
        </w:rPr>
      </w:pPr>
      <w:r w:rsidRPr="00D1031B">
        <w:rPr>
          <w:rFonts w:ascii="Arial" w:hAnsi="Arial" w:cs="Arial"/>
          <w:b/>
          <w:bCs/>
          <w:sz w:val="22"/>
          <w:szCs w:val="22"/>
        </w:rPr>
        <w:t xml:space="preserve">Communication and privacy management: </w:t>
      </w:r>
      <w:r w:rsidRPr="00D1031B">
        <w:rPr>
          <w:rFonts w:ascii="Arial" w:hAnsi="Arial" w:cs="Arial"/>
          <w:sz w:val="22"/>
          <w:szCs w:val="22"/>
        </w:rPr>
        <w:t>Properly describing the rationale of notification and data-protection to the users of the service.</w:t>
      </w:r>
    </w:p>
    <w:p w14:paraId="355E6B62" w14:textId="77777777" w:rsidR="00393444" w:rsidRPr="00393444" w:rsidRDefault="00393444" w:rsidP="00393444">
      <w:pPr>
        <w:spacing w:line="360" w:lineRule="auto"/>
        <w:jc w:val="both"/>
        <w:rPr>
          <w:rFonts w:ascii="Arial" w:hAnsi="Arial" w:cs="Arial"/>
          <w:sz w:val="22"/>
          <w:szCs w:val="22"/>
        </w:rPr>
      </w:pPr>
      <w:r w:rsidRPr="00393444">
        <w:rPr>
          <w:rFonts w:ascii="Arial" w:hAnsi="Arial" w:cs="Arial"/>
          <w:sz w:val="22"/>
          <w:szCs w:val="22"/>
        </w:rPr>
        <w:t>In brief, despite the rapid implementation of custom training programs, publicly available information shows that it closed a digital skill gap with the assistance of external specialists, reactionary and not systematic further training, which suggests that a more systematic approach to workforce development planning is applied in the subsequent digital health implementation.</w:t>
      </w:r>
    </w:p>
    <w:p w14:paraId="024A7149" w14:textId="77777777" w:rsidR="00393444" w:rsidRPr="00393444" w:rsidRDefault="00393444" w:rsidP="00393444">
      <w:pPr>
        <w:spacing w:line="360" w:lineRule="auto"/>
        <w:jc w:val="both"/>
        <w:rPr>
          <w:rFonts w:ascii="Arial" w:hAnsi="Arial" w:cs="Arial"/>
          <w:sz w:val="22"/>
          <w:szCs w:val="22"/>
        </w:rPr>
      </w:pPr>
      <w:r w:rsidRPr="00393444">
        <w:rPr>
          <w:rFonts w:ascii="Arial" w:hAnsi="Arial" w:cs="Arial"/>
          <w:sz w:val="22"/>
          <w:szCs w:val="22"/>
        </w:rPr>
        <w:t>The studies on the experience of contact tracing personnel during the pandemic offer information about the training issues which the public health workers experience when delivering the digital contact tracing initiatives (O’Donnell et al., 2024). In-depth analysis of the workings of contact tracing established that the initial training provided to staff consisted of compressed induction training but often staff members needed to continue training to be oriented in the ever-changing digital systems and procedures. The research observed that a high proportion of staff members referred to training as being reactive as opposed to proactive whereby there was regular updating of systems that placed their learning under constant pressure and were not easily absorbed during regular shifts.</w:t>
      </w:r>
    </w:p>
    <w:p w14:paraId="0BFEDB8E" w14:textId="32B8B3A7" w:rsidR="009242E6" w:rsidRPr="009242E6" w:rsidRDefault="00393444" w:rsidP="00393444">
      <w:pPr>
        <w:spacing w:line="360" w:lineRule="auto"/>
        <w:jc w:val="both"/>
        <w:rPr>
          <w:rFonts w:ascii="Arial" w:hAnsi="Arial" w:cs="Arial"/>
          <w:sz w:val="22"/>
          <w:szCs w:val="22"/>
        </w:rPr>
      </w:pPr>
      <w:r w:rsidRPr="00393444">
        <w:rPr>
          <w:rFonts w:ascii="Arial" w:hAnsi="Arial" w:cs="Arial"/>
          <w:sz w:val="22"/>
          <w:szCs w:val="22"/>
        </w:rPr>
        <w:t xml:space="preserve">The NHS Digital Readiness Programme highlighted in the NHS Long Term Workforce Plan highlights the topicality of the implementation of the digital literacy training in every role of the NHS. The programme recognises that effective digital transformation cannot be achieved solely through technical training but also data governance skills, communication skills with users on the use of digital tools, and skills with fast growing capabilities of technology. This wider workforce </w:t>
      </w:r>
      <w:r w:rsidRPr="00393444">
        <w:rPr>
          <w:rFonts w:ascii="Arial" w:hAnsi="Arial" w:cs="Arial"/>
          <w:sz w:val="22"/>
          <w:szCs w:val="22"/>
        </w:rPr>
        <w:lastRenderedPageBreak/>
        <w:t>development project helps to give a background of the training issues faced in the NHS COVID-19 App deploymen</w:t>
      </w:r>
      <w:r>
        <w:rPr>
          <w:rFonts w:ascii="Arial" w:hAnsi="Arial" w:cs="Arial"/>
          <w:sz w:val="22"/>
          <w:szCs w:val="22"/>
        </w:rPr>
        <w:t>t</w:t>
      </w:r>
      <w:r w:rsidRPr="00393444">
        <w:rPr>
          <w:rFonts w:ascii="Arial" w:hAnsi="Arial" w:cs="Arial"/>
          <w:sz w:val="22"/>
          <w:szCs w:val="22"/>
        </w:rPr>
        <w:t>.</w:t>
      </w:r>
    </w:p>
    <w:p w14:paraId="6FBD9B63" w14:textId="48E01369" w:rsidR="00780EC7" w:rsidRPr="006E2C54" w:rsidRDefault="009242E6" w:rsidP="00615B63">
      <w:pPr>
        <w:pStyle w:val="Heading2"/>
        <w:spacing w:line="360" w:lineRule="auto"/>
        <w:jc w:val="both"/>
        <w:rPr>
          <w:i w:val="0"/>
          <w:iCs/>
          <w:color w:val="auto"/>
          <w:u w:val="none"/>
        </w:rPr>
      </w:pPr>
      <w:bookmarkStart w:id="4" w:name="_Toc211295055"/>
      <w:r w:rsidRPr="00706776">
        <w:rPr>
          <w:b w:val="0"/>
          <w:bCs/>
          <w:i w:val="0"/>
          <w:iCs/>
          <w:color w:val="auto"/>
          <w:u w:val="none"/>
        </w:rPr>
        <w:t xml:space="preserve">2.3 </w:t>
      </w:r>
      <w:r w:rsidRPr="006E2C54">
        <w:rPr>
          <w:i w:val="0"/>
          <w:iCs/>
          <w:color w:val="auto"/>
          <w:u w:val="none"/>
        </w:rPr>
        <w:t>Benefits</w:t>
      </w:r>
      <w:r w:rsidR="00780EC7" w:rsidRPr="006E2C54">
        <w:rPr>
          <w:i w:val="0"/>
          <w:iCs/>
          <w:color w:val="auto"/>
          <w:u w:val="none"/>
        </w:rPr>
        <w:t xml:space="preserve"> and Challenges</w:t>
      </w:r>
      <w:bookmarkEnd w:id="4"/>
    </w:p>
    <w:p w14:paraId="441914F4" w14:textId="77777777" w:rsidR="002F74CC" w:rsidRPr="002F74CC" w:rsidRDefault="002F74CC" w:rsidP="002F74CC">
      <w:pPr>
        <w:spacing w:line="360" w:lineRule="auto"/>
        <w:jc w:val="both"/>
        <w:rPr>
          <w:rFonts w:ascii="Arial" w:hAnsi="Arial" w:cs="Arial"/>
          <w:sz w:val="22"/>
          <w:szCs w:val="22"/>
        </w:rPr>
      </w:pPr>
      <w:r w:rsidRPr="002F74CC">
        <w:rPr>
          <w:rFonts w:ascii="Arial" w:hAnsi="Arial" w:cs="Arial"/>
          <w:sz w:val="22"/>
          <w:szCs w:val="22"/>
        </w:rPr>
        <w:t>The app was a significant enhancement in efficiency as it automated exposure alerts allowing faster and less error-prone contact tracing than manual tracing. This minimized the time gap between a positive case test and the notification of the close contacts and thus minimized the duration that the infectious persons could be unaware and cause the virus infection in the workplace. The potential of the technology to identify contacts anonymously without prior knowledge to the index case doubled the extent and accuracy of tracing the disease directly benefiting the workforce safety and continuous operation (Kendall et al., 2023).</w:t>
      </w:r>
    </w:p>
    <w:p w14:paraId="6EE834DB" w14:textId="394EF5D7" w:rsidR="00780EC7" w:rsidRDefault="002F74CC" w:rsidP="002F74CC">
      <w:pPr>
        <w:spacing w:line="360" w:lineRule="auto"/>
        <w:jc w:val="both"/>
        <w:rPr>
          <w:rFonts w:ascii="Arial" w:hAnsi="Arial" w:cs="Arial"/>
          <w:sz w:val="22"/>
          <w:szCs w:val="22"/>
        </w:rPr>
      </w:pPr>
      <w:r w:rsidRPr="002F74CC">
        <w:rPr>
          <w:rFonts w:ascii="Arial" w:hAnsi="Arial" w:cs="Arial"/>
          <w:sz w:val="22"/>
          <w:szCs w:val="22"/>
        </w:rPr>
        <w:t>Although positive, some employees have expressed their resistance to the implementation of the app due to privacy-related reasons, notification overload, and uncertainty about the effectiveness of the app. Alerts, especially when the transmission was intense or the pingdemic, were a common phenomenon, which caused fatigue to adherence to the isolation recommendation.</w:t>
      </w:r>
      <w:r w:rsidR="00780EC7" w:rsidRPr="00780EC7">
        <w:rPr>
          <w:rFonts w:ascii="Arial" w:hAnsi="Arial" w:cs="Arial"/>
          <w:sz w:val="22"/>
          <w:szCs w:val="22"/>
        </w:rPr>
        <w:t xml:space="preserve"> Additionally, initial lack of comprehensive training and variation in digital literacy posed challenges to consistent app usage. Operationally, high rates of self-isolation impacted workforce availability, necessitating contingency planning and flexible staffing to maintain service delivery amidst workforce disruptions (Social Partnership Forum, 2021); (Burdinski et al., 2022).​</w:t>
      </w:r>
    </w:p>
    <w:p w14:paraId="7D4FC88B" w14:textId="2B7B9C48" w:rsidR="009242E6" w:rsidRPr="00B631F8" w:rsidRDefault="009242E6" w:rsidP="00615B63">
      <w:pPr>
        <w:pStyle w:val="Heading1"/>
        <w:spacing w:line="360" w:lineRule="auto"/>
        <w:jc w:val="both"/>
        <w:rPr>
          <w:color w:val="auto"/>
        </w:rPr>
      </w:pPr>
      <w:bookmarkStart w:id="5" w:name="_Toc211295056"/>
      <w:r w:rsidRPr="00B631F8">
        <w:rPr>
          <w:color w:val="auto"/>
        </w:rPr>
        <w:t>3. Impact on Community</w:t>
      </w:r>
      <w:bookmarkEnd w:id="5"/>
      <w:r w:rsidRPr="00B631F8">
        <w:rPr>
          <w:color w:val="auto"/>
        </w:rPr>
        <w:t xml:space="preserve"> </w:t>
      </w:r>
    </w:p>
    <w:p w14:paraId="6DD78B0C" w14:textId="77777777" w:rsidR="003B6AFB" w:rsidRPr="006E2C54" w:rsidRDefault="003B6AFB" w:rsidP="00615B63">
      <w:pPr>
        <w:pStyle w:val="Heading2"/>
        <w:spacing w:line="360" w:lineRule="auto"/>
        <w:rPr>
          <w:i w:val="0"/>
          <w:iCs/>
          <w:color w:val="000000" w:themeColor="text1"/>
          <w:u w:val="none"/>
        </w:rPr>
      </w:pPr>
      <w:bookmarkStart w:id="6" w:name="_Toc211295057"/>
      <w:r w:rsidRPr="006E2C54">
        <w:rPr>
          <w:i w:val="0"/>
          <w:iCs/>
          <w:color w:val="000000" w:themeColor="text1"/>
          <w:u w:val="none"/>
        </w:rPr>
        <w:t>Impact on Rural and Underserved Communities</w:t>
      </w:r>
      <w:bookmarkEnd w:id="6"/>
    </w:p>
    <w:p w14:paraId="0F6E88D9" w14:textId="77777777" w:rsidR="00A7596D" w:rsidRPr="00A7596D" w:rsidRDefault="003B6AFB" w:rsidP="00A7596D">
      <w:pPr>
        <w:spacing w:line="360" w:lineRule="auto"/>
        <w:jc w:val="both"/>
        <w:rPr>
          <w:rFonts w:ascii="Arial" w:hAnsi="Arial" w:cs="Arial"/>
          <w:sz w:val="22"/>
          <w:szCs w:val="22"/>
        </w:rPr>
      </w:pPr>
      <w:r w:rsidRPr="003B6AFB">
        <w:rPr>
          <w:rFonts w:ascii="Arial" w:hAnsi="Arial" w:cs="Arial"/>
          <w:sz w:val="22"/>
          <w:szCs w:val="22"/>
        </w:rPr>
        <w:t>The NHS COVID-19 app was a digital innovation designed to control the spread of COVID-19 through exposure notifications and data-driven public health responses. However, disparities in adoption were apparent across different communities, with rural and socioeconomically deprived populations facing barriers to optimal app use (</w:t>
      </w:r>
      <w:r w:rsidR="00987A16" w:rsidRPr="00987A16">
        <w:rPr>
          <w:rFonts w:ascii="Arial" w:hAnsi="Arial" w:cs="Arial"/>
          <w:sz w:val="22"/>
          <w:szCs w:val="22"/>
        </w:rPr>
        <w:t>Department of Health and Social Care</w:t>
      </w:r>
      <w:r w:rsidR="00987A16">
        <w:rPr>
          <w:rFonts w:ascii="Arial" w:hAnsi="Arial" w:cs="Arial"/>
          <w:sz w:val="22"/>
          <w:szCs w:val="22"/>
        </w:rPr>
        <w:t xml:space="preserve">, </w:t>
      </w:r>
      <w:r w:rsidR="00987A16" w:rsidRPr="00987A16">
        <w:rPr>
          <w:rFonts w:ascii="Arial" w:hAnsi="Arial" w:cs="Arial"/>
          <w:sz w:val="22"/>
          <w:szCs w:val="22"/>
        </w:rPr>
        <w:t>2020</w:t>
      </w:r>
      <w:r w:rsidRPr="003B6AFB">
        <w:rPr>
          <w:rFonts w:ascii="Arial" w:hAnsi="Arial" w:cs="Arial"/>
          <w:sz w:val="22"/>
          <w:szCs w:val="22"/>
        </w:rPr>
        <w:t xml:space="preserve">). </w:t>
      </w:r>
      <w:r w:rsidR="00A7596D" w:rsidRPr="00A7596D">
        <w:rPr>
          <w:rFonts w:ascii="Arial" w:hAnsi="Arial" w:cs="Arial"/>
          <w:sz w:val="22"/>
          <w:szCs w:val="22"/>
        </w:rPr>
        <w:t>These communities tended to lack access to smartphones, and to have poorer connectivity to the internet, and to be less digitally literate, which curtailed the access of these apps and reduced their scope in communities where health disparities were already strong. As a result, the advantages of the app in these groups in terms of transmission reduction were less significant, and digital inclusion strategies specific to each group and community-specific education are required to address this gap (Dowthwaite et al., 2021).</w:t>
      </w:r>
    </w:p>
    <w:p w14:paraId="359C97DC" w14:textId="61E13E8A" w:rsidR="003B6AFB" w:rsidRPr="003B6AFB" w:rsidRDefault="00A7596D" w:rsidP="00A7596D">
      <w:pPr>
        <w:spacing w:line="360" w:lineRule="auto"/>
        <w:jc w:val="both"/>
        <w:rPr>
          <w:rFonts w:ascii="Arial" w:hAnsi="Arial" w:cs="Arial"/>
          <w:sz w:val="22"/>
          <w:szCs w:val="22"/>
        </w:rPr>
      </w:pPr>
      <w:r w:rsidRPr="00A7596D">
        <w:rPr>
          <w:rFonts w:ascii="Arial" w:hAnsi="Arial" w:cs="Arial"/>
          <w:sz w:val="22"/>
          <w:szCs w:val="22"/>
        </w:rPr>
        <w:t>This inequality would only worsen already-existing health inequities; therefore, the challenge of digital exclusion should be a central part of any prospective system of public health digital innovations (NHS England, 2023). The interventions such as provision of digital devices, multilingual support, user simplified instructions and community based trainings have been suggested to enhance uptake and use in the underserved populations.</w:t>
      </w:r>
      <w:r w:rsidR="003B6AFB" w:rsidRPr="003B6AFB">
        <w:rPr>
          <w:rFonts w:ascii="Arial" w:hAnsi="Arial" w:cs="Arial"/>
          <w:sz w:val="22"/>
          <w:szCs w:val="22"/>
        </w:rPr>
        <w:t>​</w:t>
      </w:r>
    </w:p>
    <w:p w14:paraId="24ED8EDB" w14:textId="77777777" w:rsidR="003B6AFB" w:rsidRPr="00B631F8" w:rsidRDefault="003B6AFB" w:rsidP="00615B63">
      <w:pPr>
        <w:pStyle w:val="Heading2"/>
        <w:spacing w:line="360" w:lineRule="auto"/>
        <w:rPr>
          <w:color w:val="000000" w:themeColor="text1"/>
        </w:rPr>
      </w:pPr>
      <w:bookmarkStart w:id="7" w:name="_Toc211295058"/>
      <w:r w:rsidRPr="00B631F8">
        <w:rPr>
          <w:color w:val="000000" w:themeColor="text1"/>
        </w:rPr>
        <w:t>Effect on Families, Carers, and Public Health</w:t>
      </w:r>
      <w:bookmarkEnd w:id="7"/>
    </w:p>
    <w:p w14:paraId="037FDDCB" w14:textId="77777777" w:rsidR="00EB2D28" w:rsidRPr="00EB2D28" w:rsidRDefault="00EB2D28" w:rsidP="00EB2D28">
      <w:pPr>
        <w:spacing w:line="360" w:lineRule="auto"/>
        <w:jc w:val="both"/>
        <w:rPr>
          <w:rFonts w:ascii="Arial" w:hAnsi="Arial" w:cs="Arial"/>
          <w:sz w:val="22"/>
          <w:szCs w:val="22"/>
        </w:rPr>
      </w:pPr>
      <w:r w:rsidRPr="00EB2D28">
        <w:rPr>
          <w:rFonts w:ascii="Arial" w:hAnsi="Arial" w:cs="Arial"/>
          <w:sz w:val="22"/>
          <w:szCs w:val="22"/>
        </w:rPr>
        <w:t>The NHS COVID-19 app offered exposure notifications on families and their carers in a timely manner that aided in the management of COVID-19 risk at household and care facilities. It is also important to note that this functional support was needed especially in families with clinically vulnerable individuals so that they could more rapidly isolate or test and thus lessen potential intra-household infections (Kendall et al., 2023). The digital alert system with the ability to influence safer care delivery practices and raise awareness benefited carers, both informal and formal, and eventually contributed to the protection of some of the most vulnerable citizens of the UK (Onwumere et al., 2021).</w:t>
      </w:r>
    </w:p>
    <w:p w14:paraId="5B6C5903" w14:textId="1CF2CC51" w:rsidR="00EB2D28" w:rsidRPr="00EB2D28" w:rsidRDefault="00007D6E" w:rsidP="00EB2D28">
      <w:pPr>
        <w:spacing w:line="360" w:lineRule="auto"/>
        <w:jc w:val="both"/>
        <w:rPr>
          <w:rFonts w:ascii="Arial" w:hAnsi="Arial" w:cs="Arial"/>
          <w:sz w:val="22"/>
          <w:szCs w:val="22"/>
        </w:rPr>
      </w:pPr>
      <w:r w:rsidRPr="00007D6E">
        <w:rPr>
          <w:rFonts w:ascii="Arial" w:hAnsi="Arial" w:cs="Arial"/>
          <w:sz w:val="22"/>
          <w:szCs w:val="22"/>
        </w:rPr>
        <w:lastRenderedPageBreak/>
        <w:t xml:space="preserve">The app also aided in tracking the health of the people because it was able to report patterns of the exposure and infection more anonymously. </w:t>
      </w:r>
      <w:r w:rsidR="00C91A40" w:rsidRPr="00C91A40">
        <w:rPr>
          <w:rFonts w:ascii="Arial" w:hAnsi="Arial" w:cs="Arial"/>
          <w:sz w:val="22"/>
          <w:szCs w:val="22"/>
        </w:rPr>
        <w:t>This feature advanced epidemiology to deliver specific intervention that can be carried out in local languages such as testing campaigns in new hotspots and policies that will enlighten on the containment of areas (Wymant et al., 2021).</w:t>
      </w:r>
      <w:r w:rsidRPr="00007D6E">
        <w:rPr>
          <w:rFonts w:ascii="Arial" w:hAnsi="Arial" w:cs="Arial"/>
          <w:sz w:val="22"/>
          <w:szCs w:val="22"/>
        </w:rPr>
        <w:t xml:space="preserve"> This anonymous data was paired with the surveillance health networks to support fast, information-driven response to outbreaks, beyond the conventional tactics of contact tracing (Public Health England, 2020).</w:t>
      </w:r>
    </w:p>
    <w:p w14:paraId="640121EE" w14:textId="462F338D" w:rsidR="003B6AFB" w:rsidRPr="003B6AFB" w:rsidRDefault="00EB2D28" w:rsidP="00EB2D28">
      <w:pPr>
        <w:spacing w:line="360" w:lineRule="auto"/>
        <w:jc w:val="both"/>
        <w:rPr>
          <w:rFonts w:ascii="Arial" w:hAnsi="Arial" w:cs="Arial"/>
          <w:sz w:val="22"/>
          <w:szCs w:val="22"/>
        </w:rPr>
      </w:pPr>
      <w:r w:rsidRPr="00EB2D28">
        <w:rPr>
          <w:rFonts w:ascii="Arial" w:hAnsi="Arial" w:cs="Arial"/>
          <w:sz w:val="22"/>
          <w:szCs w:val="22"/>
        </w:rPr>
        <w:t>However, social confidence and digital literacy became an issue, as privacy-related issues and fluctuating familiarity influenced the application adoption. Follow-up and education efforts should continue to sustain interest and guarantee optimum health advantages to the public, more so in diverse and vulnerable groups (Dowthwaite et al., 2021; Panchal et al., 2021).</w:t>
      </w:r>
      <w:r w:rsidR="003B6AFB" w:rsidRPr="003B6AFB">
        <w:rPr>
          <w:rFonts w:ascii="Arial" w:hAnsi="Arial" w:cs="Arial"/>
          <w:sz w:val="22"/>
          <w:szCs w:val="22"/>
        </w:rPr>
        <w:t>​</w:t>
      </w:r>
    </w:p>
    <w:p w14:paraId="2BE0327F" w14:textId="77777777" w:rsidR="003B6AFB" w:rsidRPr="00B631F8" w:rsidRDefault="003B6AFB" w:rsidP="00615B63">
      <w:pPr>
        <w:pStyle w:val="Heading2"/>
        <w:spacing w:line="360" w:lineRule="auto"/>
        <w:rPr>
          <w:color w:val="000000" w:themeColor="text1"/>
        </w:rPr>
      </w:pPr>
      <w:bookmarkStart w:id="8" w:name="_Toc211295059"/>
      <w:r w:rsidRPr="00B631F8">
        <w:rPr>
          <w:color w:val="000000" w:themeColor="text1"/>
        </w:rPr>
        <w:t>Co-Production and Collaboration Outcomes</w:t>
      </w:r>
      <w:bookmarkEnd w:id="8"/>
    </w:p>
    <w:p w14:paraId="31B4B670" w14:textId="77777777" w:rsidR="00EB2D28" w:rsidRPr="00EB2D28" w:rsidRDefault="00EB2D28" w:rsidP="00EB2D28">
      <w:pPr>
        <w:spacing w:line="360" w:lineRule="auto"/>
        <w:jc w:val="both"/>
        <w:rPr>
          <w:rFonts w:ascii="Arial" w:hAnsi="Arial" w:cs="Arial"/>
          <w:sz w:val="22"/>
          <w:szCs w:val="22"/>
        </w:rPr>
      </w:pPr>
      <w:r w:rsidRPr="00EB2D28">
        <w:rPr>
          <w:rFonts w:ascii="Arial" w:hAnsi="Arial" w:cs="Arial"/>
          <w:sz w:val="22"/>
          <w:szCs w:val="22"/>
        </w:rPr>
        <w:t>The development of the app was defined by a co-production method that should have included government agencies, NHS organizations, technology providers, patient groups, and community representatives. This multi-stakeholder approach meant that the features of the app were user-needs-based, privacy was supported, and transparency was also upheld (Public Health England, 2020). User interface design, communication material and support services were informed by input on patient and public involvement groups.</w:t>
      </w:r>
    </w:p>
    <w:p w14:paraId="3AEB076A" w14:textId="6827507D" w:rsidR="003B6AFB" w:rsidRPr="003B6AFB" w:rsidRDefault="00EB2D28" w:rsidP="00EB2D28">
      <w:pPr>
        <w:spacing w:line="360" w:lineRule="auto"/>
        <w:jc w:val="both"/>
        <w:rPr>
          <w:rFonts w:ascii="Arial" w:hAnsi="Arial" w:cs="Arial"/>
          <w:sz w:val="22"/>
          <w:szCs w:val="22"/>
        </w:rPr>
      </w:pPr>
      <w:r w:rsidRPr="00EB2D28">
        <w:rPr>
          <w:rFonts w:ascii="Arial" w:hAnsi="Arial" w:cs="Arial"/>
          <w:sz w:val="22"/>
          <w:szCs w:val="22"/>
        </w:rPr>
        <w:t>Localization of campaigns in communication was conducted on the basis of NHS trusts and other community organizations, which used the existing networks to reach many, thereby promoting adoption. Nevertheless, maintaining user interest in the long term was difficult, and complaints about a reduction in active use many months after the launch led to reports of user collaboration to make messaging changes and enhancements, which is a continual process (Dowthwaite et al., 2021); (NHS England, 2023).</w:t>
      </w:r>
      <w:r w:rsidR="003B6AFB" w:rsidRPr="003B6AFB">
        <w:rPr>
          <w:rFonts w:ascii="Arial" w:hAnsi="Arial" w:cs="Arial"/>
          <w:sz w:val="22"/>
          <w:szCs w:val="22"/>
        </w:rPr>
        <w:t>​</w:t>
      </w:r>
    </w:p>
    <w:p w14:paraId="39456612" w14:textId="77777777" w:rsidR="003B6AFB" w:rsidRPr="00B631F8" w:rsidRDefault="003B6AFB" w:rsidP="00615B63">
      <w:pPr>
        <w:pStyle w:val="Heading2"/>
        <w:spacing w:line="360" w:lineRule="auto"/>
        <w:rPr>
          <w:color w:val="auto"/>
        </w:rPr>
      </w:pPr>
      <w:bookmarkStart w:id="9" w:name="_Toc211295060"/>
      <w:r w:rsidRPr="00B631F8">
        <w:rPr>
          <w:color w:val="auto"/>
        </w:rPr>
        <w:t>Critical Evaluation of Community Impact</w:t>
      </w:r>
      <w:bookmarkEnd w:id="9"/>
    </w:p>
    <w:p w14:paraId="35CCE3AF" w14:textId="77777777" w:rsidR="00372830" w:rsidRPr="00372830" w:rsidRDefault="00720F36" w:rsidP="00372830">
      <w:pPr>
        <w:spacing w:line="360" w:lineRule="auto"/>
        <w:jc w:val="both"/>
        <w:rPr>
          <w:rFonts w:ascii="Arial" w:hAnsi="Arial" w:cs="Arial"/>
          <w:sz w:val="22"/>
          <w:szCs w:val="22"/>
        </w:rPr>
      </w:pPr>
      <w:r w:rsidRPr="00720F36">
        <w:rPr>
          <w:rFonts w:ascii="Arial" w:hAnsi="Arial" w:cs="Arial"/>
          <w:sz w:val="22"/>
          <w:szCs w:val="22"/>
        </w:rPr>
        <w:t xml:space="preserve">In general, the NHS COVID-19 application was a great improvement in the pace and accuracy of community health-related interventions, assisting families, carers, and the public health system with digital resources in dealing with COVID-19. </w:t>
      </w:r>
      <w:r w:rsidR="00372830" w:rsidRPr="00372830">
        <w:rPr>
          <w:rFonts w:ascii="Arial" w:hAnsi="Arial" w:cs="Arial"/>
          <w:sz w:val="22"/>
          <w:szCs w:val="22"/>
        </w:rPr>
        <w:t xml:space="preserve">The application helped to empower individuals by giving them real-time information and effectively done resource location by the health authorities. However, an alternative approach to the embracement of communities showed the </w:t>
      </w:r>
      <w:r w:rsidR="00372830" w:rsidRPr="00372830">
        <w:rPr>
          <w:rFonts w:ascii="Arial" w:hAnsi="Arial" w:cs="Arial"/>
          <w:sz w:val="22"/>
          <w:szCs w:val="22"/>
        </w:rPr>
        <w:lastRenderedPageBreak/>
        <w:t>significance of the all-embracive digital inclusion initiative that would pay attention to the technological, socioeconomic, and cultural-related issues.</w:t>
      </w:r>
    </w:p>
    <w:p w14:paraId="139AC880" w14:textId="326F2B26" w:rsidR="009242E6" w:rsidRDefault="000453D3" w:rsidP="00372830">
      <w:pPr>
        <w:spacing w:line="360" w:lineRule="auto"/>
        <w:jc w:val="both"/>
        <w:rPr>
          <w:rFonts w:ascii="Arial" w:hAnsi="Arial" w:cs="Arial"/>
          <w:sz w:val="22"/>
          <w:szCs w:val="22"/>
        </w:rPr>
      </w:pPr>
      <w:r w:rsidRPr="000453D3">
        <w:rPr>
          <w:rFonts w:ascii="Arial" w:hAnsi="Arial" w:cs="Arial"/>
          <w:sz w:val="22"/>
          <w:szCs w:val="22"/>
        </w:rPr>
        <w:t>It is an experience that brings to the fore the fact that the digital health innovations should be integrated into the larger public health strategies that focus on equity.</w:t>
      </w:r>
      <w:r w:rsidR="00372830" w:rsidRPr="00372830">
        <w:rPr>
          <w:rFonts w:ascii="Arial" w:hAnsi="Arial" w:cs="Arial"/>
          <w:sz w:val="22"/>
          <w:szCs w:val="22"/>
        </w:rPr>
        <w:t xml:space="preserve"> Digital inclusion will be prevented only as a result of investments in infrastructure, education, and community engagement to ensure that the new technologies are helpful to every citizen, including vulnerable ones (NHS England, 2023); (Public Health England, 2020).</w:t>
      </w:r>
      <w:r w:rsidR="009242E6">
        <w:rPr>
          <w:rFonts w:ascii="Arial" w:hAnsi="Arial" w:cs="Arial"/>
          <w:sz w:val="22"/>
          <w:szCs w:val="22"/>
        </w:rPr>
        <w:br w:type="page"/>
      </w:r>
    </w:p>
    <w:p w14:paraId="5C583DF9" w14:textId="0C8BE86C" w:rsidR="009242E6" w:rsidRPr="009242E6" w:rsidRDefault="009242E6" w:rsidP="00615B63">
      <w:pPr>
        <w:pStyle w:val="Heading1"/>
        <w:spacing w:line="360" w:lineRule="auto"/>
        <w:jc w:val="both"/>
      </w:pPr>
      <w:bookmarkStart w:id="10" w:name="_Toc211295061"/>
      <w:r w:rsidRPr="009242E6">
        <w:lastRenderedPageBreak/>
        <w:t xml:space="preserve">4. </w:t>
      </w:r>
      <w:r w:rsidRPr="00B631F8">
        <w:rPr>
          <w:color w:val="auto"/>
        </w:rPr>
        <w:t>Conclusion and Recommendations</w:t>
      </w:r>
      <w:bookmarkEnd w:id="10"/>
      <w:r w:rsidRPr="00B631F8">
        <w:rPr>
          <w:color w:val="auto"/>
        </w:rPr>
        <w:t xml:space="preserve"> </w:t>
      </w:r>
    </w:p>
    <w:p w14:paraId="52C253EC" w14:textId="1FCF0062" w:rsidR="00980991" w:rsidRPr="00980991" w:rsidRDefault="00F55DD2" w:rsidP="00980991">
      <w:pPr>
        <w:spacing w:line="360" w:lineRule="auto"/>
        <w:jc w:val="both"/>
        <w:rPr>
          <w:rFonts w:ascii="Arial" w:hAnsi="Arial" w:cs="Arial"/>
          <w:sz w:val="22"/>
          <w:szCs w:val="22"/>
        </w:rPr>
      </w:pPr>
      <w:r w:rsidRPr="00F55DD2">
        <w:rPr>
          <w:rFonts w:ascii="Arial" w:hAnsi="Arial" w:cs="Arial"/>
          <w:sz w:val="22"/>
          <w:szCs w:val="22"/>
        </w:rPr>
        <w:t>The NHS COVID-19 App is an example of how revolutionary digital innovation can be in the sector work in the field of public health, and it brings forth much more efficiencies to the staff by automating repetitive contact-notification tasks and better opportunities of analysis to manage resources strategically. Simultaneously, it suggested that online sources can be useful in terms of driving up the notification rates and building active communities. Nevertheless, the launch of the App demonstrated some underlying problems: the continued training burden and digital exhaustion of the staff in the public-health sector; the privacy of data in the evolving regulations; and the lack of any changes in digital inequality gaps that hindered the equitable coverage and the lack of trust in the community.</w:t>
      </w:r>
    </w:p>
    <w:p w14:paraId="041A5B35" w14:textId="77777777" w:rsidR="00980991" w:rsidRPr="00980991" w:rsidRDefault="00980991" w:rsidP="00980991">
      <w:pPr>
        <w:spacing w:line="360" w:lineRule="auto"/>
        <w:jc w:val="both"/>
        <w:rPr>
          <w:rFonts w:ascii="Arial" w:hAnsi="Arial" w:cs="Arial"/>
          <w:sz w:val="22"/>
          <w:szCs w:val="22"/>
        </w:rPr>
      </w:pPr>
      <w:r w:rsidRPr="00980991">
        <w:rPr>
          <w:rFonts w:ascii="Arial" w:hAnsi="Arial" w:cs="Arial"/>
          <w:sz w:val="22"/>
          <w:szCs w:val="22"/>
        </w:rPr>
        <w:t>In order to continue learning on the basis of these lessons and support the further development of digital-public-health projects, the following recommendations can be offered:</w:t>
      </w:r>
    </w:p>
    <w:p w14:paraId="0F86367E" w14:textId="12A7B837" w:rsidR="009242E6" w:rsidRPr="009242E6" w:rsidRDefault="00980991" w:rsidP="00980991">
      <w:pPr>
        <w:spacing w:line="360" w:lineRule="auto"/>
        <w:jc w:val="both"/>
        <w:rPr>
          <w:rFonts w:ascii="Arial" w:hAnsi="Arial" w:cs="Arial"/>
          <w:sz w:val="22"/>
          <w:szCs w:val="22"/>
        </w:rPr>
      </w:pPr>
      <w:r w:rsidRPr="00980991">
        <w:rPr>
          <w:rFonts w:ascii="Arial" w:hAnsi="Arial" w:cs="Arial"/>
          <w:sz w:val="22"/>
          <w:szCs w:val="22"/>
        </w:rPr>
        <w:t>Practice: have been established as a permanent Digital Public-Health Unit in local authorities with specialists who are cross-trained to deal in epidemiology, data science, and management of digital platforms. These departments ought to be prepared to respond and coordinate digital resources in case of health crises and regular health awareness efforts.</w:t>
      </w:r>
    </w:p>
    <w:p w14:paraId="341D24BF" w14:textId="464CEEF4" w:rsidR="009242E6" w:rsidRPr="009242E6" w:rsidRDefault="009242E6" w:rsidP="00615B63">
      <w:pPr>
        <w:spacing w:line="360" w:lineRule="auto"/>
        <w:jc w:val="both"/>
        <w:rPr>
          <w:rFonts w:ascii="Arial" w:hAnsi="Arial" w:cs="Arial"/>
          <w:sz w:val="22"/>
          <w:szCs w:val="22"/>
        </w:rPr>
      </w:pPr>
      <w:r w:rsidRPr="00615B63">
        <w:rPr>
          <w:rFonts w:ascii="Arial" w:hAnsi="Arial" w:cs="Arial"/>
          <w:b/>
          <w:bCs/>
          <w:sz w:val="22"/>
          <w:szCs w:val="22"/>
        </w:rPr>
        <w:t>Policy:</w:t>
      </w:r>
      <w:r w:rsidR="00980991">
        <w:rPr>
          <w:rFonts w:ascii="Arial" w:hAnsi="Arial" w:cs="Arial"/>
          <w:b/>
          <w:bCs/>
          <w:sz w:val="22"/>
          <w:szCs w:val="22"/>
        </w:rPr>
        <w:t xml:space="preserve"> </w:t>
      </w:r>
      <w:r w:rsidR="00980991" w:rsidRPr="00980991">
        <w:rPr>
          <w:rFonts w:ascii="Arial" w:hAnsi="Arial" w:cs="Arial"/>
          <w:sz w:val="22"/>
          <w:szCs w:val="22"/>
        </w:rPr>
        <w:t>Find the financing (ring-fenced) of smartphone-provisioning programs of low-income and elderly groups, and cancelling the funding of broadband infrastructure in rural areas to eradicate connectivity issues. Laws Inclusion of accessibility audit in digital-health procurement.</w:t>
      </w:r>
      <w:r w:rsidRPr="009242E6">
        <w:rPr>
          <w:rFonts w:ascii="Arial" w:hAnsi="Arial" w:cs="Arial"/>
          <w:sz w:val="22"/>
          <w:szCs w:val="22"/>
        </w:rPr>
        <w:t>.</w:t>
      </w:r>
    </w:p>
    <w:p w14:paraId="3C788139" w14:textId="54E5F737" w:rsidR="00980991" w:rsidRPr="00980991" w:rsidRDefault="009242E6" w:rsidP="00980991">
      <w:pPr>
        <w:spacing w:line="360" w:lineRule="auto"/>
        <w:jc w:val="both"/>
        <w:rPr>
          <w:rFonts w:ascii="Arial" w:hAnsi="Arial" w:cs="Arial"/>
          <w:sz w:val="22"/>
          <w:szCs w:val="22"/>
        </w:rPr>
      </w:pPr>
      <w:r w:rsidRPr="00615B63">
        <w:rPr>
          <w:rFonts w:ascii="Arial" w:hAnsi="Arial" w:cs="Arial"/>
          <w:b/>
          <w:bCs/>
          <w:sz w:val="22"/>
          <w:szCs w:val="22"/>
        </w:rPr>
        <w:t>Training:</w:t>
      </w:r>
      <w:r w:rsidRPr="009242E6">
        <w:rPr>
          <w:rFonts w:ascii="Arial" w:hAnsi="Arial" w:cs="Arial"/>
          <w:sz w:val="22"/>
          <w:szCs w:val="22"/>
        </w:rPr>
        <w:t xml:space="preserve"> </w:t>
      </w:r>
      <w:r w:rsidR="00980991" w:rsidRPr="00980991">
        <w:rPr>
          <w:rFonts w:ascii="Arial" w:hAnsi="Arial" w:cs="Arial"/>
          <w:sz w:val="22"/>
          <w:szCs w:val="22"/>
        </w:rPr>
        <w:t xml:space="preserve">Educate the main Public Health core modules on digital-health skills, and take mandatory annual refresher courses in emerging technologies and systems of data-governance. </w:t>
      </w:r>
      <w:r w:rsidRPr="009242E6">
        <w:rPr>
          <w:rFonts w:ascii="Arial" w:hAnsi="Arial" w:cs="Arial"/>
          <w:sz w:val="22"/>
          <w:szCs w:val="22"/>
        </w:rPr>
        <w:t xml:space="preserve">. </w:t>
      </w:r>
      <w:r w:rsidR="00980991" w:rsidRPr="00980991">
        <w:rPr>
          <w:rFonts w:ascii="Arial" w:hAnsi="Arial" w:cs="Arial"/>
          <w:sz w:val="22"/>
          <w:szCs w:val="22"/>
        </w:rPr>
        <w:t>Establish increased micro-credential modules that can be used to facilitate ongoing professional growth.</w:t>
      </w:r>
    </w:p>
    <w:p w14:paraId="76024896" w14:textId="77777777" w:rsidR="00980991" w:rsidRPr="00980991" w:rsidRDefault="00980991" w:rsidP="00980991">
      <w:pPr>
        <w:spacing w:line="360" w:lineRule="auto"/>
        <w:jc w:val="both"/>
        <w:rPr>
          <w:rFonts w:ascii="Arial" w:hAnsi="Arial" w:cs="Arial"/>
          <w:sz w:val="22"/>
          <w:szCs w:val="22"/>
        </w:rPr>
      </w:pPr>
      <w:r w:rsidRPr="00980991">
        <w:rPr>
          <w:rFonts w:ascii="Arial" w:hAnsi="Arial" w:cs="Arial"/>
          <w:sz w:val="22"/>
          <w:szCs w:val="22"/>
        </w:rPr>
        <w:t>Community Engagement: This is an expansion of the role of permanent Digital Ambassador network past pandemic response to facilitate digital inclusion in vaccination initiatives, preventive screenings, and long term condition management. Created joint ventures with community, faith, and voluntary organisations to jointly create culturally and linguistically sensitive communications.</w:t>
      </w:r>
    </w:p>
    <w:p w14:paraId="45491767" w14:textId="50A79D60" w:rsidR="004E51F2" w:rsidRDefault="00980991" w:rsidP="00980991">
      <w:pPr>
        <w:spacing w:line="360" w:lineRule="auto"/>
        <w:jc w:val="both"/>
        <w:rPr>
          <w:rFonts w:ascii="Arial" w:hAnsi="Arial" w:cs="Arial"/>
          <w:sz w:val="22"/>
          <w:szCs w:val="22"/>
        </w:rPr>
      </w:pPr>
      <w:r w:rsidRPr="00980991">
        <w:rPr>
          <w:rFonts w:ascii="Arial" w:hAnsi="Arial" w:cs="Arial"/>
          <w:sz w:val="22"/>
          <w:szCs w:val="22"/>
        </w:rPr>
        <w:t>These actions will strengthen workforce digital capacity, close equity gaps, and make sure that the fast innovations prompted by the pandemic are transformed into the long-term changes in the UK health and social care.</w:t>
      </w:r>
      <w:r w:rsidR="009242E6" w:rsidRPr="009242E6">
        <w:rPr>
          <w:rFonts w:ascii="Arial" w:hAnsi="Arial" w:cs="Arial"/>
          <w:sz w:val="22"/>
          <w:szCs w:val="22"/>
        </w:rPr>
        <w:t>.</w:t>
      </w:r>
    </w:p>
    <w:p w14:paraId="579EA75B" w14:textId="2072CA1C" w:rsidR="009242E6" w:rsidRPr="00F76A2F" w:rsidRDefault="004E51F2" w:rsidP="00615B63">
      <w:pPr>
        <w:pStyle w:val="Heading1"/>
        <w:spacing w:line="360" w:lineRule="auto"/>
        <w:jc w:val="both"/>
        <w:rPr>
          <w:color w:val="000000" w:themeColor="text1"/>
        </w:rPr>
      </w:pPr>
      <w:bookmarkStart w:id="11" w:name="_Toc211295062"/>
      <w:r w:rsidRPr="00F76A2F">
        <w:rPr>
          <w:color w:val="000000" w:themeColor="text1"/>
        </w:rPr>
        <w:lastRenderedPageBreak/>
        <w:t>References</w:t>
      </w:r>
      <w:bookmarkEnd w:id="11"/>
    </w:p>
    <w:p w14:paraId="261BF6B3" w14:textId="19D3EA46" w:rsidR="00015EDA"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Blasimme, A., Ferretti, A. and Vayena, E. (2021) </w:t>
      </w:r>
      <w:r w:rsidRPr="00F76A2F">
        <w:rPr>
          <w:rStyle w:val="Emphasis"/>
          <w:rFonts w:ascii="Arial" w:eastAsiaTheme="majorEastAsia" w:hAnsi="Arial" w:cs="Arial"/>
          <w:sz w:val="22"/>
          <w:szCs w:val="22"/>
        </w:rPr>
        <w:t>Digital contact tracing against COVID-19 in Europe: current features and ongoing developments.</w:t>
      </w:r>
      <w:r w:rsidRPr="00F76A2F">
        <w:rPr>
          <w:rFonts w:ascii="Arial" w:hAnsi="Arial" w:cs="Arial"/>
          <w:sz w:val="22"/>
          <w:szCs w:val="22"/>
        </w:rPr>
        <w:t xml:space="preserve"> </w:t>
      </w:r>
      <w:r w:rsidRPr="00F76A2F">
        <w:rPr>
          <w:rStyle w:val="Emphasis"/>
          <w:rFonts w:ascii="Arial" w:eastAsiaTheme="majorEastAsia" w:hAnsi="Arial" w:cs="Arial"/>
          <w:sz w:val="22"/>
          <w:szCs w:val="22"/>
        </w:rPr>
        <w:t>Frontiers in Digital Health,</w:t>
      </w:r>
      <w:r w:rsidRPr="00F76A2F">
        <w:rPr>
          <w:rFonts w:ascii="Arial" w:hAnsi="Arial" w:cs="Arial"/>
          <w:sz w:val="22"/>
          <w:szCs w:val="22"/>
        </w:rPr>
        <w:t xml:space="preserve"> 3, p. 660823. Available at: </w:t>
      </w:r>
      <w:hyperlink r:id="rId7" w:tgtFrame="_new" w:history="1">
        <w:r w:rsidRPr="00F76A2F">
          <w:rPr>
            <w:rStyle w:val="Hyperlink"/>
            <w:rFonts w:ascii="Arial" w:eastAsiaTheme="majorEastAsia" w:hAnsi="Arial" w:cs="Arial"/>
            <w:sz w:val="22"/>
            <w:szCs w:val="22"/>
          </w:rPr>
          <w:t>https://www.frontiersin.org/journals/digital-health/articles/10.3389/fdgth.2021.660823/pdf</w:t>
        </w:r>
      </w:hyperlink>
      <w:r w:rsidRPr="00F76A2F">
        <w:rPr>
          <w:rFonts w:ascii="Arial" w:hAnsi="Arial" w:cs="Arial"/>
          <w:sz w:val="22"/>
          <w:szCs w:val="22"/>
        </w:rPr>
        <w:t xml:space="preserve"> (Accessed: 14 October 2025).</w:t>
      </w:r>
    </w:p>
    <w:p w14:paraId="440BB907"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Burdinski, A. </w:t>
      </w:r>
      <w:r w:rsidRPr="00F76A2F">
        <w:rPr>
          <w:rStyle w:val="Emphasis"/>
          <w:rFonts w:ascii="Arial" w:eastAsiaTheme="majorEastAsia" w:hAnsi="Arial" w:cs="Arial"/>
          <w:sz w:val="22"/>
          <w:szCs w:val="22"/>
        </w:rPr>
        <w:t>et al.</w:t>
      </w:r>
      <w:r w:rsidRPr="00F76A2F">
        <w:rPr>
          <w:rFonts w:ascii="Arial" w:hAnsi="Arial" w:cs="Arial"/>
          <w:sz w:val="22"/>
          <w:szCs w:val="22"/>
        </w:rPr>
        <w:t xml:space="preserve"> (2022) </w:t>
      </w:r>
      <w:r w:rsidRPr="00F76A2F">
        <w:rPr>
          <w:rStyle w:val="Emphasis"/>
          <w:rFonts w:ascii="Arial" w:eastAsiaTheme="majorEastAsia" w:hAnsi="Arial" w:cs="Arial"/>
          <w:sz w:val="22"/>
          <w:szCs w:val="22"/>
        </w:rPr>
        <w:t>Understanding the impact of digital contact tracing during the COVID-19 pandemic.</w:t>
      </w:r>
      <w:r w:rsidRPr="00F76A2F">
        <w:rPr>
          <w:rFonts w:ascii="Arial" w:hAnsi="Arial" w:cs="Arial"/>
          <w:sz w:val="22"/>
          <w:szCs w:val="22"/>
        </w:rPr>
        <w:t xml:space="preserve"> </w:t>
      </w:r>
      <w:r w:rsidRPr="00F76A2F">
        <w:rPr>
          <w:rStyle w:val="Emphasis"/>
          <w:rFonts w:ascii="Arial" w:eastAsiaTheme="majorEastAsia" w:hAnsi="Arial" w:cs="Arial"/>
          <w:sz w:val="22"/>
          <w:szCs w:val="22"/>
        </w:rPr>
        <w:t>PLOS Digital Health,</w:t>
      </w:r>
      <w:r w:rsidRPr="00F76A2F">
        <w:rPr>
          <w:rFonts w:ascii="Arial" w:hAnsi="Arial" w:cs="Arial"/>
          <w:sz w:val="22"/>
          <w:szCs w:val="22"/>
        </w:rPr>
        <w:t xml:space="preserve"> 1(12), e0000149. Available at: </w:t>
      </w:r>
      <w:hyperlink r:id="rId8" w:tgtFrame="_new" w:history="1">
        <w:r w:rsidRPr="00F76A2F">
          <w:rPr>
            <w:rStyle w:val="Hyperlink"/>
            <w:rFonts w:ascii="Arial" w:eastAsiaTheme="majorEastAsia" w:hAnsi="Arial" w:cs="Arial"/>
            <w:sz w:val="22"/>
            <w:szCs w:val="22"/>
          </w:rPr>
          <w:t>https://journals.plos.org/digitalhealth/article?id=10.1371/journal.pdig.0000149</w:t>
        </w:r>
      </w:hyperlink>
      <w:r w:rsidRPr="00F76A2F">
        <w:rPr>
          <w:rFonts w:ascii="Arial" w:hAnsi="Arial" w:cs="Arial"/>
          <w:sz w:val="22"/>
          <w:szCs w:val="22"/>
        </w:rPr>
        <w:t xml:space="preserve"> (Accessed: 14 October 2025).</w:t>
      </w:r>
    </w:p>
    <w:p w14:paraId="10C608CE"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Department of Health and Social Care (2020) </w:t>
      </w:r>
      <w:r w:rsidRPr="00F76A2F">
        <w:rPr>
          <w:rStyle w:val="Emphasis"/>
          <w:rFonts w:ascii="Arial" w:eastAsiaTheme="majorEastAsia" w:hAnsi="Arial" w:cs="Arial"/>
          <w:sz w:val="22"/>
          <w:szCs w:val="22"/>
        </w:rPr>
        <w:t>NHS COVID-19 app: early adopter evaluation report.</w:t>
      </w:r>
      <w:r w:rsidRPr="00F76A2F">
        <w:rPr>
          <w:rFonts w:ascii="Arial" w:hAnsi="Arial" w:cs="Arial"/>
          <w:sz w:val="22"/>
          <w:szCs w:val="22"/>
        </w:rPr>
        <w:t xml:space="preserve"> Available at: </w:t>
      </w:r>
      <w:hyperlink r:id="rId9" w:tgtFrame="_new" w:history="1">
        <w:r w:rsidRPr="00F76A2F">
          <w:rPr>
            <w:rStyle w:val="Hyperlink"/>
            <w:rFonts w:ascii="Arial" w:eastAsiaTheme="majorEastAsia" w:hAnsi="Arial" w:cs="Arial"/>
            <w:sz w:val="22"/>
            <w:szCs w:val="22"/>
          </w:rPr>
          <w:t>https://assets.publishing.service.gov.uk/media/606dd8c48fa8f573570f6a7e/EA_report_April_2020.pdf</w:t>
        </w:r>
      </w:hyperlink>
      <w:r w:rsidRPr="00F76A2F">
        <w:rPr>
          <w:rFonts w:ascii="Arial" w:hAnsi="Arial" w:cs="Arial"/>
          <w:sz w:val="22"/>
          <w:szCs w:val="22"/>
        </w:rPr>
        <w:t xml:space="preserve"> (Accessed: 14 October 2025).</w:t>
      </w:r>
    </w:p>
    <w:p w14:paraId="184C7059"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Dowthwaite, L. </w:t>
      </w:r>
      <w:r w:rsidRPr="00F76A2F">
        <w:rPr>
          <w:rStyle w:val="Emphasis"/>
          <w:rFonts w:ascii="Arial" w:eastAsiaTheme="majorEastAsia" w:hAnsi="Arial" w:cs="Arial"/>
          <w:sz w:val="22"/>
          <w:szCs w:val="22"/>
        </w:rPr>
        <w:t>et al.</w:t>
      </w:r>
      <w:r w:rsidRPr="00F76A2F">
        <w:rPr>
          <w:rFonts w:ascii="Arial" w:hAnsi="Arial" w:cs="Arial"/>
          <w:sz w:val="22"/>
          <w:szCs w:val="22"/>
        </w:rPr>
        <w:t xml:space="preserve"> (2021) ‘Public adoption of and trust in the NHS COVID-19 contact tracing app in the United Kingdom: quantitative online survey study.’ </w:t>
      </w:r>
      <w:r w:rsidRPr="00F76A2F">
        <w:rPr>
          <w:rStyle w:val="Emphasis"/>
          <w:rFonts w:ascii="Arial" w:eastAsiaTheme="majorEastAsia" w:hAnsi="Arial" w:cs="Arial"/>
          <w:sz w:val="22"/>
          <w:szCs w:val="22"/>
        </w:rPr>
        <w:t>Journal of Medical Internet Research,</w:t>
      </w:r>
      <w:r w:rsidRPr="00F76A2F">
        <w:rPr>
          <w:rFonts w:ascii="Arial" w:hAnsi="Arial" w:cs="Arial"/>
          <w:sz w:val="22"/>
          <w:szCs w:val="22"/>
        </w:rPr>
        <w:t xml:space="preserve"> 23(9), e29085. Available at: </w:t>
      </w:r>
      <w:hyperlink r:id="rId10" w:tgtFrame="_new" w:history="1">
        <w:r w:rsidRPr="00F76A2F">
          <w:rPr>
            <w:rStyle w:val="Hyperlink"/>
            <w:rFonts w:ascii="Arial" w:eastAsiaTheme="majorEastAsia" w:hAnsi="Arial" w:cs="Arial"/>
            <w:sz w:val="22"/>
            <w:szCs w:val="22"/>
          </w:rPr>
          <w:t>https://doi.org/10.2196/29085</w:t>
        </w:r>
      </w:hyperlink>
      <w:r w:rsidRPr="00F76A2F">
        <w:rPr>
          <w:rFonts w:ascii="Arial" w:hAnsi="Arial" w:cs="Arial"/>
          <w:sz w:val="22"/>
          <w:szCs w:val="22"/>
        </w:rPr>
        <w:t xml:space="preserve"> (Accessed: 14 October 2025).</w:t>
      </w:r>
    </w:p>
    <w:p w14:paraId="477ED1EF"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Fox, R. </w:t>
      </w:r>
      <w:r w:rsidRPr="00F76A2F">
        <w:rPr>
          <w:rStyle w:val="Emphasis"/>
          <w:rFonts w:ascii="Arial" w:eastAsiaTheme="majorEastAsia" w:hAnsi="Arial" w:cs="Arial"/>
          <w:sz w:val="22"/>
          <w:szCs w:val="22"/>
        </w:rPr>
        <w:t>et al.</w:t>
      </w:r>
      <w:r w:rsidRPr="00F76A2F">
        <w:rPr>
          <w:rFonts w:ascii="Arial" w:hAnsi="Arial" w:cs="Arial"/>
          <w:sz w:val="22"/>
          <w:szCs w:val="22"/>
        </w:rPr>
        <w:t xml:space="preserve"> (2022) ‘Lessons learnt for digital inclusion in underserved communities from implementing a COVID virtual ward.’ </w:t>
      </w:r>
      <w:r w:rsidRPr="00F76A2F">
        <w:rPr>
          <w:rStyle w:val="Emphasis"/>
          <w:rFonts w:ascii="Arial" w:eastAsiaTheme="majorEastAsia" w:hAnsi="Arial" w:cs="Arial"/>
          <w:sz w:val="22"/>
          <w:szCs w:val="22"/>
        </w:rPr>
        <w:t>PLOS Digital Health,</w:t>
      </w:r>
      <w:r w:rsidRPr="00F76A2F">
        <w:rPr>
          <w:rFonts w:ascii="Arial" w:hAnsi="Arial" w:cs="Arial"/>
          <w:sz w:val="22"/>
          <w:szCs w:val="22"/>
        </w:rPr>
        <w:t xml:space="preserve"> 1(11), e0000146. Available at: </w:t>
      </w:r>
      <w:hyperlink r:id="rId11" w:tgtFrame="_new" w:history="1">
        <w:r w:rsidRPr="00F76A2F">
          <w:rPr>
            <w:rStyle w:val="Hyperlink"/>
            <w:rFonts w:ascii="Arial" w:eastAsiaTheme="majorEastAsia" w:hAnsi="Arial" w:cs="Arial"/>
            <w:sz w:val="22"/>
            <w:szCs w:val="22"/>
          </w:rPr>
          <w:t>https://doi.org/10.1371/journal.pdig.0000146</w:t>
        </w:r>
      </w:hyperlink>
      <w:r w:rsidRPr="00F76A2F">
        <w:rPr>
          <w:rFonts w:ascii="Arial" w:hAnsi="Arial" w:cs="Arial"/>
          <w:sz w:val="22"/>
          <w:szCs w:val="22"/>
        </w:rPr>
        <w:t xml:space="preserve"> (Accessed: 14 October 2025).</w:t>
      </w:r>
    </w:p>
    <w:p w14:paraId="6748A23A"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Social Partnership Forum (2021) </w:t>
      </w:r>
      <w:r w:rsidRPr="00F76A2F">
        <w:rPr>
          <w:rStyle w:val="Emphasis"/>
          <w:rFonts w:ascii="Arial" w:eastAsiaTheme="majorEastAsia" w:hAnsi="Arial" w:cs="Arial"/>
          <w:sz w:val="22"/>
          <w:szCs w:val="22"/>
        </w:rPr>
        <w:t>The impact of COVID-19 on employment relations in the NHS.</w:t>
      </w:r>
      <w:r w:rsidRPr="00F76A2F">
        <w:rPr>
          <w:rFonts w:ascii="Arial" w:hAnsi="Arial" w:cs="Arial"/>
          <w:sz w:val="22"/>
          <w:szCs w:val="22"/>
        </w:rPr>
        <w:t xml:space="preserve"> Available at: </w:t>
      </w:r>
      <w:hyperlink r:id="rId12" w:tgtFrame="_new" w:history="1">
        <w:r w:rsidRPr="00F76A2F">
          <w:rPr>
            <w:rStyle w:val="Hyperlink"/>
            <w:rFonts w:ascii="Arial" w:eastAsiaTheme="majorEastAsia" w:hAnsi="Arial" w:cs="Arial"/>
            <w:sz w:val="22"/>
            <w:szCs w:val="22"/>
          </w:rPr>
          <w:t>https://www.socialpartnershipforum.org/sites/default/files/2021-09/NHS-Covid-ER-Report.pdf</w:t>
        </w:r>
      </w:hyperlink>
      <w:r w:rsidRPr="00F76A2F">
        <w:rPr>
          <w:rFonts w:ascii="Arial" w:hAnsi="Arial" w:cs="Arial"/>
          <w:sz w:val="22"/>
          <w:szCs w:val="22"/>
        </w:rPr>
        <w:t xml:space="preserve"> (Accessed: 14 October 2025).</w:t>
      </w:r>
    </w:p>
    <w:p w14:paraId="68847431"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Kendall, M. </w:t>
      </w:r>
      <w:r w:rsidRPr="00F76A2F">
        <w:rPr>
          <w:rStyle w:val="Emphasis"/>
          <w:rFonts w:ascii="Arial" w:eastAsiaTheme="majorEastAsia" w:hAnsi="Arial" w:cs="Arial"/>
          <w:sz w:val="22"/>
          <w:szCs w:val="22"/>
        </w:rPr>
        <w:t>et al.</w:t>
      </w:r>
      <w:r w:rsidRPr="00F76A2F">
        <w:rPr>
          <w:rFonts w:ascii="Arial" w:hAnsi="Arial" w:cs="Arial"/>
          <w:sz w:val="22"/>
          <w:szCs w:val="22"/>
        </w:rPr>
        <w:t xml:space="preserve"> (2023) ‘Epidemiological impacts of the NHS COVID-19 app in England and Wales throughout its first year.’ </w:t>
      </w:r>
      <w:r w:rsidRPr="00F76A2F">
        <w:rPr>
          <w:rStyle w:val="Emphasis"/>
          <w:rFonts w:ascii="Arial" w:eastAsiaTheme="majorEastAsia" w:hAnsi="Arial" w:cs="Arial"/>
          <w:sz w:val="22"/>
          <w:szCs w:val="22"/>
        </w:rPr>
        <w:t>Nature Communications,</w:t>
      </w:r>
      <w:r w:rsidRPr="00F76A2F">
        <w:rPr>
          <w:rFonts w:ascii="Arial" w:hAnsi="Arial" w:cs="Arial"/>
          <w:sz w:val="22"/>
          <w:szCs w:val="22"/>
        </w:rPr>
        <w:t xml:space="preserve"> 14(1), p. 858. Available at: </w:t>
      </w:r>
      <w:hyperlink r:id="rId13" w:tgtFrame="_new" w:history="1">
        <w:r w:rsidRPr="00F76A2F">
          <w:rPr>
            <w:rStyle w:val="Hyperlink"/>
            <w:rFonts w:ascii="Arial" w:eastAsiaTheme="majorEastAsia" w:hAnsi="Arial" w:cs="Arial"/>
            <w:sz w:val="22"/>
            <w:szCs w:val="22"/>
          </w:rPr>
          <w:t>https://www.nature.com/articles/s41467-023-36495-z.pdf</w:t>
        </w:r>
      </w:hyperlink>
      <w:r w:rsidRPr="00F76A2F">
        <w:rPr>
          <w:rFonts w:ascii="Arial" w:hAnsi="Arial" w:cs="Arial"/>
          <w:sz w:val="22"/>
          <w:szCs w:val="22"/>
        </w:rPr>
        <w:t xml:space="preserve"> (Accessed: 14 October 2025).</w:t>
      </w:r>
    </w:p>
    <w:p w14:paraId="3C6A75EF"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lastRenderedPageBreak/>
        <w:t xml:space="preserve">National Audit Office (2021) </w:t>
      </w:r>
      <w:r w:rsidRPr="00F76A2F">
        <w:rPr>
          <w:rStyle w:val="Emphasis"/>
          <w:rFonts w:ascii="Arial" w:eastAsiaTheme="majorEastAsia" w:hAnsi="Arial" w:cs="Arial"/>
          <w:sz w:val="22"/>
          <w:szCs w:val="22"/>
        </w:rPr>
        <w:t>Test and trace in England – progress update.</w:t>
      </w:r>
      <w:r w:rsidRPr="00F76A2F">
        <w:rPr>
          <w:rFonts w:ascii="Arial" w:hAnsi="Arial" w:cs="Arial"/>
          <w:sz w:val="22"/>
          <w:szCs w:val="22"/>
        </w:rPr>
        <w:t xml:space="preserve"> Available at: </w:t>
      </w:r>
      <w:hyperlink r:id="rId14" w:tgtFrame="_new" w:history="1">
        <w:r w:rsidRPr="00F76A2F">
          <w:rPr>
            <w:rStyle w:val="Hyperlink"/>
            <w:rFonts w:ascii="Arial" w:eastAsiaTheme="majorEastAsia" w:hAnsi="Arial" w:cs="Arial"/>
            <w:sz w:val="22"/>
            <w:szCs w:val="22"/>
          </w:rPr>
          <w:t>https://www.nao.org.uk/wp-content/uploads/2021/06/Test-and-trace-in-England-progress-update.pdf</w:t>
        </w:r>
      </w:hyperlink>
      <w:r w:rsidRPr="00F76A2F">
        <w:rPr>
          <w:rFonts w:ascii="Arial" w:hAnsi="Arial" w:cs="Arial"/>
          <w:sz w:val="22"/>
          <w:szCs w:val="22"/>
        </w:rPr>
        <w:t xml:space="preserve"> (Accessed: 14 October 2025).</w:t>
      </w:r>
    </w:p>
    <w:p w14:paraId="5B3B2E82"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NHS England (2023) </w:t>
      </w:r>
      <w:r w:rsidRPr="00F76A2F">
        <w:rPr>
          <w:rStyle w:val="Emphasis"/>
          <w:rFonts w:ascii="Arial" w:eastAsiaTheme="majorEastAsia" w:hAnsi="Arial" w:cs="Arial"/>
          <w:sz w:val="22"/>
          <w:szCs w:val="22"/>
        </w:rPr>
        <w:t>Inclusive digital healthcare: a framework for NHS action on digital inclusion.</w:t>
      </w:r>
      <w:r w:rsidRPr="00F76A2F">
        <w:rPr>
          <w:rFonts w:ascii="Arial" w:hAnsi="Arial" w:cs="Arial"/>
          <w:sz w:val="22"/>
          <w:szCs w:val="22"/>
        </w:rPr>
        <w:t xml:space="preserve"> Available at: </w:t>
      </w:r>
      <w:hyperlink r:id="rId15" w:tgtFrame="_new" w:history="1">
        <w:r w:rsidRPr="00F76A2F">
          <w:rPr>
            <w:rStyle w:val="Hyperlink"/>
            <w:rFonts w:ascii="Arial" w:eastAsiaTheme="majorEastAsia" w:hAnsi="Arial" w:cs="Arial"/>
            <w:sz w:val="22"/>
            <w:szCs w:val="22"/>
          </w:rPr>
          <w:t>https://www.england.nhs.uk/long-read/inclusive-digital-healthcare-a-framework-for-nhs-action-on-digital-inclusion/</w:t>
        </w:r>
      </w:hyperlink>
      <w:r w:rsidRPr="00F76A2F">
        <w:rPr>
          <w:rFonts w:ascii="Arial" w:hAnsi="Arial" w:cs="Arial"/>
          <w:sz w:val="22"/>
          <w:szCs w:val="22"/>
        </w:rPr>
        <w:t xml:space="preserve"> (Accessed: 14 October 2025).</w:t>
      </w:r>
    </w:p>
    <w:p w14:paraId="08742585"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O’Donnell, R. </w:t>
      </w:r>
      <w:r w:rsidRPr="00F76A2F">
        <w:rPr>
          <w:rStyle w:val="Emphasis"/>
          <w:rFonts w:ascii="Arial" w:eastAsiaTheme="majorEastAsia" w:hAnsi="Arial" w:cs="Arial"/>
          <w:sz w:val="22"/>
          <w:szCs w:val="22"/>
        </w:rPr>
        <w:t>et al.</w:t>
      </w:r>
      <w:r w:rsidRPr="00F76A2F">
        <w:rPr>
          <w:rFonts w:ascii="Arial" w:hAnsi="Arial" w:cs="Arial"/>
          <w:sz w:val="22"/>
          <w:szCs w:val="22"/>
        </w:rPr>
        <w:t xml:space="preserve"> (2024) ‘Exploring the needs and experiences of contact tracing staff during the COVID-19 pandemic in Ireland.’ </w:t>
      </w:r>
      <w:r w:rsidRPr="00F76A2F">
        <w:rPr>
          <w:rStyle w:val="Emphasis"/>
          <w:rFonts w:ascii="Arial" w:eastAsiaTheme="majorEastAsia" w:hAnsi="Arial" w:cs="Arial"/>
          <w:sz w:val="22"/>
          <w:szCs w:val="22"/>
        </w:rPr>
        <w:t>BMC Public Health,</w:t>
      </w:r>
      <w:r w:rsidRPr="00F76A2F">
        <w:rPr>
          <w:rFonts w:ascii="Arial" w:hAnsi="Arial" w:cs="Arial"/>
          <w:sz w:val="22"/>
          <w:szCs w:val="22"/>
        </w:rPr>
        <w:t xml:space="preserve"> 24, 615. Available at: </w:t>
      </w:r>
      <w:hyperlink r:id="rId16" w:tgtFrame="_new" w:history="1">
        <w:r w:rsidRPr="00F76A2F">
          <w:rPr>
            <w:rStyle w:val="Hyperlink"/>
            <w:rFonts w:ascii="Arial" w:eastAsiaTheme="majorEastAsia" w:hAnsi="Arial" w:cs="Arial"/>
            <w:sz w:val="22"/>
            <w:szCs w:val="22"/>
          </w:rPr>
          <w:t>https://www.ncbi.nlm.nih.gov/pmc/articles/PMC10923454/</w:t>
        </w:r>
      </w:hyperlink>
      <w:r w:rsidRPr="00F76A2F">
        <w:rPr>
          <w:rFonts w:ascii="Arial" w:hAnsi="Arial" w:cs="Arial"/>
          <w:sz w:val="22"/>
          <w:szCs w:val="22"/>
        </w:rPr>
        <w:t xml:space="preserve"> (Accessed: 14 October 2025).</w:t>
      </w:r>
    </w:p>
    <w:p w14:paraId="6AD00F31"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Onwumere, J. </w:t>
      </w:r>
      <w:r w:rsidRPr="00F76A2F">
        <w:rPr>
          <w:rStyle w:val="Emphasis"/>
          <w:rFonts w:ascii="Arial" w:eastAsiaTheme="majorEastAsia" w:hAnsi="Arial" w:cs="Arial"/>
          <w:sz w:val="22"/>
          <w:szCs w:val="22"/>
        </w:rPr>
        <w:t>et al.</w:t>
      </w:r>
      <w:r w:rsidRPr="00F76A2F">
        <w:rPr>
          <w:rFonts w:ascii="Arial" w:hAnsi="Arial" w:cs="Arial"/>
          <w:sz w:val="22"/>
          <w:szCs w:val="22"/>
        </w:rPr>
        <w:t xml:space="preserve"> (2021) ‘COVID-19 and UK family carers: policy implications.’ </w:t>
      </w:r>
      <w:r w:rsidRPr="00F76A2F">
        <w:rPr>
          <w:rStyle w:val="Emphasis"/>
          <w:rFonts w:ascii="Arial" w:eastAsiaTheme="majorEastAsia" w:hAnsi="Arial" w:cs="Arial"/>
          <w:sz w:val="22"/>
          <w:szCs w:val="22"/>
        </w:rPr>
        <w:t>The Lancet Psychiatry,</w:t>
      </w:r>
      <w:r w:rsidRPr="00F76A2F">
        <w:rPr>
          <w:rFonts w:ascii="Arial" w:hAnsi="Arial" w:cs="Arial"/>
          <w:sz w:val="22"/>
          <w:szCs w:val="22"/>
        </w:rPr>
        <w:t xml:space="preserve"> 8(10), pp. 929–936. Available at: </w:t>
      </w:r>
      <w:hyperlink r:id="rId17" w:tgtFrame="_new" w:history="1">
        <w:r w:rsidRPr="00F76A2F">
          <w:rPr>
            <w:rStyle w:val="Hyperlink"/>
            <w:rFonts w:ascii="Arial" w:eastAsiaTheme="majorEastAsia" w:hAnsi="Arial" w:cs="Arial"/>
            <w:sz w:val="22"/>
            <w:szCs w:val="22"/>
          </w:rPr>
          <w:t>https://doi.org/10.1016/s2215-0366(21)00206-6</w:t>
        </w:r>
      </w:hyperlink>
      <w:r w:rsidRPr="00F76A2F">
        <w:rPr>
          <w:rFonts w:ascii="Arial" w:hAnsi="Arial" w:cs="Arial"/>
          <w:sz w:val="22"/>
          <w:szCs w:val="22"/>
        </w:rPr>
        <w:t xml:space="preserve"> (Accessed: 14 October 2025).</w:t>
      </w:r>
    </w:p>
    <w:p w14:paraId="4AE3CDA0"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Panchal, M., Singh, S. and Rodriguez-Villegas, E. (2021) ‘Analysis of the factors affecting the adoption and compliance of the NHS COVID-19 mobile application: a national cross-sectional survey in England.’ </w:t>
      </w:r>
      <w:r w:rsidRPr="00F76A2F">
        <w:rPr>
          <w:rStyle w:val="Emphasis"/>
          <w:rFonts w:ascii="Arial" w:eastAsiaTheme="majorEastAsia" w:hAnsi="Arial" w:cs="Arial"/>
          <w:sz w:val="22"/>
          <w:szCs w:val="22"/>
        </w:rPr>
        <w:t>BMJ Open,</w:t>
      </w:r>
      <w:r w:rsidRPr="00F76A2F">
        <w:rPr>
          <w:rFonts w:ascii="Arial" w:hAnsi="Arial" w:cs="Arial"/>
          <w:sz w:val="22"/>
          <w:szCs w:val="22"/>
        </w:rPr>
        <w:t xml:space="preserve"> 11(8), e053395. Available at: </w:t>
      </w:r>
      <w:hyperlink r:id="rId18" w:tgtFrame="_new" w:history="1">
        <w:r w:rsidRPr="00F76A2F">
          <w:rPr>
            <w:rStyle w:val="Hyperlink"/>
            <w:rFonts w:ascii="Arial" w:eastAsiaTheme="majorEastAsia" w:hAnsi="Arial" w:cs="Arial"/>
            <w:sz w:val="22"/>
            <w:szCs w:val="22"/>
          </w:rPr>
          <w:t>https://doi.org/10.1136/bmjopen-2021-053395</w:t>
        </w:r>
      </w:hyperlink>
      <w:r w:rsidRPr="00F76A2F">
        <w:rPr>
          <w:rFonts w:ascii="Arial" w:hAnsi="Arial" w:cs="Arial"/>
          <w:sz w:val="22"/>
          <w:szCs w:val="22"/>
        </w:rPr>
        <w:t xml:space="preserve"> (Accessed: 14 October 2025).</w:t>
      </w:r>
    </w:p>
    <w:p w14:paraId="205452A9"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Wang, Q., Su, M., Zhang, M. and Li, R. (2021) ‘Integrating digital technologies and public health to fight COVID-19 pandemic: key technologies, applications, challenges and outlook of digital healthcare.’ </w:t>
      </w:r>
      <w:r w:rsidRPr="00F76A2F">
        <w:rPr>
          <w:rStyle w:val="Emphasis"/>
          <w:rFonts w:ascii="Arial" w:eastAsiaTheme="majorEastAsia" w:hAnsi="Arial" w:cs="Arial"/>
          <w:sz w:val="22"/>
          <w:szCs w:val="22"/>
        </w:rPr>
        <w:t>International Journal of Environmental Research and Public Health,</w:t>
      </w:r>
      <w:r w:rsidRPr="00F76A2F">
        <w:rPr>
          <w:rFonts w:ascii="Arial" w:hAnsi="Arial" w:cs="Arial"/>
          <w:sz w:val="22"/>
          <w:szCs w:val="22"/>
        </w:rPr>
        <w:t xml:space="preserve"> 18(11), p. 6053. Available at: </w:t>
      </w:r>
      <w:hyperlink r:id="rId19" w:tgtFrame="_new" w:history="1">
        <w:r w:rsidRPr="00F76A2F">
          <w:rPr>
            <w:rStyle w:val="Hyperlink"/>
            <w:rFonts w:ascii="Arial" w:eastAsiaTheme="majorEastAsia" w:hAnsi="Arial" w:cs="Arial"/>
            <w:sz w:val="22"/>
            <w:szCs w:val="22"/>
          </w:rPr>
          <w:t>https://www.mdpi.com/1660-4601/18/11/6053</w:t>
        </w:r>
      </w:hyperlink>
      <w:r w:rsidRPr="00F76A2F">
        <w:rPr>
          <w:rFonts w:ascii="Arial" w:hAnsi="Arial" w:cs="Arial"/>
          <w:sz w:val="22"/>
          <w:szCs w:val="22"/>
        </w:rPr>
        <w:t xml:space="preserve"> (Accessed: 14 October 2025).</w:t>
      </w:r>
    </w:p>
    <w:p w14:paraId="5DF3E792" w14:textId="77777777" w:rsidR="00987A16" w:rsidRPr="00F76A2F" w:rsidRDefault="00987A16" w:rsidP="00C2133C">
      <w:pPr>
        <w:pStyle w:val="NormalWeb"/>
        <w:spacing w:line="360" w:lineRule="auto"/>
        <w:rPr>
          <w:rFonts w:ascii="Arial" w:hAnsi="Arial" w:cs="Arial"/>
          <w:sz w:val="22"/>
          <w:szCs w:val="22"/>
        </w:rPr>
      </w:pPr>
      <w:r w:rsidRPr="00F76A2F">
        <w:rPr>
          <w:rFonts w:ascii="Arial" w:hAnsi="Arial" w:cs="Arial"/>
          <w:sz w:val="22"/>
          <w:szCs w:val="22"/>
        </w:rPr>
        <w:t xml:space="preserve">Wymant, C. </w:t>
      </w:r>
      <w:r w:rsidRPr="00F76A2F">
        <w:rPr>
          <w:rStyle w:val="Emphasis"/>
          <w:rFonts w:ascii="Arial" w:eastAsiaTheme="majorEastAsia" w:hAnsi="Arial" w:cs="Arial"/>
          <w:sz w:val="22"/>
          <w:szCs w:val="22"/>
        </w:rPr>
        <w:t>et al.</w:t>
      </w:r>
      <w:r w:rsidRPr="00F76A2F">
        <w:rPr>
          <w:rFonts w:ascii="Arial" w:hAnsi="Arial" w:cs="Arial"/>
          <w:sz w:val="22"/>
          <w:szCs w:val="22"/>
        </w:rPr>
        <w:t xml:space="preserve"> (2021) ‘The epidemiological impact of the NHS COVID-19 app.’ </w:t>
      </w:r>
      <w:r w:rsidRPr="00F76A2F">
        <w:rPr>
          <w:rStyle w:val="Emphasis"/>
          <w:rFonts w:ascii="Arial" w:eastAsiaTheme="majorEastAsia" w:hAnsi="Arial" w:cs="Arial"/>
          <w:sz w:val="22"/>
          <w:szCs w:val="22"/>
        </w:rPr>
        <w:t>Nature,</w:t>
      </w:r>
      <w:r w:rsidRPr="00F76A2F">
        <w:rPr>
          <w:rFonts w:ascii="Arial" w:hAnsi="Arial" w:cs="Arial"/>
          <w:sz w:val="22"/>
          <w:szCs w:val="22"/>
        </w:rPr>
        <w:t xml:space="preserve"> 594(7863), pp. 408–412. Available at: </w:t>
      </w:r>
      <w:hyperlink r:id="rId20" w:tgtFrame="_new" w:history="1">
        <w:r w:rsidRPr="00F76A2F">
          <w:rPr>
            <w:rStyle w:val="Hyperlink"/>
            <w:rFonts w:ascii="Arial" w:eastAsiaTheme="majorEastAsia" w:hAnsi="Arial" w:cs="Arial"/>
            <w:sz w:val="22"/>
            <w:szCs w:val="22"/>
          </w:rPr>
          <w:t>https://doi.org/10.1038/s41586-021-03606-z</w:t>
        </w:r>
      </w:hyperlink>
      <w:r w:rsidRPr="00F76A2F">
        <w:rPr>
          <w:rFonts w:ascii="Arial" w:hAnsi="Arial" w:cs="Arial"/>
          <w:sz w:val="22"/>
          <w:szCs w:val="22"/>
        </w:rPr>
        <w:t xml:space="preserve"> (Accessed: 14 October 2025).</w:t>
      </w:r>
    </w:p>
    <w:p w14:paraId="7F047988" w14:textId="77777777" w:rsidR="004E51F2" w:rsidRPr="00F76A2F" w:rsidRDefault="004E51F2" w:rsidP="00C2133C">
      <w:pPr>
        <w:spacing w:line="360" w:lineRule="auto"/>
        <w:jc w:val="both"/>
        <w:rPr>
          <w:rFonts w:ascii="Arial" w:hAnsi="Arial" w:cs="Arial"/>
          <w:sz w:val="22"/>
          <w:szCs w:val="22"/>
        </w:rPr>
      </w:pPr>
    </w:p>
    <w:sectPr w:rsidR="004E51F2" w:rsidRPr="00F76A2F">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5C915" w14:textId="77777777" w:rsidR="00C5230D" w:rsidRDefault="00C5230D" w:rsidP="009242E6">
      <w:pPr>
        <w:spacing w:after="0" w:line="240" w:lineRule="auto"/>
      </w:pPr>
      <w:r>
        <w:separator/>
      </w:r>
    </w:p>
  </w:endnote>
  <w:endnote w:type="continuationSeparator" w:id="0">
    <w:p w14:paraId="51B95B21" w14:textId="77777777" w:rsidR="00C5230D" w:rsidRDefault="00C5230D" w:rsidP="00924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074851"/>
      <w:docPartObj>
        <w:docPartGallery w:val="Page Numbers (Bottom of Page)"/>
        <w:docPartUnique/>
      </w:docPartObj>
    </w:sdtPr>
    <w:sdtEndPr>
      <w:rPr>
        <w:noProof/>
      </w:rPr>
    </w:sdtEndPr>
    <w:sdtContent>
      <w:p w14:paraId="6662196D" w14:textId="433FEAED" w:rsidR="009242E6" w:rsidRDefault="009242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8076EC" w14:textId="77777777" w:rsidR="009242E6" w:rsidRDefault="00924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ED28F" w14:textId="77777777" w:rsidR="00C5230D" w:rsidRDefault="00C5230D" w:rsidP="009242E6">
      <w:pPr>
        <w:spacing w:after="0" w:line="240" w:lineRule="auto"/>
      </w:pPr>
      <w:r>
        <w:separator/>
      </w:r>
    </w:p>
  </w:footnote>
  <w:footnote w:type="continuationSeparator" w:id="0">
    <w:p w14:paraId="4A215858" w14:textId="77777777" w:rsidR="00C5230D" w:rsidRDefault="00C5230D" w:rsidP="009242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2E6"/>
    <w:rsid w:val="00007D6E"/>
    <w:rsid w:val="00015EDA"/>
    <w:rsid w:val="000453D3"/>
    <w:rsid w:val="00073C46"/>
    <w:rsid w:val="00075C32"/>
    <w:rsid w:val="000778D8"/>
    <w:rsid w:val="00107480"/>
    <w:rsid w:val="002A2F79"/>
    <w:rsid w:val="002B4754"/>
    <w:rsid w:val="002E5107"/>
    <w:rsid w:val="002F74CC"/>
    <w:rsid w:val="00322A0F"/>
    <w:rsid w:val="00364C68"/>
    <w:rsid w:val="00372830"/>
    <w:rsid w:val="00393444"/>
    <w:rsid w:val="003B6AFB"/>
    <w:rsid w:val="003E6649"/>
    <w:rsid w:val="00402575"/>
    <w:rsid w:val="004113E3"/>
    <w:rsid w:val="004E51F2"/>
    <w:rsid w:val="004E59DA"/>
    <w:rsid w:val="005429FE"/>
    <w:rsid w:val="00613619"/>
    <w:rsid w:val="00615B63"/>
    <w:rsid w:val="00625276"/>
    <w:rsid w:val="00637F0F"/>
    <w:rsid w:val="006D34E5"/>
    <w:rsid w:val="006E1A42"/>
    <w:rsid w:val="006E2C54"/>
    <w:rsid w:val="00706776"/>
    <w:rsid w:val="00720F36"/>
    <w:rsid w:val="00780EC7"/>
    <w:rsid w:val="007D50C7"/>
    <w:rsid w:val="00816036"/>
    <w:rsid w:val="008F099D"/>
    <w:rsid w:val="009033A2"/>
    <w:rsid w:val="009242E6"/>
    <w:rsid w:val="00980991"/>
    <w:rsid w:val="00987A16"/>
    <w:rsid w:val="00A35CBC"/>
    <w:rsid w:val="00A37936"/>
    <w:rsid w:val="00A45093"/>
    <w:rsid w:val="00A7596D"/>
    <w:rsid w:val="00A85A3C"/>
    <w:rsid w:val="00B30CAC"/>
    <w:rsid w:val="00B4454D"/>
    <w:rsid w:val="00B631F8"/>
    <w:rsid w:val="00B6557C"/>
    <w:rsid w:val="00B83CB1"/>
    <w:rsid w:val="00BA72DD"/>
    <w:rsid w:val="00BE14C2"/>
    <w:rsid w:val="00C2133C"/>
    <w:rsid w:val="00C5230D"/>
    <w:rsid w:val="00C91A40"/>
    <w:rsid w:val="00CD1458"/>
    <w:rsid w:val="00D1031B"/>
    <w:rsid w:val="00DC44B1"/>
    <w:rsid w:val="00EB2D28"/>
    <w:rsid w:val="00EB4402"/>
    <w:rsid w:val="00F27103"/>
    <w:rsid w:val="00F55DD2"/>
    <w:rsid w:val="00F76A2F"/>
    <w:rsid w:val="00FF6D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FCB0B0"/>
  <w15:chartTrackingRefBased/>
  <w15:docId w15:val="{087806CA-BE6E-4E23-8335-CB8E3BC7A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2E6"/>
    <w:pPr>
      <w:keepNext/>
      <w:keepLines/>
      <w:spacing w:before="360" w:after="80"/>
      <w:outlineLvl w:val="0"/>
    </w:pPr>
    <w:rPr>
      <w:rFonts w:ascii="Arial" w:eastAsiaTheme="majorEastAsia" w:hAnsi="Arial"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9242E6"/>
    <w:pPr>
      <w:keepNext/>
      <w:keepLines/>
      <w:spacing w:before="160" w:after="80"/>
      <w:outlineLvl w:val="1"/>
    </w:pPr>
    <w:rPr>
      <w:rFonts w:ascii="Arial" w:eastAsiaTheme="majorEastAsia" w:hAnsi="Arial" w:cstheme="majorBidi"/>
      <w:b/>
      <w:i/>
      <w:color w:val="0F4761" w:themeColor="accent1" w:themeShade="BF"/>
      <w:sz w:val="28"/>
      <w:szCs w:val="32"/>
      <w:u w:val="single"/>
    </w:rPr>
  </w:style>
  <w:style w:type="paragraph" w:styleId="Heading3">
    <w:name w:val="heading 3"/>
    <w:basedOn w:val="Normal"/>
    <w:next w:val="Normal"/>
    <w:link w:val="Heading3Char"/>
    <w:uiPriority w:val="9"/>
    <w:semiHidden/>
    <w:unhideWhenUsed/>
    <w:qFormat/>
    <w:rsid w:val="009242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2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2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2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2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2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2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2E6"/>
    <w:rPr>
      <w:rFonts w:ascii="Arial" w:eastAsiaTheme="majorEastAsia" w:hAnsi="Arial" w:cstheme="majorBidi"/>
      <w:b/>
      <w:color w:val="0F4761" w:themeColor="accent1" w:themeShade="BF"/>
      <w:sz w:val="32"/>
      <w:szCs w:val="40"/>
    </w:rPr>
  </w:style>
  <w:style w:type="character" w:customStyle="1" w:styleId="Heading2Char">
    <w:name w:val="Heading 2 Char"/>
    <w:basedOn w:val="DefaultParagraphFont"/>
    <w:link w:val="Heading2"/>
    <w:uiPriority w:val="9"/>
    <w:rsid w:val="009242E6"/>
    <w:rPr>
      <w:rFonts w:ascii="Arial" w:eastAsiaTheme="majorEastAsia" w:hAnsi="Arial" w:cstheme="majorBidi"/>
      <w:b/>
      <w:i/>
      <w:color w:val="0F4761" w:themeColor="accent1" w:themeShade="BF"/>
      <w:sz w:val="28"/>
      <w:szCs w:val="32"/>
      <w:u w:val="single"/>
    </w:rPr>
  </w:style>
  <w:style w:type="character" w:customStyle="1" w:styleId="Heading3Char">
    <w:name w:val="Heading 3 Char"/>
    <w:basedOn w:val="DefaultParagraphFont"/>
    <w:link w:val="Heading3"/>
    <w:uiPriority w:val="9"/>
    <w:semiHidden/>
    <w:rsid w:val="009242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2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2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2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2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2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2E6"/>
    <w:rPr>
      <w:rFonts w:eastAsiaTheme="majorEastAsia" w:cstheme="majorBidi"/>
      <w:color w:val="272727" w:themeColor="text1" w:themeTint="D8"/>
    </w:rPr>
  </w:style>
  <w:style w:type="paragraph" w:styleId="Title">
    <w:name w:val="Title"/>
    <w:basedOn w:val="Normal"/>
    <w:next w:val="Normal"/>
    <w:link w:val="TitleChar"/>
    <w:uiPriority w:val="10"/>
    <w:qFormat/>
    <w:rsid w:val="009242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2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2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2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2E6"/>
    <w:pPr>
      <w:spacing w:before="160"/>
      <w:jc w:val="center"/>
    </w:pPr>
    <w:rPr>
      <w:i/>
      <w:iCs/>
      <w:color w:val="404040" w:themeColor="text1" w:themeTint="BF"/>
    </w:rPr>
  </w:style>
  <w:style w:type="character" w:customStyle="1" w:styleId="QuoteChar">
    <w:name w:val="Quote Char"/>
    <w:basedOn w:val="DefaultParagraphFont"/>
    <w:link w:val="Quote"/>
    <w:uiPriority w:val="29"/>
    <w:rsid w:val="009242E6"/>
    <w:rPr>
      <w:i/>
      <w:iCs/>
      <w:color w:val="404040" w:themeColor="text1" w:themeTint="BF"/>
    </w:rPr>
  </w:style>
  <w:style w:type="paragraph" w:styleId="ListParagraph">
    <w:name w:val="List Paragraph"/>
    <w:basedOn w:val="Normal"/>
    <w:uiPriority w:val="34"/>
    <w:qFormat/>
    <w:rsid w:val="009242E6"/>
    <w:pPr>
      <w:ind w:left="720"/>
      <w:contextualSpacing/>
    </w:pPr>
  </w:style>
  <w:style w:type="character" w:styleId="IntenseEmphasis">
    <w:name w:val="Intense Emphasis"/>
    <w:basedOn w:val="DefaultParagraphFont"/>
    <w:uiPriority w:val="21"/>
    <w:qFormat/>
    <w:rsid w:val="009242E6"/>
    <w:rPr>
      <w:i/>
      <w:iCs/>
      <w:color w:val="0F4761" w:themeColor="accent1" w:themeShade="BF"/>
    </w:rPr>
  </w:style>
  <w:style w:type="paragraph" w:styleId="IntenseQuote">
    <w:name w:val="Intense Quote"/>
    <w:basedOn w:val="Normal"/>
    <w:next w:val="Normal"/>
    <w:link w:val="IntenseQuoteChar"/>
    <w:uiPriority w:val="30"/>
    <w:qFormat/>
    <w:rsid w:val="009242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2E6"/>
    <w:rPr>
      <w:i/>
      <w:iCs/>
      <w:color w:val="0F4761" w:themeColor="accent1" w:themeShade="BF"/>
    </w:rPr>
  </w:style>
  <w:style w:type="character" w:styleId="IntenseReference">
    <w:name w:val="Intense Reference"/>
    <w:basedOn w:val="DefaultParagraphFont"/>
    <w:uiPriority w:val="32"/>
    <w:qFormat/>
    <w:rsid w:val="009242E6"/>
    <w:rPr>
      <w:b/>
      <w:bCs/>
      <w:smallCaps/>
      <w:color w:val="0F4761" w:themeColor="accent1" w:themeShade="BF"/>
      <w:spacing w:val="5"/>
    </w:rPr>
  </w:style>
  <w:style w:type="paragraph" w:styleId="Header">
    <w:name w:val="header"/>
    <w:basedOn w:val="Normal"/>
    <w:link w:val="HeaderChar"/>
    <w:uiPriority w:val="99"/>
    <w:unhideWhenUsed/>
    <w:rsid w:val="009242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42E6"/>
  </w:style>
  <w:style w:type="paragraph" w:styleId="Footer">
    <w:name w:val="footer"/>
    <w:basedOn w:val="Normal"/>
    <w:link w:val="FooterChar"/>
    <w:uiPriority w:val="99"/>
    <w:unhideWhenUsed/>
    <w:rsid w:val="009242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42E6"/>
  </w:style>
  <w:style w:type="paragraph" w:styleId="TOCHeading">
    <w:name w:val="TOC Heading"/>
    <w:basedOn w:val="Heading1"/>
    <w:next w:val="Normal"/>
    <w:uiPriority w:val="39"/>
    <w:unhideWhenUsed/>
    <w:qFormat/>
    <w:rsid w:val="004E51F2"/>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4E51F2"/>
    <w:pPr>
      <w:spacing w:after="100"/>
    </w:pPr>
  </w:style>
  <w:style w:type="paragraph" w:styleId="TOC2">
    <w:name w:val="toc 2"/>
    <w:basedOn w:val="Normal"/>
    <w:next w:val="Normal"/>
    <w:autoRedefine/>
    <w:uiPriority w:val="39"/>
    <w:unhideWhenUsed/>
    <w:rsid w:val="004E51F2"/>
    <w:pPr>
      <w:spacing w:after="100"/>
      <w:ind w:left="240"/>
    </w:pPr>
  </w:style>
  <w:style w:type="character" w:styleId="Hyperlink">
    <w:name w:val="Hyperlink"/>
    <w:basedOn w:val="DefaultParagraphFont"/>
    <w:uiPriority w:val="99"/>
    <w:unhideWhenUsed/>
    <w:rsid w:val="004E51F2"/>
    <w:rPr>
      <w:color w:val="467886" w:themeColor="hyperlink"/>
      <w:u w:val="single"/>
    </w:rPr>
  </w:style>
  <w:style w:type="character" w:styleId="UnresolvedMention">
    <w:name w:val="Unresolved Mention"/>
    <w:basedOn w:val="DefaultParagraphFont"/>
    <w:uiPriority w:val="99"/>
    <w:semiHidden/>
    <w:unhideWhenUsed/>
    <w:rsid w:val="00780EC7"/>
    <w:rPr>
      <w:color w:val="605E5C"/>
      <w:shd w:val="clear" w:color="auto" w:fill="E1DFDD"/>
    </w:rPr>
  </w:style>
  <w:style w:type="paragraph" w:styleId="NormalWeb">
    <w:name w:val="Normal (Web)"/>
    <w:basedOn w:val="Normal"/>
    <w:uiPriority w:val="99"/>
    <w:semiHidden/>
    <w:unhideWhenUsed/>
    <w:rsid w:val="00987A1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87A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plos.org/digitalhealth/article?id=10.1371/journal.pdig.0000149" TargetMode="External"/><Relationship Id="rId13" Type="http://schemas.openxmlformats.org/officeDocument/2006/relationships/hyperlink" Target="https://www.nature.com/articles/s41467-023-36495-z.pdf" TargetMode="External"/><Relationship Id="rId18" Type="http://schemas.openxmlformats.org/officeDocument/2006/relationships/hyperlink" Target="https://doi.org/10.1136/bmjopen-2021-05339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frontiersin.org/journals/digital-health/articles/10.3389/fdgth.2021.660823/pdf" TargetMode="External"/><Relationship Id="rId12" Type="http://schemas.openxmlformats.org/officeDocument/2006/relationships/hyperlink" Target="https://www.socialpartnershipforum.org/sites/default/files/2021-09/NHS-Covid-ER-Report.pdf" TargetMode="External"/><Relationship Id="rId17" Type="http://schemas.openxmlformats.org/officeDocument/2006/relationships/hyperlink" Target="https://doi.org/10.1016/s2215-0366(21)00206-6" TargetMode="External"/><Relationship Id="rId2" Type="http://schemas.openxmlformats.org/officeDocument/2006/relationships/styles" Target="styles.xml"/><Relationship Id="rId16" Type="http://schemas.openxmlformats.org/officeDocument/2006/relationships/hyperlink" Target="https://www.ncbi.nlm.nih.gov/pmc/articles/PMC10923454/" TargetMode="External"/><Relationship Id="rId20" Type="http://schemas.openxmlformats.org/officeDocument/2006/relationships/hyperlink" Target="https://doi.org/10.1038/s41586-021-03606-z"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371/journal.pdig.0000146" TargetMode="External"/><Relationship Id="rId5" Type="http://schemas.openxmlformats.org/officeDocument/2006/relationships/footnotes" Target="footnotes.xml"/><Relationship Id="rId15" Type="http://schemas.openxmlformats.org/officeDocument/2006/relationships/hyperlink" Target="https://www.england.nhs.uk/long-read/inclusive-digital-healthcare-a-framework-for-nhs-action-on-digital-inclusion/" TargetMode="External"/><Relationship Id="rId23" Type="http://schemas.openxmlformats.org/officeDocument/2006/relationships/theme" Target="theme/theme1.xml"/><Relationship Id="rId10" Type="http://schemas.openxmlformats.org/officeDocument/2006/relationships/hyperlink" Target="https://doi.org/10.2196/29085" TargetMode="External"/><Relationship Id="rId19" Type="http://schemas.openxmlformats.org/officeDocument/2006/relationships/hyperlink" Target="https://www.mdpi.com/1660-4601/18/11/6053" TargetMode="External"/><Relationship Id="rId4" Type="http://schemas.openxmlformats.org/officeDocument/2006/relationships/webSettings" Target="webSettings.xml"/><Relationship Id="rId9" Type="http://schemas.openxmlformats.org/officeDocument/2006/relationships/hyperlink" Target="https://assets.publishing.service.gov.uk/media/606dd8c48fa8f573570f6a7e/EA_report_April_2020.pdf" TargetMode="External"/><Relationship Id="rId14" Type="http://schemas.openxmlformats.org/officeDocument/2006/relationships/hyperlink" Target="https://www.nao.org.uk/wp-content/uploads/2021/06/Test-and-trace-in-England-progress-updat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990F1F-F45F-48D2-91BC-A0B5A3D6E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3351</Words>
  <Characters>19107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slavoiu</dc:creator>
  <cp:keywords/>
  <dc:description/>
  <cp:lastModifiedBy>ionela slavoiu</cp:lastModifiedBy>
  <cp:revision>7</cp:revision>
  <dcterms:created xsi:type="dcterms:W3CDTF">2025-10-18T10:42:00Z</dcterms:created>
  <dcterms:modified xsi:type="dcterms:W3CDTF">2025-10-18T10:53:00Z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53abf13d-c83f-4160-8033-4810e338ef54</vt:lpwstr>
  </property>
</Properties>
</file>