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1323975</wp:posOffset>
            </wp:positionH>
            <wp:positionV relativeFrom="paragraph">
              <wp:posOffset>114300</wp:posOffset>
            </wp:positionV>
            <wp:extent cx="3266187" cy="4481513"/>
            <wp:effectExtent b="0" l="0" r="0" t="0"/>
            <wp:wrapSquare wrapText="bothSides" distB="114300" distT="114300" distL="114300" distR="114300"/>
            <wp:docPr id="8" name="image14.png"/>
            <a:graphic>
              <a:graphicData uri="http://schemas.openxmlformats.org/drawingml/2006/picture">
                <pic:pic>
                  <pic:nvPicPr>
                    <pic:cNvPr id="0" name="image14.png"/>
                    <pic:cNvPicPr preferRelativeResize="0"/>
                  </pic:nvPicPr>
                  <pic:blipFill>
                    <a:blip r:embed="rId6"/>
                    <a:srcRect b="6766" l="6586" r="3293" t="4310"/>
                    <a:stretch>
                      <a:fillRect/>
                    </a:stretch>
                  </pic:blipFill>
                  <pic:spPr>
                    <a:xfrm>
                      <a:off x="0" y="0"/>
                      <a:ext cx="3266187" cy="4481513"/>
                    </a:xfrm>
                    <a:prstGeom prst="rect"/>
                    <a:ln/>
                  </pic:spPr>
                </pic:pic>
              </a:graphicData>
            </a:graphic>
          </wp:anchor>
        </w:drawing>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4648200</wp:posOffset>
                </wp:positionH>
                <wp:positionV relativeFrom="paragraph">
                  <wp:posOffset>285750</wp:posOffset>
                </wp:positionV>
                <wp:extent cx="1833563" cy="417396"/>
                <wp:effectExtent b="0" l="0" r="0" t="0"/>
                <wp:wrapSquare wrapText="bothSides" distB="114300" distT="114300" distL="114300" distR="114300"/>
                <wp:docPr id="6" name=""/>
                <a:graphic>
                  <a:graphicData uri="http://schemas.microsoft.com/office/word/2010/wordprocessingShape">
                    <wps:wsp>
                      <wps:cNvSpPr txBox="1"/>
                      <wps:cNvPr id="2" name="Shape 2"/>
                      <wps:spPr>
                        <a:xfrm>
                          <a:off x="1484075" y="621250"/>
                          <a:ext cx="2325900" cy="51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Figure 1 : Front view of the object. Davison. E, 2025, taken at Lampeter UWTSD Archives.</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4648200</wp:posOffset>
                </wp:positionH>
                <wp:positionV relativeFrom="paragraph">
                  <wp:posOffset>285750</wp:posOffset>
                </wp:positionV>
                <wp:extent cx="1833563" cy="417396"/>
                <wp:effectExtent b="0" l="0" r="0" t="0"/>
                <wp:wrapSquare wrapText="bothSides" distB="114300" distT="114300" distL="114300" distR="114300"/>
                <wp:docPr id="6"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1833563" cy="417396"/>
                        </a:xfrm>
                        <a:prstGeom prst="rect"/>
                        <a:ln/>
                      </pic:spPr>
                    </pic:pic>
                  </a:graphicData>
                </a:graphic>
              </wp:anchor>
            </w:drawing>
          </mc:Fallback>
        </mc:AlternateConten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8"/>
          <w:szCs w:val="28"/>
        </w:rPr>
      </w:pPr>
      <w:r w:rsidDel="00000000" w:rsidR="00000000" w:rsidRPr="00000000">
        <w:rPr>
          <w:b w:val="1"/>
          <w:sz w:val="28"/>
          <w:szCs w:val="28"/>
          <w:rtl w:val="0"/>
        </w:rPr>
        <w:t xml:space="preserve">Statue Head </w:t>
      </w:r>
      <w:r w:rsidDel="00000000" w:rsidR="00000000" w:rsidRPr="00000000">
        <w:rPr>
          <w:sz w:val="28"/>
          <w:szCs w:val="28"/>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b w:val="1"/>
          <w:sz w:val="24"/>
          <w:szCs w:val="24"/>
          <w:rtl w:val="0"/>
        </w:rPr>
        <w:t xml:space="preserve">Cyfarthfa Castle, Merthyr Tydfil CCM 276.004</w:t>
      </w:r>
      <w:r w:rsidDel="00000000" w:rsidR="00000000" w:rsidRPr="00000000">
        <w:rPr>
          <w:sz w:val="24"/>
          <w:szCs w:val="24"/>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0"/>
          <w:szCs w:val="20"/>
        </w:rPr>
      </w:pPr>
      <w:r w:rsidDel="00000000" w:rsidR="00000000" w:rsidRPr="00000000">
        <w:rPr>
          <w:b w:val="1"/>
          <w:sz w:val="24"/>
          <w:szCs w:val="24"/>
          <w:rtl w:val="0"/>
        </w:rPr>
        <w:t xml:space="preserve">Object Type: </w:t>
      </w:r>
      <w:r w:rsidDel="00000000" w:rsidR="00000000" w:rsidRPr="00000000">
        <w:rPr>
          <w:rtl w:val="0"/>
        </w:rPr>
        <w:t xml:space="preserve">Statue</w:t>
      </w:r>
      <w:r w:rsidDel="00000000" w:rsidR="00000000" w:rsidRPr="00000000">
        <w:rPr>
          <w:sz w:val="20"/>
          <w:szCs w:val="20"/>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b w:val="1"/>
          <w:sz w:val="24"/>
          <w:szCs w:val="24"/>
          <w:rtl w:val="0"/>
        </w:rPr>
        <w:t xml:space="preserve">Material: </w:t>
      </w:r>
      <w:r w:rsidDel="00000000" w:rsidR="00000000" w:rsidRPr="00000000">
        <w:rPr>
          <w:rtl w:val="0"/>
        </w:rPr>
        <w:t xml:space="preserve">Granodiorite </w:t>
      </w:r>
      <w:r w:rsidDel="00000000" w:rsidR="00000000" w:rsidRPr="00000000">
        <w:rPr>
          <w:sz w:val="24"/>
          <w:szCs w:val="24"/>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b w:val="1"/>
          <w:sz w:val="24"/>
          <w:szCs w:val="24"/>
          <w:rtl w:val="0"/>
        </w:rPr>
        <w:t xml:space="preserve">Period: </w:t>
      </w:r>
      <w:r w:rsidDel="00000000" w:rsidR="00000000" w:rsidRPr="00000000">
        <w:rPr>
          <w:rtl w:val="0"/>
        </w:rPr>
        <w:t xml:space="preserve">Late Period (25</w:t>
      </w:r>
      <w:r w:rsidDel="00000000" w:rsidR="00000000" w:rsidRPr="00000000">
        <w:rPr>
          <w:sz w:val="28"/>
          <w:szCs w:val="28"/>
          <w:vertAlign w:val="superscript"/>
          <w:rtl w:val="0"/>
        </w:rPr>
        <w:t xml:space="preserve">th</w:t>
      </w:r>
      <w:r w:rsidDel="00000000" w:rsidR="00000000" w:rsidRPr="00000000">
        <w:rPr>
          <w:rtl w:val="0"/>
        </w:rPr>
        <w:t xml:space="preserve"> – 26</w:t>
      </w:r>
      <w:r w:rsidDel="00000000" w:rsidR="00000000" w:rsidRPr="00000000">
        <w:rPr>
          <w:sz w:val="28"/>
          <w:szCs w:val="28"/>
          <w:vertAlign w:val="superscript"/>
          <w:rtl w:val="0"/>
        </w:rPr>
        <w:t xml:space="preserve">th</w:t>
      </w:r>
      <w:r w:rsidDel="00000000" w:rsidR="00000000" w:rsidRPr="00000000">
        <w:rPr>
          <w:rtl w:val="0"/>
        </w:rPr>
        <w:t xml:space="preserve"> Dynasties.)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b w:val="1"/>
          <w:sz w:val="24"/>
          <w:szCs w:val="24"/>
          <w:rtl w:val="0"/>
        </w:rPr>
        <w:t xml:space="preserve">Provenance: </w:t>
      </w:r>
      <w:r w:rsidDel="00000000" w:rsidR="00000000" w:rsidRPr="00000000">
        <w:rPr>
          <w:rtl w:val="0"/>
        </w:rPr>
        <w:t xml:space="preserve">Unknown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b w:val="1"/>
          <w:sz w:val="24"/>
          <w:szCs w:val="24"/>
          <w:rtl w:val="0"/>
        </w:rPr>
        <w:t xml:space="preserve">Dimension: </w:t>
      </w:r>
      <w:r w:rsidDel="00000000" w:rsidR="00000000" w:rsidRPr="00000000">
        <w:rPr>
          <w:sz w:val="24"/>
          <w:szCs w:val="24"/>
          <w:rtl w:val="0"/>
        </w:rPr>
        <w:t xml:space="preserve"> </w:t>
      </w:r>
    </w:p>
    <w:p w:rsidR="00000000" w:rsidDel="00000000" w:rsidP="00000000" w:rsidRDefault="00000000" w:rsidRPr="00000000" w14:paraId="00000018">
      <w:pPr>
        <w:numPr>
          <w:ilvl w:val="0"/>
          <w:numId w:val="5"/>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Height - 19.1cm </w:t>
      </w:r>
    </w:p>
    <w:p w:rsidR="00000000" w:rsidDel="00000000" w:rsidP="00000000" w:rsidRDefault="00000000" w:rsidRPr="00000000" w14:paraId="00000019">
      <w:pPr>
        <w:numPr>
          <w:ilvl w:val="0"/>
          <w:numId w:val="2"/>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Width at widest point – 17cm  </w:t>
      </w:r>
    </w:p>
    <w:p w:rsidR="00000000" w:rsidDel="00000000" w:rsidP="00000000" w:rsidRDefault="00000000" w:rsidRPr="00000000" w14:paraId="0000001A">
      <w:pPr>
        <w:numPr>
          <w:ilvl w:val="0"/>
          <w:numId w:val="6"/>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Width at narrowest point – 10.3cm  </w:t>
      </w:r>
    </w:p>
    <w:p w:rsidR="00000000" w:rsidDel="00000000" w:rsidP="00000000" w:rsidRDefault="00000000" w:rsidRPr="00000000" w14:paraId="0000001B">
      <w:pPr>
        <w:numPr>
          <w:ilvl w:val="0"/>
          <w:numId w:val="4"/>
        </w:numPr>
        <w:pBdr>
          <w:top w:color="auto" w:space="0" w:sz="0" w:val="none"/>
          <w:bottom w:color="auto" w:space="0" w:sz="0" w:val="none"/>
          <w:right w:color="auto" w:space="0" w:sz="0" w:val="none"/>
          <w:between w:color="auto" w:space="0" w:sz="0" w:val="none"/>
        </w:pBdr>
        <w:ind w:left="1080" w:hanging="360"/>
        <w:rPr>
          <w:rFonts w:ascii="Arial" w:cs="Arial" w:eastAsia="Arial" w:hAnsi="Arial"/>
          <w:sz w:val="22"/>
          <w:szCs w:val="22"/>
        </w:rPr>
      </w:pPr>
      <w:r w:rsidDel="00000000" w:rsidR="00000000" w:rsidRPr="00000000">
        <w:rPr>
          <w:rtl w:val="0"/>
        </w:rPr>
        <w:t xml:space="preserve">Depth at widest point – 14.5cm </w:t>
      </w:r>
    </w:p>
    <w:p w:rsidR="00000000" w:rsidDel="00000000" w:rsidP="00000000" w:rsidRDefault="00000000" w:rsidRPr="00000000" w14:paraId="0000001C">
      <w:pPr>
        <w:pBdr>
          <w:top w:color="auto" w:space="0" w:sz="0" w:val="none"/>
          <w:bottom w:color="auto" w:space="0" w:sz="0" w:val="none"/>
          <w:right w:color="auto" w:space="0" w:sz="0" w:val="none"/>
          <w:between w:color="auto" w:space="0" w:sz="0" w:val="none"/>
        </w:pBdr>
        <w:ind w:left="0" w:firstLine="0"/>
        <w:rPr/>
      </w:pPr>
      <w:r w:rsidDel="00000000" w:rsidR="00000000" w:rsidRPr="00000000">
        <w:rPr>
          <w:rtl w:val="0"/>
        </w:rPr>
        <w:t xml:space="preserv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0"/>
          <w:szCs w:val="20"/>
        </w:rPr>
      </w:pPr>
      <w:r w:rsidDel="00000000" w:rsidR="00000000" w:rsidRPr="00000000">
        <w:rPr>
          <w:sz w:val="24"/>
          <w:szCs w:val="24"/>
          <w:rtl w:val="0"/>
        </w:rPr>
        <w:t xml:space="preserve">Object analysis by</w:t>
      </w:r>
      <w:r w:rsidDel="00000000" w:rsidR="00000000" w:rsidRPr="00000000">
        <w:rPr>
          <w:sz w:val="20"/>
          <w:szCs w:val="20"/>
          <w:rtl w:val="0"/>
        </w:rPr>
        <w:t xml:space="preserve">: </w:t>
      </w:r>
      <w:r w:rsidDel="00000000" w:rsidR="00000000" w:rsidRPr="00000000">
        <w:rPr>
          <w:rtl w:val="0"/>
        </w:rPr>
        <w:t xml:space="preserve">Ehlana Davison </w:t>
      </w:r>
      <w:r w:rsidDel="00000000" w:rsidR="00000000" w:rsidRPr="00000000">
        <w:rPr>
          <w:sz w:val="20"/>
          <w:szCs w:val="20"/>
          <w:rtl w:val="0"/>
        </w:rPr>
        <w:t xml:space="preserve">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b w:val="1"/>
          <w:sz w:val="24"/>
          <w:szCs w:val="24"/>
          <w:rtl w:val="0"/>
        </w:rPr>
        <w:t xml:space="preserve">Description:</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1F">
      <w:pPr>
        <w:jc w:val="both"/>
        <w:rPr>
          <w:highlight w:val="white"/>
        </w:rPr>
      </w:pPr>
      <w:r w:rsidDel="00000000" w:rsidR="00000000" w:rsidRPr="00000000">
        <w:rPr>
          <w:highlight w:val="white"/>
          <w:rtl w:val="0"/>
        </w:rPr>
        <w:t xml:space="preserve">The statue head is made of black granodiorite with obvious inclusions of quartz which creates a mottled appearance. The striated wig is narrow and comes down low creating the image of a much smaller forehead, while his face is round with a wide, rounded chin and fleshy cheeks. His ears are quite large, extending above his eyebrows behind which his wig is tucked. His eyebrows are long and narrow, not particularly well defined and carved on a flat brow ridge, so too are his eyes long and narrow but almond in shape with somewhat defined eyelids or eyeliner without the well-known wing of some older examples, such as this 18th dynasty royal bust (Figure 2). His nose is straight and narrow at the bridge, widening some as it comes to the nostrils and tip of the nose and his mouth is thin too but </w:t>
      </w:r>
      <w:r w:rsidDel="00000000" w:rsidR="00000000" w:rsidRPr="00000000">
        <w:rPr>
          <w:highlight w:val="white"/>
          <w:rtl w:val="0"/>
        </w:rPr>
        <w:t xml:space="preserve">protrudent</w:t>
      </w:r>
      <w:r w:rsidDel="00000000" w:rsidR="00000000" w:rsidRPr="00000000">
        <w:rPr>
          <w:highlight w:val="white"/>
          <w:rtl w:val="0"/>
        </w:rPr>
        <w:t xml:space="preserve">. His face is mostly proportionate with the distance between his nose and the lower part of his face being the same even if the forehead is smaller due to the wig, his mouth reaches the middle of the eyes as it should. Though his eyes are slightly closer together than the width of the eyes with the eyes being a centimetre smaller than the eyes themselves and the ear being slightly bigger than they should be according to proportions. </w:t>
      </w:r>
      <w:r w:rsidDel="00000000" w:rsidR="00000000" w:rsidRPr="00000000">
        <w:drawing>
          <wp:anchor allowOverlap="1" behindDoc="0" distB="114300" distT="114300" distL="114300" distR="114300" hidden="0" layoutInCell="1" locked="0" relativeHeight="0" simplePos="0">
            <wp:simplePos x="0" y="0"/>
            <wp:positionH relativeFrom="column">
              <wp:posOffset>5305425</wp:posOffset>
            </wp:positionH>
            <wp:positionV relativeFrom="paragraph">
              <wp:posOffset>2997664</wp:posOffset>
            </wp:positionV>
            <wp:extent cx="1073996" cy="1438275"/>
            <wp:effectExtent b="0" l="0" r="0" t="0"/>
            <wp:wrapSquare wrapText="bothSides" distB="114300" distT="114300" distL="114300" distR="114300"/>
            <wp:docPr id="11"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1073996" cy="143827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5067300</wp:posOffset>
            </wp:positionH>
            <wp:positionV relativeFrom="paragraph">
              <wp:posOffset>885825</wp:posOffset>
            </wp:positionV>
            <wp:extent cx="1397000" cy="1435100"/>
            <wp:effectExtent b="0" l="0" r="0" t="0"/>
            <wp:wrapSquare wrapText="bothSides" distB="114300" distT="114300" distL="114300" distR="114300"/>
            <wp:docPr id="9"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1397000" cy="1435100"/>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4848225</wp:posOffset>
                </wp:positionH>
                <wp:positionV relativeFrom="paragraph">
                  <wp:posOffset>2390775</wp:posOffset>
                </wp:positionV>
                <wp:extent cx="1833563" cy="417396"/>
                <wp:effectExtent b="0" l="0" r="0" t="0"/>
                <wp:wrapSquare wrapText="bothSides" distB="114300" distT="114300" distL="114300" distR="114300"/>
                <wp:docPr id="7" name=""/>
                <a:graphic>
                  <a:graphicData uri="http://schemas.microsoft.com/office/word/2010/wordprocessingShape">
                    <wps:wsp>
                      <wps:cNvSpPr txBox="1"/>
                      <wps:cNvPr id="2" name="Shape 2"/>
                      <wps:spPr>
                        <a:xfrm>
                          <a:off x="1484075" y="621250"/>
                          <a:ext cx="2325900" cy="51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Figure 2: EA956 - </w:t>
                            </w:r>
                            <w:r w:rsidDel="00000000" w:rsidR="00000000" w:rsidRPr="00000000">
                              <w:rPr>
                                <w:rFonts w:ascii="Arial" w:cs="Arial" w:eastAsia="Arial" w:hAnsi="Arial"/>
                                <w:b w:val="0"/>
                                <w:i w:val="0"/>
                                <w:smallCaps w:val="0"/>
                                <w:strike w:val="0"/>
                                <w:color w:val="000000"/>
                                <w:sz w:val="16"/>
                                <w:vertAlign w:val="baseline"/>
                              </w:rPr>
                              <w:t xml:space="preserve">Fragment</w:t>
                            </w:r>
                            <w:r w:rsidDel="00000000" w:rsidR="00000000" w:rsidRPr="00000000">
                              <w:rPr>
                                <w:rFonts w:ascii="Arial" w:cs="Arial" w:eastAsia="Arial" w:hAnsi="Arial"/>
                                <w:b w:val="0"/>
                                <w:i w:val="0"/>
                                <w:smallCaps w:val="0"/>
                                <w:strike w:val="0"/>
                                <w:color w:val="000000"/>
                                <w:sz w:val="16"/>
                                <w:vertAlign w:val="baseline"/>
                              </w:rPr>
                              <w:t xml:space="preserve"> </w:t>
                            </w:r>
                            <w:r w:rsidDel="00000000" w:rsidR="00000000" w:rsidRPr="00000000">
                              <w:rPr>
                                <w:rFonts w:ascii="Arial" w:cs="Arial" w:eastAsia="Arial" w:hAnsi="Arial"/>
                                <w:b w:val="0"/>
                                <w:i w:val="0"/>
                                <w:smallCaps w:val="0"/>
                                <w:strike w:val="0"/>
                                <w:color w:val="000000"/>
                                <w:sz w:val="16"/>
                                <w:vertAlign w:val="baseline"/>
                              </w:rPr>
                              <w:t xml:space="preserve">statute</w:t>
                            </w:r>
                            <w:r w:rsidDel="00000000" w:rsidR="00000000" w:rsidRPr="00000000">
                              <w:rPr>
                                <w:rFonts w:ascii="Arial" w:cs="Arial" w:eastAsia="Arial" w:hAnsi="Arial"/>
                                <w:b w:val="0"/>
                                <w:i w:val="0"/>
                                <w:smallCaps w:val="0"/>
                                <w:strike w:val="0"/>
                                <w:color w:val="000000"/>
                                <w:sz w:val="16"/>
                                <w:vertAlign w:val="baseline"/>
                              </w:rPr>
                              <w:t xml:space="preserve"> of the head of a royal from the 18th dynasty.</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r w:rsidDel="00000000" w:rsidR="00000000" w:rsidRPr="00000000">
                              <w:rPr>
                                <w:rFonts w:ascii="Arial" w:cs="Arial" w:eastAsia="Arial" w:hAnsi="Arial"/>
                                <w:b w:val="0"/>
                                <w:i w:val="0"/>
                                <w:smallCaps w:val="0"/>
                                <w:strike w:val="0"/>
                                <w:color w:val="000000"/>
                                <w:sz w:val="16"/>
                                <w:vertAlign w:val="baseline"/>
                              </w:rPr>
                              <w:t xml:space="preserve">The British Museum.</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4848225</wp:posOffset>
                </wp:positionH>
                <wp:positionV relativeFrom="paragraph">
                  <wp:posOffset>2390775</wp:posOffset>
                </wp:positionV>
                <wp:extent cx="1833563" cy="417396"/>
                <wp:effectExtent b="0" l="0" r="0" t="0"/>
                <wp:wrapSquare wrapText="bothSides" distB="114300" distT="114300" distL="114300" distR="114300"/>
                <wp:docPr id="7"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1833563" cy="417396"/>
                        </a:xfrm>
                        <a:prstGeom prst="rect"/>
                        <a:ln/>
                      </pic:spPr>
                    </pic:pic>
                  </a:graphicData>
                </a:graphic>
              </wp:anchor>
            </w:drawing>
          </mc:Fallback>
        </mc:AlternateContent>
      </w:r>
    </w:p>
    <w:p w:rsidR="00000000" w:rsidDel="00000000" w:rsidP="00000000" w:rsidRDefault="00000000" w:rsidRPr="00000000" w14:paraId="00000020">
      <w:pPr>
        <w:jc w:val="both"/>
        <w:rPr>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-409574</wp:posOffset>
            </wp:positionH>
            <wp:positionV relativeFrom="paragraph">
              <wp:posOffset>232363</wp:posOffset>
            </wp:positionV>
            <wp:extent cx="1465934" cy="1954579"/>
            <wp:effectExtent b="0" l="0" r="0" t="0"/>
            <wp:wrapSquare wrapText="bothSides" distB="114300" distT="114300" distL="114300" distR="114300"/>
            <wp:docPr id="10"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1465934" cy="1954579"/>
                    </a:xfrm>
                    <a:prstGeom prst="rect"/>
                    <a:ln/>
                  </pic:spPr>
                </pic:pic>
              </a:graphicData>
            </a:graphic>
          </wp:anchor>
        </w:drawing>
      </w:r>
    </w:p>
    <w:p w:rsidR="00000000" w:rsidDel="00000000" w:rsidP="00000000" w:rsidRDefault="00000000" w:rsidRPr="00000000" w14:paraId="00000021">
      <w:pPr>
        <w:jc w:val="both"/>
        <w:rPr>
          <w:highlight w:val="white"/>
        </w:rPr>
      </w:pPr>
      <w:r w:rsidDel="00000000" w:rsidR="00000000" w:rsidRPr="00000000">
        <w:rPr>
          <w:highlight w:val="white"/>
          <w:rtl w:val="0"/>
        </w:rPr>
        <w:t xml:space="preserve">It is broken at the neck and shoulders (Figure 1) with further impact damage on the back of the head near the top of the right (Figure 3), which indicates it was once part of a larger statue. Such a  statue would have likely been a seated or standing statue. Based on the breakage at the neck but lack of on the face, it is highly possible that it was a seated statue, that perhaps fell or had something fall on it, the knees would have protected its face from damage despite it breaking at the neck. Due to the lack of cleaning up where the breakage happened (Figure 4) and lack of mount it is more likely that it was broken accidentally than purposefully. The statue itself is probably that of a high official and a man, due to the expense of both the material and carving it and male for the gender disparity and low probability of women becoming elites in ancient Egypt.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-595312</wp:posOffset>
                </wp:positionH>
                <wp:positionV relativeFrom="paragraph">
                  <wp:posOffset>2049163</wp:posOffset>
                </wp:positionV>
                <wp:extent cx="1833563" cy="417396"/>
                <wp:effectExtent b="0" l="0" r="0" t="0"/>
                <wp:wrapSquare wrapText="bothSides" distB="114300" distT="114300" distL="114300" distR="114300"/>
                <wp:docPr id="3" name=""/>
                <a:graphic>
                  <a:graphicData uri="http://schemas.microsoft.com/office/word/2010/wordprocessingShape">
                    <wps:wsp>
                      <wps:cNvSpPr txBox="1"/>
                      <wps:cNvPr id="2" name="Shape 2"/>
                      <wps:spPr>
                        <a:xfrm>
                          <a:off x="1484075" y="621250"/>
                          <a:ext cx="2325900" cy="51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Figure 4 : Underside view of the object. Caddy. A, 2025, taken at Lampeter UWTSD Archives.</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-595312</wp:posOffset>
                </wp:positionH>
                <wp:positionV relativeFrom="paragraph">
                  <wp:posOffset>2049163</wp:posOffset>
                </wp:positionV>
                <wp:extent cx="1833563" cy="417396"/>
                <wp:effectExtent b="0" l="0" r="0" t="0"/>
                <wp:wrapSquare wrapText="bothSides" distB="114300" distT="114300" distL="114300" distR="114300"/>
                <wp:docPr id="3"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1833563" cy="417396"/>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4924425</wp:posOffset>
                </wp:positionH>
                <wp:positionV relativeFrom="paragraph">
                  <wp:posOffset>1298111</wp:posOffset>
                </wp:positionV>
                <wp:extent cx="1833563" cy="417396"/>
                <wp:effectExtent b="0" l="0" r="0" t="0"/>
                <wp:wrapSquare wrapText="bothSides" distB="114300" distT="114300" distL="114300" distR="114300"/>
                <wp:docPr id="5" name=""/>
                <a:graphic>
                  <a:graphicData uri="http://schemas.microsoft.com/office/word/2010/wordprocessingShape">
                    <wps:wsp>
                      <wps:cNvSpPr txBox="1"/>
                      <wps:cNvPr id="2" name="Shape 2"/>
                      <wps:spPr>
                        <a:xfrm>
                          <a:off x="1484075" y="621250"/>
                          <a:ext cx="2325900" cy="51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Figure 3 : Topside  view of the object with impact damage to the top right visible.. Caddy. A, 2025, taken at Lampeter UWTSD Archives.</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4924425</wp:posOffset>
                </wp:positionH>
                <wp:positionV relativeFrom="paragraph">
                  <wp:posOffset>1298111</wp:posOffset>
                </wp:positionV>
                <wp:extent cx="1833563" cy="417396"/>
                <wp:effectExtent b="0" l="0" r="0" t="0"/>
                <wp:wrapSquare wrapText="bothSides" distB="114300" distT="114300" distL="114300" distR="114300"/>
                <wp:docPr id="5"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1833563" cy="417396"/>
                        </a:xfrm>
                        <a:prstGeom prst="rect"/>
                        <a:ln/>
                      </pic:spPr>
                    </pic:pic>
                  </a:graphicData>
                </a:graphic>
              </wp:anchor>
            </w:drawing>
          </mc:Fallback>
        </mc:AlternateContent>
      </w:r>
    </w:p>
    <w:p w:rsidR="00000000" w:rsidDel="00000000" w:rsidP="00000000" w:rsidRDefault="00000000" w:rsidRPr="00000000" w14:paraId="00000022">
      <w:pPr>
        <w:jc w:val="both"/>
        <w:rPr>
          <w:highlight w:val="white"/>
        </w:rPr>
      </w:pPr>
      <w:r w:rsidDel="00000000" w:rsidR="00000000" w:rsidRPr="00000000">
        <w:rPr>
          <w:rtl w:val="0"/>
        </w:rPr>
      </w:r>
    </w:p>
    <w:p w:rsidR="00000000" w:rsidDel="00000000" w:rsidP="00000000" w:rsidRDefault="00000000" w:rsidRPr="00000000" w14:paraId="00000023">
      <w:pPr>
        <w:jc w:val="both"/>
        <w:rPr>
          <w:highlight w:val="white"/>
        </w:rPr>
      </w:pPr>
      <w:r w:rsidDel="00000000" w:rsidR="00000000" w:rsidRPr="00000000">
        <w:rPr>
          <w:highlight w:val="white"/>
          <w:rtl w:val="0"/>
        </w:rPr>
        <w:t xml:space="preserve">The colour of this statue can give us insight into what it is more likely to have been - in Ancient Egypt the colour black is both the colour of the underworld and the dead but also life and resurrection (Wilkinson, R.H, 1994, p.109-110) due to the myths of Osiris god of the underworld and also resurrected after being killed by his brother (Taylor, J.H, 2001, p.25-27) and because of the black Nile silt that is incredibly fertile and is left behind after the annual flood which causes great destruction. As such it is highly likely that this statue was a tomb statue, one that would have been one of likely many depictions of the tomb owner and in the afterlife would have come together as different aspects of the deceased person to form their body in the afterlife - which would have then been inhabited by the Ka, just one of many aspects of what we might call the soul, in ancient Egypt. To call it the soul is incorrect but it is a good way of understanding the Ka that reanimates the body for the afterlife and takes nutrients from offerings to animate the body and keep it in good condition for the deceased's afterlife (Harrington. N, 2013, p.13-15). </w:t>
      </w:r>
    </w:p>
    <w:p w:rsidR="00000000" w:rsidDel="00000000" w:rsidP="00000000" w:rsidRDefault="00000000" w:rsidRPr="00000000" w14:paraId="00000024">
      <w:pPr>
        <w:jc w:val="both"/>
        <w:rPr>
          <w:highlight w:val="white"/>
        </w:rPr>
      </w:pPr>
      <w:r w:rsidDel="00000000" w:rsidR="00000000" w:rsidRPr="00000000">
        <w:rPr>
          <w:rtl w:val="0"/>
        </w:rPr>
      </w:r>
    </w:p>
    <w:p w:rsidR="00000000" w:rsidDel="00000000" w:rsidP="00000000" w:rsidRDefault="00000000" w:rsidRPr="00000000" w14:paraId="00000025">
      <w:pPr>
        <w:jc w:val="both"/>
        <w:rPr>
          <w:highlight w:val="white"/>
        </w:rPr>
      </w:pPr>
      <w:r w:rsidDel="00000000" w:rsidR="00000000" w:rsidRPr="00000000">
        <w:rPr>
          <w:highlight w:val="white"/>
          <w:rtl w:val="0"/>
        </w:rPr>
        <w:t xml:space="preserve">The colour of this statue comes from the black granodiorite that it is made from, while it may simply be granite the darkness of the colour suggests granodiorite (National Park Service, 2016). While we can’t definitively say where such an object came from originally, it is likely the material came from the quarries of Aswan or potentially Sehel but Aswan being the larger quarry it was probably from there (Harrell. J and Storemyr. P, 2009, p.16), however from there it could have been transported across Egypt and maybe the Levant, however the stone probably would not have come from there as they did not quarry granodiorite with the geological makeup being primarily that of chalk, limestone and basalt (Novikov. I, Vapnik. Y and Safonova. I, 2013)</w:t>
      </w:r>
    </w:p>
    <w:p w:rsidR="00000000" w:rsidDel="00000000" w:rsidP="00000000" w:rsidRDefault="00000000" w:rsidRPr="00000000" w14:paraId="00000026">
      <w:pPr>
        <w:jc w:val="both"/>
        <w:rPr>
          <w:highlight w:val="white"/>
        </w:rPr>
      </w:pPr>
      <w:r w:rsidDel="00000000" w:rsidR="00000000" w:rsidRPr="00000000">
        <w:rPr>
          <w:rtl w:val="0"/>
        </w:rPr>
      </w:r>
    </w:p>
    <w:p w:rsidR="00000000" w:rsidDel="00000000" w:rsidP="00000000" w:rsidRDefault="00000000" w:rsidRPr="00000000" w14:paraId="00000027">
      <w:pPr>
        <w:jc w:val="both"/>
        <w:rPr>
          <w:highlight w:val="white"/>
        </w:rPr>
      </w:pPr>
      <w:r w:rsidDel="00000000" w:rsidR="00000000" w:rsidRPr="00000000">
        <w:rPr>
          <w:highlight w:val="white"/>
          <w:rtl w:val="0"/>
        </w:rPr>
        <w:t xml:space="preserve">Due to the lack of provenance and knowledge about this object, the date of its origin can only be estimated using the style of the statue and using comparative examples. Should it just be dated by the style of wig, it could be confidently dated to the Middle Kingdom (2040 - 1650 BC (Lloyd, A. B, 2010, p.xxxv)) as per the example in Figure 5. However the other features, eyes, nose and mouth even the statue itself is difficult to place into one period, due to the varying styles - then again it is because of this that it is even easier to place it into the Late Period of Egypt. Late Period Egypt (664-332 (Lloyd, A. B, 2010, p.xxxviii)), particularly the 25th and 26th Dynasty was well known for the practice of Archaism - which was the ‘conscious return to past styles and models that have long been out of use’ (Kahl. J, 2010). These dynasties particularly took from the Middle Kingdom and 18th dynasty which would explain the familiarities between Figure 1 and Figures 5, 6 and 7 (Kahl. J, 2010).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-657224</wp:posOffset>
                </wp:positionH>
                <wp:positionV relativeFrom="paragraph">
                  <wp:posOffset>3105150</wp:posOffset>
                </wp:positionV>
                <wp:extent cx="1833563" cy="417396"/>
                <wp:effectExtent b="0" l="0" r="0" t="0"/>
                <wp:wrapSquare wrapText="bothSides" distB="114300" distT="114300" distL="114300" distR="114300"/>
                <wp:docPr id="4" name=""/>
                <a:graphic>
                  <a:graphicData uri="http://schemas.microsoft.com/office/word/2010/wordprocessingShape">
                    <wps:wsp>
                      <wps:cNvSpPr txBox="1"/>
                      <wps:cNvPr id="2" name="Shape 2"/>
                      <wps:spPr>
                        <a:xfrm>
                          <a:off x="1484075" y="621250"/>
                          <a:ext cx="2325900" cy="51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Figure 6: EA174 - Seated statue of Senenmut holding Neferura, 18th Dynasty.</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r w:rsidDel="00000000" w:rsidR="00000000" w:rsidRPr="00000000">
                              <w:rPr>
                                <w:rFonts w:ascii="Arial" w:cs="Arial" w:eastAsia="Arial" w:hAnsi="Arial"/>
                                <w:b w:val="0"/>
                                <w:i w:val="0"/>
                                <w:smallCaps w:val="0"/>
                                <w:strike w:val="0"/>
                                <w:color w:val="000000"/>
                                <w:sz w:val="16"/>
                                <w:vertAlign w:val="baseline"/>
                              </w:rPr>
                              <w:t xml:space="preserve">The British Museum.</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-657224</wp:posOffset>
                </wp:positionH>
                <wp:positionV relativeFrom="paragraph">
                  <wp:posOffset>3105150</wp:posOffset>
                </wp:positionV>
                <wp:extent cx="1833563" cy="417396"/>
                <wp:effectExtent b="0" l="0" r="0" t="0"/>
                <wp:wrapSquare wrapText="bothSides" distB="114300" distT="114300" distL="114300" distR="114300"/>
                <wp:docPr id="4"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1833563" cy="417396"/>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4838700</wp:posOffset>
            </wp:positionH>
            <wp:positionV relativeFrom="paragraph">
              <wp:posOffset>2019300</wp:posOffset>
            </wp:positionV>
            <wp:extent cx="1390650" cy="2044088"/>
            <wp:effectExtent b="0" l="0" r="0" t="0"/>
            <wp:wrapSquare wrapText="bothSides" distB="114300" distT="114300" distL="114300" distR="114300"/>
            <wp:docPr id="14" name="image9.png"/>
            <a:graphic>
              <a:graphicData uri="http://schemas.openxmlformats.org/drawingml/2006/picture">
                <pic:pic>
                  <pic:nvPicPr>
                    <pic:cNvPr id="0" name="image9.png"/>
                    <pic:cNvPicPr preferRelativeResize="0"/>
                  </pic:nvPicPr>
                  <pic:blipFill>
                    <a:blip r:embed="rId11"/>
                    <a:srcRect b="8641" l="12328" r="13013" t="12809"/>
                    <a:stretch>
                      <a:fillRect/>
                    </a:stretch>
                  </pic:blipFill>
                  <pic:spPr>
                    <a:xfrm>
                      <a:off x="0" y="0"/>
                      <a:ext cx="1390650" cy="2044088"/>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4791075</wp:posOffset>
                </wp:positionH>
                <wp:positionV relativeFrom="paragraph">
                  <wp:posOffset>1428750</wp:posOffset>
                </wp:positionV>
                <wp:extent cx="1833563" cy="417396"/>
                <wp:effectExtent b="0" l="0" r="0" t="0"/>
                <wp:wrapSquare wrapText="bothSides" distB="114300" distT="114300" distL="114300" distR="114300"/>
                <wp:docPr id="1" name=""/>
                <a:graphic>
                  <a:graphicData uri="http://schemas.microsoft.com/office/word/2010/wordprocessingShape">
                    <wps:wsp>
                      <wps:cNvSpPr txBox="1"/>
                      <wps:cNvPr id="2" name="Shape 2"/>
                      <wps:spPr>
                        <a:xfrm>
                          <a:off x="1484075" y="621250"/>
                          <a:ext cx="2325900" cy="51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Figure 5: RN 1920.261 - Head of an Official, MK, 13th dynasty.</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r w:rsidDel="00000000" w:rsidR="00000000" w:rsidRPr="00000000">
                              <w:rPr>
                                <w:rFonts w:ascii="Arial" w:cs="Arial" w:eastAsia="Arial" w:hAnsi="Arial"/>
                                <w:b w:val="0"/>
                                <w:i w:val="0"/>
                                <w:smallCaps w:val="0"/>
                                <w:strike w:val="0"/>
                                <w:color w:val="000000"/>
                                <w:sz w:val="16"/>
                                <w:vertAlign w:val="baseline"/>
                              </w:rPr>
                              <w:t xml:space="preserve">Art Institute Chicago.</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4791075</wp:posOffset>
                </wp:positionH>
                <wp:positionV relativeFrom="paragraph">
                  <wp:posOffset>1428750</wp:posOffset>
                </wp:positionV>
                <wp:extent cx="1833563" cy="417396"/>
                <wp:effectExtent b="0" l="0" r="0" t="0"/>
                <wp:wrapSquare wrapText="bothSides" distB="114300" distT="114300" distL="114300" distR="114300"/>
                <wp:docPr id="1"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1833563" cy="417396"/>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4791075</wp:posOffset>
            </wp:positionH>
            <wp:positionV relativeFrom="paragraph">
              <wp:posOffset>128062</wp:posOffset>
            </wp:positionV>
            <wp:extent cx="1390650" cy="1352550"/>
            <wp:effectExtent b="0" l="0" r="0" t="0"/>
            <wp:wrapSquare wrapText="bothSides" distB="114300" distT="114300" distL="114300" distR="114300"/>
            <wp:docPr id="13" name="image2.png"/>
            <a:graphic>
              <a:graphicData uri="http://schemas.openxmlformats.org/drawingml/2006/picture">
                <pic:pic>
                  <pic:nvPicPr>
                    <pic:cNvPr id="0" name="image2.png"/>
                    <pic:cNvPicPr preferRelativeResize="0"/>
                  </pic:nvPicPr>
                  <pic:blipFill>
                    <a:blip r:embed="rId12"/>
                    <a:srcRect b="0" l="8465" r="14285" t="0"/>
                    <a:stretch>
                      <a:fillRect/>
                    </a:stretch>
                  </pic:blipFill>
                  <pic:spPr>
                    <a:xfrm>
                      <a:off x="0" y="0"/>
                      <a:ext cx="1390650" cy="13525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-152399</wp:posOffset>
            </wp:positionH>
            <wp:positionV relativeFrom="paragraph">
              <wp:posOffset>1314450</wp:posOffset>
            </wp:positionV>
            <wp:extent cx="1178104" cy="1791700"/>
            <wp:effectExtent b="0" l="0" r="0" t="0"/>
            <wp:wrapSquare wrapText="bothSides" distB="114300" distT="114300" distL="114300" distR="114300"/>
            <wp:docPr id="12" name="image13.png"/>
            <a:graphic>
              <a:graphicData uri="http://schemas.openxmlformats.org/drawingml/2006/picture">
                <pic:pic>
                  <pic:nvPicPr>
                    <pic:cNvPr id="0" name="image13.png"/>
                    <pic:cNvPicPr preferRelativeResize="0"/>
                  </pic:nvPicPr>
                  <pic:blipFill>
                    <a:blip r:embed="rId13"/>
                    <a:srcRect b="0" l="0" r="0" t="0"/>
                    <a:stretch>
                      <a:fillRect/>
                    </a:stretch>
                  </pic:blipFill>
                  <pic:spPr>
                    <a:xfrm>
                      <a:off x="0" y="0"/>
                      <a:ext cx="1178104" cy="1791700"/>
                    </a:xfrm>
                    <a:prstGeom prst="rect"/>
                    <a:ln/>
                  </pic:spPr>
                </pic:pic>
              </a:graphicData>
            </a:graphic>
          </wp:anchor>
        </w:drawing>
      </w:r>
    </w:p>
    <w:p w:rsidR="00000000" w:rsidDel="00000000" w:rsidP="00000000" w:rsidRDefault="00000000" w:rsidRPr="00000000" w14:paraId="00000028">
      <w:pPr>
        <w:jc w:val="both"/>
        <w:rPr>
          <w:highlight w:val="white"/>
        </w:rPr>
      </w:pPr>
      <w:r w:rsidDel="00000000" w:rsidR="00000000" w:rsidRPr="00000000">
        <w:rPr>
          <w:rtl w:val="0"/>
        </w:rPr>
      </w:r>
    </w:p>
    <w:p w:rsidR="00000000" w:rsidDel="00000000" w:rsidP="00000000" w:rsidRDefault="00000000" w:rsidRPr="00000000" w14:paraId="00000029">
      <w:pPr>
        <w:jc w:val="both"/>
        <w:rPr>
          <w:highlight w:val="white"/>
        </w:rPr>
      </w:pPr>
      <w:r w:rsidDel="00000000" w:rsidR="00000000" w:rsidRPr="00000000">
        <w:rPr>
          <w:rtl w:val="0"/>
        </w:rPr>
      </w:r>
    </w:p>
    <w:p w:rsidR="00000000" w:rsidDel="00000000" w:rsidP="00000000" w:rsidRDefault="00000000" w:rsidRPr="00000000" w14:paraId="0000002A">
      <w:pPr>
        <w:jc w:val="both"/>
        <w:rPr>
          <w:highlight w:val="white"/>
        </w:rPr>
      </w:pPr>
      <w:r w:rsidDel="00000000" w:rsidR="00000000" w:rsidRPr="00000000">
        <w:rPr>
          <w:rtl w:val="0"/>
        </w:rPr>
      </w:r>
    </w:p>
    <w:p w:rsidR="00000000" w:rsidDel="00000000" w:rsidP="00000000" w:rsidRDefault="00000000" w:rsidRPr="00000000" w14:paraId="0000002B">
      <w:pPr>
        <w:jc w:val="both"/>
        <w:rPr>
          <w:highlight w:val="white"/>
        </w:rPr>
      </w:pPr>
      <w:r w:rsidDel="00000000" w:rsidR="00000000" w:rsidRPr="00000000">
        <w:rPr>
          <w:rtl w:val="0"/>
        </w:rPr>
      </w:r>
    </w:p>
    <w:p w:rsidR="00000000" w:rsidDel="00000000" w:rsidP="00000000" w:rsidRDefault="00000000" w:rsidRPr="00000000" w14:paraId="0000002C">
      <w:pPr>
        <w:jc w:val="both"/>
        <w:rPr>
          <w:highlight w:val="white"/>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4791075</wp:posOffset>
                </wp:positionH>
                <wp:positionV relativeFrom="paragraph">
                  <wp:posOffset>187686</wp:posOffset>
                </wp:positionV>
                <wp:extent cx="1833563" cy="417396"/>
                <wp:effectExtent b="0" l="0" r="0" t="0"/>
                <wp:wrapSquare wrapText="bothSides" distB="114300" distT="114300" distL="114300" distR="114300"/>
                <wp:docPr id="2" name=""/>
                <a:graphic>
                  <a:graphicData uri="http://schemas.microsoft.com/office/word/2010/wordprocessingShape">
                    <wps:wsp>
                      <wps:cNvSpPr txBox="1"/>
                      <wps:cNvPr id="2" name="Shape 2"/>
                      <wps:spPr>
                        <a:xfrm>
                          <a:off x="1484075" y="621250"/>
                          <a:ext cx="2325900" cy="517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Figure 7: RN 1924.754  - Statue of Shebenhor Late Period, 26th Dynasty.</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r w:rsidDel="00000000" w:rsidR="00000000" w:rsidRPr="00000000">
                              <w:rPr>
                                <w:rFonts w:ascii="Arial" w:cs="Arial" w:eastAsia="Arial" w:hAnsi="Arial"/>
                                <w:b w:val="0"/>
                                <w:i w:val="0"/>
                                <w:smallCaps w:val="0"/>
                                <w:strike w:val="0"/>
                                <w:color w:val="000000"/>
                                <w:sz w:val="16"/>
                                <w:vertAlign w:val="baseline"/>
                              </w:rPr>
                              <w:t xml:space="preserve">Art Institute Chicago.</w:t>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4791075</wp:posOffset>
                </wp:positionH>
                <wp:positionV relativeFrom="paragraph">
                  <wp:posOffset>187686</wp:posOffset>
                </wp:positionV>
                <wp:extent cx="1833563" cy="417396"/>
                <wp:effectExtent b="0" l="0" r="0" t="0"/>
                <wp:wrapSquare wrapText="bothSides" distB="114300" distT="114300" distL="114300" distR="114300"/>
                <wp:docPr id="2"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1833563" cy="417396"/>
                        </a:xfrm>
                        <a:prstGeom prst="rect"/>
                        <a:ln/>
                      </pic:spPr>
                    </pic:pic>
                  </a:graphicData>
                </a:graphic>
              </wp:anchor>
            </w:drawing>
          </mc:Fallback>
        </mc:AlternateContent>
      </w:r>
    </w:p>
    <w:p w:rsidR="00000000" w:rsidDel="00000000" w:rsidP="00000000" w:rsidRDefault="00000000" w:rsidRPr="00000000" w14:paraId="0000002D">
      <w:pPr>
        <w:jc w:val="both"/>
        <w:rPr>
          <w:highlight w:val="white"/>
        </w:rPr>
      </w:pPr>
      <w:r w:rsidDel="00000000" w:rsidR="00000000" w:rsidRPr="00000000">
        <w:rPr>
          <w:rtl w:val="0"/>
        </w:rPr>
      </w:r>
    </w:p>
    <w:p w:rsidR="00000000" w:rsidDel="00000000" w:rsidP="00000000" w:rsidRDefault="00000000" w:rsidRPr="00000000" w14:paraId="0000002E">
      <w:pPr>
        <w:jc w:val="both"/>
        <w:rPr>
          <w:highlight w:val="white"/>
        </w:rPr>
      </w:pPr>
      <w:r w:rsidDel="00000000" w:rsidR="00000000" w:rsidRPr="00000000">
        <w:rPr>
          <w:rtl w:val="0"/>
        </w:rPr>
      </w:r>
    </w:p>
    <w:p w:rsidR="00000000" w:rsidDel="00000000" w:rsidP="00000000" w:rsidRDefault="00000000" w:rsidRPr="00000000" w14:paraId="0000002F">
      <w:pPr>
        <w:jc w:val="both"/>
        <w:rPr>
          <w:highlight w:val="white"/>
        </w:rPr>
      </w:pPr>
      <w:r w:rsidDel="00000000" w:rsidR="00000000" w:rsidRPr="00000000">
        <w:rPr>
          <w:rtl w:val="0"/>
        </w:rPr>
      </w:r>
    </w:p>
    <w:p w:rsidR="00000000" w:rsidDel="00000000" w:rsidP="00000000" w:rsidRDefault="00000000" w:rsidRPr="00000000" w14:paraId="00000030">
      <w:pPr>
        <w:jc w:val="both"/>
        <w:rPr>
          <w:highlight w:val="white"/>
        </w:rPr>
      </w:pPr>
      <w:r w:rsidDel="00000000" w:rsidR="00000000" w:rsidRPr="00000000">
        <w:rPr>
          <w:rtl w:val="0"/>
        </w:rPr>
      </w:r>
    </w:p>
    <w:p w:rsidR="00000000" w:rsidDel="00000000" w:rsidP="00000000" w:rsidRDefault="00000000" w:rsidRPr="00000000" w14:paraId="00000031">
      <w:pPr>
        <w:jc w:val="both"/>
        <w:rPr>
          <w:highlight w:val="white"/>
        </w:rPr>
      </w:pPr>
      <w:r w:rsidDel="00000000" w:rsidR="00000000" w:rsidRPr="00000000">
        <w:rPr>
          <w:rtl w:val="0"/>
        </w:rPr>
      </w:r>
    </w:p>
    <w:p w:rsidR="00000000" w:rsidDel="00000000" w:rsidP="00000000" w:rsidRDefault="00000000" w:rsidRPr="00000000" w14:paraId="00000032">
      <w:pPr>
        <w:jc w:val="both"/>
        <w:rPr>
          <w:highlight w:val="white"/>
        </w:rPr>
      </w:pPr>
      <w:r w:rsidDel="00000000" w:rsidR="00000000" w:rsidRPr="00000000">
        <w:rPr>
          <w:rtl w:val="0"/>
        </w:rPr>
      </w:r>
    </w:p>
    <w:p w:rsidR="00000000" w:rsidDel="00000000" w:rsidP="00000000" w:rsidRDefault="00000000" w:rsidRPr="00000000" w14:paraId="00000033">
      <w:pPr>
        <w:jc w:val="both"/>
        <w:rPr>
          <w:highlight w:val="white"/>
        </w:rPr>
      </w:pPr>
      <w:r w:rsidDel="00000000" w:rsidR="00000000" w:rsidRPr="00000000">
        <w:rPr>
          <w:rtl w:val="0"/>
        </w:rPr>
      </w:r>
    </w:p>
    <w:p w:rsidR="00000000" w:rsidDel="00000000" w:rsidP="00000000" w:rsidRDefault="00000000" w:rsidRPr="00000000" w14:paraId="00000034">
      <w:pPr>
        <w:jc w:val="both"/>
        <w:rPr>
          <w:highlight w:val="white"/>
        </w:rPr>
      </w:pPr>
      <w:r w:rsidDel="00000000" w:rsidR="00000000" w:rsidRPr="00000000">
        <w:rPr>
          <w:rtl w:val="0"/>
        </w:rPr>
      </w:r>
    </w:p>
    <w:p w:rsidR="00000000" w:rsidDel="00000000" w:rsidP="00000000" w:rsidRDefault="00000000" w:rsidRPr="00000000" w14:paraId="00000035">
      <w:pPr>
        <w:jc w:val="both"/>
        <w:rPr>
          <w:highlight w:val="white"/>
        </w:rPr>
      </w:pPr>
      <w:r w:rsidDel="00000000" w:rsidR="00000000" w:rsidRPr="00000000">
        <w:rPr>
          <w:rtl w:val="0"/>
        </w:rPr>
      </w:r>
    </w:p>
    <w:p w:rsidR="00000000" w:rsidDel="00000000" w:rsidP="00000000" w:rsidRDefault="00000000" w:rsidRPr="00000000" w14:paraId="00000036">
      <w:pPr>
        <w:jc w:val="both"/>
        <w:rPr>
          <w:highlight w:val="white"/>
        </w:rPr>
      </w:pPr>
      <w:r w:rsidDel="00000000" w:rsidR="00000000" w:rsidRPr="00000000">
        <w:rPr>
          <w:rtl w:val="0"/>
        </w:rPr>
      </w:r>
    </w:p>
    <w:p w:rsidR="00000000" w:rsidDel="00000000" w:rsidP="00000000" w:rsidRDefault="00000000" w:rsidRPr="00000000" w14:paraId="00000037">
      <w:pPr>
        <w:jc w:val="both"/>
        <w:rPr>
          <w:sz w:val="24"/>
          <w:szCs w:val="24"/>
          <w:highlight w:val="white"/>
        </w:rPr>
      </w:pPr>
      <w:r w:rsidDel="00000000" w:rsidR="00000000" w:rsidRPr="00000000">
        <w:rPr>
          <w:sz w:val="24"/>
          <w:szCs w:val="24"/>
          <w:highlight w:val="white"/>
          <w:rtl w:val="0"/>
        </w:rPr>
        <w:t xml:space="preserve">Text Bibliography:</w:t>
      </w:r>
    </w:p>
    <w:p w:rsidR="00000000" w:rsidDel="00000000" w:rsidP="00000000" w:rsidRDefault="00000000" w:rsidRPr="00000000" w14:paraId="00000038">
      <w:pPr>
        <w:jc w:val="both"/>
        <w:rPr>
          <w:sz w:val="24"/>
          <w:szCs w:val="24"/>
          <w:highlight w:val="white"/>
        </w:rPr>
      </w:pPr>
      <w:r w:rsidDel="00000000" w:rsidR="00000000" w:rsidRPr="00000000">
        <w:rPr>
          <w:rtl w:val="0"/>
        </w:rPr>
      </w:r>
    </w:p>
    <w:p w:rsidR="00000000" w:rsidDel="00000000" w:rsidP="00000000" w:rsidRDefault="00000000" w:rsidRPr="00000000" w14:paraId="00000039">
      <w:pPr>
        <w:numPr>
          <w:ilvl w:val="0"/>
          <w:numId w:val="1"/>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Harrell, J. and Storemyr, P. (2009). </w:t>
      </w:r>
      <w:r w:rsidDel="00000000" w:rsidR="00000000" w:rsidRPr="00000000">
        <w:rPr>
          <w:i w:val="1"/>
          <w:sz w:val="20"/>
          <w:szCs w:val="20"/>
          <w:highlight w:val="white"/>
          <w:rtl w:val="0"/>
        </w:rPr>
        <w:t xml:space="preserve">Ancient Egyptian quarries -an illustrated overview</w:t>
      </w:r>
      <w:r w:rsidDel="00000000" w:rsidR="00000000" w:rsidRPr="00000000">
        <w:rPr>
          <w:sz w:val="20"/>
          <w:szCs w:val="20"/>
          <w:highlight w:val="white"/>
          <w:rtl w:val="0"/>
        </w:rPr>
        <w:t xml:space="preserve">. [online] </w:t>
      </w:r>
      <w:r w:rsidDel="00000000" w:rsidR="00000000" w:rsidRPr="00000000">
        <w:rPr>
          <w:i w:val="1"/>
          <w:sz w:val="20"/>
          <w:szCs w:val="20"/>
          <w:highlight w:val="white"/>
          <w:rtl w:val="0"/>
        </w:rPr>
        <w:t xml:space="preserve">GeoloGical Survey of Norway Special publicatioN n 12 Harrell, J.a. and Storemyr</w:t>
      </w:r>
      <w:r w:rsidDel="00000000" w:rsidR="00000000" w:rsidRPr="00000000">
        <w:rPr>
          <w:sz w:val="20"/>
          <w:szCs w:val="20"/>
          <w:highlight w:val="white"/>
          <w:rtl w:val="0"/>
        </w:rPr>
        <w:t xml:space="preserve">, p.p. Available at: https://static.ngu.no/upload/Publikasjoner/Special%20publication/SP12_s7-50.pdf [Accessed 17 Oct. 2025].</w:t>
      </w:r>
    </w:p>
    <w:p w:rsidR="00000000" w:rsidDel="00000000" w:rsidP="00000000" w:rsidRDefault="00000000" w:rsidRPr="00000000" w14:paraId="0000003A">
      <w:pPr>
        <w:numPr>
          <w:ilvl w:val="0"/>
          <w:numId w:val="1"/>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Harrington, N. (2013). </w:t>
      </w:r>
      <w:r w:rsidDel="00000000" w:rsidR="00000000" w:rsidRPr="00000000">
        <w:rPr>
          <w:i w:val="1"/>
          <w:sz w:val="20"/>
          <w:szCs w:val="20"/>
          <w:highlight w:val="white"/>
          <w:rtl w:val="0"/>
        </w:rPr>
        <w:t xml:space="preserve">Living with the dead : ancestor worship and mortuary ritual in ancient Egypt</w:t>
      </w:r>
      <w:r w:rsidDel="00000000" w:rsidR="00000000" w:rsidRPr="00000000">
        <w:rPr>
          <w:sz w:val="20"/>
          <w:szCs w:val="20"/>
          <w:highlight w:val="white"/>
          <w:rtl w:val="0"/>
        </w:rPr>
        <w:t xml:space="preserve">. Oxford ; Oakville: Oxbow Books.</w:t>
      </w:r>
    </w:p>
    <w:p w:rsidR="00000000" w:rsidDel="00000000" w:rsidP="00000000" w:rsidRDefault="00000000" w:rsidRPr="00000000" w14:paraId="0000003B">
      <w:pPr>
        <w:numPr>
          <w:ilvl w:val="0"/>
          <w:numId w:val="1"/>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Kahl, J. (2010). Archaism. </w:t>
      </w:r>
      <w:r w:rsidDel="00000000" w:rsidR="00000000" w:rsidRPr="00000000">
        <w:rPr>
          <w:i w:val="1"/>
          <w:sz w:val="20"/>
          <w:szCs w:val="20"/>
          <w:highlight w:val="white"/>
          <w:rtl w:val="0"/>
        </w:rPr>
        <w:t xml:space="preserve">UCLA Encyclopedia of Egyptology</w:t>
      </w:r>
      <w:r w:rsidDel="00000000" w:rsidR="00000000" w:rsidRPr="00000000">
        <w:rPr>
          <w:sz w:val="20"/>
          <w:szCs w:val="20"/>
          <w:highlight w:val="white"/>
          <w:rtl w:val="0"/>
        </w:rPr>
        <w:t xml:space="preserve">, [online] 1(1). Available at: https://escholarship.org/uc/item/3tn7q1pf#main [Accessed 12 Oct. 2025].</w:t>
      </w:r>
    </w:p>
    <w:p w:rsidR="00000000" w:rsidDel="00000000" w:rsidP="00000000" w:rsidRDefault="00000000" w:rsidRPr="00000000" w14:paraId="0000003C">
      <w:pPr>
        <w:numPr>
          <w:ilvl w:val="0"/>
          <w:numId w:val="1"/>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Lloyd, A.B. (2010). </w:t>
      </w:r>
      <w:r w:rsidDel="00000000" w:rsidR="00000000" w:rsidRPr="00000000">
        <w:rPr>
          <w:i w:val="1"/>
          <w:sz w:val="20"/>
          <w:szCs w:val="20"/>
          <w:highlight w:val="white"/>
          <w:rtl w:val="0"/>
        </w:rPr>
        <w:t xml:space="preserve">A companion to ancient Egypt. / Volume I</w:t>
      </w:r>
      <w:r w:rsidDel="00000000" w:rsidR="00000000" w:rsidRPr="00000000">
        <w:rPr>
          <w:sz w:val="20"/>
          <w:szCs w:val="20"/>
          <w:highlight w:val="white"/>
          <w:rtl w:val="0"/>
        </w:rPr>
        <w:t xml:space="preserve">. Chichester: Wiley-Blackwell.</w:t>
      </w:r>
    </w:p>
    <w:p w:rsidR="00000000" w:rsidDel="00000000" w:rsidP="00000000" w:rsidRDefault="00000000" w:rsidRPr="00000000" w14:paraId="0000003D">
      <w:pPr>
        <w:numPr>
          <w:ilvl w:val="0"/>
          <w:numId w:val="1"/>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National Park Service (2016). </w:t>
      </w:r>
      <w:r w:rsidDel="00000000" w:rsidR="00000000" w:rsidRPr="00000000">
        <w:rPr>
          <w:i w:val="1"/>
          <w:sz w:val="20"/>
          <w:szCs w:val="20"/>
          <w:highlight w:val="white"/>
          <w:rtl w:val="0"/>
        </w:rPr>
        <w:t xml:space="preserve">Granite and Granodiorite FAQ - Golden Gate National Recreation Area (U.S. National Park Service)</w:t>
      </w:r>
      <w:r w:rsidDel="00000000" w:rsidR="00000000" w:rsidRPr="00000000">
        <w:rPr>
          <w:sz w:val="20"/>
          <w:szCs w:val="20"/>
          <w:highlight w:val="white"/>
          <w:rtl w:val="0"/>
        </w:rPr>
        <w:t xml:space="preserve">. [online] Nps.gov. Available at: https://www.nps.gov/goga/learn/education/granite-and-granodiorite-faq.htm [Accessed 16 Oct. 2025].</w:t>
      </w:r>
    </w:p>
    <w:p w:rsidR="00000000" w:rsidDel="00000000" w:rsidP="00000000" w:rsidRDefault="00000000" w:rsidRPr="00000000" w14:paraId="0000003E">
      <w:pPr>
        <w:numPr>
          <w:ilvl w:val="0"/>
          <w:numId w:val="1"/>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Novikov, I., Vapnik, Y. and Safonova, I. (2013). Mud volcano origin of the Mottled Zone, South Levant. </w:t>
      </w:r>
      <w:r w:rsidDel="00000000" w:rsidR="00000000" w:rsidRPr="00000000">
        <w:rPr>
          <w:i w:val="1"/>
          <w:sz w:val="20"/>
          <w:szCs w:val="20"/>
          <w:highlight w:val="white"/>
          <w:rtl w:val="0"/>
        </w:rPr>
        <w:t xml:space="preserve">Geoscience Frontiers</w:t>
      </w:r>
      <w:r w:rsidDel="00000000" w:rsidR="00000000" w:rsidRPr="00000000">
        <w:rPr>
          <w:sz w:val="20"/>
          <w:szCs w:val="20"/>
          <w:highlight w:val="white"/>
          <w:rtl w:val="0"/>
        </w:rPr>
        <w:t xml:space="preserve">, 4(5), pp.597–619. doi:https://doi.org/10.1016/j.gsf.2013.02.005.</w:t>
      </w:r>
    </w:p>
    <w:p w:rsidR="00000000" w:rsidDel="00000000" w:rsidP="00000000" w:rsidRDefault="00000000" w:rsidRPr="00000000" w14:paraId="0000003F">
      <w:pPr>
        <w:numPr>
          <w:ilvl w:val="0"/>
          <w:numId w:val="1"/>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Taylor, J.H. (2001). </w:t>
      </w:r>
      <w:r w:rsidDel="00000000" w:rsidR="00000000" w:rsidRPr="00000000">
        <w:rPr>
          <w:i w:val="1"/>
          <w:sz w:val="20"/>
          <w:szCs w:val="20"/>
          <w:highlight w:val="white"/>
          <w:rtl w:val="0"/>
        </w:rPr>
        <w:t xml:space="preserve">Death and the Afterlife in Ancient Egypt</w:t>
      </w:r>
      <w:r w:rsidDel="00000000" w:rsidR="00000000" w:rsidRPr="00000000">
        <w:rPr>
          <w:sz w:val="20"/>
          <w:szCs w:val="20"/>
          <w:highlight w:val="white"/>
          <w:rtl w:val="0"/>
        </w:rPr>
        <w:t xml:space="preserve">. The British Museum.</w:t>
      </w:r>
    </w:p>
    <w:p w:rsidR="00000000" w:rsidDel="00000000" w:rsidP="00000000" w:rsidRDefault="00000000" w:rsidRPr="00000000" w14:paraId="00000040">
      <w:pPr>
        <w:numPr>
          <w:ilvl w:val="0"/>
          <w:numId w:val="1"/>
        </w:numPr>
        <w:spacing w:after="240" w:line="360" w:lineRule="auto"/>
        <w:ind w:left="720" w:hanging="360"/>
        <w:jc w:val="both"/>
        <w:rPr>
          <w:sz w:val="20"/>
          <w:szCs w:val="20"/>
          <w:highlight w:val="white"/>
        </w:rPr>
      </w:pPr>
      <w:r w:rsidDel="00000000" w:rsidR="00000000" w:rsidRPr="00000000">
        <w:rPr>
          <w:sz w:val="20"/>
          <w:szCs w:val="20"/>
          <w:highlight w:val="white"/>
          <w:rtl w:val="0"/>
        </w:rPr>
        <w:t xml:space="preserve">Wilkinson, R.H. (1994). </w:t>
      </w:r>
      <w:r w:rsidDel="00000000" w:rsidR="00000000" w:rsidRPr="00000000">
        <w:rPr>
          <w:i w:val="1"/>
          <w:sz w:val="20"/>
          <w:szCs w:val="20"/>
          <w:highlight w:val="white"/>
          <w:rtl w:val="0"/>
        </w:rPr>
        <w:t xml:space="preserve">Symbol &amp; Magic in Egyptian Art</w:t>
      </w:r>
      <w:r w:rsidDel="00000000" w:rsidR="00000000" w:rsidRPr="00000000">
        <w:rPr>
          <w:sz w:val="20"/>
          <w:szCs w:val="20"/>
          <w:highlight w:val="white"/>
          <w:rtl w:val="0"/>
        </w:rPr>
        <w:t xml:space="preserve">. Thames and Hudson.</w:t>
      </w:r>
    </w:p>
    <w:p w:rsidR="00000000" w:rsidDel="00000000" w:rsidP="00000000" w:rsidRDefault="00000000" w:rsidRPr="00000000" w14:paraId="00000041">
      <w:pPr>
        <w:spacing w:after="240" w:line="360" w:lineRule="auto"/>
        <w:jc w:val="both"/>
        <w:rPr>
          <w:sz w:val="24"/>
          <w:szCs w:val="24"/>
          <w:highlight w:val="white"/>
        </w:rPr>
      </w:pPr>
      <w:r w:rsidDel="00000000" w:rsidR="00000000" w:rsidRPr="00000000">
        <w:rPr>
          <w:sz w:val="24"/>
          <w:szCs w:val="24"/>
          <w:highlight w:val="white"/>
          <w:rtl w:val="0"/>
        </w:rPr>
        <w:t xml:space="preserve">Image Bibliography:</w:t>
      </w:r>
    </w:p>
    <w:p w:rsidR="00000000" w:rsidDel="00000000" w:rsidP="00000000" w:rsidRDefault="00000000" w:rsidRPr="00000000" w14:paraId="00000042">
      <w:pPr>
        <w:numPr>
          <w:ilvl w:val="0"/>
          <w:numId w:val="3"/>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Figure 1: </w:t>
      </w:r>
      <w:r w:rsidDel="00000000" w:rsidR="00000000" w:rsidRPr="00000000">
        <w:rPr>
          <w:sz w:val="20"/>
          <w:szCs w:val="20"/>
          <w:rtl w:val="0"/>
        </w:rPr>
        <w:t xml:space="preserve">Front view of the object. Davison. E, 2025, taken at Lampeter UWTSD Archives.</w:t>
      </w:r>
    </w:p>
    <w:p w:rsidR="00000000" w:rsidDel="00000000" w:rsidP="00000000" w:rsidRDefault="00000000" w:rsidRPr="00000000" w14:paraId="00000043">
      <w:pPr>
        <w:numPr>
          <w:ilvl w:val="0"/>
          <w:numId w:val="3"/>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Figure 2: The British Museum, </w:t>
      </w:r>
      <w:r w:rsidDel="00000000" w:rsidR="00000000" w:rsidRPr="00000000">
        <w:rPr>
          <w:sz w:val="20"/>
          <w:szCs w:val="20"/>
          <w:rtl w:val="0"/>
        </w:rPr>
        <w:t xml:space="preserve">Fragment statue of the head of a royal from the 18th dynasty. </w:t>
      </w:r>
      <w:hyperlink r:id="rId14">
        <w:r w:rsidDel="00000000" w:rsidR="00000000" w:rsidRPr="00000000">
          <w:rPr>
            <w:color w:val="1155cc"/>
            <w:sz w:val="20"/>
            <w:szCs w:val="20"/>
            <w:highlight w:val="white"/>
            <w:u w:val="single"/>
            <w:rtl w:val="0"/>
          </w:rPr>
          <w:t xml:space="preserve">https://www.britishmuseum.org/collection/object/Y_EA956?selectedImageId=109964001</w:t>
        </w:r>
      </w:hyperlink>
      <w:r w:rsidDel="00000000" w:rsidR="00000000" w:rsidRPr="00000000">
        <w:rPr>
          <w:rtl w:val="0"/>
        </w:rPr>
      </w:r>
    </w:p>
    <w:p w:rsidR="00000000" w:rsidDel="00000000" w:rsidP="00000000" w:rsidRDefault="00000000" w:rsidRPr="00000000" w14:paraId="00000044">
      <w:pPr>
        <w:numPr>
          <w:ilvl w:val="0"/>
          <w:numId w:val="3"/>
        </w:numPr>
        <w:spacing w:after="0" w:afterAutospacing="0" w:line="360" w:lineRule="auto"/>
        <w:ind w:left="720" w:hanging="360"/>
        <w:jc w:val="both"/>
        <w:rPr>
          <w:sz w:val="20"/>
          <w:szCs w:val="20"/>
          <w:highlight w:val="white"/>
        </w:rPr>
      </w:pPr>
      <w:r w:rsidDel="00000000" w:rsidR="00000000" w:rsidRPr="00000000">
        <w:rPr>
          <w:sz w:val="20"/>
          <w:szCs w:val="20"/>
          <w:highlight w:val="white"/>
          <w:rtl w:val="0"/>
        </w:rPr>
        <w:t xml:space="preserve">Figure 3: </w:t>
      </w:r>
      <w:r w:rsidDel="00000000" w:rsidR="00000000" w:rsidRPr="00000000">
        <w:rPr>
          <w:sz w:val="20"/>
          <w:szCs w:val="20"/>
          <w:rtl w:val="0"/>
        </w:rPr>
        <w:t xml:space="preserve">Topside  view of the object with impact damage to the top right visible.. Caddy. A, 2025, taken at Lampeter UWTSD Archives.</w:t>
      </w:r>
    </w:p>
    <w:p w:rsidR="00000000" w:rsidDel="00000000" w:rsidP="00000000" w:rsidRDefault="00000000" w:rsidRPr="00000000" w14:paraId="00000045">
      <w:pPr>
        <w:numPr>
          <w:ilvl w:val="0"/>
          <w:numId w:val="3"/>
        </w:numPr>
        <w:spacing w:after="0" w:afterAutospacing="0" w:line="360" w:lineRule="auto"/>
        <w:ind w:left="720" w:hanging="360"/>
        <w:jc w:val="both"/>
        <w:rPr>
          <w:sz w:val="20"/>
          <w:szCs w:val="20"/>
          <w:u w:val="none"/>
        </w:rPr>
      </w:pPr>
      <w:r w:rsidDel="00000000" w:rsidR="00000000" w:rsidRPr="00000000">
        <w:rPr>
          <w:sz w:val="20"/>
          <w:szCs w:val="20"/>
          <w:rtl w:val="0"/>
        </w:rPr>
        <w:t xml:space="preserve">Figure 4: Underside view of the object. Caddy. A, 2025, taken at Lampeter UWTSD Archives.</w:t>
      </w:r>
    </w:p>
    <w:p w:rsidR="00000000" w:rsidDel="00000000" w:rsidP="00000000" w:rsidRDefault="00000000" w:rsidRPr="00000000" w14:paraId="00000046">
      <w:pPr>
        <w:widowControl w:val="0"/>
        <w:numPr>
          <w:ilvl w:val="0"/>
          <w:numId w:val="3"/>
        </w:numPr>
        <w:spacing w:line="240" w:lineRule="auto"/>
        <w:ind w:left="720" w:hanging="360"/>
        <w:rPr>
          <w:sz w:val="24"/>
          <w:szCs w:val="24"/>
        </w:rPr>
      </w:pPr>
      <w:r w:rsidDel="00000000" w:rsidR="00000000" w:rsidRPr="00000000">
        <w:rPr>
          <w:sz w:val="20"/>
          <w:szCs w:val="20"/>
          <w:rtl w:val="0"/>
        </w:rPr>
        <w:t xml:space="preserve">Figure 5: Art Institute Chicago, Head of an Official, Middle Kingdom - 13th dynasty. </w:t>
      </w:r>
      <w:hyperlink r:id="rId15">
        <w:r w:rsidDel="00000000" w:rsidR="00000000" w:rsidRPr="00000000">
          <w:rPr>
            <w:color w:val="1155cc"/>
            <w:sz w:val="20"/>
            <w:szCs w:val="20"/>
            <w:u w:val="single"/>
            <w:rtl w:val="0"/>
          </w:rPr>
          <w:t xml:space="preserve">https://www.artic.edu/artworks/121767/head-of-an-official</w:t>
        </w:r>
      </w:hyperlink>
      <w:r w:rsidDel="00000000" w:rsidR="00000000" w:rsidRPr="00000000">
        <w:rPr>
          <w:sz w:val="20"/>
          <w:szCs w:val="20"/>
          <w:rtl w:val="0"/>
        </w:rPr>
        <w:t xml:space="preserve"> </w:t>
      </w:r>
    </w:p>
    <w:p w:rsidR="00000000" w:rsidDel="00000000" w:rsidP="00000000" w:rsidRDefault="00000000" w:rsidRPr="00000000" w14:paraId="00000047">
      <w:pPr>
        <w:widowControl w:val="0"/>
        <w:numPr>
          <w:ilvl w:val="0"/>
          <w:numId w:val="3"/>
        </w:numPr>
        <w:spacing w:line="240" w:lineRule="auto"/>
        <w:ind w:left="720" w:hanging="360"/>
        <w:rPr>
          <w:sz w:val="24"/>
          <w:szCs w:val="24"/>
        </w:rPr>
      </w:pPr>
      <w:r w:rsidDel="00000000" w:rsidR="00000000" w:rsidRPr="00000000">
        <w:rPr>
          <w:sz w:val="20"/>
          <w:szCs w:val="20"/>
          <w:rtl w:val="0"/>
        </w:rPr>
        <w:t xml:space="preserve">Figure 6: The British Museum, Seated statue of Senenmut holding Neferura, 18th Dynasty. </w:t>
      </w:r>
      <w:hyperlink r:id="rId16">
        <w:r w:rsidDel="00000000" w:rsidR="00000000" w:rsidRPr="00000000">
          <w:rPr>
            <w:color w:val="1155cc"/>
            <w:sz w:val="20"/>
            <w:szCs w:val="20"/>
            <w:u w:val="single"/>
            <w:rtl w:val="0"/>
          </w:rPr>
          <w:t xml:space="preserve">https://www.britishmuseum.org/collection/object/Y_EA174?selectedImageId=30432001</w:t>
        </w:r>
      </w:hyperlink>
      <w:r w:rsidDel="00000000" w:rsidR="00000000" w:rsidRPr="00000000">
        <w:rPr>
          <w:sz w:val="20"/>
          <w:szCs w:val="20"/>
          <w:rtl w:val="0"/>
        </w:rPr>
        <w:t xml:space="preserve"> </w:t>
      </w:r>
    </w:p>
    <w:p w:rsidR="00000000" w:rsidDel="00000000" w:rsidP="00000000" w:rsidRDefault="00000000" w:rsidRPr="00000000" w14:paraId="00000048">
      <w:pPr>
        <w:widowControl w:val="0"/>
        <w:numPr>
          <w:ilvl w:val="0"/>
          <w:numId w:val="3"/>
        </w:numPr>
        <w:spacing w:line="240" w:lineRule="auto"/>
        <w:ind w:left="720" w:hanging="360"/>
        <w:rPr>
          <w:sz w:val="28"/>
          <w:szCs w:val="28"/>
        </w:rPr>
      </w:pPr>
      <w:r w:rsidDel="00000000" w:rsidR="00000000" w:rsidRPr="00000000">
        <w:rPr>
          <w:sz w:val="20"/>
          <w:szCs w:val="20"/>
          <w:rtl w:val="0"/>
        </w:rPr>
        <w:t xml:space="preserve">Figure 7: Art Institute Chicago, Statue of Shebenhor Late Period, 26th Dynasty. </w:t>
      </w:r>
      <w:hyperlink r:id="rId17">
        <w:r w:rsidDel="00000000" w:rsidR="00000000" w:rsidRPr="00000000">
          <w:rPr>
            <w:color w:val="1155cc"/>
            <w:sz w:val="20"/>
            <w:szCs w:val="20"/>
            <w:u w:val="single"/>
            <w:rtl w:val="0"/>
          </w:rPr>
          <w:t xml:space="preserve">https://www.artic.edu/artworks/13454/statue-of-shebenhor</w:t>
        </w:r>
      </w:hyperlink>
      <w:r w:rsidDel="00000000" w:rsidR="00000000" w:rsidRPr="00000000">
        <w:rPr>
          <w:sz w:val="20"/>
          <w:szCs w:val="20"/>
          <w:rtl w:val="0"/>
        </w:rPr>
        <w:t xml:space="preserve"> </w:t>
      </w:r>
    </w:p>
    <w:p w:rsidR="00000000" w:rsidDel="00000000" w:rsidP="00000000" w:rsidRDefault="00000000" w:rsidRPr="00000000" w14:paraId="00000049">
      <w:pPr>
        <w:widowControl w:val="0"/>
        <w:spacing w:line="240" w:lineRule="auto"/>
        <w:ind w:left="0" w:firstLine="0"/>
        <w:rPr>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Verdana" w:cs="Verdana" w:eastAsia="Verdana" w:hAnsi="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image" Target="media/image1.jpg"/><Relationship Id="rId13" Type="http://schemas.openxmlformats.org/officeDocument/2006/relationships/image" Target="media/image13.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yperlink" Target="https://www.artic.edu/artworks/121767/head-of-an-official" TargetMode="External"/><Relationship Id="rId14" Type="http://schemas.openxmlformats.org/officeDocument/2006/relationships/hyperlink" Target="https://www.britishmuseum.org/collection/object/Y_EA956?selectedImageId=109964001" TargetMode="External"/><Relationship Id="rId17" Type="http://schemas.openxmlformats.org/officeDocument/2006/relationships/hyperlink" Target="https://www.artic.edu/artworks/13454/statue-of-shebenhor" TargetMode="External"/><Relationship Id="rId16" Type="http://schemas.openxmlformats.org/officeDocument/2006/relationships/hyperlink" Target="https://www.britishmuseum.org/collection/object/Y_EA174?selectedImageId=30432001" TargetMode="External"/><Relationship Id="rId5" Type="http://schemas.openxmlformats.org/officeDocument/2006/relationships/styles" Target="styles.xml"/><Relationship Id="rId6" Type="http://schemas.openxmlformats.org/officeDocument/2006/relationships/image" Target="media/image14.png"/><Relationship Id="rId7" Type="http://schemas.openxmlformats.org/officeDocument/2006/relationships/image" Target="media/image11.pn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