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3B2675F" wp14:paraId="54854666" wp14:textId="299EF688">
      <w:pPr>
        <w:jc w:val="center"/>
        <w:rPr>
          <w:rFonts w:ascii="Calibri" w:hAnsi="Calibri" w:eastAsia="Calibri" w:cs="Calibri"/>
          <w:b w:val="0"/>
          <w:bCs w:val="0"/>
          <w:i w:val="0"/>
          <w:iCs w:val="0"/>
          <w:caps w:val="0"/>
          <w:smallCaps w:val="0"/>
          <w:noProof w:val="0"/>
          <w:color w:val="000000" w:themeColor="text1" w:themeTint="FF" w:themeShade="FF"/>
          <w:sz w:val="52"/>
          <w:szCs w:val="52"/>
          <w:lang w:val="en-US"/>
        </w:rPr>
      </w:pPr>
      <w:r w:rsidRPr="03B2675F" w:rsidR="650B85B7">
        <w:rPr>
          <w:rFonts w:ascii="Calibri" w:hAnsi="Calibri" w:eastAsia="Calibri" w:cs="Calibri"/>
          <w:b w:val="0"/>
          <w:bCs w:val="0"/>
          <w:i w:val="0"/>
          <w:iCs w:val="0"/>
          <w:caps w:val="0"/>
          <w:smallCaps w:val="0"/>
          <w:noProof w:val="0"/>
          <w:color w:val="000000" w:themeColor="text1" w:themeTint="FF" w:themeShade="FF"/>
          <w:sz w:val="52"/>
          <w:szCs w:val="52"/>
          <w:lang w:val="en-GB"/>
        </w:rPr>
        <w:t>University of Wales Trinity Saint David</w:t>
      </w:r>
    </w:p>
    <w:p xmlns:wp14="http://schemas.microsoft.com/office/word/2010/wordml" w:rsidP="03B2675F" wp14:paraId="067DCA87" wp14:textId="72C53E11">
      <w:pPr>
        <w:jc w:val="center"/>
        <w:rPr>
          <w:rFonts w:ascii="Calibri" w:hAnsi="Calibri" w:eastAsia="Calibri" w:cs="Calibri"/>
          <w:b w:val="0"/>
          <w:bCs w:val="0"/>
          <w:i w:val="0"/>
          <w:iCs w:val="0"/>
          <w:caps w:val="0"/>
          <w:smallCaps w:val="0"/>
          <w:noProof w:val="0"/>
          <w:color w:val="000000" w:themeColor="text1" w:themeTint="FF" w:themeShade="FF"/>
          <w:sz w:val="28"/>
          <w:szCs w:val="28"/>
          <w:lang w:val="en-US"/>
        </w:rPr>
      </w:pPr>
      <w:r w:rsidRPr="03B2675F" w:rsidR="650B85B7">
        <w:rPr>
          <w:rFonts w:ascii="Calibri" w:hAnsi="Calibri" w:eastAsia="Calibri" w:cs="Calibri"/>
          <w:b w:val="0"/>
          <w:bCs w:val="0"/>
          <w:i w:val="0"/>
          <w:iCs w:val="0"/>
          <w:caps w:val="0"/>
          <w:smallCaps w:val="0"/>
          <w:noProof w:val="0"/>
          <w:color w:val="000000" w:themeColor="text1" w:themeTint="FF" w:themeShade="FF"/>
          <w:sz w:val="28"/>
          <w:szCs w:val="28"/>
          <w:lang w:val="en-GB"/>
        </w:rPr>
        <w:t>Wales Institute of Science and Art</w:t>
      </w:r>
    </w:p>
    <w:p xmlns:wp14="http://schemas.microsoft.com/office/word/2010/wordml" w:rsidP="03B2675F" wp14:paraId="7376C25A" wp14:textId="0733C558">
      <w:pPr>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650B85B7">
        <w:drawing>
          <wp:inline xmlns:wp14="http://schemas.microsoft.com/office/word/2010/wordprocessingDrawing" wp14:editId="6A6707A0" wp14:anchorId="328E894B">
            <wp:extent cx="4514850" cy="2247900"/>
            <wp:effectExtent l="0" t="0" r="0" b="0"/>
            <wp:docPr id="1878366244" name="drawing" title="Industry Support Officer - High Value Engineering (12 month FTC) at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8366244" name="Picture 1878366244"/>
                    <pic:cNvPicPr/>
                  </pic:nvPicPr>
                  <pic:blipFill>
                    <a:blip xmlns:r="http://schemas.openxmlformats.org/officeDocument/2006/relationships" r:embed="rId1022919335">
                      <a:extLst>
                        <a:ext uri="{28A0092B-C50C-407E-A947-70E740481C1C}">
                          <a14:useLocalDpi xmlns:a14="http://schemas.microsoft.com/office/drawing/2010/main"/>
                        </a:ext>
                      </a:extLst>
                    </a:blip>
                    <a:stretch>
                      <a:fillRect/>
                    </a:stretch>
                  </pic:blipFill>
                  <pic:spPr>
                    <a:xfrm>
                      <a:off x="0" y="0"/>
                      <a:ext cx="4514850" cy="2247900"/>
                    </a:xfrm>
                    <a:prstGeom prst="rect">
                      <a:avLst/>
                    </a:prstGeom>
                  </pic:spPr>
                </pic:pic>
              </a:graphicData>
            </a:graphic>
          </wp:inline>
        </w:drawing>
      </w:r>
    </w:p>
    <w:p xmlns:wp14="http://schemas.microsoft.com/office/word/2010/wordml" w:rsidP="03B2675F" wp14:paraId="48F6F4A4" wp14:textId="5FAEBE81">
      <w:pPr>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3B2675F" wp14:paraId="22AC7BEC" wp14:textId="225E4EA8">
      <w:pPr>
        <w:jc w:val="center"/>
        <w:rPr>
          <w:rFonts w:ascii="Aptos Display" w:hAnsi="Aptos Display" w:eastAsia="Aptos Display" w:cs="Aptos Display"/>
          <w:b w:val="0"/>
          <w:bCs w:val="0"/>
          <w:i w:val="0"/>
          <w:iCs w:val="0"/>
          <w:caps w:val="0"/>
          <w:smallCaps w:val="0"/>
          <w:noProof w:val="0"/>
          <w:color w:val="000000" w:themeColor="text1" w:themeTint="FF" w:themeShade="FF"/>
          <w:sz w:val="96"/>
          <w:szCs w:val="96"/>
          <w:lang w:val="en-US"/>
        </w:rPr>
      </w:pPr>
      <w:r w:rsidRPr="03B2675F" w:rsidR="650B85B7">
        <w:rPr>
          <w:rStyle w:val="TitleChar"/>
          <w:rFonts w:ascii="Aptos Display" w:hAnsi="Aptos Display" w:eastAsia="Aptos Display" w:cs="Aptos Display"/>
          <w:b w:val="0"/>
          <w:bCs w:val="0"/>
          <w:i w:val="0"/>
          <w:iCs w:val="0"/>
          <w:caps w:val="0"/>
          <w:smallCaps w:val="0"/>
          <w:noProof w:val="0"/>
          <w:color w:val="000000" w:themeColor="text1" w:themeTint="FF" w:themeShade="FF"/>
          <w:sz w:val="96"/>
          <w:szCs w:val="96"/>
          <w:lang w:val="en-GB"/>
        </w:rPr>
        <w:t>KERS</w:t>
      </w:r>
    </w:p>
    <w:p xmlns:wp14="http://schemas.microsoft.com/office/word/2010/wordml" w:rsidP="03B2675F" wp14:paraId="0E8F7D1B" wp14:textId="5233E0D3">
      <w:pPr>
        <w:jc w:val="center"/>
        <w:rPr>
          <w:rFonts w:ascii="Calibri" w:hAnsi="Calibri" w:eastAsia="Calibri" w:cs="Calibri"/>
          <w:b w:val="0"/>
          <w:bCs w:val="0"/>
          <w:i w:val="0"/>
          <w:iCs w:val="0"/>
          <w:caps w:val="0"/>
          <w:smallCaps w:val="0"/>
          <w:noProof w:val="0"/>
          <w:color w:val="000000" w:themeColor="text1" w:themeTint="FF" w:themeShade="FF"/>
          <w:sz w:val="36"/>
          <w:szCs w:val="36"/>
          <w:lang w:val="en-US"/>
        </w:rPr>
      </w:pPr>
      <w:r w:rsidRPr="03B2675F" w:rsidR="650B85B7">
        <w:rPr>
          <w:rFonts w:ascii="Calibri" w:hAnsi="Calibri" w:eastAsia="Calibri" w:cs="Calibri"/>
          <w:b w:val="0"/>
          <w:bCs w:val="0"/>
          <w:i w:val="0"/>
          <w:iCs w:val="0"/>
          <w:caps w:val="0"/>
          <w:smallCaps w:val="0"/>
          <w:noProof w:val="0"/>
          <w:color w:val="000000" w:themeColor="text1" w:themeTint="FF" w:themeShade="FF"/>
          <w:sz w:val="36"/>
          <w:szCs w:val="36"/>
          <w:lang w:val="en-GB"/>
        </w:rPr>
        <w:t>Alternative Propulsion System</w:t>
      </w:r>
    </w:p>
    <w:p xmlns:wp14="http://schemas.microsoft.com/office/word/2010/wordml" w:rsidP="03B2675F" wp14:paraId="05694A67" wp14:textId="1AFA702E">
      <w:pPr>
        <w:jc w:val="center"/>
        <w:rPr>
          <w:rFonts w:ascii="Calibri" w:hAnsi="Calibri" w:eastAsia="Calibri" w:cs="Calibri"/>
          <w:b w:val="0"/>
          <w:bCs w:val="0"/>
          <w:i w:val="0"/>
          <w:iCs w:val="0"/>
          <w:caps w:val="0"/>
          <w:smallCaps w:val="0"/>
          <w:noProof w:val="0"/>
          <w:color w:val="000000" w:themeColor="text1" w:themeTint="FF" w:themeShade="FF"/>
          <w:sz w:val="36"/>
          <w:szCs w:val="36"/>
          <w:lang w:val="en-US"/>
        </w:rPr>
      </w:pPr>
      <w:r w:rsidRPr="03B2675F" w:rsidR="650B85B7">
        <w:rPr>
          <w:rFonts w:ascii="Calibri" w:hAnsi="Calibri" w:eastAsia="Calibri" w:cs="Calibri"/>
          <w:b w:val="0"/>
          <w:bCs w:val="0"/>
          <w:i w:val="0"/>
          <w:iCs w:val="0"/>
          <w:caps w:val="0"/>
          <w:smallCaps w:val="0"/>
          <w:noProof w:val="0"/>
          <w:color w:val="000000" w:themeColor="text1" w:themeTint="FF" w:themeShade="FF"/>
          <w:sz w:val="36"/>
          <w:szCs w:val="36"/>
          <w:lang w:val="en-GB"/>
        </w:rPr>
        <w:t>ACHA5010</w:t>
      </w:r>
    </w:p>
    <w:p xmlns:wp14="http://schemas.microsoft.com/office/word/2010/wordml" w:rsidP="03B2675F" wp14:paraId="03873372" wp14:textId="7608946D">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03B2675F" wp14:paraId="6416B71F" wp14:textId="1FE720A5">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03B2675F" wp14:paraId="2C555759" wp14:textId="09C217C2">
      <w:pPr>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03B2675F" w:rsidR="650B85B7">
        <w:rPr>
          <w:rFonts w:ascii="Calibri" w:hAnsi="Calibri" w:eastAsia="Calibri" w:cs="Calibri"/>
          <w:b w:val="0"/>
          <w:bCs w:val="0"/>
          <w:i w:val="0"/>
          <w:iCs w:val="0"/>
          <w:caps w:val="0"/>
          <w:smallCaps w:val="0"/>
          <w:noProof w:val="0"/>
          <w:color w:val="000000" w:themeColor="text1" w:themeTint="FF" w:themeShade="FF"/>
          <w:sz w:val="24"/>
          <w:szCs w:val="24"/>
          <w:lang w:val="en-GB"/>
        </w:rPr>
        <w:t>Wesley Ives</w:t>
      </w:r>
    </w:p>
    <w:p xmlns:wp14="http://schemas.microsoft.com/office/word/2010/wordml" w:rsidP="03B2675F" wp14:paraId="236FAB06" wp14:textId="7E2EB427">
      <w:pPr>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03B2675F" w:rsidR="650B85B7">
        <w:rPr>
          <w:rFonts w:ascii="Calibri" w:hAnsi="Calibri" w:eastAsia="Calibri" w:cs="Calibri"/>
          <w:b w:val="0"/>
          <w:bCs w:val="0"/>
          <w:i w:val="0"/>
          <w:iCs w:val="0"/>
          <w:caps w:val="0"/>
          <w:smallCaps w:val="0"/>
          <w:noProof w:val="0"/>
          <w:color w:val="000000" w:themeColor="text1" w:themeTint="FF" w:themeShade="FF"/>
          <w:sz w:val="24"/>
          <w:szCs w:val="24"/>
          <w:lang w:val="en-GB"/>
        </w:rPr>
        <w:t>2404013</w:t>
      </w:r>
    </w:p>
    <w:p xmlns:wp14="http://schemas.microsoft.com/office/word/2010/wordml" w:rsidP="03B2675F" wp14:paraId="5243B121" wp14:textId="76B70E51">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03B2675F" wp14:paraId="05654E63" wp14:textId="6CDABD76">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03B2675F" wp14:paraId="13638A42" wp14:textId="2845E758">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03B2675F" wp14:paraId="73DF494F" wp14:textId="1DDA4277">
      <w:pPr>
        <w:pStyle w:val="Heading1"/>
        <w:keepNext w:val="1"/>
        <w:keepLines w:val="1"/>
        <w:spacing w:before="360" w:after="80"/>
        <w:ind w:left="720"/>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GB"/>
        </w:rPr>
      </w:pPr>
    </w:p>
    <w:sdt>
      <w:sdtPr>
        <w:id w:val="1851768210"/>
        <w:docPartObj>
          <w:docPartGallery w:val="Table of Contents"/>
          <w:docPartUnique/>
        </w:docPartObj>
      </w:sdtPr>
      <w:sdtContent>
        <w:p xmlns:wp14="http://schemas.microsoft.com/office/word/2010/wordml" w:rsidP="03B2675F" wp14:paraId="3A21B5EF" wp14:textId="1D0B4DCF">
          <w:pPr>
            <w:pStyle w:val="TOC1"/>
            <w:tabs>
              <w:tab w:val="left" w:leader="none" w:pos="480"/>
              <w:tab w:val="right" w:leader="dot" w:pos="9360"/>
            </w:tabs>
            <w:bidi w:val="0"/>
            <w:rPr>
              <w:rStyle w:val="Hyperlink"/>
            </w:rPr>
          </w:pPr>
          <w:r>
            <w:fldChar w:fldCharType="begin"/>
          </w:r>
          <w:r>
            <w:instrText xml:space="preserve">TOC \o \z \u \h</w:instrText>
          </w:r>
          <w:r>
            <w:fldChar w:fldCharType="separate"/>
          </w:r>
          <w:hyperlink w:anchor="_Toc64134341">
            <w:r w:rsidRPr="03B2675F" w:rsidR="03B2675F">
              <w:rPr>
                <w:rStyle w:val="Hyperlink"/>
              </w:rPr>
              <w:t>i.</w:t>
            </w:r>
            <w:r>
              <w:tab/>
            </w:r>
            <w:r w:rsidRPr="03B2675F" w:rsidR="03B2675F">
              <w:rPr>
                <w:rStyle w:val="Hyperlink"/>
              </w:rPr>
              <w:t>Introduction</w:t>
            </w:r>
            <w:r>
              <w:tab/>
            </w:r>
            <w:r>
              <w:fldChar w:fldCharType="begin"/>
            </w:r>
            <w:r>
              <w:instrText xml:space="preserve">PAGEREF _Toc64134341 \h</w:instrText>
            </w:r>
            <w:r>
              <w:fldChar w:fldCharType="separate"/>
            </w:r>
            <w:r w:rsidRPr="03B2675F" w:rsidR="03B2675F">
              <w:rPr>
                <w:rStyle w:val="Hyperlink"/>
              </w:rPr>
              <w:t>2</w:t>
            </w:r>
            <w:r>
              <w:fldChar w:fldCharType="end"/>
            </w:r>
          </w:hyperlink>
        </w:p>
        <w:p xmlns:wp14="http://schemas.microsoft.com/office/word/2010/wordml" w:rsidP="03B2675F" wp14:paraId="351186AD" wp14:textId="78C18339">
          <w:pPr>
            <w:pStyle w:val="TOC1"/>
            <w:tabs>
              <w:tab w:val="right" w:leader="dot" w:pos="9360"/>
            </w:tabs>
            <w:bidi w:val="0"/>
            <w:rPr>
              <w:rStyle w:val="Hyperlink"/>
            </w:rPr>
          </w:pPr>
          <w:hyperlink w:anchor="_Toc1030557143">
            <w:r w:rsidRPr="03B2675F" w:rsidR="03B2675F">
              <w:rPr>
                <w:rStyle w:val="Hyperlink"/>
              </w:rPr>
              <w:t>Vehicle Dynamics</w:t>
            </w:r>
            <w:r>
              <w:tab/>
            </w:r>
            <w:r>
              <w:fldChar w:fldCharType="begin"/>
            </w:r>
            <w:r>
              <w:instrText xml:space="preserve">PAGEREF _Toc1030557143 \h</w:instrText>
            </w:r>
            <w:r>
              <w:fldChar w:fldCharType="separate"/>
            </w:r>
            <w:r w:rsidRPr="03B2675F" w:rsidR="03B2675F">
              <w:rPr>
                <w:rStyle w:val="Hyperlink"/>
              </w:rPr>
              <w:t>2</w:t>
            </w:r>
            <w:r>
              <w:fldChar w:fldCharType="end"/>
            </w:r>
          </w:hyperlink>
        </w:p>
        <w:p xmlns:wp14="http://schemas.microsoft.com/office/word/2010/wordml" w:rsidP="03B2675F" wp14:paraId="7813AFC7" wp14:textId="40D07C03">
          <w:pPr>
            <w:pStyle w:val="TOC1"/>
            <w:tabs>
              <w:tab w:val="left" w:leader="none" w:pos="480"/>
              <w:tab w:val="right" w:leader="dot" w:pos="9360"/>
            </w:tabs>
            <w:bidi w:val="0"/>
            <w:rPr>
              <w:rStyle w:val="Hyperlink"/>
            </w:rPr>
          </w:pPr>
          <w:hyperlink w:anchor="_Toc788622805">
            <w:r w:rsidRPr="03B2675F" w:rsidR="03B2675F">
              <w:rPr>
                <w:rStyle w:val="Hyperlink"/>
              </w:rPr>
              <w:t>iii.</w:t>
            </w:r>
            <w:r>
              <w:tab/>
            </w:r>
            <w:r w:rsidRPr="03B2675F" w:rsidR="03B2675F">
              <w:rPr>
                <w:rStyle w:val="Hyperlink"/>
              </w:rPr>
              <w:t>WLTP Cycle</w:t>
            </w:r>
            <w:r>
              <w:tab/>
            </w:r>
            <w:r>
              <w:fldChar w:fldCharType="begin"/>
            </w:r>
            <w:r>
              <w:instrText xml:space="preserve">PAGEREF _Toc788622805 \h</w:instrText>
            </w:r>
            <w:r>
              <w:fldChar w:fldCharType="separate"/>
            </w:r>
            <w:r w:rsidRPr="03B2675F" w:rsidR="03B2675F">
              <w:rPr>
                <w:rStyle w:val="Hyperlink"/>
              </w:rPr>
              <w:t>3</w:t>
            </w:r>
            <w:r>
              <w:fldChar w:fldCharType="end"/>
            </w:r>
          </w:hyperlink>
        </w:p>
        <w:p xmlns:wp14="http://schemas.microsoft.com/office/word/2010/wordml" w:rsidP="03B2675F" wp14:paraId="375EE3CC" wp14:textId="0E938D7B">
          <w:pPr>
            <w:pStyle w:val="TOC1"/>
            <w:tabs>
              <w:tab w:val="left" w:leader="none" w:pos="480"/>
              <w:tab w:val="right" w:leader="dot" w:pos="9360"/>
            </w:tabs>
            <w:bidi w:val="0"/>
            <w:rPr>
              <w:rStyle w:val="Hyperlink"/>
            </w:rPr>
          </w:pPr>
          <w:hyperlink w:anchor="_Toc1943934838">
            <w:r w:rsidRPr="03B2675F" w:rsidR="03B2675F">
              <w:rPr>
                <w:rStyle w:val="Hyperlink"/>
              </w:rPr>
              <w:t>iv.</w:t>
            </w:r>
            <w:r>
              <w:tab/>
            </w:r>
            <w:r w:rsidRPr="03B2675F" w:rsidR="03B2675F">
              <w:rPr>
                <w:rStyle w:val="Hyperlink"/>
              </w:rPr>
              <w:t>Cumulative tractive/Braking energy graphs</w:t>
            </w:r>
            <w:r>
              <w:tab/>
            </w:r>
            <w:r>
              <w:fldChar w:fldCharType="begin"/>
            </w:r>
            <w:r>
              <w:instrText xml:space="preserve">PAGEREF _Toc1943934838 \h</w:instrText>
            </w:r>
            <w:r>
              <w:fldChar w:fldCharType="separate"/>
            </w:r>
            <w:r w:rsidRPr="03B2675F" w:rsidR="03B2675F">
              <w:rPr>
                <w:rStyle w:val="Hyperlink"/>
              </w:rPr>
              <w:t>4</w:t>
            </w:r>
            <w:r>
              <w:fldChar w:fldCharType="end"/>
            </w:r>
          </w:hyperlink>
        </w:p>
        <w:p xmlns:wp14="http://schemas.microsoft.com/office/word/2010/wordml" w:rsidP="03B2675F" wp14:paraId="3E0F6050" wp14:textId="34AB1BE9">
          <w:pPr>
            <w:pStyle w:val="TOC1"/>
            <w:tabs>
              <w:tab w:val="left" w:leader="none" w:pos="480"/>
              <w:tab w:val="right" w:leader="dot" w:pos="9360"/>
            </w:tabs>
            <w:bidi w:val="0"/>
            <w:rPr>
              <w:rStyle w:val="Hyperlink"/>
            </w:rPr>
          </w:pPr>
          <w:hyperlink w:anchor="_Toc1740153113">
            <w:r w:rsidRPr="03B2675F" w:rsidR="03B2675F">
              <w:rPr>
                <w:rStyle w:val="Hyperlink"/>
              </w:rPr>
              <w:t>v.</w:t>
            </w:r>
            <w:r>
              <w:tab/>
            </w:r>
            <w:r w:rsidRPr="03B2675F" w:rsidR="03B2675F">
              <w:rPr>
                <w:rStyle w:val="Hyperlink"/>
              </w:rPr>
              <w:t>Largest Possible Moment of KERS</w:t>
            </w:r>
            <w:r>
              <w:tab/>
            </w:r>
            <w:r>
              <w:fldChar w:fldCharType="begin"/>
            </w:r>
            <w:r>
              <w:instrText xml:space="preserve">PAGEREF _Toc1740153113 \h</w:instrText>
            </w:r>
            <w:r>
              <w:fldChar w:fldCharType="separate"/>
            </w:r>
            <w:r w:rsidRPr="03B2675F" w:rsidR="03B2675F">
              <w:rPr>
                <w:rStyle w:val="Hyperlink"/>
              </w:rPr>
              <w:t>5</w:t>
            </w:r>
            <w:r>
              <w:fldChar w:fldCharType="end"/>
            </w:r>
          </w:hyperlink>
        </w:p>
        <w:p xmlns:wp14="http://schemas.microsoft.com/office/word/2010/wordml" w:rsidP="03B2675F" wp14:paraId="2BBBD9FB" wp14:textId="1C80B8B0">
          <w:pPr>
            <w:pStyle w:val="TOC1"/>
            <w:tabs>
              <w:tab w:val="left" w:leader="none" w:pos="480"/>
              <w:tab w:val="right" w:leader="dot" w:pos="9360"/>
            </w:tabs>
            <w:bidi w:val="0"/>
            <w:rPr>
              <w:rStyle w:val="Hyperlink"/>
            </w:rPr>
          </w:pPr>
          <w:hyperlink w:anchor="_Toc1813402604">
            <w:r w:rsidRPr="03B2675F" w:rsidR="03B2675F">
              <w:rPr>
                <w:rStyle w:val="Hyperlink"/>
              </w:rPr>
              <w:t>vi.</w:t>
            </w:r>
            <w:r>
              <w:tab/>
            </w:r>
            <w:r w:rsidRPr="03B2675F" w:rsidR="03B2675F">
              <w:rPr>
                <w:rStyle w:val="Hyperlink"/>
              </w:rPr>
              <w:t>Suitable KER system</w:t>
            </w:r>
            <w:r>
              <w:tab/>
            </w:r>
            <w:r>
              <w:fldChar w:fldCharType="begin"/>
            </w:r>
            <w:r>
              <w:instrText xml:space="preserve">PAGEREF _Toc1813402604 \h</w:instrText>
            </w:r>
            <w:r>
              <w:fldChar w:fldCharType="separate"/>
            </w:r>
            <w:r w:rsidRPr="03B2675F" w:rsidR="03B2675F">
              <w:rPr>
                <w:rStyle w:val="Hyperlink"/>
              </w:rPr>
              <w:t>5</w:t>
            </w:r>
            <w:r>
              <w:fldChar w:fldCharType="end"/>
            </w:r>
          </w:hyperlink>
        </w:p>
        <w:p xmlns:wp14="http://schemas.microsoft.com/office/word/2010/wordml" w:rsidP="03B2675F" wp14:paraId="12E0269A" wp14:textId="10058194">
          <w:pPr>
            <w:pStyle w:val="TOC1"/>
            <w:tabs>
              <w:tab w:val="left" w:leader="none" w:pos="480"/>
              <w:tab w:val="right" w:leader="dot" w:pos="9360"/>
            </w:tabs>
            <w:bidi w:val="0"/>
            <w:rPr>
              <w:rStyle w:val="Hyperlink"/>
            </w:rPr>
          </w:pPr>
          <w:hyperlink w:anchor="_Toc1936953476">
            <w:r w:rsidRPr="03B2675F" w:rsidR="03B2675F">
              <w:rPr>
                <w:rStyle w:val="Hyperlink"/>
              </w:rPr>
              <w:t>vii.</w:t>
            </w:r>
            <w:r>
              <w:tab/>
            </w:r>
            <w:r w:rsidRPr="03B2675F" w:rsidR="03B2675F">
              <w:rPr>
                <w:rStyle w:val="Hyperlink"/>
              </w:rPr>
              <w:t>KE Recovered</w:t>
            </w:r>
            <w:r>
              <w:tab/>
            </w:r>
            <w:r>
              <w:fldChar w:fldCharType="begin"/>
            </w:r>
            <w:r>
              <w:instrText xml:space="preserve">PAGEREF _Toc1936953476 \h</w:instrText>
            </w:r>
            <w:r>
              <w:fldChar w:fldCharType="separate"/>
            </w:r>
            <w:r w:rsidRPr="03B2675F" w:rsidR="03B2675F">
              <w:rPr>
                <w:rStyle w:val="Hyperlink"/>
              </w:rPr>
              <w:t>5</w:t>
            </w:r>
            <w:r>
              <w:fldChar w:fldCharType="end"/>
            </w:r>
          </w:hyperlink>
        </w:p>
        <w:p xmlns:wp14="http://schemas.microsoft.com/office/word/2010/wordml" w:rsidP="03B2675F" wp14:paraId="6D574526" wp14:textId="747C2202">
          <w:pPr>
            <w:pStyle w:val="TOC1"/>
            <w:tabs>
              <w:tab w:val="left" w:leader="none" w:pos="720"/>
              <w:tab w:val="right" w:leader="dot" w:pos="9360"/>
            </w:tabs>
            <w:bidi w:val="0"/>
            <w:rPr>
              <w:rStyle w:val="Hyperlink"/>
            </w:rPr>
          </w:pPr>
          <w:hyperlink w:anchor="_Toc676784231">
            <w:r w:rsidRPr="03B2675F" w:rsidR="03B2675F">
              <w:rPr>
                <w:rStyle w:val="Hyperlink"/>
              </w:rPr>
              <w:t>viii.</w:t>
            </w:r>
            <w:r>
              <w:tab/>
            </w:r>
            <w:r w:rsidRPr="03B2675F" w:rsidR="03B2675F">
              <w:rPr>
                <w:rStyle w:val="Hyperlink"/>
              </w:rPr>
              <w:t>Comparisons to conventional friction brake systems</w:t>
            </w:r>
            <w:r>
              <w:tab/>
            </w:r>
            <w:r>
              <w:fldChar w:fldCharType="begin"/>
            </w:r>
            <w:r>
              <w:instrText xml:space="preserve">PAGEREF _Toc676784231 \h</w:instrText>
            </w:r>
            <w:r>
              <w:fldChar w:fldCharType="separate"/>
            </w:r>
            <w:r w:rsidRPr="03B2675F" w:rsidR="03B2675F">
              <w:rPr>
                <w:rStyle w:val="Hyperlink"/>
              </w:rPr>
              <w:t>5</w:t>
            </w:r>
            <w:r>
              <w:fldChar w:fldCharType="end"/>
            </w:r>
          </w:hyperlink>
        </w:p>
        <w:p xmlns:wp14="http://schemas.microsoft.com/office/word/2010/wordml" w:rsidP="03B2675F" wp14:paraId="70C719DA" wp14:textId="13042FD1">
          <w:pPr>
            <w:pStyle w:val="TOC1"/>
            <w:tabs>
              <w:tab w:val="left" w:leader="none" w:pos="480"/>
              <w:tab w:val="right" w:leader="dot" w:pos="9360"/>
            </w:tabs>
            <w:bidi w:val="0"/>
            <w:rPr>
              <w:rStyle w:val="Hyperlink"/>
            </w:rPr>
          </w:pPr>
          <w:hyperlink w:anchor="_Toc801826965">
            <w:r w:rsidRPr="03B2675F" w:rsidR="03B2675F">
              <w:rPr>
                <w:rStyle w:val="Hyperlink"/>
              </w:rPr>
              <w:t>ix.</w:t>
            </w:r>
            <w:r>
              <w:tab/>
            </w:r>
            <w:r w:rsidRPr="03B2675F" w:rsidR="03B2675F">
              <w:rPr>
                <w:rStyle w:val="Hyperlink"/>
              </w:rPr>
              <w:t>Conclusion</w:t>
            </w:r>
            <w:r>
              <w:tab/>
            </w:r>
            <w:r>
              <w:fldChar w:fldCharType="begin"/>
            </w:r>
            <w:r>
              <w:instrText xml:space="preserve">PAGEREF _Toc801826965 \h</w:instrText>
            </w:r>
            <w:r>
              <w:fldChar w:fldCharType="separate"/>
            </w:r>
            <w:r w:rsidRPr="03B2675F" w:rsidR="03B2675F">
              <w:rPr>
                <w:rStyle w:val="Hyperlink"/>
              </w:rPr>
              <w:t>5</w:t>
            </w:r>
            <w:r>
              <w:fldChar w:fldCharType="end"/>
            </w:r>
          </w:hyperlink>
        </w:p>
        <w:p xmlns:wp14="http://schemas.microsoft.com/office/word/2010/wordml" w:rsidP="03B2675F" wp14:paraId="45E9E60D" wp14:textId="2E8F8191">
          <w:pPr>
            <w:pStyle w:val="TOC1"/>
            <w:tabs>
              <w:tab w:val="left" w:leader="none" w:pos="480"/>
              <w:tab w:val="right" w:leader="dot" w:pos="9360"/>
            </w:tabs>
            <w:bidi w:val="0"/>
            <w:rPr>
              <w:rStyle w:val="Hyperlink"/>
            </w:rPr>
          </w:pPr>
          <w:hyperlink w:anchor="_Toc1222812996">
            <w:r w:rsidRPr="03B2675F" w:rsidR="03B2675F">
              <w:rPr>
                <w:rStyle w:val="Hyperlink"/>
              </w:rPr>
              <w:t>x.</w:t>
            </w:r>
            <w:r>
              <w:tab/>
            </w:r>
            <w:r w:rsidRPr="03B2675F" w:rsidR="03B2675F">
              <w:rPr>
                <w:rStyle w:val="Hyperlink"/>
              </w:rPr>
              <w:t>References</w:t>
            </w:r>
            <w:r>
              <w:tab/>
            </w:r>
            <w:r>
              <w:fldChar w:fldCharType="begin"/>
            </w:r>
            <w:r>
              <w:instrText xml:space="preserve">PAGEREF _Toc1222812996 \h</w:instrText>
            </w:r>
            <w:r>
              <w:fldChar w:fldCharType="separate"/>
            </w:r>
            <w:r w:rsidRPr="03B2675F" w:rsidR="03B2675F">
              <w:rPr>
                <w:rStyle w:val="Hyperlink"/>
              </w:rPr>
              <w:t>5</w:t>
            </w:r>
            <w:r>
              <w:fldChar w:fldCharType="end"/>
            </w:r>
          </w:hyperlink>
          <w:r>
            <w:fldChar w:fldCharType="end"/>
          </w:r>
        </w:p>
      </w:sdtContent>
    </w:sdt>
    <w:p xmlns:wp14="http://schemas.microsoft.com/office/word/2010/wordml" w:rsidP="03B2675F" wp14:paraId="4BCD84E3" wp14:textId="1CA08EA6">
      <w:pPr>
        <w:pStyle w:val="Heading1"/>
        <w:keepNext w:val="1"/>
        <w:keepLines w:val="1"/>
        <w:spacing w:before="360" w:after="80"/>
        <w:ind w:left="720"/>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GB"/>
        </w:rPr>
      </w:pPr>
    </w:p>
    <w:p xmlns:wp14="http://schemas.microsoft.com/office/word/2010/wordml" w:rsidP="03B2675F" wp14:paraId="2C309B49" wp14:textId="527FCF51">
      <w:pPr>
        <w:pStyle w:val="Heading1"/>
        <w:keepNext w:val="1"/>
        <w:keepLines w:val="1"/>
        <w:numPr>
          <w:ilvl w:val="0"/>
          <w:numId w:val="1"/>
        </w:numPr>
        <w:spacing w:before="360" w:after="80"/>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GB"/>
        </w:rPr>
      </w:pPr>
      <w:bookmarkStart w:name="_Toc64134341" w:id="1426749783"/>
      <w:r w:rsidRPr="03B2675F" w:rsidR="650B85B7">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t>Introduction</w:t>
      </w:r>
      <w:bookmarkEnd w:id="1426749783"/>
    </w:p>
    <w:p xmlns:wp14="http://schemas.microsoft.com/office/word/2010/wordml" w:rsidP="03B2675F" wp14:paraId="18DB71E9" wp14:textId="7659E9C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For this alternative propulsion assignment, I have selected the MK8 Volkswagen Golf 1.5 TSI as the subject of study. This model provides an excellent example of a modern, fuel-efficient vehicle that integrates advanced technologies such as variable cylinder management and mild hybrid assistance. In this project, the Golf 1.5 TSI will be used to illustrate and analyse several technical aspects, including the Kinetic Energy Recovery System (KERS). To support this, I will research and calculate essential vehicle parameters such as test mass, frontal area, aerodynamic drag coefficient, and rolling resistance coefficient.</w:t>
      </w:r>
    </w:p>
    <w:p xmlns:wp14="http://schemas.microsoft.com/office/word/2010/wordml" w:rsidP="03B2675F" wp14:paraId="6B95F059" wp14:textId="6D71A02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 xml:space="preserve">All findings will be </w:t>
      </w: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validated</w:t>
      </w: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in accordance with</w:t>
      </w: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 xml:space="preserve"> the Worldwide Harmonized Light Vehicle Test Procedure (WLTP) to ensure the accuracy and reliability of the data. Using this verified information, I will produce graphs showing both the cumulative braking energy and the cumulative tractive energy </w:t>
      </w: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required</w:t>
      </w: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 xml:space="preserve"> at the wheels throughout the WLTP driving cycle. Furthermore, I will </w:t>
      </w: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analyse</w:t>
      </w: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 xml:space="preserve"> and plot the amount of kinetic energy that is recovered and transferred back through the wheels during contact with the road. This analysis will </w:t>
      </w: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demonstrate</w:t>
      </w: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 xml:space="preserve"> the vehicle’s overall energy performance and highlight how efficiently the Golf 1.5 TSI captures and reuses energy under real driving conditions.</w:t>
      </w:r>
    </w:p>
    <w:p xmlns:wp14="http://schemas.microsoft.com/office/word/2010/wordml" w:rsidP="03B2675F" wp14:paraId="73780260" wp14:textId="79F117F7">
      <w:pPr>
        <w:pStyle w:val="Heading1"/>
        <w:keepNext w:val="1"/>
        <w:keepLines w:val="1"/>
        <w:spacing w:before="360" w:after="80"/>
        <w:rPr>
          <w:rFonts w:ascii="Aptos" w:hAnsi="Aptos" w:eastAsia="Aptos" w:cs="Aptos"/>
          <w:noProof w:val="0"/>
          <w:sz w:val="24"/>
          <w:szCs w:val="24"/>
          <w:lang w:val="en-US"/>
        </w:rPr>
      </w:pPr>
      <w:bookmarkStart w:name="_Toc1030557143" w:id="2026601505"/>
      <w:r w:rsidRPr="03B2675F" w:rsidR="650B85B7">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t>Vehicle Dynamics</w:t>
      </w:r>
      <w:bookmarkEnd w:id="2026601505"/>
    </w:p>
    <w:p xmlns:wp14="http://schemas.microsoft.com/office/word/2010/wordml" w:rsidP="03B2675F" wp14:paraId="5A6AC21D" wp14:textId="5C24470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To achieve a realistic rolling resistance value for the Golf 1.5 TSI, I selected the Goodyear EfficientGrip Performance 2 tyre, as this model is designed to reduce friction and improve overall efficiency. Using this tyre gives a rolling resistance coefficient of around 0.007, which suits the type of vehicle and reflects how it would perform with a modern, low-resistance tyre. A lower rolling resistance means the car needs less energy to keep moving, which helps reduce fuel consumption and also improves the amount of energy that can be captured by the KERS during braking. The figure of 0.007 assumes the tyres are new and in good condition; worn or damaged tyres would naturally increase rolling resistance, sometimes rising to 0.008 or even 0.012, which would reduce efficiency. (5)</w:t>
      </w:r>
    </w:p>
    <w:p xmlns:wp14="http://schemas.microsoft.com/office/word/2010/wordml" w:rsidP="03B2675F" wp14:paraId="08D536AD" wp14:textId="4D1481DA">
      <w:pPr>
        <w:spacing w:before="240" w:beforeAutospacing="off" w:after="24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 xml:space="preserve">The rest of the required vehicle data was gathered from reliable sources and technical databases, which are listed in the reference section at the end of the report. One part that needed calculating was the test mass, as the WLTP procedure adds extra weight to </w:t>
      </w: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represent</w:t>
      </w: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 xml:space="preserve"> equipment and payload. Using the WLTP formula, the test mass is worked out by adding 25 kg for instrumentation and then including 15% of the payload on top of the </w:t>
      </w: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kerb</w:t>
      </w: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 xml:space="preserve"> mass. This ensures that all the energy calculations and graphs that follow reflect realistic driving conditions and the WLTP standards, giving </w:t>
      </w: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accurate</w:t>
      </w:r>
      <w:r w:rsidRPr="03B2675F" w:rsidR="650B85B7">
        <w:rPr>
          <w:rFonts w:ascii="Aptos" w:hAnsi="Aptos" w:eastAsia="Aptos" w:cs="Aptos"/>
          <w:b w:val="0"/>
          <w:bCs w:val="0"/>
          <w:i w:val="0"/>
          <w:iCs w:val="0"/>
          <w:caps w:val="0"/>
          <w:smallCaps w:val="0"/>
          <w:noProof w:val="0"/>
          <w:color w:val="000000" w:themeColor="text1" w:themeTint="FF" w:themeShade="FF"/>
          <w:sz w:val="24"/>
          <w:szCs w:val="24"/>
          <w:lang w:val="en-US"/>
        </w:rPr>
        <w:t xml:space="preserve"> results for the later analysis of braking and tractive energy</w:t>
      </w:r>
    </w:p>
    <w:tbl>
      <w:tblPr>
        <w:tblStyle w:val="TableNormal"/>
        <w:bidiVisual w:val="0"/>
        <w:tblW w:w="0" w:type="auto"/>
        <w:tblLook w:val="06A0" w:firstRow="1" w:lastRow="0" w:firstColumn="1" w:lastColumn="0" w:noHBand="1" w:noVBand="1"/>
      </w:tblPr>
      <w:tblGrid>
        <w:gridCol w:w="1755"/>
        <w:gridCol w:w="1440"/>
        <w:gridCol w:w="1545"/>
        <w:gridCol w:w="1485"/>
        <w:gridCol w:w="1755"/>
      </w:tblGrid>
      <w:tr w:rsidR="03B2675F" w:rsidTr="03B2675F" w14:paraId="4039779B">
        <w:trPr>
          <w:trHeight w:val="540"/>
        </w:trPr>
        <w:tc>
          <w:tcPr>
            <w:tcW w:w="1755" w:type="dxa"/>
            <w:tcBorders>
              <w:top w:val="single" w:color="000000" w:themeColor="text1" w:sz="6"/>
              <w:left w:val="single" w:color="000000" w:themeColor="text1" w:sz="6"/>
              <w:bottom w:val="single" w:color="000000" w:themeColor="text1" w:sz="6"/>
              <w:right w:val="single" w:color="000000" w:themeColor="text1" w:sz="6"/>
            </w:tcBorders>
            <w:shd w:val="clear" w:color="auto" w:fill="C0E4F5"/>
            <w:tcMar>
              <w:top w:w="15" w:type="dxa"/>
              <w:left w:w="15" w:type="dxa"/>
              <w:right w:w="15" w:type="dxa"/>
            </w:tcMar>
            <w:vAlign w:val="center"/>
          </w:tcPr>
          <w:p w:rsidR="03B2675F" w:rsidP="03B2675F" w:rsidRDefault="03B2675F" w14:paraId="7C1BA8A5" w14:textId="72B83DC5">
            <w:pPr>
              <w:rPr>
                <w:rFonts w:ascii="Aptos" w:hAnsi="Aptos" w:eastAsia="Aptos" w:cs="Aptos"/>
                <w:b w:val="0"/>
                <w:bCs w:val="0"/>
                <w:i w:val="0"/>
                <w:iCs w:val="0"/>
                <w:caps w:val="0"/>
                <w:smallCaps w:val="0"/>
                <w:color w:val="000000" w:themeColor="text1" w:themeTint="FF" w:themeShade="FF"/>
                <w:sz w:val="24"/>
                <w:szCs w:val="24"/>
                <w:lang w:val="en-US"/>
              </w:rPr>
            </w:pPr>
          </w:p>
        </w:tc>
        <w:tc>
          <w:tcPr>
            <w:tcW w:w="1440" w:type="dxa"/>
            <w:tcBorders>
              <w:top w:val="single" w:color="000000" w:themeColor="text1" w:sz="6"/>
              <w:left w:val="single" w:color="000000" w:themeColor="text1" w:sz="6"/>
              <w:bottom w:val="single" w:color="000000" w:themeColor="text1" w:sz="6"/>
              <w:right w:val="single" w:color="000000" w:themeColor="text1" w:sz="6"/>
            </w:tcBorders>
            <w:shd w:val="clear" w:color="auto" w:fill="C0E4F5"/>
            <w:tcMar>
              <w:top w:w="15" w:type="dxa"/>
              <w:left w:w="15" w:type="dxa"/>
              <w:right w:w="15" w:type="dxa"/>
            </w:tcMar>
            <w:vAlign w:val="center"/>
          </w:tcPr>
          <w:p w:rsidR="03B2675F" w:rsidP="03B2675F" w:rsidRDefault="03B2675F" w14:paraId="7E390D91" w14:textId="0030B2EB">
            <w:pPr>
              <w:rPr>
                <w:rFonts w:ascii="Aptos" w:hAnsi="Aptos" w:eastAsia="Aptos" w:cs="Aptos"/>
                <w:b w:val="0"/>
                <w:bCs w:val="0"/>
                <w:i w:val="0"/>
                <w:iCs w:val="0"/>
                <w:caps w:val="0"/>
                <w:smallCaps w:val="0"/>
                <w:color w:val="000000" w:themeColor="text1" w:themeTint="FF" w:themeShade="FF"/>
                <w:sz w:val="24"/>
                <w:szCs w:val="24"/>
                <w:lang w:val="en-US"/>
              </w:rPr>
            </w:pPr>
          </w:p>
        </w:tc>
        <w:tc>
          <w:tcPr>
            <w:tcW w:w="1545" w:type="dxa"/>
            <w:tcBorders>
              <w:top w:val="single" w:color="000000" w:themeColor="text1" w:sz="6"/>
              <w:left w:val="single" w:color="000000" w:themeColor="text1" w:sz="6"/>
              <w:bottom w:val="single" w:color="000000" w:themeColor="text1" w:sz="6"/>
              <w:right w:val="single" w:color="000000" w:themeColor="text1" w:sz="6"/>
            </w:tcBorders>
            <w:shd w:val="clear" w:color="auto" w:fill="C0E4F5"/>
            <w:tcMar>
              <w:top w:w="15" w:type="dxa"/>
              <w:left w:w="15" w:type="dxa"/>
              <w:right w:w="15" w:type="dxa"/>
            </w:tcMar>
            <w:vAlign w:val="center"/>
          </w:tcPr>
          <w:p w:rsidR="03B2675F" w:rsidP="03B2675F" w:rsidRDefault="03B2675F" w14:paraId="511F6F5B" w14:textId="6EAF74F5">
            <w:pPr>
              <w:rPr>
                <w:rFonts w:ascii="Aptos" w:hAnsi="Aptos" w:eastAsia="Aptos" w:cs="Aptos"/>
                <w:b w:val="0"/>
                <w:bCs w:val="0"/>
                <w:i w:val="0"/>
                <w:iCs w:val="0"/>
                <w:caps w:val="0"/>
                <w:smallCaps w:val="0"/>
                <w:color w:val="000000" w:themeColor="text1" w:themeTint="FF" w:themeShade="FF"/>
                <w:sz w:val="24"/>
                <w:szCs w:val="24"/>
                <w:lang w:val="en-US"/>
              </w:rPr>
            </w:pPr>
          </w:p>
        </w:tc>
        <w:tc>
          <w:tcPr>
            <w:tcW w:w="1485" w:type="dxa"/>
            <w:tcBorders>
              <w:top w:val="single" w:color="000000" w:themeColor="text1" w:sz="6"/>
              <w:left w:val="single" w:color="000000" w:themeColor="text1" w:sz="6"/>
              <w:bottom w:val="single" w:color="000000" w:themeColor="text1" w:sz="6"/>
              <w:right w:val="single" w:color="000000" w:themeColor="text1" w:sz="6"/>
            </w:tcBorders>
            <w:shd w:val="clear" w:color="auto" w:fill="C0E4F5"/>
            <w:tcMar>
              <w:top w:w="15" w:type="dxa"/>
              <w:left w:w="15" w:type="dxa"/>
              <w:right w:w="15" w:type="dxa"/>
            </w:tcMar>
            <w:vAlign w:val="center"/>
          </w:tcPr>
          <w:p w:rsidR="03B2675F" w:rsidP="03B2675F" w:rsidRDefault="03B2675F" w14:paraId="0960A2AC" w14:textId="698323DD">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Units</w:t>
            </w:r>
          </w:p>
        </w:tc>
        <w:tc>
          <w:tcPr>
            <w:tcW w:w="1755" w:type="dxa"/>
            <w:tcBorders>
              <w:top w:val="single" w:color="000000" w:themeColor="text1" w:sz="6"/>
              <w:left w:val="single" w:color="000000" w:themeColor="text1" w:sz="6"/>
              <w:bottom w:val="nil"/>
              <w:right w:val="single" w:color="000000" w:themeColor="text1" w:sz="6"/>
            </w:tcBorders>
            <w:shd w:val="clear" w:color="auto" w:fill="C0E4F5"/>
            <w:tcMar>
              <w:top w:w="15" w:type="dxa"/>
              <w:left w:w="15" w:type="dxa"/>
              <w:right w:w="15" w:type="dxa"/>
            </w:tcMar>
            <w:vAlign w:val="center"/>
          </w:tcPr>
          <w:p w:rsidR="6ADB3141" w:rsidP="03B2675F" w:rsidRDefault="6ADB3141" w14:paraId="4692C343" w14:textId="517C7270">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6ADB3141">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Reference</w:t>
            </w: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 xml:space="preserve"> Number</w:t>
            </w:r>
          </w:p>
        </w:tc>
      </w:tr>
      <w:tr w:rsidR="03B2675F" w:rsidTr="03B2675F" w14:paraId="51FA9D72">
        <w:trPr>
          <w:trHeight w:val="705"/>
        </w:trPr>
        <w:tc>
          <w:tcPr>
            <w:tcW w:w="1755" w:type="dxa"/>
            <w:tcBorders>
              <w:top w:val="single" w:color="000000" w:themeColor="text1" w:sz="6"/>
              <w:left w:val="single" w:color="000000" w:themeColor="text1" w:sz="6"/>
              <w:bottom w:val="single" w:color="000000" w:themeColor="text1" w:sz="6"/>
              <w:right w:val="single" w:color="000000" w:themeColor="text1" w:sz="6"/>
            </w:tcBorders>
            <w:shd w:val="clear" w:color="auto" w:fill="C0E4F5"/>
            <w:tcMar>
              <w:top w:w="15" w:type="dxa"/>
              <w:left w:w="15" w:type="dxa"/>
              <w:right w:w="15" w:type="dxa"/>
            </w:tcMar>
            <w:vAlign w:val="center"/>
          </w:tcPr>
          <w:p w:rsidR="03B2675F" w:rsidP="03B2675F" w:rsidRDefault="03B2675F" w14:paraId="342B7025" w14:textId="180469F7">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Kerb mass</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43AE527B" w14:textId="7020A3D0">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w:t>
            </w:r>
          </w:p>
        </w:tc>
        <w:tc>
          <w:tcPr>
            <w:tcW w:w="1545"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529331F2" w14:textId="0E1430E6">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1387</w:t>
            </w:r>
          </w:p>
        </w:tc>
        <w:tc>
          <w:tcPr>
            <w:tcW w:w="1485" w:type="dxa"/>
            <w:tcBorders>
              <w:top w:val="single" w:color="000000" w:themeColor="text1" w:sz="6"/>
              <w:left w:val="single" w:color="000000" w:themeColor="text1" w:sz="6"/>
              <w:bottom w:val="single" w:color="000000" w:themeColor="text1" w:sz="6"/>
              <w:right w:val="nil"/>
            </w:tcBorders>
            <w:tcMar>
              <w:top w:w="15" w:type="dxa"/>
              <w:left w:w="15" w:type="dxa"/>
              <w:right w:w="15" w:type="dxa"/>
            </w:tcMar>
            <w:vAlign w:val="center"/>
          </w:tcPr>
          <w:p w:rsidR="03B2675F" w:rsidP="03B2675F" w:rsidRDefault="03B2675F" w14:paraId="7B0697CF" w14:textId="61CC303D">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kg</w:t>
            </w:r>
          </w:p>
        </w:tc>
        <w:tc>
          <w:tcPr>
            <w:tcW w:w="1755"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71F8FDBF" w14:textId="1E9D4C72">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2</w:t>
            </w:r>
          </w:p>
        </w:tc>
      </w:tr>
      <w:tr w:rsidR="03B2675F" w:rsidTr="03B2675F" w14:paraId="04268A2C">
        <w:trPr>
          <w:trHeight w:val="1650"/>
        </w:trPr>
        <w:tc>
          <w:tcPr>
            <w:tcW w:w="1755" w:type="dxa"/>
            <w:tcBorders>
              <w:top w:val="single" w:color="000000" w:themeColor="text1" w:sz="6"/>
              <w:left w:val="single" w:color="000000" w:themeColor="text1" w:sz="6"/>
              <w:bottom w:val="single" w:color="000000" w:themeColor="text1" w:sz="6"/>
              <w:right w:val="single" w:color="000000" w:themeColor="text1" w:sz="6"/>
            </w:tcBorders>
            <w:shd w:val="clear" w:color="auto" w:fill="C0E4F5"/>
            <w:tcMar>
              <w:top w:w="15" w:type="dxa"/>
              <w:left w:w="15" w:type="dxa"/>
              <w:right w:w="15" w:type="dxa"/>
            </w:tcMar>
            <w:vAlign w:val="center"/>
          </w:tcPr>
          <w:p w:rsidR="03B2675F" w:rsidP="03B2675F" w:rsidRDefault="03B2675F" w14:paraId="69DD65F3" w14:textId="340B6DF7">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Test Mass</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7057FB75" w14:textId="67F204D6">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w:t>
            </w:r>
          </w:p>
        </w:tc>
        <w:tc>
          <w:tcPr>
            <w:tcW w:w="1545"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4EA7226A" w14:textId="5208BFC2">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kerb mass + 25kg +(0.15  X Payload)</w:t>
            </w:r>
          </w:p>
        </w:tc>
        <w:tc>
          <w:tcPr>
            <w:tcW w:w="1485" w:type="dxa"/>
            <w:tcBorders>
              <w:top w:val="single" w:color="000000" w:themeColor="text1" w:sz="6"/>
              <w:left w:val="single" w:color="000000" w:themeColor="text1" w:sz="6"/>
              <w:bottom w:val="single" w:color="000000" w:themeColor="text1" w:sz="6"/>
              <w:right w:val="nil"/>
            </w:tcBorders>
            <w:tcMar>
              <w:top w:w="15" w:type="dxa"/>
              <w:left w:w="15" w:type="dxa"/>
              <w:right w:w="15" w:type="dxa"/>
            </w:tcMar>
            <w:vAlign w:val="center"/>
          </w:tcPr>
          <w:p w:rsidR="03B2675F" w:rsidP="03B2675F" w:rsidRDefault="03B2675F" w14:paraId="53AE2ED3" w14:textId="7F90A1AD">
            <w:pPr>
              <w:rPr>
                <w:rFonts w:ascii="Aptos" w:hAnsi="Aptos" w:eastAsia="Aptos" w:cs="Aptos"/>
                <w:b w:val="0"/>
                <w:bCs w:val="0"/>
                <w:i w:val="0"/>
                <w:iCs w:val="0"/>
                <w:caps w:val="0"/>
                <w:smallCaps w:val="0"/>
                <w:color w:val="000000" w:themeColor="text1" w:themeTint="FF" w:themeShade="FF"/>
                <w:sz w:val="24"/>
                <w:szCs w:val="24"/>
                <w:lang w:val="en-US"/>
              </w:rPr>
            </w:pPr>
          </w:p>
        </w:tc>
        <w:tc>
          <w:tcPr>
            <w:tcW w:w="1755"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38C2E4E7" w14:textId="65521D64">
            <w:pPr>
              <w:rPr>
                <w:rFonts w:ascii="Aptos" w:hAnsi="Aptos" w:eastAsia="Aptos" w:cs="Aptos"/>
                <w:b w:val="0"/>
                <w:bCs w:val="0"/>
                <w:i w:val="0"/>
                <w:iCs w:val="0"/>
                <w:caps w:val="0"/>
                <w:smallCaps w:val="0"/>
                <w:color w:val="000000" w:themeColor="text1" w:themeTint="FF" w:themeShade="FF"/>
                <w:sz w:val="24"/>
                <w:szCs w:val="24"/>
                <w:lang w:val="en-US"/>
              </w:rPr>
            </w:pPr>
          </w:p>
        </w:tc>
      </w:tr>
      <w:tr w:rsidR="03B2675F" w:rsidTr="03B2675F" w14:paraId="04DA9AA3">
        <w:trPr>
          <w:trHeight w:val="285"/>
        </w:trPr>
        <w:tc>
          <w:tcPr>
            <w:tcW w:w="1755" w:type="dxa"/>
            <w:tcBorders>
              <w:top w:val="single" w:color="000000" w:themeColor="text1" w:sz="6"/>
              <w:left w:val="single" w:color="000000" w:themeColor="text1" w:sz="6"/>
              <w:bottom w:val="single" w:color="000000" w:themeColor="text1" w:sz="6"/>
              <w:right w:val="single" w:color="000000" w:themeColor="text1" w:sz="6"/>
            </w:tcBorders>
            <w:shd w:val="clear" w:color="auto" w:fill="C0E4F5"/>
            <w:tcMar>
              <w:top w:w="15" w:type="dxa"/>
              <w:left w:w="15" w:type="dxa"/>
              <w:right w:w="15" w:type="dxa"/>
            </w:tcMar>
            <w:vAlign w:val="center"/>
          </w:tcPr>
          <w:p w:rsidR="03B2675F" w:rsidP="03B2675F" w:rsidRDefault="03B2675F" w14:paraId="25155875" w14:textId="721AFB22">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Test Mass</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13510B95" w14:textId="51618ABD">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w:t>
            </w:r>
          </w:p>
        </w:tc>
        <w:tc>
          <w:tcPr>
            <w:tcW w:w="1545"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4BA2A2F6" w14:textId="4FA3AE5D">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1487</w:t>
            </w:r>
          </w:p>
        </w:tc>
        <w:tc>
          <w:tcPr>
            <w:tcW w:w="1485" w:type="dxa"/>
            <w:tcBorders>
              <w:top w:val="single" w:color="000000" w:themeColor="text1" w:sz="6"/>
              <w:left w:val="single" w:color="000000" w:themeColor="text1" w:sz="6"/>
              <w:bottom w:val="single" w:color="000000" w:themeColor="text1" w:sz="6"/>
              <w:right w:val="nil"/>
            </w:tcBorders>
            <w:tcMar>
              <w:top w:w="15" w:type="dxa"/>
              <w:left w:w="15" w:type="dxa"/>
              <w:right w:w="15" w:type="dxa"/>
            </w:tcMar>
            <w:vAlign w:val="center"/>
          </w:tcPr>
          <w:p w:rsidR="03B2675F" w:rsidP="03B2675F" w:rsidRDefault="03B2675F" w14:paraId="225E0E75" w14:textId="357ADF21">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kg</w:t>
            </w:r>
          </w:p>
        </w:tc>
        <w:tc>
          <w:tcPr>
            <w:tcW w:w="1755"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3717311C" w14:textId="5FFCB5D7">
            <w:pPr>
              <w:rPr>
                <w:rFonts w:ascii="Aptos" w:hAnsi="Aptos" w:eastAsia="Aptos" w:cs="Aptos"/>
                <w:b w:val="0"/>
                <w:bCs w:val="0"/>
                <w:i w:val="0"/>
                <w:iCs w:val="0"/>
                <w:caps w:val="0"/>
                <w:smallCaps w:val="0"/>
                <w:color w:val="000000" w:themeColor="text1" w:themeTint="FF" w:themeShade="FF"/>
                <w:sz w:val="24"/>
                <w:szCs w:val="24"/>
                <w:lang w:val="en-US"/>
              </w:rPr>
            </w:pPr>
          </w:p>
        </w:tc>
      </w:tr>
      <w:tr w:rsidR="03B2675F" w:rsidTr="03B2675F" w14:paraId="48ACD697">
        <w:trPr>
          <w:trHeight w:val="570"/>
        </w:trPr>
        <w:tc>
          <w:tcPr>
            <w:tcW w:w="1755" w:type="dxa"/>
            <w:tcBorders>
              <w:top w:val="single" w:color="000000" w:themeColor="text1" w:sz="6"/>
              <w:left w:val="single" w:color="000000" w:themeColor="text1" w:sz="6"/>
              <w:bottom w:val="single" w:color="000000" w:themeColor="text1" w:sz="6"/>
              <w:right w:val="single" w:color="000000" w:themeColor="text1" w:sz="6"/>
            </w:tcBorders>
            <w:shd w:val="clear" w:color="auto" w:fill="C0E4F5"/>
            <w:tcMar>
              <w:top w:w="15" w:type="dxa"/>
              <w:left w:w="15" w:type="dxa"/>
              <w:right w:w="15" w:type="dxa"/>
            </w:tcMar>
            <w:vAlign w:val="center"/>
          </w:tcPr>
          <w:p w:rsidR="03B2675F" w:rsidP="03B2675F" w:rsidRDefault="03B2675F" w14:paraId="4FBFC0EA" w14:textId="10D2F42E">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Frontal Area</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3872AF3B" w14:textId="2385C552">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w:t>
            </w:r>
          </w:p>
        </w:tc>
        <w:tc>
          <w:tcPr>
            <w:tcW w:w="1545"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341F3366" w14:textId="48705A51">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2.21</w:t>
            </w:r>
          </w:p>
        </w:tc>
        <w:tc>
          <w:tcPr>
            <w:tcW w:w="1485" w:type="dxa"/>
            <w:tcBorders>
              <w:top w:val="single" w:color="000000" w:themeColor="text1" w:sz="6"/>
              <w:left w:val="single" w:color="000000" w:themeColor="text1" w:sz="6"/>
              <w:bottom w:val="single" w:color="000000" w:themeColor="text1" w:sz="6"/>
              <w:right w:val="nil"/>
            </w:tcBorders>
            <w:tcMar>
              <w:top w:w="15" w:type="dxa"/>
              <w:left w:w="15" w:type="dxa"/>
              <w:right w:w="15" w:type="dxa"/>
            </w:tcMar>
            <w:vAlign w:val="center"/>
          </w:tcPr>
          <w:p w:rsidR="03B2675F" w:rsidP="03B2675F" w:rsidRDefault="03B2675F" w14:paraId="7E7D4BD7" w14:textId="6A1258A4">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m^2</w:t>
            </w:r>
          </w:p>
        </w:tc>
        <w:tc>
          <w:tcPr>
            <w:tcW w:w="1755"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6B6ABBCC" w14:textId="67063910">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1</w:t>
            </w:r>
          </w:p>
        </w:tc>
      </w:tr>
      <w:tr w:rsidR="03B2675F" w:rsidTr="03B2675F" w14:paraId="2437A895">
        <w:trPr>
          <w:trHeight w:val="1020"/>
        </w:trPr>
        <w:tc>
          <w:tcPr>
            <w:tcW w:w="1755" w:type="dxa"/>
            <w:tcBorders>
              <w:top w:val="single" w:color="000000" w:themeColor="text1" w:sz="6"/>
              <w:left w:val="single" w:color="000000" w:themeColor="text1" w:sz="6"/>
              <w:bottom w:val="single" w:color="000000" w:themeColor="text1" w:sz="6"/>
              <w:right w:val="single" w:color="000000" w:themeColor="text1" w:sz="6"/>
            </w:tcBorders>
            <w:shd w:val="clear" w:color="auto" w:fill="C0E4F5"/>
            <w:tcMar>
              <w:top w:w="15" w:type="dxa"/>
              <w:left w:w="15" w:type="dxa"/>
              <w:right w:w="15" w:type="dxa"/>
            </w:tcMar>
            <w:vAlign w:val="center"/>
          </w:tcPr>
          <w:p w:rsidR="03B2675F" w:rsidP="03B2675F" w:rsidRDefault="03B2675F" w14:paraId="1F3197AD" w14:textId="447AAEA1">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 xml:space="preserve">Drag </w:t>
            </w:r>
            <w:r w:rsidRPr="03B2675F" w:rsidR="2D9A85AC">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Coefficient</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04CC733A" w14:textId="568E180B">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w:t>
            </w:r>
          </w:p>
        </w:tc>
        <w:tc>
          <w:tcPr>
            <w:tcW w:w="1545"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3B9C4C81" w14:textId="67948F95">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0.275</w:t>
            </w:r>
          </w:p>
        </w:tc>
        <w:tc>
          <w:tcPr>
            <w:tcW w:w="1485" w:type="dxa"/>
            <w:tcBorders>
              <w:top w:val="single" w:color="000000" w:themeColor="text1" w:sz="6"/>
              <w:left w:val="single" w:color="000000" w:themeColor="text1" w:sz="6"/>
              <w:bottom w:val="single" w:color="000000" w:themeColor="text1" w:sz="6"/>
              <w:right w:val="nil"/>
            </w:tcBorders>
            <w:tcMar>
              <w:top w:w="15" w:type="dxa"/>
              <w:left w:w="15" w:type="dxa"/>
              <w:right w:w="15" w:type="dxa"/>
            </w:tcMar>
            <w:vAlign w:val="center"/>
          </w:tcPr>
          <w:p w:rsidR="03B2675F" w:rsidP="03B2675F" w:rsidRDefault="03B2675F" w14:paraId="10F04CBA" w14:textId="5E97447B">
            <w:pPr>
              <w:rPr>
                <w:rFonts w:ascii="Aptos" w:hAnsi="Aptos" w:eastAsia="Aptos" w:cs="Aptos"/>
                <w:b w:val="0"/>
                <w:bCs w:val="0"/>
                <w:i w:val="0"/>
                <w:iCs w:val="0"/>
                <w:caps w:val="0"/>
                <w:smallCaps w:val="0"/>
                <w:color w:val="000000" w:themeColor="text1" w:themeTint="FF" w:themeShade="FF"/>
                <w:sz w:val="24"/>
                <w:szCs w:val="24"/>
                <w:lang w:val="en-US"/>
              </w:rPr>
            </w:pPr>
          </w:p>
        </w:tc>
        <w:tc>
          <w:tcPr>
            <w:tcW w:w="1755"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256FE9BC" w14:textId="59879E5B">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1</w:t>
            </w:r>
          </w:p>
        </w:tc>
      </w:tr>
      <w:tr w:rsidR="03B2675F" w:rsidTr="03B2675F" w14:paraId="38A688A9">
        <w:trPr>
          <w:trHeight w:val="1140"/>
        </w:trPr>
        <w:tc>
          <w:tcPr>
            <w:tcW w:w="1755" w:type="dxa"/>
            <w:tcBorders>
              <w:top w:val="single" w:color="000000" w:themeColor="text1" w:sz="6"/>
              <w:left w:val="single" w:color="000000" w:themeColor="text1" w:sz="6"/>
              <w:bottom w:val="single" w:color="000000" w:themeColor="text1" w:sz="6"/>
              <w:right w:val="single" w:color="000000" w:themeColor="text1" w:sz="6"/>
            </w:tcBorders>
            <w:shd w:val="clear" w:color="auto" w:fill="C0E4F5"/>
            <w:tcMar>
              <w:top w:w="15" w:type="dxa"/>
              <w:left w:w="15" w:type="dxa"/>
              <w:right w:w="15" w:type="dxa"/>
            </w:tcMar>
            <w:vAlign w:val="center"/>
          </w:tcPr>
          <w:p w:rsidR="03B2675F" w:rsidP="03B2675F" w:rsidRDefault="03B2675F" w14:paraId="53577D1E" w14:textId="2B5BD2F3">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 xml:space="preserve">Rolling Resistance </w:t>
            </w:r>
            <w:r w:rsidRPr="03B2675F" w:rsidR="2B9928B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Coefficient</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289F7686" w14:textId="605EC242">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w:t>
            </w:r>
          </w:p>
        </w:tc>
        <w:tc>
          <w:tcPr>
            <w:tcW w:w="1545"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359B0FEA" w14:textId="75DABDF6">
            <w:pPr>
              <w:spacing w:before="0" w:beforeAutospacing="off" w:after="0" w:afterAutospacing="off"/>
              <w:jc w:val="center"/>
              <w:rPr>
                <w:rFonts w:ascii="Aptos Narrow" w:hAnsi="Aptos Narrow" w:eastAsia="Aptos Narrow" w:cs="Aptos Narrow"/>
                <w:b w:val="0"/>
                <w:bCs w:val="0"/>
                <w:i w:val="0"/>
                <w:iCs w:val="0"/>
                <w:caps w:val="0"/>
                <w:smallCaps w:val="0"/>
                <w:color w:val="000000" w:themeColor="text1" w:themeTint="FF" w:themeShade="FF"/>
                <w:sz w:val="22"/>
                <w:szCs w:val="22"/>
                <w:lang w:val="en-US"/>
              </w:rPr>
            </w:pPr>
            <w:r w:rsidRPr="03B2675F" w:rsidR="03B2675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US"/>
              </w:rPr>
              <w:t>0.007</w:t>
            </w:r>
          </w:p>
        </w:tc>
        <w:tc>
          <w:tcPr>
            <w:tcW w:w="1485" w:type="dxa"/>
            <w:tcBorders>
              <w:top w:val="single" w:color="000000" w:themeColor="text1" w:sz="6"/>
              <w:left w:val="single" w:color="000000" w:themeColor="text1" w:sz="6"/>
              <w:bottom w:val="single" w:color="000000" w:themeColor="text1" w:sz="6"/>
              <w:right w:val="nil"/>
            </w:tcBorders>
            <w:tcMar>
              <w:top w:w="15" w:type="dxa"/>
              <w:left w:w="15" w:type="dxa"/>
              <w:right w:w="15" w:type="dxa"/>
            </w:tcMar>
            <w:vAlign w:val="center"/>
          </w:tcPr>
          <w:p w:rsidR="03B2675F" w:rsidP="03B2675F" w:rsidRDefault="03B2675F" w14:paraId="5FA8FB73" w14:textId="0FBEE37F">
            <w:pPr>
              <w:rPr>
                <w:rFonts w:ascii="Aptos" w:hAnsi="Aptos" w:eastAsia="Aptos" w:cs="Aptos"/>
                <w:b w:val="0"/>
                <w:bCs w:val="0"/>
                <w:i w:val="0"/>
                <w:iCs w:val="0"/>
                <w:caps w:val="0"/>
                <w:smallCaps w:val="0"/>
                <w:color w:val="000000" w:themeColor="text1" w:themeTint="FF" w:themeShade="FF"/>
                <w:sz w:val="24"/>
                <w:szCs w:val="24"/>
                <w:lang w:val="en-US"/>
              </w:rPr>
            </w:pPr>
          </w:p>
        </w:tc>
        <w:tc>
          <w:tcPr>
            <w:tcW w:w="1755" w:type="dxa"/>
            <w:tcBorders>
              <w:top w:val="single" w:color="000000" w:themeColor="text1" w:sz="6"/>
              <w:left w:val="single" w:color="000000" w:themeColor="text1" w:sz="6"/>
              <w:bottom w:val="single" w:color="000000" w:themeColor="text1" w:sz="6"/>
              <w:right w:val="single" w:color="000000" w:themeColor="text1" w:sz="6"/>
            </w:tcBorders>
            <w:tcMar>
              <w:top w:w="15" w:type="dxa"/>
              <w:left w:w="15" w:type="dxa"/>
              <w:right w:w="15" w:type="dxa"/>
            </w:tcMar>
            <w:vAlign w:val="center"/>
          </w:tcPr>
          <w:p w:rsidR="03B2675F" w:rsidP="03B2675F" w:rsidRDefault="03B2675F" w14:paraId="543C6B96" w14:textId="12728007">
            <w:pPr>
              <w:rPr>
                <w:rFonts w:ascii="Aptos" w:hAnsi="Aptos" w:eastAsia="Aptos" w:cs="Aptos"/>
                <w:b w:val="0"/>
                <w:bCs w:val="0"/>
                <w:i w:val="0"/>
                <w:iCs w:val="0"/>
                <w:caps w:val="0"/>
                <w:smallCaps w:val="0"/>
                <w:color w:val="000000" w:themeColor="text1" w:themeTint="FF" w:themeShade="FF"/>
                <w:sz w:val="24"/>
                <w:szCs w:val="24"/>
                <w:lang w:val="en-US"/>
              </w:rPr>
            </w:pPr>
          </w:p>
        </w:tc>
      </w:tr>
    </w:tbl>
    <w:p xmlns:wp14="http://schemas.microsoft.com/office/word/2010/wordml" w:rsidP="03B2675F" wp14:paraId="0ACE3A02" wp14:textId="2DEF58AD">
      <w:pPr>
        <w:pStyle w:val="Heading1"/>
        <w:spacing w:before="240" w:beforeAutospacing="off" w:after="24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3B2675F" wp14:paraId="5F68C27F" wp14:textId="4341482F">
      <w:pPr>
        <w:pStyle w:val="Heading1"/>
        <w:keepNext w:val="1"/>
        <w:keepLines w:val="1"/>
        <w:numPr>
          <w:ilvl w:val="0"/>
          <w:numId w:val="2"/>
        </w:numPr>
        <w:spacing w:before="360" w:after="80"/>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pPr>
      <w:bookmarkStart w:name="_Toc788622805" w:id="1740256097"/>
      <w:r w:rsidRPr="03B2675F" w:rsidR="0C07A09E">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t>WLTP Cycle</w:t>
      </w:r>
      <w:bookmarkEnd w:id="1740256097"/>
    </w:p>
    <w:p xmlns:wp14="http://schemas.microsoft.com/office/word/2010/wordml" w:rsidP="03B2675F" wp14:paraId="100D9414" wp14:textId="25B2225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0C07A09E">
        <w:rPr>
          <w:rFonts w:ascii="Aptos" w:hAnsi="Aptos" w:eastAsia="Aptos" w:cs="Aptos"/>
          <w:b w:val="0"/>
          <w:bCs w:val="0"/>
          <w:i w:val="0"/>
          <w:iCs w:val="0"/>
          <w:caps w:val="0"/>
          <w:smallCaps w:val="0"/>
          <w:noProof w:val="0"/>
          <w:color w:val="000000" w:themeColor="text1" w:themeTint="FF" w:themeShade="FF"/>
          <w:sz w:val="24"/>
          <w:szCs w:val="24"/>
          <w:lang w:val="en-US"/>
        </w:rPr>
        <w:t>The Volkswagen Golf 1.5 TSI sits in Class 3 of the WLTP test system, just like most modern family cars. This class is based on something called “specific power,” which is basically the engine’s power divided by the car’s weight. Anything above 34 W/kg counts as Class 3, and Golf’s of 79.307 W/kg puts it well inside that range. In simple terms, it means the Golf has enough performance to be tested using the WLTP’s top level, which is designed for today’s typical passenger cars rather than slower or lighter vehicles. (7)</w:t>
      </w:r>
    </w:p>
    <w:p xmlns:wp14="http://schemas.microsoft.com/office/word/2010/wordml" w:rsidP="03B2675F" wp14:paraId="229FEE7D" wp14:textId="4BA779F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0C07A09E">
        <w:rPr>
          <w:rFonts w:ascii="Aptos" w:hAnsi="Aptos" w:eastAsia="Aptos" w:cs="Aptos"/>
          <w:b w:val="0"/>
          <w:bCs w:val="0"/>
          <w:i w:val="0"/>
          <w:iCs w:val="0"/>
          <w:caps w:val="0"/>
          <w:smallCaps w:val="0"/>
          <w:noProof w:val="0"/>
          <w:color w:val="000000" w:themeColor="text1" w:themeTint="FF" w:themeShade="FF"/>
          <w:sz w:val="24"/>
          <w:szCs w:val="24"/>
          <w:lang w:val="en-US"/>
        </w:rPr>
        <w:t xml:space="preserve">Because </w:t>
      </w:r>
      <w:r w:rsidRPr="03B2675F" w:rsidR="0C07A09E">
        <w:rPr>
          <w:rFonts w:ascii="Aptos" w:hAnsi="Aptos" w:eastAsia="Aptos" w:cs="Aptos"/>
          <w:b w:val="0"/>
          <w:bCs w:val="0"/>
          <w:i w:val="0"/>
          <w:iCs w:val="0"/>
          <w:caps w:val="0"/>
          <w:smallCaps w:val="0"/>
          <w:noProof w:val="0"/>
          <w:color w:val="000000" w:themeColor="text1" w:themeTint="FF" w:themeShade="FF"/>
          <w:sz w:val="24"/>
          <w:szCs w:val="24"/>
          <w:lang w:val="en-US"/>
        </w:rPr>
        <w:t>it’s</w:t>
      </w:r>
      <w:r w:rsidRPr="03B2675F" w:rsidR="0C07A09E">
        <w:rPr>
          <w:rFonts w:ascii="Aptos" w:hAnsi="Aptos" w:eastAsia="Aptos" w:cs="Aptos"/>
          <w:b w:val="0"/>
          <w:bCs w:val="0"/>
          <w:i w:val="0"/>
          <w:iCs w:val="0"/>
          <w:caps w:val="0"/>
          <w:smallCaps w:val="0"/>
          <w:noProof w:val="0"/>
          <w:color w:val="000000" w:themeColor="text1" w:themeTint="FF" w:themeShade="FF"/>
          <w:sz w:val="24"/>
          <w:szCs w:val="24"/>
          <w:lang w:val="en-US"/>
        </w:rPr>
        <w:t xml:space="preserve"> in Class 3, the Golf uses the most demanding version of the WLTP driving cycle. This test includes higher speeds, stronger bursts of acceleration, and a longer overall run, giving a mix of town, country, and motorway-style driving. The idea is to make the results feel closer to what drivers experience on the road. For the Golf 1.5 TSI, that means the fuel economy and emissions figures you see are based on a test that reflects normal everyday use, making them more realistic and easier to compare with other cars in the same class. (7)</w:t>
      </w:r>
    </w:p>
    <w:tbl>
      <w:tblPr>
        <w:tblStyle w:val="TableNormal"/>
        <w:bidiVisual w:val="0"/>
        <w:tblW w:w="0" w:type="auto"/>
        <w:tblLook w:val="06A0" w:firstRow="1" w:lastRow="0" w:firstColumn="1" w:lastColumn="0" w:noHBand="1" w:noVBand="1"/>
      </w:tblPr>
      <w:tblGrid>
        <w:gridCol w:w="1260"/>
        <w:gridCol w:w="1890"/>
        <w:gridCol w:w="1125"/>
      </w:tblGrid>
      <w:tr w:rsidR="03B2675F" w:rsidTr="03B2675F" w14:paraId="453932B1">
        <w:trPr>
          <w:trHeight w:val="570"/>
        </w:trPr>
        <w:tc>
          <w:tcPr>
            <w:tcW w:w="1260" w:type="dxa"/>
            <w:tcBorders>
              <w:top w:val="single" w:sz="6"/>
              <w:left w:val="single" w:sz="6"/>
              <w:bottom w:val="single" w:sz="6"/>
              <w:right w:val="single" w:sz="6"/>
            </w:tcBorders>
            <w:tcMar>
              <w:top w:w="15" w:type="dxa"/>
              <w:left w:w="15" w:type="dxa"/>
              <w:right w:w="15" w:type="dxa"/>
            </w:tcMar>
            <w:vAlign w:val="bottom"/>
          </w:tcPr>
          <w:p w:rsidR="03B2675F" w:rsidP="03B2675F" w:rsidRDefault="03B2675F" w14:paraId="429CBA60" w14:textId="53B15799">
            <w:pPr>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03B2675F" w:rsidR="03B2675F">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WTLP class calculation</w:t>
            </w:r>
          </w:p>
        </w:tc>
        <w:tc>
          <w:tcPr>
            <w:tcW w:w="1890" w:type="dxa"/>
            <w:tcBorders>
              <w:top w:val="single" w:sz="6"/>
              <w:left w:val="single" w:sz="6"/>
              <w:bottom w:val="single" w:sz="6"/>
              <w:right w:val="single" w:sz="6"/>
            </w:tcBorders>
            <w:tcMar>
              <w:top w:w="15" w:type="dxa"/>
              <w:left w:w="15" w:type="dxa"/>
              <w:right w:w="15" w:type="dxa"/>
            </w:tcMar>
            <w:vAlign w:val="bottom"/>
          </w:tcPr>
          <w:p w:rsidR="03B2675F" w:rsidP="03B2675F" w:rsidRDefault="03B2675F" w14:paraId="4AEC560E" w14:textId="21FFAAE2">
            <w:pPr>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03B2675F" w:rsidR="03B2675F">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(110*10^3)/ 1387</w:t>
            </w:r>
          </w:p>
        </w:tc>
        <w:tc>
          <w:tcPr>
            <w:tcW w:w="1125" w:type="dxa"/>
            <w:tcBorders>
              <w:top w:val="single" w:sz="6"/>
              <w:left w:val="single" w:sz="6"/>
              <w:bottom w:val="single" w:sz="6"/>
              <w:right w:val="single" w:sz="6"/>
            </w:tcBorders>
            <w:tcMar>
              <w:top w:w="15" w:type="dxa"/>
              <w:left w:w="15" w:type="dxa"/>
              <w:right w:w="15" w:type="dxa"/>
            </w:tcMar>
            <w:vAlign w:val="bottom"/>
          </w:tcPr>
          <w:p w:rsidR="03B2675F" w:rsidP="03B2675F" w:rsidRDefault="03B2675F" w14:paraId="246FC9C6" w14:textId="3DBD11DC">
            <w:pPr>
              <w:spacing w:before="0" w:beforeAutospacing="off" w:after="0" w:afterAutospacing="off"/>
              <w:jc w:val="right"/>
              <w:rPr>
                <w:rFonts w:ascii="Calibri" w:hAnsi="Calibri" w:eastAsia="Calibri" w:cs="Calibri"/>
                <w:b w:val="0"/>
                <w:bCs w:val="0"/>
                <w:i w:val="0"/>
                <w:iCs w:val="0"/>
                <w:caps w:val="0"/>
                <w:smallCaps w:val="0"/>
                <w:color w:val="000000" w:themeColor="text1" w:themeTint="FF" w:themeShade="FF"/>
                <w:sz w:val="22"/>
                <w:szCs w:val="22"/>
                <w:lang w:val="en-US"/>
              </w:rPr>
            </w:pPr>
            <w:r w:rsidRPr="03B2675F" w:rsidR="03B2675F">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79.30786</w:t>
            </w:r>
          </w:p>
        </w:tc>
      </w:tr>
    </w:tbl>
    <w:p xmlns:wp14="http://schemas.microsoft.com/office/word/2010/wordml" w:rsidP="03B2675F" wp14:paraId="126DE9B4" wp14:textId="347F448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3B2675F" wp14:paraId="05DF91F1" wp14:textId="3A7DB516">
      <w:pPr>
        <w:pStyle w:val="Heading1"/>
        <w:keepNext w:val="1"/>
        <w:keepLines w:val="1"/>
        <w:numPr>
          <w:ilvl w:val="0"/>
          <w:numId w:val="3"/>
        </w:numPr>
        <w:spacing w:before="360" w:after="80"/>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pPr>
      <w:bookmarkStart w:name="_Toc1943934838" w:id="413771290"/>
      <w:r w:rsidRPr="03B2675F" w:rsidR="4DB2DF1A">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t>Cumulative tractive/Braking energy graphs</w:t>
      </w:r>
      <w:bookmarkEnd w:id="413771290"/>
    </w:p>
    <w:p xmlns:wp14="http://schemas.microsoft.com/office/word/2010/wordml" w:rsidP="03B2675F" wp14:paraId="7E8DF131" wp14:textId="7D98BA5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4DB2DF1A">
        <w:rPr>
          <w:rFonts w:ascii="Aptos" w:hAnsi="Aptos" w:eastAsia="Aptos" w:cs="Aptos"/>
          <w:b w:val="0"/>
          <w:bCs w:val="0"/>
          <w:i w:val="0"/>
          <w:iCs w:val="0"/>
          <w:caps w:val="0"/>
          <w:smallCaps w:val="0"/>
          <w:noProof w:val="0"/>
          <w:color w:val="000000" w:themeColor="text1" w:themeTint="FF" w:themeShade="FF"/>
          <w:sz w:val="24"/>
          <w:szCs w:val="24"/>
          <w:lang w:val="en-US"/>
        </w:rPr>
        <w:t>The cumulative tractive energy graph illustrates how much work the Golf 1.5 TSI must produce at the wheels across the full WLTP cycle. As the car moves through the different low-, medium-, high- and extra-high-speed phases, the tractive energy steadily increases. Moments of sharper acceleration or higher-speed driving appear as steeper rises in the graph, showing where the engine has to deliver more power to overcome aerodynamic drag, rolling resistance and changes in velocity. This graph gives a clear picture of the overall energy demand placed on the vehicle during the test and highlights how different sections of the WLTP cycle contribute more heavily to total energy use.</w:t>
      </w:r>
    </w:p>
    <w:p xmlns:wp14="http://schemas.microsoft.com/office/word/2010/wordml" w:rsidP="03B2675F" wp14:paraId="38B8A8F5" wp14:textId="7680FBC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4DB2DF1A">
        <w:rPr>
          <w:rFonts w:ascii="Aptos" w:hAnsi="Aptos" w:eastAsia="Aptos" w:cs="Aptos"/>
          <w:b w:val="0"/>
          <w:bCs w:val="0"/>
          <w:i w:val="0"/>
          <w:iCs w:val="0"/>
          <w:caps w:val="0"/>
          <w:smallCaps w:val="0"/>
          <w:noProof w:val="0"/>
          <w:color w:val="000000" w:themeColor="text1" w:themeTint="FF" w:themeShade="FF"/>
          <w:sz w:val="24"/>
          <w:szCs w:val="24"/>
          <w:lang w:val="en-US"/>
        </w:rPr>
        <w:t>The cumulative braking energy graph, on the other hand, shows how much kinetic energy is removed each time the car slows down. Instead of a smooth incline, the graph rises in steps, with each step representing a braking event. These steps align with points in the WLTP cycle where the vehicle sheds speed, and therefore where the KERS system has the chance to recover useful energy. The size and frequency of these rises give a good indication of how often and how heavily the car brakes during the cycle, revealing the main opportunities for energy recovery under typical driving conditions.</w:t>
      </w:r>
    </w:p>
    <w:p xmlns:wp14="http://schemas.microsoft.com/office/word/2010/wordml" w:rsidP="03B2675F" wp14:paraId="7B1971DF" wp14:textId="2EBB319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4DB2DF1A">
        <w:rPr>
          <w:rFonts w:ascii="Aptos" w:hAnsi="Aptos" w:eastAsia="Aptos" w:cs="Aptos"/>
          <w:b w:val="0"/>
          <w:bCs w:val="0"/>
          <w:i w:val="0"/>
          <w:iCs w:val="0"/>
          <w:caps w:val="0"/>
          <w:smallCaps w:val="0"/>
          <w:noProof w:val="0"/>
          <w:color w:val="000000" w:themeColor="text1" w:themeTint="FF" w:themeShade="FF"/>
          <w:sz w:val="24"/>
          <w:szCs w:val="24"/>
          <w:lang w:val="en-US"/>
        </w:rPr>
        <w:t>When both the tractive and braking graphs are combined, they offer a clear comparison between the energy the vehicle needs to keep moving and the energy that can be captured again through regeneration. The tractive line reflects the total mechanical work required to complete the WLTP cycle, while the braking line highlights how much of that energy is available for recovery. Seeing the two displayed together makes it easier to understand the balance between energy input and energy loss, as well as the realistic limits of what the KERS can reclaim. This combined view helps demonstrate how the Golf manages its energy flow throughout the test and shows the overall potential for regeneration in real-world driving.</w:t>
      </w:r>
    </w:p>
    <w:p xmlns:wp14="http://schemas.microsoft.com/office/word/2010/wordml" w:rsidP="03B2675F" wp14:paraId="7A468EF4" wp14:textId="5E83AB70">
      <w:pPr>
        <w:pStyle w:val="Normal"/>
        <w:spacing w:before="240" w:beforeAutospacing="off" w:after="240" w:afterAutospacing="off"/>
      </w:pPr>
      <w:r w:rsidR="4DB2DF1A">
        <w:drawing>
          <wp:inline xmlns:wp14="http://schemas.microsoft.com/office/word/2010/wordprocessingDrawing" wp14:editId="3B99FD48" wp14:anchorId="453EE3FD">
            <wp:extent cx="5943600" cy="3810000"/>
            <wp:effectExtent l="0" t="0" r="0" b="0"/>
            <wp:docPr id="6239786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3978696" name="Picture 623978696"/>
                    <pic:cNvPicPr/>
                  </pic:nvPicPr>
                  <pic:blipFill>
                    <a:blip xmlns:r="http://schemas.openxmlformats.org/officeDocument/2006/relationships" r:embed="rId974630618">
                      <a:extLst>
                        <a:ext uri="{28A0092B-C50C-407E-A947-70E740481C1C}">
                          <a14:useLocalDpi xmlns:a14="http://schemas.microsoft.com/office/drawing/2010/main"/>
                        </a:ext>
                      </a:extLst>
                    </a:blip>
                    <a:stretch>
                      <a:fillRect/>
                    </a:stretch>
                  </pic:blipFill>
                  <pic:spPr>
                    <a:xfrm>
                      <a:off x="0" y="0"/>
                      <a:ext cx="5943600" cy="3810000"/>
                    </a:xfrm>
                    <a:prstGeom prst="rect">
                      <a:avLst/>
                    </a:prstGeom>
                  </pic:spPr>
                </pic:pic>
              </a:graphicData>
            </a:graphic>
          </wp:inline>
        </w:drawing>
      </w:r>
      <w:r w:rsidR="4DB2DF1A">
        <w:drawing>
          <wp:inline xmlns:wp14="http://schemas.microsoft.com/office/word/2010/wordprocessingDrawing" wp14:editId="77500E8D" wp14:anchorId="1C1B24AE">
            <wp:extent cx="5943600" cy="3600450"/>
            <wp:effectExtent l="0" t="0" r="0" b="0"/>
            <wp:docPr id="18742341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4234164" name="Picture 1874234164"/>
                    <pic:cNvPicPr/>
                  </pic:nvPicPr>
                  <pic:blipFill>
                    <a:blip xmlns:r="http://schemas.openxmlformats.org/officeDocument/2006/relationships" r:embed="rId1540639829">
                      <a:extLst>
                        <a:ext uri="{28A0092B-C50C-407E-A947-70E740481C1C}">
                          <a14:useLocalDpi xmlns:a14="http://schemas.microsoft.com/office/drawing/2010/main"/>
                        </a:ext>
                      </a:extLst>
                    </a:blip>
                    <a:stretch>
                      <a:fillRect/>
                    </a:stretch>
                  </pic:blipFill>
                  <pic:spPr>
                    <a:xfrm>
                      <a:off x="0" y="0"/>
                      <a:ext cx="5943600" cy="3600450"/>
                    </a:xfrm>
                    <a:prstGeom prst="rect">
                      <a:avLst/>
                    </a:prstGeom>
                  </pic:spPr>
                </pic:pic>
              </a:graphicData>
            </a:graphic>
          </wp:inline>
        </w:drawing>
      </w:r>
      <w:r w:rsidR="4DB2DF1A">
        <w:drawing>
          <wp:inline xmlns:wp14="http://schemas.microsoft.com/office/word/2010/wordprocessingDrawing" wp14:editId="798D6AE1" wp14:anchorId="3B799BEC">
            <wp:extent cx="5943600" cy="2495550"/>
            <wp:effectExtent l="0" t="0" r="0" b="0"/>
            <wp:docPr id="15698201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9820104" name="Picture 1569820104"/>
                    <pic:cNvPicPr/>
                  </pic:nvPicPr>
                  <pic:blipFill>
                    <a:blip xmlns:r="http://schemas.openxmlformats.org/officeDocument/2006/relationships" r:embed="rId1158709811">
                      <a:extLst>
                        <a:ext uri="{28A0092B-C50C-407E-A947-70E740481C1C}">
                          <a14:useLocalDpi xmlns:a14="http://schemas.microsoft.com/office/drawing/2010/main"/>
                        </a:ext>
                      </a:extLst>
                    </a:blip>
                    <a:stretch>
                      <a:fillRect/>
                    </a:stretch>
                  </pic:blipFill>
                  <pic:spPr>
                    <a:xfrm>
                      <a:off x="0" y="0"/>
                      <a:ext cx="5943600" cy="2495550"/>
                    </a:xfrm>
                    <a:prstGeom prst="rect">
                      <a:avLst/>
                    </a:prstGeom>
                  </pic:spPr>
                </pic:pic>
              </a:graphicData>
            </a:graphic>
          </wp:inline>
        </w:drawing>
      </w:r>
    </w:p>
    <w:p xmlns:wp14="http://schemas.microsoft.com/office/word/2010/wordml" w:rsidP="03B2675F" wp14:paraId="38A017E3" wp14:textId="2ECA07C6">
      <w:pPr>
        <w:pStyle w:val="Heading1"/>
        <w:keepNext w:val="1"/>
        <w:keepLines w:val="1"/>
        <w:numPr>
          <w:ilvl w:val="0"/>
          <w:numId w:val="4"/>
        </w:numPr>
        <w:spacing w:before="360" w:after="80"/>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pPr>
      <w:bookmarkStart w:name="_Toc1740153113" w:id="2112832774"/>
      <w:r w:rsidRPr="03B2675F" w:rsidR="4DB2DF1A">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t>Largest Possible Moment of KERS</w:t>
      </w:r>
      <w:bookmarkEnd w:id="2112832774"/>
    </w:p>
    <w:p xmlns:wp14="http://schemas.microsoft.com/office/word/2010/wordml" w:rsidP="03B2675F" wp14:paraId="34AAC3E0" wp14:textId="1563681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4DB2DF1A">
        <w:rPr>
          <w:rFonts w:ascii="Aptos" w:hAnsi="Aptos" w:eastAsia="Aptos" w:cs="Aptos"/>
          <w:b w:val="0"/>
          <w:bCs w:val="0"/>
          <w:i w:val="0"/>
          <w:iCs w:val="0"/>
          <w:caps w:val="0"/>
          <w:smallCaps w:val="0"/>
          <w:noProof w:val="0"/>
          <w:color w:val="000000" w:themeColor="text1" w:themeTint="FF" w:themeShade="FF"/>
          <w:sz w:val="24"/>
          <w:szCs w:val="24"/>
          <w:lang w:val="en-US"/>
        </w:rPr>
        <w:t>Although the Golf 1.5 TSI’s KERS system can theoretically recover up to around 990 kJ of energy during the WLTP cycle, the amount the car can actually reuse is much smaller. Mild-hybrid systems like this one are limited by the size of the 48-volt battery, the starter-generator charge rate, and the mechanical limits of the belt drive. Because of this, only a portion of the braking energy makes it back into the battery and then back into the drivetrain. Research into similar mild-hybrid setups shows that they typically manage to recover and reuse around 10–20% of the braking energy during normal mixed driving. Under ideal stop-start conditions this can rise to around 30–35%, but this is very much a best-case scenario and not something you would expect all the time. For the Golf, the usable figure is likely towards the lower end of that range, simply because the battery fills quickly and cannot accept high power for long periods. Even so, the energy that does get reused is enough to make low-speed acceleration smoother and take some of the load off the petrol engine.</w:t>
      </w:r>
    </w:p>
    <w:p xmlns:wp14="http://schemas.microsoft.com/office/word/2010/wordml" w:rsidP="03B2675F" wp14:paraId="41B4661F" wp14:textId="25A8A4B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4DB2DF1A">
        <w:rPr>
          <w:rFonts w:ascii="Aptos" w:hAnsi="Aptos" w:eastAsia="Aptos" w:cs="Aptos"/>
          <w:b w:val="0"/>
          <w:bCs w:val="0"/>
          <w:i w:val="0"/>
          <w:iCs w:val="0"/>
          <w:caps w:val="0"/>
          <w:smallCaps w:val="0"/>
          <w:noProof w:val="0"/>
          <w:color w:val="000000" w:themeColor="text1" w:themeTint="FF" w:themeShade="FF"/>
          <w:sz w:val="24"/>
          <w:szCs w:val="24"/>
          <w:lang w:val="en-US"/>
        </w:rPr>
        <w:t>As Volkswagen does not publish an exact recovery percentage for the Golf’s mild-hybrid system, the best approach is to reference studies that look at typical energy recovery levels for 48-volt hybrids. These sources explain the usual limits on regeneration and give realistic figures that apply directly to systems like the one fitted to the Golf. They show that while mild hybrids cannot store large amounts of energy, they are still able to capture a noticeable share of what would normally be lost during braking, helping to improve overall efficiency without adding the weight or complexity of a full hybrid system. This makes the KERS a practical addition to the car, offering small but useful gains in everyday driving while keeping the system simple and lightweight.</w:t>
      </w:r>
    </w:p>
    <w:p xmlns:wp14="http://schemas.microsoft.com/office/word/2010/wordml" w:rsidP="03B2675F" wp14:paraId="4CD3FA37" wp14:textId="09B9D3C1">
      <w:pPr>
        <w:pStyle w:val="Normal"/>
        <w:spacing w:before="240" w:beforeAutospacing="off" w:after="240" w:afterAutospacing="off"/>
      </w:pPr>
      <w:r w:rsidR="4DB2DF1A">
        <w:drawing>
          <wp:inline xmlns:wp14="http://schemas.microsoft.com/office/word/2010/wordprocessingDrawing" wp14:editId="577B7A4B" wp14:anchorId="04611E5F">
            <wp:extent cx="5943600" cy="3867150"/>
            <wp:effectExtent l="0" t="0" r="0" b="0"/>
            <wp:docPr id="15332274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3227479" name="Picture 1533227479"/>
                    <pic:cNvPicPr/>
                  </pic:nvPicPr>
                  <pic:blipFill>
                    <a:blip xmlns:r="http://schemas.openxmlformats.org/officeDocument/2006/relationships" r:embed="rId1119893981">
                      <a:extLst>
                        <a:ext uri="{28A0092B-C50C-407E-A947-70E740481C1C}">
                          <a14:useLocalDpi xmlns:a14="http://schemas.microsoft.com/office/drawing/2010/main"/>
                        </a:ext>
                      </a:extLst>
                    </a:blip>
                    <a:stretch>
                      <a:fillRect/>
                    </a:stretch>
                  </pic:blipFill>
                  <pic:spPr>
                    <a:xfrm>
                      <a:off x="0" y="0"/>
                      <a:ext cx="5943600" cy="3867150"/>
                    </a:xfrm>
                    <a:prstGeom prst="rect">
                      <a:avLst/>
                    </a:prstGeom>
                  </pic:spPr>
                </pic:pic>
              </a:graphicData>
            </a:graphic>
          </wp:inline>
        </w:drawing>
      </w:r>
      <w:r w:rsidR="4DB2DF1A">
        <w:drawing>
          <wp:inline xmlns:wp14="http://schemas.microsoft.com/office/word/2010/wordprocessingDrawing" wp14:editId="5B699FB7" wp14:anchorId="0378087B">
            <wp:extent cx="5943600" cy="2428875"/>
            <wp:effectExtent l="0" t="0" r="0" b="0"/>
            <wp:docPr id="8148368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4836835" name="Picture 814836835"/>
                    <pic:cNvPicPr/>
                  </pic:nvPicPr>
                  <pic:blipFill>
                    <a:blip xmlns:r="http://schemas.openxmlformats.org/officeDocument/2006/relationships" r:embed="rId1739537886">
                      <a:extLst>
                        <a:ext uri="{28A0092B-C50C-407E-A947-70E740481C1C}">
                          <a14:useLocalDpi xmlns:a14="http://schemas.microsoft.com/office/drawing/2010/main"/>
                        </a:ext>
                      </a:extLst>
                    </a:blip>
                    <a:stretch>
                      <a:fillRect/>
                    </a:stretch>
                  </pic:blipFill>
                  <pic:spPr>
                    <a:xfrm>
                      <a:off x="0" y="0"/>
                      <a:ext cx="5943600" cy="2428875"/>
                    </a:xfrm>
                    <a:prstGeom prst="rect">
                      <a:avLst/>
                    </a:prstGeom>
                  </pic:spPr>
                </pic:pic>
              </a:graphicData>
            </a:graphic>
          </wp:inline>
        </w:drawing>
      </w:r>
    </w:p>
    <w:p xmlns:wp14="http://schemas.microsoft.com/office/word/2010/wordml" w:rsidP="03B2675F" wp14:paraId="38F1D8AC" wp14:textId="7E4A434B">
      <w:pPr>
        <w:pStyle w:val="Heading1"/>
        <w:keepNext w:val="1"/>
        <w:keepLines w:val="1"/>
        <w:numPr>
          <w:ilvl w:val="0"/>
          <w:numId w:val="5"/>
        </w:numPr>
        <w:spacing w:before="360" w:after="80"/>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pPr>
      <w:bookmarkStart w:name="_Toc1813402604" w:id="1587196063"/>
      <w:r w:rsidRPr="03B2675F" w:rsidR="4DB2DF1A">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t>Suitable KER system</w:t>
      </w:r>
      <w:bookmarkEnd w:id="1587196063"/>
      <w:r w:rsidRPr="03B2675F" w:rsidR="4DB2DF1A">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t xml:space="preserve"> </w:t>
      </w:r>
    </w:p>
    <w:p xmlns:wp14="http://schemas.microsoft.com/office/word/2010/wordml" w:rsidP="03B2675F" wp14:paraId="7AD16F56" wp14:textId="1D5C8C5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4DB2DF1A">
        <w:rPr>
          <w:rFonts w:ascii="Aptos" w:hAnsi="Aptos" w:eastAsia="Aptos" w:cs="Aptos"/>
          <w:b w:val="0"/>
          <w:bCs w:val="0"/>
          <w:i w:val="0"/>
          <w:iCs w:val="0"/>
          <w:caps w:val="0"/>
          <w:smallCaps w:val="0"/>
          <w:noProof w:val="0"/>
          <w:color w:val="000000" w:themeColor="text1" w:themeTint="FF" w:themeShade="FF"/>
          <w:sz w:val="24"/>
          <w:szCs w:val="24"/>
          <w:lang w:val="en-US"/>
        </w:rPr>
        <w:t>Fitting a variable-geometry turbocharger to the Golf 1.5 TSI would naturally alter how the engine behaves, and that change would influence the operation of its mild-hybrid KERS system. Because a VGT can adjust the position of its internal vanes, it is able to build boost earlier at low engine speeds and keep airflow efficient as revs rise. This gives the engine a smoother delivery of torque, cutting down on the hesitation that a fixed-geometry turbo can create. With stronger low-rpm performance coming directly from the turbo, the engine would rely less on the small bursts of electric assistance the KERS system normally provides when pulling away or accelerating gently. Instead of stepping in to cover moments of weak boost, the hybrid system would be used less frequently for performance support, as the engine can now respond more quickly on its own. In effect, the mechanical upgrade takes over some of the workload, allowing the KERS system to shift its attention more towards improving efficiency rather than masking gaps in the power curve. (8(</w:t>
      </w:r>
    </w:p>
    <w:p xmlns:wp14="http://schemas.microsoft.com/office/word/2010/wordml" w:rsidP="03B2675F" wp14:paraId="43C582B8" wp14:textId="6E92D69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4DB2DF1A">
        <w:rPr>
          <w:rFonts w:ascii="Aptos" w:hAnsi="Aptos" w:eastAsia="Aptos" w:cs="Aptos"/>
          <w:b w:val="0"/>
          <w:bCs w:val="0"/>
          <w:i w:val="0"/>
          <w:iCs w:val="0"/>
          <w:caps w:val="0"/>
          <w:smallCaps w:val="0"/>
          <w:noProof w:val="0"/>
          <w:color w:val="000000" w:themeColor="text1" w:themeTint="FF" w:themeShade="FF"/>
          <w:sz w:val="24"/>
          <w:szCs w:val="24"/>
          <w:lang w:val="en-US"/>
        </w:rPr>
        <w:t>This also changes the way the KERS system collects and uses energy over the course of a typical journey. A VGT helps the engine run more efficiently by reducing exhaust restriction and improving how the turbo uses the available exhaust energy, which means slightly less energy is wasted as heat. Because of this, there may be a small reduction in the amount of kinetic energy available for the KERS system to capture during braking and coasting phases. Although the difference is marginal, it reflects the fact that a more efficient engine produces fewer losses for the hybrid system to reclaim. At the same time, the need for electric torque assistance drops, as the improved turbo response makes low-speed driving smoother without relying on the hybrid boost. The KERS setup still contributes to start–stop operation, light assistance and coasting, but it becomes more of a background efficiency feature rather than a tool for filling performance gaps. In this way, a VGT doesn’t 8replace KERS but subtly redirects its role, allowing the engine to take the lead in performance while the hybrid system focuses on maintaining overall efficiency.</w:t>
      </w:r>
    </w:p>
    <w:p xmlns:wp14="http://schemas.microsoft.com/office/word/2010/wordml" w:rsidP="03B2675F" wp14:paraId="17571435" wp14:textId="580611F0">
      <w:pPr>
        <w:pStyle w:val="Heading1"/>
        <w:keepNext w:val="1"/>
        <w:keepLines w:val="1"/>
        <w:numPr>
          <w:ilvl w:val="0"/>
          <w:numId w:val="6"/>
        </w:numPr>
        <w:spacing w:before="360" w:after="80"/>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pPr>
      <w:bookmarkStart w:name="_Toc1936953476" w:id="1753390475"/>
      <w:r w:rsidRPr="03B2675F" w:rsidR="4DB2DF1A">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t>KE Recovered</w:t>
      </w:r>
      <w:bookmarkEnd w:id="1753390475"/>
    </w:p>
    <w:p xmlns:wp14="http://schemas.microsoft.com/office/word/2010/wordml" w:rsidP="03B2675F" wp14:paraId="49C0863F" wp14:textId="63DA838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4DB2DF1A">
        <w:rPr>
          <w:rFonts w:ascii="Aptos" w:hAnsi="Aptos" w:eastAsia="Aptos" w:cs="Aptos"/>
          <w:b w:val="0"/>
          <w:bCs w:val="0"/>
          <w:i w:val="0"/>
          <w:iCs w:val="0"/>
          <w:caps w:val="0"/>
          <w:smallCaps w:val="0"/>
          <w:noProof w:val="0"/>
          <w:color w:val="000000" w:themeColor="text1" w:themeTint="FF" w:themeShade="FF"/>
          <w:sz w:val="24"/>
          <w:szCs w:val="24"/>
          <w:lang w:val="en-US"/>
        </w:rPr>
        <w:t>The total amount of kinetic energy available for recovery during the WLTP cycle was calculated to be approximately 990.53 kJ, representing the maximum braking energy that the Golf’s mild-hybrid system could theoretically capture across all deceleration events. This figure helps illustrate the overall potential of the KERS system, as it shows how much energy is normally lost as heat through the friction brakes during a full WLTP drive. However, the Golf’s 48-volt starter-generator and small battery limit how much of this energy can actually be stored and reused. Based on typical performance of similar mild-hybrid systems, only around 10–20% of the available braking energy can realistically be recovered in everyday driving, with an absolute upper limit of around 30–35% under ideal stop–start conditions. Applying these values to the calculated total means that the Golf would normally be able to reuse roughly 100–200 kJ of energy during the WLTP cycle, with higher figures being unlikely due to battery charge limits and the torque capacity of the belt drive.</w:t>
      </w:r>
    </w:p>
    <w:p xmlns:wp14="http://schemas.microsoft.com/office/word/2010/wordml" w:rsidP="03B2675F" wp14:paraId="332736DE" wp14:textId="58D482A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4DB2DF1A">
        <w:rPr>
          <w:rFonts w:ascii="Aptos" w:hAnsi="Aptos" w:eastAsia="Aptos" w:cs="Aptos"/>
          <w:b w:val="0"/>
          <w:bCs w:val="0"/>
          <w:i w:val="0"/>
          <w:iCs w:val="0"/>
          <w:caps w:val="0"/>
          <w:smallCaps w:val="0"/>
          <w:noProof w:val="0"/>
          <w:color w:val="000000" w:themeColor="text1" w:themeTint="FF" w:themeShade="FF"/>
          <w:sz w:val="24"/>
          <w:szCs w:val="24"/>
          <w:lang w:val="en-US"/>
        </w:rPr>
        <w:t>Even with these restrictions, recovered energy still plays a useful role in improving the vehicle’s efficiency. The portion that is successfully stored in the 48-volt battery is fed back into the drivetrain during low-speed acceleration, helping the engine during the moments when it is least efficient. This small amount of electrical assistance smooths the car’s operation in slower traffic while reducing the overall fuel demand placed on the petrol engine. Although mild-hybrid systems like the Golf’s cannot recover or reuse energy on the same scale as a full hybrid or electric vehicle, the calculated values demonstrate that they still offer measurable gains during normal driving. The recovered energy contributes directly to improved drivability and reduced fuel consumption, showing how even a modest KERS system can make better use of energy that would otherwise be wasted.</w:t>
      </w:r>
    </w:p>
    <w:p xmlns:wp14="http://schemas.microsoft.com/office/word/2010/wordml" w:rsidP="03B2675F" wp14:paraId="6A56155F" wp14:textId="4212F0AC">
      <w:pPr>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TableNormal"/>
        <w:bidiVisual w:val="0"/>
        <w:tblW w:w="0" w:type="auto"/>
        <w:tblLook w:val="06A0" w:firstRow="1" w:lastRow="0" w:firstColumn="1" w:lastColumn="0" w:noHBand="1" w:noVBand="1"/>
      </w:tblPr>
      <w:tblGrid>
        <w:gridCol w:w="1560"/>
      </w:tblGrid>
      <w:tr w:rsidR="03B2675F" w:rsidTr="03B2675F" w14:paraId="2335501A">
        <w:trPr>
          <w:trHeight w:val="1230"/>
        </w:trPr>
        <w:tc>
          <w:tcPr>
            <w:tcW w:w="1560" w:type="dxa"/>
            <w:tcBorders>
              <w:top w:val="nil"/>
              <w:left w:val="nil"/>
              <w:bottom w:val="nil"/>
              <w:right w:val="nil"/>
            </w:tcBorders>
            <w:shd w:val="clear" w:color="auto" w:fill="C0C0C0"/>
            <w:tcMar>
              <w:top w:w="15" w:type="dxa"/>
              <w:left w:w="15" w:type="dxa"/>
              <w:right w:w="15" w:type="dxa"/>
            </w:tcMar>
            <w:vAlign w:val="center"/>
          </w:tcPr>
          <w:p w:rsidR="03B2675F" w:rsidP="03B2675F" w:rsidRDefault="03B2675F" w14:paraId="09F9A486" w14:textId="18E32BD4">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0"/>
                <w:szCs w:val="20"/>
                <w:lang w:val="en-US"/>
              </w:rPr>
            </w:pPr>
            <w:r w:rsidRPr="03B2675F" w:rsidR="03B2675F">
              <w:rPr>
                <w:rFonts w:ascii="Arial" w:hAnsi="Arial" w:eastAsia="Arial" w:cs="Arial"/>
                <w:b w:val="0"/>
                <w:bCs w:val="0"/>
                <w:i w:val="0"/>
                <w:iCs w:val="0"/>
                <w:caps w:val="0"/>
                <w:smallCaps w:val="0"/>
                <w:strike w:val="0"/>
                <w:dstrike w:val="0"/>
                <w:color w:val="000000" w:themeColor="text1" w:themeTint="FF" w:themeShade="FF"/>
                <w:sz w:val="20"/>
                <w:szCs w:val="20"/>
                <w:u w:val="none"/>
                <w:lang w:val="en-US"/>
              </w:rPr>
              <w:t>MAX KE</w:t>
            </w:r>
          </w:p>
        </w:tc>
      </w:tr>
      <w:tr w:rsidR="03B2675F" w:rsidTr="03B2675F" w14:paraId="25D16250">
        <w:trPr>
          <w:trHeight w:val="285"/>
        </w:trPr>
        <w:tc>
          <w:tcPr>
            <w:tcW w:w="1560" w:type="dxa"/>
            <w:tcBorders>
              <w:top w:val="nil"/>
              <w:left w:val="nil"/>
              <w:bottom w:val="nil"/>
              <w:right w:val="nil"/>
            </w:tcBorders>
            <w:shd w:val="clear" w:color="auto" w:fill="C0C0C0"/>
            <w:tcMar>
              <w:top w:w="15" w:type="dxa"/>
              <w:left w:w="15" w:type="dxa"/>
              <w:right w:w="15" w:type="dxa"/>
            </w:tcMar>
            <w:vAlign w:val="center"/>
          </w:tcPr>
          <w:p w:rsidR="03B2675F" w:rsidP="03B2675F" w:rsidRDefault="03B2675F" w14:paraId="61DF6927" w14:textId="67FAC56E">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0"/>
                <w:szCs w:val="20"/>
                <w:lang w:val="en-US"/>
              </w:rPr>
            </w:pPr>
            <w:r w:rsidRPr="03B2675F" w:rsidR="03B2675F">
              <w:rPr>
                <w:rFonts w:ascii="Arial" w:hAnsi="Arial" w:eastAsia="Arial" w:cs="Arial"/>
                <w:b w:val="0"/>
                <w:bCs w:val="0"/>
                <w:i w:val="0"/>
                <w:iCs w:val="0"/>
                <w:caps w:val="0"/>
                <w:smallCaps w:val="0"/>
                <w:strike w:val="0"/>
                <w:dstrike w:val="0"/>
                <w:color w:val="000000" w:themeColor="text1" w:themeTint="FF" w:themeShade="FF"/>
                <w:sz w:val="20"/>
                <w:szCs w:val="20"/>
                <w:u w:val="none"/>
                <w:lang w:val="en-US"/>
              </w:rPr>
              <w:t>KJ</w:t>
            </w:r>
          </w:p>
        </w:tc>
      </w:tr>
      <w:tr w:rsidR="03B2675F" w:rsidTr="03B2675F" w14:paraId="5F78BDB3">
        <w:trPr>
          <w:trHeight w:val="285"/>
        </w:trPr>
        <w:tc>
          <w:tcPr>
            <w:tcW w:w="1560" w:type="dxa"/>
            <w:tcBorders>
              <w:top w:val="nil"/>
              <w:left w:val="nil"/>
              <w:bottom w:val="nil"/>
              <w:right w:val="nil"/>
            </w:tcBorders>
            <w:tcMar>
              <w:top w:w="15" w:type="dxa"/>
              <w:left w:w="15" w:type="dxa"/>
              <w:right w:w="15" w:type="dxa"/>
            </w:tcMar>
            <w:vAlign w:val="bottom"/>
          </w:tcPr>
          <w:p w:rsidR="03B2675F" w:rsidP="03B2675F" w:rsidRDefault="03B2675F" w14:paraId="5ABE1DF4" w14:textId="2B6C520E">
            <w:pPr>
              <w:spacing w:before="0" w:beforeAutospacing="off" w:after="0" w:afterAutospacing="off"/>
              <w:jc w:val="right"/>
              <w:rPr>
                <w:rFonts w:ascii="Calibri" w:hAnsi="Calibri" w:eastAsia="Calibri" w:cs="Calibri"/>
                <w:b w:val="0"/>
                <w:bCs w:val="0"/>
                <w:i w:val="0"/>
                <w:iCs w:val="0"/>
                <w:caps w:val="0"/>
                <w:smallCaps w:val="0"/>
                <w:color w:val="000000" w:themeColor="text1" w:themeTint="FF" w:themeShade="FF"/>
                <w:sz w:val="22"/>
                <w:szCs w:val="22"/>
                <w:lang w:val="en-US"/>
              </w:rPr>
            </w:pPr>
            <w:r w:rsidRPr="03B2675F" w:rsidR="03B2675F">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990.5279</w:t>
            </w:r>
          </w:p>
        </w:tc>
      </w:tr>
    </w:tbl>
    <w:p xmlns:wp14="http://schemas.microsoft.com/office/word/2010/wordml" w:rsidP="03B2675F" wp14:paraId="0CF9319A" wp14:textId="241D3EC1">
      <w:pPr>
        <w:pStyle w:val="Normal"/>
        <w:spacing w:before="240" w:beforeAutospacing="off" w:after="240" w:afterAutospacing="off"/>
      </w:pPr>
      <w:r w:rsidR="0738F6A3">
        <w:drawing>
          <wp:inline xmlns:wp14="http://schemas.microsoft.com/office/word/2010/wordprocessingDrawing" wp14:editId="525FB943" wp14:anchorId="173C95C8">
            <wp:extent cx="6762750" cy="3648075"/>
            <wp:effectExtent l="0" t="0" r="0" b="0"/>
            <wp:docPr id="21180583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8058331" name="Picture 2118058331"/>
                    <pic:cNvPicPr/>
                  </pic:nvPicPr>
                  <pic:blipFill>
                    <a:blip xmlns:r="http://schemas.openxmlformats.org/officeDocument/2006/relationships" r:embed="rId595427019">
                      <a:extLst>
                        <a:ext uri="{28A0092B-C50C-407E-A947-70E740481C1C}">
                          <a14:useLocalDpi xmlns:a14="http://schemas.microsoft.com/office/drawing/2010/main"/>
                        </a:ext>
                      </a:extLst>
                    </a:blip>
                    <a:stretch>
                      <a:fillRect/>
                    </a:stretch>
                  </pic:blipFill>
                  <pic:spPr>
                    <a:xfrm>
                      <a:off x="0" y="0"/>
                      <a:ext cx="6762750" cy="3648075"/>
                    </a:xfrm>
                    <a:prstGeom prst="rect">
                      <a:avLst/>
                    </a:prstGeom>
                  </pic:spPr>
                </pic:pic>
              </a:graphicData>
            </a:graphic>
          </wp:inline>
        </w:drawing>
      </w:r>
    </w:p>
    <w:p xmlns:wp14="http://schemas.microsoft.com/office/word/2010/wordml" w:rsidP="03B2675F" wp14:paraId="2B7EDD2B" wp14:textId="36E54B8E">
      <w:pPr>
        <w:pStyle w:val="Heading1"/>
        <w:keepNext w:val="1"/>
        <w:keepLines w:val="1"/>
        <w:numPr>
          <w:ilvl w:val="0"/>
          <w:numId w:val="7"/>
        </w:numPr>
        <w:spacing w:before="360" w:after="80"/>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pPr>
      <w:bookmarkStart w:name="_Toc676784231" w:id="1295763484"/>
      <w:r w:rsidRPr="03B2675F" w:rsidR="0738F6A3">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t>Comparisons to conventional friction brake systems</w:t>
      </w:r>
      <w:bookmarkEnd w:id="1295763484"/>
    </w:p>
    <w:p xmlns:wp14="http://schemas.microsoft.com/office/word/2010/wordml" w:rsidP="03B2675F" wp14:paraId="3DBB8BC5" wp14:textId="4D476B9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0738F6A3">
        <w:rPr>
          <w:rFonts w:ascii="Aptos" w:hAnsi="Aptos" w:eastAsia="Aptos" w:cs="Aptos"/>
          <w:b w:val="0"/>
          <w:bCs w:val="0"/>
          <w:i w:val="0"/>
          <w:iCs w:val="0"/>
          <w:caps w:val="0"/>
          <w:smallCaps w:val="0"/>
          <w:noProof w:val="0"/>
          <w:color w:val="000000" w:themeColor="text1" w:themeTint="FF" w:themeShade="FF"/>
          <w:sz w:val="24"/>
          <w:szCs w:val="24"/>
          <w:lang w:val="en-US"/>
        </w:rPr>
        <w:t>Compared with a conventional friction braking system, the Golf’s KERS setup changes how the car manages energy during deceleration. In a standard braking system, all of the vehicle’s kinetic energy is converted directly into heat through the brake discs and pads, which means the energy is completely lost. With the Golf’s mild-hybrid system, part of this energy is captured by the starter-generator before any friction braking takes place. This allows a portion of the braking effort to be handled electrically rather than mechanically, reducing the demand on the discs and pads during lighter braking events. Although the 48-volt system cannot recover anywhere near the amount of energy a full hybrid or EV can, it still manages to reclaim a useful share of what would otherwise be wasted.</w:t>
      </w:r>
    </w:p>
    <w:p xmlns:wp14="http://schemas.microsoft.com/office/word/2010/wordml" w:rsidP="03B2675F" wp14:paraId="3D76BF6A" wp14:textId="18368AA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0738F6A3">
        <w:rPr>
          <w:rFonts w:ascii="Aptos" w:hAnsi="Aptos" w:eastAsia="Aptos" w:cs="Aptos"/>
          <w:b w:val="0"/>
          <w:bCs w:val="0"/>
          <w:i w:val="0"/>
          <w:iCs w:val="0"/>
          <w:caps w:val="0"/>
          <w:smallCaps w:val="0"/>
          <w:noProof w:val="0"/>
          <w:color w:val="000000" w:themeColor="text1" w:themeTint="FF" w:themeShade="FF"/>
          <w:sz w:val="24"/>
          <w:szCs w:val="24"/>
          <w:lang w:val="en-US"/>
        </w:rPr>
        <w:t>Even with this benefit, the KERS does not replace the need for traditional friction brakes. When braking sharply or at higher speeds, the system quickly reaches its recovery limits due to the small battery capacity and the maximum torque the belt drive can transmit. In these situations, the friction brakes take over entirely and provide the full stopping force. However, by handling some of the lighter deceleration phases, the KERS system helps reduce brake wear and can slightly extend the life of the pads and discs. Overall, while KERS cannot match the stopping capability of a purely mechanical system, it adds an extra layer of efficiency by turning small amounts of braking energy into something the engine can use, rather than letting all of it be lost as heat.</w:t>
      </w:r>
    </w:p>
    <w:p xmlns:wp14="http://schemas.microsoft.com/office/word/2010/wordml" w:rsidP="03B2675F" wp14:paraId="32D2FC37" wp14:textId="3240C8B5">
      <w:pPr>
        <w:pStyle w:val="Heading1"/>
        <w:keepNext w:val="1"/>
        <w:keepLines w:val="1"/>
        <w:numPr>
          <w:ilvl w:val="0"/>
          <w:numId w:val="8"/>
        </w:numPr>
        <w:spacing w:before="360" w:after="80"/>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pPr>
      <w:bookmarkStart w:name="_Toc801826965" w:id="1160901711"/>
      <w:r w:rsidRPr="03B2675F" w:rsidR="0738F6A3">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t>Conclusion</w:t>
      </w:r>
      <w:bookmarkEnd w:id="1160901711"/>
    </w:p>
    <w:p xmlns:wp14="http://schemas.microsoft.com/office/word/2010/wordml" w:rsidP="03B2675F" wp14:paraId="45077FF9" wp14:textId="16A1A80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0738F6A3">
        <w:rPr>
          <w:rFonts w:ascii="Aptos" w:hAnsi="Aptos" w:eastAsia="Aptos" w:cs="Aptos"/>
          <w:b w:val="0"/>
          <w:bCs w:val="0"/>
          <w:i w:val="0"/>
          <w:iCs w:val="0"/>
          <w:caps w:val="0"/>
          <w:smallCaps w:val="0"/>
          <w:noProof w:val="0"/>
          <w:color w:val="000000" w:themeColor="text1" w:themeTint="FF" w:themeShade="FF"/>
          <w:sz w:val="24"/>
          <w:szCs w:val="24"/>
          <w:lang w:val="en-US"/>
        </w:rPr>
        <w:t>Overall, the analysis of the Golf 1.5 TSI’s KERS system shows how even a mild-hybrid setup can make meaningful use of energy that would normally be lost during braking. By recovering part of the vehicle’s kinetic energy and feeding it back into the drivetrain, the system helps reduce fuel consumption, smooth low-speed performance, and improve overall efficiency without adding the weight or complexity of a full hybrid. Although the amount of recoverable energy is limited by the 48-volt battery and the design of the starter-generator, the results from the WLTP cycle demonstrate that the system still provides clear benefits in everyday driving. Together, these findings highlight the value of mild-hybrid technology as a practical and efficient addition to modern combustion-engine vehicles.</w:t>
      </w:r>
    </w:p>
    <w:p xmlns:wp14="http://schemas.microsoft.com/office/word/2010/wordml" w:rsidP="03B2675F" wp14:paraId="5BC39EEF" wp14:textId="3D9E6E5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3B2675F" wp14:paraId="47E521DD" wp14:textId="26C2CEAB">
      <w:pPr>
        <w:pStyle w:val="Heading1"/>
        <w:keepNext w:val="1"/>
        <w:keepLines w:val="1"/>
        <w:numPr>
          <w:ilvl w:val="0"/>
          <w:numId w:val="9"/>
        </w:numPr>
        <w:spacing w:before="360" w:after="80"/>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pPr>
      <w:bookmarkStart w:name="_Toc1222812996" w:id="93828625"/>
      <w:r w:rsidRPr="03B2675F" w:rsidR="0738F6A3">
        <w:rPr>
          <w:rFonts w:ascii="Aptos Display" w:hAnsi="Aptos Display" w:eastAsia="Aptos Display" w:cs="Aptos Display"/>
          <w:b w:val="1"/>
          <w:bCs w:val="1"/>
          <w:i w:val="1"/>
          <w:iCs w:val="1"/>
          <w:caps w:val="0"/>
          <w:smallCaps w:val="0"/>
          <w:strike w:val="0"/>
          <w:dstrike w:val="0"/>
          <w:noProof w:val="0"/>
          <w:color w:val="000000" w:themeColor="text1" w:themeTint="FF" w:themeShade="FF"/>
          <w:sz w:val="32"/>
          <w:szCs w:val="32"/>
          <w:u w:val="single"/>
          <w:lang w:val="en-US"/>
        </w:rPr>
        <w:t>References</w:t>
      </w:r>
      <w:bookmarkEnd w:id="93828625"/>
    </w:p>
    <w:p xmlns:wp14="http://schemas.microsoft.com/office/word/2010/wordml" w:rsidP="03B2675F" wp14:paraId="7E4012B3" wp14:textId="31FDF2FC">
      <w:pPr>
        <w:pStyle w:val="ListParagraph"/>
        <w:numPr>
          <w:ilvl w:val="0"/>
          <w:numId w:val="10"/>
        </w:numPr>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0738F6A3">
        <w:rPr>
          <w:rFonts w:ascii="Aptos" w:hAnsi="Aptos" w:eastAsia="Aptos" w:cs="Aptos"/>
          <w:b w:val="0"/>
          <w:bCs w:val="0"/>
          <w:i w:val="0"/>
          <w:iCs w:val="0"/>
          <w:caps w:val="0"/>
          <w:smallCaps w:val="0"/>
          <w:noProof w:val="0"/>
          <w:color w:val="000000" w:themeColor="text1" w:themeTint="FF" w:themeShade="FF"/>
          <w:sz w:val="24"/>
          <w:szCs w:val="24"/>
          <w:lang w:val="en-US"/>
        </w:rPr>
        <w:t xml:space="preserve">Carfolio.com. (2019). 2019 Volkswagen Golf 1.5 TSI Golf 8: detailed specifications, performance and economy data. [online] Available at: </w:t>
      </w:r>
      <w:hyperlink r:id="R1b2c5c6a9a8942e3">
        <w:r w:rsidRPr="03B2675F" w:rsidR="0738F6A3">
          <w:rPr>
            <w:rStyle w:val="Hyperlink"/>
            <w:rFonts w:ascii="Aptos" w:hAnsi="Aptos" w:eastAsia="Aptos" w:cs="Aptos"/>
            <w:b w:val="0"/>
            <w:bCs w:val="0"/>
            <w:i w:val="0"/>
            <w:iCs w:val="0"/>
            <w:caps w:val="0"/>
            <w:smallCaps w:val="0"/>
            <w:strike w:val="0"/>
            <w:dstrike w:val="0"/>
            <w:noProof w:val="0"/>
            <w:sz w:val="24"/>
            <w:szCs w:val="24"/>
            <w:lang w:val="en-US"/>
          </w:rPr>
          <w:t>https://www.carfolio.com/volkswagen-golf-1.5-tsi-618618</w:t>
        </w:r>
      </w:hyperlink>
      <w:r w:rsidRPr="03B2675F" w:rsidR="0738F6A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3B2675F" w:rsidR="0738F6A3">
        <w:rPr>
          <w:rFonts w:ascii="Aptos" w:hAnsi="Aptos" w:eastAsia="Aptos" w:cs="Aptos"/>
          <w:b w:val="0"/>
          <w:bCs w:val="0"/>
          <w:i w:val="0"/>
          <w:iCs w:val="0"/>
          <w:caps w:val="0"/>
          <w:smallCaps w:val="0"/>
          <w:noProof w:val="0"/>
          <w:color w:val="000000" w:themeColor="text1" w:themeTint="FF" w:themeShade="FF"/>
          <w:sz w:val="24"/>
          <w:szCs w:val="24"/>
          <w:lang w:val="en-US"/>
        </w:rPr>
        <w:t>[Accessed 4 Nov. 2025].</w:t>
      </w:r>
    </w:p>
    <w:p xmlns:wp14="http://schemas.microsoft.com/office/word/2010/wordml" w:rsidP="03B2675F" wp14:paraId="2EF51B23" wp14:textId="57953227">
      <w:pPr>
        <w:pStyle w:val="ListParagraph"/>
        <w:numPr>
          <w:ilvl w:val="0"/>
          <w:numId w:val="10"/>
        </w:numPr>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0738F6A3">
        <w:rPr>
          <w:rFonts w:ascii="Aptos" w:hAnsi="Aptos" w:eastAsia="Aptos" w:cs="Aptos"/>
          <w:b w:val="0"/>
          <w:bCs w:val="0"/>
          <w:i w:val="0"/>
          <w:iCs w:val="0"/>
          <w:caps w:val="0"/>
          <w:smallCaps w:val="0"/>
          <w:noProof w:val="0"/>
          <w:color w:val="000000" w:themeColor="text1" w:themeTint="FF" w:themeShade="FF"/>
          <w:sz w:val="24"/>
          <w:szCs w:val="24"/>
          <w:lang w:val="en-US"/>
        </w:rPr>
        <w:t xml:space="preserve">‌Ultimatespecs.com. (2020). Volkswagen Golf 8 1.5 eTSI 150HP DSG. [online] Available at: </w:t>
      </w:r>
      <w:hyperlink r:id="R4a935c3b9ef14512">
        <w:r w:rsidRPr="03B2675F" w:rsidR="0738F6A3">
          <w:rPr>
            <w:rStyle w:val="Hyperlink"/>
            <w:rFonts w:ascii="Aptos" w:hAnsi="Aptos" w:eastAsia="Aptos" w:cs="Aptos"/>
            <w:b w:val="0"/>
            <w:bCs w:val="0"/>
            <w:i w:val="0"/>
            <w:iCs w:val="0"/>
            <w:caps w:val="0"/>
            <w:smallCaps w:val="0"/>
            <w:strike w:val="0"/>
            <w:dstrike w:val="0"/>
            <w:noProof w:val="0"/>
            <w:sz w:val="24"/>
            <w:szCs w:val="24"/>
            <w:lang w:val="en-US"/>
          </w:rPr>
          <w:t>https://www.ultimatespecs.com/car-specs/Volkswagen/118819/Volkswagen-Golf-8-15-eTSI-150HP-DSG.html</w:t>
        </w:r>
      </w:hyperlink>
      <w:r w:rsidRPr="03B2675F" w:rsidR="0738F6A3">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4 Nov. </w:t>
      </w:r>
      <w:r w:rsidRPr="03B2675F" w:rsidR="0738F6A3">
        <w:rPr>
          <w:rFonts w:ascii="Aptos" w:hAnsi="Aptos" w:eastAsia="Aptos" w:cs="Aptos"/>
          <w:b w:val="0"/>
          <w:bCs w:val="0"/>
          <w:i w:val="0"/>
          <w:iCs w:val="0"/>
          <w:caps w:val="0"/>
          <w:smallCaps w:val="0"/>
          <w:noProof w:val="0"/>
          <w:color w:val="000000" w:themeColor="text1" w:themeTint="FF" w:themeShade="FF"/>
          <w:sz w:val="24"/>
          <w:szCs w:val="24"/>
          <w:lang w:val="en-US"/>
        </w:rPr>
        <w:t>2025].</w:t>
      </w:r>
    </w:p>
    <w:p xmlns:wp14="http://schemas.microsoft.com/office/word/2010/wordml" w:rsidP="03B2675F" wp14:paraId="58C475EC" wp14:textId="278F1BF4">
      <w:pPr>
        <w:pStyle w:val="ListParagraph"/>
        <w:numPr>
          <w:ilvl w:val="0"/>
          <w:numId w:val="10"/>
        </w:numPr>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0738F6A3">
        <w:rPr>
          <w:rFonts w:ascii="Aptos" w:hAnsi="Aptos" w:eastAsia="Aptos" w:cs="Aptos"/>
          <w:b w:val="0"/>
          <w:bCs w:val="0"/>
          <w:i w:val="0"/>
          <w:iCs w:val="0"/>
          <w:caps w:val="0"/>
          <w:smallCaps w:val="0"/>
          <w:noProof w:val="0"/>
          <w:color w:val="000000" w:themeColor="text1" w:themeTint="FF" w:themeShade="FF"/>
          <w:sz w:val="24"/>
          <w:szCs w:val="24"/>
          <w:lang w:val="en-US"/>
        </w:rPr>
        <w:t xml:space="preserve">‌Auto-data.net. (2020). Volkswagen Golf VIII 1.5 TSI (150 Hp) | Technical specs, data, fuel consumption, Dimensions. [online] Available at: </w:t>
      </w:r>
      <w:hyperlink r:id="R615bbcaddc2a4ff5">
        <w:r w:rsidRPr="03B2675F" w:rsidR="0738F6A3">
          <w:rPr>
            <w:rStyle w:val="Hyperlink"/>
            <w:rFonts w:ascii="Aptos" w:hAnsi="Aptos" w:eastAsia="Aptos" w:cs="Aptos"/>
            <w:b w:val="0"/>
            <w:bCs w:val="0"/>
            <w:i w:val="0"/>
            <w:iCs w:val="0"/>
            <w:caps w:val="0"/>
            <w:smallCaps w:val="0"/>
            <w:strike w:val="0"/>
            <w:dstrike w:val="0"/>
            <w:noProof w:val="0"/>
            <w:sz w:val="24"/>
            <w:szCs w:val="24"/>
            <w:lang w:val="en-US"/>
          </w:rPr>
          <w:t>https://www.auto-data.net/en/volkswagen-golf-viii-1.5-tsi-150hp-38152</w:t>
        </w:r>
      </w:hyperlink>
      <w:r w:rsidRPr="03B2675F" w:rsidR="0738F6A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3B2675F" w:rsidR="0738F6A3">
        <w:rPr>
          <w:rFonts w:ascii="Aptos" w:hAnsi="Aptos" w:eastAsia="Aptos" w:cs="Aptos"/>
          <w:b w:val="0"/>
          <w:bCs w:val="0"/>
          <w:i w:val="0"/>
          <w:iCs w:val="0"/>
          <w:caps w:val="0"/>
          <w:smallCaps w:val="0"/>
          <w:noProof w:val="0"/>
          <w:color w:val="000000" w:themeColor="text1" w:themeTint="FF" w:themeShade="FF"/>
          <w:sz w:val="24"/>
          <w:szCs w:val="24"/>
          <w:lang w:val="en-US"/>
        </w:rPr>
        <w:t>[Accessed 4 Nov. 2025].</w:t>
      </w:r>
    </w:p>
    <w:p xmlns:wp14="http://schemas.microsoft.com/office/word/2010/wordml" w:rsidP="03B2675F" wp14:paraId="6E317896" wp14:textId="5BD19916">
      <w:pPr>
        <w:pStyle w:val="ListParagraph"/>
        <w:numPr>
          <w:ilvl w:val="0"/>
          <w:numId w:val="10"/>
        </w:numPr>
        <w:rPr>
          <w:rFonts w:ascii="Aptos" w:hAnsi="Aptos" w:eastAsia="Aptos" w:cs="Aptos"/>
          <w:b w:val="0"/>
          <w:bCs w:val="0"/>
          <w:i w:val="0"/>
          <w:iCs w:val="0"/>
          <w:caps w:val="0"/>
          <w:smallCaps w:val="0"/>
          <w:noProof w:val="0"/>
          <w:color w:val="000000" w:themeColor="text1" w:themeTint="FF" w:themeShade="FF"/>
          <w:sz w:val="24"/>
          <w:szCs w:val="24"/>
          <w:lang w:val="en-US"/>
        </w:rPr>
      </w:pPr>
      <w:r w:rsidRPr="03B2675F" w:rsidR="0738F6A3">
        <w:rPr>
          <w:rFonts w:ascii="Aptos" w:hAnsi="Aptos" w:eastAsia="Aptos" w:cs="Aptos"/>
          <w:b w:val="0"/>
          <w:bCs w:val="0"/>
          <w:i w:val="0"/>
          <w:iCs w:val="0"/>
          <w:caps w:val="0"/>
          <w:smallCaps w:val="0"/>
          <w:noProof w:val="0"/>
          <w:color w:val="000000" w:themeColor="text1" w:themeTint="FF" w:themeShade="FF"/>
          <w:sz w:val="24"/>
          <w:szCs w:val="24"/>
          <w:lang w:val="en-US"/>
        </w:rPr>
        <w:t xml:space="preserve">‌encyCARpedia. (2024). 2020-2024 Volkswagen Golf 1.5 TSI 150 Mk8 Specs &amp; Performance, Ranks &amp; Comparisons 🚘. [online] Available at: </w:t>
      </w:r>
      <w:hyperlink r:id="Rc4c4ea900029405d">
        <w:r w:rsidRPr="03B2675F" w:rsidR="0738F6A3">
          <w:rPr>
            <w:rStyle w:val="Hyperlink"/>
            <w:rFonts w:ascii="Aptos" w:hAnsi="Aptos" w:eastAsia="Aptos" w:cs="Aptos"/>
            <w:b w:val="0"/>
            <w:bCs w:val="0"/>
            <w:i w:val="0"/>
            <w:iCs w:val="0"/>
            <w:caps w:val="0"/>
            <w:smallCaps w:val="0"/>
            <w:strike w:val="0"/>
            <w:dstrike w:val="0"/>
            <w:noProof w:val="0"/>
            <w:sz w:val="24"/>
            <w:szCs w:val="24"/>
            <w:lang w:val="en-US"/>
          </w:rPr>
          <w:t>https://www.encycarpedia.com/volkswagen/20-golf-1-5-tsi-150-hatch</w:t>
        </w:r>
      </w:hyperlink>
      <w:r w:rsidRPr="03B2675F" w:rsidR="0738F6A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3B2675F" w:rsidR="0738F6A3">
        <w:rPr>
          <w:rFonts w:ascii="Aptos" w:hAnsi="Aptos" w:eastAsia="Aptos" w:cs="Aptos"/>
          <w:b w:val="0"/>
          <w:bCs w:val="0"/>
          <w:i w:val="0"/>
          <w:iCs w:val="0"/>
          <w:caps w:val="0"/>
          <w:smallCaps w:val="0"/>
          <w:noProof w:val="0"/>
          <w:color w:val="000000" w:themeColor="text1" w:themeTint="FF" w:themeShade="FF"/>
          <w:sz w:val="24"/>
          <w:szCs w:val="24"/>
          <w:lang w:val="en-US"/>
        </w:rPr>
        <w:t>[Accessed 4 Nov. 2025].</w:t>
      </w:r>
    </w:p>
    <w:p xmlns:wp14="http://schemas.microsoft.com/office/word/2010/wordml" w:rsidP="03B2675F" wp14:paraId="5589C1B8" wp14:textId="1281C558">
      <w:pPr>
        <w:pStyle w:val="ListParagraph"/>
        <w:numPr>
          <w:ilvl w:val="0"/>
          <w:numId w:val="10"/>
        </w:numPr>
        <w:rPr>
          <w:rFonts w:ascii="Calibri" w:hAnsi="Calibri" w:eastAsia="Calibri" w:cs="Calibri"/>
          <w:b w:val="0"/>
          <w:bCs w:val="0"/>
          <w:i w:val="0"/>
          <w:iCs w:val="0"/>
          <w:caps w:val="0"/>
          <w:smallCaps w:val="0"/>
          <w:noProof w:val="0"/>
          <w:color w:val="000000" w:themeColor="text1" w:themeTint="FF" w:themeShade="FF"/>
          <w:sz w:val="27"/>
          <w:szCs w:val="27"/>
          <w:lang w:val="en-US"/>
        </w:rPr>
      </w:pPr>
      <w:r w:rsidRPr="03B2675F" w:rsidR="0738F6A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Benchmark Test. (n.d.). Available at: </w:t>
      </w:r>
      <w:hyperlink r:id="Rbb63fe0d36ca45aa">
        <w:r w:rsidRPr="03B2675F" w:rsidR="0738F6A3">
          <w:rPr>
            <w:rStyle w:val="Hyperlink"/>
            <w:rFonts w:ascii="Calibri" w:hAnsi="Calibri" w:eastAsia="Calibri" w:cs="Calibri"/>
            <w:b w:val="0"/>
            <w:bCs w:val="0"/>
            <w:i w:val="0"/>
            <w:iCs w:val="0"/>
            <w:caps w:val="0"/>
            <w:smallCaps w:val="0"/>
            <w:strike w:val="0"/>
            <w:dstrike w:val="0"/>
            <w:noProof w:val="0"/>
            <w:sz w:val="27"/>
            <w:szCs w:val="27"/>
            <w:lang w:val="en-US"/>
          </w:rPr>
          <w:t>https://www.goodyear.eu/content/dam/goodyear/consumer/common/tire-test-reports/TUV_SUD_Tire_Test_2019-Report-No-713171748-01-Goodyear-EfficientGrip-Performance-2-new.pdf?utm_source=chatgpt.com</w:t>
        </w:r>
      </w:hyperlink>
      <w:r w:rsidRPr="03B2675F" w:rsidR="0738F6A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03B2675F" w:rsidR="0738F6A3">
        <w:rPr>
          <w:rFonts w:ascii="Calibri" w:hAnsi="Calibri" w:eastAsia="Calibri" w:cs="Calibri"/>
          <w:b w:val="0"/>
          <w:bCs w:val="0"/>
          <w:i w:val="0"/>
          <w:iCs w:val="0"/>
          <w:caps w:val="0"/>
          <w:smallCaps w:val="0"/>
          <w:noProof w:val="0"/>
          <w:color w:val="000000" w:themeColor="text1" w:themeTint="FF" w:themeShade="FF"/>
          <w:sz w:val="27"/>
          <w:szCs w:val="27"/>
          <w:lang w:val="en-US"/>
        </w:rPr>
        <w:t>[Accessed 5 Nov. 2025].</w:t>
      </w:r>
    </w:p>
    <w:p xmlns:wp14="http://schemas.microsoft.com/office/word/2010/wordml" w:rsidP="03B2675F" wp14:paraId="73A36D85" wp14:textId="5B4FE11A">
      <w:pPr>
        <w:pStyle w:val="ListParagraph"/>
        <w:numPr>
          <w:ilvl w:val="0"/>
          <w:numId w:val="10"/>
        </w:numPr>
        <w:rPr>
          <w:rFonts w:ascii="Calibri" w:hAnsi="Calibri" w:eastAsia="Calibri" w:cs="Calibri"/>
          <w:b w:val="0"/>
          <w:bCs w:val="0"/>
          <w:i w:val="0"/>
          <w:iCs w:val="0"/>
          <w:caps w:val="0"/>
          <w:smallCaps w:val="0"/>
          <w:noProof w:val="0"/>
          <w:color w:val="000000" w:themeColor="text1" w:themeTint="FF" w:themeShade="FF"/>
          <w:sz w:val="27"/>
          <w:szCs w:val="27"/>
          <w:lang w:val="en-US"/>
        </w:rPr>
      </w:pPr>
      <w:r w:rsidRPr="03B2675F" w:rsidR="0738F6A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Institute of The Motor Industry. (2019). </w:t>
      </w:r>
      <w:r w:rsidRPr="03B2675F" w:rsidR="0738F6A3">
        <w:rPr>
          <w:rFonts w:ascii="Calibri" w:hAnsi="Calibri" w:eastAsia="Calibri" w:cs="Calibri"/>
          <w:b w:val="0"/>
          <w:bCs w:val="0"/>
          <w:i w:val="1"/>
          <w:iCs w:val="1"/>
          <w:caps w:val="0"/>
          <w:smallCaps w:val="0"/>
          <w:noProof w:val="0"/>
          <w:color w:val="000000" w:themeColor="text1" w:themeTint="FF" w:themeShade="FF"/>
          <w:sz w:val="27"/>
          <w:szCs w:val="27"/>
          <w:lang w:val="en-US"/>
        </w:rPr>
        <w:t>How it works… VW’s 48V mild hybrid system</w:t>
      </w:r>
      <w:r w:rsidRPr="03B2675F" w:rsidR="0738F6A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fd7d8d0ec5f44afd">
        <w:r w:rsidRPr="03B2675F" w:rsidR="0738F6A3">
          <w:rPr>
            <w:rStyle w:val="Hyperlink"/>
            <w:rFonts w:ascii="Calibri" w:hAnsi="Calibri" w:eastAsia="Calibri" w:cs="Calibri"/>
            <w:b w:val="0"/>
            <w:bCs w:val="0"/>
            <w:i w:val="0"/>
            <w:iCs w:val="0"/>
            <w:caps w:val="0"/>
            <w:smallCaps w:val="0"/>
            <w:strike w:val="0"/>
            <w:dstrike w:val="0"/>
            <w:noProof w:val="0"/>
            <w:sz w:val="27"/>
            <w:szCs w:val="27"/>
            <w:lang w:val="en-US"/>
          </w:rPr>
          <w:t>https://tide.theimi.org.uk/industry-latest/motorpro/how-it-works-vws-48v-mild-hybrid-system?utm_source=chatgpt.com</w:t>
        </w:r>
      </w:hyperlink>
      <w:r w:rsidRPr="03B2675F" w:rsidR="0738F6A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03B2675F" w:rsidR="0738F6A3">
        <w:rPr>
          <w:rFonts w:ascii="Calibri" w:hAnsi="Calibri" w:eastAsia="Calibri" w:cs="Calibri"/>
          <w:b w:val="0"/>
          <w:bCs w:val="0"/>
          <w:i w:val="0"/>
          <w:iCs w:val="0"/>
          <w:caps w:val="0"/>
          <w:smallCaps w:val="0"/>
          <w:noProof w:val="0"/>
          <w:color w:val="000000" w:themeColor="text1" w:themeTint="FF" w:themeShade="FF"/>
          <w:sz w:val="27"/>
          <w:szCs w:val="27"/>
          <w:lang w:val="en-US"/>
        </w:rPr>
        <w:t>[Accessed 29 Nov. 2025].</w:t>
      </w:r>
    </w:p>
    <w:p xmlns:wp14="http://schemas.microsoft.com/office/word/2010/wordml" w:rsidP="03B2675F" wp14:paraId="24B2337C" wp14:textId="75E0E508">
      <w:pPr>
        <w:pStyle w:val="ListParagraph"/>
        <w:numPr>
          <w:ilvl w:val="0"/>
          <w:numId w:val="10"/>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03B2675F" w:rsidR="0738F6A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3B2675F" w:rsidR="0738F6A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Vehicle Certification Agency. (2021). </w:t>
      </w:r>
      <w:r w:rsidRPr="03B2675F" w:rsidR="0738F6A3">
        <w:rPr>
          <w:rFonts w:ascii="Calibri" w:hAnsi="Calibri" w:eastAsia="Calibri" w:cs="Calibri"/>
          <w:b w:val="0"/>
          <w:bCs w:val="0"/>
          <w:i w:val="1"/>
          <w:iCs w:val="1"/>
          <w:caps w:val="0"/>
          <w:smallCaps w:val="0"/>
          <w:noProof w:val="0"/>
          <w:color w:val="000000" w:themeColor="text1" w:themeTint="FF" w:themeShade="FF"/>
          <w:sz w:val="27"/>
          <w:szCs w:val="27"/>
          <w:lang w:val="en-US"/>
        </w:rPr>
        <w:t>Vehicle Certification Agency</w:t>
      </w:r>
      <w:r w:rsidRPr="03B2675F" w:rsidR="0738F6A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89defb675c8b450a">
        <w:r w:rsidRPr="03B2675F" w:rsidR="0738F6A3">
          <w:rPr>
            <w:rStyle w:val="Hyperlink"/>
            <w:rFonts w:ascii="Calibri" w:hAnsi="Calibri" w:eastAsia="Calibri" w:cs="Calibri"/>
            <w:b w:val="0"/>
            <w:bCs w:val="0"/>
            <w:i w:val="0"/>
            <w:iCs w:val="0"/>
            <w:caps w:val="0"/>
            <w:smallCaps w:val="0"/>
            <w:strike w:val="0"/>
            <w:dstrike w:val="0"/>
            <w:noProof w:val="0"/>
            <w:sz w:val="27"/>
            <w:szCs w:val="27"/>
            <w:lang w:val="en-US"/>
          </w:rPr>
          <w:t>https://www.vehicle-certification-agency.gov.uk/fuel-consumption-co2/the-worldwide-harmonised-light-vehicle-test-procedure/</w:t>
        </w:r>
      </w:hyperlink>
      <w:r w:rsidRPr="03B2675F" w:rsidR="0738F6A3">
        <w:rPr>
          <w:rFonts w:ascii="Calibri" w:hAnsi="Calibri" w:eastAsia="Calibri" w:cs="Calibri"/>
          <w:b w:val="0"/>
          <w:bCs w:val="0"/>
          <w:i w:val="0"/>
          <w:iCs w:val="0"/>
          <w:caps w:val="0"/>
          <w:smallCaps w:val="0"/>
          <w:noProof w:val="0"/>
          <w:color w:val="000000" w:themeColor="text1" w:themeTint="FF" w:themeShade="FF"/>
          <w:sz w:val="27"/>
          <w:szCs w:val="27"/>
          <w:lang w:val="en-US"/>
        </w:rPr>
        <w:t>.</w:t>
      </w:r>
    </w:p>
    <w:p xmlns:wp14="http://schemas.microsoft.com/office/word/2010/wordml" w:rsidP="03B2675F" wp14:paraId="7309EE23" wp14:textId="6DAF417D">
      <w:pPr>
        <w:pStyle w:val="ListParagraph"/>
        <w:numPr>
          <w:ilvl w:val="0"/>
          <w:numId w:val="10"/>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03B2675F" w:rsidR="0738F6A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3B2675F" w:rsidR="0738F6A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Garrett Motion. (2024). </w:t>
      </w:r>
      <w:r w:rsidRPr="03B2675F" w:rsidR="0738F6A3">
        <w:rPr>
          <w:rFonts w:ascii="Calibri" w:hAnsi="Calibri" w:eastAsia="Calibri" w:cs="Calibri"/>
          <w:b w:val="0"/>
          <w:bCs w:val="0"/>
          <w:i w:val="1"/>
          <w:iCs w:val="1"/>
          <w:caps w:val="0"/>
          <w:smallCaps w:val="0"/>
          <w:noProof w:val="0"/>
          <w:color w:val="000000" w:themeColor="text1" w:themeTint="FF" w:themeShade="FF"/>
          <w:sz w:val="27"/>
          <w:szCs w:val="27"/>
          <w:lang w:val="en-US"/>
        </w:rPr>
        <w:t>VNT</w:t>
      </w:r>
      <w:r w:rsidRPr="03B2675F" w:rsidR="0738F6A3">
        <w:rPr>
          <w:rFonts w:ascii="Calibri" w:hAnsi="Calibri" w:eastAsia="Calibri" w:cs="Calibri"/>
          <w:b w:val="0"/>
          <w:bCs w:val="0"/>
          <w:i w:val="1"/>
          <w:iCs w:val="1"/>
          <w:caps w:val="0"/>
          <w:smallCaps w:val="0"/>
          <w:noProof w:val="0"/>
          <w:color w:val="000000" w:themeColor="text1" w:themeTint="FF" w:themeShade="FF"/>
          <w:sz w:val="20"/>
          <w:szCs w:val="20"/>
          <w:vertAlign w:val="superscript"/>
          <w:lang w:val="en-US"/>
        </w:rPr>
        <w:t>TM</w:t>
      </w:r>
      <w:r w:rsidRPr="03B2675F" w:rsidR="0738F6A3">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Turbochargers</w:t>
      </w:r>
      <w:r w:rsidRPr="03B2675F" w:rsidR="0738F6A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e2a48ba679a74876">
        <w:r w:rsidRPr="03B2675F" w:rsidR="0738F6A3">
          <w:rPr>
            <w:rStyle w:val="Hyperlink"/>
            <w:rFonts w:ascii="Calibri" w:hAnsi="Calibri" w:eastAsia="Calibri" w:cs="Calibri"/>
            <w:b w:val="0"/>
            <w:bCs w:val="0"/>
            <w:i w:val="0"/>
            <w:iCs w:val="0"/>
            <w:caps w:val="0"/>
            <w:smallCaps w:val="0"/>
            <w:strike w:val="0"/>
            <w:dstrike w:val="0"/>
            <w:noProof w:val="0"/>
            <w:sz w:val="27"/>
            <w:szCs w:val="27"/>
            <w:lang w:val="en-US"/>
          </w:rPr>
          <w:t>https://www.garrettmotion.com/turbocharger-technology/how-a-turbo-works/broadest-turbo-range/vnt-turbochargers/</w:t>
        </w:r>
      </w:hyperlink>
      <w:r w:rsidRPr="03B2675F" w:rsidR="0738F6A3">
        <w:rPr>
          <w:rFonts w:ascii="Calibri" w:hAnsi="Calibri" w:eastAsia="Calibri" w:cs="Calibri"/>
          <w:b w:val="0"/>
          <w:bCs w:val="0"/>
          <w:i w:val="0"/>
          <w:iCs w:val="0"/>
          <w:caps w:val="0"/>
          <w:smallCaps w:val="0"/>
          <w:noProof w:val="0"/>
          <w:color w:val="000000" w:themeColor="text1" w:themeTint="FF" w:themeShade="FF"/>
          <w:sz w:val="27"/>
          <w:szCs w:val="27"/>
          <w:lang w:val="en-US"/>
        </w:rPr>
        <w:t>.</w:t>
      </w:r>
    </w:p>
    <w:p xmlns:wp14="http://schemas.microsoft.com/office/word/2010/wordml" w:rsidP="03B2675F" wp14:paraId="467A71B5" wp14:textId="4508C24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3B2675F" wp14:paraId="350FEC38" wp14:textId="0C43BB40">
      <w:pPr>
        <w:pStyle w:val="Normal"/>
        <w:spacing w:before="240" w:beforeAutospacing="off" w:after="240" w:afterAutospacing="off"/>
      </w:pPr>
    </w:p>
    <w:p xmlns:wp14="http://schemas.microsoft.com/office/word/2010/wordml" w:rsidP="03B2675F" wp14:paraId="73B0CAD2" wp14:textId="04E2A51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3B2675F" wp14:paraId="54BF1909" wp14:textId="251B7DC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3B2675F" wp14:paraId="3A21B292" wp14:textId="0D896CCE">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p14:paraId="2C078E63" wp14:textId="4F06C0A1"/>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0">
    <w:nsid w:val="1786a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293e1d0"/>
    <w:multiLevelType xmlns:w="http://schemas.openxmlformats.org/wordprocessingml/2006/main" w:val="hybridMultilevel"/>
    <w:lvl xmlns:w="http://schemas.openxmlformats.org/wordprocessingml/2006/main" w:ilvl="0">
      <w:start w:val="10"/>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32ec428"/>
    <w:multiLevelType xmlns:w="http://schemas.openxmlformats.org/wordprocessingml/2006/main" w:val="hybridMultilevel"/>
    <w:lvl xmlns:w="http://schemas.openxmlformats.org/wordprocessingml/2006/main" w:ilvl="0">
      <w:start w:val="9"/>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95695f8"/>
    <w:multiLevelType xmlns:w="http://schemas.openxmlformats.org/wordprocessingml/2006/main" w:val="hybridMultilevel"/>
    <w:lvl xmlns:w="http://schemas.openxmlformats.org/wordprocessingml/2006/main" w:ilvl="0">
      <w:start w:val="8"/>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15aa913"/>
    <w:multiLevelType xmlns:w="http://schemas.openxmlformats.org/wordprocessingml/2006/main" w:val="hybridMultilevel"/>
    <w:lvl xmlns:w="http://schemas.openxmlformats.org/wordprocessingml/2006/main" w:ilvl="0">
      <w:start w:val="7"/>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9bd109a"/>
    <w:multiLevelType xmlns:w="http://schemas.openxmlformats.org/wordprocessingml/2006/main" w:val="hybridMultilevel"/>
    <w:lvl xmlns:w="http://schemas.openxmlformats.org/wordprocessingml/2006/main" w:ilvl="0">
      <w:start w:val="6"/>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a16c5b0"/>
    <w:multiLevelType xmlns:w="http://schemas.openxmlformats.org/wordprocessingml/2006/main" w:val="hybridMultilevel"/>
    <w:lvl xmlns:w="http://schemas.openxmlformats.org/wordprocessingml/2006/main" w:ilvl="0">
      <w:start w:val="5"/>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1de96e"/>
    <w:multiLevelType xmlns:w="http://schemas.openxmlformats.org/wordprocessingml/2006/main" w:val="hybridMultilevel"/>
    <w:lvl xmlns:w="http://schemas.openxmlformats.org/wordprocessingml/2006/main" w:ilvl="0">
      <w:start w:val="4"/>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299cba8"/>
    <w:multiLevelType xmlns:w="http://schemas.openxmlformats.org/wordprocessingml/2006/main" w:val="hybridMultilevel"/>
    <w:lvl xmlns:w="http://schemas.openxmlformats.org/wordprocessingml/2006/main" w:ilvl="0">
      <w:start w:val="3"/>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3d8289c"/>
    <w:multiLevelType xmlns:w="http://schemas.openxmlformats.org/wordprocessingml/2006/main" w:val="hybridMultilevel"/>
    <w:lvl xmlns:w="http://schemas.openxmlformats.org/wordprocessingml/2006/main" w:ilvl="0">
      <w:start w:val="1"/>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9B12E9"/>
    <w:rsid w:val="03B2675F"/>
    <w:rsid w:val="0738F6A3"/>
    <w:rsid w:val="0C07A09E"/>
    <w:rsid w:val="0E0B713E"/>
    <w:rsid w:val="131F0591"/>
    <w:rsid w:val="16155BE4"/>
    <w:rsid w:val="20C146E3"/>
    <w:rsid w:val="20C146E3"/>
    <w:rsid w:val="2B9928BF"/>
    <w:rsid w:val="2D9A85AC"/>
    <w:rsid w:val="409B12E9"/>
    <w:rsid w:val="453E96D2"/>
    <w:rsid w:val="45BE9734"/>
    <w:rsid w:val="45BE9734"/>
    <w:rsid w:val="4DB2DF1A"/>
    <w:rsid w:val="51728CF7"/>
    <w:rsid w:val="5658371F"/>
    <w:rsid w:val="650B85B7"/>
    <w:rsid w:val="673C5BAC"/>
    <w:rsid w:val="6ADB3141"/>
    <w:rsid w:val="7A521A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B12E9"/>
  <w15:chartTrackingRefBased/>
  <w15:docId w15:val="{C6A6E9FC-B5E6-4A2B-B99D-C3B34C5E1D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3B2675F"/>
    <w:pPr>
      <w:spacing/>
      <w:ind w:left="720"/>
      <w:contextualSpacing/>
    </w:pPr>
  </w:style>
  <w:style w:type="character" w:styleId="Hyperlink">
    <w:uiPriority w:val="99"/>
    <w:name w:val="Hyperlink"/>
    <w:basedOn w:val="DefaultParagraphFont"/>
    <w:unhideWhenUsed/>
    <w:rsid w:val="03B2675F"/>
    <w:rPr>
      <w:color w:val="467886"/>
      <w:u w:val="single"/>
    </w:rPr>
  </w:style>
  <w:style w:type="paragraph" w:styleId="TOC1">
    <w:uiPriority w:val="39"/>
    <w:name w:val="toc 1"/>
    <w:basedOn w:val="Normal"/>
    <w:next w:val="Normal"/>
    <w:unhideWhenUsed/>
    <w:rsid w:val="03B2675F"/>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022919335" /><Relationship Type="http://schemas.openxmlformats.org/officeDocument/2006/relationships/image" Target="/media/image2.png" Id="rId974630618" /><Relationship Type="http://schemas.openxmlformats.org/officeDocument/2006/relationships/image" Target="/media/image3.png" Id="rId1540639829" /><Relationship Type="http://schemas.openxmlformats.org/officeDocument/2006/relationships/image" Target="/media/image4.png" Id="rId1158709811" /><Relationship Type="http://schemas.openxmlformats.org/officeDocument/2006/relationships/image" Target="/media/image5.png" Id="rId1119893981" /><Relationship Type="http://schemas.openxmlformats.org/officeDocument/2006/relationships/image" Target="/media/image6.png" Id="rId1739537886" /><Relationship Type="http://schemas.openxmlformats.org/officeDocument/2006/relationships/image" Target="/media/image7.png" Id="rId595427019" /><Relationship Type="http://schemas.openxmlformats.org/officeDocument/2006/relationships/hyperlink" Target="https://www.carfolio.com/volkswagen-golf-1.5-tsi-618618" TargetMode="External" Id="R1b2c5c6a9a8942e3" /><Relationship Type="http://schemas.openxmlformats.org/officeDocument/2006/relationships/hyperlink" Target="https://www.ultimatespecs.com/car-specs/Volkswagen/118819/Volkswagen-Golf-8-15-eTSI-150HP-DSG.html" TargetMode="External" Id="R4a935c3b9ef14512" /><Relationship Type="http://schemas.openxmlformats.org/officeDocument/2006/relationships/hyperlink" Target="https://www.auto-data.net/en/volkswagen-golf-viii-1.5-tsi-150hp-38152" TargetMode="External" Id="R615bbcaddc2a4ff5" /><Relationship Type="http://schemas.openxmlformats.org/officeDocument/2006/relationships/hyperlink" Target="https://www.encycarpedia.com/volkswagen/20-golf-1-5-tsi-150-hatch" TargetMode="External" Id="Rc4c4ea900029405d" /><Relationship Type="http://schemas.openxmlformats.org/officeDocument/2006/relationships/hyperlink" Target="https://www.goodyear.eu/content/dam/goodyear/consumer/common/tire-test-reports/TUV_SUD_Tire_Test_2019-Report-No-713171748-01-Goodyear-EfficientGrip-Performance-2-new.pdf?utm_source=chatgpt.com" TargetMode="External" Id="Rbb63fe0d36ca45aa" /><Relationship Type="http://schemas.openxmlformats.org/officeDocument/2006/relationships/hyperlink" Target="https://tide.theimi.org.uk/industry-latest/motorpro/how-it-works-vws-48v-mild-hybrid-system?utm_source=chatgpt.com" TargetMode="External" Id="Rfd7d8d0ec5f44afd" /><Relationship Type="http://schemas.openxmlformats.org/officeDocument/2006/relationships/hyperlink" Target="https://www.vehicle-certification-agency.gov.uk/fuel-consumption-co2/the-worldwide-harmonised-light-vehicle-test-procedure/" TargetMode="External" Id="R89defb675c8b450a" /><Relationship Type="http://schemas.openxmlformats.org/officeDocument/2006/relationships/hyperlink" Target="https://www.garrettmotion.com/turbocharger-technology/how-a-turbo-works/broadest-turbo-range/vnt-turbochargers/" TargetMode="External" Id="Re2a48ba679a74876" /><Relationship Type="http://schemas.openxmlformats.org/officeDocument/2006/relationships/numbering" Target="numbering.xml" Id="Re076b1f9d72648c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2025-11-29T19:51:02.6817583Z</dcterms:created>
  <dcterms:modified xsi:type="dcterms:W3CDTF">2025-11-29T19:57:43.1409887Z</dcterms:modified>
  <dc:creator>Wes Ives (2404013)</dc:creator>
  <lastModifiedBy>Wes Ives (2404013)</lastModifiedBy>
</coreProperties>
</file>