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9F3F53" w14:textId="51CA2A4F" w:rsidR="009E384D" w:rsidRPr="00957C1B" w:rsidRDefault="003937EF">
      <w:pPr>
        <w:rPr>
          <w:rFonts w:eastAsia="Times New Roman" w:cstheme="minorHAnsi"/>
          <w:color w:val="3A3A3A"/>
          <w:sz w:val="23"/>
          <w:szCs w:val="23"/>
          <w:shd w:val="clear" w:color="auto" w:fill="FFFFFF"/>
          <w:lang w:eastAsia="en-GB"/>
        </w:rPr>
      </w:pPr>
      <w:r w:rsidRPr="000B6083">
        <w:t xml:space="preserve">The </w:t>
      </w:r>
      <w:r w:rsidR="007C00EA">
        <w:t xml:space="preserve">current law governing homicide </w:t>
      </w:r>
      <w:r w:rsidR="00627F18">
        <w:t xml:space="preserve">is made up of murder, </w:t>
      </w:r>
      <w:r w:rsidR="009730B2">
        <w:t xml:space="preserve">voluntary </w:t>
      </w:r>
      <w:r w:rsidR="008108E2">
        <w:t>manslaughter,</w:t>
      </w:r>
      <w:r w:rsidR="00627F18">
        <w:t xml:space="preserve"> and involuntary manslaughter</w:t>
      </w:r>
      <w:r w:rsidR="001F149A">
        <w:t xml:space="preserve">. </w:t>
      </w:r>
      <w:r w:rsidR="009730B2">
        <w:t>Voluntary man slaughter wa</w:t>
      </w:r>
      <w:r w:rsidR="00483C68">
        <w:t>s</w:t>
      </w:r>
      <w:r w:rsidR="009730B2">
        <w:t xml:space="preserve"> formed by the Coroners </w:t>
      </w:r>
      <w:r w:rsidR="00483C68">
        <w:t xml:space="preserve">and Justice Act 2009. </w:t>
      </w:r>
      <w:r w:rsidR="00224007">
        <w:t>This meant that if the defendant experienced l</w:t>
      </w:r>
      <w:r w:rsidR="006D799D">
        <w:t>oss</w:t>
      </w:r>
      <w:r w:rsidR="00224007">
        <w:t xml:space="preserve"> of control</w:t>
      </w:r>
      <w:r w:rsidR="000E608D">
        <w:t xml:space="preserve"> with a qualifying trigger</w:t>
      </w:r>
      <w:r w:rsidR="008C1199">
        <w:t xml:space="preserve"> and if</w:t>
      </w:r>
      <w:r w:rsidR="00B0657C">
        <w:t xml:space="preserve"> a reasonable person</w:t>
      </w:r>
      <w:r w:rsidR="008C1199">
        <w:t xml:space="preserve"> of the same age</w:t>
      </w:r>
      <w:r w:rsidR="00B0657C">
        <w:t xml:space="preserve"> and gender of the defendant would </w:t>
      </w:r>
      <w:r w:rsidR="007108AA">
        <w:t>have</w:t>
      </w:r>
      <w:r w:rsidR="00B0657C">
        <w:t xml:space="preserve"> </w:t>
      </w:r>
      <w:r w:rsidR="000C6788">
        <w:t xml:space="preserve">produced the same actions, the defendant </w:t>
      </w:r>
      <w:r w:rsidR="008108E2">
        <w:t>cannot be convicted of murder.</w:t>
      </w:r>
      <w:r w:rsidR="006A00D8">
        <w:t xml:space="preserve"> </w:t>
      </w:r>
      <w:r w:rsidR="006A00D8" w:rsidRPr="00256246">
        <w:rPr>
          <w:rFonts w:cstheme="minorHAnsi"/>
        </w:rPr>
        <w:t>(</w:t>
      </w:r>
      <w:r w:rsidR="00256246" w:rsidRPr="00D7659D">
        <w:rPr>
          <w:rFonts w:eastAsia="Times New Roman" w:cstheme="minorHAnsi"/>
          <w:color w:val="3A3A3A"/>
          <w:shd w:val="clear" w:color="auto" w:fill="FFFFFF"/>
          <w:lang w:eastAsia="en-GB"/>
        </w:rPr>
        <w:t>Doğan</w:t>
      </w:r>
      <w:r w:rsidR="00256246" w:rsidRPr="00D7659D">
        <w:rPr>
          <w:rFonts w:eastAsia="Times New Roman" w:cstheme="minorHAnsi"/>
          <w:color w:val="3A3A3A"/>
          <w:shd w:val="clear" w:color="auto" w:fill="FFFFFF"/>
          <w:lang w:eastAsia="en-GB"/>
        </w:rPr>
        <w:t>,2013)</w:t>
      </w:r>
      <w:r w:rsidR="00D7659D" w:rsidRPr="00D7659D">
        <w:rPr>
          <w:rFonts w:eastAsia="Times New Roman" w:cstheme="minorHAnsi"/>
          <w:color w:val="3A3A3A"/>
          <w:shd w:val="clear" w:color="auto" w:fill="FFFFFF"/>
          <w:lang w:eastAsia="en-GB"/>
        </w:rPr>
        <w:t>.</w:t>
      </w:r>
      <w:r w:rsidR="00D72E23">
        <w:rPr>
          <w:rFonts w:eastAsia="Times New Roman" w:cstheme="minorHAnsi"/>
          <w:color w:val="3A3A3A"/>
          <w:shd w:val="clear" w:color="auto" w:fill="FFFFFF"/>
          <w:lang w:eastAsia="en-GB"/>
        </w:rPr>
        <w:t xml:space="preserve"> The </w:t>
      </w:r>
      <w:r w:rsidR="00673947">
        <w:rPr>
          <w:rFonts w:eastAsia="Times New Roman" w:cstheme="minorHAnsi"/>
          <w:color w:val="3A3A3A"/>
          <w:shd w:val="clear" w:color="auto" w:fill="FFFFFF"/>
          <w:lang w:eastAsia="en-GB"/>
        </w:rPr>
        <w:t xml:space="preserve">actus reus for murder </w:t>
      </w:r>
      <w:r w:rsidR="008232DA">
        <w:rPr>
          <w:rFonts w:eastAsia="Times New Roman" w:cstheme="minorHAnsi"/>
          <w:color w:val="3A3A3A"/>
          <w:shd w:val="clear" w:color="auto" w:fill="FFFFFF"/>
          <w:lang w:eastAsia="en-GB"/>
        </w:rPr>
        <w:t xml:space="preserve">is any conduct the results in death </w:t>
      </w:r>
      <w:r w:rsidR="0015624D">
        <w:rPr>
          <w:rFonts w:eastAsia="Times New Roman" w:cstheme="minorHAnsi"/>
          <w:color w:val="3A3A3A"/>
          <w:shd w:val="clear" w:color="auto" w:fill="FFFFFF"/>
          <w:lang w:eastAsia="en-GB"/>
        </w:rPr>
        <w:t>or if the defendant commits murder by omission</w:t>
      </w:r>
      <w:r w:rsidR="006262F3">
        <w:rPr>
          <w:rFonts w:eastAsia="Times New Roman" w:cstheme="minorHAnsi"/>
          <w:color w:val="3A3A3A"/>
          <w:shd w:val="clear" w:color="auto" w:fill="FFFFFF"/>
          <w:lang w:eastAsia="en-GB"/>
        </w:rPr>
        <w:t xml:space="preserve">. </w:t>
      </w:r>
      <w:r w:rsidR="0055072E">
        <w:rPr>
          <w:rFonts w:eastAsia="Times New Roman" w:cstheme="minorHAnsi"/>
          <w:color w:val="3A3A3A"/>
          <w:shd w:val="clear" w:color="auto" w:fill="FFFFFF"/>
          <w:lang w:eastAsia="en-GB"/>
        </w:rPr>
        <w:t>Gibbins and Proctor 1918</w:t>
      </w:r>
      <w:r w:rsidR="00662E6D">
        <w:rPr>
          <w:rFonts w:eastAsia="Times New Roman" w:cstheme="minorHAnsi"/>
          <w:color w:val="3A3A3A"/>
          <w:shd w:val="clear" w:color="auto" w:fill="FFFFFF"/>
          <w:lang w:eastAsia="en-GB"/>
        </w:rPr>
        <w:t xml:space="preserve"> shows that </w:t>
      </w:r>
      <w:r w:rsidR="002C599D">
        <w:rPr>
          <w:rFonts w:eastAsia="Times New Roman" w:cstheme="minorHAnsi"/>
          <w:color w:val="3A3A3A"/>
          <w:shd w:val="clear" w:color="auto" w:fill="FFFFFF"/>
          <w:lang w:eastAsia="en-GB"/>
        </w:rPr>
        <w:t xml:space="preserve">the actus reus is satisfied </w:t>
      </w:r>
      <w:r w:rsidR="00883A9F">
        <w:rPr>
          <w:rFonts w:eastAsia="Times New Roman" w:cstheme="minorHAnsi"/>
          <w:color w:val="3A3A3A"/>
          <w:shd w:val="clear" w:color="auto" w:fill="FFFFFF"/>
          <w:lang w:eastAsia="en-GB"/>
        </w:rPr>
        <w:t>by murder of duty of care</w:t>
      </w:r>
      <w:r w:rsidR="00FB30A5">
        <w:rPr>
          <w:rFonts w:eastAsia="Times New Roman" w:cstheme="minorHAnsi"/>
          <w:color w:val="3A3A3A"/>
          <w:shd w:val="clear" w:color="auto" w:fill="FFFFFF"/>
          <w:lang w:eastAsia="en-GB"/>
        </w:rPr>
        <w:t xml:space="preserve"> by not feeding the baby.</w:t>
      </w:r>
      <w:r w:rsidR="00604DDC">
        <w:rPr>
          <w:rFonts w:eastAsia="Times New Roman" w:cstheme="minorHAnsi"/>
          <w:color w:val="3A3A3A"/>
          <w:shd w:val="clear" w:color="auto" w:fill="FFFFFF"/>
          <w:lang w:eastAsia="en-GB"/>
        </w:rPr>
        <w:t xml:space="preserve"> (Lucid Law,2021)</w:t>
      </w:r>
    </w:p>
    <w:p w14:paraId="431A01D0" w14:textId="57C470DD" w:rsidR="009E384D" w:rsidRDefault="009E384D">
      <w:pPr>
        <w:rPr>
          <w:u w:val="single"/>
        </w:rPr>
      </w:pPr>
    </w:p>
    <w:p w14:paraId="73770721" w14:textId="270F77DD" w:rsidR="00892AA2" w:rsidRDefault="00892AA2" w:rsidP="00892AA2">
      <w:r>
        <w:t>In 1957 the Homicide Acts was brought into replace the former sentence of capital punishment for all murders. This act was put in place to split the punishment of murder into separate categories of capital and non- capital punishment. However, the Murder act of 1965 abolished all capital punishment.</w:t>
      </w:r>
      <w:r w:rsidR="00B66721">
        <w:t xml:space="preserve"> (Law Commission, 2003)</w:t>
      </w:r>
    </w:p>
    <w:p w14:paraId="17760EB6" w14:textId="03ECF8AF" w:rsidR="00734D6D" w:rsidRDefault="00734D6D" w:rsidP="00892AA2"/>
    <w:p w14:paraId="1ED90B6A" w14:textId="174FFB58" w:rsidR="00734D6D" w:rsidRDefault="00734D6D" w:rsidP="00892AA2">
      <w:r>
        <w:t>The defence of provocation was amended by the Homicide Act 1957, which brought in the defence of diminished responsibility, which is one of the main partial defences along with provocation. It is debated that there should be a range of defences to murder, such as self-defence and mercy killings. The issue of mercy killings is that they are being delt with inappropriately. They are delt as cases of diminished responsibility and the problems have been raised as the law is unsatisfactory towards</w:t>
      </w:r>
      <w:r w:rsidR="00EF0712">
        <w:t xml:space="preserve"> them</w:t>
      </w:r>
      <w:r>
        <w:t>.</w:t>
      </w:r>
      <w:r w:rsidR="00053D1F">
        <w:t xml:space="preserve"> (Law Commission, 2003)</w:t>
      </w:r>
    </w:p>
    <w:p w14:paraId="5B14B569" w14:textId="77777777" w:rsidR="00053D1F" w:rsidRDefault="00053D1F" w:rsidP="00892AA2"/>
    <w:p w14:paraId="13802F0F" w14:textId="43CC58F6" w:rsidR="00D92A94" w:rsidRDefault="00053D1F" w:rsidP="00892AA2">
      <w:r>
        <w:t xml:space="preserve">The keys issues </w:t>
      </w:r>
      <w:r w:rsidR="00914DA9">
        <w:t xml:space="preserve">from </w:t>
      </w:r>
      <w:r>
        <w:t xml:space="preserve">the Law Commissioner are that there is no clarity of the term serious harm. </w:t>
      </w:r>
      <w:r w:rsidR="008E2FB2">
        <w:t xml:space="preserve">Independent office of </w:t>
      </w:r>
      <w:r w:rsidR="00C65796">
        <w:t>BC (</w:t>
      </w:r>
      <w:r w:rsidR="007A20D6">
        <w:t>2021</w:t>
      </w:r>
      <w:r w:rsidR="00F85BD2">
        <w:t>) states that serious harm is a violent act c</w:t>
      </w:r>
      <w:r w:rsidR="00D244E1">
        <w:t>a</w:t>
      </w:r>
      <w:r w:rsidR="00F85BD2">
        <w:t xml:space="preserve">using death. This is very broad and </w:t>
      </w:r>
      <w:r w:rsidR="00F91119">
        <w:t>can be interpreted many way</w:t>
      </w:r>
      <w:r w:rsidR="00D244E1">
        <w:t>s</w:t>
      </w:r>
      <w:r w:rsidR="00F91119">
        <w:t xml:space="preserve">. </w:t>
      </w:r>
      <w:r>
        <w:t xml:space="preserve">It Is very subjective as individuals have their own opinions and versions of that term, yet the public are expected to know what is classed as serious harm. </w:t>
      </w:r>
      <w:r w:rsidR="00AD451E">
        <w:t xml:space="preserve">The terms should be defined under the Homicide Act 1957 so that there is a specific definition of </w:t>
      </w:r>
      <w:r w:rsidR="006219E0">
        <w:t xml:space="preserve">what ways there are to cause </w:t>
      </w:r>
      <w:r w:rsidR="00AD451E">
        <w:t>serious harm. On the contrary it is very hard to be specific about what is classed as serious harm as each case is very different</w:t>
      </w:r>
      <w:r w:rsidR="00D92A94">
        <w:t xml:space="preserve">. </w:t>
      </w:r>
      <w:r w:rsidR="003A7397">
        <w:t xml:space="preserve">On the other </w:t>
      </w:r>
      <w:proofErr w:type="gramStart"/>
      <w:r w:rsidR="003A7397">
        <w:t>hand</w:t>
      </w:r>
      <w:proofErr w:type="gramEnd"/>
      <w:r w:rsidR="003A7397">
        <w:t xml:space="preserve"> th</w:t>
      </w:r>
      <w:r w:rsidR="00D92A94">
        <w:t>ere could be an increase in Homicide sentences as there is a too basic overview of the term serious harm or on the other hand could let a lot of people walk free as their crime wasn’t specific enough for the definition chosen for serious harm.</w:t>
      </w:r>
      <w:r w:rsidR="0057592A">
        <w:t xml:space="preserve"> </w:t>
      </w:r>
      <w:r w:rsidR="00BF6909">
        <w:t xml:space="preserve">There also is no clarity with the term malice aforethought </w:t>
      </w:r>
      <w:r w:rsidR="00B6501E">
        <w:t>for</w:t>
      </w:r>
      <w:r w:rsidR="00A76783">
        <w:t xml:space="preserve"> the </w:t>
      </w:r>
      <w:proofErr w:type="spellStart"/>
      <w:r w:rsidR="00A76783">
        <w:t>mens</w:t>
      </w:r>
      <w:proofErr w:type="spellEnd"/>
      <w:r w:rsidR="002B5334">
        <w:t xml:space="preserve"> rea or murder to be accomplished, the intention to kill must be apparent </w:t>
      </w:r>
      <w:r w:rsidR="00331186">
        <w:t>but doesn’t clarify that there could be intention to cause grievous bodily harm.</w:t>
      </w:r>
      <w:r w:rsidR="005F3F89">
        <w:t xml:space="preserve"> </w:t>
      </w:r>
    </w:p>
    <w:p w14:paraId="3FE38AAE" w14:textId="52F2D10F" w:rsidR="00053D1F" w:rsidRDefault="00053D1F" w:rsidP="00892AA2">
      <w:r>
        <w:t xml:space="preserve"> </w:t>
      </w:r>
    </w:p>
    <w:p w14:paraId="406C1053" w14:textId="01D6AEA8" w:rsidR="00AD451E" w:rsidRDefault="00AD451E" w:rsidP="00AD451E">
      <w:pPr>
        <w:rPr>
          <w:rFonts w:cstheme="minorHAnsi"/>
        </w:rPr>
      </w:pPr>
      <w:r>
        <w:t>T</w:t>
      </w:r>
      <w:r w:rsidR="005E2C27">
        <w:t xml:space="preserve">he offences of manslaughter and murder being the </w:t>
      </w:r>
      <w:r>
        <w:t xml:space="preserve">only sentences is </w:t>
      </w:r>
      <w:r w:rsidR="005E2C27">
        <w:t>a prime flaw</w:t>
      </w:r>
      <w:r>
        <w:t xml:space="preserve"> as it would categorise contract killers and those who have committed a murder in the spare of the moment. </w:t>
      </w:r>
      <w:r>
        <w:rPr>
          <w:rFonts w:cstheme="minorHAnsi"/>
        </w:rPr>
        <w:t>Chalk (2016) proposed the idea that the law for murder created injustice. He proposed the idea to split the current offence for murder into two categories, first degree murder and second-degree murder</w:t>
      </w:r>
      <w:r w:rsidR="009028A4">
        <w:rPr>
          <w:rFonts w:cstheme="minorHAnsi"/>
        </w:rPr>
        <w:t xml:space="preserve"> but</w:t>
      </w:r>
      <w:r>
        <w:rPr>
          <w:rFonts w:cstheme="minorHAnsi"/>
        </w:rPr>
        <w:t xml:space="preserve"> manslaughter would remain the same. The law needed to be reformed as the current law stated that someone who did not have to intention to kill another person by their own conduct and someone who was a serial killer or had put in depth thoughts and plans into a murder would both receive the same sentence of a life sentence.</w:t>
      </w:r>
    </w:p>
    <w:p w14:paraId="484B095C" w14:textId="0CBB13DA" w:rsidR="005E2C27" w:rsidRPr="00892AA2" w:rsidRDefault="005E2C27" w:rsidP="00892AA2"/>
    <w:p w14:paraId="07880781" w14:textId="63203E18" w:rsidR="002D2F37" w:rsidRDefault="00CA2723" w:rsidP="002D2F37">
      <w:pPr>
        <w:pStyle w:val="ListParagraph"/>
        <w:ind w:left="0"/>
      </w:pPr>
      <w:r>
        <w:t xml:space="preserve">The three-tier system was a reform that was </w:t>
      </w:r>
      <w:r w:rsidR="0096375B">
        <w:t xml:space="preserve">brought forward to help break down </w:t>
      </w:r>
      <w:r w:rsidR="00F933B0">
        <w:t>sentencing and categorising into first degree murder, second degree murder</w:t>
      </w:r>
      <w:r w:rsidR="00DA2326">
        <w:t xml:space="preserve"> and </w:t>
      </w:r>
      <w:r w:rsidR="00DA2326">
        <w:lastRenderedPageBreak/>
        <w:t xml:space="preserve">manslaughter. This would </w:t>
      </w:r>
      <w:r w:rsidR="00195D33">
        <w:t>ensure</w:t>
      </w:r>
      <w:r w:rsidR="00DA2326">
        <w:t xml:space="preserve"> that contract killers and those who don’t plan </w:t>
      </w:r>
      <w:r w:rsidR="00B74EBF">
        <w:t xml:space="preserve">to kill </w:t>
      </w:r>
      <w:r w:rsidR="00247B01">
        <w:t xml:space="preserve">aren’t treated the same and </w:t>
      </w:r>
      <w:r w:rsidR="00770F9B">
        <w:t xml:space="preserve">not </w:t>
      </w:r>
      <w:r w:rsidR="00247B01">
        <w:t>given the same sentence</w:t>
      </w:r>
      <w:r w:rsidR="0067091E">
        <w:t xml:space="preserve">. The </w:t>
      </w:r>
      <w:r w:rsidR="00195D33">
        <w:t>three-tier</w:t>
      </w:r>
      <w:r w:rsidR="0067091E">
        <w:t xml:space="preserve"> reform would demand that </w:t>
      </w:r>
      <w:r w:rsidR="00F757A9">
        <w:t>to</w:t>
      </w:r>
      <w:r w:rsidR="00195D33">
        <w:t xml:space="preserve"> </w:t>
      </w:r>
      <w:r w:rsidR="0067091E">
        <w:t>be sente</w:t>
      </w:r>
      <w:r w:rsidR="00195D33">
        <w:t>nced with first degree murder</w:t>
      </w:r>
      <w:r w:rsidR="00C6443E">
        <w:t>, the most serious</w:t>
      </w:r>
      <w:r w:rsidR="00F757A9">
        <w:t xml:space="preserve"> of the three offences, t</w:t>
      </w:r>
      <w:r w:rsidR="00C6443E">
        <w:t xml:space="preserve">here must be direct intention to kill. This would then </w:t>
      </w:r>
      <w:r w:rsidR="00F757A9">
        <w:t>be consequence to a mandatory life sentence.</w:t>
      </w:r>
      <w:r w:rsidR="005D20B8">
        <w:t xml:space="preserve"> The next is second degree murder which would require </w:t>
      </w:r>
      <w:r w:rsidR="00024A63">
        <w:t>intention to kill however, the defendant may have a partial defence.</w:t>
      </w:r>
      <w:r w:rsidR="007D0247">
        <w:t xml:space="preserve"> The consequence is there a discretionary life sentence. The last offence of manslaughter requires </w:t>
      </w:r>
      <w:r w:rsidR="009B0074">
        <w:t xml:space="preserve">one to kill another person though conduct that gross or negligent. The sentencing for this is also discretionary </w:t>
      </w:r>
      <w:r w:rsidR="00FF1F07">
        <w:t>life sentence.</w:t>
      </w:r>
      <w:r w:rsidR="002D2F37" w:rsidRPr="002D2F37">
        <w:t xml:space="preserve"> </w:t>
      </w:r>
      <w:sdt>
        <w:sdtPr>
          <w:id w:val="-1126078044"/>
          <w:citation/>
        </w:sdtPr>
        <w:sdtContent>
          <w:r w:rsidR="002D2F37">
            <w:fldChar w:fldCharType="begin"/>
          </w:r>
          <w:r w:rsidR="002D2F37">
            <w:instrText xml:space="preserve"> CITATION the05 \l 2057 </w:instrText>
          </w:r>
          <w:r w:rsidR="002D2F37">
            <w:fldChar w:fldCharType="separate"/>
          </w:r>
          <w:r w:rsidR="00DF4DAF" w:rsidRPr="00DF4DAF">
            <w:rPr>
              <w:noProof/>
            </w:rPr>
            <w:t>(commission, 2005)</w:t>
          </w:r>
          <w:r w:rsidR="002D2F37">
            <w:fldChar w:fldCharType="end"/>
          </w:r>
        </w:sdtContent>
      </w:sdt>
    </w:p>
    <w:p w14:paraId="62E9B63A" w14:textId="77777777" w:rsidR="00FF1F07" w:rsidRDefault="00FF1F07" w:rsidP="003E025A">
      <w:pPr>
        <w:pStyle w:val="ListParagraph"/>
        <w:ind w:left="0"/>
      </w:pPr>
    </w:p>
    <w:p w14:paraId="33FE786C" w14:textId="25031541" w:rsidR="009E384D" w:rsidRDefault="000144AB" w:rsidP="002D2F37">
      <w:pPr>
        <w:pStyle w:val="ListParagraph"/>
        <w:ind w:left="0"/>
      </w:pPr>
      <w:r>
        <w:t>Alan Travis (2016) concluded that t</w:t>
      </w:r>
      <w:r w:rsidR="00FF1F07">
        <w:t xml:space="preserve">he draw backs to the </w:t>
      </w:r>
      <w:r w:rsidR="00F85891">
        <w:t>three-tier</w:t>
      </w:r>
      <w:r w:rsidR="00FF1F07">
        <w:t xml:space="preserve"> sy</w:t>
      </w:r>
      <w:r w:rsidR="0032211C">
        <w:t xml:space="preserve">stem </w:t>
      </w:r>
      <w:r w:rsidR="00CA2BD5">
        <w:t>are</w:t>
      </w:r>
      <w:r w:rsidR="00CA0893">
        <w:t xml:space="preserve"> that </w:t>
      </w:r>
      <w:r w:rsidR="00E32D7F">
        <w:t xml:space="preserve">some offences would be lowered to second degree murder and would cause public outrage </w:t>
      </w:r>
      <w:r w:rsidR="00AD5D62">
        <w:t xml:space="preserve">as people would feel an injustice. Victims would have to see the defendant receive </w:t>
      </w:r>
      <w:r w:rsidR="004502F0">
        <w:t xml:space="preserve">a lesser punishment than they would </w:t>
      </w:r>
      <w:r w:rsidR="00CD55C3">
        <w:t>have</w:t>
      </w:r>
      <w:r w:rsidR="004502F0">
        <w:t xml:space="preserve"> hoped for. </w:t>
      </w:r>
      <w:r w:rsidR="00CD55C3">
        <w:t>A</w:t>
      </w:r>
      <w:r w:rsidR="00A714D6">
        <w:t>nother</w:t>
      </w:r>
      <w:r w:rsidR="00CD55C3">
        <w:t xml:space="preserve"> drawback is that </w:t>
      </w:r>
      <w:r w:rsidR="00504DE4">
        <w:t>o</w:t>
      </w:r>
      <w:r w:rsidR="00A2197F">
        <w:t>f</w:t>
      </w:r>
      <w:r w:rsidR="00504DE4">
        <w:t>fences that have intention to kill</w:t>
      </w:r>
      <w:r w:rsidR="00A2197F">
        <w:t>,</w:t>
      </w:r>
      <w:r w:rsidR="00504DE4">
        <w:t xml:space="preserve"> cause grievou</w:t>
      </w:r>
      <w:r w:rsidR="00A2197F">
        <w:t xml:space="preserve">s bodily harm </w:t>
      </w:r>
      <w:r w:rsidR="00252EBD">
        <w:t xml:space="preserve">or manslaughter couldn’t be simplified by </w:t>
      </w:r>
      <w:r w:rsidR="00CD55C3">
        <w:t xml:space="preserve">a new system </w:t>
      </w:r>
      <w:r w:rsidR="00252EBD">
        <w:t xml:space="preserve">as it </w:t>
      </w:r>
      <w:r w:rsidR="00D928BE">
        <w:t>would</w:t>
      </w:r>
      <w:r w:rsidR="00252EBD">
        <w:t xml:space="preserve"> be too complicated</w:t>
      </w:r>
      <w:r w:rsidR="00D928BE">
        <w:t xml:space="preserve">. The government </w:t>
      </w:r>
      <w:r w:rsidR="00D66F09">
        <w:t xml:space="preserve">decided </w:t>
      </w:r>
      <w:r w:rsidR="00F333C7">
        <w:t xml:space="preserve">that it wasn’t the time for such a big change to </w:t>
      </w:r>
      <w:r w:rsidR="006D09A6">
        <w:t xml:space="preserve">occur </w:t>
      </w:r>
      <w:r w:rsidR="00D66F09">
        <w:t>as the public already understand the current law</w:t>
      </w:r>
      <w:r w:rsidR="00E703BC">
        <w:t xml:space="preserve"> and there are no gaps </w:t>
      </w:r>
      <w:r w:rsidR="006D09A6">
        <w:t>within it</w:t>
      </w:r>
      <w:r w:rsidR="00E703BC">
        <w:t>.</w:t>
      </w:r>
      <w:r w:rsidR="00167630">
        <w:t xml:space="preserve"> </w:t>
      </w:r>
      <w:r w:rsidR="00BD10BE">
        <w:t>On the contrary changing the law will always be a big change and</w:t>
      </w:r>
      <w:r w:rsidR="00A7623F">
        <w:t xml:space="preserve"> there</w:t>
      </w:r>
      <w:r w:rsidR="00BD10BE">
        <w:t xml:space="preserve"> will never be a perfect time to implement new laws or change them </w:t>
      </w:r>
      <w:r w:rsidR="00A7623F">
        <w:t>so change might as well occur sooner rather than later.</w:t>
      </w:r>
    </w:p>
    <w:p w14:paraId="7AE383C4" w14:textId="0542DFA2" w:rsidR="009E384D" w:rsidRDefault="009E384D" w:rsidP="00E0013F">
      <w:pPr>
        <w:pStyle w:val="ListParagraph"/>
        <w:ind w:left="0"/>
      </w:pPr>
    </w:p>
    <w:p w14:paraId="34ED38D9" w14:textId="7B0B507D" w:rsidR="009E384D" w:rsidRDefault="009B45C0" w:rsidP="009E384D">
      <w:r>
        <w:t>A</w:t>
      </w:r>
      <w:r w:rsidR="00C74DF4">
        <w:t xml:space="preserve"> new partial defence of loss of control was introduced to replace the defence of provocation. </w:t>
      </w:r>
      <w:r w:rsidR="006E29A8">
        <w:t>This was in the Coroners and Justice Act 2009</w:t>
      </w:r>
      <w:r w:rsidR="00623D51">
        <w:t xml:space="preserve">, </w:t>
      </w:r>
      <w:r>
        <w:t xml:space="preserve">where the defence of </w:t>
      </w:r>
      <w:r w:rsidR="00623D51">
        <w:t xml:space="preserve">diminished responsibility was </w:t>
      </w:r>
      <w:r>
        <w:t xml:space="preserve">also </w:t>
      </w:r>
      <w:r w:rsidR="00623D51">
        <w:t>updated</w:t>
      </w:r>
      <w:r w:rsidR="00164B4A">
        <w:t xml:space="preserve"> (Justice, 2010). </w:t>
      </w:r>
      <w:r w:rsidR="00D743EE">
        <w:t xml:space="preserve">This </w:t>
      </w:r>
      <w:r w:rsidR="00470200">
        <w:t>needed</w:t>
      </w:r>
      <w:r w:rsidR="00926B2F">
        <w:t xml:space="preserve"> </w:t>
      </w:r>
      <w:r w:rsidR="006737DB">
        <w:t xml:space="preserve">reform as those who suffered from </w:t>
      </w:r>
      <w:r w:rsidR="00A13A22">
        <w:t xml:space="preserve">known medical illnesses were being treated </w:t>
      </w:r>
      <w:r w:rsidR="008B2426">
        <w:t xml:space="preserve">the same as </w:t>
      </w:r>
      <w:r w:rsidR="006707F0">
        <w:t>of someone who was neurotypical. Patients who suffer from medical conditions such as schizophrenia</w:t>
      </w:r>
      <w:r w:rsidR="00547F91">
        <w:t xml:space="preserve">, </w:t>
      </w:r>
      <w:r w:rsidR="00B11908">
        <w:t>don’t always have full control over themselves or can see things that cannot be seen to a neurotypical eye.</w:t>
      </w:r>
      <w:r w:rsidR="006C355A">
        <w:t xml:space="preserve"> In the case </w:t>
      </w:r>
      <w:r w:rsidR="00D719D3">
        <w:t>of R v Byrne (1960) 2 QB 396</w:t>
      </w:r>
      <w:r w:rsidR="00D719D3">
        <w:t>, he experienced an abnormality o</w:t>
      </w:r>
      <w:r w:rsidR="00C161F3">
        <w:t>f</w:t>
      </w:r>
      <w:r w:rsidR="00D719D3">
        <w:t xml:space="preserve"> the mind </w:t>
      </w:r>
      <w:r w:rsidR="00C161F3">
        <w:t xml:space="preserve">as no reasonable person would have </w:t>
      </w:r>
      <w:r w:rsidR="0063348B">
        <w:t xml:space="preserve">murdered a young girl for the </w:t>
      </w:r>
      <w:r w:rsidR="008A306C">
        <w:t>reasons</w:t>
      </w:r>
      <w:r w:rsidR="0063348B">
        <w:t xml:space="preserve"> he did. His sentence was then reduced from </w:t>
      </w:r>
      <w:r w:rsidR="008A306C">
        <w:t>murder conviction to manslaughter</w:t>
      </w:r>
      <w:r w:rsidR="006D51F5">
        <w:t xml:space="preserve"> (Supreme Court,</w:t>
      </w:r>
      <w:r w:rsidR="0070671E">
        <w:t xml:space="preserve"> 2016).</w:t>
      </w:r>
      <w:r w:rsidR="008A306C">
        <w:t xml:space="preserve"> </w:t>
      </w:r>
      <w:r w:rsidR="00C254A4">
        <w:t xml:space="preserve">It was also in need of reform as </w:t>
      </w:r>
      <w:r w:rsidR="00C93B89">
        <w:t xml:space="preserve">the new defence of loss of control looked deeper into </w:t>
      </w:r>
      <w:r w:rsidR="00591A4B">
        <w:t>whether</w:t>
      </w:r>
      <w:r w:rsidR="00C93B89">
        <w:t xml:space="preserve"> people are provoked and if </w:t>
      </w:r>
      <w:r w:rsidR="00A533C6">
        <w:t xml:space="preserve">the same actions would have been carried out by a reasonable person. </w:t>
      </w:r>
    </w:p>
    <w:p w14:paraId="7D45D066" w14:textId="77777777" w:rsidR="00623D51" w:rsidRDefault="00623D51" w:rsidP="009E384D"/>
    <w:p w14:paraId="3ACD8A98" w14:textId="5A567DCF" w:rsidR="00623D51" w:rsidRPr="00C74DF4" w:rsidRDefault="0006465E" w:rsidP="009E384D">
      <w:r>
        <w:t xml:space="preserve">The government has recognised the need for change but has not put into action the serious reform that </w:t>
      </w:r>
      <w:r w:rsidR="00DF28A8">
        <w:t>the law on homicide that is needed.</w:t>
      </w:r>
      <w:r w:rsidR="00E5643D">
        <w:t xml:space="preserve"> According to </w:t>
      </w:r>
      <w:r w:rsidR="004817C8">
        <w:t xml:space="preserve">The Office of National Statistics </w:t>
      </w:r>
      <w:r w:rsidR="00405994">
        <w:t>(2018) th</w:t>
      </w:r>
      <w:r w:rsidR="00DF28A8">
        <w:t>e law on murder hasn’t been looked at for over 50 years.</w:t>
      </w:r>
      <w:r w:rsidR="003B6EB6">
        <w:t xml:space="preserve"> </w:t>
      </w:r>
      <w:r w:rsidR="000058CA">
        <w:t>Suggestions for reform could be</w:t>
      </w:r>
      <w:r w:rsidR="00AC43EB">
        <w:t xml:space="preserve"> </w:t>
      </w:r>
      <w:r w:rsidR="00ED245C">
        <w:t xml:space="preserve">by Sir Louis </w:t>
      </w:r>
      <w:proofErr w:type="spellStart"/>
      <w:r w:rsidR="00ED245C">
        <w:t>Blom</w:t>
      </w:r>
      <w:proofErr w:type="spellEnd"/>
      <w:r w:rsidR="00ED245C">
        <w:t>-Cooper QC, that</w:t>
      </w:r>
      <w:r w:rsidR="000620CA">
        <w:t xml:space="preserve"> single offences of homicide should be left to decide with the judge</w:t>
      </w:r>
      <w:r w:rsidR="00ED245C">
        <w:t xml:space="preserve">. </w:t>
      </w:r>
      <w:r w:rsidR="00957C1B">
        <w:t>However,</w:t>
      </w:r>
      <w:r w:rsidR="00ED245C">
        <w:t xml:space="preserve"> </w:t>
      </w:r>
      <w:r w:rsidR="00D16C36">
        <w:t xml:space="preserve">if everyone was treated the same </w:t>
      </w:r>
      <w:r w:rsidR="00714720">
        <w:t xml:space="preserve">by one </w:t>
      </w:r>
      <w:r w:rsidR="008A7D98">
        <w:t>judge, mass</w:t>
      </w:r>
      <w:r w:rsidR="00714720">
        <w:t xml:space="preserve"> murderers and gross </w:t>
      </w:r>
      <w:r w:rsidR="006B654C">
        <w:t>negligence</w:t>
      </w:r>
      <w:r w:rsidR="00714720">
        <w:t xml:space="preserve"> by doctors would be </w:t>
      </w:r>
      <w:r w:rsidR="007712D8">
        <w:t xml:space="preserve">carried out in the same manner. Lawyers of the defendant could also argue </w:t>
      </w:r>
      <w:r w:rsidR="00957C1B">
        <w:t xml:space="preserve">that their client’s sentence should be reduced due to loss of control or diminished responsibility. </w:t>
      </w:r>
    </w:p>
    <w:p w14:paraId="4F9DF032" w14:textId="7D82FF69" w:rsidR="007C7283" w:rsidRDefault="007C7283" w:rsidP="007C7283">
      <w:pPr>
        <w:rPr>
          <w:u w:val="single"/>
        </w:rPr>
      </w:pPr>
    </w:p>
    <w:p w14:paraId="258D5EE6" w14:textId="3B7E6BDB" w:rsidR="007C7283" w:rsidRDefault="007C7283" w:rsidP="007C7283">
      <w:pPr>
        <w:rPr>
          <w:u w:val="single"/>
        </w:rPr>
      </w:pPr>
    </w:p>
    <w:p w14:paraId="7FAA331A" w14:textId="6EAF4015" w:rsidR="007C7283" w:rsidRDefault="007C7283" w:rsidP="00957C1B"/>
    <w:p w14:paraId="4D24139A" w14:textId="77777777" w:rsidR="00B66721" w:rsidRDefault="00B66721">
      <w:r>
        <w:br w:type="page"/>
      </w:r>
    </w:p>
    <w:p w14:paraId="6274D358" w14:textId="6B354A6D" w:rsidR="00FE7E0D" w:rsidRPr="00981B96" w:rsidRDefault="00B66721" w:rsidP="00AD451E">
      <w:pPr>
        <w:pStyle w:val="ListParagraph"/>
        <w:ind w:left="0"/>
        <w:rPr>
          <w:rFonts w:cstheme="minorHAnsi"/>
          <w:b/>
          <w:bCs/>
          <w:u w:val="single"/>
        </w:rPr>
      </w:pPr>
      <w:r w:rsidRPr="00981B96">
        <w:rPr>
          <w:rFonts w:cstheme="minorHAnsi"/>
          <w:b/>
          <w:bCs/>
          <w:u w:val="single"/>
        </w:rPr>
        <w:lastRenderedPageBreak/>
        <w:t xml:space="preserve">References </w:t>
      </w:r>
    </w:p>
    <w:p w14:paraId="767522E4" w14:textId="06C8893B" w:rsidR="00B66721" w:rsidRPr="00981B96" w:rsidRDefault="00B66721" w:rsidP="00B66721">
      <w:pPr>
        <w:pStyle w:val="ListParagraph"/>
        <w:rPr>
          <w:rFonts w:cstheme="minorHAnsi"/>
        </w:rPr>
      </w:pPr>
    </w:p>
    <w:p w14:paraId="56454E69" w14:textId="7FF5418C" w:rsidR="00B66721" w:rsidRPr="00981B96" w:rsidRDefault="00B66721" w:rsidP="00AD451E">
      <w:pPr>
        <w:pStyle w:val="ListParagraph"/>
        <w:spacing w:line="276" w:lineRule="auto"/>
        <w:ind w:left="0"/>
        <w:rPr>
          <w:rFonts w:cstheme="minorHAnsi"/>
        </w:rPr>
      </w:pPr>
      <w:r w:rsidRPr="00981B96">
        <w:rPr>
          <w:rFonts w:cstheme="minorHAnsi"/>
        </w:rPr>
        <w:t xml:space="preserve">Law Commission, </w:t>
      </w:r>
      <w:r w:rsidR="00FF0F47" w:rsidRPr="00981B96">
        <w:rPr>
          <w:rFonts w:cstheme="minorHAnsi"/>
          <w:i/>
          <w:iCs/>
        </w:rPr>
        <w:t>Partial defences to murder,</w:t>
      </w:r>
      <w:r w:rsidR="00FF0F47" w:rsidRPr="00981B96">
        <w:rPr>
          <w:rFonts w:cstheme="minorHAnsi"/>
        </w:rPr>
        <w:t xml:space="preserve"> consultation paper No 173, 2003</w:t>
      </w:r>
    </w:p>
    <w:p w14:paraId="02C1450D" w14:textId="77777777" w:rsidR="00FC62F4" w:rsidRPr="00981B96" w:rsidRDefault="00FC62F4" w:rsidP="00AD451E">
      <w:pPr>
        <w:pStyle w:val="ListParagraph"/>
        <w:spacing w:line="276" w:lineRule="auto"/>
        <w:ind w:left="0"/>
        <w:rPr>
          <w:rFonts w:cstheme="minorHAnsi"/>
        </w:rPr>
      </w:pPr>
    </w:p>
    <w:sdt>
      <w:sdtPr>
        <w:rPr>
          <w:rFonts w:cstheme="minorHAnsi"/>
        </w:rPr>
        <w:id w:val="-185135119"/>
        <w:docPartObj>
          <w:docPartGallery w:val="Bibliographies"/>
          <w:docPartUnique/>
        </w:docPartObj>
      </w:sdtPr>
      <w:sdtEndPr>
        <w:rPr>
          <w:rFonts w:cstheme="minorBidi"/>
          <w:b/>
          <w:bCs/>
        </w:rPr>
      </w:sdtEndPr>
      <w:sdtContent>
        <w:p w14:paraId="7B65B449" w14:textId="77777777" w:rsidR="00FC62F4" w:rsidRPr="00981B96" w:rsidRDefault="00FC62F4" w:rsidP="00FC62F4">
          <w:pPr>
            <w:rPr>
              <w:rFonts w:eastAsia="Times New Roman" w:cstheme="minorHAnsi"/>
              <w:color w:val="3A3A3A"/>
              <w:shd w:val="clear" w:color="auto" w:fill="FFFFFF"/>
              <w:lang w:eastAsia="en-GB"/>
            </w:rPr>
          </w:pPr>
          <w:proofErr w:type="spellStart"/>
          <w:r w:rsidRPr="00981B96">
            <w:rPr>
              <w:rFonts w:eastAsia="Times New Roman" w:cstheme="minorHAnsi"/>
              <w:color w:val="3A3A3A"/>
              <w:shd w:val="clear" w:color="auto" w:fill="FFFFFF"/>
              <w:lang w:eastAsia="en-GB"/>
            </w:rPr>
            <w:t>Doğan</w:t>
          </w:r>
          <w:proofErr w:type="spellEnd"/>
          <w:r w:rsidRPr="00981B96">
            <w:rPr>
              <w:rFonts w:eastAsia="Times New Roman" w:cstheme="minorHAnsi"/>
              <w:color w:val="3A3A3A"/>
              <w:shd w:val="clear" w:color="auto" w:fill="FFFFFF"/>
              <w:lang w:eastAsia="en-GB"/>
            </w:rPr>
            <w:t>, R. (2013) Did the Coroners and Justice Act 2009 get it right? Are all honour killings revenge killings? </w:t>
          </w:r>
          <w:r w:rsidRPr="00981B96">
            <w:rPr>
              <w:rFonts w:eastAsia="Times New Roman" w:cstheme="minorHAnsi"/>
              <w:i/>
              <w:iCs/>
              <w:color w:val="3A3A3A"/>
              <w:lang w:eastAsia="en-GB"/>
            </w:rPr>
            <w:t>Punishment &amp; society</w:t>
          </w:r>
          <w:r w:rsidRPr="00981B96">
            <w:rPr>
              <w:rFonts w:eastAsia="Times New Roman" w:cstheme="minorHAnsi"/>
              <w:color w:val="3A3A3A"/>
              <w:shd w:val="clear" w:color="auto" w:fill="FFFFFF"/>
              <w:lang w:eastAsia="en-GB"/>
            </w:rPr>
            <w:t>. [Online] 15 (5), 488–514.</w:t>
          </w:r>
        </w:p>
        <w:p w14:paraId="7D9A539C" w14:textId="77777777" w:rsidR="00981B96" w:rsidRPr="00981B96" w:rsidRDefault="00981B96" w:rsidP="00FC62F4">
          <w:pPr>
            <w:rPr>
              <w:rFonts w:eastAsia="Times New Roman" w:cstheme="minorHAnsi"/>
              <w:lang w:eastAsia="en-GB"/>
            </w:rPr>
          </w:pPr>
        </w:p>
        <w:p w14:paraId="22EDA9BE" w14:textId="0CDB9707" w:rsidR="00981B96" w:rsidRPr="00981B96" w:rsidRDefault="00AD451E" w:rsidP="00981B96">
          <w:pPr>
            <w:pStyle w:val="Bibliography"/>
            <w:rPr>
              <w:rFonts w:cstheme="minorHAnsi"/>
              <w:noProof/>
            </w:rPr>
          </w:pPr>
          <w:r w:rsidRPr="00981B96">
            <w:rPr>
              <w:rFonts w:cstheme="minorHAnsi"/>
            </w:rPr>
            <w:fldChar w:fldCharType="begin"/>
          </w:r>
          <w:r w:rsidRPr="00981B96">
            <w:rPr>
              <w:rFonts w:cstheme="minorHAnsi"/>
            </w:rPr>
            <w:instrText xml:space="preserve"> BIBLIOGRAPHY </w:instrText>
          </w:r>
          <w:r w:rsidRPr="00981B96">
            <w:rPr>
              <w:rFonts w:cstheme="minorHAnsi"/>
            </w:rPr>
            <w:fldChar w:fldCharType="separate"/>
          </w:r>
          <w:r w:rsidR="00DF4DAF" w:rsidRPr="00981B96">
            <w:rPr>
              <w:rFonts w:cstheme="minorHAnsi"/>
              <w:noProof/>
            </w:rPr>
            <w:t xml:space="preserve">Chalk, A., 2016. </w:t>
          </w:r>
          <w:r w:rsidR="00DF4DAF" w:rsidRPr="00981B96">
            <w:rPr>
              <w:rFonts w:cstheme="minorHAnsi"/>
              <w:i/>
              <w:iCs/>
              <w:noProof/>
            </w:rPr>
            <w:t xml:space="preserve">Hansard UK Parliment. </w:t>
          </w:r>
          <w:r w:rsidR="00DF4DAF" w:rsidRPr="00981B96">
            <w:rPr>
              <w:rFonts w:cstheme="minorHAnsi"/>
              <w:noProof/>
            </w:rPr>
            <w:t xml:space="preserve">[Online] </w:t>
          </w:r>
          <w:r w:rsidR="00DF4DAF" w:rsidRPr="00981B96">
            <w:rPr>
              <w:rFonts w:cstheme="minorHAnsi"/>
              <w:noProof/>
            </w:rPr>
            <w:br/>
            <w:t xml:space="preserve">Available at: </w:t>
          </w:r>
          <w:r w:rsidR="00DF4DAF" w:rsidRPr="00981B96">
            <w:rPr>
              <w:rFonts w:cstheme="minorHAnsi"/>
              <w:noProof/>
              <w:u w:val="single"/>
            </w:rPr>
            <w:t>https://hansard.parliament.uk/commons/2016-06-30/debates/D5042476-8A97-4E5F-82BB-5908AB04F0AA/HomicideLawReform</w:t>
          </w:r>
          <w:r w:rsidR="00DF4DAF" w:rsidRPr="00981B96">
            <w:rPr>
              <w:rFonts w:cstheme="minorHAnsi"/>
              <w:noProof/>
            </w:rPr>
            <w:br/>
            <w:t>[Accessed 4th November 2021].</w:t>
          </w:r>
        </w:p>
        <w:p w14:paraId="5AB5B1E0" w14:textId="77777777" w:rsidR="00981B96" w:rsidRPr="00981B96" w:rsidRDefault="00981B96" w:rsidP="00981B96">
          <w:pPr>
            <w:rPr>
              <w:rFonts w:cstheme="minorHAnsi"/>
            </w:rPr>
          </w:pPr>
        </w:p>
        <w:p w14:paraId="2FC8A644" w14:textId="77777777" w:rsidR="00DF4DAF" w:rsidRPr="00981B96" w:rsidRDefault="00DF4DAF" w:rsidP="00DF4DAF">
          <w:pPr>
            <w:pStyle w:val="Bibliography"/>
            <w:rPr>
              <w:rFonts w:cstheme="minorHAnsi"/>
              <w:noProof/>
            </w:rPr>
          </w:pPr>
          <w:r w:rsidRPr="00981B96">
            <w:rPr>
              <w:rFonts w:cstheme="minorHAnsi"/>
              <w:noProof/>
            </w:rPr>
            <w:t xml:space="preserve">Commission, T. L., 2003. </w:t>
          </w:r>
          <w:r w:rsidRPr="00981B96">
            <w:rPr>
              <w:rFonts w:cstheme="minorHAnsi"/>
              <w:i/>
              <w:iCs/>
              <w:noProof/>
            </w:rPr>
            <w:t xml:space="preserve">partial defences to murder, </w:t>
          </w:r>
          <w:r w:rsidRPr="00981B96">
            <w:rPr>
              <w:rFonts w:cstheme="minorHAnsi"/>
              <w:noProof/>
            </w:rPr>
            <w:t>s.l.: s.n.</w:t>
          </w:r>
        </w:p>
        <w:p w14:paraId="3F9F38B3" w14:textId="77777777" w:rsidR="00DF4DAF" w:rsidRPr="00981B96" w:rsidRDefault="00DF4DAF" w:rsidP="00DF4DAF">
          <w:pPr>
            <w:pStyle w:val="Bibliography"/>
            <w:rPr>
              <w:rFonts w:cstheme="minorHAnsi"/>
              <w:noProof/>
            </w:rPr>
          </w:pPr>
          <w:r w:rsidRPr="00981B96">
            <w:rPr>
              <w:rFonts w:cstheme="minorHAnsi"/>
              <w:noProof/>
            </w:rPr>
            <w:t xml:space="preserve">commission, t. l., 2005. </w:t>
          </w:r>
          <w:r w:rsidRPr="00981B96">
            <w:rPr>
              <w:rFonts w:cstheme="minorHAnsi"/>
              <w:i/>
              <w:iCs/>
              <w:noProof/>
            </w:rPr>
            <w:t xml:space="preserve">lawcom.gov.uk. </w:t>
          </w:r>
          <w:r w:rsidRPr="00981B96">
            <w:rPr>
              <w:rFonts w:cstheme="minorHAnsi"/>
              <w:noProof/>
            </w:rPr>
            <w:t xml:space="preserve">[Online] </w:t>
          </w:r>
          <w:r w:rsidRPr="00981B96">
            <w:rPr>
              <w:rFonts w:cstheme="minorHAnsi"/>
              <w:noProof/>
            </w:rPr>
            <w:br/>
            <w:t xml:space="preserve">Available at: </w:t>
          </w:r>
          <w:r w:rsidRPr="00981B96">
            <w:rPr>
              <w:rFonts w:cstheme="minorHAnsi"/>
              <w:noProof/>
              <w:u w:val="single"/>
            </w:rPr>
            <w:t>http://www.lawcom.gov.uk/app/uploads/2015/03/cp177_Murder_Manslaughter_and_Infanticide_consultation_overview_.pdf</w:t>
          </w:r>
          <w:r w:rsidRPr="00981B96">
            <w:rPr>
              <w:rFonts w:cstheme="minorHAnsi"/>
              <w:noProof/>
            </w:rPr>
            <w:br/>
            <w:t>[Accessed 4th november 2021].</w:t>
          </w:r>
        </w:p>
        <w:p w14:paraId="608D0D43" w14:textId="77777777" w:rsidR="00981B96" w:rsidRPr="00981B96" w:rsidRDefault="00981B96" w:rsidP="00981B96">
          <w:pPr>
            <w:rPr>
              <w:rFonts w:cstheme="minorHAnsi"/>
            </w:rPr>
          </w:pPr>
        </w:p>
        <w:p w14:paraId="5A4EF521" w14:textId="289D94D6" w:rsidR="00DF4DAF" w:rsidRPr="00981B96" w:rsidRDefault="00164B4A" w:rsidP="00DF4DAF">
          <w:pPr>
            <w:pStyle w:val="Bibliography"/>
            <w:rPr>
              <w:rFonts w:cstheme="minorHAnsi"/>
              <w:noProof/>
            </w:rPr>
          </w:pPr>
          <w:r>
            <w:rPr>
              <w:rFonts w:cstheme="minorHAnsi"/>
              <w:noProof/>
            </w:rPr>
            <w:t>J</w:t>
          </w:r>
          <w:r w:rsidR="00DF4DAF" w:rsidRPr="00981B96">
            <w:rPr>
              <w:rFonts w:cstheme="minorHAnsi"/>
              <w:noProof/>
            </w:rPr>
            <w:t>ust</w:t>
          </w:r>
          <w:r w:rsidR="002A1403">
            <w:rPr>
              <w:rFonts w:cstheme="minorHAnsi"/>
              <w:noProof/>
            </w:rPr>
            <w:t>ice</w:t>
          </w:r>
          <w:r w:rsidR="00DF4DAF" w:rsidRPr="00981B96">
            <w:rPr>
              <w:rFonts w:cstheme="minorHAnsi"/>
              <w:noProof/>
            </w:rPr>
            <w:t xml:space="preserve">, m. o., 2010. </w:t>
          </w:r>
          <w:r w:rsidR="00DF4DAF" w:rsidRPr="00981B96">
            <w:rPr>
              <w:rFonts w:cstheme="minorHAnsi"/>
              <w:i/>
              <w:iCs/>
              <w:noProof/>
            </w:rPr>
            <w:t xml:space="preserve">justice.gov.uk. </w:t>
          </w:r>
          <w:r w:rsidR="00DF4DAF" w:rsidRPr="00981B96">
            <w:rPr>
              <w:rFonts w:cstheme="minorHAnsi"/>
              <w:noProof/>
            </w:rPr>
            <w:t xml:space="preserve">[Online] </w:t>
          </w:r>
          <w:r w:rsidR="00DF4DAF" w:rsidRPr="00981B96">
            <w:rPr>
              <w:rFonts w:cstheme="minorHAnsi"/>
              <w:noProof/>
            </w:rPr>
            <w:br/>
            <w:t xml:space="preserve">Available at: </w:t>
          </w:r>
          <w:r w:rsidR="00DF4DAF" w:rsidRPr="00981B96">
            <w:rPr>
              <w:rFonts w:cstheme="minorHAnsi"/>
              <w:noProof/>
              <w:u w:val="single"/>
            </w:rPr>
            <w:t>https://www.justice.gov.uk/downloads/legislation/bills-acts/circulars/moj/2010/circular-12-2010-coroners-justice-act-homicide-provisions.pdf</w:t>
          </w:r>
          <w:r w:rsidR="00DF4DAF" w:rsidRPr="00981B96">
            <w:rPr>
              <w:rFonts w:cstheme="minorHAnsi"/>
              <w:noProof/>
            </w:rPr>
            <w:br/>
            <w:t>[Accessed 4th november 2021].</w:t>
          </w:r>
        </w:p>
        <w:p w14:paraId="29B4D077" w14:textId="6FA1E774" w:rsidR="00AD451E" w:rsidRDefault="00AD451E" w:rsidP="00DF4DAF">
          <w:pPr>
            <w:spacing w:line="276" w:lineRule="auto"/>
          </w:pPr>
          <w:r w:rsidRPr="00981B96">
            <w:rPr>
              <w:rFonts w:cstheme="minorHAnsi"/>
              <w:b/>
              <w:bCs/>
            </w:rPr>
            <w:fldChar w:fldCharType="end"/>
          </w:r>
        </w:p>
      </w:sdtContent>
    </w:sdt>
    <w:p w14:paraId="29B2AF2B" w14:textId="5FCF1E5A" w:rsidR="00FC62F4" w:rsidRDefault="00B4372C" w:rsidP="00AD451E">
      <w:pPr>
        <w:rPr>
          <w:rFonts w:cstheme="minorHAnsi"/>
        </w:rPr>
      </w:pPr>
      <w:r w:rsidRPr="00B4372C">
        <w:rPr>
          <w:rFonts w:cstheme="minorHAnsi"/>
        </w:rPr>
        <w:t>Lucid Law. 2021. R v Gibbons and Proctor (1918) 13 Cr App Rep 134 - Lucid Law. [ONLINE] Available at: https://lucidlaw.co.uk/criminal-law/homicide-murder/by-an-act-or-omission/r-v-gibbons-and-proctor/. [Accessed 05 November 2021]</w:t>
      </w:r>
    </w:p>
    <w:p w14:paraId="47D4D2F5" w14:textId="77777777" w:rsidR="002D1C16" w:rsidRDefault="002D1C16" w:rsidP="00AD451E">
      <w:pPr>
        <w:rPr>
          <w:rFonts w:cstheme="minorHAnsi"/>
        </w:rPr>
      </w:pPr>
    </w:p>
    <w:p w14:paraId="0BF63388" w14:textId="78A94204" w:rsidR="002D1C16" w:rsidRDefault="002D1C16" w:rsidP="00AD451E">
      <w:pPr>
        <w:rPr>
          <w:rFonts w:cstheme="minorHAnsi"/>
        </w:rPr>
      </w:pPr>
      <w:r w:rsidRPr="002D1C16">
        <w:rPr>
          <w:rFonts w:cstheme="minorHAnsi"/>
        </w:rPr>
        <w:t>Independent Investigations Office of BC, IIO, IIOBC | The Independent Investigations Office of BC is a civilian-led investigatory body. 2021. Serious Harm Definition |[ONLINE] Available at: https://iiobc.ca/serious-harm-definition/. [Accessed 05 November 2021].</w:t>
      </w:r>
    </w:p>
    <w:p w14:paraId="421BDC82" w14:textId="77777777" w:rsidR="00344BF0" w:rsidRPr="00344BF0" w:rsidRDefault="00344BF0" w:rsidP="00AD451E">
      <w:pPr>
        <w:rPr>
          <w:rFonts w:cstheme="minorHAnsi"/>
        </w:rPr>
      </w:pPr>
    </w:p>
    <w:p w14:paraId="5DC0F17A" w14:textId="36EBD7E0" w:rsidR="00344BF0" w:rsidRDefault="00344BF0" w:rsidP="00AD451E">
      <w:pPr>
        <w:rPr>
          <w:rFonts w:cstheme="minorHAnsi"/>
        </w:rPr>
      </w:pPr>
      <w:r>
        <w:rPr>
          <w:rFonts w:cstheme="minorHAnsi"/>
        </w:rPr>
        <w:t>T</w:t>
      </w:r>
      <w:r w:rsidRPr="00344BF0">
        <w:rPr>
          <w:rFonts w:cstheme="minorHAnsi"/>
        </w:rPr>
        <w:t xml:space="preserve">he Guardian. 2021. Murder law will not be </w:t>
      </w:r>
      <w:proofErr w:type="gramStart"/>
      <w:r w:rsidRPr="00344BF0">
        <w:rPr>
          <w:rFonts w:cstheme="minorHAnsi"/>
        </w:rPr>
        <w:t>reformed,</w:t>
      </w:r>
      <w:proofErr w:type="gramEnd"/>
      <w:r w:rsidRPr="00344BF0">
        <w:rPr>
          <w:rFonts w:cstheme="minorHAnsi"/>
        </w:rPr>
        <w:t xml:space="preserve"> justice minister tells MPs | UK criminal justice | The Guardian. [ONLINE] Available at: https://www.theguardian.com/law/2016/sep/14/law-will-not-be-reformed-justice-minister-tells-mps. [Accessed 05 November 2021]</w:t>
      </w:r>
    </w:p>
    <w:p w14:paraId="69209B13" w14:textId="77777777" w:rsidR="00A82CB3" w:rsidRDefault="00A82CB3" w:rsidP="00AD451E">
      <w:pPr>
        <w:rPr>
          <w:rFonts w:cstheme="minorHAnsi"/>
        </w:rPr>
      </w:pPr>
    </w:p>
    <w:p w14:paraId="0B454EAB" w14:textId="746A1E0E" w:rsidR="00A82CB3" w:rsidRDefault="00A82CB3" w:rsidP="00AD451E">
      <w:pPr>
        <w:rPr>
          <w:rFonts w:cstheme="minorHAnsi"/>
        </w:rPr>
      </w:pPr>
      <w:r w:rsidRPr="00A82CB3">
        <w:rPr>
          <w:rFonts w:cstheme="minorHAnsi"/>
        </w:rPr>
        <w:t>Homicide i</w:t>
      </w:r>
      <w:r w:rsidR="00576662">
        <w:rPr>
          <w:rFonts w:cstheme="minorHAnsi"/>
        </w:rPr>
        <w:t>n</w:t>
      </w:r>
      <w:r w:rsidRPr="00A82CB3">
        <w:rPr>
          <w:rFonts w:cstheme="minorHAnsi"/>
        </w:rPr>
        <w:t xml:space="preserve"> England and Wales - Office for National Statistics. 2021. and Wales - Office for [ONLINE] Available at: https://www.ons.gov.uk/peoplepopulationandcommunity/crimeandjustice/articles/homicideinenglandandwales/yearendingmarch2018. [Accessed 05 November 2021</w:t>
      </w:r>
      <w:r w:rsidR="0070671E">
        <w:rPr>
          <w:rFonts w:cstheme="minorHAnsi"/>
        </w:rPr>
        <w:t>]</w:t>
      </w:r>
    </w:p>
    <w:p w14:paraId="4B4673B8" w14:textId="77777777" w:rsidR="0070671E" w:rsidRDefault="0070671E" w:rsidP="00AD451E">
      <w:pPr>
        <w:rPr>
          <w:rFonts w:cstheme="minorHAnsi"/>
        </w:rPr>
      </w:pPr>
    </w:p>
    <w:p w14:paraId="65CA5314" w14:textId="1962AAB9" w:rsidR="0070671E" w:rsidRPr="00A82CB3" w:rsidRDefault="00A32A16" w:rsidP="00AD451E">
      <w:pPr>
        <w:rPr>
          <w:rFonts w:cstheme="minorHAnsi"/>
        </w:rPr>
      </w:pPr>
      <w:r>
        <w:rPr>
          <w:rFonts w:ascii="Helvetica" w:hAnsi="Helvetica" w:cs="Helvetica"/>
        </w:rPr>
        <w:t>Supreme</w:t>
      </w:r>
      <w:r w:rsidR="00CB5CD4">
        <w:rPr>
          <w:rFonts w:ascii="Helvetica" w:hAnsi="Helvetica" w:cs="Helvetica"/>
        </w:rPr>
        <w:t xml:space="preserve"> Court, </w:t>
      </w:r>
      <w:r>
        <w:rPr>
          <w:rFonts w:ascii="Helvetica" w:hAnsi="Helvetica" w:cs="Helvetica"/>
        </w:rPr>
        <w:t>2016, Judgement</w:t>
      </w:r>
      <w:r w:rsidR="00CB5CD4">
        <w:rPr>
          <w:rFonts w:ascii="Helvetica" w:hAnsi="Helvetica" w:cs="Helvetica"/>
        </w:rPr>
        <w:t xml:space="preserve"> R v Golds</w:t>
      </w:r>
      <w:r>
        <w:rPr>
          <w:rFonts w:ascii="Helvetica" w:hAnsi="Helvetica" w:cs="Helvetica"/>
        </w:rPr>
        <w:t xml:space="preserve"> (</w:t>
      </w:r>
      <w:proofErr w:type="gramStart"/>
      <w:r>
        <w:rPr>
          <w:rFonts w:ascii="Helvetica" w:hAnsi="Helvetica" w:cs="Helvetica"/>
        </w:rPr>
        <w:t xml:space="preserve">appellant) </w:t>
      </w:r>
      <w:r w:rsidR="0070671E">
        <w:rPr>
          <w:rFonts w:ascii="Helvetica" w:hAnsi="Helvetica" w:cs="Helvetica"/>
        </w:rPr>
        <w:t xml:space="preserve"> [</w:t>
      </w:r>
      <w:proofErr w:type="gramEnd"/>
      <w:r w:rsidR="0070671E">
        <w:rPr>
          <w:rFonts w:ascii="Helvetica" w:hAnsi="Helvetica" w:cs="Helvetica"/>
        </w:rPr>
        <w:t>ONLINE] Available at: https://www.supremecourt.uk/cases/docs/uksc-2015-0053-judgment.pdf. [Accessed 05 November 2021]</w:t>
      </w:r>
    </w:p>
    <w:sectPr w:rsidR="0070671E" w:rsidRPr="00A82C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7238D"/>
    <w:multiLevelType w:val="hybridMultilevel"/>
    <w:tmpl w:val="041C283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C14D52"/>
    <w:multiLevelType w:val="hybridMultilevel"/>
    <w:tmpl w:val="216C742A"/>
    <w:lvl w:ilvl="0" w:tplc="DB307C64">
      <w:start w:val="1"/>
      <w:numFmt w:val="bullet"/>
      <w:lvlText w:val="u"/>
      <w:lvlJc w:val="left"/>
      <w:pPr>
        <w:ind w:left="2160" w:hanging="360"/>
      </w:pPr>
      <w:rPr>
        <w:rFonts w:ascii="Wingdings 3" w:hAnsi="Wingdings 3"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4C9A6550"/>
    <w:multiLevelType w:val="hybridMultilevel"/>
    <w:tmpl w:val="A69E7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C50C73"/>
    <w:multiLevelType w:val="hybridMultilevel"/>
    <w:tmpl w:val="96FCE3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3D1387"/>
    <w:multiLevelType w:val="hybridMultilevel"/>
    <w:tmpl w:val="8F2E5BF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46379F"/>
    <w:multiLevelType w:val="hybridMultilevel"/>
    <w:tmpl w:val="2D7089D6"/>
    <w:lvl w:ilvl="0" w:tplc="DB307C64">
      <w:start w:val="1"/>
      <w:numFmt w:val="bullet"/>
      <w:lvlText w:val="u"/>
      <w:lvlJc w:val="left"/>
      <w:pPr>
        <w:ind w:left="1440" w:hanging="360"/>
      </w:pPr>
      <w:rPr>
        <w:rFonts w:ascii="Wingdings 3" w:hAnsi="Wingdings 3"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5FD2B11"/>
    <w:multiLevelType w:val="hybridMultilevel"/>
    <w:tmpl w:val="CDF02462"/>
    <w:lvl w:ilvl="0" w:tplc="08090001">
      <w:start w:val="1"/>
      <w:numFmt w:val="bullet"/>
      <w:lvlText w:val=""/>
      <w:lvlJc w:val="left"/>
      <w:pPr>
        <w:ind w:left="1080" w:hanging="360"/>
      </w:pPr>
      <w:rPr>
        <w:rFonts w:ascii="Symbol" w:hAnsi="Symbol" w:hint="default"/>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6"/>
  </w:num>
  <w:num w:numId="3">
    <w:abstractNumId w:val="3"/>
  </w:num>
  <w:num w:numId="4">
    <w:abstractNumId w:val="5"/>
  </w:num>
  <w:num w:numId="5">
    <w:abstractNumId w:val="1"/>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84D"/>
    <w:rsid w:val="000058CA"/>
    <w:rsid w:val="000144AB"/>
    <w:rsid w:val="00024A63"/>
    <w:rsid w:val="00053D1F"/>
    <w:rsid w:val="000620CA"/>
    <w:rsid w:val="0006465E"/>
    <w:rsid w:val="000B36F0"/>
    <w:rsid w:val="000B6083"/>
    <w:rsid w:val="000C6788"/>
    <w:rsid w:val="000E0BAA"/>
    <w:rsid w:val="000E608D"/>
    <w:rsid w:val="0011470A"/>
    <w:rsid w:val="0015624D"/>
    <w:rsid w:val="00164B4A"/>
    <w:rsid w:val="00167630"/>
    <w:rsid w:val="00187D43"/>
    <w:rsid w:val="00195D33"/>
    <w:rsid w:val="001B3593"/>
    <w:rsid w:val="001F149A"/>
    <w:rsid w:val="002073BA"/>
    <w:rsid w:val="00224007"/>
    <w:rsid w:val="00247B01"/>
    <w:rsid w:val="00252EBD"/>
    <w:rsid w:val="00256246"/>
    <w:rsid w:val="002A1403"/>
    <w:rsid w:val="002B20FC"/>
    <w:rsid w:val="002B5334"/>
    <w:rsid w:val="002C599D"/>
    <w:rsid w:val="002C6BD5"/>
    <w:rsid w:val="002D1C16"/>
    <w:rsid w:val="002D2F37"/>
    <w:rsid w:val="0032211C"/>
    <w:rsid w:val="00331186"/>
    <w:rsid w:val="00344BF0"/>
    <w:rsid w:val="003937EF"/>
    <w:rsid w:val="003A7397"/>
    <w:rsid w:val="003B6EB6"/>
    <w:rsid w:val="003E025A"/>
    <w:rsid w:val="00405994"/>
    <w:rsid w:val="00415957"/>
    <w:rsid w:val="00444946"/>
    <w:rsid w:val="004502F0"/>
    <w:rsid w:val="004548C9"/>
    <w:rsid w:val="00470200"/>
    <w:rsid w:val="004817C8"/>
    <w:rsid w:val="00483C68"/>
    <w:rsid w:val="00500564"/>
    <w:rsid w:val="00504DE4"/>
    <w:rsid w:val="00523FAB"/>
    <w:rsid w:val="00547F91"/>
    <w:rsid w:val="0055072E"/>
    <w:rsid w:val="0057592A"/>
    <w:rsid w:val="00576662"/>
    <w:rsid w:val="00591A4B"/>
    <w:rsid w:val="005D20B8"/>
    <w:rsid w:val="005E2C27"/>
    <w:rsid w:val="005F3F89"/>
    <w:rsid w:val="00604DDC"/>
    <w:rsid w:val="006219E0"/>
    <w:rsid w:val="00623D51"/>
    <w:rsid w:val="006262F3"/>
    <w:rsid w:val="00627F18"/>
    <w:rsid w:val="0063348B"/>
    <w:rsid w:val="00662E6D"/>
    <w:rsid w:val="006707F0"/>
    <w:rsid w:val="0067091E"/>
    <w:rsid w:val="00670A4D"/>
    <w:rsid w:val="006737DB"/>
    <w:rsid w:val="00673947"/>
    <w:rsid w:val="006964DB"/>
    <w:rsid w:val="006A00D8"/>
    <w:rsid w:val="006B654C"/>
    <w:rsid w:val="006C355A"/>
    <w:rsid w:val="006D09A6"/>
    <w:rsid w:val="006D51F5"/>
    <w:rsid w:val="006D799D"/>
    <w:rsid w:val="006E12A0"/>
    <w:rsid w:val="006E29A8"/>
    <w:rsid w:val="006E4C73"/>
    <w:rsid w:val="0070671E"/>
    <w:rsid w:val="007108AA"/>
    <w:rsid w:val="00714720"/>
    <w:rsid w:val="00734D6D"/>
    <w:rsid w:val="00770F9B"/>
    <w:rsid w:val="007712D8"/>
    <w:rsid w:val="00797877"/>
    <w:rsid w:val="007A20D6"/>
    <w:rsid w:val="007C00EA"/>
    <w:rsid w:val="007C7283"/>
    <w:rsid w:val="007D0247"/>
    <w:rsid w:val="007F4653"/>
    <w:rsid w:val="008108E2"/>
    <w:rsid w:val="008232DA"/>
    <w:rsid w:val="00851D73"/>
    <w:rsid w:val="00883A9F"/>
    <w:rsid w:val="00892AA2"/>
    <w:rsid w:val="008A306C"/>
    <w:rsid w:val="008A7D98"/>
    <w:rsid w:val="008B2426"/>
    <w:rsid w:val="008C1199"/>
    <w:rsid w:val="008E2FB2"/>
    <w:rsid w:val="009028A4"/>
    <w:rsid w:val="00912F70"/>
    <w:rsid w:val="00914DA9"/>
    <w:rsid w:val="00926B2F"/>
    <w:rsid w:val="009527F5"/>
    <w:rsid w:val="00957C1B"/>
    <w:rsid w:val="0096375B"/>
    <w:rsid w:val="009730B2"/>
    <w:rsid w:val="00981B96"/>
    <w:rsid w:val="009A39E7"/>
    <w:rsid w:val="009B0074"/>
    <w:rsid w:val="009B45C0"/>
    <w:rsid w:val="009D76AC"/>
    <w:rsid w:val="009E384D"/>
    <w:rsid w:val="00A13A22"/>
    <w:rsid w:val="00A2197F"/>
    <w:rsid w:val="00A32A16"/>
    <w:rsid w:val="00A533C6"/>
    <w:rsid w:val="00A714D6"/>
    <w:rsid w:val="00A7623F"/>
    <w:rsid w:val="00A76783"/>
    <w:rsid w:val="00A82CB3"/>
    <w:rsid w:val="00AC43EB"/>
    <w:rsid w:val="00AD0B08"/>
    <w:rsid w:val="00AD451E"/>
    <w:rsid w:val="00AD5D62"/>
    <w:rsid w:val="00B0657C"/>
    <w:rsid w:val="00B11908"/>
    <w:rsid w:val="00B2115A"/>
    <w:rsid w:val="00B42E26"/>
    <w:rsid w:val="00B4372C"/>
    <w:rsid w:val="00B4402C"/>
    <w:rsid w:val="00B6501E"/>
    <w:rsid w:val="00B66721"/>
    <w:rsid w:val="00B74EBF"/>
    <w:rsid w:val="00B83124"/>
    <w:rsid w:val="00B971CD"/>
    <w:rsid w:val="00BD10BE"/>
    <w:rsid w:val="00BE7370"/>
    <w:rsid w:val="00BF6909"/>
    <w:rsid w:val="00C11CA5"/>
    <w:rsid w:val="00C161F3"/>
    <w:rsid w:val="00C254A4"/>
    <w:rsid w:val="00C6443E"/>
    <w:rsid w:val="00C65796"/>
    <w:rsid w:val="00C74DF4"/>
    <w:rsid w:val="00C93B89"/>
    <w:rsid w:val="00CA0893"/>
    <w:rsid w:val="00CA1630"/>
    <w:rsid w:val="00CA2723"/>
    <w:rsid w:val="00CA2BD5"/>
    <w:rsid w:val="00CB5CD4"/>
    <w:rsid w:val="00CD3236"/>
    <w:rsid w:val="00CD55C3"/>
    <w:rsid w:val="00D16C36"/>
    <w:rsid w:val="00D22E30"/>
    <w:rsid w:val="00D244E1"/>
    <w:rsid w:val="00D318EE"/>
    <w:rsid w:val="00D66F09"/>
    <w:rsid w:val="00D719D3"/>
    <w:rsid w:val="00D72E23"/>
    <w:rsid w:val="00D743EE"/>
    <w:rsid w:val="00D7659D"/>
    <w:rsid w:val="00D8565F"/>
    <w:rsid w:val="00D928BE"/>
    <w:rsid w:val="00D92A94"/>
    <w:rsid w:val="00DA2326"/>
    <w:rsid w:val="00DB6E0C"/>
    <w:rsid w:val="00DF28A8"/>
    <w:rsid w:val="00DF4DAF"/>
    <w:rsid w:val="00E0013F"/>
    <w:rsid w:val="00E32D7F"/>
    <w:rsid w:val="00E5643D"/>
    <w:rsid w:val="00E703BC"/>
    <w:rsid w:val="00EA6005"/>
    <w:rsid w:val="00ED245C"/>
    <w:rsid w:val="00EF0712"/>
    <w:rsid w:val="00F333C7"/>
    <w:rsid w:val="00F3773F"/>
    <w:rsid w:val="00F757A9"/>
    <w:rsid w:val="00F85891"/>
    <w:rsid w:val="00F85BD2"/>
    <w:rsid w:val="00F91119"/>
    <w:rsid w:val="00F933B0"/>
    <w:rsid w:val="00FB30A5"/>
    <w:rsid w:val="00FC62F4"/>
    <w:rsid w:val="00FE7E0D"/>
    <w:rsid w:val="00FF0F47"/>
    <w:rsid w:val="00FF1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4D3E1E"/>
  <w15:chartTrackingRefBased/>
  <w15:docId w15:val="{9A8FDD07-AF0A-164F-B012-A7F1A85CED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0F4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384D"/>
    <w:pPr>
      <w:ind w:left="720"/>
      <w:contextualSpacing/>
    </w:pPr>
  </w:style>
  <w:style w:type="character" w:customStyle="1" w:styleId="Heading1Char">
    <w:name w:val="Heading 1 Char"/>
    <w:basedOn w:val="DefaultParagraphFont"/>
    <w:link w:val="Heading1"/>
    <w:uiPriority w:val="9"/>
    <w:rsid w:val="00FF0F4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FF0F47"/>
  </w:style>
  <w:style w:type="character" w:customStyle="1" w:styleId="apple-converted-space">
    <w:name w:val="apple-converted-space"/>
    <w:basedOn w:val="DefaultParagraphFont"/>
    <w:rsid w:val="00FC62F4"/>
  </w:style>
  <w:style w:type="character" w:styleId="Hyperlink">
    <w:name w:val="Hyperlink"/>
    <w:basedOn w:val="DefaultParagraphFont"/>
    <w:uiPriority w:val="99"/>
    <w:semiHidden/>
    <w:unhideWhenUsed/>
    <w:rsid w:val="00604DD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18074">
      <w:bodyDiv w:val="1"/>
      <w:marLeft w:val="0"/>
      <w:marRight w:val="0"/>
      <w:marTop w:val="0"/>
      <w:marBottom w:val="0"/>
      <w:divBdr>
        <w:top w:val="none" w:sz="0" w:space="0" w:color="auto"/>
        <w:left w:val="none" w:sz="0" w:space="0" w:color="auto"/>
        <w:bottom w:val="none" w:sz="0" w:space="0" w:color="auto"/>
        <w:right w:val="none" w:sz="0" w:space="0" w:color="auto"/>
      </w:divBdr>
    </w:div>
    <w:div w:id="173502335">
      <w:bodyDiv w:val="1"/>
      <w:marLeft w:val="0"/>
      <w:marRight w:val="0"/>
      <w:marTop w:val="0"/>
      <w:marBottom w:val="0"/>
      <w:divBdr>
        <w:top w:val="none" w:sz="0" w:space="0" w:color="auto"/>
        <w:left w:val="none" w:sz="0" w:space="0" w:color="auto"/>
        <w:bottom w:val="none" w:sz="0" w:space="0" w:color="auto"/>
        <w:right w:val="none" w:sz="0" w:space="0" w:color="auto"/>
      </w:divBdr>
    </w:div>
    <w:div w:id="414018737">
      <w:bodyDiv w:val="1"/>
      <w:marLeft w:val="0"/>
      <w:marRight w:val="0"/>
      <w:marTop w:val="0"/>
      <w:marBottom w:val="0"/>
      <w:divBdr>
        <w:top w:val="none" w:sz="0" w:space="0" w:color="auto"/>
        <w:left w:val="none" w:sz="0" w:space="0" w:color="auto"/>
        <w:bottom w:val="none" w:sz="0" w:space="0" w:color="auto"/>
        <w:right w:val="none" w:sz="0" w:space="0" w:color="auto"/>
      </w:divBdr>
    </w:div>
    <w:div w:id="519856258">
      <w:bodyDiv w:val="1"/>
      <w:marLeft w:val="0"/>
      <w:marRight w:val="0"/>
      <w:marTop w:val="0"/>
      <w:marBottom w:val="0"/>
      <w:divBdr>
        <w:top w:val="none" w:sz="0" w:space="0" w:color="auto"/>
        <w:left w:val="none" w:sz="0" w:space="0" w:color="auto"/>
        <w:bottom w:val="none" w:sz="0" w:space="0" w:color="auto"/>
        <w:right w:val="none" w:sz="0" w:space="0" w:color="auto"/>
      </w:divBdr>
    </w:div>
    <w:div w:id="579798653">
      <w:bodyDiv w:val="1"/>
      <w:marLeft w:val="0"/>
      <w:marRight w:val="0"/>
      <w:marTop w:val="0"/>
      <w:marBottom w:val="0"/>
      <w:divBdr>
        <w:top w:val="none" w:sz="0" w:space="0" w:color="auto"/>
        <w:left w:val="none" w:sz="0" w:space="0" w:color="auto"/>
        <w:bottom w:val="none" w:sz="0" w:space="0" w:color="auto"/>
        <w:right w:val="none" w:sz="0" w:space="0" w:color="auto"/>
      </w:divBdr>
    </w:div>
    <w:div w:id="817915952">
      <w:bodyDiv w:val="1"/>
      <w:marLeft w:val="0"/>
      <w:marRight w:val="0"/>
      <w:marTop w:val="0"/>
      <w:marBottom w:val="0"/>
      <w:divBdr>
        <w:top w:val="none" w:sz="0" w:space="0" w:color="auto"/>
        <w:left w:val="none" w:sz="0" w:space="0" w:color="auto"/>
        <w:bottom w:val="none" w:sz="0" w:space="0" w:color="auto"/>
        <w:right w:val="none" w:sz="0" w:space="0" w:color="auto"/>
      </w:divBdr>
    </w:div>
    <w:div w:id="897667397">
      <w:bodyDiv w:val="1"/>
      <w:marLeft w:val="0"/>
      <w:marRight w:val="0"/>
      <w:marTop w:val="0"/>
      <w:marBottom w:val="0"/>
      <w:divBdr>
        <w:top w:val="none" w:sz="0" w:space="0" w:color="auto"/>
        <w:left w:val="none" w:sz="0" w:space="0" w:color="auto"/>
        <w:bottom w:val="none" w:sz="0" w:space="0" w:color="auto"/>
        <w:right w:val="none" w:sz="0" w:space="0" w:color="auto"/>
      </w:divBdr>
    </w:div>
    <w:div w:id="968434364">
      <w:bodyDiv w:val="1"/>
      <w:marLeft w:val="0"/>
      <w:marRight w:val="0"/>
      <w:marTop w:val="0"/>
      <w:marBottom w:val="0"/>
      <w:divBdr>
        <w:top w:val="none" w:sz="0" w:space="0" w:color="auto"/>
        <w:left w:val="none" w:sz="0" w:space="0" w:color="auto"/>
        <w:bottom w:val="none" w:sz="0" w:space="0" w:color="auto"/>
        <w:right w:val="none" w:sz="0" w:space="0" w:color="auto"/>
      </w:divBdr>
    </w:div>
    <w:div w:id="976030721">
      <w:bodyDiv w:val="1"/>
      <w:marLeft w:val="0"/>
      <w:marRight w:val="0"/>
      <w:marTop w:val="0"/>
      <w:marBottom w:val="0"/>
      <w:divBdr>
        <w:top w:val="none" w:sz="0" w:space="0" w:color="auto"/>
        <w:left w:val="none" w:sz="0" w:space="0" w:color="auto"/>
        <w:bottom w:val="none" w:sz="0" w:space="0" w:color="auto"/>
        <w:right w:val="none" w:sz="0" w:space="0" w:color="auto"/>
      </w:divBdr>
    </w:div>
    <w:div w:id="1047560135">
      <w:bodyDiv w:val="1"/>
      <w:marLeft w:val="0"/>
      <w:marRight w:val="0"/>
      <w:marTop w:val="0"/>
      <w:marBottom w:val="0"/>
      <w:divBdr>
        <w:top w:val="none" w:sz="0" w:space="0" w:color="auto"/>
        <w:left w:val="none" w:sz="0" w:space="0" w:color="auto"/>
        <w:bottom w:val="none" w:sz="0" w:space="0" w:color="auto"/>
        <w:right w:val="none" w:sz="0" w:space="0" w:color="auto"/>
      </w:divBdr>
    </w:div>
    <w:div w:id="1166088147">
      <w:bodyDiv w:val="1"/>
      <w:marLeft w:val="0"/>
      <w:marRight w:val="0"/>
      <w:marTop w:val="0"/>
      <w:marBottom w:val="0"/>
      <w:divBdr>
        <w:top w:val="none" w:sz="0" w:space="0" w:color="auto"/>
        <w:left w:val="none" w:sz="0" w:space="0" w:color="auto"/>
        <w:bottom w:val="none" w:sz="0" w:space="0" w:color="auto"/>
        <w:right w:val="none" w:sz="0" w:space="0" w:color="auto"/>
      </w:divBdr>
    </w:div>
    <w:div w:id="1373388218">
      <w:bodyDiv w:val="1"/>
      <w:marLeft w:val="0"/>
      <w:marRight w:val="0"/>
      <w:marTop w:val="0"/>
      <w:marBottom w:val="0"/>
      <w:divBdr>
        <w:top w:val="none" w:sz="0" w:space="0" w:color="auto"/>
        <w:left w:val="none" w:sz="0" w:space="0" w:color="auto"/>
        <w:bottom w:val="none" w:sz="0" w:space="0" w:color="auto"/>
        <w:right w:val="none" w:sz="0" w:space="0" w:color="auto"/>
      </w:divBdr>
    </w:div>
    <w:div w:id="1609894315">
      <w:bodyDiv w:val="1"/>
      <w:marLeft w:val="0"/>
      <w:marRight w:val="0"/>
      <w:marTop w:val="0"/>
      <w:marBottom w:val="0"/>
      <w:divBdr>
        <w:top w:val="none" w:sz="0" w:space="0" w:color="auto"/>
        <w:left w:val="none" w:sz="0" w:space="0" w:color="auto"/>
        <w:bottom w:val="none" w:sz="0" w:space="0" w:color="auto"/>
        <w:right w:val="none" w:sz="0" w:space="0" w:color="auto"/>
      </w:divBdr>
    </w:div>
    <w:div w:id="1866088896">
      <w:bodyDiv w:val="1"/>
      <w:marLeft w:val="0"/>
      <w:marRight w:val="0"/>
      <w:marTop w:val="0"/>
      <w:marBottom w:val="0"/>
      <w:divBdr>
        <w:top w:val="none" w:sz="0" w:space="0" w:color="auto"/>
        <w:left w:val="none" w:sz="0" w:space="0" w:color="auto"/>
        <w:bottom w:val="none" w:sz="0" w:space="0" w:color="auto"/>
        <w:right w:val="none" w:sz="0" w:space="0" w:color="auto"/>
      </w:divBdr>
    </w:div>
    <w:div w:id="1976711251">
      <w:bodyDiv w:val="1"/>
      <w:marLeft w:val="0"/>
      <w:marRight w:val="0"/>
      <w:marTop w:val="0"/>
      <w:marBottom w:val="0"/>
      <w:divBdr>
        <w:top w:val="none" w:sz="0" w:space="0" w:color="auto"/>
        <w:left w:val="none" w:sz="0" w:space="0" w:color="auto"/>
        <w:bottom w:val="none" w:sz="0" w:space="0" w:color="auto"/>
        <w:right w:val="none" w:sz="0" w:space="0" w:color="auto"/>
      </w:divBdr>
    </w:div>
    <w:div w:id="2005349729">
      <w:bodyDiv w:val="1"/>
      <w:marLeft w:val="0"/>
      <w:marRight w:val="0"/>
      <w:marTop w:val="0"/>
      <w:marBottom w:val="0"/>
      <w:divBdr>
        <w:top w:val="none" w:sz="0" w:space="0" w:color="auto"/>
        <w:left w:val="none" w:sz="0" w:space="0" w:color="auto"/>
        <w:bottom w:val="none" w:sz="0" w:space="0" w:color="auto"/>
        <w:right w:val="none" w:sz="0" w:space="0" w:color="auto"/>
      </w:divBdr>
    </w:div>
    <w:div w:id="2076395044">
      <w:bodyDiv w:val="1"/>
      <w:marLeft w:val="0"/>
      <w:marRight w:val="0"/>
      <w:marTop w:val="0"/>
      <w:marBottom w:val="0"/>
      <w:divBdr>
        <w:top w:val="none" w:sz="0" w:space="0" w:color="auto"/>
        <w:left w:val="none" w:sz="0" w:space="0" w:color="auto"/>
        <w:bottom w:val="none" w:sz="0" w:space="0" w:color="auto"/>
        <w:right w:val="none" w:sz="0" w:space="0" w:color="auto"/>
      </w:divBdr>
    </w:div>
    <w:div w:id="2111124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The03</b:Tag>
    <b:SourceType>Report</b:SourceType>
    <b:Guid>{8FF9C412-727A-1647-9322-354338975154}</b:Guid>
    <b:Author>
      <b:Author>
        <b:NameList>
          <b:Person>
            <b:Last>Commission</b:Last>
            <b:First>The</b:First>
            <b:Middle>Law</b:Middle>
          </b:Person>
        </b:NameList>
      </b:Author>
    </b:Author>
    <b:Title>partial defences to murder</b:Title>
    <b:Year>2003</b:Year>
    <b:RefOrder>3</b:RefOrder>
  </b:Source>
  <b:Source>
    <b:Tag>Cha16</b:Tag>
    <b:SourceType>InternetSite</b:SourceType>
    <b:Guid>{9224F860-1FE1-4548-B3B5-2C8110335EBD}</b:Guid>
    <b:Title>Hansard UK Parliment</b:Title>
    <b:Year>2016</b:Year>
    <b:URL>https://hansard.parliament.uk/commons/2016-06-30/debates/D5042476-8A97-4E5F-82BB-5908AB04F0AA/HomicideLawReform</b:URL>
    <b:YearAccessed>2021</b:YearAccessed>
    <b:MonthAccessed>November </b:MonthAccessed>
    <b:DayAccessed>4th</b:DayAccessed>
    <b:Author>
      <b:Author>
        <b:NameList>
          <b:Person>
            <b:Last>Chalk</b:Last>
            <b:First>Alex</b:First>
          </b:Person>
        </b:NameList>
      </b:Author>
    </b:Author>
    <b:RefOrder>4</b:RefOrder>
  </b:Source>
  <b:Source>
    <b:Tag>the05</b:Tag>
    <b:SourceType>DocumentFromInternetSite</b:SourceType>
    <b:Guid>{B4CA5E59-8A6A-4E46-AF5C-D7A4E6652DF2}</b:Guid>
    <b:Author>
      <b:Author>
        <b:NameList>
          <b:Person>
            <b:Last>commission</b:Last>
            <b:First>the</b:First>
            <b:Middle>law</b:Middle>
          </b:Person>
        </b:NameList>
      </b:Author>
    </b:Author>
    <b:Title>lawcom.gov.uk</b:Title>
    <b:URL>http://www.lawcom.gov.uk/app/uploads/2015/03/cp177_Murder_Manslaughter_and_Infanticide_consultation_overview_.pdf</b:URL>
    <b:Year>2005</b:Year>
    <b:Month>november</b:Month>
    <b:Day>28th</b:Day>
    <b:YearAccessed>2021</b:YearAccessed>
    <b:MonthAccessed>november</b:MonthAccessed>
    <b:DayAccessed>4th</b:DayAccessed>
    <b:RefOrder>1</b:RefOrder>
  </b:Source>
  <b:Source>
    <b:Tag>min10</b:Tag>
    <b:SourceType>DocumentFromInternetSite</b:SourceType>
    <b:Guid>{DC259835-C381-B844-B0D0-7F4B473FC051}</b:Guid>
    <b:Title>justice.gov.uk</b:Title>
    <b:URL>https://www.justice.gov.uk/downloads/legislation/bills-acts/circulars/moj/2010/circular-12-2010-coroners-justice-act-homicide-provisions.pdf</b:URL>
    <b:Year>2010</b:Year>
    <b:Month>october</b:Month>
    <b:Day>4th</b:Day>
    <b:YearAccessed>2021</b:YearAccessed>
    <b:MonthAccessed>november</b:MonthAccessed>
    <b:DayAccessed>4th</b:DayAccessed>
    <b:Author>
      <b:Author>
        <b:NameList>
          <b:Person>
            <b:Last>justcie</b:Last>
            <b:First>ministry</b:First>
            <b:Middle>of</b:Middle>
          </b:Person>
        </b:NameList>
      </b:Author>
    </b:Author>
    <b:RefOrder>2</b:RefOrder>
  </b:Source>
</b:Sources>
</file>

<file path=customXml/itemProps1.xml><?xml version="1.0" encoding="utf-8"?>
<ds:datastoreItem xmlns:ds="http://schemas.openxmlformats.org/officeDocument/2006/customXml" ds:itemID="{9FBDFCF3-37D5-034D-8ED7-5872D21FC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1343</Words>
  <Characters>7659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Howes</dc:creator>
  <cp:keywords/>
  <dc:description/>
  <cp:lastModifiedBy>Maddie Howes</cp:lastModifiedBy>
  <cp:revision>2</cp:revision>
  <dcterms:created xsi:type="dcterms:W3CDTF">2021-11-05T16:08:00Z</dcterms:created>
  <dcterms:modified xsi:type="dcterms:W3CDTF">2021-11-05T16:08:00Z</dcterms:modified>
</cp:coreProperties>
</file>