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CF499" w14:textId="77777777" w:rsidR="00C071FB" w:rsidRPr="00C071FB" w:rsidRDefault="00C071FB" w:rsidP="00C071FB">
      <w:pPr>
        <w:jc w:val="center"/>
        <w:rPr>
          <w:rFonts w:ascii="Arial" w:hAnsi="Arial" w:cs="Arial"/>
        </w:rPr>
      </w:pPr>
      <w:r w:rsidRPr="00C071FB">
        <w:rPr>
          <w:rFonts w:ascii="Arial" w:hAnsi="Arial" w:cs="Arial"/>
          <w:b/>
          <w:bCs/>
        </w:rPr>
        <w:t>Vodafone UK Strategic Growth Report</w:t>
      </w:r>
    </w:p>
    <w:p w14:paraId="20227662" w14:textId="7DB3B00A" w:rsidR="004C79C8" w:rsidRPr="00C071FB" w:rsidRDefault="00C071FB" w:rsidP="00C071FB">
      <w:pPr>
        <w:spacing w:line="360" w:lineRule="auto"/>
        <w:jc w:val="center"/>
        <w:rPr>
          <w:rFonts w:ascii="Arial" w:hAnsi="Arial" w:cs="Arial"/>
          <w:b/>
          <w:bCs/>
        </w:rPr>
      </w:pPr>
      <w:r w:rsidRPr="00C071FB">
        <w:rPr>
          <w:rFonts w:ascii="Arial" w:hAnsi="Arial" w:cs="Arial"/>
          <w:b/>
          <w:bCs/>
        </w:rPr>
        <w:t>Strategic Management for Business</w:t>
      </w:r>
    </w:p>
    <w:p w14:paraId="4766DC93" w14:textId="67C5FD2B" w:rsidR="00C071FB" w:rsidRPr="00C071FB" w:rsidRDefault="00C071FB" w:rsidP="00C071FB">
      <w:pPr>
        <w:spacing w:line="360" w:lineRule="auto"/>
        <w:jc w:val="center"/>
        <w:rPr>
          <w:rFonts w:ascii="Arial" w:hAnsi="Arial" w:cs="Arial"/>
          <w:b/>
          <w:bCs/>
        </w:rPr>
      </w:pPr>
      <w:r w:rsidRPr="00C071FB">
        <w:rPr>
          <w:rFonts w:ascii="Arial" w:hAnsi="Arial" w:cs="Arial"/>
          <w:b/>
          <w:bCs/>
        </w:rPr>
        <w:t>Individual Report</w:t>
      </w:r>
    </w:p>
    <w:p w14:paraId="3B35368B" w14:textId="037A3556" w:rsidR="00C071FB" w:rsidRDefault="00C071FB" w:rsidP="00C071FB">
      <w:pPr>
        <w:spacing w:line="360" w:lineRule="auto"/>
        <w:jc w:val="center"/>
        <w:rPr>
          <w:rFonts w:ascii="Arial" w:hAnsi="Arial" w:cs="Arial"/>
          <w:b/>
          <w:bCs/>
        </w:rPr>
      </w:pPr>
      <w:r w:rsidRPr="00C071FB">
        <w:rPr>
          <w:rFonts w:ascii="Arial" w:hAnsi="Arial" w:cs="Arial"/>
          <w:b/>
          <w:bCs/>
        </w:rPr>
        <w:t>LCLM 6001</w:t>
      </w:r>
    </w:p>
    <w:p w14:paraId="291FE5EA" w14:textId="1567C9DD" w:rsidR="00C071FB" w:rsidRPr="00C071FB" w:rsidRDefault="00C071FB" w:rsidP="00C071FB">
      <w:pPr>
        <w:spacing w:line="360" w:lineRule="auto"/>
        <w:jc w:val="center"/>
        <w:rPr>
          <w:rFonts w:ascii="Arial" w:hAnsi="Arial" w:cs="Arial"/>
          <w:b/>
          <w:bCs/>
        </w:rPr>
      </w:pPr>
      <w:r>
        <w:rPr>
          <w:rFonts w:ascii="Arial" w:hAnsi="Arial" w:cs="Arial"/>
          <w:b/>
          <w:bCs/>
        </w:rPr>
        <w:t>Teacher Assadullah Memon</w:t>
      </w:r>
    </w:p>
    <w:p w14:paraId="33EF76FC" w14:textId="43B0FD72" w:rsidR="00C071FB" w:rsidRPr="00C071FB" w:rsidRDefault="00C071FB" w:rsidP="00C071FB">
      <w:pPr>
        <w:spacing w:line="360" w:lineRule="auto"/>
        <w:jc w:val="center"/>
        <w:rPr>
          <w:rFonts w:ascii="Arial" w:hAnsi="Arial" w:cs="Arial"/>
          <w:b/>
          <w:bCs/>
        </w:rPr>
      </w:pPr>
      <w:r w:rsidRPr="00C071FB">
        <w:rPr>
          <w:rFonts w:ascii="Arial" w:hAnsi="Arial" w:cs="Arial"/>
          <w:b/>
          <w:bCs/>
        </w:rPr>
        <w:t>Claudio Alejandro Frangione</w:t>
      </w:r>
    </w:p>
    <w:p w14:paraId="7BF632D9" w14:textId="1F7ADD78" w:rsidR="00C071FB" w:rsidRPr="00C071FB" w:rsidRDefault="00C071FB" w:rsidP="00C071FB">
      <w:pPr>
        <w:spacing w:line="360" w:lineRule="auto"/>
        <w:jc w:val="center"/>
        <w:rPr>
          <w:rFonts w:ascii="Arial" w:hAnsi="Arial" w:cs="Arial"/>
          <w:b/>
          <w:bCs/>
        </w:rPr>
      </w:pPr>
      <w:r w:rsidRPr="00C071FB">
        <w:rPr>
          <w:rFonts w:ascii="Arial" w:hAnsi="Arial" w:cs="Arial"/>
          <w:b/>
          <w:bCs/>
        </w:rPr>
        <w:t>Student ID 2331914</w:t>
      </w:r>
    </w:p>
    <w:p w14:paraId="345BD79F" w14:textId="77777777" w:rsidR="00C071FB" w:rsidRDefault="00C071FB"/>
    <w:p w14:paraId="57C0634E" w14:textId="77777777" w:rsidR="00C071FB" w:rsidRDefault="00C071FB"/>
    <w:p w14:paraId="467647A5" w14:textId="77777777" w:rsidR="00C071FB" w:rsidRDefault="00C071FB"/>
    <w:p w14:paraId="2BEB994F" w14:textId="77777777" w:rsidR="00C071FB" w:rsidRDefault="00C071FB"/>
    <w:p w14:paraId="2F66199A" w14:textId="77777777" w:rsidR="00C071FB" w:rsidRDefault="00C071FB"/>
    <w:p w14:paraId="06F41983" w14:textId="77777777" w:rsidR="00C071FB" w:rsidRDefault="00C071FB"/>
    <w:p w14:paraId="14D0E821" w14:textId="77777777" w:rsidR="00C071FB" w:rsidRDefault="00C071FB"/>
    <w:p w14:paraId="398A88F5" w14:textId="77777777" w:rsidR="00C071FB" w:rsidRDefault="00C071FB"/>
    <w:p w14:paraId="40E6E8BB" w14:textId="77777777" w:rsidR="00C071FB" w:rsidRDefault="00C071FB"/>
    <w:p w14:paraId="1107E4BA" w14:textId="77777777" w:rsidR="00C071FB" w:rsidRDefault="00C071FB"/>
    <w:p w14:paraId="4BCB188D" w14:textId="77777777" w:rsidR="00C071FB" w:rsidRDefault="00C071FB"/>
    <w:p w14:paraId="5C2AC63E" w14:textId="77777777" w:rsidR="00C071FB" w:rsidRDefault="00C071FB"/>
    <w:p w14:paraId="69BF6EBF" w14:textId="77777777" w:rsidR="00C071FB" w:rsidRDefault="00C071FB"/>
    <w:p w14:paraId="0F6ECC6F" w14:textId="77777777" w:rsidR="00C071FB" w:rsidRDefault="00C071FB"/>
    <w:p w14:paraId="6F870612" w14:textId="77777777" w:rsidR="00C071FB" w:rsidRDefault="00C071FB"/>
    <w:p w14:paraId="7DA0F771" w14:textId="77777777" w:rsidR="00C071FB" w:rsidRDefault="00C071FB"/>
    <w:p w14:paraId="276FC555" w14:textId="77777777" w:rsidR="00C071FB" w:rsidRDefault="00C071FB"/>
    <w:p w14:paraId="33D6C771" w14:textId="77777777" w:rsidR="00C071FB" w:rsidRDefault="00C071FB"/>
    <w:p w14:paraId="1D71CCAF" w14:textId="77777777" w:rsidR="00C071FB" w:rsidRDefault="00C071FB"/>
    <w:p w14:paraId="46C3DA50" w14:textId="77777777" w:rsidR="00C071FB" w:rsidRPr="00C071FB" w:rsidRDefault="00C071FB" w:rsidP="00C071FB"/>
    <w:sdt>
      <w:sdtPr>
        <w:id w:val="1656869717"/>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47AA3C5F" w14:textId="5608F9B7" w:rsidR="00391CF6" w:rsidRPr="00391CF6" w:rsidRDefault="00391CF6" w:rsidP="00391CF6">
          <w:pPr>
            <w:pStyle w:val="TOCHeading"/>
            <w:spacing w:line="360" w:lineRule="auto"/>
            <w:rPr>
              <w:rFonts w:ascii="Arial" w:hAnsi="Arial" w:cs="Arial"/>
              <w:sz w:val="24"/>
              <w:szCs w:val="24"/>
            </w:rPr>
          </w:pPr>
          <w:r w:rsidRPr="00391CF6">
            <w:rPr>
              <w:rFonts w:ascii="Arial" w:hAnsi="Arial" w:cs="Arial"/>
              <w:sz w:val="24"/>
              <w:szCs w:val="24"/>
            </w:rPr>
            <w:t>Table of Contents</w:t>
          </w:r>
        </w:p>
        <w:p w14:paraId="593BBF51" w14:textId="3A1CFE8D" w:rsidR="00391CF6" w:rsidRDefault="00391CF6">
          <w:pPr>
            <w:pStyle w:val="TOC1"/>
            <w:tabs>
              <w:tab w:val="right" w:leader="dot" w:pos="9016"/>
            </w:tabs>
            <w:rPr>
              <w:rFonts w:eastAsiaTheme="minorEastAsia"/>
              <w:noProof/>
              <w:lang w:eastAsia="en-GB"/>
            </w:rPr>
          </w:pPr>
          <w:r w:rsidRPr="00391CF6">
            <w:rPr>
              <w:rFonts w:ascii="Arial" w:hAnsi="Arial" w:cs="Arial"/>
            </w:rPr>
            <w:fldChar w:fldCharType="begin"/>
          </w:r>
          <w:r w:rsidRPr="00391CF6">
            <w:rPr>
              <w:rFonts w:ascii="Arial" w:hAnsi="Arial" w:cs="Arial"/>
            </w:rPr>
            <w:instrText xml:space="preserve"> TOC \o "1-3" \h \z \u </w:instrText>
          </w:r>
          <w:r w:rsidRPr="00391CF6">
            <w:rPr>
              <w:rFonts w:ascii="Arial" w:hAnsi="Arial" w:cs="Arial"/>
            </w:rPr>
            <w:fldChar w:fldCharType="separate"/>
          </w:r>
          <w:hyperlink w:anchor="_Toc234597010" w:history="1">
            <w:r w:rsidRPr="00FB5DB9">
              <w:rPr>
                <w:rStyle w:val="Hyperlink"/>
                <w:noProof/>
              </w:rPr>
              <w:t>1. Executive Summary</w:t>
            </w:r>
            <w:r>
              <w:rPr>
                <w:noProof/>
                <w:webHidden/>
              </w:rPr>
              <w:tab/>
            </w:r>
            <w:r>
              <w:rPr>
                <w:noProof/>
                <w:webHidden/>
              </w:rPr>
              <w:fldChar w:fldCharType="begin"/>
            </w:r>
            <w:r>
              <w:rPr>
                <w:noProof/>
                <w:webHidden/>
              </w:rPr>
              <w:instrText xml:space="preserve"> PAGEREF _Toc234597010 \h </w:instrText>
            </w:r>
            <w:r>
              <w:rPr>
                <w:noProof/>
                <w:webHidden/>
              </w:rPr>
            </w:r>
            <w:r>
              <w:rPr>
                <w:noProof/>
                <w:webHidden/>
              </w:rPr>
              <w:fldChar w:fldCharType="separate"/>
            </w:r>
            <w:r>
              <w:rPr>
                <w:noProof/>
                <w:webHidden/>
              </w:rPr>
              <w:t>3</w:t>
            </w:r>
            <w:r>
              <w:rPr>
                <w:noProof/>
                <w:webHidden/>
              </w:rPr>
              <w:fldChar w:fldCharType="end"/>
            </w:r>
          </w:hyperlink>
        </w:p>
        <w:p w14:paraId="64277BD6" w14:textId="0A634677" w:rsidR="00391CF6" w:rsidRDefault="00391CF6">
          <w:pPr>
            <w:pStyle w:val="TOC1"/>
            <w:tabs>
              <w:tab w:val="right" w:leader="dot" w:pos="9016"/>
            </w:tabs>
            <w:rPr>
              <w:rFonts w:eastAsiaTheme="minorEastAsia"/>
              <w:noProof/>
              <w:lang w:eastAsia="en-GB"/>
            </w:rPr>
          </w:pPr>
          <w:hyperlink w:anchor="_Toc234597011" w:history="1">
            <w:r w:rsidRPr="00FB5DB9">
              <w:rPr>
                <w:rStyle w:val="Hyperlink"/>
                <w:noProof/>
              </w:rPr>
              <w:t>2. Introduction to Vodafone</w:t>
            </w:r>
            <w:r>
              <w:rPr>
                <w:noProof/>
                <w:webHidden/>
              </w:rPr>
              <w:tab/>
            </w:r>
            <w:r>
              <w:rPr>
                <w:noProof/>
                <w:webHidden/>
              </w:rPr>
              <w:fldChar w:fldCharType="begin"/>
            </w:r>
            <w:r>
              <w:rPr>
                <w:noProof/>
                <w:webHidden/>
              </w:rPr>
              <w:instrText xml:space="preserve"> PAGEREF _Toc234597011 \h </w:instrText>
            </w:r>
            <w:r>
              <w:rPr>
                <w:noProof/>
                <w:webHidden/>
              </w:rPr>
            </w:r>
            <w:r>
              <w:rPr>
                <w:noProof/>
                <w:webHidden/>
              </w:rPr>
              <w:fldChar w:fldCharType="separate"/>
            </w:r>
            <w:r>
              <w:rPr>
                <w:noProof/>
                <w:webHidden/>
              </w:rPr>
              <w:t>3</w:t>
            </w:r>
            <w:r>
              <w:rPr>
                <w:noProof/>
                <w:webHidden/>
              </w:rPr>
              <w:fldChar w:fldCharType="end"/>
            </w:r>
          </w:hyperlink>
        </w:p>
        <w:p w14:paraId="59C6B2C8" w14:textId="299974BB" w:rsidR="00391CF6" w:rsidRDefault="00391CF6">
          <w:pPr>
            <w:pStyle w:val="TOC1"/>
            <w:tabs>
              <w:tab w:val="right" w:leader="dot" w:pos="9016"/>
            </w:tabs>
            <w:rPr>
              <w:rFonts w:eastAsiaTheme="minorEastAsia"/>
              <w:noProof/>
              <w:lang w:eastAsia="en-GB"/>
            </w:rPr>
          </w:pPr>
          <w:hyperlink w:anchor="_Toc234597012" w:history="1">
            <w:r w:rsidRPr="00FB5DB9">
              <w:rPr>
                <w:rStyle w:val="Hyperlink"/>
                <w:noProof/>
              </w:rPr>
              <w:t>3. Evaluation of Current Market Situation</w:t>
            </w:r>
            <w:r>
              <w:rPr>
                <w:noProof/>
                <w:webHidden/>
              </w:rPr>
              <w:tab/>
            </w:r>
            <w:r>
              <w:rPr>
                <w:noProof/>
                <w:webHidden/>
              </w:rPr>
              <w:fldChar w:fldCharType="begin"/>
            </w:r>
            <w:r>
              <w:rPr>
                <w:noProof/>
                <w:webHidden/>
              </w:rPr>
              <w:instrText xml:space="preserve"> PAGEREF _Toc234597012 \h </w:instrText>
            </w:r>
            <w:r>
              <w:rPr>
                <w:noProof/>
                <w:webHidden/>
              </w:rPr>
            </w:r>
            <w:r>
              <w:rPr>
                <w:noProof/>
                <w:webHidden/>
              </w:rPr>
              <w:fldChar w:fldCharType="separate"/>
            </w:r>
            <w:r>
              <w:rPr>
                <w:noProof/>
                <w:webHidden/>
              </w:rPr>
              <w:t>4</w:t>
            </w:r>
            <w:r>
              <w:rPr>
                <w:noProof/>
                <w:webHidden/>
              </w:rPr>
              <w:fldChar w:fldCharType="end"/>
            </w:r>
          </w:hyperlink>
        </w:p>
        <w:p w14:paraId="36C58E08" w14:textId="06BF9CD3" w:rsidR="00391CF6" w:rsidRDefault="00391CF6">
          <w:pPr>
            <w:pStyle w:val="TOC2"/>
            <w:tabs>
              <w:tab w:val="right" w:leader="dot" w:pos="9016"/>
            </w:tabs>
            <w:rPr>
              <w:rFonts w:eastAsiaTheme="minorEastAsia"/>
              <w:noProof/>
              <w:lang w:eastAsia="en-GB"/>
            </w:rPr>
          </w:pPr>
          <w:hyperlink w:anchor="_Toc234597013" w:history="1">
            <w:r w:rsidRPr="00FB5DB9">
              <w:rPr>
                <w:rStyle w:val="Hyperlink"/>
                <w:noProof/>
              </w:rPr>
              <w:t>3.1 PESTEL Analysis</w:t>
            </w:r>
            <w:r>
              <w:rPr>
                <w:noProof/>
                <w:webHidden/>
              </w:rPr>
              <w:tab/>
            </w:r>
            <w:r>
              <w:rPr>
                <w:noProof/>
                <w:webHidden/>
              </w:rPr>
              <w:fldChar w:fldCharType="begin"/>
            </w:r>
            <w:r>
              <w:rPr>
                <w:noProof/>
                <w:webHidden/>
              </w:rPr>
              <w:instrText xml:space="preserve"> PAGEREF _Toc234597013 \h </w:instrText>
            </w:r>
            <w:r>
              <w:rPr>
                <w:noProof/>
                <w:webHidden/>
              </w:rPr>
            </w:r>
            <w:r>
              <w:rPr>
                <w:noProof/>
                <w:webHidden/>
              </w:rPr>
              <w:fldChar w:fldCharType="separate"/>
            </w:r>
            <w:r>
              <w:rPr>
                <w:noProof/>
                <w:webHidden/>
              </w:rPr>
              <w:t>4</w:t>
            </w:r>
            <w:r>
              <w:rPr>
                <w:noProof/>
                <w:webHidden/>
              </w:rPr>
              <w:fldChar w:fldCharType="end"/>
            </w:r>
          </w:hyperlink>
        </w:p>
        <w:p w14:paraId="53E6878C" w14:textId="373F6F47" w:rsidR="00391CF6" w:rsidRDefault="00391CF6">
          <w:pPr>
            <w:pStyle w:val="TOC2"/>
            <w:tabs>
              <w:tab w:val="right" w:leader="dot" w:pos="9016"/>
            </w:tabs>
            <w:rPr>
              <w:rFonts w:eastAsiaTheme="minorEastAsia"/>
              <w:noProof/>
              <w:lang w:eastAsia="en-GB"/>
            </w:rPr>
          </w:pPr>
          <w:hyperlink w:anchor="_Toc234597014" w:history="1">
            <w:r w:rsidRPr="00FB5DB9">
              <w:rPr>
                <w:rStyle w:val="Hyperlink"/>
                <w:noProof/>
              </w:rPr>
              <w:t>3.2 Porter’s Five Forces</w:t>
            </w:r>
            <w:r>
              <w:rPr>
                <w:noProof/>
                <w:webHidden/>
              </w:rPr>
              <w:tab/>
            </w:r>
            <w:r>
              <w:rPr>
                <w:noProof/>
                <w:webHidden/>
              </w:rPr>
              <w:fldChar w:fldCharType="begin"/>
            </w:r>
            <w:r>
              <w:rPr>
                <w:noProof/>
                <w:webHidden/>
              </w:rPr>
              <w:instrText xml:space="preserve"> PAGEREF _Toc234597014 \h </w:instrText>
            </w:r>
            <w:r>
              <w:rPr>
                <w:noProof/>
                <w:webHidden/>
              </w:rPr>
            </w:r>
            <w:r>
              <w:rPr>
                <w:noProof/>
                <w:webHidden/>
              </w:rPr>
              <w:fldChar w:fldCharType="separate"/>
            </w:r>
            <w:r>
              <w:rPr>
                <w:noProof/>
                <w:webHidden/>
              </w:rPr>
              <w:t>5</w:t>
            </w:r>
            <w:r>
              <w:rPr>
                <w:noProof/>
                <w:webHidden/>
              </w:rPr>
              <w:fldChar w:fldCharType="end"/>
            </w:r>
          </w:hyperlink>
        </w:p>
        <w:p w14:paraId="4DEADA01" w14:textId="766FA359" w:rsidR="00391CF6" w:rsidRDefault="00391CF6">
          <w:pPr>
            <w:pStyle w:val="TOC2"/>
            <w:tabs>
              <w:tab w:val="right" w:leader="dot" w:pos="9016"/>
            </w:tabs>
            <w:rPr>
              <w:rFonts w:eastAsiaTheme="minorEastAsia"/>
              <w:noProof/>
              <w:lang w:eastAsia="en-GB"/>
            </w:rPr>
          </w:pPr>
          <w:hyperlink w:anchor="_Toc234597015" w:history="1">
            <w:r w:rsidRPr="00FB5DB9">
              <w:rPr>
                <w:rStyle w:val="Hyperlink"/>
                <w:noProof/>
              </w:rPr>
              <w:t>3.3 SWOT Analysis</w:t>
            </w:r>
            <w:r>
              <w:rPr>
                <w:noProof/>
                <w:webHidden/>
              </w:rPr>
              <w:tab/>
            </w:r>
            <w:r>
              <w:rPr>
                <w:noProof/>
                <w:webHidden/>
              </w:rPr>
              <w:fldChar w:fldCharType="begin"/>
            </w:r>
            <w:r>
              <w:rPr>
                <w:noProof/>
                <w:webHidden/>
              </w:rPr>
              <w:instrText xml:space="preserve"> PAGEREF _Toc234597015 \h </w:instrText>
            </w:r>
            <w:r>
              <w:rPr>
                <w:noProof/>
                <w:webHidden/>
              </w:rPr>
            </w:r>
            <w:r>
              <w:rPr>
                <w:noProof/>
                <w:webHidden/>
              </w:rPr>
              <w:fldChar w:fldCharType="separate"/>
            </w:r>
            <w:r>
              <w:rPr>
                <w:noProof/>
                <w:webHidden/>
              </w:rPr>
              <w:t>6</w:t>
            </w:r>
            <w:r>
              <w:rPr>
                <w:noProof/>
                <w:webHidden/>
              </w:rPr>
              <w:fldChar w:fldCharType="end"/>
            </w:r>
          </w:hyperlink>
        </w:p>
        <w:p w14:paraId="45BA3187" w14:textId="60AE66F3" w:rsidR="00391CF6" w:rsidRDefault="00391CF6">
          <w:pPr>
            <w:pStyle w:val="TOC1"/>
            <w:tabs>
              <w:tab w:val="right" w:leader="dot" w:pos="9016"/>
            </w:tabs>
            <w:rPr>
              <w:rFonts w:eastAsiaTheme="minorEastAsia"/>
              <w:noProof/>
              <w:lang w:eastAsia="en-GB"/>
            </w:rPr>
          </w:pPr>
          <w:hyperlink w:anchor="_Toc234597016" w:history="1">
            <w:r w:rsidRPr="00FB5DB9">
              <w:rPr>
                <w:rStyle w:val="Hyperlink"/>
                <w:noProof/>
              </w:rPr>
              <w:t>4. Strategic Growth Options and Proposed Strategy</w:t>
            </w:r>
            <w:r>
              <w:rPr>
                <w:noProof/>
                <w:webHidden/>
              </w:rPr>
              <w:tab/>
            </w:r>
            <w:r>
              <w:rPr>
                <w:noProof/>
                <w:webHidden/>
              </w:rPr>
              <w:fldChar w:fldCharType="begin"/>
            </w:r>
            <w:r>
              <w:rPr>
                <w:noProof/>
                <w:webHidden/>
              </w:rPr>
              <w:instrText xml:space="preserve"> PAGEREF _Toc234597016 \h </w:instrText>
            </w:r>
            <w:r>
              <w:rPr>
                <w:noProof/>
                <w:webHidden/>
              </w:rPr>
            </w:r>
            <w:r>
              <w:rPr>
                <w:noProof/>
                <w:webHidden/>
              </w:rPr>
              <w:fldChar w:fldCharType="separate"/>
            </w:r>
            <w:r>
              <w:rPr>
                <w:noProof/>
                <w:webHidden/>
              </w:rPr>
              <w:t>6</w:t>
            </w:r>
            <w:r>
              <w:rPr>
                <w:noProof/>
                <w:webHidden/>
              </w:rPr>
              <w:fldChar w:fldCharType="end"/>
            </w:r>
          </w:hyperlink>
        </w:p>
        <w:p w14:paraId="130AE7BB" w14:textId="111CF122" w:rsidR="00391CF6" w:rsidRDefault="00391CF6">
          <w:pPr>
            <w:pStyle w:val="TOC1"/>
            <w:tabs>
              <w:tab w:val="right" w:leader="dot" w:pos="9016"/>
            </w:tabs>
            <w:rPr>
              <w:rFonts w:eastAsiaTheme="minorEastAsia"/>
              <w:noProof/>
              <w:lang w:eastAsia="en-GB"/>
            </w:rPr>
          </w:pPr>
          <w:hyperlink w:anchor="_Toc234597017" w:history="1">
            <w:r w:rsidRPr="00FB5DB9">
              <w:rPr>
                <w:rStyle w:val="Hyperlink"/>
                <w:noProof/>
              </w:rPr>
              <w:t>5. Strategy Evaluation</w:t>
            </w:r>
            <w:r>
              <w:rPr>
                <w:noProof/>
                <w:webHidden/>
              </w:rPr>
              <w:tab/>
            </w:r>
            <w:r>
              <w:rPr>
                <w:noProof/>
                <w:webHidden/>
              </w:rPr>
              <w:fldChar w:fldCharType="begin"/>
            </w:r>
            <w:r>
              <w:rPr>
                <w:noProof/>
                <w:webHidden/>
              </w:rPr>
              <w:instrText xml:space="preserve"> PAGEREF _Toc234597017 \h </w:instrText>
            </w:r>
            <w:r>
              <w:rPr>
                <w:noProof/>
                <w:webHidden/>
              </w:rPr>
            </w:r>
            <w:r>
              <w:rPr>
                <w:noProof/>
                <w:webHidden/>
              </w:rPr>
              <w:fldChar w:fldCharType="separate"/>
            </w:r>
            <w:r>
              <w:rPr>
                <w:noProof/>
                <w:webHidden/>
              </w:rPr>
              <w:t>8</w:t>
            </w:r>
            <w:r>
              <w:rPr>
                <w:noProof/>
                <w:webHidden/>
              </w:rPr>
              <w:fldChar w:fldCharType="end"/>
            </w:r>
          </w:hyperlink>
        </w:p>
        <w:p w14:paraId="2468A2B0" w14:textId="324324FD" w:rsidR="00391CF6" w:rsidRDefault="00391CF6">
          <w:pPr>
            <w:pStyle w:val="TOC1"/>
            <w:tabs>
              <w:tab w:val="right" w:leader="dot" w:pos="9016"/>
            </w:tabs>
            <w:rPr>
              <w:rFonts w:eastAsiaTheme="minorEastAsia"/>
              <w:noProof/>
              <w:lang w:eastAsia="en-GB"/>
            </w:rPr>
          </w:pPr>
          <w:hyperlink w:anchor="_Toc234597018" w:history="1">
            <w:r w:rsidRPr="00FB5DB9">
              <w:rPr>
                <w:rStyle w:val="Hyperlink"/>
                <w:noProof/>
              </w:rPr>
              <w:t>6. Stakeholder Analysis</w:t>
            </w:r>
            <w:r>
              <w:rPr>
                <w:noProof/>
                <w:webHidden/>
              </w:rPr>
              <w:tab/>
            </w:r>
            <w:r>
              <w:rPr>
                <w:noProof/>
                <w:webHidden/>
              </w:rPr>
              <w:fldChar w:fldCharType="begin"/>
            </w:r>
            <w:r>
              <w:rPr>
                <w:noProof/>
                <w:webHidden/>
              </w:rPr>
              <w:instrText xml:space="preserve"> PAGEREF _Toc234597018 \h </w:instrText>
            </w:r>
            <w:r>
              <w:rPr>
                <w:noProof/>
                <w:webHidden/>
              </w:rPr>
            </w:r>
            <w:r>
              <w:rPr>
                <w:noProof/>
                <w:webHidden/>
              </w:rPr>
              <w:fldChar w:fldCharType="separate"/>
            </w:r>
            <w:r>
              <w:rPr>
                <w:noProof/>
                <w:webHidden/>
              </w:rPr>
              <w:t>9</w:t>
            </w:r>
            <w:r>
              <w:rPr>
                <w:noProof/>
                <w:webHidden/>
              </w:rPr>
              <w:fldChar w:fldCharType="end"/>
            </w:r>
          </w:hyperlink>
        </w:p>
        <w:p w14:paraId="5D3604CA" w14:textId="697316F2" w:rsidR="00391CF6" w:rsidRDefault="00391CF6">
          <w:pPr>
            <w:pStyle w:val="TOC1"/>
            <w:tabs>
              <w:tab w:val="right" w:leader="dot" w:pos="9016"/>
            </w:tabs>
            <w:rPr>
              <w:rFonts w:eastAsiaTheme="minorEastAsia"/>
              <w:noProof/>
              <w:lang w:eastAsia="en-GB"/>
            </w:rPr>
          </w:pPr>
          <w:hyperlink w:anchor="_Toc234597019" w:history="1">
            <w:r w:rsidRPr="00FB5DB9">
              <w:rPr>
                <w:rStyle w:val="Hyperlink"/>
                <w:noProof/>
              </w:rPr>
              <w:t>8. Conclusion</w:t>
            </w:r>
            <w:r>
              <w:rPr>
                <w:noProof/>
                <w:webHidden/>
              </w:rPr>
              <w:tab/>
            </w:r>
            <w:r>
              <w:rPr>
                <w:noProof/>
                <w:webHidden/>
              </w:rPr>
              <w:fldChar w:fldCharType="begin"/>
            </w:r>
            <w:r>
              <w:rPr>
                <w:noProof/>
                <w:webHidden/>
              </w:rPr>
              <w:instrText xml:space="preserve"> PAGEREF _Toc234597019 \h </w:instrText>
            </w:r>
            <w:r>
              <w:rPr>
                <w:noProof/>
                <w:webHidden/>
              </w:rPr>
            </w:r>
            <w:r>
              <w:rPr>
                <w:noProof/>
                <w:webHidden/>
              </w:rPr>
              <w:fldChar w:fldCharType="separate"/>
            </w:r>
            <w:r>
              <w:rPr>
                <w:noProof/>
                <w:webHidden/>
              </w:rPr>
              <w:t>10</w:t>
            </w:r>
            <w:r>
              <w:rPr>
                <w:noProof/>
                <w:webHidden/>
              </w:rPr>
              <w:fldChar w:fldCharType="end"/>
            </w:r>
          </w:hyperlink>
        </w:p>
        <w:p w14:paraId="7C62A4D4" w14:textId="77367B40" w:rsidR="00391CF6" w:rsidRDefault="00391CF6">
          <w:pPr>
            <w:pStyle w:val="TOC1"/>
            <w:tabs>
              <w:tab w:val="right" w:leader="dot" w:pos="9016"/>
            </w:tabs>
            <w:rPr>
              <w:rFonts w:eastAsiaTheme="minorEastAsia"/>
              <w:noProof/>
              <w:lang w:eastAsia="en-GB"/>
            </w:rPr>
          </w:pPr>
          <w:hyperlink w:anchor="_Toc234597020" w:history="1">
            <w:r w:rsidRPr="00FB5DB9">
              <w:rPr>
                <w:rStyle w:val="Hyperlink"/>
                <w:noProof/>
              </w:rPr>
              <w:t>Reference List</w:t>
            </w:r>
            <w:r>
              <w:rPr>
                <w:noProof/>
                <w:webHidden/>
              </w:rPr>
              <w:tab/>
            </w:r>
            <w:r>
              <w:rPr>
                <w:noProof/>
                <w:webHidden/>
              </w:rPr>
              <w:fldChar w:fldCharType="begin"/>
            </w:r>
            <w:r>
              <w:rPr>
                <w:noProof/>
                <w:webHidden/>
              </w:rPr>
              <w:instrText xml:space="preserve"> PAGEREF _Toc234597020 \h </w:instrText>
            </w:r>
            <w:r>
              <w:rPr>
                <w:noProof/>
                <w:webHidden/>
              </w:rPr>
            </w:r>
            <w:r>
              <w:rPr>
                <w:noProof/>
                <w:webHidden/>
              </w:rPr>
              <w:fldChar w:fldCharType="separate"/>
            </w:r>
            <w:r>
              <w:rPr>
                <w:noProof/>
                <w:webHidden/>
              </w:rPr>
              <w:t>11</w:t>
            </w:r>
            <w:r>
              <w:rPr>
                <w:noProof/>
                <w:webHidden/>
              </w:rPr>
              <w:fldChar w:fldCharType="end"/>
            </w:r>
          </w:hyperlink>
        </w:p>
        <w:p w14:paraId="68DAE0C6" w14:textId="6F5A44FC" w:rsidR="00391CF6" w:rsidRDefault="00391CF6" w:rsidP="00391CF6">
          <w:pPr>
            <w:spacing w:line="360" w:lineRule="auto"/>
          </w:pPr>
          <w:r w:rsidRPr="00391CF6">
            <w:rPr>
              <w:rFonts w:ascii="Arial" w:hAnsi="Arial" w:cs="Arial"/>
              <w:b/>
              <w:bCs/>
              <w:noProof/>
            </w:rPr>
            <w:fldChar w:fldCharType="end"/>
          </w:r>
        </w:p>
      </w:sdtContent>
    </w:sdt>
    <w:p w14:paraId="7D928CDC" w14:textId="77777777" w:rsidR="00391CF6" w:rsidRDefault="00391CF6" w:rsidP="00C071FB">
      <w:pPr>
        <w:spacing w:line="360" w:lineRule="auto"/>
        <w:rPr>
          <w:rFonts w:ascii="Arial" w:hAnsi="Arial" w:cs="Arial"/>
          <w:b/>
          <w:bCs/>
          <w:sz w:val="22"/>
          <w:szCs w:val="22"/>
        </w:rPr>
      </w:pPr>
    </w:p>
    <w:p w14:paraId="093795DD" w14:textId="77777777" w:rsidR="00391CF6" w:rsidRDefault="00391CF6" w:rsidP="00C071FB">
      <w:pPr>
        <w:spacing w:line="360" w:lineRule="auto"/>
        <w:rPr>
          <w:rFonts w:ascii="Arial" w:hAnsi="Arial" w:cs="Arial"/>
          <w:b/>
          <w:bCs/>
          <w:sz w:val="22"/>
          <w:szCs w:val="22"/>
        </w:rPr>
      </w:pPr>
    </w:p>
    <w:p w14:paraId="38E16FDB" w14:textId="77777777" w:rsidR="00391CF6" w:rsidRDefault="00391CF6" w:rsidP="00C071FB">
      <w:pPr>
        <w:spacing w:line="360" w:lineRule="auto"/>
        <w:rPr>
          <w:rFonts w:ascii="Arial" w:hAnsi="Arial" w:cs="Arial"/>
          <w:b/>
          <w:bCs/>
          <w:sz w:val="22"/>
          <w:szCs w:val="22"/>
        </w:rPr>
      </w:pPr>
    </w:p>
    <w:p w14:paraId="2BBA98B6" w14:textId="77777777" w:rsidR="00391CF6" w:rsidRDefault="00391CF6" w:rsidP="00C071FB">
      <w:pPr>
        <w:spacing w:line="360" w:lineRule="auto"/>
        <w:rPr>
          <w:rFonts w:ascii="Arial" w:hAnsi="Arial" w:cs="Arial"/>
          <w:b/>
          <w:bCs/>
          <w:sz w:val="22"/>
          <w:szCs w:val="22"/>
        </w:rPr>
      </w:pPr>
    </w:p>
    <w:p w14:paraId="693B5029" w14:textId="77777777" w:rsidR="00391CF6" w:rsidRDefault="00391CF6" w:rsidP="00C071FB">
      <w:pPr>
        <w:spacing w:line="360" w:lineRule="auto"/>
        <w:rPr>
          <w:rFonts w:ascii="Arial" w:hAnsi="Arial" w:cs="Arial"/>
          <w:b/>
          <w:bCs/>
          <w:sz w:val="22"/>
          <w:szCs w:val="22"/>
        </w:rPr>
      </w:pPr>
    </w:p>
    <w:p w14:paraId="61CE95A2" w14:textId="77777777" w:rsidR="00391CF6" w:rsidRDefault="00391CF6" w:rsidP="00C071FB">
      <w:pPr>
        <w:spacing w:line="360" w:lineRule="auto"/>
        <w:rPr>
          <w:rFonts w:ascii="Arial" w:hAnsi="Arial" w:cs="Arial"/>
          <w:b/>
          <w:bCs/>
          <w:sz w:val="22"/>
          <w:szCs w:val="22"/>
        </w:rPr>
      </w:pPr>
    </w:p>
    <w:p w14:paraId="75CE6701" w14:textId="77777777" w:rsidR="00391CF6" w:rsidRDefault="00391CF6" w:rsidP="00C071FB">
      <w:pPr>
        <w:spacing w:line="360" w:lineRule="auto"/>
        <w:rPr>
          <w:rFonts w:ascii="Arial" w:hAnsi="Arial" w:cs="Arial"/>
          <w:b/>
          <w:bCs/>
          <w:sz w:val="22"/>
          <w:szCs w:val="22"/>
        </w:rPr>
      </w:pPr>
    </w:p>
    <w:p w14:paraId="1920A209" w14:textId="77777777" w:rsidR="00391CF6" w:rsidRDefault="00391CF6" w:rsidP="00C071FB">
      <w:pPr>
        <w:spacing w:line="360" w:lineRule="auto"/>
        <w:rPr>
          <w:rFonts w:ascii="Arial" w:hAnsi="Arial" w:cs="Arial"/>
          <w:b/>
          <w:bCs/>
          <w:sz w:val="22"/>
          <w:szCs w:val="22"/>
        </w:rPr>
      </w:pPr>
    </w:p>
    <w:p w14:paraId="7422238E" w14:textId="77777777" w:rsidR="00391CF6" w:rsidRDefault="00391CF6" w:rsidP="00391CF6">
      <w:pPr>
        <w:pStyle w:val="Heading1"/>
      </w:pPr>
    </w:p>
    <w:p w14:paraId="08FC091B" w14:textId="77777777" w:rsidR="00391CF6" w:rsidRDefault="00391CF6" w:rsidP="00391CF6"/>
    <w:p w14:paraId="424BEA7F" w14:textId="77777777" w:rsidR="00391CF6" w:rsidRDefault="00391CF6" w:rsidP="00391CF6"/>
    <w:p w14:paraId="5FB22931" w14:textId="77777777" w:rsidR="00391CF6" w:rsidRPr="00391CF6" w:rsidRDefault="00391CF6" w:rsidP="00391CF6"/>
    <w:p w14:paraId="629AFEDC" w14:textId="59E2FD74" w:rsidR="00C071FB" w:rsidRPr="00C071FB" w:rsidRDefault="00C071FB" w:rsidP="00391CF6">
      <w:pPr>
        <w:pStyle w:val="Heading1"/>
      </w:pPr>
      <w:bookmarkStart w:id="0" w:name="_Toc234597010"/>
      <w:r w:rsidRPr="00C071FB">
        <w:lastRenderedPageBreak/>
        <w:t>1. Executive Summary</w:t>
      </w:r>
      <w:bookmarkEnd w:id="0"/>
    </w:p>
    <w:p w14:paraId="6F3028EB" w14:textId="08699F9D"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 xml:space="preserve">Vodafone UK is currently undergoing a significant period of transformation, driven largely by its merger with Three UK in 2025. This strategic move has resulted in the creation of </w:t>
      </w:r>
      <w:r w:rsidRPr="00C071FB">
        <w:rPr>
          <w:rFonts w:ascii="Arial" w:hAnsi="Arial" w:cs="Arial"/>
          <w:sz w:val="22"/>
          <w:szCs w:val="22"/>
        </w:rPr>
        <w:t>Vodafone Three</w:t>
      </w:r>
      <w:r w:rsidRPr="00C071FB">
        <w:rPr>
          <w:rFonts w:ascii="Arial" w:hAnsi="Arial" w:cs="Arial"/>
          <w:sz w:val="22"/>
          <w:szCs w:val="22"/>
        </w:rPr>
        <w:t>, now the largest mobile network operator in the UK. The merger aims to enhance network capabilities, improve operational efficiency, and strengthen Vodafone’s competitiveness in an increasingly challenging market environment.</w:t>
      </w:r>
    </w:p>
    <w:p w14:paraId="259EA7E6"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This report critically evaluates Vodafone’s current market position using analytical frameworks including PESTEL, Porter’s Five Forces, and SWOT analysis. The findings suggest that while Vodafone benefits from scale, technological investment, and a strong global footprint, it continues to face pressure from intense competition, regulatory scrutiny, and rising consumer expectations.</w:t>
      </w:r>
    </w:p>
    <w:p w14:paraId="529BE504"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To address these challenges, this report recommends a differentiation strategy centred on 5G-enabled digital ecosystems and enterprise services, supported by product and market development strategies from the Ansoff Matrix. This approach allows Vodafone to move beyond price competition and focus on delivering higher-value services.</w:t>
      </w:r>
    </w:p>
    <w:p w14:paraId="77538506" w14:textId="2D2F0F98"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The proposed strategy is evaluated using the SAF framework and is considered suitable, feasible, and acceptable within Vodafone’s current capabilities. Overall, the strategy provides a strong foundation for sustainable growth and long-term competitive advantage.</w:t>
      </w:r>
    </w:p>
    <w:p w14:paraId="5A233FB3" w14:textId="0176072D" w:rsidR="00C071FB" w:rsidRPr="00C071FB" w:rsidRDefault="00C071FB" w:rsidP="00391CF6">
      <w:pPr>
        <w:pStyle w:val="Heading1"/>
      </w:pPr>
      <w:bookmarkStart w:id="1" w:name="_Toc234597011"/>
      <w:r w:rsidRPr="00C071FB">
        <w:t>2. Introduction to Vodafone</w:t>
      </w:r>
      <w:bookmarkEnd w:id="1"/>
      <w:r w:rsidRPr="00C071FB">
        <w:t xml:space="preserve"> </w:t>
      </w:r>
    </w:p>
    <w:p w14:paraId="154F8E12"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Vodafone Group Plc is one of the world’s largest telecommunications companies, operating in Europe and Africa with services spanning mobile connectivity, broadband, and digital solutions. The company serves millions of customers and plays a crucial role in enabling communication and digital infrastructure across multiple regions.</w:t>
      </w:r>
    </w:p>
    <w:p w14:paraId="280A0C6D"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Vodafone’s vision is to create a digitally connected future that improves lives and drives economic growth. Its mission focuses on delivering high-quality connectivity and innovative digital services, while ensuring a superior customer experience. The company’s core values include trust, innovation, simplicity, and customer centricity, which guide its strategic decisions and operations.</w:t>
      </w:r>
    </w:p>
    <w:p w14:paraId="248B7ACE"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In recent years, Vodafone has undertaken a significant restructuring programme aimed at simplifying its business and focusing on high-growth areas. This has included exiting non-core markets such as Spain and Italy while strengthening its presence in key regions such as the UK and Germany (Vodafone Group, 2025). </w:t>
      </w:r>
    </w:p>
    <w:p w14:paraId="15F2F613" w14:textId="223E8085"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lastRenderedPageBreak/>
        <w:t xml:space="preserve">A key milestone in this transformation was the merger between Vodafone UK and Three UK, completed on 31 May 2025 (Vodafone, 2025a).  The newly formed </w:t>
      </w:r>
      <w:r w:rsidRPr="00C071FB">
        <w:rPr>
          <w:rFonts w:ascii="Arial" w:hAnsi="Arial" w:cs="Arial"/>
          <w:sz w:val="22"/>
          <w:szCs w:val="22"/>
        </w:rPr>
        <w:t>Vodafone Three</w:t>
      </w:r>
      <w:r w:rsidRPr="00C071FB">
        <w:rPr>
          <w:rFonts w:ascii="Arial" w:hAnsi="Arial" w:cs="Arial"/>
          <w:sz w:val="22"/>
          <w:szCs w:val="22"/>
        </w:rPr>
        <w:t xml:space="preserve"> now serves approximately 27 million customers and is positioned to lead the UK telecommunications sector.</w:t>
      </w:r>
    </w:p>
    <w:p w14:paraId="1A644677" w14:textId="50A79C5B"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This transformation reflects Vodafone’s broader strategic ambition to become a more agile, efficient, and growth-oriented organisation capable of delivering long-term value to both customers and shareholders.</w:t>
      </w:r>
    </w:p>
    <w:p w14:paraId="13F003E6" w14:textId="52D54096" w:rsidR="00C071FB" w:rsidRPr="00C071FB" w:rsidRDefault="00C071FB" w:rsidP="00391CF6">
      <w:pPr>
        <w:pStyle w:val="Heading1"/>
      </w:pPr>
      <w:bookmarkStart w:id="2" w:name="_Toc234597012"/>
      <w:r w:rsidRPr="00C071FB">
        <w:t>3. Evaluation of Current Market Situation</w:t>
      </w:r>
      <w:bookmarkEnd w:id="2"/>
      <w:r w:rsidRPr="00C071FB">
        <w:t xml:space="preserve"> </w:t>
      </w:r>
    </w:p>
    <w:p w14:paraId="79D24FAA" w14:textId="77777777" w:rsidR="00C071FB" w:rsidRPr="00C071FB" w:rsidRDefault="00C071FB" w:rsidP="00391CF6">
      <w:pPr>
        <w:pStyle w:val="Heading2"/>
      </w:pPr>
      <w:bookmarkStart w:id="3" w:name="_Toc234597013"/>
      <w:r w:rsidRPr="00C071FB">
        <w:t>3.1 PESTEL Analysis</w:t>
      </w:r>
      <w:bookmarkEnd w:id="3"/>
    </w:p>
    <w:p w14:paraId="1447270B"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Political factors</w:t>
      </w:r>
      <w:r w:rsidRPr="00C071FB">
        <w:rPr>
          <w:rFonts w:ascii="Arial" w:hAnsi="Arial" w:cs="Arial"/>
          <w:sz w:val="22"/>
          <w:szCs w:val="22"/>
        </w:rPr>
        <w:br/>
        <w:t>The UK telecommunications sector is subject to strong regulatory oversight from bodies such as Ofcom and the Competition and Markets Authority (CMA). The Vodafone–Three merger faced scrutiny due to concerns about reduced competition in the market, although it was ultimately approved based on its long-term benefits (Frontier Economics, 2025). </w:t>
      </w:r>
      <w:r w:rsidRPr="00C071FB">
        <w:rPr>
          <w:rFonts w:ascii="Arial" w:hAnsi="Arial" w:cs="Arial"/>
          <w:sz w:val="22"/>
          <w:szCs w:val="22"/>
        </w:rPr>
        <w:br/>
        <w:t>Additionally, UK government policy supports investment in digital infrastructure to improve national connectivity, which benefits Vodafone’s 5G expansion plans.</w:t>
      </w:r>
    </w:p>
    <w:p w14:paraId="08B19542"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Economic factors</w:t>
      </w:r>
      <w:r w:rsidRPr="00C071FB">
        <w:rPr>
          <w:rFonts w:ascii="Arial" w:hAnsi="Arial" w:cs="Arial"/>
          <w:sz w:val="22"/>
          <w:szCs w:val="22"/>
        </w:rPr>
        <w:br/>
        <w:t>Vodafone’s financial performance indicates moderate but steady growth. In FY25, group revenue reached €37.4 billion, representing a 2% increase (</w:t>
      </w:r>
      <w:proofErr w:type="spellStart"/>
      <w:r w:rsidRPr="00C071FB">
        <w:rPr>
          <w:rFonts w:ascii="Arial" w:hAnsi="Arial" w:cs="Arial"/>
          <w:sz w:val="22"/>
          <w:szCs w:val="22"/>
        </w:rPr>
        <w:t>TelecomLead</w:t>
      </w:r>
      <w:proofErr w:type="spellEnd"/>
      <w:r w:rsidRPr="00C071FB">
        <w:rPr>
          <w:rFonts w:ascii="Arial" w:hAnsi="Arial" w:cs="Arial"/>
          <w:sz w:val="22"/>
          <w:szCs w:val="22"/>
        </w:rPr>
        <w:t>, 2025).  Growth has been driven primarily by strong performance in Africa and other emerging markets, helping offset weaker results in Europe (Vodafone Group, 2025). </w:t>
      </w:r>
      <w:r w:rsidRPr="00C071FB">
        <w:rPr>
          <w:rFonts w:ascii="Arial" w:hAnsi="Arial" w:cs="Arial"/>
          <w:sz w:val="22"/>
          <w:szCs w:val="22"/>
        </w:rPr>
        <w:br/>
        <w:t>However, inflation, rising operational costs, and intense price competition in the UK telecom market continue to place pressure on profitability. Consumers are also more price-sensitive, which limits the ability of firms to increase prices.</w:t>
      </w:r>
    </w:p>
    <w:p w14:paraId="1FB7CAAA"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Social factors</w:t>
      </w:r>
      <w:r w:rsidRPr="00C071FB">
        <w:rPr>
          <w:rFonts w:ascii="Arial" w:hAnsi="Arial" w:cs="Arial"/>
          <w:sz w:val="22"/>
          <w:szCs w:val="22"/>
        </w:rPr>
        <w:br/>
        <w:t>Consumer behaviour is evolving rapidly, with growing reliance on digital services such as streaming, remote work, and online communication. Customers expect high-speed connectivity and reliable service as a standard offering. Moreover, there is increasing emphasis on digital inclusion, with customers expecting wider coverage and affordable services.</w:t>
      </w:r>
    </w:p>
    <w:p w14:paraId="68E68C62" w14:textId="06D3A3D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Technological factors</w:t>
      </w:r>
      <w:r w:rsidRPr="00C071FB">
        <w:rPr>
          <w:rFonts w:ascii="Arial" w:hAnsi="Arial" w:cs="Arial"/>
          <w:sz w:val="22"/>
          <w:szCs w:val="22"/>
        </w:rPr>
        <w:br/>
        <w:t xml:space="preserve">Technology is one of the most critical drivers in the telecom sector. </w:t>
      </w:r>
      <w:proofErr w:type="spellStart"/>
      <w:r w:rsidRPr="00C071FB">
        <w:rPr>
          <w:rFonts w:ascii="Arial" w:hAnsi="Arial" w:cs="Arial"/>
          <w:sz w:val="22"/>
          <w:szCs w:val="22"/>
        </w:rPr>
        <w:t>VodafoneThree</w:t>
      </w:r>
      <w:proofErr w:type="spellEnd"/>
      <w:r w:rsidRPr="00C071FB">
        <w:rPr>
          <w:rFonts w:ascii="Arial" w:hAnsi="Arial" w:cs="Arial"/>
          <w:sz w:val="22"/>
          <w:szCs w:val="22"/>
        </w:rPr>
        <w:t xml:space="preserve"> plans to </w:t>
      </w:r>
      <w:r w:rsidRPr="00C071FB">
        <w:rPr>
          <w:rFonts w:ascii="Arial" w:hAnsi="Arial" w:cs="Arial"/>
          <w:sz w:val="22"/>
          <w:szCs w:val="22"/>
        </w:rPr>
        <w:lastRenderedPageBreak/>
        <w:t>invest approximately £11 billion in building a standalone 5G network across the UK (Vodafone, 2025a). </w:t>
      </w:r>
      <w:r w:rsidRPr="00C071FB">
        <w:rPr>
          <w:rFonts w:ascii="Arial" w:hAnsi="Arial" w:cs="Arial"/>
          <w:sz w:val="22"/>
          <w:szCs w:val="22"/>
        </w:rPr>
        <w:br/>
        <w:t>This investment will support advancements in IoT, artificial intelligence, and smart infrastructure. Additionally, the sharing of networks between Vodafone and Three has already improved 4G speeds by up to 40%, demonstrating the immediate benefits of integration (</w:t>
      </w:r>
      <w:r w:rsidR="00391CF6" w:rsidRPr="00C071FB">
        <w:rPr>
          <w:rFonts w:ascii="Arial" w:hAnsi="Arial" w:cs="Arial"/>
          <w:sz w:val="22"/>
          <w:szCs w:val="22"/>
        </w:rPr>
        <w:t>Vodafone Three</w:t>
      </w:r>
      <w:r w:rsidRPr="00C071FB">
        <w:rPr>
          <w:rFonts w:ascii="Arial" w:hAnsi="Arial" w:cs="Arial"/>
          <w:sz w:val="22"/>
          <w:szCs w:val="22"/>
        </w:rPr>
        <w:t>, 2025). </w:t>
      </w:r>
    </w:p>
    <w:p w14:paraId="6FA48761"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Environmental factors</w:t>
      </w:r>
      <w:r w:rsidRPr="00C071FB">
        <w:rPr>
          <w:rFonts w:ascii="Arial" w:hAnsi="Arial" w:cs="Arial"/>
          <w:sz w:val="22"/>
          <w:szCs w:val="22"/>
        </w:rPr>
        <w:br/>
        <w:t>Sustainability is becoming increasingly important in the telecom industry. Companies are under pressure to reduce carbon emissions and improve energy efficiency. Vodafone has committed to environmental goals, but infrastructure expansion may increase environmental impact if not managed carefully.</w:t>
      </w:r>
    </w:p>
    <w:p w14:paraId="11DF1B00" w14:textId="49262E71"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Legal factors</w:t>
      </w:r>
      <w:r w:rsidRPr="00C071FB">
        <w:rPr>
          <w:rFonts w:ascii="Arial" w:hAnsi="Arial" w:cs="Arial"/>
          <w:sz w:val="22"/>
          <w:szCs w:val="22"/>
        </w:rPr>
        <w:br/>
        <w:t>Vodafone must adhere to strict legal requirements, including data protection regulations such as GDPR and competition laws. These regulations influence how the company handles customer data and strategic partnerships, particularly in relation to mergers and acquisitions.</w:t>
      </w:r>
    </w:p>
    <w:p w14:paraId="371B8F70" w14:textId="77777777" w:rsidR="00C071FB" w:rsidRPr="00C071FB" w:rsidRDefault="00C071FB" w:rsidP="00391CF6">
      <w:pPr>
        <w:pStyle w:val="Heading2"/>
      </w:pPr>
      <w:bookmarkStart w:id="4" w:name="_Toc234597014"/>
      <w:r w:rsidRPr="00C071FB">
        <w:t>3.2 Porter’s Five Forces</w:t>
      </w:r>
      <w:bookmarkEnd w:id="4"/>
    </w:p>
    <w:p w14:paraId="375A9D9F" w14:textId="0580E71A"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Competitive rivalry – High</w:t>
      </w:r>
      <w:r w:rsidRPr="00C071FB">
        <w:rPr>
          <w:rFonts w:ascii="Arial" w:hAnsi="Arial" w:cs="Arial"/>
          <w:sz w:val="22"/>
          <w:szCs w:val="22"/>
        </w:rPr>
        <w:br/>
        <w:t xml:space="preserve">The UK telecom market is highly competitive, with major players including BT/EE and Virgin Media O2. These competitors offer similar services, leading to intense price competition and the need for differentiation. Although </w:t>
      </w:r>
      <w:r w:rsidRPr="00C071FB">
        <w:rPr>
          <w:rFonts w:ascii="Arial" w:hAnsi="Arial" w:cs="Arial"/>
          <w:sz w:val="22"/>
          <w:szCs w:val="22"/>
        </w:rPr>
        <w:t>Vodafone Three</w:t>
      </w:r>
      <w:r w:rsidRPr="00C071FB">
        <w:rPr>
          <w:rFonts w:ascii="Arial" w:hAnsi="Arial" w:cs="Arial"/>
          <w:sz w:val="22"/>
          <w:szCs w:val="22"/>
        </w:rPr>
        <w:t xml:space="preserve"> benefits from increased scale, rivalry remains strong.</w:t>
      </w:r>
    </w:p>
    <w:p w14:paraId="2A5D9FC0"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Threat of new entrants – Low</w:t>
      </w:r>
      <w:r w:rsidRPr="00C071FB">
        <w:rPr>
          <w:rFonts w:ascii="Arial" w:hAnsi="Arial" w:cs="Arial"/>
          <w:sz w:val="22"/>
          <w:szCs w:val="22"/>
        </w:rPr>
        <w:br/>
        <w:t>Entering the telecom market requires significant capital investment, access to spectrum licences, and compliance with regulatory requirements. These barriers make it difficult for new competitors to enter the market.</w:t>
      </w:r>
    </w:p>
    <w:p w14:paraId="64C64B0F"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Bargaining power of buyers – High</w:t>
      </w:r>
      <w:r w:rsidRPr="00C071FB">
        <w:rPr>
          <w:rFonts w:ascii="Arial" w:hAnsi="Arial" w:cs="Arial"/>
          <w:sz w:val="22"/>
          <w:szCs w:val="22"/>
        </w:rPr>
        <w:br/>
        <w:t>Customers have many options and can easily switch between providers, increasing their bargaining power. Price sensitivity is particularly high in the UK, forcing companies to offer competitive pricing and attractive packages.</w:t>
      </w:r>
    </w:p>
    <w:p w14:paraId="263A7523" w14:textId="6D457222"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Bargaining power of suppliers – Moderate</w:t>
      </w:r>
      <w:r w:rsidRPr="00C071FB">
        <w:rPr>
          <w:rFonts w:ascii="Arial" w:hAnsi="Arial" w:cs="Arial"/>
          <w:sz w:val="22"/>
          <w:szCs w:val="22"/>
        </w:rPr>
        <w:br/>
        <w:t>Vodafone relies on key technology suppliers such as Ericsson and Nokia to build its network infrastructure (</w:t>
      </w:r>
      <w:r w:rsidRPr="00C071FB">
        <w:rPr>
          <w:rFonts w:ascii="Arial" w:hAnsi="Arial" w:cs="Arial"/>
          <w:sz w:val="22"/>
          <w:szCs w:val="22"/>
        </w:rPr>
        <w:t>Vodafone Three</w:t>
      </w:r>
      <w:r w:rsidRPr="00C071FB">
        <w:rPr>
          <w:rFonts w:ascii="Arial" w:hAnsi="Arial" w:cs="Arial"/>
          <w:sz w:val="22"/>
          <w:szCs w:val="22"/>
        </w:rPr>
        <w:t>, 2025).  These suppliers hold some bargaining power due to their specialised expertise, although Vodafone’s scale helps offset this.</w:t>
      </w:r>
    </w:p>
    <w:p w14:paraId="65A00E2C" w14:textId="770A1079"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lastRenderedPageBreak/>
        <w:t>Threat of substitutes – Moderate</w:t>
      </w:r>
      <w:r w:rsidRPr="00C071FB">
        <w:rPr>
          <w:rFonts w:ascii="Arial" w:hAnsi="Arial" w:cs="Arial"/>
          <w:sz w:val="22"/>
          <w:szCs w:val="22"/>
        </w:rPr>
        <w:br/>
        <w:t>Alternative technologies such as Wi-Fi, satellite internet, and OTT communication platforms provide some level of substitution. However, mobile networks remain essential for connectivity, limiting the overall threat.</w:t>
      </w:r>
    </w:p>
    <w:p w14:paraId="484CA87E" w14:textId="77777777" w:rsidR="00C071FB" w:rsidRPr="00C071FB" w:rsidRDefault="00C071FB" w:rsidP="00391CF6">
      <w:pPr>
        <w:pStyle w:val="Heading2"/>
      </w:pPr>
      <w:bookmarkStart w:id="5" w:name="_Toc234597015"/>
      <w:r w:rsidRPr="00C071FB">
        <w:t>3.3 SWOT Analysis</w:t>
      </w:r>
      <w:bookmarkEnd w:id="5"/>
    </w:p>
    <w:p w14:paraId="3FE8C2F0"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Strengths</w:t>
      </w:r>
    </w:p>
    <w:p w14:paraId="5F8B50DF" w14:textId="77777777" w:rsidR="00C071FB" w:rsidRPr="00C071FB" w:rsidRDefault="00C071FB" w:rsidP="00C071FB">
      <w:pPr>
        <w:numPr>
          <w:ilvl w:val="0"/>
          <w:numId w:val="1"/>
        </w:numPr>
        <w:spacing w:line="360" w:lineRule="auto"/>
        <w:rPr>
          <w:rFonts w:ascii="Arial" w:hAnsi="Arial" w:cs="Arial"/>
          <w:sz w:val="22"/>
          <w:szCs w:val="22"/>
        </w:rPr>
      </w:pPr>
      <w:r w:rsidRPr="00C071FB">
        <w:rPr>
          <w:rFonts w:ascii="Arial" w:hAnsi="Arial" w:cs="Arial"/>
          <w:sz w:val="22"/>
          <w:szCs w:val="22"/>
        </w:rPr>
        <w:t>Market leader in the UK following the merger</w:t>
      </w:r>
    </w:p>
    <w:p w14:paraId="7EAA5320" w14:textId="77777777" w:rsidR="00C071FB" w:rsidRPr="00C071FB" w:rsidRDefault="00C071FB" w:rsidP="00C071FB">
      <w:pPr>
        <w:numPr>
          <w:ilvl w:val="0"/>
          <w:numId w:val="1"/>
        </w:numPr>
        <w:spacing w:line="360" w:lineRule="auto"/>
        <w:rPr>
          <w:rFonts w:ascii="Arial" w:hAnsi="Arial" w:cs="Arial"/>
          <w:sz w:val="22"/>
          <w:szCs w:val="22"/>
        </w:rPr>
      </w:pPr>
      <w:r w:rsidRPr="00C071FB">
        <w:rPr>
          <w:rFonts w:ascii="Arial" w:hAnsi="Arial" w:cs="Arial"/>
          <w:sz w:val="22"/>
          <w:szCs w:val="22"/>
        </w:rPr>
        <w:t>Significant investment capacity (£11 billion in 5G infrastructure) (Vodafone, 2025a) </w:t>
      </w:r>
    </w:p>
    <w:p w14:paraId="6743E3D7" w14:textId="77777777" w:rsidR="00C071FB" w:rsidRPr="00C071FB" w:rsidRDefault="00C071FB" w:rsidP="00C071FB">
      <w:pPr>
        <w:numPr>
          <w:ilvl w:val="0"/>
          <w:numId w:val="1"/>
        </w:numPr>
        <w:spacing w:line="360" w:lineRule="auto"/>
        <w:rPr>
          <w:rFonts w:ascii="Arial" w:hAnsi="Arial" w:cs="Arial"/>
          <w:sz w:val="22"/>
          <w:szCs w:val="22"/>
        </w:rPr>
      </w:pPr>
      <w:r w:rsidRPr="00C071FB">
        <w:rPr>
          <w:rFonts w:ascii="Arial" w:hAnsi="Arial" w:cs="Arial"/>
          <w:sz w:val="22"/>
          <w:szCs w:val="22"/>
        </w:rPr>
        <w:t>Strong global presence with diversified revenue streams</w:t>
      </w:r>
    </w:p>
    <w:p w14:paraId="32889AA1" w14:textId="77777777" w:rsidR="00C071FB" w:rsidRPr="00C071FB" w:rsidRDefault="00C071FB" w:rsidP="00C071FB">
      <w:pPr>
        <w:numPr>
          <w:ilvl w:val="0"/>
          <w:numId w:val="1"/>
        </w:numPr>
        <w:spacing w:line="360" w:lineRule="auto"/>
        <w:rPr>
          <w:rFonts w:ascii="Arial" w:hAnsi="Arial" w:cs="Arial"/>
          <w:sz w:val="22"/>
          <w:szCs w:val="22"/>
        </w:rPr>
      </w:pPr>
      <w:r w:rsidRPr="00C071FB">
        <w:rPr>
          <w:rFonts w:ascii="Arial" w:hAnsi="Arial" w:cs="Arial"/>
          <w:sz w:val="22"/>
          <w:szCs w:val="22"/>
        </w:rPr>
        <w:t>Expected cost synergies of £700 million annually</w:t>
      </w:r>
    </w:p>
    <w:p w14:paraId="3DA0DF11"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Weaknesses</w:t>
      </w:r>
    </w:p>
    <w:p w14:paraId="5F9A5B14" w14:textId="77777777" w:rsidR="00C071FB" w:rsidRPr="00C071FB" w:rsidRDefault="00C071FB" w:rsidP="00C071FB">
      <w:pPr>
        <w:numPr>
          <w:ilvl w:val="0"/>
          <w:numId w:val="2"/>
        </w:numPr>
        <w:spacing w:line="360" w:lineRule="auto"/>
        <w:rPr>
          <w:rFonts w:ascii="Arial" w:hAnsi="Arial" w:cs="Arial"/>
          <w:sz w:val="22"/>
          <w:szCs w:val="22"/>
        </w:rPr>
      </w:pPr>
      <w:r w:rsidRPr="00C071FB">
        <w:rPr>
          <w:rFonts w:ascii="Arial" w:hAnsi="Arial" w:cs="Arial"/>
          <w:sz w:val="22"/>
          <w:szCs w:val="22"/>
        </w:rPr>
        <w:t>Integration challenges following the merger</w:t>
      </w:r>
    </w:p>
    <w:p w14:paraId="3FA4E82E" w14:textId="77777777" w:rsidR="00C071FB" w:rsidRPr="00C071FB" w:rsidRDefault="00C071FB" w:rsidP="00C071FB">
      <w:pPr>
        <w:numPr>
          <w:ilvl w:val="0"/>
          <w:numId w:val="2"/>
        </w:numPr>
        <w:spacing w:line="360" w:lineRule="auto"/>
        <w:rPr>
          <w:rFonts w:ascii="Arial" w:hAnsi="Arial" w:cs="Arial"/>
          <w:sz w:val="22"/>
          <w:szCs w:val="22"/>
        </w:rPr>
      </w:pPr>
      <w:r w:rsidRPr="00C071FB">
        <w:rPr>
          <w:rFonts w:ascii="Arial" w:hAnsi="Arial" w:cs="Arial"/>
          <w:sz w:val="22"/>
          <w:szCs w:val="22"/>
        </w:rPr>
        <w:t>Declining performance in markets such as Germany (Vodafone Group, 2025) </w:t>
      </w:r>
    </w:p>
    <w:p w14:paraId="346C055A" w14:textId="77777777" w:rsidR="00C071FB" w:rsidRPr="00C071FB" w:rsidRDefault="00C071FB" w:rsidP="00C071FB">
      <w:pPr>
        <w:numPr>
          <w:ilvl w:val="0"/>
          <w:numId w:val="2"/>
        </w:numPr>
        <w:spacing w:line="360" w:lineRule="auto"/>
        <w:rPr>
          <w:rFonts w:ascii="Arial" w:hAnsi="Arial" w:cs="Arial"/>
          <w:sz w:val="22"/>
          <w:szCs w:val="22"/>
        </w:rPr>
      </w:pPr>
      <w:r w:rsidRPr="00C071FB">
        <w:rPr>
          <w:rFonts w:ascii="Arial" w:hAnsi="Arial" w:cs="Arial"/>
          <w:sz w:val="22"/>
          <w:szCs w:val="22"/>
        </w:rPr>
        <w:t>High levels of operational complexity</w:t>
      </w:r>
    </w:p>
    <w:p w14:paraId="2F1622F7"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Opportunities</w:t>
      </w:r>
    </w:p>
    <w:p w14:paraId="7F482C54" w14:textId="77777777" w:rsidR="00C071FB" w:rsidRPr="00C071FB" w:rsidRDefault="00C071FB" w:rsidP="00C071FB">
      <w:pPr>
        <w:numPr>
          <w:ilvl w:val="0"/>
          <w:numId w:val="3"/>
        </w:numPr>
        <w:spacing w:line="360" w:lineRule="auto"/>
        <w:rPr>
          <w:rFonts w:ascii="Arial" w:hAnsi="Arial" w:cs="Arial"/>
          <w:sz w:val="22"/>
          <w:szCs w:val="22"/>
        </w:rPr>
      </w:pPr>
      <w:r w:rsidRPr="00C071FB">
        <w:rPr>
          <w:rFonts w:ascii="Arial" w:hAnsi="Arial" w:cs="Arial"/>
          <w:sz w:val="22"/>
          <w:szCs w:val="22"/>
        </w:rPr>
        <w:t>Expansion of 5G services and infrastructure</w:t>
      </w:r>
    </w:p>
    <w:p w14:paraId="0ED9811D" w14:textId="77777777" w:rsidR="00C071FB" w:rsidRPr="00C071FB" w:rsidRDefault="00C071FB" w:rsidP="00C071FB">
      <w:pPr>
        <w:numPr>
          <w:ilvl w:val="0"/>
          <w:numId w:val="3"/>
        </w:numPr>
        <w:spacing w:line="360" w:lineRule="auto"/>
        <w:rPr>
          <w:rFonts w:ascii="Arial" w:hAnsi="Arial" w:cs="Arial"/>
          <w:sz w:val="22"/>
          <w:szCs w:val="22"/>
        </w:rPr>
      </w:pPr>
      <w:r w:rsidRPr="00C071FB">
        <w:rPr>
          <w:rFonts w:ascii="Arial" w:hAnsi="Arial" w:cs="Arial"/>
          <w:sz w:val="22"/>
          <w:szCs w:val="22"/>
        </w:rPr>
        <w:t>Growth in enterprise services such as IoT and cloud computing</w:t>
      </w:r>
    </w:p>
    <w:p w14:paraId="493AECE8" w14:textId="77777777" w:rsidR="00C071FB" w:rsidRPr="00C071FB" w:rsidRDefault="00C071FB" w:rsidP="00C071FB">
      <w:pPr>
        <w:numPr>
          <w:ilvl w:val="0"/>
          <w:numId w:val="3"/>
        </w:numPr>
        <w:spacing w:line="360" w:lineRule="auto"/>
        <w:rPr>
          <w:rFonts w:ascii="Arial" w:hAnsi="Arial" w:cs="Arial"/>
          <w:sz w:val="22"/>
          <w:szCs w:val="22"/>
        </w:rPr>
      </w:pPr>
      <w:r w:rsidRPr="00C071FB">
        <w:rPr>
          <w:rFonts w:ascii="Arial" w:hAnsi="Arial" w:cs="Arial"/>
          <w:sz w:val="22"/>
          <w:szCs w:val="22"/>
        </w:rPr>
        <w:t>Increasing demand for connectivity and digital services</w:t>
      </w:r>
    </w:p>
    <w:p w14:paraId="749F6309"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Threats</w:t>
      </w:r>
    </w:p>
    <w:p w14:paraId="21A7398C" w14:textId="77777777" w:rsidR="00C071FB" w:rsidRPr="00C071FB" w:rsidRDefault="00C071FB" w:rsidP="00C071FB">
      <w:pPr>
        <w:numPr>
          <w:ilvl w:val="0"/>
          <w:numId w:val="4"/>
        </w:numPr>
        <w:spacing w:line="360" w:lineRule="auto"/>
        <w:rPr>
          <w:rFonts w:ascii="Arial" w:hAnsi="Arial" w:cs="Arial"/>
          <w:sz w:val="22"/>
          <w:szCs w:val="22"/>
        </w:rPr>
      </w:pPr>
      <w:r w:rsidRPr="00C071FB">
        <w:rPr>
          <w:rFonts w:ascii="Arial" w:hAnsi="Arial" w:cs="Arial"/>
          <w:sz w:val="22"/>
          <w:szCs w:val="22"/>
        </w:rPr>
        <w:t>Intense competition and price wars</w:t>
      </w:r>
    </w:p>
    <w:p w14:paraId="27576B48" w14:textId="77777777" w:rsidR="00C071FB" w:rsidRPr="00C071FB" w:rsidRDefault="00C071FB" w:rsidP="00C071FB">
      <w:pPr>
        <w:numPr>
          <w:ilvl w:val="0"/>
          <w:numId w:val="4"/>
        </w:numPr>
        <w:spacing w:line="360" w:lineRule="auto"/>
        <w:rPr>
          <w:rFonts w:ascii="Arial" w:hAnsi="Arial" w:cs="Arial"/>
          <w:sz w:val="22"/>
          <w:szCs w:val="22"/>
        </w:rPr>
      </w:pPr>
      <w:r w:rsidRPr="00C071FB">
        <w:rPr>
          <w:rFonts w:ascii="Arial" w:hAnsi="Arial" w:cs="Arial"/>
          <w:sz w:val="22"/>
          <w:szCs w:val="22"/>
        </w:rPr>
        <w:t>Regulatory challenges</w:t>
      </w:r>
    </w:p>
    <w:p w14:paraId="4BFD2F06" w14:textId="767FF712" w:rsidR="00C071FB" w:rsidRPr="00C071FB" w:rsidRDefault="00C071FB" w:rsidP="00C071FB">
      <w:pPr>
        <w:numPr>
          <w:ilvl w:val="0"/>
          <w:numId w:val="4"/>
        </w:numPr>
        <w:spacing w:line="360" w:lineRule="auto"/>
        <w:rPr>
          <w:rFonts w:ascii="Arial" w:hAnsi="Arial" w:cs="Arial"/>
          <w:sz w:val="22"/>
          <w:szCs w:val="22"/>
        </w:rPr>
      </w:pPr>
      <w:r w:rsidRPr="00C071FB">
        <w:rPr>
          <w:rFonts w:ascii="Arial" w:hAnsi="Arial" w:cs="Arial"/>
          <w:sz w:val="22"/>
          <w:szCs w:val="22"/>
        </w:rPr>
        <w:t>Rapid technological changes requiring continuous investment</w:t>
      </w:r>
    </w:p>
    <w:p w14:paraId="4B01C7B4" w14:textId="26365A43" w:rsidR="00C071FB" w:rsidRPr="00C071FB" w:rsidRDefault="00C071FB" w:rsidP="00391CF6">
      <w:pPr>
        <w:pStyle w:val="Heading1"/>
      </w:pPr>
      <w:bookmarkStart w:id="6" w:name="_Toc234597016"/>
      <w:r w:rsidRPr="00C071FB">
        <w:t>4. Strategic Growth Options and Proposed Strategy</w:t>
      </w:r>
      <w:bookmarkEnd w:id="6"/>
      <w:r w:rsidRPr="00C071FB">
        <w:t xml:space="preserve"> </w:t>
      </w:r>
    </w:p>
    <w:p w14:paraId="1E572C05"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Using the Ansoff Matrix, Vodafone has several potential growth paths:</w:t>
      </w:r>
    </w:p>
    <w:p w14:paraId="11407750" w14:textId="77777777" w:rsidR="00C071FB" w:rsidRPr="00C071FB" w:rsidRDefault="00C071FB" w:rsidP="00C071FB">
      <w:pPr>
        <w:numPr>
          <w:ilvl w:val="0"/>
          <w:numId w:val="5"/>
        </w:numPr>
        <w:spacing w:line="360" w:lineRule="auto"/>
        <w:rPr>
          <w:rFonts w:ascii="Arial" w:hAnsi="Arial" w:cs="Arial"/>
          <w:sz w:val="22"/>
          <w:szCs w:val="22"/>
        </w:rPr>
      </w:pPr>
      <w:r w:rsidRPr="00C071FB">
        <w:rPr>
          <w:rFonts w:ascii="Arial" w:hAnsi="Arial" w:cs="Arial"/>
          <w:sz w:val="22"/>
          <w:szCs w:val="22"/>
        </w:rPr>
        <w:t>Market penetration – increasing market share through pricing and promotions</w:t>
      </w:r>
    </w:p>
    <w:p w14:paraId="712DF414" w14:textId="77777777" w:rsidR="00C071FB" w:rsidRPr="00C071FB" w:rsidRDefault="00C071FB" w:rsidP="00C071FB">
      <w:pPr>
        <w:numPr>
          <w:ilvl w:val="0"/>
          <w:numId w:val="5"/>
        </w:numPr>
        <w:spacing w:line="360" w:lineRule="auto"/>
        <w:rPr>
          <w:rFonts w:ascii="Arial" w:hAnsi="Arial" w:cs="Arial"/>
          <w:sz w:val="22"/>
          <w:szCs w:val="22"/>
        </w:rPr>
      </w:pPr>
      <w:r w:rsidRPr="00C071FB">
        <w:rPr>
          <w:rFonts w:ascii="Arial" w:hAnsi="Arial" w:cs="Arial"/>
          <w:sz w:val="22"/>
          <w:szCs w:val="22"/>
        </w:rPr>
        <w:t>Market development – expanding into underserved or rural areas</w:t>
      </w:r>
    </w:p>
    <w:p w14:paraId="0AF99011" w14:textId="77777777" w:rsidR="00C071FB" w:rsidRPr="00C071FB" w:rsidRDefault="00C071FB" w:rsidP="00C071FB">
      <w:pPr>
        <w:numPr>
          <w:ilvl w:val="0"/>
          <w:numId w:val="5"/>
        </w:numPr>
        <w:spacing w:line="360" w:lineRule="auto"/>
        <w:rPr>
          <w:rFonts w:ascii="Arial" w:hAnsi="Arial" w:cs="Arial"/>
          <w:sz w:val="22"/>
          <w:szCs w:val="22"/>
        </w:rPr>
      </w:pPr>
      <w:r w:rsidRPr="00C071FB">
        <w:rPr>
          <w:rFonts w:ascii="Arial" w:hAnsi="Arial" w:cs="Arial"/>
          <w:sz w:val="22"/>
          <w:szCs w:val="22"/>
        </w:rPr>
        <w:lastRenderedPageBreak/>
        <w:t>Product development – introducing new digital services</w:t>
      </w:r>
    </w:p>
    <w:p w14:paraId="231885C3" w14:textId="77777777" w:rsidR="00C071FB" w:rsidRPr="00C071FB" w:rsidRDefault="00C071FB" w:rsidP="00C071FB">
      <w:pPr>
        <w:numPr>
          <w:ilvl w:val="0"/>
          <w:numId w:val="5"/>
        </w:numPr>
        <w:spacing w:line="360" w:lineRule="auto"/>
        <w:rPr>
          <w:rFonts w:ascii="Arial" w:hAnsi="Arial" w:cs="Arial"/>
          <w:sz w:val="22"/>
          <w:szCs w:val="22"/>
        </w:rPr>
      </w:pPr>
      <w:r w:rsidRPr="00C071FB">
        <w:rPr>
          <w:rFonts w:ascii="Arial" w:hAnsi="Arial" w:cs="Arial"/>
          <w:sz w:val="22"/>
          <w:szCs w:val="22"/>
        </w:rPr>
        <w:t>Diversification – entering entirely new markets such as fintech</w:t>
      </w:r>
    </w:p>
    <w:p w14:paraId="7ED05C68"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Among these options, a combination of product development and market development is most suitable for Vodafone.</w:t>
      </w:r>
    </w:p>
    <w:p w14:paraId="1A76086E"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Proposed Strategy: Differentiation through 5G Digital Ecosystems</w:t>
      </w:r>
    </w:p>
    <w:p w14:paraId="3D2E272C"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This report recommends that Vodafone adopts a differentiation strategy focused on delivering advanced digital services powered by its 5G network.</w:t>
      </w:r>
    </w:p>
    <w:p w14:paraId="2EA19A34"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Key elements of this strategy include:</w:t>
      </w:r>
    </w:p>
    <w:p w14:paraId="08A580DB" w14:textId="77777777" w:rsidR="00C071FB" w:rsidRPr="00C071FB" w:rsidRDefault="00C071FB" w:rsidP="00C071FB">
      <w:pPr>
        <w:numPr>
          <w:ilvl w:val="0"/>
          <w:numId w:val="6"/>
        </w:numPr>
        <w:spacing w:line="360" w:lineRule="auto"/>
        <w:rPr>
          <w:rFonts w:ascii="Arial" w:hAnsi="Arial" w:cs="Arial"/>
          <w:sz w:val="22"/>
          <w:szCs w:val="22"/>
        </w:rPr>
      </w:pPr>
      <w:r w:rsidRPr="00C071FB">
        <w:rPr>
          <w:rFonts w:ascii="Arial" w:hAnsi="Arial" w:cs="Arial"/>
          <w:sz w:val="22"/>
          <w:szCs w:val="22"/>
        </w:rPr>
        <w:t>Developing a high-quality 5G standalone network</w:t>
      </w:r>
    </w:p>
    <w:p w14:paraId="504CFB5E" w14:textId="77777777" w:rsidR="00C071FB" w:rsidRPr="00C071FB" w:rsidRDefault="00C071FB" w:rsidP="00C071FB">
      <w:pPr>
        <w:numPr>
          <w:ilvl w:val="0"/>
          <w:numId w:val="6"/>
        </w:numPr>
        <w:spacing w:line="360" w:lineRule="auto"/>
        <w:rPr>
          <w:rFonts w:ascii="Arial" w:hAnsi="Arial" w:cs="Arial"/>
          <w:sz w:val="22"/>
          <w:szCs w:val="22"/>
        </w:rPr>
      </w:pPr>
      <w:r w:rsidRPr="00C071FB">
        <w:rPr>
          <w:rFonts w:ascii="Arial" w:hAnsi="Arial" w:cs="Arial"/>
          <w:sz w:val="22"/>
          <w:szCs w:val="22"/>
        </w:rPr>
        <w:t>Expanding enterprise solutions such as IoT and cloud services</w:t>
      </w:r>
    </w:p>
    <w:p w14:paraId="34542CA0" w14:textId="77777777" w:rsidR="00C071FB" w:rsidRPr="00C071FB" w:rsidRDefault="00C071FB" w:rsidP="00C071FB">
      <w:pPr>
        <w:numPr>
          <w:ilvl w:val="0"/>
          <w:numId w:val="6"/>
        </w:numPr>
        <w:spacing w:line="360" w:lineRule="auto"/>
        <w:rPr>
          <w:rFonts w:ascii="Arial" w:hAnsi="Arial" w:cs="Arial"/>
          <w:sz w:val="22"/>
          <w:szCs w:val="22"/>
        </w:rPr>
      </w:pPr>
      <w:r w:rsidRPr="00C071FB">
        <w:rPr>
          <w:rFonts w:ascii="Arial" w:hAnsi="Arial" w:cs="Arial"/>
          <w:sz w:val="22"/>
          <w:szCs w:val="22"/>
        </w:rPr>
        <w:t>Offering bundled services combining connectivity and digital platforms</w:t>
      </w:r>
    </w:p>
    <w:p w14:paraId="1C40CA0C" w14:textId="77777777" w:rsidR="00C071FB" w:rsidRPr="00C071FB" w:rsidRDefault="00C071FB" w:rsidP="00C071FB">
      <w:pPr>
        <w:numPr>
          <w:ilvl w:val="0"/>
          <w:numId w:val="6"/>
        </w:numPr>
        <w:spacing w:line="360" w:lineRule="auto"/>
        <w:rPr>
          <w:rFonts w:ascii="Arial" w:hAnsi="Arial" w:cs="Arial"/>
          <w:sz w:val="22"/>
          <w:szCs w:val="22"/>
        </w:rPr>
      </w:pPr>
      <w:r w:rsidRPr="00C071FB">
        <w:rPr>
          <w:rFonts w:ascii="Arial" w:hAnsi="Arial" w:cs="Arial"/>
          <w:sz w:val="22"/>
          <w:szCs w:val="22"/>
        </w:rPr>
        <w:t>Enhancing customer experience through innovation</w:t>
      </w:r>
    </w:p>
    <w:p w14:paraId="7C93F29E"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Justification using Porter’s Generic Strategies</w:t>
      </w:r>
    </w:p>
    <w:p w14:paraId="52CF8372"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Porter’s framework suggests that firms can compete through cost leadership, differentiation, or focus strategies. In Vodafone’s case, competing on cost alone is not sustainable due to high infrastructure costs and fierce competition. Instead, differentiation allows Vodafone to offer unique value to customers through superior technology and services.</w:t>
      </w:r>
    </w:p>
    <w:p w14:paraId="7DF2838D"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Alignment with Vodafone’s Strategy</w:t>
      </w:r>
    </w:p>
    <w:p w14:paraId="5BADC1F1"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This strategy aligns closely with Vodafone’s existing goals of improving customer experience and driving digital transformation. It also supports the company’s investment in 5G infrastructure and its focus on enterprise services.</w:t>
      </w:r>
    </w:p>
    <w:p w14:paraId="33F60EFF"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Comparison with Competitors</w:t>
      </w:r>
    </w:p>
    <w:p w14:paraId="4FB2A94F" w14:textId="0A3FF99A"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Competitors such as BT/EE also invest heavily in network quality, but Vodafone can differentiate itself by creating integrated digital ecosystems that combine connectivity with value-added services. This approach allows Vodafone to move beyond traditional telecom offerings and create new revenue streams.</w:t>
      </w:r>
    </w:p>
    <w:p w14:paraId="14162068" w14:textId="4650CBDD" w:rsidR="00C071FB" w:rsidRPr="00C071FB" w:rsidRDefault="00C071FB" w:rsidP="00391CF6">
      <w:pPr>
        <w:pStyle w:val="Heading1"/>
      </w:pPr>
      <w:bookmarkStart w:id="7" w:name="_Toc234597017"/>
      <w:r w:rsidRPr="00C071FB">
        <w:lastRenderedPageBreak/>
        <w:t>5. Strategy Evaluation</w:t>
      </w:r>
      <w:bookmarkEnd w:id="7"/>
      <w:r w:rsidRPr="00C071FB">
        <w:t xml:space="preserve"> </w:t>
      </w:r>
    </w:p>
    <w:p w14:paraId="2FE5EE0E"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The proposed strategy can be evaluated using the SAF framework (Suitability, Acceptability, Feasibility).</w:t>
      </w:r>
    </w:p>
    <w:p w14:paraId="22EA5260"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Suitability</w:t>
      </w:r>
    </w:p>
    <w:p w14:paraId="1266E4B3"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The strategy is suitable as it aligns with current market trends, including digitalisation, increasing data usage, and demand for advanced connectivity. It leverages Vodafone’s strengths in technology and scale while addressing competitive pressures. Furthermore, it supports Vodafone’s long-term growth objectives and positions the company as a leader in innovation.</w:t>
      </w:r>
    </w:p>
    <w:p w14:paraId="106066DF"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Acceptability</w:t>
      </w:r>
    </w:p>
    <w:p w14:paraId="5D572332"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From a stakeholder perspective, the strategy is acceptable as it offers long-term value creation. Shareholders are likely to benefit from increased profitability and growth, while customers gain access to improved services. However, the strategy may involve short-term costs and risks, particularly related to network investment and integration.</w:t>
      </w:r>
    </w:p>
    <w:p w14:paraId="72EE191E"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Feasibility</w:t>
      </w:r>
    </w:p>
    <w:p w14:paraId="33467994"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Vodafone has the financial and operational resources required to implement the strategy. The £11 billion investment in 5G infrastructure demonstrates strong financial commitment (Vodafone, 2025a).  Additionally, partnerships with technology providers support implementation.</w:t>
      </w:r>
    </w:p>
    <w:p w14:paraId="31B2E8FA"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Risk Considerations</w:t>
      </w:r>
    </w:p>
    <w:p w14:paraId="37A079DD" w14:textId="77777777" w:rsidR="00C071FB" w:rsidRPr="00C071FB" w:rsidRDefault="00C071FB" w:rsidP="00C071FB">
      <w:pPr>
        <w:numPr>
          <w:ilvl w:val="0"/>
          <w:numId w:val="7"/>
        </w:numPr>
        <w:spacing w:line="360" w:lineRule="auto"/>
        <w:rPr>
          <w:rFonts w:ascii="Arial" w:hAnsi="Arial" w:cs="Arial"/>
          <w:sz w:val="22"/>
          <w:szCs w:val="22"/>
        </w:rPr>
      </w:pPr>
      <w:r w:rsidRPr="00C071FB">
        <w:rPr>
          <w:rFonts w:ascii="Arial" w:hAnsi="Arial" w:cs="Arial"/>
          <w:sz w:val="22"/>
          <w:szCs w:val="22"/>
        </w:rPr>
        <w:t>Integration risks between Vodafone and Three</w:t>
      </w:r>
    </w:p>
    <w:p w14:paraId="226FF239" w14:textId="77777777" w:rsidR="00C071FB" w:rsidRPr="00C071FB" w:rsidRDefault="00C071FB" w:rsidP="00C071FB">
      <w:pPr>
        <w:numPr>
          <w:ilvl w:val="0"/>
          <w:numId w:val="7"/>
        </w:numPr>
        <w:spacing w:line="360" w:lineRule="auto"/>
        <w:rPr>
          <w:rFonts w:ascii="Arial" w:hAnsi="Arial" w:cs="Arial"/>
          <w:sz w:val="22"/>
          <w:szCs w:val="22"/>
        </w:rPr>
      </w:pPr>
      <w:r w:rsidRPr="00C071FB">
        <w:rPr>
          <w:rFonts w:ascii="Arial" w:hAnsi="Arial" w:cs="Arial"/>
          <w:sz w:val="22"/>
          <w:szCs w:val="22"/>
        </w:rPr>
        <w:t>High capital expenditure</w:t>
      </w:r>
    </w:p>
    <w:p w14:paraId="3BAC2D81" w14:textId="77777777" w:rsidR="00C071FB" w:rsidRPr="00C071FB" w:rsidRDefault="00C071FB" w:rsidP="00C071FB">
      <w:pPr>
        <w:numPr>
          <w:ilvl w:val="0"/>
          <w:numId w:val="7"/>
        </w:numPr>
        <w:spacing w:line="360" w:lineRule="auto"/>
        <w:rPr>
          <w:rFonts w:ascii="Arial" w:hAnsi="Arial" w:cs="Arial"/>
          <w:sz w:val="22"/>
          <w:szCs w:val="22"/>
        </w:rPr>
      </w:pPr>
      <w:r w:rsidRPr="00C071FB">
        <w:rPr>
          <w:rFonts w:ascii="Arial" w:hAnsi="Arial" w:cs="Arial"/>
          <w:sz w:val="22"/>
          <w:szCs w:val="22"/>
        </w:rPr>
        <w:t>Competitive responses from rivals</w:t>
      </w:r>
    </w:p>
    <w:p w14:paraId="575A7B90"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Alternative Strategies Considered</w:t>
      </w:r>
    </w:p>
    <w:p w14:paraId="45432B03"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A cost leadership strategy was considered but rejected due to high infrastructure costs. Diversification into unrelated industries was also deemed too risky.</w:t>
      </w:r>
    </w:p>
    <w:p w14:paraId="3CD5FAEA"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Assumptions</w:t>
      </w:r>
    </w:p>
    <w:p w14:paraId="7807C144" w14:textId="77777777" w:rsidR="00C071FB" w:rsidRPr="00C071FB" w:rsidRDefault="00C071FB" w:rsidP="00C071FB">
      <w:pPr>
        <w:numPr>
          <w:ilvl w:val="0"/>
          <w:numId w:val="8"/>
        </w:numPr>
        <w:spacing w:line="360" w:lineRule="auto"/>
        <w:rPr>
          <w:rFonts w:ascii="Arial" w:hAnsi="Arial" w:cs="Arial"/>
          <w:sz w:val="22"/>
          <w:szCs w:val="22"/>
        </w:rPr>
      </w:pPr>
      <w:r w:rsidRPr="00C071FB">
        <w:rPr>
          <w:rFonts w:ascii="Arial" w:hAnsi="Arial" w:cs="Arial"/>
          <w:sz w:val="22"/>
          <w:szCs w:val="22"/>
        </w:rPr>
        <w:t>Stable regulatory environment</w:t>
      </w:r>
    </w:p>
    <w:p w14:paraId="5C8E3ADF" w14:textId="77777777" w:rsidR="00C071FB" w:rsidRPr="00C071FB" w:rsidRDefault="00C071FB" w:rsidP="00C071FB">
      <w:pPr>
        <w:numPr>
          <w:ilvl w:val="0"/>
          <w:numId w:val="8"/>
        </w:numPr>
        <w:spacing w:line="360" w:lineRule="auto"/>
        <w:rPr>
          <w:rFonts w:ascii="Arial" w:hAnsi="Arial" w:cs="Arial"/>
          <w:sz w:val="22"/>
          <w:szCs w:val="22"/>
        </w:rPr>
      </w:pPr>
      <w:r w:rsidRPr="00C071FB">
        <w:rPr>
          <w:rFonts w:ascii="Arial" w:hAnsi="Arial" w:cs="Arial"/>
          <w:sz w:val="22"/>
          <w:szCs w:val="22"/>
        </w:rPr>
        <w:t>Continued growth in demand for digital services</w:t>
      </w:r>
    </w:p>
    <w:p w14:paraId="5290E195" w14:textId="54877E8B" w:rsidR="00C071FB" w:rsidRPr="00C071FB" w:rsidRDefault="00C071FB" w:rsidP="00C071FB">
      <w:pPr>
        <w:numPr>
          <w:ilvl w:val="0"/>
          <w:numId w:val="8"/>
        </w:numPr>
        <w:spacing w:line="360" w:lineRule="auto"/>
        <w:rPr>
          <w:rFonts w:ascii="Arial" w:hAnsi="Arial" w:cs="Arial"/>
          <w:sz w:val="22"/>
          <w:szCs w:val="22"/>
        </w:rPr>
      </w:pPr>
      <w:r w:rsidRPr="00C071FB">
        <w:rPr>
          <w:rFonts w:ascii="Arial" w:hAnsi="Arial" w:cs="Arial"/>
          <w:sz w:val="22"/>
          <w:szCs w:val="22"/>
        </w:rPr>
        <w:lastRenderedPageBreak/>
        <w:t>Successful execution of integration</w:t>
      </w:r>
    </w:p>
    <w:p w14:paraId="1B2AE9EC" w14:textId="6D0E70D0" w:rsidR="00C071FB" w:rsidRPr="00C071FB" w:rsidRDefault="00C071FB" w:rsidP="00391CF6">
      <w:pPr>
        <w:pStyle w:val="Heading1"/>
      </w:pPr>
      <w:bookmarkStart w:id="8" w:name="_Toc234597018"/>
      <w:r w:rsidRPr="00C071FB">
        <w:t>6. Stakeholder Analysis</w:t>
      </w:r>
      <w:bookmarkEnd w:id="8"/>
      <w:r w:rsidRPr="00C071FB">
        <w:t xml:space="preserve"> </w:t>
      </w:r>
    </w:p>
    <w:p w14:paraId="585CBF93"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Vodafone’s strategy will impact several key stakeholders, including customers, employees, shareholders, regulators, and suppliers.</w:t>
      </w:r>
    </w:p>
    <w:p w14:paraId="792E571F"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Using Mendelow’s Matrix, stakeholders can be categorised based on their level of power and interest:</w:t>
      </w:r>
    </w:p>
    <w:p w14:paraId="01D12F9C" w14:textId="77777777" w:rsidR="00C071FB" w:rsidRPr="00C071FB" w:rsidRDefault="00C071FB" w:rsidP="00C071FB">
      <w:pPr>
        <w:numPr>
          <w:ilvl w:val="0"/>
          <w:numId w:val="9"/>
        </w:numPr>
        <w:spacing w:line="360" w:lineRule="auto"/>
        <w:rPr>
          <w:rFonts w:ascii="Arial" w:hAnsi="Arial" w:cs="Arial"/>
          <w:sz w:val="22"/>
          <w:szCs w:val="22"/>
        </w:rPr>
      </w:pPr>
      <w:r w:rsidRPr="00C071FB">
        <w:rPr>
          <w:rFonts w:ascii="Arial" w:hAnsi="Arial" w:cs="Arial"/>
          <w:sz w:val="22"/>
          <w:szCs w:val="22"/>
        </w:rPr>
        <w:t>High power, high interest: shareholders and regulators</w:t>
      </w:r>
    </w:p>
    <w:p w14:paraId="511C2426" w14:textId="77777777" w:rsidR="00C071FB" w:rsidRPr="00C071FB" w:rsidRDefault="00C071FB" w:rsidP="00C071FB">
      <w:pPr>
        <w:numPr>
          <w:ilvl w:val="0"/>
          <w:numId w:val="9"/>
        </w:numPr>
        <w:spacing w:line="360" w:lineRule="auto"/>
        <w:rPr>
          <w:rFonts w:ascii="Arial" w:hAnsi="Arial" w:cs="Arial"/>
          <w:sz w:val="22"/>
          <w:szCs w:val="22"/>
        </w:rPr>
      </w:pPr>
      <w:r w:rsidRPr="00C071FB">
        <w:rPr>
          <w:rFonts w:ascii="Arial" w:hAnsi="Arial" w:cs="Arial"/>
          <w:sz w:val="22"/>
          <w:szCs w:val="22"/>
        </w:rPr>
        <w:t>High power, low interest: government</w:t>
      </w:r>
    </w:p>
    <w:p w14:paraId="3FA3B3A7" w14:textId="77777777" w:rsidR="00C071FB" w:rsidRPr="00C071FB" w:rsidRDefault="00C071FB" w:rsidP="00C071FB">
      <w:pPr>
        <w:numPr>
          <w:ilvl w:val="0"/>
          <w:numId w:val="9"/>
        </w:numPr>
        <w:spacing w:line="360" w:lineRule="auto"/>
        <w:rPr>
          <w:rFonts w:ascii="Arial" w:hAnsi="Arial" w:cs="Arial"/>
          <w:sz w:val="22"/>
          <w:szCs w:val="22"/>
        </w:rPr>
      </w:pPr>
      <w:r w:rsidRPr="00C071FB">
        <w:rPr>
          <w:rFonts w:ascii="Arial" w:hAnsi="Arial" w:cs="Arial"/>
          <w:sz w:val="22"/>
          <w:szCs w:val="22"/>
        </w:rPr>
        <w:t>Low power, high interest: customers and employees</w:t>
      </w:r>
    </w:p>
    <w:p w14:paraId="062FE317" w14:textId="77777777" w:rsidR="00C071FB" w:rsidRPr="00C071FB" w:rsidRDefault="00C071FB" w:rsidP="00C071FB">
      <w:pPr>
        <w:numPr>
          <w:ilvl w:val="0"/>
          <w:numId w:val="9"/>
        </w:numPr>
        <w:spacing w:line="360" w:lineRule="auto"/>
        <w:rPr>
          <w:rFonts w:ascii="Arial" w:hAnsi="Arial" w:cs="Arial"/>
          <w:sz w:val="22"/>
          <w:szCs w:val="22"/>
        </w:rPr>
      </w:pPr>
      <w:r w:rsidRPr="00C071FB">
        <w:rPr>
          <w:rFonts w:ascii="Arial" w:hAnsi="Arial" w:cs="Arial"/>
          <w:sz w:val="22"/>
          <w:szCs w:val="22"/>
        </w:rPr>
        <w:t xml:space="preserve">Low power, low interest: </w:t>
      </w:r>
      <w:proofErr w:type="gramStart"/>
      <w:r w:rsidRPr="00C071FB">
        <w:rPr>
          <w:rFonts w:ascii="Arial" w:hAnsi="Arial" w:cs="Arial"/>
          <w:sz w:val="22"/>
          <w:szCs w:val="22"/>
        </w:rPr>
        <w:t>general public</w:t>
      </w:r>
      <w:proofErr w:type="gramEnd"/>
    </w:p>
    <w:p w14:paraId="76279F87"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Stakeholder Impact</w:t>
      </w:r>
    </w:p>
    <w:p w14:paraId="691FE465"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Customers will benefit from improved network quality and innovative services. Employees may experience organisational changes but also gain opportunities for skill development. Shareholders are likely to benefit from increased profitability and long-term growth. Regulators will monitor the strategy to ensure fair competition.</w:t>
      </w:r>
    </w:p>
    <w:p w14:paraId="0789D554"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Stakeholder Engagement Plan</w:t>
      </w:r>
    </w:p>
    <w:p w14:paraId="4DC9BACD" w14:textId="77777777" w:rsidR="00C071FB" w:rsidRPr="00C071FB" w:rsidRDefault="00C071FB" w:rsidP="00C071FB">
      <w:pPr>
        <w:numPr>
          <w:ilvl w:val="0"/>
          <w:numId w:val="10"/>
        </w:numPr>
        <w:spacing w:line="360" w:lineRule="auto"/>
        <w:rPr>
          <w:rFonts w:ascii="Arial" w:hAnsi="Arial" w:cs="Arial"/>
          <w:sz w:val="22"/>
          <w:szCs w:val="22"/>
        </w:rPr>
      </w:pPr>
      <w:r w:rsidRPr="00C071FB">
        <w:rPr>
          <w:rFonts w:ascii="Arial" w:hAnsi="Arial" w:cs="Arial"/>
          <w:sz w:val="22"/>
          <w:szCs w:val="22"/>
        </w:rPr>
        <w:t>Regular communication with regulators to ensure compliance</w:t>
      </w:r>
    </w:p>
    <w:p w14:paraId="4F1028A8" w14:textId="77777777" w:rsidR="00C071FB" w:rsidRPr="00C071FB" w:rsidRDefault="00C071FB" w:rsidP="00C071FB">
      <w:pPr>
        <w:numPr>
          <w:ilvl w:val="0"/>
          <w:numId w:val="10"/>
        </w:numPr>
        <w:spacing w:line="360" w:lineRule="auto"/>
        <w:rPr>
          <w:rFonts w:ascii="Arial" w:hAnsi="Arial" w:cs="Arial"/>
          <w:sz w:val="22"/>
          <w:szCs w:val="22"/>
        </w:rPr>
      </w:pPr>
      <w:r w:rsidRPr="00C071FB">
        <w:rPr>
          <w:rFonts w:ascii="Arial" w:hAnsi="Arial" w:cs="Arial"/>
          <w:sz w:val="22"/>
          <w:szCs w:val="22"/>
        </w:rPr>
        <w:t>Customer engagement through marketing and feedback initiatives</w:t>
      </w:r>
    </w:p>
    <w:p w14:paraId="39F49B3C" w14:textId="77777777" w:rsidR="00C071FB" w:rsidRPr="00C071FB" w:rsidRDefault="00C071FB" w:rsidP="00C071FB">
      <w:pPr>
        <w:numPr>
          <w:ilvl w:val="0"/>
          <w:numId w:val="10"/>
        </w:numPr>
        <w:spacing w:line="360" w:lineRule="auto"/>
        <w:rPr>
          <w:rFonts w:ascii="Arial" w:hAnsi="Arial" w:cs="Arial"/>
          <w:sz w:val="22"/>
          <w:szCs w:val="22"/>
        </w:rPr>
      </w:pPr>
      <w:r w:rsidRPr="00C071FB">
        <w:rPr>
          <w:rFonts w:ascii="Arial" w:hAnsi="Arial" w:cs="Arial"/>
          <w:sz w:val="22"/>
          <w:szCs w:val="22"/>
        </w:rPr>
        <w:t>Employee training programmes to support digital transformation</w:t>
      </w:r>
    </w:p>
    <w:p w14:paraId="4F893B75" w14:textId="15FD4738" w:rsidR="00C071FB" w:rsidRPr="00C071FB" w:rsidRDefault="00C071FB" w:rsidP="00C071FB">
      <w:pPr>
        <w:numPr>
          <w:ilvl w:val="0"/>
          <w:numId w:val="10"/>
        </w:numPr>
        <w:spacing w:line="360" w:lineRule="auto"/>
        <w:rPr>
          <w:rFonts w:ascii="Arial" w:hAnsi="Arial" w:cs="Arial"/>
          <w:sz w:val="22"/>
          <w:szCs w:val="22"/>
        </w:rPr>
      </w:pPr>
      <w:r w:rsidRPr="00C071FB">
        <w:rPr>
          <w:rFonts w:ascii="Arial" w:hAnsi="Arial" w:cs="Arial"/>
          <w:sz w:val="22"/>
          <w:szCs w:val="22"/>
        </w:rPr>
        <w:t>Strong relationships with suppliers to support innovation</w:t>
      </w:r>
    </w:p>
    <w:p w14:paraId="5EBAD0AB" w14:textId="30A1E78B" w:rsidR="00C071FB" w:rsidRPr="00C071FB" w:rsidRDefault="00C071FB" w:rsidP="00C071FB">
      <w:pPr>
        <w:spacing w:line="360" w:lineRule="auto"/>
        <w:rPr>
          <w:rFonts w:ascii="Arial" w:hAnsi="Arial" w:cs="Arial"/>
          <w:sz w:val="22"/>
          <w:szCs w:val="22"/>
        </w:rPr>
      </w:pPr>
      <w:r w:rsidRPr="00C071FB">
        <w:rPr>
          <w:rFonts w:ascii="Arial" w:hAnsi="Arial" w:cs="Arial"/>
          <w:b/>
          <w:bCs/>
          <w:sz w:val="22"/>
          <w:szCs w:val="22"/>
        </w:rPr>
        <w:t>7. Implementation and Monitoring</w:t>
      </w:r>
      <w:r w:rsidRPr="00C071FB">
        <w:rPr>
          <w:rFonts w:ascii="Arial" w:hAnsi="Arial" w:cs="Arial"/>
          <w:sz w:val="22"/>
          <w:szCs w:val="22"/>
        </w:rPr>
        <w:t xml:space="preserve"> </w:t>
      </w:r>
    </w:p>
    <w:p w14:paraId="3FE40FCE"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Objectives</w:t>
      </w:r>
    </w:p>
    <w:p w14:paraId="2B3F29F4" w14:textId="77777777" w:rsidR="00C071FB" w:rsidRPr="00C071FB" w:rsidRDefault="00C071FB" w:rsidP="00C071FB">
      <w:pPr>
        <w:numPr>
          <w:ilvl w:val="0"/>
          <w:numId w:val="11"/>
        </w:numPr>
        <w:spacing w:line="360" w:lineRule="auto"/>
        <w:rPr>
          <w:rFonts w:ascii="Arial" w:hAnsi="Arial" w:cs="Arial"/>
          <w:sz w:val="22"/>
          <w:szCs w:val="22"/>
        </w:rPr>
      </w:pPr>
      <w:r w:rsidRPr="00C071FB">
        <w:rPr>
          <w:rFonts w:ascii="Arial" w:hAnsi="Arial" w:cs="Arial"/>
          <w:sz w:val="22"/>
          <w:szCs w:val="22"/>
        </w:rPr>
        <w:t>Achieve market leadership in 5G connectivity</w:t>
      </w:r>
    </w:p>
    <w:p w14:paraId="3139407F" w14:textId="77777777" w:rsidR="00C071FB" w:rsidRPr="00C071FB" w:rsidRDefault="00C071FB" w:rsidP="00C071FB">
      <w:pPr>
        <w:numPr>
          <w:ilvl w:val="0"/>
          <w:numId w:val="11"/>
        </w:numPr>
        <w:spacing w:line="360" w:lineRule="auto"/>
        <w:rPr>
          <w:rFonts w:ascii="Arial" w:hAnsi="Arial" w:cs="Arial"/>
          <w:sz w:val="22"/>
          <w:szCs w:val="22"/>
        </w:rPr>
      </w:pPr>
      <w:r w:rsidRPr="00C071FB">
        <w:rPr>
          <w:rFonts w:ascii="Arial" w:hAnsi="Arial" w:cs="Arial"/>
          <w:sz w:val="22"/>
          <w:szCs w:val="22"/>
        </w:rPr>
        <w:t>Increase market share in the UK</w:t>
      </w:r>
    </w:p>
    <w:p w14:paraId="7C6C0D38" w14:textId="77777777" w:rsidR="00C071FB" w:rsidRPr="00C071FB" w:rsidRDefault="00C071FB" w:rsidP="00C071FB">
      <w:pPr>
        <w:numPr>
          <w:ilvl w:val="0"/>
          <w:numId w:val="11"/>
        </w:numPr>
        <w:spacing w:line="360" w:lineRule="auto"/>
        <w:rPr>
          <w:rFonts w:ascii="Arial" w:hAnsi="Arial" w:cs="Arial"/>
          <w:sz w:val="22"/>
          <w:szCs w:val="22"/>
        </w:rPr>
      </w:pPr>
      <w:r w:rsidRPr="00C071FB">
        <w:rPr>
          <w:rFonts w:ascii="Arial" w:hAnsi="Arial" w:cs="Arial"/>
          <w:sz w:val="22"/>
          <w:szCs w:val="22"/>
        </w:rPr>
        <w:t>Expand digital service offerings</w:t>
      </w:r>
    </w:p>
    <w:p w14:paraId="58440950"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Key Actions</w:t>
      </w:r>
    </w:p>
    <w:p w14:paraId="45263886" w14:textId="77777777" w:rsidR="00C071FB" w:rsidRPr="00C071FB" w:rsidRDefault="00C071FB" w:rsidP="00C071FB">
      <w:pPr>
        <w:numPr>
          <w:ilvl w:val="0"/>
          <w:numId w:val="12"/>
        </w:numPr>
        <w:spacing w:line="360" w:lineRule="auto"/>
        <w:rPr>
          <w:rFonts w:ascii="Arial" w:hAnsi="Arial" w:cs="Arial"/>
          <w:sz w:val="22"/>
          <w:szCs w:val="22"/>
        </w:rPr>
      </w:pPr>
      <w:r w:rsidRPr="00C071FB">
        <w:rPr>
          <w:rFonts w:ascii="Arial" w:hAnsi="Arial" w:cs="Arial"/>
          <w:sz w:val="22"/>
          <w:szCs w:val="22"/>
        </w:rPr>
        <w:t>Invest in network infrastructure</w:t>
      </w:r>
    </w:p>
    <w:p w14:paraId="66534D2F" w14:textId="77777777" w:rsidR="00C071FB" w:rsidRPr="00C071FB" w:rsidRDefault="00C071FB" w:rsidP="00C071FB">
      <w:pPr>
        <w:numPr>
          <w:ilvl w:val="0"/>
          <w:numId w:val="12"/>
        </w:numPr>
        <w:spacing w:line="360" w:lineRule="auto"/>
        <w:rPr>
          <w:rFonts w:ascii="Arial" w:hAnsi="Arial" w:cs="Arial"/>
          <w:sz w:val="22"/>
          <w:szCs w:val="22"/>
        </w:rPr>
      </w:pPr>
      <w:r w:rsidRPr="00C071FB">
        <w:rPr>
          <w:rFonts w:ascii="Arial" w:hAnsi="Arial" w:cs="Arial"/>
          <w:sz w:val="22"/>
          <w:szCs w:val="22"/>
        </w:rPr>
        <w:lastRenderedPageBreak/>
        <w:t>Integrate Vodafone and Three operations</w:t>
      </w:r>
    </w:p>
    <w:p w14:paraId="24C5027B" w14:textId="77777777" w:rsidR="00C071FB" w:rsidRPr="00C071FB" w:rsidRDefault="00C071FB" w:rsidP="00C071FB">
      <w:pPr>
        <w:numPr>
          <w:ilvl w:val="0"/>
          <w:numId w:val="12"/>
        </w:numPr>
        <w:spacing w:line="360" w:lineRule="auto"/>
        <w:rPr>
          <w:rFonts w:ascii="Arial" w:hAnsi="Arial" w:cs="Arial"/>
          <w:sz w:val="22"/>
          <w:szCs w:val="22"/>
        </w:rPr>
      </w:pPr>
      <w:r w:rsidRPr="00C071FB">
        <w:rPr>
          <w:rFonts w:ascii="Arial" w:hAnsi="Arial" w:cs="Arial"/>
          <w:sz w:val="22"/>
          <w:szCs w:val="22"/>
        </w:rPr>
        <w:t>Develop enterprise services</w:t>
      </w:r>
    </w:p>
    <w:p w14:paraId="34FCEC92" w14:textId="77777777" w:rsidR="00C071FB" w:rsidRPr="00C071FB" w:rsidRDefault="00C071FB" w:rsidP="00C071FB">
      <w:pPr>
        <w:numPr>
          <w:ilvl w:val="0"/>
          <w:numId w:val="12"/>
        </w:numPr>
        <w:spacing w:line="360" w:lineRule="auto"/>
        <w:rPr>
          <w:rFonts w:ascii="Arial" w:hAnsi="Arial" w:cs="Arial"/>
          <w:sz w:val="22"/>
          <w:szCs w:val="22"/>
        </w:rPr>
      </w:pPr>
      <w:r w:rsidRPr="00C071FB">
        <w:rPr>
          <w:rFonts w:ascii="Arial" w:hAnsi="Arial" w:cs="Arial"/>
          <w:sz w:val="22"/>
          <w:szCs w:val="22"/>
        </w:rPr>
        <w:t>Form strategic partnerships</w:t>
      </w:r>
    </w:p>
    <w:p w14:paraId="660C663E"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KPIs</w:t>
      </w:r>
    </w:p>
    <w:p w14:paraId="04BB4420" w14:textId="77777777" w:rsidR="00C071FB" w:rsidRPr="00C071FB" w:rsidRDefault="00C071FB" w:rsidP="00C071FB">
      <w:pPr>
        <w:numPr>
          <w:ilvl w:val="0"/>
          <w:numId w:val="13"/>
        </w:numPr>
        <w:spacing w:line="360" w:lineRule="auto"/>
        <w:rPr>
          <w:rFonts w:ascii="Arial" w:hAnsi="Arial" w:cs="Arial"/>
          <w:sz w:val="22"/>
          <w:szCs w:val="22"/>
        </w:rPr>
      </w:pPr>
      <w:r w:rsidRPr="00C071FB">
        <w:rPr>
          <w:rFonts w:ascii="Arial" w:hAnsi="Arial" w:cs="Arial"/>
          <w:sz w:val="22"/>
          <w:szCs w:val="22"/>
        </w:rPr>
        <w:t>5G coverage (population %)</w:t>
      </w:r>
    </w:p>
    <w:p w14:paraId="1F312CCF" w14:textId="77777777" w:rsidR="00C071FB" w:rsidRPr="00C071FB" w:rsidRDefault="00C071FB" w:rsidP="00C071FB">
      <w:pPr>
        <w:numPr>
          <w:ilvl w:val="0"/>
          <w:numId w:val="13"/>
        </w:numPr>
        <w:spacing w:line="360" w:lineRule="auto"/>
        <w:rPr>
          <w:rFonts w:ascii="Arial" w:hAnsi="Arial" w:cs="Arial"/>
          <w:sz w:val="22"/>
          <w:szCs w:val="22"/>
        </w:rPr>
      </w:pPr>
      <w:r w:rsidRPr="00C071FB">
        <w:rPr>
          <w:rFonts w:ascii="Arial" w:hAnsi="Arial" w:cs="Arial"/>
          <w:sz w:val="22"/>
          <w:szCs w:val="22"/>
        </w:rPr>
        <w:t>Revenue growth</w:t>
      </w:r>
    </w:p>
    <w:p w14:paraId="3C90C8FB" w14:textId="77777777" w:rsidR="00C071FB" w:rsidRPr="00C071FB" w:rsidRDefault="00C071FB" w:rsidP="00C071FB">
      <w:pPr>
        <w:numPr>
          <w:ilvl w:val="0"/>
          <w:numId w:val="13"/>
        </w:numPr>
        <w:spacing w:line="360" w:lineRule="auto"/>
        <w:rPr>
          <w:rFonts w:ascii="Arial" w:hAnsi="Arial" w:cs="Arial"/>
          <w:sz w:val="22"/>
          <w:szCs w:val="22"/>
        </w:rPr>
      </w:pPr>
      <w:r w:rsidRPr="00C071FB">
        <w:rPr>
          <w:rFonts w:ascii="Arial" w:hAnsi="Arial" w:cs="Arial"/>
          <w:sz w:val="22"/>
          <w:szCs w:val="22"/>
        </w:rPr>
        <w:t>Customer satisfaction (NPS)</w:t>
      </w:r>
    </w:p>
    <w:p w14:paraId="197B1F7A" w14:textId="77777777" w:rsidR="00C071FB" w:rsidRPr="00C071FB" w:rsidRDefault="00C071FB" w:rsidP="00C071FB">
      <w:pPr>
        <w:numPr>
          <w:ilvl w:val="0"/>
          <w:numId w:val="13"/>
        </w:numPr>
        <w:spacing w:line="360" w:lineRule="auto"/>
        <w:rPr>
          <w:rFonts w:ascii="Arial" w:hAnsi="Arial" w:cs="Arial"/>
          <w:sz w:val="22"/>
          <w:szCs w:val="22"/>
        </w:rPr>
      </w:pPr>
      <w:r w:rsidRPr="00C071FB">
        <w:rPr>
          <w:rFonts w:ascii="Arial" w:hAnsi="Arial" w:cs="Arial"/>
          <w:sz w:val="22"/>
          <w:szCs w:val="22"/>
        </w:rPr>
        <w:t>Market share</w:t>
      </w:r>
    </w:p>
    <w:p w14:paraId="23733A14" w14:textId="77777777" w:rsidR="00C071FB" w:rsidRPr="00C071FB" w:rsidRDefault="00C071FB" w:rsidP="00C071FB">
      <w:pPr>
        <w:numPr>
          <w:ilvl w:val="0"/>
          <w:numId w:val="13"/>
        </w:numPr>
        <w:spacing w:line="360" w:lineRule="auto"/>
        <w:rPr>
          <w:rFonts w:ascii="Arial" w:hAnsi="Arial" w:cs="Arial"/>
          <w:sz w:val="22"/>
          <w:szCs w:val="22"/>
        </w:rPr>
      </w:pPr>
      <w:r w:rsidRPr="00C071FB">
        <w:rPr>
          <w:rFonts w:ascii="Arial" w:hAnsi="Arial" w:cs="Arial"/>
          <w:sz w:val="22"/>
          <w:szCs w:val="22"/>
        </w:rPr>
        <w:t>Cost synergies achieved</w:t>
      </w:r>
    </w:p>
    <w:p w14:paraId="1687D1EE"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Timeline</w:t>
      </w:r>
    </w:p>
    <w:p w14:paraId="738D67EE" w14:textId="77777777" w:rsidR="00C071FB" w:rsidRPr="00C071FB" w:rsidRDefault="00C071FB" w:rsidP="00C071FB">
      <w:pPr>
        <w:numPr>
          <w:ilvl w:val="0"/>
          <w:numId w:val="14"/>
        </w:numPr>
        <w:spacing w:line="360" w:lineRule="auto"/>
        <w:rPr>
          <w:rFonts w:ascii="Arial" w:hAnsi="Arial" w:cs="Arial"/>
          <w:sz w:val="22"/>
          <w:szCs w:val="22"/>
        </w:rPr>
      </w:pPr>
      <w:r w:rsidRPr="00C071FB">
        <w:rPr>
          <w:rFonts w:ascii="Arial" w:hAnsi="Arial" w:cs="Arial"/>
          <w:sz w:val="22"/>
          <w:szCs w:val="22"/>
        </w:rPr>
        <w:t>Short term (1–2 years): integration and rollout</w:t>
      </w:r>
    </w:p>
    <w:p w14:paraId="12D918D0" w14:textId="77777777" w:rsidR="00C071FB" w:rsidRPr="00C071FB" w:rsidRDefault="00C071FB" w:rsidP="00C071FB">
      <w:pPr>
        <w:numPr>
          <w:ilvl w:val="0"/>
          <w:numId w:val="14"/>
        </w:numPr>
        <w:spacing w:line="360" w:lineRule="auto"/>
        <w:rPr>
          <w:rFonts w:ascii="Arial" w:hAnsi="Arial" w:cs="Arial"/>
          <w:sz w:val="22"/>
          <w:szCs w:val="22"/>
        </w:rPr>
      </w:pPr>
      <w:r w:rsidRPr="00C071FB">
        <w:rPr>
          <w:rFonts w:ascii="Arial" w:hAnsi="Arial" w:cs="Arial"/>
          <w:sz w:val="22"/>
          <w:szCs w:val="22"/>
        </w:rPr>
        <w:t>Medium term (3–5 years): service expansion</w:t>
      </w:r>
    </w:p>
    <w:p w14:paraId="2D99A713" w14:textId="77777777" w:rsidR="00C071FB" w:rsidRPr="00C071FB" w:rsidRDefault="00C071FB" w:rsidP="00C071FB">
      <w:pPr>
        <w:numPr>
          <w:ilvl w:val="0"/>
          <w:numId w:val="14"/>
        </w:numPr>
        <w:spacing w:line="360" w:lineRule="auto"/>
        <w:rPr>
          <w:rFonts w:ascii="Arial" w:hAnsi="Arial" w:cs="Arial"/>
          <w:sz w:val="22"/>
          <w:szCs w:val="22"/>
        </w:rPr>
      </w:pPr>
      <w:r w:rsidRPr="00C071FB">
        <w:rPr>
          <w:rFonts w:ascii="Arial" w:hAnsi="Arial" w:cs="Arial"/>
          <w:sz w:val="22"/>
          <w:szCs w:val="22"/>
        </w:rPr>
        <w:t>Long term (5+ years): digital ecosystem development</w:t>
      </w:r>
    </w:p>
    <w:p w14:paraId="7AAB50A0"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Monitoring and Control</w:t>
      </w:r>
    </w:p>
    <w:p w14:paraId="19410A54"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Performance will be monitored through regular financial reviews, customer feedback, and benchmarking against competitors.</w:t>
      </w:r>
    </w:p>
    <w:p w14:paraId="6F360A43"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Risk Management</w:t>
      </w:r>
    </w:p>
    <w:p w14:paraId="07348CB4" w14:textId="77777777" w:rsidR="00C071FB" w:rsidRPr="00C071FB" w:rsidRDefault="00C071FB" w:rsidP="00C071FB">
      <w:pPr>
        <w:numPr>
          <w:ilvl w:val="0"/>
          <w:numId w:val="15"/>
        </w:numPr>
        <w:spacing w:line="360" w:lineRule="auto"/>
        <w:rPr>
          <w:rFonts w:ascii="Arial" w:hAnsi="Arial" w:cs="Arial"/>
          <w:sz w:val="22"/>
          <w:szCs w:val="22"/>
        </w:rPr>
      </w:pPr>
      <w:r w:rsidRPr="00C071FB">
        <w:rPr>
          <w:rFonts w:ascii="Arial" w:hAnsi="Arial" w:cs="Arial"/>
          <w:sz w:val="22"/>
          <w:szCs w:val="22"/>
        </w:rPr>
        <w:t>Contingency planning for delays</w:t>
      </w:r>
    </w:p>
    <w:p w14:paraId="06067949" w14:textId="77777777" w:rsidR="00C071FB" w:rsidRPr="00C071FB" w:rsidRDefault="00C071FB" w:rsidP="00C071FB">
      <w:pPr>
        <w:numPr>
          <w:ilvl w:val="0"/>
          <w:numId w:val="15"/>
        </w:numPr>
        <w:spacing w:line="360" w:lineRule="auto"/>
        <w:rPr>
          <w:rFonts w:ascii="Arial" w:hAnsi="Arial" w:cs="Arial"/>
          <w:sz w:val="22"/>
          <w:szCs w:val="22"/>
        </w:rPr>
      </w:pPr>
      <w:r w:rsidRPr="00C071FB">
        <w:rPr>
          <w:rFonts w:ascii="Arial" w:hAnsi="Arial" w:cs="Arial"/>
          <w:sz w:val="22"/>
          <w:szCs w:val="22"/>
        </w:rPr>
        <w:t>Financial control measures</w:t>
      </w:r>
    </w:p>
    <w:p w14:paraId="24CC6131" w14:textId="05A6E668" w:rsidR="00C071FB" w:rsidRPr="00C071FB" w:rsidRDefault="00C071FB" w:rsidP="00C071FB">
      <w:pPr>
        <w:numPr>
          <w:ilvl w:val="0"/>
          <w:numId w:val="15"/>
        </w:numPr>
        <w:spacing w:line="360" w:lineRule="auto"/>
        <w:rPr>
          <w:rFonts w:ascii="Arial" w:hAnsi="Arial" w:cs="Arial"/>
          <w:sz w:val="22"/>
          <w:szCs w:val="22"/>
        </w:rPr>
      </w:pPr>
      <w:r w:rsidRPr="00C071FB">
        <w:rPr>
          <w:rFonts w:ascii="Arial" w:hAnsi="Arial" w:cs="Arial"/>
          <w:sz w:val="22"/>
          <w:szCs w:val="22"/>
        </w:rPr>
        <w:t>Ongoing stakeholder communication</w:t>
      </w:r>
    </w:p>
    <w:p w14:paraId="4FB955FD" w14:textId="65916E07" w:rsidR="00C071FB" w:rsidRPr="00C071FB" w:rsidRDefault="00C071FB" w:rsidP="00391CF6">
      <w:pPr>
        <w:pStyle w:val="Heading1"/>
      </w:pPr>
      <w:bookmarkStart w:id="9" w:name="_Toc234597019"/>
      <w:r w:rsidRPr="00C071FB">
        <w:t>8. Conclusion</w:t>
      </w:r>
      <w:bookmarkEnd w:id="9"/>
      <w:r w:rsidRPr="00C071FB">
        <w:t xml:space="preserve"> </w:t>
      </w:r>
    </w:p>
    <w:p w14:paraId="1424A5CD"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Vodafone’s merger with Three UK marks a significant turning point in its strategic development. While the company operates in a highly competitive and regulated market, it has strong capabilities that can support future growth.</w:t>
      </w:r>
    </w:p>
    <w:p w14:paraId="5CF9699C" w14:textId="77777777"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 xml:space="preserve">The proposed differentiation strategy, focused on 5G-enabled digital ecosystems, provides a clear pathway for Vodafone to strengthen its competitive position. By prioritising innovation, </w:t>
      </w:r>
      <w:r w:rsidRPr="00C071FB">
        <w:rPr>
          <w:rFonts w:ascii="Arial" w:hAnsi="Arial" w:cs="Arial"/>
          <w:sz w:val="22"/>
          <w:szCs w:val="22"/>
        </w:rPr>
        <w:lastRenderedPageBreak/>
        <w:t>customer experience, and enterprise services, Vodafone can move beyond price-based competition and create sustainable value.</w:t>
      </w:r>
    </w:p>
    <w:p w14:paraId="1C5D2373" w14:textId="147A741C"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Successful implementation will require careful management of risks, effective stakeholder engagement, and continuous performance monitoring. Overall, Vodafone is well-positioned to capitalise on emerging opportunities and maintain its role as a key player in the UK telecommunications sector.</w:t>
      </w:r>
    </w:p>
    <w:p w14:paraId="3C25A129" w14:textId="7CDBB6C5" w:rsidR="00C071FB" w:rsidRPr="00C071FB" w:rsidRDefault="00C071FB" w:rsidP="00391CF6">
      <w:pPr>
        <w:pStyle w:val="Heading1"/>
      </w:pPr>
      <w:bookmarkStart w:id="10" w:name="_Toc234597020"/>
      <w:r w:rsidRPr="00C071FB">
        <w:t>Reference List</w:t>
      </w:r>
      <w:bookmarkEnd w:id="10"/>
      <w:r w:rsidRPr="00C071FB">
        <w:t xml:space="preserve"> </w:t>
      </w:r>
    </w:p>
    <w:p w14:paraId="33A60261" w14:textId="77777777" w:rsidR="00F3542F" w:rsidRDefault="00C071FB" w:rsidP="00C071FB">
      <w:pPr>
        <w:spacing w:line="360" w:lineRule="auto"/>
        <w:rPr>
          <w:rFonts w:ascii="Arial" w:hAnsi="Arial" w:cs="Arial"/>
          <w:sz w:val="22"/>
          <w:szCs w:val="22"/>
        </w:rPr>
      </w:pPr>
      <w:r w:rsidRPr="00C071FB">
        <w:rPr>
          <w:rFonts w:ascii="Arial" w:hAnsi="Arial" w:cs="Arial"/>
          <w:sz w:val="22"/>
          <w:szCs w:val="22"/>
        </w:rPr>
        <w:t>Frontier Economics (2025) Vodafone and Three UK merger case study. Available at</w:t>
      </w:r>
      <w:r w:rsidR="00F3542F">
        <w:rPr>
          <w:rFonts w:ascii="Arial" w:hAnsi="Arial" w:cs="Arial"/>
          <w:sz w:val="22"/>
          <w:szCs w:val="22"/>
        </w:rPr>
        <w:t xml:space="preserve">: </w:t>
      </w:r>
    </w:p>
    <w:p w14:paraId="1D9AD00E" w14:textId="153B1366" w:rsidR="00F3542F" w:rsidRDefault="00F3542F" w:rsidP="00C071FB">
      <w:pPr>
        <w:spacing w:line="360" w:lineRule="auto"/>
        <w:rPr>
          <w:rFonts w:ascii="Arial" w:hAnsi="Arial" w:cs="Arial"/>
          <w:sz w:val="22"/>
          <w:szCs w:val="22"/>
        </w:rPr>
      </w:pPr>
      <w:hyperlink r:id="rId7" w:history="1">
        <w:r w:rsidRPr="00065AD5">
          <w:rPr>
            <w:rStyle w:val="Hyperlink"/>
            <w:rFonts w:ascii="Arial" w:hAnsi="Arial" w:cs="Arial"/>
            <w:sz w:val="22"/>
            <w:szCs w:val="22"/>
          </w:rPr>
          <w:t>https://www.frontier-economics.com/uk/en/news-and-insights/case-studies/case-study-i21934-vodafone-and-three-uk-clearing-a-complex-merger-through-efficiency-based-arguments</w:t>
        </w:r>
        <w:r w:rsidRPr="00065AD5">
          <w:rPr>
            <w:rStyle w:val="Hyperlink"/>
            <w:rFonts w:ascii="Arial" w:hAnsi="Arial" w:cs="Arial"/>
            <w:sz w:val="22"/>
            <w:szCs w:val="22"/>
          </w:rPr>
          <w:t>/</w:t>
        </w:r>
      </w:hyperlink>
      <w:r w:rsidRPr="00F3542F">
        <w:rPr>
          <w:rFonts w:ascii="Arial" w:hAnsi="Arial" w:cs="Arial"/>
          <w:sz w:val="22"/>
          <w:szCs w:val="22"/>
        </w:rPr>
        <w:t xml:space="preserve"> </w:t>
      </w:r>
      <w:r w:rsidRPr="00C071FB">
        <w:rPr>
          <w:rFonts w:ascii="Arial" w:hAnsi="Arial" w:cs="Arial"/>
          <w:sz w:val="22"/>
          <w:szCs w:val="22"/>
        </w:rPr>
        <w:t>Accessed: 28 June 2026). </w:t>
      </w:r>
    </w:p>
    <w:p w14:paraId="3CB79FCA" w14:textId="182A7F51" w:rsidR="00F3542F" w:rsidRDefault="00C071FB" w:rsidP="00C071FB">
      <w:pPr>
        <w:spacing w:line="360" w:lineRule="auto"/>
        <w:rPr>
          <w:rFonts w:ascii="Arial" w:hAnsi="Arial" w:cs="Arial"/>
          <w:sz w:val="22"/>
          <w:szCs w:val="22"/>
        </w:rPr>
      </w:pPr>
      <w:r w:rsidRPr="00C071FB">
        <w:rPr>
          <w:rFonts w:ascii="Arial" w:hAnsi="Arial" w:cs="Arial"/>
          <w:sz w:val="22"/>
          <w:szCs w:val="22"/>
        </w:rPr>
        <w:t>Telecom Lead</w:t>
      </w:r>
      <w:r w:rsidRPr="00C071FB">
        <w:rPr>
          <w:rFonts w:ascii="Arial" w:hAnsi="Arial" w:cs="Arial"/>
          <w:sz w:val="22"/>
          <w:szCs w:val="22"/>
        </w:rPr>
        <w:t xml:space="preserve"> (2025) Vodafone fiscal 2025 revenue and strategy. Available at: </w:t>
      </w:r>
      <w:hyperlink r:id="rId8" w:history="1">
        <w:r w:rsidR="00F3542F" w:rsidRPr="00065AD5">
          <w:rPr>
            <w:rStyle w:val="Hyperlink"/>
            <w:rFonts w:ascii="Arial" w:hAnsi="Arial" w:cs="Arial"/>
            <w:sz w:val="22"/>
            <w:szCs w:val="22"/>
          </w:rPr>
          <w:t>https://telecomlead.com/telecom-services/vodafone-fiscal-2025-revenue-subscriber-growth-strategies-121073</w:t>
        </w:r>
      </w:hyperlink>
      <w:r w:rsidR="00F3542F" w:rsidRPr="00C071FB">
        <w:rPr>
          <w:rFonts w:ascii="Arial" w:hAnsi="Arial" w:cs="Arial"/>
          <w:sz w:val="22"/>
          <w:szCs w:val="22"/>
        </w:rPr>
        <w:t> (Accessed: 28 June 2026). </w:t>
      </w:r>
    </w:p>
    <w:p w14:paraId="2019F515" w14:textId="21B551C1"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Vodafone (2025a) Completion of Vodafone and Three merger in the UK. Available at: </w:t>
      </w:r>
      <w:hyperlink r:id="rId9" w:history="1">
        <w:r w:rsidR="00F3542F" w:rsidRPr="00065AD5">
          <w:rPr>
            <w:rStyle w:val="Hyperlink"/>
            <w:rFonts w:ascii="Arial" w:hAnsi="Arial" w:cs="Arial"/>
            <w:sz w:val="22"/>
            <w:szCs w:val="22"/>
          </w:rPr>
          <w:t>https://www.vodafone.co.uk/newscentre/press-release/completion-vodafone-three-merger-uk/</w:t>
        </w:r>
      </w:hyperlink>
      <w:r w:rsidR="00F3542F">
        <w:rPr>
          <w:rFonts w:ascii="Arial" w:hAnsi="Arial" w:cs="Arial"/>
          <w:sz w:val="22"/>
          <w:szCs w:val="22"/>
        </w:rPr>
        <w:t xml:space="preserve"> </w:t>
      </w:r>
      <w:r w:rsidR="00F3542F" w:rsidRPr="00C071FB">
        <w:rPr>
          <w:rFonts w:ascii="Arial" w:hAnsi="Arial" w:cs="Arial"/>
          <w:sz w:val="22"/>
          <w:szCs w:val="22"/>
        </w:rPr>
        <w:t>(Accessed: 28 June 2026). </w:t>
      </w:r>
    </w:p>
    <w:p w14:paraId="317795A4" w14:textId="05252D7C" w:rsidR="00F3542F" w:rsidRDefault="00C071FB" w:rsidP="00C071FB">
      <w:pPr>
        <w:spacing w:line="360" w:lineRule="auto"/>
        <w:rPr>
          <w:rFonts w:ascii="Arial" w:hAnsi="Arial" w:cs="Arial"/>
          <w:sz w:val="22"/>
          <w:szCs w:val="22"/>
        </w:rPr>
      </w:pPr>
      <w:r w:rsidRPr="00C071FB">
        <w:rPr>
          <w:rFonts w:ascii="Arial" w:hAnsi="Arial" w:cs="Arial"/>
          <w:sz w:val="22"/>
          <w:szCs w:val="22"/>
        </w:rPr>
        <w:t>Vodafone Group (2025) FY25 Results Presentation. Available at: </w:t>
      </w:r>
      <w:hyperlink r:id="rId10" w:history="1">
        <w:r w:rsidR="00F3542F" w:rsidRPr="00065AD5">
          <w:rPr>
            <w:rStyle w:val="Hyperlink"/>
            <w:rFonts w:ascii="Arial" w:hAnsi="Arial" w:cs="Arial"/>
            <w:sz w:val="22"/>
            <w:szCs w:val="22"/>
          </w:rPr>
          <w:t>https://reports.investors.vodafone.com/view/406906096/3/</w:t>
        </w:r>
      </w:hyperlink>
      <w:r w:rsidR="00F3542F" w:rsidRPr="00C071FB">
        <w:rPr>
          <w:rFonts w:ascii="Arial" w:hAnsi="Arial" w:cs="Arial"/>
          <w:sz w:val="22"/>
          <w:szCs w:val="22"/>
        </w:rPr>
        <w:t> (Accessed: 28 June 2026). </w:t>
      </w:r>
    </w:p>
    <w:p w14:paraId="7852D58A" w14:textId="13013045" w:rsidR="00C071FB" w:rsidRPr="00C071FB" w:rsidRDefault="00C071FB" w:rsidP="00C071FB">
      <w:pPr>
        <w:spacing w:line="360" w:lineRule="auto"/>
        <w:rPr>
          <w:rFonts w:ascii="Arial" w:hAnsi="Arial" w:cs="Arial"/>
          <w:sz w:val="22"/>
          <w:szCs w:val="22"/>
        </w:rPr>
      </w:pPr>
      <w:r w:rsidRPr="00C071FB">
        <w:rPr>
          <w:rFonts w:ascii="Arial" w:hAnsi="Arial" w:cs="Arial"/>
          <w:sz w:val="22"/>
          <w:szCs w:val="22"/>
        </w:rPr>
        <w:t>Vodafone Group (2025) FY25 Preliminary Results. Available at: </w:t>
      </w:r>
      <w:hyperlink r:id="rId11" w:history="1">
        <w:r w:rsidR="00F3542F" w:rsidRPr="00065AD5">
          <w:rPr>
            <w:rStyle w:val="Hyperlink"/>
            <w:rFonts w:ascii="Arial" w:hAnsi="Arial" w:cs="Arial"/>
            <w:sz w:val="22"/>
            <w:szCs w:val="22"/>
          </w:rPr>
          <w:t>https://investors.vodafone.com/~/media/Files/V/Vodafone-IR/documents/performance/financial-results/2025/vodafone-fy25-results-announcement.pdf</w:t>
        </w:r>
      </w:hyperlink>
      <w:r w:rsidR="00F3542F">
        <w:rPr>
          <w:rFonts w:ascii="Arial" w:hAnsi="Arial" w:cs="Arial"/>
          <w:sz w:val="22"/>
          <w:szCs w:val="22"/>
        </w:rPr>
        <w:t xml:space="preserve"> </w:t>
      </w:r>
      <w:r w:rsidR="00F3542F" w:rsidRPr="00C071FB">
        <w:rPr>
          <w:rFonts w:ascii="Arial" w:hAnsi="Arial" w:cs="Arial"/>
          <w:sz w:val="22"/>
          <w:szCs w:val="22"/>
        </w:rPr>
        <w:t>(Accessed: 28 June 2026). </w:t>
      </w:r>
    </w:p>
    <w:p w14:paraId="1CD70A18" w14:textId="4ED1D97B" w:rsidR="00C071FB" w:rsidRPr="00C071FB" w:rsidRDefault="00F3542F" w:rsidP="00C071FB">
      <w:pPr>
        <w:spacing w:line="360" w:lineRule="auto"/>
        <w:rPr>
          <w:rFonts w:ascii="Arial" w:hAnsi="Arial" w:cs="Arial"/>
          <w:sz w:val="22"/>
          <w:szCs w:val="22"/>
        </w:rPr>
      </w:pPr>
      <w:r w:rsidRPr="00C071FB">
        <w:rPr>
          <w:rFonts w:ascii="Arial" w:hAnsi="Arial" w:cs="Arial"/>
          <w:sz w:val="22"/>
          <w:szCs w:val="22"/>
        </w:rPr>
        <w:t>Vodafone Three</w:t>
      </w:r>
      <w:r w:rsidR="00C071FB" w:rsidRPr="00C071FB">
        <w:rPr>
          <w:rFonts w:ascii="Arial" w:hAnsi="Arial" w:cs="Arial"/>
          <w:sz w:val="22"/>
          <w:szCs w:val="22"/>
        </w:rPr>
        <w:t xml:space="preserve"> (2025) Network investment announcement. Available at: </w:t>
      </w:r>
      <w:hyperlink r:id="rId12" w:history="1">
        <w:r w:rsidRPr="00065AD5">
          <w:rPr>
            <w:rStyle w:val="Hyperlink"/>
            <w:rFonts w:ascii="Arial" w:hAnsi="Arial" w:cs="Arial"/>
            <w:sz w:val="22"/>
            <w:szCs w:val="22"/>
          </w:rPr>
          <w:t>https://www.vodafonethree.com/multibillion-pound-investment-deals-signed-to-build-uk-best-network/</w:t>
        </w:r>
      </w:hyperlink>
      <w:r>
        <w:rPr>
          <w:rFonts w:ascii="Arial" w:hAnsi="Arial" w:cs="Arial"/>
          <w:sz w:val="22"/>
          <w:szCs w:val="22"/>
        </w:rPr>
        <w:t xml:space="preserve"> </w:t>
      </w:r>
      <w:r w:rsidRPr="00C071FB">
        <w:rPr>
          <w:rFonts w:ascii="Arial" w:hAnsi="Arial" w:cs="Arial"/>
          <w:sz w:val="22"/>
          <w:szCs w:val="22"/>
        </w:rPr>
        <w:t>(Accessed: 28 June 2026). </w:t>
      </w:r>
    </w:p>
    <w:p w14:paraId="1856184D" w14:textId="77777777" w:rsidR="00391CF6" w:rsidRPr="00C071FB" w:rsidRDefault="00C071FB" w:rsidP="00391CF6">
      <w:pPr>
        <w:spacing w:line="360" w:lineRule="auto"/>
        <w:rPr>
          <w:rFonts w:ascii="Arial" w:hAnsi="Arial" w:cs="Arial"/>
          <w:sz w:val="22"/>
          <w:szCs w:val="22"/>
        </w:rPr>
      </w:pPr>
      <w:r w:rsidRPr="00C071FB">
        <w:rPr>
          <w:rFonts w:ascii="Arial" w:hAnsi="Arial" w:cs="Arial"/>
          <w:sz w:val="22"/>
          <w:szCs w:val="22"/>
        </w:rPr>
        <w:t>Josh Thompson (2025) Vodafone FY25 strategic analysis. Available at</w:t>
      </w:r>
      <w:r w:rsidR="00391CF6" w:rsidRPr="00391CF6">
        <w:t xml:space="preserve"> </w:t>
      </w:r>
      <w:hyperlink r:id="rId13" w:history="1">
        <w:r w:rsidR="00391CF6" w:rsidRPr="00065AD5">
          <w:rPr>
            <w:rStyle w:val="Hyperlink"/>
            <w:rFonts w:ascii="Arial" w:hAnsi="Arial" w:cs="Arial"/>
            <w:sz w:val="22"/>
            <w:szCs w:val="22"/>
          </w:rPr>
          <w:t>https://joshthompson.co.uk/investing/vodafone-fy26-preliminary-results-simpler-stronger-growing/</w:t>
        </w:r>
      </w:hyperlink>
      <w:r w:rsidR="00391CF6" w:rsidRPr="00C071FB">
        <w:rPr>
          <w:rFonts w:ascii="Arial" w:hAnsi="Arial" w:cs="Arial"/>
          <w:sz w:val="22"/>
          <w:szCs w:val="22"/>
        </w:rPr>
        <w:t> (Accessed: 28 June 2026). </w:t>
      </w:r>
    </w:p>
    <w:p w14:paraId="5F8624E5" w14:textId="39EF04BC" w:rsidR="00391CF6" w:rsidRDefault="00391CF6" w:rsidP="00C071FB">
      <w:pPr>
        <w:spacing w:line="360" w:lineRule="auto"/>
        <w:rPr>
          <w:rFonts w:ascii="Arial" w:hAnsi="Arial" w:cs="Arial"/>
          <w:sz w:val="22"/>
          <w:szCs w:val="22"/>
        </w:rPr>
      </w:pPr>
    </w:p>
    <w:p w14:paraId="094D1AD2" w14:textId="77777777" w:rsidR="00C071FB" w:rsidRPr="00C071FB" w:rsidRDefault="00C071FB" w:rsidP="00C071FB">
      <w:pPr>
        <w:spacing w:line="360" w:lineRule="auto"/>
        <w:rPr>
          <w:rFonts w:ascii="Arial" w:hAnsi="Arial" w:cs="Arial"/>
          <w:sz w:val="22"/>
          <w:szCs w:val="22"/>
        </w:rPr>
      </w:pPr>
    </w:p>
    <w:sectPr w:rsidR="00C071FB" w:rsidRPr="00C071F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8BFF2" w14:textId="77777777" w:rsidR="001D6CF9" w:rsidRDefault="001D6CF9" w:rsidP="00C071FB">
      <w:pPr>
        <w:spacing w:after="0" w:line="240" w:lineRule="auto"/>
      </w:pPr>
      <w:r>
        <w:separator/>
      </w:r>
    </w:p>
  </w:endnote>
  <w:endnote w:type="continuationSeparator" w:id="0">
    <w:p w14:paraId="7B3104E1" w14:textId="77777777" w:rsidR="001D6CF9" w:rsidRDefault="001D6CF9" w:rsidP="00C071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9516005"/>
      <w:docPartObj>
        <w:docPartGallery w:val="Page Numbers (Bottom of Page)"/>
        <w:docPartUnique/>
      </w:docPartObj>
    </w:sdtPr>
    <w:sdtEndPr>
      <w:rPr>
        <w:noProof/>
      </w:rPr>
    </w:sdtEndPr>
    <w:sdtContent>
      <w:p w14:paraId="3A13C2C2" w14:textId="77777777" w:rsidR="00C071FB" w:rsidRDefault="00C071FB">
        <w:pPr>
          <w:pStyle w:val="Footer"/>
          <w:jc w:val="center"/>
        </w:pPr>
      </w:p>
      <w:p w14:paraId="5DFB36B9" w14:textId="5AD62831" w:rsidR="00C071FB" w:rsidRDefault="00C071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D48DB9" w14:textId="77777777" w:rsidR="00C071FB" w:rsidRDefault="00C071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828AB" w14:textId="77777777" w:rsidR="001D6CF9" w:rsidRDefault="001D6CF9" w:rsidP="00C071FB">
      <w:pPr>
        <w:spacing w:after="0" w:line="240" w:lineRule="auto"/>
      </w:pPr>
      <w:r>
        <w:separator/>
      </w:r>
    </w:p>
  </w:footnote>
  <w:footnote w:type="continuationSeparator" w:id="0">
    <w:p w14:paraId="45068550" w14:textId="77777777" w:rsidR="001D6CF9" w:rsidRDefault="001D6CF9" w:rsidP="00C071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73390"/>
    <w:multiLevelType w:val="multilevel"/>
    <w:tmpl w:val="BF302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787A90"/>
    <w:multiLevelType w:val="multilevel"/>
    <w:tmpl w:val="81D8D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20852"/>
    <w:multiLevelType w:val="multilevel"/>
    <w:tmpl w:val="AEF80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AF331A"/>
    <w:multiLevelType w:val="multilevel"/>
    <w:tmpl w:val="6A3E3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D43C25"/>
    <w:multiLevelType w:val="multilevel"/>
    <w:tmpl w:val="1EECA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6F66D6"/>
    <w:multiLevelType w:val="multilevel"/>
    <w:tmpl w:val="B5BED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5449CB"/>
    <w:multiLevelType w:val="multilevel"/>
    <w:tmpl w:val="5868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E73143"/>
    <w:multiLevelType w:val="multilevel"/>
    <w:tmpl w:val="1B76D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EF63CC"/>
    <w:multiLevelType w:val="multilevel"/>
    <w:tmpl w:val="BC823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A93A57"/>
    <w:multiLevelType w:val="multilevel"/>
    <w:tmpl w:val="AC003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730DF7"/>
    <w:multiLevelType w:val="multilevel"/>
    <w:tmpl w:val="E9CE4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133120"/>
    <w:multiLevelType w:val="multilevel"/>
    <w:tmpl w:val="CAEE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CF25B3"/>
    <w:multiLevelType w:val="multilevel"/>
    <w:tmpl w:val="E6E2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922223"/>
    <w:multiLevelType w:val="multilevel"/>
    <w:tmpl w:val="8FC05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A73026"/>
    <w:multiLevelType w:val="multilevel"/>
    <w:tmpl w:val="A6DEF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1657246">
    <w:abstractNumId w:val="11"/>
  </w:num>
  <w:num w:numId="2" w16cid:durableId="760297119">
    <w:abstractNumId w:val="7"/>
  </w:num>
  <w:num w:numId="3" w16cid:durableId="1196383414">
    <w:abstractNumId w:val="4"/>
  </w:num>
  <w:num w:numId="4" w16cid:durableId="143982608">
    <w:abstractNumId w:val="1"/>
  </w:num>
  <w:num w:numId="5" w16cid:durableId="265310464">
    <w:abstractNumId w:val="3"/>
  </w:num>
  <w:num w:numId="6" w16cid:durableId="1062168627">
    <w:abstractNumId w:val="9"/>
  </w:num>
  <w:num w:numId="7" w16cid:durableId="1804076451">
    <w:abstractNumId w:val="6"/>
  </w:num>
  <w:num w:numId="8" w16cid:durableId="1172647191">
    <w:abstractNumId w:val="12"/>
  </w:num>
  <w:num w:numId="9" w16cid:durableId="1510411095">
    <w:abstractNumId w:val="2"/>
  </w:num>
  <w:num w:numId="10" w16cid:durableId="646863808">
    <w:abstractNumId w:val="10"/>
  </w:num>
  <w:num w:numId="11" w16cid:durableId="1201825079">
    <w:abstractNumId w:val="5"/>
  </w:num>
  <w:num w:numId="12" w16cid:durableId="508832673">
    <w:abstractNumId w:val="8"/>
  </w:num>
  <w:num w:numId="13" w16cid:durableId="840387228">
    <w:abstractNumId w:val="0"/>
  </w:num>
  <w:num w:numId="14" w16cid:durableId="1803381175">
    <w:abstractNumId w:val="14"/>
  </w:num>
  <w:num w:numId="15" w16cid:durableId="3798616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1FB"/>
    <w:rsid w:val="001D6CF9"/>
    <w:rsid w:val="00391CF6"/>
    <w:rsid w:val="004C79C8"/>
    <w:rsid w:val="008C1726"/>
    <w:rsid w:val="00C071FB"/>
    <w:rsid w:val="00D84976"/>
    <w:rsid w:val="00F354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CF623"/>
  <w15:chartTrackingRefBased/>
  <w15:docId w15:val="{F94E7432-DF85-4DE4-9DAB-01C18BCF9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71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071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71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71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71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71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71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71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71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71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071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71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71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71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71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71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71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71FB"/>
    <w:rPr>
      <w:rFonts w:eastAsiaTheme="majorEastAsia" w:cstheme="majorBidi"/>
      <w:color w:val="272727" w:themeColor="text1" w:themeTint="D8"/>
    </w:rPr>
  </w:style>
  <w:style w:type="paragraph" w:styleId="Title">
    <w:name w:val="Title"/>
    <w:basedOn w:val="Normal"/>
    <w:next w:val="Normal"/>
    <w:link w:val="TitleChar"/>
    <w:uiPriority w:val="10"/>
    <w:qFormat/>
    <w:rsid w:val="00C071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71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71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71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71FB"/>
    <w:pPr>
      <w:spacing w:before="160"/>
      <w:jc w:val="center"/>
    </w:pPr>
    <w:rPr>
      <w:i/>
      <w:iCs/>
      <w:color w:val="404040" w:themeColor="text1" w:themeTint="BF"/>
    </w:rPr>
  </w:style>
  <w:style w:type="character" w:customStyle="1" w:styleId="QuoteChar">
    <w:name w:val="Quote Char"/>
    <w:basedOn w:val="DefaultParagraphFont"/>
    <w:link w:val="Quote"/>
    <w:uiPriority w:val="29"/>
    <w:rsid w:val="00C071FB"/>
    <w:rPr>
      <w:i/>
      <w:iCs/>
      <w:color w:val="404040" w:themeColor="text1" w:themeTint="BF"/>
    </w:rPr>
  </w:style>
  <w:style w:type="paragraph" w:styleId="ListParagraph">
    <w:name w:val="List Paragraph"/>
    <w:basedOn w:val="Normal"/>
    <w:uiPriority w:val="34"/>
    <w:qFormat/>
    <w:rsid w:val="00C071FB"/>
    <w:pPr>
      <w:ind w:left="720"/>
      <w:contextualSpacing/>
    </w:pPr>
  </w:style>
  <w:style w:type="character" w:styleId="IntenseEmphasis">
    <w:name w:val="Intense Emphasis"/>
    <w:basedOn w:val="DefaultParagraphFont"/>
    <w:uiPriority w:val="21"/>
    <w:qFormat/>
    <w:rsid w:val="00C071FB"/>
    <w:rPr>
      <w:i/>
      <w:iCs/>
      <w:color w:val="0F4761" w:themeColor="accent1" w:themeShade="BF"/>
    </w:rPr>
  </w:style>
  <w:style w:type="paragraph" w:styleId="IntenseQuote">
    <w:name w:val="Intense Quote"/>
    <w:basedOn w:val="Normal"/>
    <w:next w:val="Normal"/>
    <w:link w:val="IntenseQuoteChar"/>
    <w:uiPriority w:val="30"/>
    <w:qFormat/>
    <w:rsid w:val="00C071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71FB"/>
    <w:rPr>
      <w:i/>
      <w:iCs/>
      <w:color w:val="0F4761" w:themeColor="accent1" w:themeShade="BF"/>
    </w:rPr>
  </w:style>
  <w:style w:type="character" w:styleId="IntenseReference">
    <w:name w:val="Intense Reference"/>
    <w:basedOn w:val="DefaultParagraphFont"/>
    <w:uiPriority w:val="32"/>
    <w:qFormat/>
    <w:rsid w:val="00C071FB"/>
    <w:rPr>
      <w:b/>
      <w:bCs/>
      <w:smallCaps/>
      <w:color w:val="0F4761" w:themeColor="accent1" w:themeShade="BF"/>
      <w:spacing w:val="5"/>
    </w:rPr>
  </w:style>
  <w:style w:type="paragraph" w:styleId="Header">
    <w:name w:val="header"/>
    <w:basedOn w:val="Normal"/>
    <w:link w:val="HeaderChar"/>
    <w:uiPriority w:val="99"/>
    <w:unhideWhenUsed/>
    <w:rsid w:val="00C071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71FB"/>
  </w:style>
  <w:style w:type="paragraph" w:styleId="Footer">
    <w:name w:val="footer"/>
    <w:basedOn w:val="Normal"/>
    <w:link w:val="FooterChar"/>
    <w:uiPriority w:val="99"/>
    <w:unhideWhenUsed/>
    <w:rsid w:val="00C071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71FB"/>
  </w:style>
  <w:style w:type="character" w:styleId="Hyperlink">
    <w:name w:val="Hyperlink"/>
    <w:basedOn w:val="DefaultParagraphFont"/>
    <w:uiPriority w:val="99"/>
    <w:unhideWhenUsed/>
    <w:rsid w:val="00C071FB"/>
    <w:rPr>
      <w:color w:val="467886" w:themeColor="hyperlink"/>
      <w:u w:val="single"/>
    </w:rPr>
  </w:style>
  <w:style w:type="character" w:styleId="UnresolvedMention">
    <w:name w:val="Unresolved Mention"/>
    <w:basedOn w:val="DefaultParagraphFont"/>
    <w:uiPriority w:val="99"/>
    <w:semiHidden/>
    <w:unhideWhenUsed/>
    <w:rsid w:val="00C071FB"/>
    <w:rPr>
      <w:color w:val="605E5C"/>
      <w:shd w:val="clear" w:color="auto" w:fill="E1DFDD"/>
    </w:rPr>
  </w:style>
  <w:style w:type="character" w:styleId="FollowedHyperlink">
    <w:name w:val="FollowedHyperlink"/>
    <w:basedOn w:val="DefaultParagraphFont"/>
    <w:uiPriority w:val="99"/>
    <w:semiHidden/>
    <w:unhideWhenUsed/>
    <w:rsid w:val="00C071FB"/>
    <w:rPr>
      <w:color w:val="96607D" w:themeColor="followedHyperlink"/>
      <w:u w:val="single"/>
    </w:rPr>
  </w:style>
  <w:style w:type="paragraph" w:styleId="TOCHeading">
    <w:name w:val="TOC Heading"/>
    <w:basedOn w:val="Heading1"/>
    <w:next w:val="Normal"/>
    <w:uiPriority w:val="39"/>
    <w:unhideWhenUsed/>
    <w:qFormat/>
    <w:rsid w:val="00391CF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91CF6"/>
    <w:pPr>
      <w:spacing w:after="100"/>
    </w:pPr>
  </w:style>
  <w:style w:type="paragraph" w:styleId="TOC2">
    <w:name w:val="toc 2"/>
    <w:basedOn w:val="Normal"/>
    <w:next w:val="Normal"/>
    <w:autoRedefine/>
    <w:uiPriority w:val="39"/>
    <w:unhideWhenUsed/>
    <w:rsid w:val="00391CF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lecomlead.com/telecom-services/vodafone-fiscal-2025-revenue-subscriber-growth-strategies-121073" TargetMode="External"/><Relationship Id="rId13" Type="http://schemas.openxmlformats.org/officeDocument/2006/relationships/hyperlink" Target="https://joshthompson.co.uk/investing/vodafone-fy26-preliminary-results-simpler-stronger-growing/" TargetMode="External"/><Relationship Id="rId3" Type="http://schemas.openxmlformats.org/officeDocument/2006/relationships/settings" Target="settings.xml"/><Relationship Id="rId7" Type="http://schemas.openxmlformats.org/officeDocument/2006/relationships/hyperlink" Target="https://www.frontier-economics.com/uk/en/news-and-insights/case-studies/case-study-i21934-vodafone-and-three-uk-clearing-a-complex-merger-through-efficiency-based-arguments/" TargetMode="External"/><Relationship Id="rId12" Type="http://schemas.openxmlformats.org/officeDocument/2006/relationships/hyperlink" Target="https://www.vodafonethree.com/multibillion-pound-investment-deals-signed-to-build-uk-best-networ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vestors.vodafone.com/~/media/Files/V/Vodafone-IR/documents/performance/financial-results/2025/vodafone-fy25-results-announcement.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reports.investors.vodafone.com/view/406906096/3/" TargetMode="External"/><Relationship Id="rId4" Type="http://schemas.openxmlformats.org/officeDocument/2006/relationships/webSettings" Target="webSettings.xml"/><Relationship Id="rId9" Type="http://schemas.openxmlformats.org/officeDocument/2006/relationships/hyperlink" Target="https://www.vodafone.co.uk/newscentre/press-release/completion-vodafone-three-merger-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2631</Words>
  <Characters>14998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Berto, Barbara</dc:creator>
  <cp:keywords/>
  <dc:description/>
  <cp:lastModifiedBy>Berto, Barbara</cp:lastModifiedBy>
  <cp:revision>2</cp:revision>
  <dcterms:created xsi:type="dcterms:W3CDTF">2026-07-10T16:32:00Z</dcterms:created>
  <dcterms:modified xsi:type="dcterms:W3CDTF">2026-07-10T16:32:00Z</dcterms:modified>
</cp:coreProperties>
</file>