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04073" w14:textId="77777777" w:rsidR="005A1C19" w:rsidRDefault="005A1C19" w:rsidP="005A1C19">
      <w:pPr>
        <w:keepNext/>
        <w:keepLines/>
        <w:widowControl w:val="0"/>
        <w:spacing w:before="240" w:after="0" w:line="276" w:lineRule="auto"/>
        <w:jc w:val="center"/>
        <w:rPr>
          <w:rFonts w:ascii="Arial" w:eastAsia="Calibri" w:hAnsi="Arial" w:cs="Arial"/>
          <w:b/>
          <w:bCs/>
          <w:kern w:val="0"/>
          <w:sz w:val="44"/>
          <w:szCs w:val="44"/>
          <w:lang w:eastAsia="zh-CN"/>
          <w14:ligatures w14:val="none"/>
        </w:rPr>
      </w:pPr>
      <w:r w:rsidRPr="00CF4AA0">
        <w:rPr>
          <w:rFonts w:ascii="Arial" w:eastAsia="Calibri" w:hAnsi="Arial" w:cs="Arial"/>
          <w:b/>
          <w:bCs/>
          <w:noProof/>
          <w:kern w:val="0"/>
          <w:sz w:val="44"/>
          <w:szCs w:val="44"/>
          <w:lang w:eastAsia="zh-CN"/>
          <w14:ligatures w14:val="none"/>
        </w:rPr>
        <w:drawing>
          <wp:inline distT="0" distB="0" distL="0" distR="0" wp14:anchorId="76CED0E9" wp14:editId="3C74F7B2">
            <wp:extent cx="3840040" cy="896587"/>
            <wp:effectExtent l="0" t="0" r="0" b="0"/>
            <wp:docPr id="1678797680" name="Picture 7"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7588" cy="905354"/>
                    </a:xfrm>
                    <a:prstGeom prst="rect">
                      <a:avLst/>
                    </a:prstGeom>
                    <a:noFill/>
                    <a:ln>
                      <a:noFill/>
                    </a:ln>
                  </pic:spPr>
                </pic:pic>
              </a:graphicData>
            </a:graphic>
          </wp:inline>
        </w:drawing>
      </w:r>
    </w:p>
    <w:p w14:paraId="2915267D" w14:textId="77777777" w:rsidR="005A1C19" w:rsidRPr="008A2D2C" w:rsidRDefault="005A1C19" w:rsidP="008A2D2C">
      <w:pPr>
        <w:keepNext/>
        <w:keepLines/>
        <w:widowControl w:val="0"/>
        <w:spacing w:before="240" w:after="0" w:line="240" w:lineRule="auto"/>
        <w:jc w:val="center"/>
        <w:rPr>
          <w:rFonts w:ascii="Arial" w:eastAsia="Calibri" w:hAnsi="Arial" w:cs="Arial"/>
          <w:b/>
          <w:bCs/>
          <w:kern w:val="0"/>
          <w:sz w:val="36"/>
          <w:szCs w:val="36"/>
          <w:lang w:eastAsia="zh-CN"/>
          <w14:ligatures w14:val="none"/>
        </w:rPr>
      </w:pPr>
      <w:r w:rsidRPr="008A2D2C">
        <w:rPr>
          <w:rFonts w:ascii="Arial" w:eastAsia="Calibri" w:hAnsi="Arial" w:cs="Arial"/>
          <w:b/>
          <w:bCs/>
          <w:kern w:val="0"/>
          <w:sz w:val="36"/>
          <w:szCs w:val="36"/>
          <w:lang w:eastAsia="zh-CN"/>
          <w14:ligatures w14:val="none"/>
        </w:rPr>
        <w:t>UNIVERSITY OF WALES</w:t>
      </w:r>
    </w:p>
    <w:p w14:paraId="2B72516B" w14:textId="77777777" w:rsidR="005A1C19" w:rsidRPr="008A2D2C" w:rsidRDefault="005A1C19" w:rsidP="008A2D2C">
      <w:pPr>
        <w:keepNext/>
        <w:keepLines/>
        <w:widowControl w:val="0"/>
        <w:spacing w:before="240" w:after="0" w:line="240" w:lineRule="auto"/>
        <w:jc w:val="center"/>
        <w:rPr>
          <w:rFonts w:ascii="Calibri Light" w:eastAsia="Calibri" w:hAnsi="Calibri Light" w:cs="Arial"/>
          <w:color w:val="2F5496"/>
          <w:kern w:val="0"/>
          <w:sz w:val="18"/>
          <w:szCs w:val="18"/>
          <w:lang w:eastAsia="zh-CN"/>
          <w14:ligatures w14:val="none"/>
        </w:rPr>
      </w:pPr>
      <w:r w:rsidRPr="008A2D2C">
        <w:rPr>
          <w:rFonts w:ascii="Arial" w:eastAsia="Calibri" w:hAnsi="Arial" w:cs="Arial"/>
          <w:b/>
          <w:bCs/>
          <w:kern w:val="0"/>
          <w:sz w:val="36"/>
          <w:szCs w:val="36"/>
          <w:lang w:eastAsia="zh-CN"/>
          <w14:ligatures w14:val="none"/>
        </w:rPr>
        <w:t>TRINITY SAINT DAVID</w:t>
      </w:r>
    </w:p>
    <w:p w14:paraId="5BAA3EB3" w14:textId="77777777" w:rsidR="005A1C19" w:rsidRPr="008A2D2C" w:rsidRDefault="005A1C19" w:rsidP="008A2D2C">
      <w:pPr>
        <w:keepNext/>
        <w:keepLines/>
        <w:widowControl w:val="0"/>
        <w:spacing w:before="240" w:after="0" w:line="240" w:lineRule="auto"/>
        <w:jc w:val="both"/>
        <w:rPr>
          <w:rFonts w:ascii="Calibri Light" w:eastAsia="Calibri" w:hAnsi="Calibri Light" w:cs="Arial"/>
          <w:color w:val="2F5496"/>
          <w:kern w:val="0"/>
          <w:sz w:val="20"/>
          <w:szCs w:val="20"/>
          <w:lang w:eastAsia="zh-CN"/>
          <w14:ligatures w14:val="none"/>
        </w:rPr>
      </w:pPr>
      <w:r w:rsidRPr="008A2D2C">
        <w:rPr>
          <w:rFonts w:ascii="Calibri Light" w:eastAsia="Calibri" w:hAnsi="Calibri Light" w:cs="Arial"/>
          <w:color w:val="2F5496"/>
          <w:kern w:val="0"/>
          <w:sz w:val="20"/>
          <w:szCs w:val="20"/>
          <w:lang w:eastAsia="zh-CN"/>
          <w14:ligatures w14:val="none"/>
        </w:rPr>
        <w:t xml:space="preserve"> </w:t>
      </w:r>
    </w:p>
    <w:p w14:paraId="2D344826" w14:textId="77777777" w:rsidR="005A1C19" w:rsidRPr="00C078DB" w:rsidRDefault="005A1C19" w:rsidP="005A1C19">
      <w:pPr>
        <w:keepNext/>
        <w:keepLines/>
        <w:widowControl w:val="0"/>
        <w:spacing w:before="240" w:after="0" w:line="360" w:lineRule="auto"/>
        <w:jc w:val="both"/>
        <w:rPr>
          <w:rFonts w:ascii="Calibri Light" w:eastAsia="Calibri" w:hAnsi="Calibri Light" w:cs="Arial"/>
          <w:color w:val="2F5496"/>
          <w:kern w:val="0"/>
          <w:lang w:eastAsia="zh-CN"/>
          <w14:ligatures w14:val="none"/>
        </w:rPr>
      </w:pPr>
    </w:p>
    <w:p w14:paraId="504DD76E" w14:textId="554E7419" w:rsidR="003F2992" w:rsidRDefault="005A1C19" w:rsidP="003F2992">
      <w:pPr>
        <w:rPr>
          <w:rFonts w:ascii="Arial" w:eastAsia="Calibri" w:hAnsi="Arial" w:cs="Arial"/>
          <w:b/>
          <w:bCs/>
          <w:kern w:val="0"/>
          <w:sz w:val="32"/>
          <w:szCs w:val="32"/>
          <w:lang w:eastAsia="zh-CN"/>
          <w14:ligatures w14:val="none"/>
        </w:rPr>
      </w:pPr>
      <w:r w:rsidRPr="00D76388">
        <w:rPr>
          <w:rFonts w:ascii="Arial" w:eastAsia="Calibri" w:hAnsi="Arial" w:cs="Arial"/>
          <w:b/>
          <w:bCs/>
          <w:i/>
          <w:iCs/>
          <w:kern w:val="0"/>
          <w:sz w:val="32"/>
          <w:szCs w:val="32"/>
          <w:lang w:eastAsia="zh-CN"/>
          <w14:ligatures w14:val="none"/>
        </w:rPr>
        <w:t>Topic:</w:t>
      </w:r>
    </w:p>
    <w:p w14:paraId="7D1DDC20" w14:textId="66CC6D93" w:rsidR="005A1C19" w:rsidRDefault="004566F2" w:rsidP="00D67AC7">
      <w:pPr>
        <w:keepNext/>
        <w:keepLines/>
        <w:widowControl w:val="0"/>
        <w:spacing w:before="240" w:after="0" w:line="240" w:lineRule="auto"/>
        <w:rPr>
          <w:rFonts w:ascii="Arial" w:hAnsi="Arial" w:cs="Arial"/>
          <w:b/>
          <w:bCs/>
          <w:sz w:val="28"/>
          <w:szCs w:val="28"/>
        </w:rPr>
      </w:pPr>
      <w:r w:rsidRPr="004566F2">
        <w:rPr>
          <w:rFonts w:ascii="Arial" w:hAnsi="Arial" w:cs="Arial"/>
          <w:b/>
          <w:bCs/>
          <w:sz w:val="28"/>
          <w:szCs w:val="28"/>
        </w:rPr>
        <w:t>Inventory Strategy Transition from Just-in-Time to Just-in-Case: A Comparative Analysis of Supply Chain Resilience in UK Automotive Vehicle Manufacturers During the Red Sea Crisis (2019–2024)</w:t>
      </w:r>
      <w:r>
        <w:rPr>
          <w:rFonts w:ascii="Arial" w:hAnsi="Arial" w:cs="Arial"/>
          <w:b/>
          <w:bCs/>
          <w:sz w:val="28"/>
          <w:szCs w:val="28"/>
        </w:rPr>
        <w:t xml:space="preserve">: </w:t>
      </w:r>
      <w:r w:rsidRPr="004566F2">
        <w:rPr>
          <w:rFonts w:ascii="Arial" w:hAnsi="Arial" w:cs="Arial"/>
          <w:b/>
          <w:bCs/>
          <w:sz w:val="28"/>
          <w:szCs w:val="28"/>
        </w:rPr>
        <w:t>Evidence from Mass and Luxury Segments</w:t>
      </w:r>
    </w:p>
    <w:p w14:paraId="1D080CD5" w14:textId="77777777" w:rsidR="004566F2" w:rsidRPr="00A13266" w:rsidRDefault="004566F2" w:rsidP="00D67AC7">
      <w:pPr>
        <w:keepNext/>
        <w:keepLines/>
        <w:widowControl w:val="0"/>
        <w:spacing w:before="240" w:after="0" w:line="240" w:lineRule="auto"/>
        <w:rPr>
          <w:rFonts w:ascii="Arial" w:eastAsia="Calibri" w:hAnsi="Arial" w:cs="Arial"/>
          <w:b/>
          <w:bCs/>
          <w:kern w:val="0"/>
          <w:sz w:val="40"/>
          <w:szCs w:val="40"/>
          <w:lang w:eastAsia="zh-CN"/>
          <w14:ligatures w14:val="none"/>
        </w:rPr>
      </w:pPr>
    </w:p>
    <w:p w14:paraId="7D92A385" w14:textId="77777777" w:rsidR="005A1C19" w:rsidRPr="00035E73" w:rsidRDefault="005A1C19" w:rsidP="005A1C19">
      <w:pPr>
        <w:keepNext/>
        <w:keepLines/>
        <w:widowControl w:val="0"/>
        <w:spacing w:before="240" w:after="0" w:line="360" w:lineRule="auto"/>
        <w:jc w:val="center"/>
        <w:rPr>
          <w:rFonts w:ascii="Arial" w:eastAsia="Calibri" w:hAnsi="Arial" w:cs="Arial"/>
          <w:b/>
          <w:bCs/>
          <w:kern w:val="0"/>
          <w:sz w:val="32"/>
          <w:szCs w:val="32"/>
          <w:lang w:eastAsia="zh-CN"/>
          <w14:ligatures w14:val="none"/>
        </w:rPr>
      </w:pPr>
      <w:r w:rsidRPr="00035E73">
        <w:rPr>
          <w:rFonts w:ascii="Arial" w:eastAsia="Calibri" w:hAnsi="Arial" w:cs="Arial"/>
          <w:b/>
          <w:bCs/>
          <w:kern w:val="0"/>
          <w:sz w:val="32"/>
          <w:szCs w:val="32"/>
          <w:lang w:eastAsia="zh-CN"/>
          <w14:ligatures w14:val="none"/>
        </w:rPr>
        <w:t xml:space="preserve">Student: Ivilina Atanasova </w:t>
      </w:r>
      <w:proofErr w:type="spellStart"/>
      <w:r w:rsidRPr="00035E73">
        <w:rPr>
          <w:rFonts w:ascii="Arial" w:eastAsia="Calibri" w:hAnsi="Arial" w:cs="Arial"/>
          <w:b/>
          <w:bCs/>
          <w:kern w:val="0"/>
          <w:sz w:val="32"/>
          <w:szCs w:val="32"/>
          <w:lang w:eastAsia="zh-CN"/>
          <w14:ligatures w14:val="none"/>
        </w:rPr>
        <w:t>Atanasova</w:t>
      </w:r>
      <w:proofErr w:type="spellEnd"/>
      <w:r w:rsidRPr="00035E73">
        <w:rPr>
          <w:rFonts w:ascii="Arial" w:eastAsia="Calibri" w:hAnsi="Arial" w:cs="Arial"/>
          <w:b/>
          <w:bCs/>
          <w:kern w:val="0"/>
          <w:sz w:val="32"/>
          <w:szCs w:val="32"/>
          <w:lang w:eastAsia="zh-CN"/>
          <w14:ligatures w14:val="none"/>
        </w:rPr>
        <w:t>: 2028391</w:t>
      </w:r>
    </w:p>
    <w:p w14:paraId="7D9814BB" w14:textId="77777777" w:rsidR="005A1C19" w:rsidRDefault="005A1C19" w:rsidP="005A1C19">
      <w:pPr>
        <w:keepNext/>
        <w:keepLines/>
        <w:widowControl w:val="0"/>
        <w:spacing w:before="240" w:after="0" w:line="360" w:lineRule="auto"/>
        <w:jc w:val="center"/>
        <w:rPr>
          <w:rFonts w:ascii="Arial" w:eastAsia="Calibri" w:hAnsi="Arial" w:cs="Arial"/>
          <w:b/>
          <w:bCs/>
          <w:kern w:val="0"/>
          <w:sz w:val="36"/>
          <w:szCs w:val="36"/>
          <w:lang w:eastAsia="zh-CN"/>
          <w14:ligatures w14:val="none"/>
        </w:rPr>
      </w:pPr>
    </w:p>
    <w:p w14:paraId="261EF7C8" w14:textId="77777777" w:rsidR="008F394F" w:rsidRPr="003F2992" w:rsidRDefault="005A1C19" w:rsidP="005A1C19">
      <w:pPr>
        <w:keepNext/>
        <w:keepLines/>
        <w:widowControl w:val="0"/>
        <w:spacing w:before="240" w:after="0" w:line="360" w:lineRule="auto"/>
        <w:jc w:val="center"/>
        <w:rPr>
          <w:rFonts w:ascii="Arial" w:eastAsia="Calibri" w:hAnsi="Arial" w:cs="Arial"/>
          <w:b/>
          <w:bCs/>
          <w:kern w:val="0"/>
          <w:sz w:val="36"/>
          <w:szCs w:val="36"/>
          <w:lang w:eastAsia="zh-CN"/>
          <w14:ligatures w14:val="none"/>
        </w:rPr>
      </w:pPr>
      <w:r w:rsidRPr="003F2992">
        <w:rPr>
          <w:rFonts w:ascii="Arial" w:eastAsia="Calibri" w:hAnsi="Arial" w:cs="Arial"/>
          <w:b/>
          <w:bCs/>
          <w:kern w:val="0"/>
          <w:sz w:val="36"/>
          <w:szCs w:val="36"/>
          <w:lang w:eastAsia="zh-CN"/>
          <w14:ligatures w14:val="none"/>
        </w:rPr>
        <w:t>Module:</w:t>
      </w:r>
      <w:r w:rsidRPr="003F2992">
        <w:rPr>
          <w:rFonts w:ascii="Arial" w:eastAsia="Calibri" w:hAnsi="Arial" w:cs="Arial"/>
          <w:b/>
          <w:bCs/>
          <w:kern w:val="0"/>
          <w:sz w:val="36"/>
          <w:szCs w:val="36"/>
          <w:lang w:eastAsia="zh-CN"/>
          <w14:ligatures w14:val="none"/>
        </w:rPr>
        <w:tab/>
      </w:r>
      <w:r w:rsidR="008F394F" w:rsidRPr="003F2992">
        <w:rPr>
          <w:rFonts w:ascii="Arial" w:eastAsia="Calibri" w:hAnsi="Arial" w:cs="Arial"/>
          <w:b/>
          <w:bCs/>
          <w:kern w:val="0"/>
          <w:sz w:val="36"/>
          <w:szCs w:val="36"/>
          <w:lang w:eastAsia="zh-CN"/>
          <w14:ligatures w14:val="none"/>
        </w:rPr>
        <w:t>Dissertation</w:t>
      </w:r>
    </w:p>
    <w:p w14:paraId="08418953" w14:textId="77777777" w:rsidR="008F394F" w:rsidRPr="008F394F" w:rsidRDefault="005A1C19" w:rsidP="008F394F">
      <w:pPr>
        <w:widowControl w:val="0"/>
        <w:spacing w:before="240" w:after="0" w:line="360" w:lineRule="auto"/>
        <w:jc w:val="center"/>
        <w:rPr>
          <w:rFonts w:ascii="Arial" w:eastAsia="Calibri" w:hAnsi="Arial" w:cs="Arial"/>
          <w:b/>
          <w:bCs/>
          <w:kern w:val="0"/>
          <w:lang w:eastAsia="zh-CN"/>
          <w14:ligatures w14:val="none"/>
        </w:rPr>
      </w:pPr>
      <w:r w:rsidRPr="00035E73">
        <w:rPr>
          <w:rFonts w:ascii="Arial" w:eastAsia="Calibri" w:hAnsi="Arial" w:cs="Arial"/>
          <w:b/>
          <w:bCs/>
          <w:kern w:val="0"/>
          <w:sz w:val="28"/>
          <w:szCs w:val="28"/>
          <w:lang w:eastAsia="zh-CN"/>
          <w14:ligatures w14:val="none"/>
        </w:rPr>
        <w:t>Module code:</w:t>
      </w:r>
      <w:r w:rsidRPr="00035E73">
        <w:rPr>
          <w:rFonts w:ascii="Arial" w:eastAsia="Calibri" w:hAnsi="Arial" w:cs="Arial"/>
          <w:b/>
          <w:bCs/>
          <w:kern w:val="0"/>
          <w:sz w:val="28"/>
          <w:szCs w:val="28"/>
          <w:lang w:eastAsia="zh-CN"/>
          <w14:ligatures w14:val="none"/>
        </w:rPr>
        <w:tab/>
      </w:r>
      <w:r w:rsidR="008F394F" w:rsidRPr="008F394F">
        <w:rPr>
          <w:rFonts w:ascii="Arial" w:eastAsia="Calibri" w:hAnsi="Arial" w:cs="Arial"/>
          <w:b/>
          <w:bCs/>
          <w:kern w:val="0"/>
          <w:lang w:eastAsia="zh-CN"/>
          <w14:ligatures w14:val="none"/>
        </w:rPr>
        <w:t>LCMB7035</w:t>
      </w:r>
    </w:p>
    <w:p w14:paraId="5F9E6BBC" w14:textId="553DEA6D" w:rsidR="005A1C19" w:rsidRPr="00035E73" w:rsidRDefault="005A1C19" w:rsidP="005A1C19">
      <w:pPr>
        <w:keepNext/>
        <w:keepLines/>
        <w:widowControl w:val="0"/>
        <w:spacing w:before="240" w:after="0" w:line="360" w:lineRule="auto"/>
        <w:jc w:val="center"/>
        <w:rPr>
          <w:rFonts w:ascii="Arial" w:eastAsia="Calibri" w:hAnsi="Arial" w:cs="Arial"/>
          <w:b/>
          <w:bCs/>
          <w:kern w:val="0"/>
          <w:sz w:val="28"/>
          <w:szCs w:val="28"/>
          <w:lang w:eastAsia="zh-CN"/>
          <w14:ligatures w14:val="none"/>
        </w:rPr>
      </w:pPr>
    </w:p>
    <w:p w14:paraId="5B97FB8A" w14:textId="77777777" w:rsidR="005A1C19" w:rsidRDefault="005A1C19" w:rsidP="005A1C19">
      <w:pPr>
        <w:spacing w:after="0" w:line="360" w:lineRule="auto"/>
        <w:ind w:firstLine="567"/>
        <w:jc w:val="both"/>
        <w:rPr>
          <w:rFonts w:ascii="Arial" w:hAnsi="Arial" w:cs="Arial"/>
          <w:b/>
          <w:bCs/>
          <w:sz w:val="22"/>
          <w:szCs w:val="22"/>
        </w:rPr>
      </w:pPr>
    </w:p>
    <w:p w14:paraId="2522B9EA" w14:textId="77777777" w:rsidR="005A1C19" w:rsidRDefault="005A1C19" w:rsidP="008F394F">
      <w:pPr>
        <w:spacing w:after="0" w:line="360" w:lineRule="auto"/>
        <w:jc w:val="both"/>
        <w:rPr>
          <w:rFonts w:ascii="Arial" w:hAnsi="Arial" w:cs="Arial"/>
          <w:b/>
          <w:bCs/>
          <w:sz w:val="22"/>
          <w:szCs w:val="22"/>
        </w:rPr>
      </w:pPr>
    </w:p>
    <w:p w14:paraId="781665E7" w14:textId="77777777" w:rsidR="004566F2" w:rsidRDefault="004566F2" w:rsidP="008F394F">
      <w:pPr>
        <w:spacing w:after="0" w:line="360" w:lineRule="auto"/>
        <w:jc w:val="both"/>
        <w:rPr>
          <w:rFonts w:ascii="Arial" w:hAnsi="Arial" w:cs="Arial"/>
          <w:b/>
          <w:bCs/>
          <w:sz w:val="22"/>
          <w:szCs w:val="22"/>
        </w:rPr>
      </w:pPr>
    </w:p>
    <w:p w14:paraId="4043009A" w14:textId="77777777" w:rsidR="005A1C19" w:rsidRDefault="005A1C19" w:rsidP="005A1C19">
      <w:pPr>
        <w:spacing w:after="0" w:line="360" w:lineRule="auto"/>
        <w:ind w:firstLine="567"/>
        <w:jc w:val="both"/>
        <w:rPr>
          <w:rFonts w:ascii="Arial" w:hAnsi="Arial" w:cs="Arial"/>
          <w:b/>
          <w:bCs/>
          <w:sz w:val="22"/>
          <w:szCs w:val="22"/>
        </w:rPr>
      </w:pPr>
    </w:p>
    <w:p w14:paraId="657AEF6E" w14:textId="77777777" w:rsidR="005A1C19" w:rsidRDefault="005A1C19" w:rsidP="005A1C19">
      <w:pPr>
        <w:spacing w:after="0" w:line="360" w:lineRule="auto"/>
        <w:ind w:firstLine="567"/>
        <w:jc w:val="both"/>
        <w:rPr>
          <w:rFonts w:ascii="Arial" w:hAnsi="Arial" w:cs="Arial"/>
          <w:b/>
          <w:bCs/>
          <w:sz w:val="22"/>
          <w:szCs w:val="22"/>
        </w:rPr>
      </w:pPr>
    </w:p>
    <w:p w14:paraId="75766FF8" w14:textId="2AA2B712" w:rsidR="00B56297" w:rsidRPr="00B56297" w:rsidRDefault="00CD7093" w:rsidP="00B56297">
      <w:pPr>
        <w:spacing w:after="0" w:line="360" w:lineRule="auto"/>
        <w:jc w:val="center"/>
        <w:rPr>
          <w:rFonts w:ascii="Arial" w:hAnsi="Arial" w:cs="Arial"/>
          <w:b/>
          <w:bCs/>
          <w:sz w:val="22"/>
          <w:szCs w:val="22"/>
        </w:rPr>
      </w:pPr>
      <w:r>
        <w:rPr>
          <w:rFonts w:ascii="Arial" w:hAnsi="Arial" w:cs="Arial"/>
          <w:b/>
          <w:bCs/>
          <w:sz w:val="22"/>
          <w:szCs w:val="22"/>
        </w:rPr>
        <w:t>Supervisor</w:t>
      </w:r>
      <w:r w:rsidR="004566F2">
        <w:rPr>
          <w:rFonts w:ascii="Arial" w:hAnsi="Arial" w:cs="Arial"/>
          <w:b/>
          <w:bCs/>
          <w:sz w:val="22"/>
          <w:szCs w:val="22"/>
        </w:rPr>
        <w:t>s</w:t>
      </w:r>
      <w:r w:rsidR="005A1C19" w:rsidRPr="00F61BD9">
        <w:rPr>
          <w:rFonts w:ascii="Arial" w:hAnsi="Arial" w:cs="Arial"/>
          <w:b/>
          <w:bCs/>
          <w:sz w:val="22"/>
          <w:szCs w:val="22"/>
        </w:rPr>
        <w:t>:</w:t>
      </w:r>
      <w:r w:rsidR="005A1C19">
        <w:rPr>
          <w:rFonts w:ascii="Arial" w:hAnsi="Arial" w:cs="Arial"/>
          <w:b/>
          <w:bCs/>
          <w:sz w:val="22"/>
          <w:szCs w:val="22"/>
        </w:rPr>
        <w:t xml:space="preserve"> </w:t>
      </w:r>
      <w:r w:rsidR="004566F2">
        <w:rPr>
          <w:rFonts w:ascii="Arial" w:hAnsi="Arial" w:cs="Arial"/>
          <w:b/>
          <w:bCs/>
          <w:sz w:val="22"/>
          <w:szCs w:val="22"/>
        </w:rPr>
        <w:t>Dr</w:t>
      </w:r>
      <w:r>
        <w:rPr>
          <w:rFonts w:ascii="Arial" w:hAnsi="Arial" w:cs="Arial"/>
          <w:b/>
          <w:bCs/>
          <w:sz w:val="22"/>
          <w:szCs w:val="22"/>
        </w:rPr>
        <w:t xml:space="preserve"> </w:t>
      </w:r>
      <w:r w:rsidR="00B56297" w:rsidRPr="00B56297">
        <w:rPr>
          <w:rFonts w:ascii="Arial" w:hAnsi="Arial" w:cs="Arial"/>
          <w:b/>
          <w:bCs/>
          <w:sz w:val="22"/>
          <w:szCs w:val="22"/>
        </w:rPr>
        <w:t>Ivan Rodriguez Hernandez</w:t>
      </w:r>
      <w:r w:rsidR="004566F2">
        <w:rPr>
          <w:rFonts w:ascii="Arial" w:hAnsi="Arial" w:cs="Arial"/>
          <w:b/>
          <w:bCs/>
          <w:sz w:val="22"/>
          <w:szCs w:val="22"/>
        </w:rPr>
        <w:t xml:space="preserve"> / </w:t>
      </w:r>
      <w:r w:rsidR="004566F2" w:rsidRPr="0037230D">
        <w:rPr>
          <w:rFonts w:ascii="Arial" w:hAnsi="Arial" w:cs="Arial"/>
          <w:b/>
          <w:sz w:val="22"/>
          <w:szCs w:val="22"/>
        </w:rPr>
        <w:t xml:space="preserve">Vasilios </w:t>
      </w:r>
      <w:proofErr w:type="spellStart"/>
      <w:r w:rsidR="004566F2" w:rsidRPr="0037230D">
        <w:rPr>
          <w:rFonts w:ascii="Arial" w:hAnsi="Arial" w:cs="Arial"/>
          <w:b/>
          <w:sz w:val="22"/>
          <w:szCs w:val="22"/>
        </w:rPr>
        <w:t>Tavlaridis</w:t>
      </w:r>
      <w:proofErr w:type="spellEnd"/>
    </w:p>
    <w:p w14:paraId="14EABE4A" w14:textId="5BB285FD" w:rsidR="005A1C19" w:rsidRDefault="005A1C19" w:rsidP="00B56297">
      <w:pPr>
        <w:spacing w:after="0" w:line="360" w:lineRule="auto"/>
        <w:jc w:val="center"/>
        <w:rPr>
          <w:rFonts w:ascii="Arial" w:hAnsi="Arial" w:cs="Arial"/>
          <w:b/>
          <w:bCs/>
          <w:sz w:val="22"/>
          <w:szCs w:val="22"/>
        </w:rPr>
      </w:pPr>
    </w:p>
    <w:p w14:paraId="050DF979" w14:textId="31DDEA83" w:rsidR="004566F2" w:rsidRDefault="004566F2" w:rsidP="000966D2">
      <w:pPr>
        <w:spacing w:after="0" w:line="360" w:lineRule="auto"/>
        <w:jc w:val="center"/>
        <w:rPr>
          <w:rFonts w:ascii="Arial" w:hAnsi="Arial" w:cs="Arial"/>
          <w:b/>
          <w:bCs/>
        </w:rPr>
      </w:pPr>
      <w:r>
        <w:rPr>
          <w:rFonts w:ascii="Arial" w:hAnsi="Arial" w:cs="Arial"/>
          <w:b/>
          <w:bCs/>
        </w:rPr>
        <w:t>06</w:t>
      </w:r>
      <w:r w:rsidR="005A1C19" w:rsidRPr="00C872DD">
        <w:rPr>
          <w:rFonts w:ascii="Arial" w:hAnsi="Arial" w:cs="Arial"/>
          <w:b/>
          <w:bCs/>
        </w:rPr>
        <w:t>/0</w:t>
      </w:r>
      <w:r>
        <w:rPr>
          <w:rFonts w:ascii="Arial" w:hAnsi="Arial" w:cs="Arial"/>
          <w:b/>
          <w:bCs/>
        </w:rPr>
        <w:t>5</w:t>
      </w:r>
      <w:r w:rsidR="005A1C19" w:rsidRPr="00C872DD">
        <w:rPr>
          <w:rFonts w:ascii="Arial" w:hAnsi="Arial" w:cs="Arial"/>
          <w:b/>
          <w:bCs/>
        </w:rPr>
        <w:t>/202</w:t>
      </w:r>
      <w:r w:rsidR="003F2992">
        <w:rPr>
          <w:rFonts w:ascii="Arial" w:hAnsi="Arial" w:cs="Arial"/>
          <w:b/>
          <w:bCs/>
        </w:rPr>
        <w:t>6</w:t>
      </w:r>
    </w:p>
    <w:p w14:paraId="169A2E92" w14:textId="77777777" w:rsidR="004566F2" w:rsidRDefault="004566F2" w:rsidP="005A1C19">
      <w:pPr>
        <w:spacing w:after="0" w:line="360" w:lineRule="auto"/>
        <w:jc w:val="center"/>
        <w:rPr>
          <w:rFonts w:ascii="Arial" w:hAnsi="Arial" w:cs="Arial"/>
          <w:b/>
          <w:bCs/>
        </w:rPr>
      </w:pPr>
    </w:p>
    <w:p w14:paraId="6E3A3ADE" w14:textId="77777777" w:rsidR="00D36DAD" w:rsidRPr="000966D2" w:rsidRDefault="00D36DAD" w:rsidP="00D36DAD">
      <w:pPr>
        <w:spacing w:after="0" w:line="360" w:lineRule="auto"/>
        <w:jc w:val="both"/>
        <w:rPr>
          <w:rFonts w:ascii="Arial" w:hAnsi="Arial" w:cs="Arial"/>
          <w:b/>
          <w:bCs/>
          <w:sz w:val="22"/>
          <w:szCs w:val="22"/>
          <w:u w:val="single"/>
        </w:rPr>
      </w:pPr>
      <w:r w:rsidRPr="000966D2">
        <w:rPr>
          <w:rFonts w:ascii="Arial" w:hAnsi="Arial" w:cs="Arial"/>
          <w:b/>
          <w:bCs/>
          <w:sz w:val="22"/>
          <w:szCs w:val="22"/>
          <w:u w:val="single"/>
        </w:rPr>
        <w:t xml:space="preserve">DECLARATATION </w:t>
      </w:r>
    </w:p>
    <w:p w14:paraId="78871BF8" w14:textId="77777777" w:rsidR="009129C0" w:rsidRPr="000966D2" w:rsidRDefault="009129C0" w:rsidP="00D36DAD">
      <w:pPr>
        <w:spacing w:after="0" w:line="360" w:lineRule="auto"/>
        <w:jc w:val="both"/>
        <w:rPr>
          <w:rFonts w:ascii="Arial" w:hAnsi="Arial" w:cs="Arial"/>
          <w:b/>
          <w:bCs/>
          <w:sz w:val="22"/>
          <w:szCs w:val="22"/>
        </w:rPr>
      </w:pPr>
    </w:p>
    <w:p w14:paraId="2647AA42" w14:textId="580FFDC4" w:rsidR="00D36DAD" w:rsidRPr="00AE7900" w:rsidRDefault="00D36DAD" w:rsidP="00AE7900">
      <w:pPr>
        <w:spacing w:after="0" w:line="360" w:lineRule="auto"/>
        <w:ind w:firstLine="567"/>
        <w:jc w:val="both"/>
        <w:rPr>
          <w:rFonts w:ascii="Arial" w:hAnsi="Arial" w:cs="Arial"/>
          <w:sz w:val="22"/>
          <w:szCs w:val="22"/>
        </w:rPr>
      </w:pPr>
      <w:r w:rsidRPr="00AE7900">
        <w:rPr>
          <w:rFonts w:ascii="Arial" w:hAnsi="Arial" w:cs="Arial"/>
          <w:sz w:val="22"/>
          <w:szCs w:val="22"/>
        </w:rPr>
        <w:t>I, Ivilina Atanasova, declare that this dissertation has been composed by me, that the work contained herein is entirely my own except where explicitly stated otherwise in the text, and that this work has not been submitted for any other degree or qualification, in whole or in part, except as specified. </w:t>
      </w:r>
    </w:p>
    <w:p w14:paraId="265B770D" w14:textId="77777777" w:rsidR="00D36DAD" w:rsidRPr="00AE7900" w:rsidRDefault="00D36DAD" w:rsidP="00AE7900">
      <w:pPr>
        <w:spacing w:after="0" w:line="360" w:lineRule="auto"/>
        <w:ind w:firstLine="567"/>
        <w:jc w:val="both"/>
        <w:rPr>
          <w:rFonts w:ascii="Arial" w:hAnsi="Arial" w:cs="Arial"/>
          <w:sz w:val="22"/>
          <w:szCs w:val="22"/>
        </w:rPr>
      </w:pPr>
      <w:r w:rsidRPr="00AE7900">
        <w:rPr>
          <w:rFonts w:ascii="Arial" w:hAnsi="Arial" w:cs="Arial"/>
          <w:sz w:val="22"/>
          <w:szCs w:val="22"/>
        </w:rPr>
        <w:t> </w:t>
      </w:r>
    </w:p>
    <w:p w14:paraId="1DF2F5BB" w14:textId="1345A0A2" w:rsidR="00D36DAD" w:rsidRPr="000966D2" w:rsidRDefault="008B69E5" w:rsidP="00D36DAD">
      <w:pPr>
        <w:spacing w:after="0" w:line="360" w:lineRule="auto"/>
        <w:jc w:val="both"/>
        <w:rPr>
          <w:rFonts w:ascii="Arial" w:hAnsi="Arial" w:cs="Arial"/>
          <w:b/>
          <w:bCs/>
          <w:sz w:val="22"/>
          <w:szCs w:val="22"/>
        </w:rPr>
      </w:pPr>
      <w:r w:rsidRPr="000966D2">
        <w:rPr>
          <w:rFonts w:ascii="Arial" w:hAnsi="Arial" w:cs="Arial"/>
          <w:b/>
          <w:bCs/>
          <w:sz w:val="22"/>
          <w:szCs w:val="22"/>
        </w:rPr>
        <w:t xml:space="preserve">Signature: </w:t>
      </w:r>
      <w:r w:rsidR="009129C0" w:rsidRPr="000966D2">
        <w:rPr>
          <w:rFonts w:ascii="Arial" w:hAnsi="Arial" w:cs="Arial"/>
          <w:b/>
          <w:bCs/>
          <w:sz w:val="22"/>
          <w:szCs w:val="22"/>
        </w:rPr>
        <w:t>Ivilina Atanasova</w:t>
      </w:r>
    </w:p>
    <w:p w14:paraId="0CC9CFC4" w14:textId="77777777" w:rsidR="00D36DAD" w:rsidRPr="000966D2" w:rsidRDefault="00D36DAD" w:rsidP="00D36DAD">
      <w:pPr>
        <w:spacing w:after="0" w:line="360" w:lineRule="auto"/>
        <w:jc w:val="both"/>
        <w:rPr>
          <w:rFonts w:ascii="Arial" w:hAnsi="Arial" w:cs="Arial"/>
          <w:b/>
          <w:bCs/>
          <w:sz w:val="22"/>
          <w:szCs w:val="22"/>
        </w:rPr>
      </w:pPr>
      <w:r w:rsidRPr="000966D2">
        <w:rPr>
          <w:rFonts w:ascii="Arial" w:hAnsi="Arial" w:cs="Arial"/>
          <w:b/>
          <w:bCs/>
          <w:sz w:val="22"/>
          <w:szCs w:val="22"/>
        </w:rPr>
        <w:t> </w:t>
      </w:r>
    </w:p>
    <w:p w14:paraId="35345AF6" w14:textId="0A6373E9" w:rsidR="00D36DAD" w:rsidRDefault="00D36DAD" w:rsidP="00D36DAD">
      <w:pPr>
        <w:spacing w:after="0" w:line="360" w:lineRule="auto"/>
        <w:jc w:val="both"/>
        <w:rPr>
          <w:rFonts w:ascii="Arial" w:hAnsi="Arial" w:cs="Arial"/>
          <w:b/>
          <w:bCs/>
          <w:sz w:val="22"/>
          <w:szCs w:val="22"/>
        </w:rPr>
      </w:pPr>
      <w:r w:rsidRPr="000966D2">
        <w:rPr>
          <w:rFonts w:ascii="Arial" w:hAnsi="Arial" w:cs="Arial"/>
          <w:b/>
          <w:bCs/>
          <w:sz w:val="22"/>
          <w:szCs w:val="22"/>
        </w:rPr>
        <w:t xml:space="preserve">Date: </w:t>
      </w:r>
      <w:r w:rsidR="009129C0" w:rsidRPr="000966D2">
        <w:rPr>
          <w:rFonts w:ascii="Arial" w:hAnsi="Arial" w:cs="Arial"/>
          <w:b/>
          <w:bCs/>
          <w:sz w:val="22"/>
          <w:szCs w:val="22"/>
        </w:rPr>
        <w:t>06/05/2026</w:t>
      </w:r>
    </w:p>
    <w:p w14:paraId="5DACE233" w14:textId="77777777" w:rsidR="00AE7900" w:rsidRDefault="00AE7900" w:rsidP="00D36DAD">
      <w:pPr>
        <w:spacing w:after="0" w:line="360" w:lineRule="auto"/>
        <w:jc w:val="both"/>
        <w:rPr>
          <w:rFonts w:ascii="Arial" w:hAnsi="Arial" w:cs="Arial"/>
          <w:b/>
          <w:bCs/>
          <w:sz w:val="22"/>
          <w:szCs w:val="22"/>
        </w:rPr>
      </w:pPr>
    </w:p>
    <w:p w14:paraId="49A74205" w14:textId="77777777" w:rsidR="00AE7900" w:rsidRDefault="00AE7900" w:rsidP="00D36DAD">
      <w:pPr>
        <w:spacing w:after="0" w:line="360" w:lineRule="auto"/>
        <w:jc w:val="both"/>
        <w:rPr>
          <w:rFonts w:ascii="Arial" w:hAnsi="Arial" w:cs="Arial"/>
          <w:b/>
          <w:bCs/>
          <w:sz w:val="22"/>
          <w:szCs w:val="22"/>
        </w:rPr>
      </w:pPr>
    </w:p>
    <w:p w14:paraId="00C851FE" w14:textId="77777777" w:rsidR="00AE7900" w:rsidRDefault="00AE7900" w:rsidP="00D36DAD">
      <w:pPr>
        <w:spacing w:after="0" w:line="360" w:lineRule="auto"/>
        <w:jc w:val="both"/>
        <w:rPr>
          <w:rFonts w:ascii="Arial" w:hAnsi="Arial" w:cs="Arial"/>
          <w:b/>
          <w:bCs/>
          <w:sz w:val="22"/>
          <w:szCs w:val="22"/>
        </w:rPr>
      </w:pPr>
    </w:p>
    <w:p w14:paraId="76BD9A9E" w14:textId="77777777" w:rsidR="00AE7900" w:rsidRDefault="00AE7900" w:rsidP="00D36DAD">
      <w:pPr>
        <w:spacing w:after="0" w:line="360" w:lineRule="auto"/>
        <w:jc w:val="both"/>
        <w:rPr>
          <w:rFonts w:ascii="Arial" w:hAnsi="Arial" w:cs="Arial"/>
          <w:b/>
          <w:bCs/>
          <w:sz w:val="22"/>
          <w:szCs w:val="22"/>
        </w:rPr>
      </w:pPr>
    </w:p>
    <w:p w14:paraId="02B66F9D" w14:textId="77777777" w:rsidR="00AE7900" w:rsidRDefault="00AE7900" w:rsidP="00D36DAD">
      <w:pPr>
        <w:spacing w:after="0" w:line="360" w:lineRule="auto"/>
        <w:jc w:val="both"/>
        <w:rPr>
          <w:rFonts w:ascii="Arial" w:hAnsi="Arial" w:cs="Arial"/>
          <w:b/>
          <w:bCs/>
          <w:sz w:val="22"/>
          <w:szCs w:val="22"/>
        </w:rPr>
      </w:pPr>
    </w:p>
    <w:p w14:paraId="7AED4290" w14:textId="77777777" w:rsidR="00AE7900" w:rsidRDefault="00AE7900" w:rsidP="00D36DAD">
      <w:pPr>
        <w:spacing w:after="0" w:line="360" w:lineRule="auto"/>
        <w:jc w:val="both"/>
        <w:rPr>
          <w:rFonts w:ascii="Arial" w:hAnsi="Arial" w:cs="Arial"/>
          <w:b/>
          <w:bCs/>
          <w:sz w:val="22"/>
          <w:szCs w:val="22"/>
        </w:rPr>
      </w:pPr>
    </w:p>
    <w:p w14:paraId="01F94EBE" w14:textId="77777777" w:rsidR="00AE7900" w:rsidRDefault="00AE7900" w:rsidP="00D36DAD">
      <w:pPr>
        <w:spacing w:after="0" w:line="360" w:lineRule="auto"/>
        <w:jc w:val="both"/>
        <w:rPr>
          <w:rFonts w:ascii="Arial" w:hAnsi="Arial" w:cs="Arial"/>
          <w:b/>
          <w:bCs/>
          <w:sz w:val="22"/>
          <w:szCs w:val="22"/>
        </w:rPr>
      </w:pPr>
    </w:p>
    <w:p w14:paraId="62AC3D47" w14:textId="77777777" w:rsidR="00AE7900" w:rsidRDefault="00AE7900" w:rsidP="00D36DAD">
      <w:pPr>
        <w:spacing w:after="0" w:line="360" w:lineRule="auto"/>
        <w:jc w:val="both"/>
        <w:rPr>
          <w:rFonts w:ascii="Arial" w:hAnsi="Arial" w:cs="Arial"/>
          <w:b/>
          <w:bCs/>
          <w:sz w:val="22"/>
          <w:szCs w:val="22"/>
        </w:rPr>
      </w:pPr>
    </w:p>
    <w:p w14:paraId="1574BB89" w14:textId="77777777" w:rsidR="00AE7900" w:rsidRDefault="00AE7900" w:rsidP="00D36DAD">
      <w:pPr>
        <w:spacing w:after="0" w:line="360" w:lineRule="auto"/>
        <w:jc w:val="both"/>
        <w:rPr>
          <w:rFonts w:ascii="Arial" w:hAnsi="Arial" w:cs="Arial"/>
          <w:b/>
          <w:bCs/>
          <w:sz w:val="22"/>
          <w:szCs w:val="22"/>
        </w:rPr>
      </w:pPr>
    </w:p>
    <w:p w14:paraId="6FCEADFF" w14:textId="77777777" w:rsidR="00AE7900" w:rsidRDefault="00AE7900" w:rsidP="00D36DAD">
      <w:pPr>
        <w:spacing w:after="0" w:line="360" w:lineRule="auto"/>
        <w:jc w:val="both"/>
        <w:rPr>
          <w:rFonts w:ascii="Arial" w:hAnsi="Arial" w:cs="Arial"/>
          <w:b/>
          <w:bCs/>
          <w:sz w:val="22"/>
          <w:szCs w:val="22"/>
        </w:rPr>
      </w:pPr>
    </w:p>
    <w:p w14:paraId="07D06808" w14:textId="77777777" w:rsidR="00AE7900" w:rsidRDefault="00AE7900" w:rsidP="00D36DAD">
      <w:pPr>
        <w:spacing w:after="0" w:line="360" w:lineRule="auto"/>
        <w:jc w:val="both"/>
        <w:rPr>
          <w:rFonts w:ascii="Arial" w:hAnsi="Arial" w:cs="Arial"/>
          <w:b/>
          <w:bCs/>
          <w:sz w:val="22"/>
          <w:szCs w:val="22"/>
        </w:rPr>
      </w:pPr>
    </w:p>
    <w:p w14:paraId="18A14129" w14:textId="77777777" w:rsidR="00AE7900" w:rsidRDefault="00AE7900" w:rsidP="00D36DAD">
      <w:pPr>
        <w:spacing w:after="0" w:line="360" w:lineRule="auto"/>
        <w:jc w:val="both"/>
        <w:rPr>
          <w:rFonts w:ascii="Arial" w:hAnsi="Arial" w:cs="Arial"/>
          <w:b/>
          <w:bCs/>
          <w:sz w:val="22"/>
          <w:szCs w:val="22"/>
        </w:rPr>
      </w:pPr>
    </w:p>
    <w:p w14:paraId="232BC630" w14:textId="77777777" w:rsidR="00AE7900" w:rsidRDefault="00AE7900" w:rsidP="00D36DAD">
      <w:pPr>
        <w:spacing w:after="0" w:line="360" w:lineRule="auto"/>
        <w:jc w:val="both"/>
        <w:rPr>
          <w:rFonts w:ascii="Arial" w:hAnsi="Arial" w:cs="Arial"/>
          <w:b/>
          <w:bCs/>
          <w:sz w:val="22"/>
          <w:szCs w:val="22"/>
        </w:rPr>
      </w:pPr>
    </w:p>
    <w:p w14:paraId="1331EE9B" w14:textId="77777777" w:rsidR="00AE7900" w:rsidRDefault="00AE7900" w:rsidP="00D36DAD">
      <w:pPr>
        <w:spacing w:after="0" w:line="360" w:lineRule="auto"/>
        <w:jc w:val="both"/>
        <w:rPr>
          <w:rFonts w:ascii="Arial" w:hAnsi="Arial" w:cs="Arial"/>
          <w:b/>
          <w:bCs/>
          <w:sz w:val="22"/>
          <w:szCs w:val="22"/>
        </w:rPr>
      </w:pPr>
    </w:p>
    <w:p w14:paraId="4FC28B7F" w14:textId="77777777" w:rsidR="00AE7900" w:rsidRDefault="00AE7900" w:rsidP="00D36DAD">
      <w:pPr>
        <w:spacing w:after="0" w:line="360" w:lineRule="auto"/>
        <w:jc w:val="both"/>
        <w:rPr>
          <w:rFonts w:ascii="Arial" w:hAnsi="Arial" w:cs="Arial"/>
          <w:b/>
          <w:bCs/>
          <w:sz w:val="22"/>
          <w:szCs w:val="22"/>
        </w:rPr>
      </w:pPr>
    </w:p>
    <w:p w14:paraId="29D282BB" w14:textId="77777777" w:rsidR="00AE7900" w:rsidRDefault="00AE7900" w:rsidP="00D36DAD">
      <w:pPr>
        <w:spacing w:after="0" w:line="360" w:lineRule="auto"/>
        <w:jc w:val="both"/>
        <w:rPr>
          <w:rFonts w:ascii="Arial" w:hAnsi="Arial" w:cs="Arial"/>
          <w:b/>
          <w:bCs/>
          <w:sz w:val="22"/>
          <w:szCs w:val="22"/>
        </w:rPr>
      </w:pPr>
    </w:p>
    <w:p w14:paraId="4637AB6F" w14:textId="77777777" w:rsidR="00AE7900" w:rsidRDefault="00AE7900" w:rsidP="00D36DAD">
      <w:pPr>
        <w:spacing w:after="0" w:line="360" w:lineRule="auto"/>
        <w:jc w:val="both"/>
        <w:rPr>
          <w:rFonts w:ascii="Arial" w:hAnsi="Arial" w:cs="Arial"/>
          <w:b/>
          <w:bCs/>
          <w:sz w:val="22"/>
          <w:szCs w:val="22"/>
        </w:rPr>
      </w:pPr>
    </w:p>
    <w:p w14:paraId="22EC458A" w14:textId="77777777" w:rsidR="00AE7900" w:rsidRDefault="00AE7900" w:rsidP="00D36DAD">
      <w:pPr>
        <w:spacing w:after="0" w:line="360" w:lineRule="auto"/>
        <w:jc w:val="both"/>
        <w:rPr>
          <w:rFonts w:ascii="Arial" w:hAnsi="Arial" w:cs="Arial"/>
          <w:b/>
          <w:bCs/>
          <w:sz w:val="22"/>
          <w:szCs w:val="22"/>
        </w:rPr>
      </w:pPr>
    </w:p>
    <w:p w14:paraId="41990B46" w14:textId="77777777" w:rsidR="00AE7900" w:rsidRDefault="00AE7900" w:rsidP="00D36DAD">
      <w:pPr>
        <w:spacing w:after="0" w:line="360" w:lineRule="auto"/>
        <w:jc w:val="both"/>
        <w:rPr>
          <w:rFonts w:ascii="Arial" w:hAnsi="Arial" w:cs="Arial"/>
          <w:b/>
          <w:bCs/>
          <w:sz w:val="22"/>
          <w:szCs w:val="22"/>
        </w:rPr>
      </w:pPr>
    </w:p>
    <w:p w14:paraId="1BAAB36A" w14:textId="77777777" w:rsidR="00AE7900" w:rsidRDefault="00AE7900" w:rsidP="00D36DAD">
      <w:pPr>
        <w:spacing w:after="0" w:line="360" w:lineRule="auto"/>
        <w:jc w:val="both"/>
        <w:rPr>
          <w:rFonts w:ascii="Arial" w:hAnsi="Arial" w:cs="Arial"/>
          <w:b/>
          <w:bCs/>
          <w:sz w:val="22"/>
          <w:szCs w:val="22"/>
        </w:rPr>
      </w:pPr>
    </w:p>
    <w:p w14:paraId="01D71F15" w14:textId="77777777" w:rsidR="00AE7900" w:rsidRDefault="00AE7900" w:rsidP="00D36DAD">
      <w:pPr>
        <w:spacing w:after="0" w:line="360" w:lineRule="auto"/>
        <w:jc w:val="both"/>
        <w:rPr>
          <w:rFonts w:ascii="Arial" w:hAnsi="Arial" w:cs="Arial"/>
          <w:b/>
          <w:bCs/>
          <w:sz w:val="22"/>
          <w:szCs w:val="22"/>
        </w:rPr>
      </w:pPr>
    </w:p>
    <w:p w14:paraId="2CB6A1CC" w14:textId="77777777" w:rsidR="00AE7900" w:rsidRDefault="00AE7900" w:rsidP="00D36DAD">
      <w:pPr>
        <w:spacing w:after="0" w:line="360" w:lineRule="auto"/>
        <w:jc w:val="both"/>
        <w:rPr>
          <w:rFonts w:ascii="Arial" w:hAnsi="Arial" w:cs="Arial"/>
          <w:b/>
          <w:bCs/>
          <w:sz w:val="22"/>
          <w:szCs w:val="22"/>
        </w:rPr>
      </w:pPr>
    </w:p>
    <w:p w14:paraId="79DB724D" w14:textId="77777777" w:rsidR="00AE7900" w:rsidRDefault="00AE7900" w:rsidP="00D36DAD">
      <w:pPr>
        <w:spacing w:after="0" w:line="360" w:lineRule="auto"/>
        <w:jc w:val="both"/>
        <w:rPr>
          <w:rFonts w:ascii="Arial" w:hAnsi="Arial" w:cs="Arial"/>
          <w:b/>
          <w:bCs/>
          <w:sz w:val="22"/>
          <w:szCs w:val="22"/>
        </w:rPr>
      </w:pPr>
    </w:p>
    <w:p w14:paraId="5571B9C9" w14:textId="77777777" w:rsidR="00AE7900" w:rsidRDefault="00AE7900" w:rsidP="00D36DAD">
      <w:pPr>
        <w:spacing w:after="0" w:line="360" w:lineRule="auto"/>
        <w:jc w:val="both"/>
        <w:rPr>
          <w:rFonts w:ascii="Arial" w:hAnsi="Arial" w:cs="Arial"/>
          <w:b/>
          <w:bCs/>
          <w:sz w:val="22"/>
          <w:szCs w:val="22"/>
        </w:rPr>
      </w:pPr>
    </w:p>
    <w:p w14:paraId="6CE3A951" w14:textId="77777777" w:rsidR="00AE7900" w:rsidRDefault="00AE7900" w:rsidP="00D36DAD">
      <w:pPr>
        <w:spacing w:after="0" w:line="360" w:lineRule="auto"/>
        <w:jc w:val="both"/>
        <w:rPr>
          <w:rFonts w:ascii="Arial" w:hAnsi="Arial" w:cs="Arial"/>
          <w:b/>
          <w:bCs/>
          <w:sz w:val="22"/>
          <w:szCs w:val="22"/>
        </w:rPr>
      </w:pPr>
    </w:p>
    <w:p w14:paraId="4D9DDC06" w14:textId="77777777" w:rsidR="00AE7900" w:rsidRDefault="00AE7900" w:rsidP="00D36DAD">
      <w:pPr>
        <w:spacing w:after="0" w:line="360" w:lineRule="auto"/>
        <w:jc w:val="both"/>
        <w:rPr>
          <w:rFonts w:ascii="Arial" w:hAnsi="Arial" w:cs="Arial"/>
          <w:b/>
          <w:bCs/>
          <w:sz w:val="22"/>
          <w:szCs w:val="22"/>
        </w:rPr>
      </w:pPr>
    </w:p>
    <w:p w14:paraId="60CA8C6A" w14:textId="77777777" w:rsidR="00AE7900" w:rsidRDefault="00AE7900" w:rsidP="00AE7900">
      <w:pPr>
        <w:spacing w:after="0" w:line="360" w:lineRule="auto"/>
        <w:jc w:val="both"/>
        <w:rPr>
          <w:rFonts w:ascii="Arial" w:hAnsi="Arial" w:cs="Arial"/>
          <w:b/>
          <w:bCs/>
          <w:sz w:val="22"/>
          <w:szCs w:val="22"/>
        </w:rPr>
      </w:pPr>
      <w:r w:rsidRPr="00AE7900">
        <w:rPr>
          <w:rFonts w:ascii="Arial" w:hAnsi="Arial" w:cs="Arial"/>
          <w:b/>
          <w:bCs/>
          <w:sz w:val="22"/>
          <w:szCs w:val="22"/>
        </w:rPr>
        <w:lastRenderedPageBreak/>
        <w:t>ACKNOWLEDGEMENT</w:t>
      </w:r>
    </w:p>
    <w:p w14:paraId="103D9E4A" w14:textId="77777777" w:rsidR="00AE7900" w:rsidRPr="00AE7900" w:rsidRDefault="00AE7900" w:rsidP="00AE7900">
      <w:pPr>
        <w:spacing w:after="0" w:line="360" w:lineRule="auto"/>
        <w:jc w:val="both"/>
        <w:rPr>
          <w:rFonts w:ascii="Arial" w:hAnsi="Arial" w:cs="Arial"/>
          <w:b/>
          <w:bCs/>
          <w:sz w:val="22"/>
          <w:szCs w:val="22"/>
        </w:rPr>
      </w:pPr>
    </w:p>
    <w:p w14:paraId="5579AC80" w14:textId="77777777" w:rsidR="00AE7900" w:rsidRPr="00AE7900" w:rsidRDefault="00AE7900" w:rsidP="00AE7900">
      <w:pPr>
        <w:spacing w:after="0" w:line="360" w:lineRule="auto"/>
        <w:ind w:firstLine="567"/>
        <w:jc w:val="both"/>
        <w:rPr>
          <w:rFonts w:ascii="Arial" w:hAnsi="Arial" w:cs="Arial"/>
          <w:sz w:val="22"/>
          <w:szCs w:val="22"/>
        </w:rPr>
      </w:pPr>
      <w:r w:rsidRPr="00AE7900">
        <w:rPr>
          <w:rFonts w:ascii="Arial" w:hAnsi="Arial" w:cs="Arial"/>
          <w:sz w:val="22"/>
          <w:szCs w:val="22"/>
        </w:rPr>
        <w:t>I would like to thank my supervisor, Dr Ivan Rodriguez Hernandez, for his guidance and support throughout this dissertation. I am also grateful to Vasilios Tavlaridis, my co-supervisor and Programme Manager, for his advice and encouragement during my MBA.</w:t>
      </w:r>
    </w:p>
    <w:p w14:paraId="37DB9D37" w14:textId="77777777" w:rsidR="00AE7900" w:rsidRPr="00AE7900" w:rsidRDefault="00AE7900" w:rsidP="00AE7900">
      <w:pPr>
        <w:spacing w:after="0" w:line="360" w:lineRule="auto"/>
        <w:ind w:firstLine="567"/>
        <w:jc w:val="both"/>
        <w:rPr>
          <w:rFonts w:ascii="Arial" w:hAnsi="Arial" w:cs="Arial"/>
          <w:sz w:val="22"/>
          <w:szCs w:val="22"/>
        </w:rPr>
      </w:pPr>
      <w:r w:rsidRPr="00AE7900">
        <w:rPr>
          <w:rFonts w:ascii="Arial" w:hAnsi="Arial" w:cs="Arial"/>
          <w:sz w:val="22"/>
          <w:szCs w:val="22"/>
        </w:rPr>
        <w:t>Special thanks to Masud Ibrahim, my dissertation lecturer, for his help during the research workshops.</w:t>
      </w:r>
    </w:p>
    <w:p w14:paraId="7F2B2456" w14:textId="77777777" w:rsidR="00AE7900" w:rsidRPr="00AE7900" w:rsidRDefault="00AE7900" w:rsidP="00AE7900">
      <w:pPr>
        <w:spacing w:after="0" w:line="360" w:lineRule="auto"/>
        <w:ind w:firstLine="567"/>
        <w:jc w:val="both"/>
        <w:rPr>
          <w:rFonts w:ascii="Arial" w:hAnsi="Arial" w:cs="Arial"/>
          <w:sz w:val="22"/>
          <w:szCs w:val="22"/>
        </w:rPr>
      </w:pPr>
      <w:r w:rsidRPr="00AE7900">
        <w:rPr>
          <w:rFonts w:ascii="Arial" w:hAnsi="Arial" w:cs="Arial"/>
          <w:sz w:val="22"/>
          <w:szCs w:val="22"/>
        </w:rPr>
        <w:t>I also appreciate the support from my colleagues at Elta Automotive, and finally, I am very thankful to my family for their continuous support and motivation.</w:t>
      </w:r>
    </w:p>
    <w:p w14:paraId="6B509BAD" w14:textId="77777777" w:rsidR="00AE7900" w:rsidRPr="000966D2" w:rsidRDefault="00AE7900" w:rsidP="00D36DAD">
      <w:pPr>
        <w:spacing w:after="0" w:line="360" w:lineRule="auto"/>
        <w:jc w:val="both"/>
        <w:rPr>
          <w:rFonts w:ascii="Arial" w:hAnsi="Arial" w:cs="Arial"/>
          <w:b/>
          <w:bCs/>
          <w:sz w:val="22"/>
          <w:szCs w:val="22"/>
        </w:rPr>
      </w:pPr>
    </w:p>
    <w:p w14:paraId="34925128" w14:textId="77777777" w:rsidR="00D36DAD" w:rsidRPr="000966D2" w:rsidRDefault="00D36DAD" w:rsidP="00D36DAD">
      <w:pPr>
        <w:spacing w:after="0" w:line="360" w:lineRule="auto"/>
        <w:jc w:val="both"/>
        <w:rPr>
          <w:rFonts w:ascii="Arial" w:hAnsi="Arial" w:cs="Arial"/>
          <w:b/>
          <w:bCs/>
          <w:sz w:val="22"/>
          <w:szCs w:val="22"/>
        </w:rPr>
      </w:pPr>
    </w:p>
    <w:p w14:paraId="7FF6E13D" w14:textId="77777777" w:rsidR="004566F2" w:rsidRDefault="004566F2" w:rsidP="00D36DAD">
      <w:pPr>
        <w:spacing w:after="0" w:line="360" w:lineRule="auto"/>
        <w:jc w:val="both"/>
        <w:rPr>
          <w:rFonts w:ascii="Arial" w:hAnsi="Arial" w:cs="Arial"/>
          <w:b/>
          <w:bCs/>
        </w:rPr>
      </w:pPr>
    </w:p>
    <w:p w14:paraId="57DEB99E" w14:textId="77777777" w:rsidR="004566F2" w:rsidRDefault="004566F2" w:rsidP="005A1C19">
      <w:pPr>
        <w:spacing w:after="0" w:line="360" w:lineRule="auto"/>
        <w:jc w:val="center"/>
        <w:rPr>
          <w:rFonts w:ascii="Arial" w:hAnsi="Arial" w:cs="Arial"/>
          <w:b/>
          <w:bCs/>
        </w:rPr>
      </w:pPr>
    </w:p>
    <w:p w14:paraId="575A9C03" w14:textId="77777777" w:rsidR="004566F2" w:rsidRDefault="004566F2" w:rsidP="005A1C19">
      <w:pPr>
        <w:spacing w:after="0" w:line="360" w:lineRule="auto"/>
        <w:jc w:val="center"/>
        <w:rPr>
          <w:rFonts w:ascii="Arial" w:hAnsi="Arial" w:cs="Arial"/>
          <w:b/>
          <w:bCs/>
        </w:rPr>
      </w:pPr>
    </w:p>
    <w:p w14:paraId="4880A9EA" w14:textId="77777777" w:rsidR="004566F2" w:rsidRDefault="004566F2" w:rsidP="005A1C19">
      <w:pPr>
        <w:spacing w:after="0" w:line="360" w:lineRule="auto"/>
        <w:jc w:val="center"/>
        <w:rPr>
          <w:rFonts w:ascii="Arial" w:hAnsi="Arial" w:cs="Arial"/>
          <w:b/>
          <w:bCs/>
        </w:rPr>
      </w:pPr>
    </w:p>
    <w:p w14:paraId="1BFDC845" w14:textId="77777777" w:rsidR="004566F2" w:rsidRDefault="004566F2" w:rsidP="005A1C19">
      <w:pPr>
        <w:spacing w:after="0" w:line="360" w:lineRule="auto"/>
        <w:jc w:val="center"/>
        <w:rPr>
          <w:rFonts w:ascii="Arial" w:hAnsi="Arial" w:cs="Arial"/>
          <w:b/>
          <w:bCs/>
        </w:rPr>
      </w:pPr>
    </w:p>
    <w:p w14:paraId="6F16D6F2" w14:textId="77777777" w:rsidR="004566F2" w:rsidRDefault="004566F2" w:rsidP="005A1C19">
      <w:pPr>
        <w:spacing w:after="0" w:line="360" w:lineRule="auto"/>
        <w:jc w:val="center"/>
        <w:rPr>
          <w:rFonts w:ascii="Arial" w:hAnsi="Arial" w:cs="Arial"/>
          <w:b/>
          <w:bCs/>
        </w:rPr>
      </w:pPr>
    </w:p>
    <w:p w14:paraId="0B3A47CE" w14:textId="77777777" w:rsidR="004566F2" w:rsidRDefault="004566F2" w:rsidP="005A1C19">
      <w:pPr>
        <w:spacing w:after="0" w:line="360" w:lineRule="auto"/>
        <w:jc w:val="center"/>
        <w:rPr>
          <w:rFonts w:ascii="Arial" w:hAnsi="Arial" w:cs="Arial"/>
          <w:b/>
          <w:bCs/>
        </w:rPr>
      </w:pPr>
    </w:p>
    <w:p w14:paraId="40A9048A" w14:textId="77777777" w:rsidR="004566F2" w:rsidRDefault="004566F2" w:rsidP="005A1C19">
      <w:pPr>
        <w:spacing w:after="0" w:line="360" w:lineRule="auto"/>
        <w:jc w:val="center"/>
        <w:rPr>
          <w:rFonts w:ascii="Arial" w:hAnsi="Arial" w:cs="Arial"/>
          <w:b/>
          <w:bCs/>
        </w:rPr>
      </w:pPr>
    </w:p>
    <w:p w14:paraId="76E78A16" w14:textId="77777777" w:rsidR="004566F2" w:rsidRDefault="004566F2" w:rsidP="005A1C19">
      <w:pPr>
        <w:spacing w:after="0" w:line="360" w:lineRule="auto"/>
        <w:jc w:val="center"/>
        <w:rPr>
          <w:rFonts w:ascii="Arial" w:hAnsi="Arial" w:cs="Arial"/>
          <w:b/>
          <w:bCs/>
        </w:rPr>
      </w:pPr>
    </w:p>
    <w:p w14:paraId="1C5A3855" w14:textId="77777777" w:rsidR="004566F2" w:rsidRDefault="004566F2" w:rsidP="005A1C19">
      <w:pPr>
        <w:spacing w:after="0" w:line="360" w:lineRule="auto"/>
        <w:jc w:val="center"/>
        <w:rPr>
          <w:rFonts w:ascii="Arial" w:hAnsi="Arial" w:cs="Arial"/>
          <w:b/>
          <w:bCs/>
        </w:rPr>
      </w:pPr>
    </w:p>
    <w:p w14:paraId="6228A594" w14:textId="77777777" w:rsidR="004566F2" w:rsidRDefault="004566F2" w:rsidP="005A1C19">
      <w:pPr>
        <w:spacing w:after="0" w:line="360" w:lineRule="auto"/>
        <w:jc w:val="center"/>
        <w:rPr>
          <w:rFonts w:ascii="Arial" w:hAnsi="Arial" w:cs="Arial"/>
          <w:b/>
          <w:bCs/>
        </w:rPr>
      </w:pPr>
    </w:p>
    <w:p w14:paraId="5D0051AC" w14:textId="77777777" w:rsidR="004566F2" w:rsidRDefault="004566F2" w:rsidP="005A1C19">
      <w:pPr>
        <w:spacing w:after="0" w:line="360" w:lineRule="auto"/>
        <w:jc w:val="center"/>
        <w:rPr>
          <w:rFonts w:ascii="Arial" w:hAnsi="Arial" w:cs="Arial"/>
          <w:b/>
          <w:bCs/>
        </w:rPr>
      </w:pPr>
    </w:p>
    <w:p w14:paraId="65160D80" w14:textId="77777777" w:rsidR="004566F2" w:rsidRDefault="004566F2" w:rsidP="005A1C19">
      <w:pPr>
        <w:spacing w:after="0" w:line="360" w:lineRule="auto"/>
        <w:jc w:val="center"/>
        <w:rPr>
          <w:rFonts w:ascii="Arial" w:hAnsi="Arial" w:cs="Arial"/>
          <w:b/>
          <w:bCs/>
        </w:rPr>
      </w:pPr>
    </w:p>
    <w:p w14:paraId="15287AFB" w14:textId="77777777" w:rsidR="004566F2" w:rsidRDefault="004566F2" w:rsidP="005A1C19">
      <w:pPr>
        <w:spacing w:after="0" w:line="360" w:lineRule="auto"/>
        <w:jc w:val="center"/>
        <w:rPr>
          <w:rFonts w:ascii="Arial" w:hAnsi="Arial" w:cs="Arial"/>
          <w:b/>
          <w:bCs/>
        </w:rPr>
      </w:pPr>
    </w:p>
    <w:p w14:paraId="798E7A68" w14:textId="77777777" w:rsidR="004566F2" w:rsidRDefault="004566F2" w:rsidP="005A1C19">
      <w:pPr>
        <w:spacing w:after="0" w:line="360" w:lineRule="auto"/>
        <w:jc w:val="center"/>
        <w:rPr>
          <w:rFonts w:ascii="Arial" w:hAnsi="Arial" w:cs="Arial"/>
          <w:b/>
          <w:bCs/>
        </w:rPr>
      </w:pPr>
    </w:p>
    <w:p w14:paraId="5A54B846" w14:textId="77777777" w:rsidR="004566F2" w:rsidRDefault="004566F2" w:rsidP="005A1C19">
      <w:pPr>
        <w:spacing w:after="0" w:line="360" w:lineRule="auto"/>
        <w:jc w:val="center"/>
        <w:rPr>
          <w:rFonts w:ascii="Arial" w:hAnsi="Arial" w:cs="Arial"/>
          <w:b/>
          <w:bCs/>
        </w:rPr>
      </w:pPr>
    </w:p>
    <w:p w14:paraId="2CC679FC" w14:textId="77777777" w:rsidR="004566F2" w:rsidRDefault="004566F2" w:rsidP="005A1C19">
      <w:pPr>
        <w:spacing w:after="0" w:line="360" w:lineRule="auto"/>
        <w:jc w:val="center"/>
        <w:rPr>
          <w:rFonts w:ascii="Arial" w:hAnsi="Arial" w:cs="Arial"/>
          <w:b/>
          <w:bCs/>
        </w:rPr>
      </w:pPr>
    </w:p>
    <w:p w14:paraId="5B2D4E4B" w14:textId="77777777" w:rsidR="00F17A99" w:rsidRDefault="00F17A99" w:rsidP="005A1C19">
      <w:pPr>
        <w:spacing w:after="0" w:line="360" w:lineRule="auto"/>
        <w:jc w:val="center"/>
        <w:rPr>
          <w:rFonts w:ascii="Arial" w:hAnsi="Arial" w:cs="Arial"/>
          <w:b/>
          <w:bCs/>
        </w:rPr>
      </w:pPr>
    </w:p>
    <w:p w14:paraId="40E15C7C" w14:textId="77777777" w:rsidR="00F17A99" w:rsidRDefault="00F17A99" w:rsidP="005A1C19">
      <w:pPr>
        <w:spacing w:after="0" w:line="360" w:lineRule="auto"/>
        <w:jc w:val="center"/>
        <w:rPr>
          <w:rFonts w:ascii="Arial" w:hAnsi="Arial" w:cs="Arial"/>
          <w:b/>
          <w:bCs/>
        </w:rPr>
      </w:pPr>
    </w:p>
    <w:p w14:paraId="6C099999" w14:textId="77777777" w:rsidR="004566F2" w:rsidRDefault="004566F2" w:rsidP="004A2860">
      <w:pPr>
        <w:spacing w:after="0" w:line="360" w:lineRule="auto"/>
        <w:rPr>
          <w:rFonts w:ascii="Arial" w:hAnsi="Arial" w:cs="Arial"/>
          <w:b/>
          <w:bCs/>
        </w:rPr>
      </w:pPr>
    </w:p>
    <w:p w14:paraId="59D64DF1" w14:textId="77777777" w:rsidR="004566F2" w:rsidRDefault="004566F2" w:rsidP="005A1C19">
      <w:pPr>
        <w:spacing w:after="0" w:line="360" w:lineRule="auto"/>
        <w:jc w:val="center"/>
        <w:rPr>
          <w:rFonts w:ascii="Arial" w:hAnsi="Arial" w:cs="Arial"/>
          <w:b/>
          <w:bCs/>
        </w:rPr>
      </w:pPr>
    </w:p>
    <w:p w14:paraId="75E70443" w14:textId="77777777" w:rsidR="004566F2" w:rsidRPr="00C872DD" w:rsidRDefault="004566F2" w:rsidP="005A1C19">
      <w:pPr>
        <w:spacing w:after="0" w:line="360" w:lineRule="auto"/>
        <w:jc w:val="center"/>
        <w:rPr>
          <w:rFonts w:ascii="Arial" w:hAnsi="Arial" w:cs="Arial"/>
          <w:b/>
          <w:bCs/>
        </w:rPr>
      </w:pPr>
    </w:p>
    <w:sdt>
      <w:sdtPr>
        <w:rPr>
          <w:rFonts w:asciiTheme="minorHAnsi" w:eastAsiaTheme="minorHAnsi" w:hAnsiTheme="minorHAnsi" w:cstheme="minorBidi"/>
          <w:color w:val="auto"/>
          <w:kern w:val="2"/>
          <w:sz w:val="24"/>
          <w:szCs w:val="24"/>
          <w:lang w:val="en-GB"/>
          <w14:ligatures w14:val="standardContextual"/>
        </w:rPr>
        <w:id w:val="346910524"/>
        <w:docPartObj>
          <w:docPartGallery w:val="Table of Contents"/>
          <w:docPartUnique/>
        </w:docPartObj>
      </w:sdtPr>
      <w:sdtEndPr>
        <w:rPr>
          <w:b/>
          <w:bCs/>
          <w:noProof/>
        </w:rPr>
      </w:sdtEndPr>
      <w:sdtContent>
        <w:p w14:paraId="4750F042" w14:textId="3C7C5F08" w:rsidR="00E622AF" w:rsidRPr="007B2F30" w:rsidRDefault="00E622AF">
          <w:pPr>
            <w:pStyle w:val="TOCHeading"/>
            <w:rPr>
              <w:rFonts w:ascii="Arial" w:hAnsi="Arial" w:cs="Arial"/>
            </w:rPr>
          </w:pPr>
          <w:r w:rsidRPr="007B2F30">
            <w:rPr>
              <w:rFonts w:ascii="Arial" w:hAnsi="Arial" w:cs="Arial"/>
            </w:rPr>
            <w:t>Contents</w:t>
          </w:r>
        </w:p>
        <w:p w14:paraId="6D09FE51" w14:textId="509CE3EC" w:rsidR="00744562" w:rsidRPr="007B2F30" w:rsidRDefault="00E622AF" w:rsidP="007B2F30">
          <w:pPr>
            <w:pStyle w:val="TOC1"/>
            <w:rPr>
              <w:rFonts w:eastAsiaTheme="minorEastAsia"/>
              <w:lang w:eastAsia="en-GB"/>
            </w:rPr>
          </w:pPr>
          <w:r w:rsidRPr="007B2F30">
            <w:rPr>
              <w:noProof w:val="0"/>
            </w:rPr>
            <w:fldChar w:fldCharType="begin"/>
          </w:r>
          <w:r w:rsidRPr="007B2F30">
            <w:instrText xml:space="preserve"> TOC \o "1-3" \h \z \u </w:instrText>
          </w:r>
          <w:r w:rsidRPr="007B2F30">
            <w:rPr>
              <w:noProof w:val="0"/>
            </w:rPr>
            <w:fldChar w:fldCharType="separate"/>
          </w:r>
          <w:hyperlink w:anchor="_Toc228883226" w:history="1">
            <w:r w:rsidR="00744562" w:rsidRPr="007B2F30">
              <w:rPr>
                <w:rStyle w:val="Hyperlink"/>
              </w:rPr>
              <w:t>CHAPTER 1: INTRODUCTION</w:t>
            </w:r>
            <w:r w:rsidR="00744562" w:rsidRPr="007B2F30">
              <w:rPr>
                <w:webHidden/>
              </w:rPr>
              <w:tab/>
            </w:r>
            <w:r w:rsidR="00744562" w:rsidRPr="007B2F30">
              <w:rPr>
                <w:webHidden/>
              </w:rPr>
              <w:fldChar w:fldCharType="begin"/>
            </w:r>
            <w:r w:rsidR="00744562" w:rsidRPr="007B2F30">
              <w:rPr>
                <w:webHidden/>
              </w:rPr>
              <w:instrText xml:space="preserve"> PAGEREF _Toc228883226 \h </w:instrText>
            </w:r>
            <w:r w:rsidR="00744562" w:rsidRPr="007B2F30">
              <w:rPr>
                <w:webHidden/>
              </w:rPr>
            </w:r>
            <w:r w:rsidR="00744562" w:rsidRPr="007B2F30">
              <w:rPr>
                <w:webHidden/>
              </w:rPr>
              <w:fldChar w:fldCharType="separate"/>
            </w:r>
            <w:r w:rsidR="00744562" w:rsidRPr="007B2F30">
              <w:rPr>
                <w:webHidden/>
              </w:rPr>
              <w:t>6</w:t>
            </w:r>
            <w:r w:rsidR="00744562" w:rsidRPr="007B2F30">
              <w:rPr>
                <w:webHidden/>
              </w:rPr>
              <w:fldChar w:fldCharType="end"/>
            </w:r>
          </w:hyperlink>
        </w:p>
        <w:p w14:paraId="336E53FA" w14:textId="235623E2" w:rsidR="00744562" w:rsidRPr="007B2F30" w:rsidRDefault="00744562">
          <w:pPr>
            <w:pStyle w:val="TOC2"/>
            <w:rPr>
              <w:rFonts w:ascii="Arial" w:eastAsiaTheme="minorEastAsia" w:hAnsi="Arial" w:cs="Arial"/>
              <w:sz w:val="22"/>
              <w:szCs w:val="22"/>
              <w:lang w:eastAsia="en-GB"/>
            </w:rPr>
          </w:pPr>
          <w:hyperlink w:anchor="_Toc228883227" w:history="1">
            <w:r w:rsidRPr="007B2F30">
              <w:rPr>
                <w:rStyle w:val="Hyperlink"/>
                <w:rFonts w:ascii="Arial" w:hAnsi="Arial" w:cs="Arial"/>
                <w:sz w:val="22"/>
                <w:szCs w:val="22"/>
              </w:rPr>
              <w:t>1.1. Background &amp; Problem Statement</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_Toc228883227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w:t>
            </w:r>
            <w:r w:rsidRPr="007B2F30">
              <w:rPr>
                <w:rFonts w:ascii="Arial" w:hAnsi="Arial" w:cs="Arial"/>
                <w:webHidden/>
                <w:sz w:val="22"/>
                <w:szCs w:val="22"/>
              </w:rPr>
              <w:fldChar w:fldCharType="end"/>
            </w:r>
          </w:hyperlink>
        </w:p>
        <w:p w14:paraId="2A985CB0" w14:textId="58AD2032" w:rsidR="00744562" w:rsidRPr="007B2F30" w:rsidRDefault="00744562">
          <w:pPr>
            <w:pStyle w:val="TOC2"/>
            <w:rPr>
              <w:rFonts w:ascii="Arial" w:eastAsiaTheme="minorEastAsia" w:hAnsi="Arial" w:cs="Arial"/>
              <w:sz w:val="22"/>
              <w:szCs w:val="22"/>
              <w:lang w:eastAsia="en-GB"/>
            </w:rPr>
          </w:pPr>
          <w:hyperlink w:anchor="_Toc228883228" w:history="1">
            <w:r w:rsidRPr="007B2F30">
              <w:rPr>
                <w:rStyle w:val="Hyperlink"/>
                <w:rFonts w:ascii="Arial" w:hAnsi="Arial" w:cs="Arial"/>
                <w:sz w:val="22"/>
                <w:szCs w:val="22"/>
              </w:rPr>
              <w:t>1.2. Research Aim</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_Toc228883228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w:t>
            </w:r>
            <w:r w:rsidRPr="007B2F30">
              <w:rPr>
                <w:rFonts w:ascii="Arial" w:hAnsi="Arial" w:cs="Arial"/>
                <w:webHidden/>
                <w:sz w:val="22"/>
                <w:szCs w:val="22"/>
              </w:rPr>
              <w:fldChar w:fldCharType="end"/>
            </w:r>
          </w:hyperlink>
        </w:p>
        <w:p w14:paraId="32288EA0" w14:textId="46E6D1D8" w:rsidR="00744562" w:rsidRPr="007B2F30" w:rsidRDefault="00744562">
          <w:pPr>
            <w:pStyle w:val="TOC2"/>
            <w:rPr>
              <w:rFonts w:ascii="Arial" w:eastAsiaTheme="minorEastAsia" w:hAnsi="Arial" w:cs="Arial"/>
              <w:sz w:val="22"/>
              <w:szCs w:val="22"/>
              <w:lang w:eastAsia="en-GB"/>
            </w:rPr>
          </w:pPr>
          <w:hyperlink w:anchor="_Toc228883229" w:history="1">
            <w:r w:rsidRPr="007B2F30">
              <w:rPr>
                <w:rStyle w:val="Hyperlink"/>
                <w:rFonts w:ascii="Arial" w:hAnsi="Arial" w:cs="Arial"/>
                <w:sz w:val="22"/>
                <w:szCs w:val="22"/>
              </w:rPr>
              <w:t>1.3. Research Objectives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_Toc228883229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7</w:t>
            </w:r>
            <w:r w:rsidRPr="007B2F30">
              <w:rPr>
                <w:rFonts w:ascii="Arial" w:hAnsi="Arial" w:cs="Arial"/>
                <w:webHidden/>
                <w:sz w:val="22"/>
                <w:szCs w:val="22"/>
              </w:rPr>
              <w:fldChar w:fldCharType="end"/>
            </w:r>
          </w:hyperlink>
        </w:p>
        <w:p w14:paraId="58F45CED" w14:textId="363178C8" w:rsidR="00744562" w:rsidRPr="007B2F30" w:rsidRDefault="00744562">
          <w:pPr>
            <w:pStyle w:val="TOC2"/>
            <w:rPr>
              <w:rFonts w:ascii="Arial" w:eastAsiaTheme="minorEastAsia" w:hAnsi="Arial" w:cs="Arial"/>
              <w:sz w:val="22"/>
              <w:szCs w:val="22"/>
              <w:lang w:eastAsia="en-GB"/>
            </w:rPr>
          </w:pPr>
          <w:hyperlink w:anchor="_Toc228883230" w:history="1">
            <w:r w:rsidRPr="007B2F30">
              <w:rPr>
                <w:rStyle w:val="Hyperlink"/>
                <w:rFonts w:ascii="Arial" w:hAnsi="Arial" w:cs="Arial"/>
                <w:sz w:val="22"/>
                <w:szCs w:val="22"/>
              </w:rPr>
              <w:t>1.4. Research Questions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_Toc228883230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7</w:t>
            </w:r>
            <w:r w:rsidRPr="007B2F30">
              <w:rPr>
                <w:rFonts w:ascii="Arial" w:hAnsi="Arial" w:cs="Arial"/>
                <w:webHidden/>
                <w:sz w:val="22"/>
                <w:szCs w:val="22"/>
              </w:rPr>
              <w:fldChar w:fldCharType="end"/>
            </w:r>
          </w:hyperlink>
        </w:p>
        <w:p w14:paraId="319DD0E8" w14:textId="6ED0A13D" w:rsidR="00744562" w:rsidRPr="007B2F30" w:rsidRDefault="00744562">
          <w:pPr>
            <w:pStyle w:val="TOC2"/>
            <w:rPr>
              <w:rFonts w:ascii="Arial" w:eastAsiaTheme="minorEastAsia" w:hAnsi="Arial" w:cs="Arial"/>
              <w:sz w:val="22"/>
              <w:szCs w:val="22"/>
              <w:lang w:eastAsia="en-GB"/>
            </w:rPr>
          </w:pPr>
          <w:hyperlink w:anchor="_Toc228883231" w:history="1">
            <w:r w:rsidRPr="007B2F30">
              <w:rPr>
                <w:rStyle w:val="Hyperlink"/>
                <w:rFonts w:ascii="Arial" w:hAnsi="Arial" w:cs="Arial"/>
                <w:sz w:val="22"/>
                <w:szCs w:val="22"/>
              </w:rPr>
              <w:t>1.5. Significance / Relevance of Study</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_Toc228883231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7</w:t>
            </w:r>
            <w:r w:rsidRPr="007B2F30">
              <w:rPr>
                <w:rFonts w:ascii="Arial" w:hAnsi="Arial" w:cs="Arial"/>
                <w:webHidden/>
                <w:sz w:val="22"/>
                <w:szCs w:val="22"/>
              </w:rPr>
              <w:fldChar w:fldCharType="end"/>
            </w:r>
          </w:hyperlink>
        </w:p>
        <w:p w14:paraId="0E6421D6" w14:textId="60495FA3" w:rsidR="00744562" w:rsidRPr="007B2F30" w:rsidRDefault="00744562">
          <w:pPr>
            <w:pStyle w:val="TOC2"/>
            <w:rPr>
              <w:rFonts w:ascii="Arial" w:eastAsiaTheme="minorEastAsia" w:hAnsi="Arial" w:cs="Arial"/>
              <w:sz w:val="22"/>
              <w:szCs w:val="22"/>
              <w:lang w:eastAsia="en-GB"/>
            </w:rPr>
          </w:pPr>
          <w:hyperlink w:anchor="_Toc228883232" w:history="1">
            <w:r w:rsidRPr="007B2F30">
              <w:rPr>
                <w:rStyle w:val="Hyperlink"/>
                <w:rFonts w:ascii="Arial" w:hAnsi="Arial" w:cs="Arial"/>
                <w:sz w:val="22"/>
                <w:szCs w:val="22"/>
              </w:rPr>
              <w:t>1.6. Brief Research Methodology</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_Toc228883232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8</w:t>
            </w:r>
            <w:r w:rsidRPr="007B2F30">
              <w:rPr>
                <w:rFonts w:ascii="Arial" w:hAnsi="Arial" w:cs="Arial"/>
                <w:webHidden/>
                <w:sz w:val="22"/>
                <w:szCs w:val="22"/>
              </w:rPr>
              <w:fldChar w:fldCharType="end"/>
            </w:r>
          </w:hyperlink>
        </w:p>
        <w:p w14:paraId="3272C225" w14:textId="29BC4067" w:rsidR="00744562" w:rsidRPr="007B2F30" w:rsidRDefault="00744562">
          <w:pPr>
            <w:pStyle w:val="TOC2"/>
            <w:rPr>
              <w:rFonts w:ascii="Arial" w:eastAsiaTheme="minorEastAsia" w:hAnsi="Arial" w:cs="Arial"/>
              <w:sz w:val="22"/>
              <w:szCs w:val="22"/>
              <w:lang w:eastAsia="en-GB"/>
            </w:rPr>
          </w:pPr>
          <w:hyperlink w:anchor="_Toc228883233" w:history="1">
            <w:r w:rsidRPr="007B2F30">
              <w:rPr>
                <w:rStyle w:val="Hyperlink"/>
                <w:rFonts w:ascii="Arial" w:hAnsi="Arial" w:cs="Arial"/>
                <w:sz w:val="22"/>
                <w:szCs w:val="22"/>
              </w:rPr>
              <w:t>1.7. Structure of the rest of the project</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_Toc228883233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8</w:t>
            </w:r>
            <w:r w:rsidRPr="007B2F30">
              <w:rPr>
                <w:rFonts w:ascii="Arial" w:hAnsi="Arial" w:cs="Arial"/>
                <w:webHidden/>
                <w:sz w:val="22"/>
                <w:szCs w:val="22"/>
              </w:rPr>
              <w:fldChar w:fldCharType="end"/>
            </w:r>
          </w:hyperlink>
        </w:p>
        <w:p w14:paraId="778ED024" w14:textId="2256734C" w:rsidR="00744562" w:rsidRPr="007B2F30" w:rsidRDefault="00744562" w:rsidP="007B2F30">
          <w:pPr>
            <w:pStyle w:val="TOC1"/>
            <w:rPr>
              <w:rFonts w:eastAsiaTheme="minorEastAsia"/>
              <w:lang w:eastAsia="en-GB"/>
            </w:rPr>
          </w:pPr>
          <w:hyperlink w:anchor="_Toc228883234" w:history="1">
            <w:r w:rsidRPr="007B2F30">
              <w:rPr>
                <w:rStyle w:val="Hyperlink"/>
              </w:rPr>
              <w:t>CHAPTER 2: LITERATURE REVIEW</w:t>
            </w:r>
            <w:r w:rsidRPr="007B2F30">
              <w:rPr>
                <w:webHidden/>
              </w:rPr>
              <w:tab/>
            </w:r>
            <w:r w:rsidRPr="007B2F30">
              <w:rPr>
                <w:webHidden/>
              </w:rPr>
              <w:fldChar w:fldCharType="begin"/>
            </w:r>
            <w:r w:rsidRPr="007B2F30">
              <w:rPr>
                <w:webHidden/>
              </w:rPr>
              <w:instrText xml:space="preserve"> PAGEREF _Toc228883234 \h </w:instrText>
            </w:r>
            <w:r w:rsidRPr="007B2F30">
              <w:rPr>
                <w:webHidden/>
              </w:rPr>
            </w:r>
            <w:r w:rsidRPr="007B2F30">
              <w:rPr>
                <w:webHidden/>
              </w:rPr>
              <w:fldChar w:fldCharType="separate"/>
            </w:r>
            <w:r w:rsidRPr="007B2F30">
              <w:rPr>
                <w:webHidden/>
              </w:rPr>
              <w:t>9</w:t>
            </w:r>
            <w:r w:rsidRPr="007B2F30">
              <w:rPr>
                <w:webHidden/>
              </w:rPr>
              <w:fldChar w:fldCharType="end"/>
            </w:r>
          </w:hyperlink>
        </w:p>
        <w:p w14:paraId="3CD3F8F4" w14:textId="1C3B4114" w:rsidR="00744562" w:rsidRPr="007B2F30" w:rsidRDefault="00744562">
          <w:pPr>
            <w:pStyle w:val="TOC2"/>
            <w:rPr>
              <w:rFonts w:ascii="Arial" w:eastAsiaTheme="minorEastAsia" w:hAnsi="Arial" w:cs="Arial"/>
              <w:sz w:val="22"/>
              <w:szCs w:val="22"/>
              <w:lang w:eastAsia="en-GB"/>
            </w:rPr>
          </w:pPr>
          <w:hyperlink w:anchor="_Toc228883235" w:history="1">
            <w:r w:rsidRPr="007B2F30">
              <w:rPr>
                <w:rStyle w:val="Hyperlink"/>
                <w:rFonts w:ascii="Arial" w:hAnsi="Arial" w:cs="Arial"/>
                <w:sz w:val="22"/>
                <w:szCs w:val="22"/>
              </w:rPr>
              <w:t>2.1. Introduction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_Toc228883235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9</w:t>
            </w:r>
            <w:r w:rsidRPr="007B2F30">
              <w:rPr>
                <w:rFonts w:ascii="Arial" w:hAnsi="Arial" w:cs="Arial"/>
                <w:webHidden/>
                <w:sz w:val="22"/>
                <w:szCs w:val="22"/>
              </w:rPr>
              <w:fldChar w:fldCharType="end"/>
            </w:r>
          </w:hyperlink>
        </w:p>
        <w:p w14:paraId="2B02767E" w14:textId="31A00616" w:rsidR="00744562" w:rsidRPr="007B2F30" w:rsidRDefault="00744562">
          <w:pPr>
            <w:pStyle w:val="TOC2"/>
            <w:rPr>
              <w:rFonts w:ascii="Arial" w:eastAsiaTheme="minorEastAsia" w:hAnsi="Arial" w:cs="Arial"/>
              <w:sz w:val="22"/>
              <w:szCs w:val="22"/>
              <w:lang w:eastAsia="en-GB"/>
            </w:rPr>
          </w:pPr>
          <w:hyperlink w:anchor="_Toc228883236" w:history="1">
            <w:r w:rsidRPr="007B2F30">
              <w:rPr>
                <w:rStyle w:val="Hyperlink"/>
                <w:rFonts w:ascii="Arial" w:hAnsi="Arial" w:cs="Arial"/>
                <w:sz w:val="22"/>
                <w:szCs w:val="22"/>
              </w:rPr>
              <w:t>2.2. JIT vs JIC: From Efficiency to Resilience Logic</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_Toc228883236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10</w:t>
            </w:r>
            <w:r w:rsidRPr="007B2F30">
              <w:rPr>
                <w:rFonts w:ascii="Arial" w:hAnsi="Arial" w:cs="Arial"/>
                <w:webHidden/>
                <w:sz w:val="22"/>
                <w:szCs w:val="22"/>
              </w:rPr>
              <w:fldChar w:fldCharType="end"/>
            </w:r>
          </w:hyperlink>
        </w:p>
        <w:p w14:paraId="18888F0D" w14:textId="696FF180" w:rsidR="00744562" w:rsidRPr="007B2F30" w:rsidRDefault="00744562">
          <w:pPr>
            <w:pStyle w:val="TOC2"/>
            <w:rPr>
              <w:rFonts w:ascii="Arial" w:eastAsiaTheme="minorEastAsia" w:hAnsi="Arial" w:cs="Arial"/>
              <w:sz w:val="22"/>
              <w:szCs w:val="22"/>
              <w:lang w:eastAsia="en-GB"/>
            </w:rPr>
          </w:pPr>
          <w:hyperlink w:anchor="_Toc228883237" w:history="1">
            <w:r w:rsidRPr="007B2F30">
              <w:rPr>
                <w:rStyle w:val="Hyperlink"/>
                <w:rFonts w:ascii="Arial" w:hAnsi="Arial" w:cs="Arial"/>
                <w:sz w:val="22"/>
                <w:szCs w:val="22"/>
              </w:rPr>
              <w:t>2.3. Supply Chain Disruptions: From Global Instability to the Red Sea Shock</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_Toc228883237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12</w:t>
            </w:r>
            <w:r w:rsidRPr="007B2F30">
              <w:rPr>
                <w:rFonts w:ascii="Arial" w:hAnsi="Arial" w:cs="Arial"/>
                <w:webHidden/>
                <w:sz w:val="22"/>
                <w:szCs w:val="22"/>
              </w:rPr>
              <w:fldChar w:fldCharType="end"/>
            </w:r>
          </w:hyperlink>
        </w:p>
        <w:p w14:paraId="49E49FF1" w14:textId="74A9B1AB" w:rsidR="00744562" w:rsidRPr="007B2F30" w:rsidRDefault="00744562">
          <w:pPr>
            <w:pStyle w:val="TOC2"/>
            <w:rPr>
              <w:rFonts w:ascii="Arial" w:eastAsiaTheme="minorEastAsia" w:hAnsi="Arial" w:cs="Arial"/>
              <w:sz w:val="22"/>
              <w:szCs w:val="22"/>
              <w:lang w:eastAsia="en-GB"/>
            </w:rPr>
          </w:pPr>
          <w:hyperlink w:anchor="_Toc228883238" w:history="1">
            <w:r w:rsidRPr="007B2F30">
              <w:rPr>
                <w:rStyle w:val="Hyperlink"/>
                <w:rFonts w:ascii="Arial" w:hAnsi="Arial" w:cs="Arial"/>
                <w:sz w:val="22"/>
                <w:szCs w:val="22"/>
              </w:rPr>
              <w:t>2.4. Supply Chain Resilience &amp; Risk Strategies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_Toc228883238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14</w:t>
            </w:r>
            <w:r w:rsidRPr="007B2F30">
              <w:rPr>
                <w:rFonts w:ascii="Arial" w:hAnsi="Arial" w:cs="Arial"/>
                <w:webHidden/>
                <w:sz w:val="22"/>
                <w:szCs w:val="22"/>
              </w:rPr>
              <w:fldChar w:fldCharType="end"/>
            </w:r>
          </w:hyperlink>
        </w:p>
        <w:p w14:paraId="62D8BF8F" w14:textId="24D2CF01" w:rsidR="00744562" w:rsidRPr="007B2F30" w:rsidRDefault="00744562">
          <w:pPr>
            <w:pStyle w:val="TOC2"/>
            <w:rPr>
              <w:rFonts w:ascii="Arial" w:eastAsiaTheme="minorEastAsia" w:hAnsi="Arial" w:cs="Arial"/>
              <w:sz w:val="22"/>
              <w:szCs w:val="22"/>
              <w:lang w:eastAsia="en-GB"/>
            </w:rPr>
          </w:pPr>
          <w:hyperlink w:anchor="_Toc228883239" w:history="1">
            <w:r w:rsidRPr="007B2F30">
              <w:rPr>
                <w:rStyle w:val="Hyperlink"/>
                <w:rFonts w:ascii="Arial" w:hAnsi="Arial" w:cs="Arial"/>
                <w:sz w:val="22"/>
                <w:szCs w:val="22"/>
              </w:rPr>
              <w:t>2.5. Automotive Industry Context (Luxury vs Mass)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_Toc228883239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16</w:t>
            </w:r>
            <w:r w:rsidRPr="007B2F30">
              <w:rPr>
                <w:rFonts w:ascii="Arial" w:hAnsi="Arial" w:cs="Arial"/>
                <w:webHidden/>
                <w:sz w:val="22"/>
                <w:szCs w:val="22"/>
              </w:rPr>
              <w:fldChar w:fldCharType="end"/>
            </w:r>
          </w:hyperlink>
        </w:p>
        <w:p w14:paraId="3039B714" w14:textId="560BF2C4" w:rsidR="00744562" w:rsidRPr="007B2F30" w:rsidRDefault="00744562" w:rsidP="007B2F30">
          <w:pPr>
            <w:pStyle w:val="TOC1"/>
            <w:rPr>
              <w:rFonts w:eastAsiaTheme="minorEastAsia"/>
              <w:lang w:eastAsia="en-GB"/>
            </w:rPr>
          </w:pPr>
          <w:hyperlink w:anchor="_Toc228883240" w:history="1">
            <w:r w:rsidRPr="007B2F30">
              <w:rPr>
                <w:rStyle w:val="Hyperlink"/>
              </w:rPr>
              <w:t>CHAPTER 3: RESEARCH METHODOLOGY</w:t>
            </w:r>
            <w:r w:rsidRPr="007B2F30">
              <w:rPr>
                <w:webHidden/>
              </w:rPr>
              <w:tab/>
            </w:r>
            <w:r w:rsidRPr="007B2F30">
              <w:rPr>
                <w:webHidden/>
              </w:rPr>
              <w:fldChar w:fldCharType="begin"/>
            </w:r>
            <w:r w:rsidRPr="007B2F30">
              <w:rPr>
                <w:webHidden/>
              </w:rPr>
              <w:instrText xml:space="preserve"> PAGEREF _Toc228883240 \h </w:instrText>
            </w:r>
            <w:r w:rsidRPr="007B2F30">
              <w:rPr>
                <w:webHidden/>
              </w:rPr>
            </w:r>
            <w:r w:rsidRPr="007B2F30">
              <w:rPr>
                <w:webHidden/>
              </w:rPr>
              <w:fldChar w:fldCharType="separate"/>
            </w:r>
            <w:r w:rsidRPr="007B2F30">
              <w:rPr>
                <w:webHidden/>
              </w:rPr>
              <w:t>19</w:t>
            </w:r>
            <w:r w:rsidRPr="007B2F30">
              <w:rPr>
                <w:webHidden/>
              </w:rPr>
              <w:fldChar w:fldCharType="end"/>
            </w:r>
          </w:hyperlink>
        </w:p>
        <w:p w14:paraId="313143D9" w14:textId="2E08819C" w:rsidR="00744562" w:rsidRPr="007B2F30" w:rsidRDefault="00744562">
          <w:pPr>
            <w:pStyle w:val="TOC2"/>
            <w:rPr>
              <w:rFonts w:ascii="Arial" w:eastAsiaTheme="minorEastAsia" w:hAnsi="Arial" w:cs="Arial"/>
              <w:sz w:val="22"/>
              <w:szCs w:val="22"/>
              <w:lang w:eastAsia="en-GB"/>
            </w:rPr>
          </w:pPr>
          <w:hyperlink w:anchor="_Toc228883241" w:history="1">
            <w:r w:rsidRPr="007B2F30">
              <w:rPr>
                <w:rStyle w:val="Hyperlink"/>
                <w:rFonts w:ascii="Arial" w:hAnsi="Arial" w:cs="Arial"/>
                <w:sz w:val="22"/>
                <w:szCs w:val="22"/>
              </w:rPr>
              <w:t>3.1. Introduction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_Toc228883241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19</w:t>
            </w:r>
            <w:r w:rsidRPr="007B2F30">
              <w:rPr>
                <w:rFonts w:ascii="Arial" w:hAnsi="Arial" w:cs="Arial"/>
                <w:webHidden/>
                <w:sz w:val="22"/>
                <w:szCs w:val="22"/>
              </w:rPr>
              <w:fldChar w:fldCharType="end"/>
            </w:r>
          </w:hyperlink>
        </w:p>
        <w:p w14:paraId="4A049D8B" w14:textId="7DDC274A" w:rsidR="00744562" w:rsidRPr="007B2F30" w:rsidRDefault="00744562">
          <w:pPr>
            <w:pStyle w:val="TOC2"/>
            <w:rPr>
              <w:rFonts w:ascii="Arial" w:eastAsiaTheme="minorEastAsia" w:hAnsi="Arial" w:cs="Arial"/>
              <w:sz w:val="22"/>
              <w:szCs w:val="22"/>
              <w:lang w:eastAsia="en-GB"/>
            </w:rPr>
          </w:pPr>
          <w:hyperlink w:anchor="_Toc228883242" w:history="1">
            <w:r w:rsidRPr="007B2F30">
              <w:rPr>
                <w:rStyle w:val="Hyperlink"/>
                <w:rFonts w:ascii="Arial" w:hAnsi="Arial" w:cs="Arial"/>
                <w:sz w:val="22"/>
                <w:szCs w:val="22"/>
              </w:rPr>
              <w:t>3.2. Research Philosophy and Assumptions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_Toc228883242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20</w:t>
            </w:r>
            <w:r w:rsidRPr="007B2F30">
              <w:rPr>
                <w:rFonts w:ascii="Arial" w:hAnsi="Arial" w:cs="Arial"/>
                <w:webHidden/>
                <w:sz w:val="22"/>
                <w:szCs w:val="22"/>
              </w:rPr>
              <w:fldChar w:fldCharType="end"/>
            </w:r>
          </w:hyperlink>
        </w:p>
        <w:p w14:paraId="2E1CC2CD" w14:textId="7BF3DFBC" w:rsidR="00744562" w:rsidRPr="007B2F30" w:rsidRDefault="00744562">
          <w:pPr>
            <w:pStyle w:val="TOC2"/>
            <w:rPr>
              <w:rFonts w:ascii="Arial" w:eastAsiaTheme="minorEastAsia" w:hAnsi="Arial" w:cs="Arial"/>
              <w:sz w:val="22"/>
              <w:szCs w:val="22"/>
              <w:lang w:eastAsia="en-GB"/>
            </w:rPr>
          </w:pPr>
          <w:hyperlink w:anchor="_Toc228883243" w:history="1">
            <w:r w:rsidRPr="007B2F30">
              <w:rPr>
                <w:rStyle w:val="Hyperlink"/>
                <w:rFonts w:ascii="Arial" w:hAnsi="Arial" w:cs="Arial"/>
                <w:sz w:val="22"/>
                <w:szCs w:val="22"/>
              </w:rPr>
              <w:t>3.3. Research Design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_Toc228883243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20</w:t>
            </w:r>
            <w:r w:rsidRPr="007B2F30">
              <w:rPr>
                <w:rFonts w:ascii="Arial" w:hAnsi="Arial" w:cs="Arial"/>
                <w:webHidden/>
                <w:sz w:val="22"/>
                <w:szCs w:val="22"/>
              </w:rPr>
              <w:fldChar w:fldCharType="end"/>
            </w:r>
          </w:hyperlink>
        </w:p>
        <w:p w14:paraId="2069FC21" w14:textId="5563C29E" w:rsidR="00744562" w:rsidRPr="007B2F30" w:rsidRDefault="00744562">
          <w:pPr>
            <w:pStyle w:val="TOC2"/>
            <w:rPr>
              <w:rFonts w:ascii="Arial" w:eastAsiaTheme="minorEastAsia" w:hAnsi="Arial" w:cs="Arial"/>
              <w:sz w:val="22"/>
              <w:szCs w:val="22"/>
              <w:lang w:eastAsia="en-GB"/>
            </w:rPr>
          </w:pPr>
          <w:hyperlink w:anchor="_Toc228883244" w:history="1">
            <w:r w:rsidRPr="007B2F30">
              <w:rPr>
                <w:rStyle w:val="Hyperlink"/>
                <w:rFonts w:ascii="Arial" w:hAnsi="Arial" w:cs="Arial"/>
                <w:sz w:val="22"/>
                <w:szCs w:val="22"/>
              </w:rPr>
              <w:t>3.4 Research Approach</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_Toc228883244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22</w:t>
            </w:r>
            <w:r w:rsidRPr="007B2F30">
              <w:rPr>
                <w:rFonts w:ascii="Arial" w:hAnsi="Arial" w:cs="Arial"/>
                <w:webHidden/>
                <w:sz w:val="22"/>
                <w:szCs w:val="22"/>
              </w:rPr>
              <w:fldChar w:fldCharType="end"/>
            </w:r>
          </w:hyperlink>
        </w:p>
        <w:p w14:paraId="1CFA46AC" w14:textId="565F0B63" w:rsidR="00744562" w:rsidRPr="007B2F30" w:rsidRDefault="00744562">
          <w:pPr>
            <w:pStyle w:val="TOC2"/>
            <w:rPr>
              <w:rFonts w:ascii="Arial" w:eastAsiaTheme="minorEastAsia" w:hAnsi="Arial" w:cs="Arial"/>
              <w:sz w:val="22"/>
              <w:szCs w:val="22"/>
              <w:lang w:eastAsia="en-GB"/>
            </w:rPr>
          </w:pPr>
          <w:hyperlink w:anchor="_Toc228883245" w:history="1">
            <w:r w:rsidRPr="007B2F30">
              <w:rPr>
                <w:rStyle w:val="Hyperlink"/>
                <w:rFonts w:ascii="Arial" w:hAnsi="Arial" w:cs="Arial"/>
                <w:sz w:val="22"/>
                <w:szCs w:val="22"/>
              </w:rPr>
              <w:t>3.5. Data Collection Methods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_Toc228883245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23</w:t>
            </w:r>
            <w:r w:rsidRPr="007B2F30">
              <w:rPr>
                <w:rFonts w:ascii="Arial" w:hAnsi="Arial" w:cs="Arial"/>
                <w:webHidden/>
                <w:sz w:val="22"/>
                <w:szCs w:val="22"/>
              </w:rPr>
              <w:fldChar w:fldCharType="end"/>
            </w:r>
          </w:hyperlink>
        </w:p>
        <w:p w14:paraId="4875EF4E" w14:textId="42405782" w:rsidR="00744562" w:rsidRPr="007B2F30" w:rsidRDefault="00744562">
          <w:pPr>
            <w:pStyle w:val="TOC2"/>
            <w:rPr>
              <w:rFonts w:ascii="Arial" w:eastAsiaTheme="minorEastAsia" w:hAnsi="Arial" w:cs="Arial"/>
              <w:sz w:val="22"/>
              <w:szCs w:val="22"/>
              <w:lang w:eastAsia="en-GB"/>
            </w:rPr>
          </w:pPr>
          <w:hyperlink w:anchor="_Toc228883246" w:history="1">
            <w:r w:rsidRPr="007B2F30">
              <w:rPr>
                <w:rStyle w:val="Hyperlink"/>
                <w:rFonts w:ascii="Arial" w:hAnsi="Arial" w:cs="Arial"/>
                <w:sz w:val="22"/>
                <w:szCs w:val="22"/>
              </w:rPr>
              <w:t>3.6 Variable Construction &amp; Measurement</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_Toc228883246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25</w:t>
            </w:r>
            <w:r w:rsidRPr="007B2F30">
              <w:rPr>
                <w:rFonts w:ascii="Arial" w:hAnsi="Arial" w:cs="Arial"/>
                <w:webHidden/>
                <w:sz w:val="22"/>
                <w:szCs w:val="22"/>
              </w:rPr>
              <w:fldChar w:fldCharType="end"/>
            </w:r>
          </w:hyperlink>
        </w:p>
        <w:p w14:paraId="6F6A4D5D" w14:textId="2D73ED25"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47" w:history="1">
            <w:r w:rsidRPr="007B2F30">
              <w:rPr>
                <w:rStyle w:val="Hyperlink"/>
                <w:rFonts w:ascii="Arial" w:hAnsi="Arial" w:cs="Arial"/>
                <w:noProof/>
                <w:sz w:val="22"/>
                <w:szCs w:val="22"/>
              </w:rPr>
              <w:t>3.6.1. Financial and operational Metrics (Company Level)</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_Toc228883247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26</w:t>
            </w:r>
            <w:r w:rsidRPr="007B2F30">
              <w:rPr>
                <w:rFonts w:ascii="Arial" w:hAnsi="Arial" w:cs="Arial"/>
                <w:noProof/>
                <w:webHidden/>
                <w:sz w:val="22"/>
                <w:szCs w:val="22"/>
              </w:rPr>
              <w:fldChar w:fldCharType="end"/>
            </w:r>
          </w:hyperlink>
        </w:p>
        <w:p w14:paraId="5C26D44E" w14:textId="44AB62DD"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48" w:history="1">
            <w:r w:rsidRPr="007B2F30">
              <w:rPr>
                <w:rStyle w:val="Hyperlink"/>
                <w:rFonts w:ascii="Arial" w:hAnsi="Arial" w:cs="Arial"/>
                <w:noProof/>
                <w:sz w:val="22"/>
                <w:szCs w:val="22"/>
              </w:rPr>
              <w:t>3.6.2. Global Metrics (disruptions)</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_Toc228883248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27</w:t>
            </w:r>
            <w:r w:rsidRPr="007B2F30">
              <w:rPr>
                <w:rFonts w:ascii="Arial" w:hAnsi="Arial" w:cs="Arial"/>
                <w:noProof/>
                <w:webHidden/>
                <w:sz w:val="22"/>
                <w:szCs w:val="22"/>
              </w:rPr>
              <w:fldChar w:fldCharType="end"/>
            </w:r>
          </w:hyperlink>
        </w:p>
        <w:p w14:paraId="58ABA75A" w14:textId="5C9E7162"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49" w:history="1">
            <w:r w:rsidRPr="007B2F30">
              <w:rPr>
                <w:rStyle w:val="Hyperlink"/>
                <w:rFonts w:ascii="Arial" w:hAnsi="Arial" w:cs="Arial"/>
                <w:noProof/>
                <w:sz w:val="22"/>
                <w:szCs w:val="22"/>
              </w:rPr>
              <w:t>3.6.3. Additional metrics and RQ3 key indicators explanation</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_Toc228883249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30</w:t>
            </w:r>
            <w:r w:rsidRPr="007B2F30">
              <w:rPr>
                <w:rFonts w:ascii="Arial" w:hAnsi="Arial" w:cs="Arial"/>
                <w:noProof/>
                <w:webHidden/>
                <w:sz w:val="22"/>
                <w:szCs w:val="22"/>
              </w:rPr>
              <w:fldChar w:fldCharType="end"/>
            </w:r>
          </w:hyperlink>
        </w:p>
        <w:p w14:paraId="4C3FFA91" w14:textId="0D64A66A"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50" w:history="1">
            <w:r w:rsidRPr="007B2F30">
              <w:rPr>
                <w:rStyle w:val="Hyperlink"/>
                <w:rFonts w:ascii="Arial" w:hAnsi="Arial" w:cs="Arial"/>
                <w:noProof/>
                <w:sz w:val="22"/>
                <w:szCs w:val="22"/>
              </w:rPr>
              <w:t>3.7. Data Analysis &amp; Tools (Power BI + SQL Logic)</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_Toc228883250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31</w:t>
            </w:r>
            <w:r w:rsidRPr="007B2F30">
              <w:rPr>
                <w:rFonts w:ascii="Arial" w:hAnsi="Arial" w:cs="Arial"/>
                <w:noProof/>
                <w:webHidden/>
                <w:sz w:val="22"/>
                <w:szCs w:val="22"/>
              </w:rPr>
              <w:fldChar w:fldCharType="end"/>
            </w:r>
          </w:hyperlink>
        </w:p>
        <w:p w14:paraId="4D7C6278" w14:textId="5E1659ED" w:rsidR="00744562" w:rsidRPr="007B2F30" w:rsidRDefault="00744562">
          <w:pPr>
            <w:pStyle w:val="TOC2"/>
            <w:rPr>
              <w:rFonts w:ascii="Arial" w:eastAsiaTheme="minorEastAsia" w:hAnsi="Arial" w:cs="Arial"/>
              <w:sz w:val="22"/>
              <w:szCs w:val="22"/>
              <w:lang w:eastAsia="en-GB"/>
            </w:rPr>
          </w:pPr>
          <w:hyperlink w:anchor="_Toc228883251" w:history="1">
            <w:r w:rsidRPr="007B2F30">
              <w:rPr>
                <w:rStyle w:val="Hyperlink"/>
                <w:rFonts w:ascii="Arial" w:hAnsi="Arial" w:cs="Arial"/>
                <w:sz w:val="22"/>
                <w:szCs w:val="22"/>
              </w:rPr>
              <w:t>3.8. Ethical Considerations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_Toc228883251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33</w:t>
            </w:r>
            <w:r w:rsidRPr="007B2F30">
              <w:rPr>
                <w:rFonts w:ascii="Arial" w:hAnsi="Arial" w:cs="Arial"/>
                <w:webHidden/>
                <w:sz w:val="22"/>
                <w:szCs w:val="22"/>
              </w:rPr>
              <w:fldChar w:fldCharType="end"/>
            </w:r>
          </w:hyperlink>
        </w:p>
        <w:p w14:paraId="37DA6E9C" w14:textId="71F95A07" w:rsidR="00744562" w:rsidRPr="007B2F30" w:rsidRDefault="00744562">
          <w:pPr>
            <w:pStyle w:val="TOC2"/>
            <w:rPr>
              <w:rFonts w:ascii="Arial" w:eastAsiaTheme="minorEastAsia" w:hAnsi="Arial" w:cs="Arial"/>
              <w:sz w:val="22"/>
              <w:szCs w:val="22"/>
              <w:lang w:eastAsia="en-GB"/>
            </w:rPr>
          </w:pPr>
          <w:hyperlink w:anchor="_Toc228883252" w:history="1">
            <w:r w:rsidRPr="007B2F30">
              <w:rPr>
                <w:rStyle w:val="Hyperlink"/>
                <w:rFonts w:ascii="Arial" w:hAnsi="Arial" w:cs="Arial"/>
                <w:sz w:val="22"/>
                <w:szCs w:val="22"/>
              </w:rPr>
              <w:t>3.8 Methodological Limitations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_Toc228883252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33</w:t>
            </w:r>
            <w:r w:rsidRPr="007B2F30">
              <w:rPr>
                <w:rFonts w:ascii="Arial" w:hAnsi="Arial" w:cs="Arial"/>
                <w:webHidden/>
                <w:sz w:val="22"/>
                <w:szCs w:val="22"/>
              </w:rPr>
              <w:fldChar w:fldCharType="end"/>
            </w:r>
          </w:hyperlink>
        </w:p>
        <w:p w14:paraId="51D2286B" w14:textId="3B9C614B" w:rsidR="00744562" w:rsidRPr="007B2F30" w:rsidRDefault="00744562">
          <w:pPr>
            <w:pStyle w:val="TOC2"/>
            <w:rPr>
              <w:rFonts w:ascii="Arial" w:eastAsiaTheme="minorEastAsia" w:hAnsi="Arial" w:cs="Arial"/>
              <w:sz w:val="22"/>
              <w:szCs w:val="22"/>
              <w:lang w:eastAsia="en-GB"/>
            </w:rPr>
          </w:pPr>
          <w:hyperlink w:anchor="_Toc228883253" w:history="1">
            <w:r w:rsidRPr="007B2F30">
              <w:rPr>
                <w:rStyle w:val="Hyperlink"/>
                <w:rFonts w:ascii="Arial" w:hAnsi="Arial" w:cs="Arial"/>
                <w:sz w:val="22"/>
                <w:szCs w:val="22"/>
              </w:rPr>
              <w:t>3.9 Conclusion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_Toc228883253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34</w:t>
            </w:r>
            <w:r w:rsidRPr="007B2F30">
              <w:rPr>
                <w:rFonts w:ascii="Arial" w:hAnsi="Arial" w:cs="Arial"/>
                <w:webHidden/>
                <w:sz w:val="22"/>
                <w:szCs w:val="22"/>
              </w:rPr>
              <w:fldChar w:fldCharType="end"/>
            </w:r>
          </w:hyperlink>
        </w:p>
        <w:p w14:paraId="0665713C" w14:textId="27B6751F" w:rsidR="00744562" w:rsidRPr="007B2F30" w:rsidRDefault="00744562" w:rsidP="007B2F30">
          <w:pPr>
            <w:pStyle w:val="TOC1"/>
            <w:rPr>
              <w:rFonts w:eastAsiaTheme="minorEastAsia"/>
              <w:lang w:eastAsia="en-GB"/>
            </w:rPr>
          </w:pPr>
          <w:hyperlink w:anchor="_Toc228883254" w:history="1">
            <w:r w:rsidRPr="007B2F30">
              <w:rPr>
                <w:rStyle w:val="Hyperlink"/>
              </w:rPr>
              <w:t>Chapter 4: FINDINGS / RESULTS, ANALYSIS AND DISCUSSION</w:t>
            </w:r>
            <w:r w:rsidRPr="007B2F30">
              <w:rPr>
                <w:webHidden/>
              </w:rPr>
              <w:tab/>
            </w:r>
            <w:r w:rsidRPr="007B2F30">
              <w:rPr>
                <w:webHidden/>
              </w:rPr>
              <w:fldChar w:fldCharType="begin"/>
            </w:r>
            <w:r w:rsidRPr="007B2F30">
              <w:rPr>
                <w:webHidden/>
              </w:rPr>
              <w:instrText xml:space="preserve"> PAGEREF _Toc228883254 \h </w:instrText>
            </w:r>
            <w:r w:rsidRPr="007B2F30">
              <w:rPr>
                <w:webHidden/>
              </w:rPr>
            </w:r>
            <w:r w:rsidRPr="007B2F30">
              <w:rPr>
                <w:webHidden/>
              </w:rPr>
              <w:fldChar w:fldCharType="separate"/>
            </w:r>
            <w:r w:rsidRPr="007B2F30">
              <w:rPr>
                <w:webHidden/>
              </w:rPr>
              <w:t>35</w:t>
            </w:r>
            <w:r w:rsidRPr="007B2F30">
              <w:rPr>
                <w:webHidden/>
              </w:rPr>
              <w:fldChar w:fldCharType="end"/>
            </w:r>
          </w:hyperlink>
        </w:p>
        <w:p w14:paraId="7CB5AE89" w14:textId="34705392" w:rsidR="00744562" w:rsidRPr="007B2F30" w:rsidRDefault="00744562">
          <w:pPr>
            <w:pStyle w:val="TOC2"/>
            <w:rPr>
              <w:rFonts w:ascii="Arial" w:eastAsiaTheme="minorEastAsia" w:hAnsi="Arial" w:cs="Arial"/>
              <w:sz w:val="22"/>
              <w:szCs w:val="22"/>
              <w:lang w:eastAsia="en-GB"/>
            </w:rPr>
          </w:pPr>
          <w:hyperlink w:anchor="_Toc228883255" w:history="1">
            <w:r w:rsidRPr="007B2F30">
              <w:rPr>
                <w:rStyle w:val="Hyperlink"/>
                <w:rFonts w:ascii="Arial" w:hAnsi="Arial" w:cs="Arial"/>
                <w:sz w:val="22"/>
                <w:szCs w:val="22"/>
              </w:rPr>
              <w:t>4.1 Introduction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_Toc228883255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35</w:t>
            </w:r>
            <w:r w:rsidRPr="007B2F30">
              <w:rPr>
                <w:rFonts w:ascii="Arial" w:hAnsi="Arial" w:cs="Arial"/>
                <w:webHidden/>
                <w:sz w:val="22"/>
                <w:szCs w:val="22"/>
              </w:rPr>
              <w:fldChar w:fldCharType="end"/>
            </w:r>
          </w:hyperlink>
        </w:p>
        <w:p w14:paraId="60F5B042" w14:textId="22B29F80" w:rsidR="00744562" w:rsidRPr="007B2F30" w:rsidRDefault="00744562">
          <w:pPr>
            <w:pStyle w:val="TOC2"/>
            <w:rPr>
              <w:rFonts w:ascii="Arial" w:eastAsiaTheme="minorEastAsia" w:hAnsi="Arial" w:cs="Arial"/>
              <w:sz w:val="22"/>
              <w:szCs w:val="22"/>
              <w:lang w:eastAsia="en-GB"/>
            </w:rPr>
          </w:pPr>
          <w:hyperlink w:anchor="_Toc228883256" w:history="1">
            <w:r w:rsidRPr="007B2F30">
              <w:rPr>
                <w:rStyle w:val="Hyperlink"/>
                <w:rFonts w:ascii="Arial" w:hAnsi="Arial" w:cs="Arial"/>
                <w:sz w:val="22"/>
                <w:szCs w:val="22"/>
              </w:rPr>
              <w:t>4.2 Empirical Analysis of Supply Chain Adaptation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_Toc228883256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36</w:t>
            </w:r>
            <w:r w:rsidRPr="007B2F30">
              <w:rPr>
                <w:rFonts w:ascii="Arial" w:hAnsi="Arial" w:cs="Arial"/>
                <w:webHidden/>
                <w:sz w:val="22"/>
                <w:szCs w:val="22"/>
              </w:rPr>
              <w:fldChar w:fldCharType="end"/>
            </w:r>
          </w:hyperlink>
        </w:p>
        <w:p w14:paraId="4C77C2CC" w14:textId="7491A5A8"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57" w:history="1">
            <w:r w:rsidRPr="007B2F30">
              <w:rPr>
                <w:rStyle w:val="Hyperlink"/>
                <w:rFonts w:ascii="Arial" w:hAnsi="Arial" w:cs="Arial"/>
                <w:noProof/>
                <w:sz w:val="22"/>
                <w:szCs w:val="22"/>
              </w:rPr>
              <w:t>4.2.1 RQ1: How did firms shift from JIT toward JIC?</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_Toc228883257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36</w:t>
            </w:r>
            <w:r w:rsidRPr="007B2F30">
              <w:rPr>
                <w:rFonts w:ascii="Arial" w:hAnsi="Arial" w:cs="Arial"/>
                <w:noProof/>
                <w:webHidden/>
                <w:sz w:val="22"/>
                <w:szCs w:val="22"/>
              </w:rPr>
              <w:fldChar w:fldCharType="end"/>
            </w:r>
          </w:hyperlink>
        </w:p>
        <w:p w14:paraId="2978D863" w14:textId="47979A88"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58" w:history="1">
            <w:r w:rsidRPr="007B2F30">
              <w:rPr>
                <w:rStyle w:val="Hyperlink"/>
                <w:rFonts w:ascii="Arial" w:hAnsi="Arial" w:cs="Arial"/>
                <w:noProof/>
                <w:sz w:val="22"/>
                <w:szCs w:val="22"/>
              </w:rPr>
              <w:t>4.2.2.  Route Diversification as Behavioural Evidence of Strategic JIC Adaptation</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_Toc228883258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36</w:t>
            </w:r>
            <w:r w:rsidRPr="007B2F30">
              <w:rPr>
                <w:rFonts w:ascii="Arial" w:hAnsi="Arial" w:cs="Arial"/>
                <w:noProof/>
                <w:webHidden/>
                <w:sz w:val="22"/>
                <w:szCs w:val="22"/>
              </w:rPr>
              <w:fldChar w:fldCharType="end"/>
            </w:r>
          </w:hyperlink>
        </w:p>
        <w:p w14:paraId="1C12245C" w14:textId="6D0682AB"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59" w:history="1">
            <w:r w:rsidRPr="007B2F30">
              <w:rPr>
                <w:rStyle w:val="Hyperlink"/>
                <w:rFonts w:ascii="Arial" w:hAnsi="Arial" w:cs="Arial"/>
                <w:noProof/>
                <w:sz w:val="22"/>
                <w:szCs w:val="22"/>
              </w:rPr>
              <w:t>4.2.3 Transit Time Inflation and the Cost of Resilience Adaptation</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_Toc228883259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38</w:t>
            </w:r>
            <w:r w:rsidRPr="007B2F30">
              <w:rPr>
                <w:rFonts w:ascii="Arial" w:hAnsi="Arial" w:cs="Arial"/>
                <w:noProof/>
                <w:webHidden/>
                <w:sz w:val="22"/>
                <w:szCs w:val="22"/>
              </w:rPr>
              <w:fldChar w:fldCharType="end"/>
            </w:r>
          </w:hyperlink>
        </w:p>
        <w:p w14:paraId="7F09A174" w14:textId="195F1AD5"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60" w:history="1">
            <w:r w:rsidRPr="007B2F30">
              <w:rPr>
                <w:rStyle w:val="Hyperlink"/>
                <w:rFonts w:ascii="Arial" w:hAnsi="Arial" w:cs="Arial"/>
                <w:noProof/>
                <w:sz w:val="22"/>
                <w:szCs w:val="22"/>
              </w:rPr>
              <w:t>4.2.4 Crisis-Period Inventory Growth and Evidence of Hybrid JIT–JIC Transition</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_Toc228883260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39</w:t>
            </w:r>
            <w:r w:rsidRPr="007B2F30">
              <w:rPr>
                <w:rFonts w:ascii="Arial" w:hAnsi="Arial" w:cs="Arial"/>
                <w:noProof/>
                <w:webHidden/>
                <w:sz w:val="22"/>
                <w:szCs w:val="22"/>
              </w:rPr>
              <w:fldChar w:fldCharType="end"/>
            </w:r>
          </w:hyperlink>
        </w:p>
        <w:p w14:paraId="2F83DCA6" w14:textId="21F69042"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61" w:history="1">
            <w:r w:rsidRPr="007B2F30">
              <w:rPr>
                <w:rStyle w:val="Hyperlink"/>
                <w:rFonts w:ascii="Arial" w:hAnsi="Arial" w:cs="Arial"/>
                <w:noProof/>
                <w:sz w:val="22"/>
                <w:szCs w:val="22"/>
              </w:rPr>
              <w:t>4.2.5 Cross-Firm Contribution to Cumulative Inventory Holdings and Strategic Contingency</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_Toc228883261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40</w:t>
            </w:r>
            <w:r w:rsidRPr="007B2F30">
              <w:rPr>
                <w:rFonts w:ascii="Arial" w:hAnsi="Arial" w:cs="Arial"/>
                <w:noProof/>
                <w:webHidden/>
                <w:sz w:val="22"/>
                <w:szCs w:val="22"/>
              </w:rPr>
              <w:fldChar w:fldCharType="end"/>
            </w:r>
          </w:hyperlink>
        </w:p>
        <w:p w14:paraId="70B4895E" w14:textId="72A0BC69"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62" w:history="1">
            <w:r w:rsidRPr="007B2F30">
              <w:rPr>
                <w:rStyle w:val="Hyperlink"/>
                <w:rFonts w:ascii="Arial" w:hAnsi="Arial" w:cs="Arial"/>
                <w:noProof/>
                <w:sz w:val="22"/>
                <w:szCs w:val="22"/>
              </w:rPr>
              <w:t>4.2.6 Implications for JIT–JIC Theory</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_Toc228883262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41</w:t>
            </w:r>
            <w:r w:rsidRPr="007B2F30">
              <w:rPr>
                <w:rFonts w:ascii="Arial" w:hAnsi="Arial" w:cs="Arial"/>
                <w:noProof/>
                <w:webHidden/>
                <w:sz w:val="22"/>
                <w:szCs w:val="22"/>
              </w:rPr>
              <w:fldChar w:fldCharType="end"/>
            </w:r>
          </w:hyperlink>
        </w:p>
        <w:p w14:paraId="5906DCC6" w14:textId="2413B6E1" w:rsidR="00744562" w:rsidRPr="007B2F30" w:rsidRDefault="00744562">
          <w:pPr>
            <w:pStyle w:val="TOC2"/>
            <w:rPr>
              <w:rFonts w:ascii="Arial" w:eastAsiaTheme="minorEastAsia" w:hAnsi="Arial" w:cs="Arial"/>
              <w:sz w:val="22"/>
              <w:szCs w:val="22"/>
              <w:lang w:eastAsia="en-GB"/>
            </w:rPr>
          </w:pPr>
          <w:hyperlink w:anchor="_Toc228883263" w:history="1">
            <w:r w:rsidRPr="007B2F30">
              <w:rPr>
                <w:rStyle w:val="Hyperlink"/>
                <w:rFonts w:ascii="Arial" w:hAnsi="Arial" w:cs="Arial"/>
                <w:sz w:val="22"/>
                <w:szCs w:val="22"/>
              </w:rPr>
              <w:t>4.3. RQ2 Financial and operational impacts of Red Sea crisis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_Toc228883263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42</w:t>
            </w:r>
            <w:r w:rsidRPr="007B2F30">
              <w:rPr>
                <w:rFonts w:ascii="Arial" w:hAnsi="Arial" w:cs="Arial"/>
                <w:webHidden/>
                <w:sz w:val="22"/>
                <w:szCs w:val="22"/>
              </w:rPr>
              <w:fldChar w:fldCharType="end"/>
            </w:r>
          </w:hyperlink>
        </w:p>
        <w:p w14:paraId="77507B0F" w14:textId="0BF35A67" w:rsidR="00744562" w:rsidRPr="007B2F30" w:rsidRDefault="00744562">
          <w:pPr>
            <w:pStyle w:val="TOC2"/>
            <w:rPr>
              <w:rFonts w:ascii="Arial" w:eastAsiaTheme="minorEastAsia" w:hAnsi="Arial" w:cs="Arial"/>
              <w:sz w:val="22"/>
              <w:szCs w:val="22"/>
              <w:lang w:eastAsia="en-GB"/>
            </w:rPr>
          </w:pPr>
          <w:hyperlink w:anchor="_Toc228883264" w:history="1">
            <w:r w:rsidRPr="007B2F30">
              <w:rPr>
                <w:rStyle w:val="Hyperlink"/>
                <w:rFonts w:ascii="Arial" w:hAnsi="Arial" w:cs="Arial"/>
                <w:sz w:val="22"/>
                <w:szCs w:val="22"/>
              </w:rPr>
              <w:t>4.3.1 Macro Disruption Evidence: Crisis Transmission Mechanisms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_Toc228883264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42</w:t>
            </w:r>
            <w:r w:rsidRPr="007B2F30">
              <w:rPr>
                <w:rFonts w:ascii="Arial" w:hAnsi="Arial" w:cs="Arial"/>
                <w:webHidden/>
                <w:sz w:val="22"/>
                <w:szCs w:val="22"/>
              </w:rPr>
              <w:fldChar w:fldCharType="end"/>
            </w:r>
          </w:hyperlink>
        </w:p>
        <w:p w14:paraId="658DD433" w14:textId="54027AD6" w:rsidR="00744562" w:rsidRPr="007B2F30" w:rsidRDefault="00744562">
          <w:pPr>
            <w:pStyle w:val="TOC2"/>
            <w:rPr>
              <w:rFonts w:ascii="Arial" w:eastAsiaTheme="minorEastAsia" w:hAnsi="Arial" w:cs="Arial"/>
              <w:sz w:val="22"/>
              <w:szCs w:val="22"/>
              <w:lang w:eastAsia="en-GB"/>
            </w:rPr>
          </w:pPr>
          <w:hyperlink w:anchor="_Toc228883265" w:history="1">
            <w:r w:rsidRPr="007B2F30">
              <w:rPr>
                <w:rStyle w:val="Hyperlink"/>
                <w:rFonts w:ascii="Arial" w:hAnsi="Arial" w:cs="Arial"/>
                <w:sz w:val="22"/>
                <w:szCs w:val="22"/>
              </w:rPr>
              <w:t>4.3.2 Cost Impact Findings and Shock Absorption Responses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_Toc228883265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43</w:t>
            </w:r>
            <w:r w:rsidRPr="007B2F30">
              <w:rPr>
                <w:rFonts w:ascii="Arial" w:hAnsi="Arial" w:cs="Arial"/>
                <w:webHidden/>
                <w:sz w:val="22"/>
                <w:szCs w:val="22"/>
              </w:rPr>
              <w:fldChar w:fldCharType="end"/>
            </w:r>
          </w:hyperlink>
        </w:p>
        <w:p w14:paraId="0D129C25" w14:textId="75576EED" w:rsidR="00744562" w:rsidRPr="007B2F30" w:rsidRDefault="00744562">
          <w:pPr>
            <w:pStyle w:val="TOC2"/>
            <w:rPr>
              <w:rFonts w:ascii="Arial" w:eastAsiaTheme="minorEastAsia" w:hAnsi="Arial" w:cs="Arial"/>
              <w:sz w:val="22"/>
              <w:szCs w:val="22"/>
              <w:lang w:eastAsia="en-GB"/>
            </w:rPr>
          </w:pPr>
          <w:hyperlink w:anchor="_Toc228883266" w:history="1">
            <w:r w:rsidRPr="007B2F30">
              <w:rPr>
                <w:rStyle w:val="Hyperlink"/>
                <w:rFonts w:ascii="Arial" w:hAnsi="Arial" w:cs="Arial"/>
                <w:sz w:val="22"/>
                <w:szCs w:val="22"/>
              </w:rPr>
              <w:t>4.3.3 Inventory–Performance Trade-Offs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_Toc228883266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44</w:t>
            </w:r>
            <w:r w:rsidRPr="007B2F30">
              <w:rPr>
                <w:rFonts w:ascii="Arial" w:hAnsi="Arial" w:cs="Arial"/>
                <w:webHidden/>
                <w:sz w:val="22"/>
                <w:szCs w:val="22"/>
              </w:rPr>
              <w:fldChar w:fldCharType="end"/>
            </w:r>
          </w:hyperlink>
        </w:p>
        <w:p w14:paraId="1DFCF556" w14:textId="6FBB6740" w:rsidR="00744562" w:rsidRPr="007B2F30" w:rsidRDefault="00744562">
          <w:pPr>
            <w:pStyle w:val="TOC2"/>
            <w:rPr>
              <w:rFonts w:ascii="Arial" w:eastAsiaTheme="minorEastAsia" w:hAnsi="Arial" w:cs="Arial"/>
              <w:sz w:val="22"/>
              <w:szCs w:val="22"/>
              <w:lang w:eastAsia="en-GB"/>
            </w:rPr>
          </w:pPr>
          <w:hyperlink w:anchor="_Toc228883267" w:history="1">
            <w:r w:rsidRPr="007B2F30">
              <w:rPr>
                <w:rStyle w:val="Hyperlink"/>
                <w:rFonts w:ascii="Arial" w:hAnsi="Arial" w:cs="Arial"/>
                <w:sz w:val="22"/>
                <w:szCs w:val="22"/>
              </w:rPr>
              <w:t>4.3.4 Differences in Resilience Outcomes at the Firm Level</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_Toc228883267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46</w:t>
            </w:r>
            <w:r w:rsidRPr="007B2F30">
              <w:rPr>
                <w:rFonts w:ascii="Arial" w:hAnsi="Arial" w:cs="Arial"/>
                <w:webHidden/>
                <w:sz w:val="22"/>
                <w:szCs w:val="22"/>
              </w:rPr>
              <w:fldChar w:fldCharType="end"/>
            </w:r>
          </w:hyperlink>
        </w:p>
        <w:p w14:paraId="0C5C9912" w14:textId="39C3DB22" w:rsidR="00744562" w:rsidRPr="007B2F30" w:rsidRDefault="00744562">
          <w:pPr>
            <w:pStyle w:val="TOC2"/>
            <w:rPr>
              <w:rFonts w:ascii="Arial" w:eastAsiaTheme="minorEastAsia" w:hAnsi="Arial" w:cs="Arial"/>
              <w:sz w:val="22"/>
              <w:szCs w:val="22"/>
              <w:lang w:eastAsia="en-GB"/>
            </w:rPr>
          </w:pPr>
          <w:hyperlink w:anchor="_Toc228883268" w:history="1">
            <w:r w:rsidRPr="007B2F30">
              <w:rPr>
                <w:rStyle w:val="Hyperlink"/>
                <w:rFonts w:ascii="Arial" w:hAnsi="Arial" w:cs="Arial"/>
                <w:sz w:val="22"/>
                <w:szCs w:val="22"/>
              </w:rPr>
              <w:t>4.3.5. Discussion with Literature and Bridge to RQ3</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_Toc228883268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46</w:t>
            </w:r>
            <w:r w:rsidRPr="007B2F30">
              <w:rPr>
                <w:rFonts w:ascii="Arial" w:hAnsi="Arial" w:cs="Arial"/>
                <w:webHidden/>
                <w:sz w:val="22"/>
                <w:szCs w:val="22"/>
              </w:rPr>
              <w:fldChar w:fldCharType="end"/>
            </w:r>
          </w:hyperlink>
        </w:p>
        <w:p w14:paraId="5768FD30" w14:textId="7348A2FA" w:rsidR="00744562" w:rsidRPr="007B2F30" w:rsidRDefault="00744562">
          <w:pPr>
            <w:pStyle w:val="TOC2"/>
            <w:rPr>
              <w:rFonts w:ascii="Arial" w:eastAsiaTheme="minorEastAsia" w:hAnsi="Arial" w:cs="Arial"/>
              <w:sz w:val="22"/>
              <w:szCs w:val="22"/>
              <w:lang w:eastAsia="en-GB"/>
            </w:rPr>
          </w:pPr>
          <w:hyperlink w:anchor="_Toc228883269" w:history="1">
            <w:r w:rsidRPr="007B2F30">
              <w:rPr>
                <w:rStyle w:val="Hyperlink"/>
                <w:rFonts w:ascii="Arial" w:hAnsi="Arial" w:cs="Arial"/>
                <w:sz w:val="22"/>
                <w:szCs w:val="22"/>
              </w:rPr>
              <w:t>4.4. RQ3. Industry 4.0 / 5.0 and resilience capability</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_Toc228883269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48</w:t>
            </w:r>
            <w:r w:rsidRPr="007B2F30">
              <w:rPr>
                <w:rFonts w:ascii="Arial" w:hAnsi="Arial" w:cs="Arial"/>
                <w:webHidden/>
                <w:sz w:val="22"/>
                <w:szCs w:val="22"/>
              </w:rPr>
              <w:fldChar w:fldCharType="end"/>
            </w:r>
          </w:hyperlink>
        </w:p>
        <w:p w14:paraId="71C5F65F" w14:textId="7C2F7F07"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70" w:history="1">
            <w:r w:rsidRPr="007B2F30">
              <w:rPr>
                <w:rStyle w:val="Hyperlink"/>
                <w:rFonts w:ascii="Arial" w:hAnsi="Arial" w:cs="Arial"/>
                <w:noProof/>
                <w:sz w:val="22"/>
                <w:szCs w:val="22"/>
              </w:rPr>
              <w:t>4.4.1 The Relationship Between Digital Capability Intensity and Resilience</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_Toc228883270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48</w:t>
            </w:r>
            <w:r w:rsidRPr="007B2F30">
              <w:rPr>
                <w:rFonts w:ascii="Arial" w:hAnsi="Arial" w:cs="Arial"/>
                <w:noProof/>
                <w:webHidden/>
                <w:sz w:val="22"/>
                <w:szCs w:val="22"/>
              </w:rPr>
              <w:fldChar w:fldCharType="end"/>
            </w:r>
          </w:hyperlink>
        </w:p>
        <w:p w14:paraId="528995D8" w14:textId="58FC99FE"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71" w:history="1">
            <w:r w:rsidRPr="007B2F30">
              <w:rPr>
                <w:rStyle w:val="Hyperlink"/>
                <w:rFonts w:ascii="Arial" w:hAnsi="Arial" w:cs="Arial"/>
                <w:noProof/>
                <w:sz w:val="22"/>
                <w:szCs w:val="22"/>
              </w:rPr>
              <w:t>4.4.2 Digital Capability and Hybrid JIT–JIC Models</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_Toc228883271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50</w:t>
            </w:r>
            <w:r w:rsidRPr="007B2F30">
              <w:rPr>
                <w:rFonts w:ascii="Arial" w:hAnsi="Arial" w:cs="Arial"/>
                <w:noProof/>
                <w:webHidden/>
                <w:sz w:val="22"/>
                <w:szCs w:val="22"/>
              </w:rPr>
              <w:fldChar w:fldCharType="end"/>
            </w:r>
          </w:hyperlink>
        </w:p>
        <w:p w14:paraId="034658B6" w14:textId="0CCEF622" w:rsidR="00744562" w:rsidRPr="007B2F30" w:rsidRDefault="00744562">
          <w:pPr>
            <w:pStyle w:val="TOC3"/>
            <w:tabs>
              <w:tab w:val="right" w:leader="dot" w:pos="9016"/>
            </w:tabs>
            <w:rPr>
              <w:rFonts w:ascii="Arial" w:eastAsiaTheme="minorEastAsia" w:hAnsi="Arial" w:cs="Arial"/>
              <w:noProof/>
              <w:sz w:val="22"/>
              <w:szCs w:val="22"/>
              <w:lang w:eastAsia="en-GB"/>
            </w:rPr>
          </w:pPr>
          <w:hyperlink w:anchor="_Toc228883272" w:history="1">
            <w:r w:rsidRPr="007B2F30">
              <w:rPr>
                <w:rStyle w:val="Hyperlink"/>
                <w:rFonts w:ascii="Arial" w:hAnsi="Arial" w:cs="Arial"/>
                <w:noProof/>
                <w:sz w:val="22"/>
                <w:szCs w:val="22"/>
              </w:rPr>
              <w:t>4.4.3 Critical Discussion</w:t>
            </w:r>
            <w:r w:rsidRPr="007B2F30">
              <w:rPr>
                <w:rFonts w:ascii="Arial" w:hAnsi="Arial" w:cs="Arial"/>
                <w:noProof/>
                <w:webHidden/>
                <w:sz w:val="22"/>
                <w:szCs w:val="22"/>
              </w:rPr>
              <w:tab/>
            </w:r>
            <w:r w:rsidRPr="007B2F30">
              <w:rPr>
                <w:rFonts w:ascii="Arial" w:hAnsi="Arial" w:cs="Arial"/>
                <w:noProof/>
                <w:webHidden/>
                <w:sz w:val="22"/>
                <w:szCs w:val="22"/>
              </w:rPr>
              <w:fldChar w:fldCharType="begin"/>
            </w:r>
            <w:r w:rsidRPr="007B2F30">
              <w:rPr>
                <w:rFonts w:ascii="Arial" w:hAnsi="Arial" w:cs="Arial"/>
                <w:noProof/>
                <w:webHidden/>
                <w:sz w:val="22"/>
                <w:szCs w:val="22"/>
              </w:rPr>
              <w:instrText xml:space="preserve"> PAGEREF _Toc228883272 \h </w:instrText>
            </w:r>
            <w:r w:rsidRPr="007B2F30">
              <w:rPr>
                <w:rFonts w:ascii="Arial" w:hAnsi="Arial" w:cs="Arial"/>
                <w:noProof/>
                <w:webHidden/>
                <w:sz w:val="22"/>
                <w:szCs w:val="22"/>
              </w:rPr>
            </w:r>
            <w:r w:rsidRPr="007B2F30">
              <w:rPr>
                <w:rFonts w:ascii="Arial" w:hAnsi="Arial" w:cs="Arial"/>
                <w:noProof/>
                <w:webHidden/>
                <w:sz w:val="22"/>
                <w:szCs w:val="22"/>
              </w:rPr>
              <w:fldChar w:fldCharType="separate"/>
            </w:r>
            <w:r w:rsidRPr="007B2F30">
              <w:rPr>
                <w:rFonts w:ascii="Arial" w:hAnsi="Arial" w:cs="Arial"/>
                <w:noProof/>
                <w:webHidden/>
                <w:sz w:val="22"/>
                <w:szCs w:val="22"/>
              </w:rPr>
              <w:t>53</w:t>
            </w:r>
            <w:r w:rsidRPr="007B2F30">
              <w:rPr>
                <w:rFonts w:ascii="Arial" w:hAnsi="Arial" w:cs="Arial"/>
                <w:noProof/>
                <w:webHidden/>
                <w:sz w:val="22"/>
                <w:szCs w:val="22"/>
              </w:rPr>
              <w:fldChar w:fldCharType="end"/>
            </w:r>
          </w:hyperlink>
        </w:p>
        <w:p w14:paraId="3CC5FE68" w14:textId="7B32A10B" w:rsidR="00744562" w:rsidRPr="007B2F30" w:rsidRDefault="00744562">
          <w:pPr>
            <w:pStyle w:val="TOC2"/>
            <w:rPr>
              <w:rFonts w:ascii="Arial" w:eastAsiaTheme="minorEastAsia" w:hAnsi="Arial" w:cs="Arial"/>
              <w:sz w:val="22"/>
              <w:szCs w:val="22"/>
              <w:lang w:eastAsia="en-GB"/>
            </w:rPr>
          </w:pPr>
          <w:hyperlink w:anchor="_Toc228883273" w:history="1">
            <w:r w:rsidRPr="007B2F30">
              <w:rPr>
                <w:rStyle w:val="Hyperlink"/>
                <w:rFonts w:ascii="Arial" w:hAnsi="Arial" w:cs="Arial"/>
                <w:sz w:val="22"/>
                <w:szCs w:val="22"/>
              </w:rPr>
              <w:t>4.5 Cross-RQ Synthesis and Critical Evaluation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_Toc228883273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57</w:t>
            </w:r>
            <w:r w:rsidRPr="007B2F30">
              <w:rPr>
                <w:rFonts w:ascii="Arial" w:hAnsi="Arial" w:cs="Arial"/>
                <w:webHidden/>
                <w:sz w:val="22"/>
                <w:szCs w:val="22"/>
              </w:rPr>
              <w:fldChar w:fldCharType="end"/>
            </w:r>
          </w:hyperlink>
        </w:p>
        <w:p w14:paraId="12BDAFC8" w14:textId="55D93696" w:rsidR="00744562" w:rsidRPr="007B2F30" w:rsidRDefault="00744562" w:rsidP="007B2F30">
          <w:pPr>
            <w:pStyle w:val="TOC1"/>
            <w:rPr>
              <w:rFonts w:eastAsiaTheme="minorEastAsia"/>
              <w:lang w:eastAsia="en-GB"/>
            </w:rPr>
          </w:pPr>
          <w:hyperlink w:anchor="_Toc228883274" w:history="1">
            <w:r w:rsidRPr="007B2F30">
              <w:rPr>
                <w:rStyle w:val="Hyperlink"/>
              </w:rPr>
              <w:t>Chapter 5: Conclusions and Recommendations</w:t>
            </w:r>
            <w:r w:rsidRPr="007B2F30">
              <w:rPr>
                <w:webHidden/>
              </w:rPr>
              <w:tab/>
            </w:r>
            <w:r w:rsidRPr="007B2F30">
              <w:rPr>
                <w:webHidden/>
              </w:rPr>
              <w:fldChar w:fldCharType="begin"/>
            </w:r>
            <w:r w:rsidRPr="007B2F30">
              <w:rPr>
                <w:webHidden/>
              </w:rPr>
              <w:instrText xml:space="preserve"> PAGEREF _Toc228883274 \h </w:instrText>
            </w:r>
            <w:r w:rsidRPr="007B2F30">
              <w:rPr>
                <w:webHidden/>
              </w:rPr>
            </w:r>
            <w:r w:rsidRPr="007B2F30">
              <w:rPr>
                <w:webHidden/>
              </w:rPr>
              <w:fldChar w:fldCharType="separate"/>
            </w:r>
            <w:r w:rsidRPr="007B2F30">
              <w:rPr>
                <w:webHidden/>
              </w:rPr>
              <w:t>59</w:t>
            </w:r>
            <w:r w:rsidRPr="007B2F30">
              <w:rPr>
                <w:webHidden/>
              </w:rPr>
              <w:fldChar w:fldCharType="end"/>
            </w:r>
          </w:hyperlink>
        </w:p>
        <w:p w14:paraId="120D4787" w14:textId="43439EE3" w:rsidR="00744562" w:rsidRPr="007B2F30" w:rsidRDefault="00744562">
          <w:pPr>
            <w:pStyle w:val="TOC2"/>
            <w:rPr>
              <w:rFonts w:ascii="Arial" w:eastAsiaTheme="minorEastAsia" w:hAnsi="Arial" w:cs="Arial"/>
              <w:sz w:val="22"/>
              <w:szCs w:val="22"/>
              <w:lang w:eastAsia="en-GB"/>
            </w:rPr>
          </w:pPr>
          <w:hyperlink w:anchor="_Toc228883275" w:history="1">
            <w:r w:rsidRPr="007B2F30">
              <w:rPr>
                <w:rStyle w:val="Hyperlink"/>
                <w:rFonts w:ascii="Arial" w:hAnsi="Arial" w:cs="Arial"/>
                <w:sz w:val="22"/>
                <w:szCs w:val="22"/>
              </w:rPr>
              <w:t>5.1. Respond to each research question explicitly</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_Toc228883275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59</w:t>
            </w:r>
            <w:r w:rsidRPr="007B2F30">
              <w:rPr>
                <w:rFonts w:ascii="Arial" w:hAnsi="Arial" w:cs="Arial"/>
                <w:webHidden/>
                <w:sz w:val="22"/>
                <w:szCs w:val="22"/>
              </w:rPr>
              <w:fldChar w:fldCharType="end"/>
            </w:r>
          </w:hyperlink>
        </w:p>
        <w:p w14:paraId="227DBE8B" w14:textId="0F430554" w:rsidR="00744562" w:rsidRPr="007B2F30" w:rsidRDefault="00744562">
          <w:pPr>
            <w:pStyle w:val="TOC2"/>
            <w:rPr>
              <w:rFonts w:ascii="Arial" w:eastAsiaTheme="minorEastAsia" w:hAnsi="Arial" w:cs="Arial"/>
              <w:sz w:val="22"/>
              <w:szCs w:val="22"/>
              <w:lang w:eastAsia="en-GB"/>
            </w:rPr>
          </w:pPr>
          <w:hyperlink w:anchor="_Toc228883276" w:history="1">
            <w:r w:rsidRPr="007B2F30">
              <w:rPr>
                <w:rStyle w:val="Hyperlink"/>
                <w:rFonts w:ascii="Arial" w:hAnsi="Arial" w:cs="Arial"/>
                <w:sz w:val="22"/>
                <w:szCs w:val="22"/>
              </w:rPr>
              <w:t>5.2. Practical and specific recommendations for UK vehicle manufacturers</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_Toc228883276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59</w:t>
            </w:r>
            <w:r w:rsidRPr="007B2F30">
              <w:rPr>
                <w:rFonts w:ascii="Arial" w:hAnsi="Arial" w:cs="Arial"/>
                <w:webHidden/>
                <w:sz w:val="22"/>
                <w:szCs w:val="22"/>
              </w:rPr>
              <w:fldChar w:fldCharType="end"/>
            </w:r>
          </w:hyperlink>
        </w:p>
        <w:p w14:paraId="4D038C53" w14:textId="6648EB47" w:rsidR="00744562" w:rsidRPr="007B2F30" w:rsidRDefault="00744562">
          <w:pPr>
            <w:pStyle w:val="TOC2"/>
            <w:rPr>
              <w:rFonts w:ascii="Arial" w:eastAsiaTheme="minorEastAsia" w:hAnsi="Arial" w:cs="Arial"/>
              <w:sz w:val="22"/>
              <w:szCs w:val="22"/>
              <w:lang w:eastAsia="en-GB"/>
            </w:rPr>
          </w:pPr>
          <w:hyperlink w:anchor="_Toc228883277" w:history="1">
            <w:r w:rsidRPr="007B2F30">
              <w:rPr>
                <w:rStyle w:val="Hyperlink"/>
                <w:rFonts w:ascii="Arial" w:hAnsi="Arial" w:cs="Arial"/>
                <w:sz w:val="22"/>
                <w:szCs w:val="22"/>
              </w:rPr>
              <w:t>5.3. Guidance on hybrid JIT–JIC, supplier risk management, digital visibility, and route contingency planning</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_Toc228883277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60</w:t>
            </w:r>
            <w:r w:rsidRPr="007B2F30">
              <w:rPr>
                <w:rFonts w:ascii="Arial" w:hAnsi="Arial" w:cs="Arial"/>
                <w:webHidden/>
                <w:sz w:val="22"/>
                <w:szCs w:val="22"/>
              </w:rPr>
              <w:fldChar w:fldCharType="end"/>
            </w:r>
          </w:hyperlink>
        </w:p>
        <w:p w14:paraId="1C2B1DFA" w14:textId="6D873025" w:rsidR="00744562" w:rsidRPr="007B2F30" w:rsidRDefault="00744562">
          <w:pPr>
            <w:pStyle w:val="TOC2"/>
            <w:rPr>
              <w:rFonts w:ascii="Arial" w:eastAsiaTheme="minorEastAsia" w:hAnsi="Arial" w:cs="Arial"/>
              <w:sz w:val="22"/>
              <w:szCs w:val="22"/>
              <w:lang w:eastAsia="en-GB"/>
            </w:rPr>
          </w:pPr>
          <w:hyperlink w:anchor="_Toc228883278" w:history="1">
            <w:r w:rsidRPr="007B2F30">
              <w:rPr>
                <w:rStyle w:val="Hyperlink"/>
                <w:rFonts w:ascii="Arial" w:hAnsi="Arial" w:cs="Arial"/>
                <w:sz w:val="22"/>
                <w:szCs w:val="22"/>
              </w:rPr>
              <w:t>5.4. Discussion of the restrictions on using secondary sources of information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_Toc228883278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61</w:t>
            </w:r>
            <w:r w:rsidRPr="007B2F30">
              <w:rPr>
                <w:rFonts w:ascii="Arial" w:hAnsi="Arial" w:cs="Arial"/>
                <w:webHidden/>
                <w:sz w:val="22"/>
                <w:szCs w:val="22"/>
              </w:rPr>
              <w:fldChar w:fldCharType="end"/>
            </w:r>
          </w:hyperlink>
        </w:p>
        <w:p w14:paraId="3D29C0C9" w14:textId="4C1EFD09" w:rsidR="00744562" w:rsidRPr="007B2F30" w:rsidRDefault="00744562">
          <w:pPr>
            <w:pStyle w:val="TOC2"/>
            <w:rPr>
              <w:rFonts w:ascii="Arial" w:eastAsiaTheme="minorEastAsia" w:hAnsi="Arial" w:cs="Arial"/>
              <w:sz w:val="22"/>
              <w:szCs w:val="22"/>
              <w:lang w:eastAsia="en-GB"/>
            </w:rPr>
          </w:pPr>
          <w:hyperlink w:anchor="_Toc228883279" w:history="1">
            <w:r w:rsidRPr="007B2F30">
              <w:rPr>
                <w:rStyle w:val="Hyperlink"/>
                <w:rFonts w:ascii="Arial" w:hAnsi="Arial" w:cs="Arial"/>
                <w:sz w:val="22"/>
                <w:szCs w:val="22"/>
              </w:rPr>
              <w:t>5.5. Recommendations for further study</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_Toc228883279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61</w:t>
            </w:r>
            <w:r w:rsidRPr="007B2F30">
              <w:rPr>
                <w:rFonts w:ascii="Arial" w:hAnsi="Arial" w:cs="Arial"/>
                <w:webHidden/>
                <w:sz w:val="22"/>
                <w:szCs w:val="22"/>
              </w:rPr>
              <w:fldChar w:fldCharType="end"/>
            </w:r>
          </w:hyperlink>
        </w:p>
        <w:p w14:paraId="05D5A502" w14:textId="71E0BBBD" w:rsidR="00744562" w:rsidRPr="007B2F30" w:rsidRDefault="00744562">
          <w:pPr>
            <w:pStyle w:val="TOC2"/>
            <w:rPr>
              <w:rFonts w:ascii="Arial" w:eastAsiaTheme="minorEastAsia" w:hAnsi="Arial" w:cs="Arial"/>
              <w:sz w:val="22"/>
              <w:szCs w:val="22"/>
              <w:lang w:eastAsia="en-GB"/>
            </w:rPr>
          </w:pPr>
          <w:hyperlink w:anchor="_Toc228883280" w:history="1">
            <w:r w:rsidRPr="007B2F30">
              <w:rPr>
                <w:rStyle w:val="Hyperlink"/>
                <w:rFonts w:ascii="Arial" w:hAnsi="Arial" w:cs="Arial"/>
                <w:sz w:val="22"/>
                <w:szCs w:val="22"/>
              </w:rPr>
              <w:t>5.6. Final Conclusion</w:t>
            </w:r>
            <w:r w:rsidRPr="007B2F30">
              <w:rPr>
                <w:rFonts w:ascii="Arial" w:hAnsi="Arial" w:cs="Arial"/>
                <w:webHidden/>
                <w:sz w:val="22"/>
                <w:szCs w:val="22"/>
              </w:rPr>
              <w:tab/>
            </w:r>
            <w:r w:rsidRPr="007B2F30">
              <w:rPr>
                <w:rFonts w:ascii="Arial" w:hAnsi="Arial" w:cs="Arial"/>
                <w:webHidden/>
                <w:sz w:val="22"/>
                <w:szCs w:val="22"/>
              </w:rPr>
              <w:fldChar w:fldCharType="begin"/>
            </w:r>
            <w:r w:rsidRPr="007B2F30">
              <w:rPr>
                <w:rFonts w:ascii="Arial" w:hAnsi="Arial" w:cs="Arial"/>
                <w:webHidden/>
                <w:sz w:val="22"/>
                <w:szCs w:val="22"/>
              </w:rPr>
              <w:instrText xml:space="preserve"> PAGEREF _Toc228883280 \h </w:instrText>
            </w:r>
            <w:r w:rsidRPr="007B2F30">
              <w:rPr>
                <w:rFonts w:ascii="Arial" w:hAnsi="Arial" w:cs="Arial"/>
                <w:webHidden/>
                <w:sz w:val="22"/>
                <w:szCs w:val="22"/>
              </w:rPr>
            </w:r>
            <w:r w:rsidRPr="007B2F30">
              <w:rPr>
                <w:rFonts w:ascii="Arial" w:hAnsi="Arial" w:cs="Arial"/>
                <w:webHidden/>
                <w:sz w:val="22"/>
                <w:szCs w:val="22"/>
              </w:rPr>
              <w:fldChar w:fldCharType="separate"/>
            </w:r>
            <w:r w:rsidRPr="007B2F30">
              <w:rPr>
                <w:rFonts w:ascii="Arial" w:hAnsi="Arial" w:cs="Arial"/>
                <w:webHidden/>
                <w:sz w:val="22"/>
                <w:szCs w:val="22"/>
              </w:rPr>
              <w:t>62</w:t>
            </w:r>
            <w:r w:rsidRPr="007B2F30">
              <w:rPr>
                <w:rFonts w:ascii="Arial" w:hAnsi="Arial" w:cs="Arial"/>
                <w:webHidden/>
                <w:sz w:val="22"/>
                <w:szCs w:val="22"/>
              </w:rPr>
              <w:fldChar w:fldCharType="end"/>
            </w:r>
          </w:hyperlink>
        </w:p>
        <w:p w14:paraId="7027E3DD" w14:textId="7320D591" w:rsidR="00744562" w:rsidRPr="007B2F30" w:rsidRDefault="00744562" w:rsidP="007B2F30">
          <w:pPr>
            <w:pStyle w:val="TOC1"/>
            <w:rPr>
              <w:rFonts w:eastAsiaTheme="minorEastAsia"/>
              <w:lang w:eastAsia="en-GB"/>
            </w:rPr>
          </w:pPr>
          <w:hyperlink w:anchor="_Toc228883281" w:history="1">
            <w:r w:rsidRPr="007B2F30">
              <w:rPr>
                <w:rStyle w:val="Hyperlink"/>
                <w:b w:val="0"/>
                <w:bCs w:val="0"/>
              </w:rPr>
              <w:t>Appendix 1.  Details about the excluded firms</w:t>
            </w:r>
            <w:r w:rsidRPr="007B2F30">
              <w:rPr>
                <w:webHidden/>
              </w:rPr>
              <w:tab/>
            </w:r>
            <w:r w:rsidRPr="007B2F30">
              <w:rPr>
                <w:webHidden/>
              </w:rPr>
              <w:fldChar w:fldCharType="begin"/>
            </w:r>
            <w:r w:rsidRPr="007B2F30">
              <w:rPr>
                <w:webHidden/>
              </w:rPr>
              <w:instrText xml:space="preserve"> PAGEREF _Toc228883281 \h </w:instrText>
            </w:r>
            <w:r w:rsidRPr="007B2F30">
              <w:rPr>
                <w:webHidden/>
              </w:rPr>
            </w:r>
            <w:r w:rsidRPr="007B2F30">
              <w:rPr>
                <w:webHidden/>
              </w:rPr>
              <w:fldChar w:fldCharType="separate"/>
            </w:r>
            <w:r w:rsidRPr="007B2F30">
              <w:rPr>
                <w:webHidden/>
              </w:rPr>
              <w:t>86</w:t>
            </w:r>
            <w:r w:rsidRPr="007B2F30">
              <w:rPr>
                <w:webHidden/>
              </w:rPr>
              <w:fldChar w:fldCharType="end"/>
            </w:r>
          </w:hyperlink>
        </w:p>
        <w:p w14:paraId="455D8095" w14:textId="272EE96D" w:rsidR="00744562" w:rsidRPr="007B2F30" w:rsidRDefault="00744562" w:rsidP="007B2F30">
          <w:pPr>
            <w:pStyle w:val="TOC1"/>
            <w:rPr>
              <w:rFonts w:eastAsiaTheme="minorEastAsia"/>
              <w:lang w:eastAsia="en-GB"/>
            </w:rPr>
          </w:pPr>
          <w:hyperlink w:anchor="_Toc228883282" w:history="1">
            <w:r w:rsidRPr="007B2F30">
              <w:rPr>
                <w:rStyle w:val="Hyperlink"/>
                <w:b w:val="0"/>
                <w:bCs w:val="0"/>
              </w:rPr>
              <w:t>Appendix 2.  Link with original files</w:t>
            </w:r>
            <w:r w:rsidRPr="007B2F30">
              <w:rPr>
                <w:webHidden/>
              </w:rPr>
              <w:tab/>
            </w:r>
            <w:r w:rsidRPr="007B2F30">
              <w:rPr>
                <w:webHidden/>
              </w:rPr>
              <w:fldChar w:fldCharType="begin"/>
            </w:r>
            <w:r w:rsidRPr="007B2F30">
              <w:rPr>
                <w:webHidden/>
              </w:rPr>
              <w:instrText xml:space="preserve"> PAGEREF _Toc228883282 \h </w:instrText>
            </w:r>
            <w:r w:rsidRPr="007B2F30">
              <w:rPr>
                <w:webHidden/>
              </w:rPr>
            </w:r>
            <w:r w:rsidRPr="007B2F30">
              <w:rPr>
                <w:webHidden/>
              </w:rPr>
              <w:fldChar w:fldCharType="separate"/>
            </w:r>
            <w:r w:rsidRPr="007B2F30">
              <w:rPr>
                <w:webHidden/>
              </w:rPr>
              <w:t>87</w:t>
            </w:r>
            <w:r w:rsidRPr="007B2F30">
              <w:rPr>
                <w:webHidden/>
              </w:rPr>
              <w:fldChar w:fldCharType="end"/>
            </w:r>
          </w:hyperlink>
        </w:p>
        <w:p w14:paraId="071DE4E7" w14:textId="2F1AB22A" w:rsidR="00E622AF" w:rsidRDefault="00E622AF">
          <w:r w:rsidRPr="007B2F30">
            <w:rPr>
              <w:rFonts w:ascii="Arial" w:hAnsi="Arial" w:cs="Arial"/>
              <w:noProof/>
              <w:sz w:val="22"/>
              <w:szCs w:val="22"/>
            </w:rPr>
            <w:fldChar w:fldCharType="end"/>
          </w:r>
        </w:p>
      </w:sdtContent>
    </w:sdt>
    <w:p w14:paraId="006415E9" w14:textId="77777777" w:rsidR="00D67AC7" w:rsidRDefault="00D67AC7"/>
    <w:p w14:paraId="6C6DE9A5" w14:textId="40077E27" w:rsidR="00325EF1" w:rsidRPr="00325EF1" w:rsidRDefault="00325EF1" w:rsidP="00325EF1">
      <w:pPr>
        <w:rPr>
          <w:rFonts w:ascii="Arial" w:hAnsi="Arial" w:cs="Arial"/>
          <w:b/>
          <w:bCs/>
          <w:sz w:val="22"/>
          <w:szCs w:val="22"/>
        </w:rPr>
      </w:pPr>
      <w:r w:rsidRPr="00325EF1">
        <w:rPr>
          <w:rFonts w:ascii="Arial" w:hAnsi="Arial" w:cs="Arial"/>
          <w:b/>
          <w:bCs/>
          <w:sz w:val="22"/>
          <w:szCs w:val="22"/>
        </w:rPr>
        <w:t>Contents of Figures: 25</w:t>
      </w:r>
    </w:p>
    <w:p w14:paraId="4FA95C5F" w14:textId="7A7F7A54" w:rsidR="00325EF1" w:rsidRPr="00325EF1" w:rsidRDefault="00325EF1" w:rsidP="00325EF1">
      <w:pPr>
        <w:rPr>
          <w:rFonts w:ascii="Arial" w:hAnsi="Arial" w:cs="Arial"/>
          <w:b/>
          <w:bCs/>
          <w:sz w:val="22"/>
          <w:szCs w:val="22"/>
        </w:rPr>
      </w:pPr>
      <w:r w:rsidRPr="00325EF1">
        <w:rPr>
          <w:rFonts w:ascii="Arial" w:hAnsi="Arial" w:cs="Arial"/>
          <w:b/>
          <w:bCs/>
          <w:sz w:val="22"/>
          <w:szCs w:val="22"/>
        </w:rPr>
        <w:t>Contents of Tables: 14</w:t>
      </w:r>
    </w:p>
    <w:p w14:paraId="6C236032" w14:textId="77777777" w:rsidR="00D67AC7" w:rsidRDefault="00D67AC7"/>
    <w:p w14:paraId="2F414C9E" w14:textId="77777777" w:rsidR="00E622AF" w:rsidRDefault="00E622AF"/>
    <w:p w14:paraId="660AD53C" w14:textId="77777777" w:rsidR="00E622AF" w:rsidRDefault="00E622AF"/>
    <w:p w14:paraId="3E58167C" w14:textId="77777777" w:rsidR="00E622AF" w:rsidRDefault="00E622AF"/>
    <w:p w14:paraId="1208285D" w14:textId="77777777" w:rsidR="00D67AC7" w:rsidRDefault="00D67AC7"/>
    <w:p w14:paraId="3129D5B9" w14:textId="4C6A7E33" w:rsidR="00C4420E" w:rsidRPr="008E6E17" w:rsidRDefault="00BB2072" w:rsidP="008E6E17">
      <w:pPr>
        <w:pStyle w:val="Heading1"/>
        <w:spacing w:before="120"/>
        <w:rPr>
          <w:b/>
          <w:bCs/>
          <w:sz w:val="22"/>
          <w:szCs w:val="22"/>
        </w:rPr>
      </w:pPr>
      <w:bookmarkStart w:id="0" w:name="_Toc228883226"/>
      <w:r w:rsidRPr="008E6E17">
        <w:rPr>
          <w:b/>
          <w:bCs/>
          <w:sz w:val="22"/>
          <w:szCs w:val="22"/>
        </w:rPr>
        <w:lastRenderedPageBreak/>
        <w:t>CHAPTER 1: INTRODUCTION</w:t>
      </w:r>
      <w:bookmarkEnd w:id="0"/>
      <w:r w:rsidRPr="008E6E17">
        <w:rPr>
          <w:b/>
          <w:bCs/>
          <w:sz w:val="22"/>
          <w:szCs w:val="22"/>
        </w:rPr>
        <w:t xml:space="preserve"> </w:t>
      </w:r>
      <w:r w:rsidR="0082618E" w:rsidRPr="0082618E">
        <w:rPr>
          <w:b/>
          <w:bCs/>
          <w:sz w:val="22"/>
          <w:szCs w:val="22"/>
        </w:rPr>
        <w:t>(1070 words)</w:t>
      </w:r>
    </w:p>
    <w:p w14:paraId="7471D601" w14:textId="0123A939" w:rsidR="00BB2072" w:rsidRPr="008E6E17" w:rsidRDefault="00C4420E" w:rsidP="008E6E17">
      <w:pPr>
        <w:pStyle w:val="Heading2"/>
        <w:spacing w:before="120"/>
        <w:rPr>
          <w:b/>
          <w:bCs/>
          <w:sz w:val="22"/>
          <w:szCs w:val="22"/>
        </w:rPr>
      </w:pPr>
      <w:bookmarkStart w:id="1" w:name="_Toc228883227"/>
      <w:r w:rsidRPr="008E6E17">
        <w:rPr>
          <w:b/>
          <w:bCs/>
          <w:sz w:val="22"/>
          <w:szCs w:val="22"/>
        </w:rPr>
        <w:t xml:space="preserve">1.1. </w:t>
      </w:r>
      <w:r w:rsidR="00BB2072" w:rsidRPr="008E6E17">
        <w:rPr>
          <w:b/>
          <w:bCs/>
          <w:sz w:val="22"/>
          <w:szCs w:val="22"/>
        </w:rPr>
        <w:t>Background &amp; Problem Statement</w:t>
      </w:r>
      <w:bookmarkEnd w:id="1"/>
    </w:p>
    <w:p w14:paraId="573FE4AF" w14:textId="5DE6C24D" w:rsidR="00AA5209" w:rsidRPr="00AA5209" w:rsidRDefault="00AA5209" w:rsidP="00AA5209">
      <w:pPr>
        <w:spacing w:after="0" w:line="360" w:lineRule="auto"/>
        <w:ind w:firstLine="567"/>
        <w:jc w:val="both"/>
        <w:rPr>
          <w:rFonts w:ascii="Arial" w:hAnsi="Arial" w:cs="Arial"/>
          <w:sz w:val="22"/>
          <w:szCs w:val="22"/>
        </w:rPr>
      </w:pPr>
      <w:r w:rsidRPr="00AA5209">
        <w:rPr>
          <w:rFonts w:ascii="Arial" w:hAnsi="Arial" w:cs="Arial"/>
          <w:sz w:val="22"/>
          <w:szCs w:val="22"/>
        </w:rPr>
        <w:t xml:space="preserve">The UK automotive industry has long depended on highly efficient Just-in-Time (JIT) models that favour efficiency above redundancy, </w:t>
      </w:r>
      <w:r w:rsidR="00261571" w:rsidRPr="00AA5209">
        <w:rPr>
          <w:rFonts w:ascii="Arial" w:hAnsi="Arial" w:cs="Arial"/>
          <w:sz w:val="22"/>
          <w:szCs w:val="22"/>
        </w:rPr>
        <w:t>even though</w:t>
      </w:r>
      <w:r w:rsidRPr="00AA5209">
        <w:rPr>
          <w:rFonts w:ascii="Arial" w:hAnsi="Arial" w:cs="Arial"/>
          <w:sz w:val="22"/>
          <w:szCs w:val="22"/>
        </w:rPr>
        <w:t xml:space="preserve"> global supply chains are becoming more vulnerable to systemic disruptions. Between 2019 and 2024, this structural reliance faced a significant test due to geopolitical shocks, the most significant of which was the Red Sea crisis. These shocks caused major shifts in logistics, with vital marine throughput declining by more than 50% and transit times increasing by more than 40 days. Under these circumstances, a critical flaw became apparent: systems that were designed to be as efficient as possible did not have the adaptability to withstand extended periods of uncertainty.</w:t>
      </w:r>
    </w:p>
    <w:p w14:paraId="0E92F431" w14:textId="5A977F98" w:rsidR="00AA5209" w:rsidRPr="00AA5209" w:rsidRDefault="00AA5209" w:rsidP="00AA5209">
      <w:pPr>
        <w:spacing w:after="0" w:line="360" w:lineRule="auto"/>
        <w:ind w:firstLine="567"/>
        <w:jc w:val="both"/>
        <w:rPr>
          <w:rFonts w:ascii="Arial" w:hAnsi="Arial" w:cs="Arial"/>
          <w:sz w:val="22"/>
          <w:szCs w:val="22"/>
        </w:rPr>
      </w:pPr>
      <w:r w:rsidRPr="00AA5209">
        <w:rPr>
          <w:rFonts w:ascii="Arial" w:hAnsi="Arial" w:cs="Arial"/>
          <w:sz w:val="22"/>
          <w:szCs w:val="22"/>
        </w:rPr>
        <w:t>Responding to this, businesses started using JIC inventory techniques, although this change did not lead to uniform results. The efficacy of buffering as a universal resilience technique is called into doubt when some organisations drastically expand inventories while others maintain lean operations. However, companies' responses, rather than exposure alone, seem to control the effect of disruptions, as seen by increasing costs and inconsistent performance results.</w:t>
      </w:r>
    </w:p>
    <w:p w14:paraId="7C3BCB94" w14:textId="27B67277" w:rsidR="00C4420E" w:rsidRPr="00AA5209" w:rsidRDefault="00AA5209" w:rsidP="00AA5209">
      <w:pPr>
        <w:spacing w:after="0" w:line="360" w:lineRule="auto"/>
        <w:ind w:firstLine="567"/>
        <w:jc w:val="both"/>
        <w:rPr>
          <w:rFonts w:ascii="Arial" w:hAnsi="Arial" w:cs="Arial"/>
          <w:sz w:val="22"/>
          <w:szCs w:val="22"/>
        </w:rPr>
      </w:pPr>
      <w:r w:rsidRPr="00AA5209">
        <w:rPr>
          <w:rFonts w:ascii="Arial" w:hAnsi="Arial" w:cs="Arial"/>
          <w:sz w:val="22"/>
          <w:szCs w:val="22"/>
        </w:rPr>
        <w:t xml:space="preserve">The result is a major issue, as current models do not address the question of why comparable shocks have different effects on resilience, especially when new digital capabilities are </w:t>
      </w:r>
      <w:r w:rsidR="001420DE" w:rsidRPr="00AA5209">
        <w:rPr>
          <w:rFonts w:ascii="Arial" w:hAnsi="Arial" w:cs="Arial"/>
          <w:sz w:val="22"/>
          <w:szCs w:val="22"/>
        </w:rPr>
        <w:t>considered</w:t>
      </w:r>
      <w:r w:rsidRPr="00AA5209">
        <w:rPr>
          <w:rFonts w:ascii="Arial" w:hAnsi="Arial" w:cs="Arial"/>
          <w:sz w:val="22"/>
          <w:szCs w:val="22"/>
        </w:rPr>
        <w:t>.</w:t>
      </w:r>
    </w:p>
    <w:p w14:paraId="4E2BD86D" w14:textId="7A76F5FB" w:rsidR="00BB2072" w:rsidRPr="008E6E17" w:rsidRDefault="00AA5209" w:rsidP="008E6E17">
      <w:pPr>
        <w:pStyle w:val="Heading2"/>
        <w:spacing w:before="120"/>
        <w:rPr>
          <w:b/>
          <w:bCs/>
          <w:sz w:val="22"/>
          <w:szCs w:val="22"/>
        </w:rPr>
      </w:pPr>
      <w:bookmarkStart w:id="2" w:name="_Toc228883228"/>
      <w:r w:rsidRPr="008E6E17">
        <w:rPr>
          <w:b/>
          <w:bCs/>
          <w:sz w:val="22"/>
          <w:szCs w:val="22"/>
        </w:rPr>
        <w:t xml:space="preserve">1.2. </w:t>
      </w:r>
      <w:r w:rsidR="00BB2072" w:rsidRPr="008E6E17">
        <w:rPr>
          <w:b/>
          <w:bCs/>
          <w:sz w:val="22"/>
          <w:szCs w:val="22"/>
        </w:rPr>
        <w:t>Research Aim</w:t>
      </w:r>
      <w:bookmarkEnd w:id="2"/>
      <w:r w:rsidR="00BB2072" w:rsidRPr="008E6E17">
        <w:rPr>
          <w:b/>
          <w:bCs/>
          <w:sz w:val="22"/>
          <w:szCs w:val="22"/>
        </w:rPr>
        <w:t xml:space="preserve"> </w:t>
      </w:r>
    </w:p>
    <w:p w14:paraId="0D311B82" w14:textId="50B37BEA" w:rsidR="004E604D" w:rsidRPr="004E604D" w:rsidRDefault="004E604D" w:rsidP="004E604D">
      <w:pPr>
        <w:spacing w:after="0" w:line="360" w:lineRule="auto"/>
        <w:ind w:firstLine="567"/>
        <w:jc w:val="both"/>
        <w:rPr>
          <w:rFonts w:ascii="Arial" w:hAnsi="Arial" w:cs="Arial"/>
          <w:sz w:val="22"/>
          <w:szCs w:val="22"/>
        </w:rPr>
      </w:pPr>
      <w:r w:rsidRPr="004E604D">
        <w:rPr>
          <w:rFonts w:ascii="Arial" w:hAnsi="Arial" w:cs="Arial"/>
          <w:sz w:val="22"/>
          <w:szCs w:val="22"/>
        </w:rPr>
        <w:t xml:space="preserve">Using the Red Sea crisis as a case study, this dissertation </w:t>
      </w:r>
      <w:r w:rsidR="00C42CFB">
        <w:rPr>
          <w:rFonts w:ascii="Arial" w:hAnsi="Arial" w:cs="Arial"/>
          <w:sz w:val="22"/>
          <w:szCs w:val="22"/>
        </w:rPr>
        <w:t xml:space="preserve">critically examines how UK </w:t>
      </w:r>
      <w:r w:rsidR="00D82B1E">
        <w:rPr>
          <w:rFonts w:ascii="Arial" w:hAnsi="Arial" w:cs="Arial"/>
          <w:sz w:val="22"/>
          <w:szCs w:val="22"/>
        </w:rPr>
        <w:t>vehicle</w:t>
      </w:r>
      <w:r w:rsidR="00C42CFB">
        <w:rPr>
          <w:rFonts w:ascii="Arial" w:hAnsi="Arial" w:cs="Arial"/>
          <w:sz w:val="22"/>
          <w:szCs w:val="22"/>
        </w:rPr>
        <w:t xml:space="preserve"> manufacturers shifted inventory strategies from Just-in-Time (JIT) to hybrid Just-in-Case (JIC) models from 2019 to 2024 in response</w:t>
      </w:r>
      <w:r w:rsidRPr="004E604D">
        <w:rPr>
          <w:rFonts w:ascii="Arial" w:hAnsi="Arial" w:cs="Arial"/>
          <w:sz w:val="22"/>
          <w:szCs w:val="22"/>
        </w:rPr>
        <w:t xml:space="preserve"> to supply chain disruptions. Its goal is to assess the effects of these changes on operational efficiency, cost models, and resilience results. Even more crucially, the research intends to determine whether digital skills improved companies' capacity to handle these trade-offs or just exacerbated preexisting disparities. The research project seeks to elucidate not only the changes in strategy but also the reasons behind the unequal performance experienced by different organisations in response to comparable disruptions by combining </w:t>
      </w:r>
      <w:r w:rsidR="00C42CFB">
        <w:rPr>
          <w:rFonts w:ascii="Arial" w:hAnsi="Arial" w:cs="Arial"/>
          <w:sz w:val="22"/>
          <w:szCs w:val="22"/>
        </w:rPr>
        <w:t>company-level data on inventory, costs</w:t>
      </w:r>
      <w:r w:rsidRPr="004E604D">
        <w:rPr>
          <w:rFonts w:ascii="Arial" w:hAnsi="Arial" w:cs="Arial"/>
          <w:sz w:val="22"/>
          <w:szCs w:val="22"/>
        </w:rPr>
        <w:t>, and disruption exposure.</w:t>
      </w:r>
    </w:p>
    <w:p w14:paraId="031AB561" w14:textId="3D7C6EAB" w:rsidR="00BB2072" w:rsidRPr="008E6E17" w:rsidRDefault="002A4611" w:rsidP="008E6E17">
      <w:pPr>
        <w:pStyle w:val="Heading2"/>
        <w:spacing w:before="120"/>
        <w:rPr>
          <w:b/>
          <w:bCs/>
          <w:sz w:val="22"/>
          <w:szCs w:val="22"/>
        </w:rPr>
      </w:pPr>
      <w:bookmarkStart w:id="3" w:name="_Toc228883229"/>
      <w:r w:rsidRPr="008E6E17">
        <w:rPr>
          <w:b/>
          <w:bCs/>
          <w:sz w:val="22"/>
          <w:szCs w:val="22"/>
        </w:rPr>
        <w:t xml:space="preserve">1.3. </w:t>
      </w:r>
      <w:r w:rsidR="00BB2072" w:rsidRPr="008E6E17">
        <w:rPr>
          <w:b/>
          <w:bCs/>
          <w:sz w:val="22"/>
          <w:szCs w:val="22"/>
        </w:rPr>
        <w:t>Research Objectives</w:t>
      </w:r>
      <w:bookmarkEnd w:id="3"/>
    </w:p>
    <w:p w14:paraId="1E8E7332" w14:textId="77777777" w:rsidR="00C85356" w:rsidRPr="00C85356" w:rsidRDefault="00C85356" w:rsidP="00C85356">
      <w:pPr>
        <w:spacing w:after="0" w:line="360" w:lineRule="auto"/>
        <w:ind w:firstLine="567"/>
        <w:jc w:val="both"/>
        <w:rPr>
          <w:rFonts w:ascii="Arial" w:hAnsi="Arial" w:cs="Arial"/>
          <w:sz w:val="22"/>
          <w:szCs w:val="22"/>
        </w:rPr>
      </w:pPr>
      <w:r w:rsidRPr="00C85356">
        <w:rPr>
          <w:rFonts w:ascii="Arial" w:hAnsi="Arial" w:cs="Arial"/>
          <w:sz w:val="22"/>
          <w:szCs w:val="22"/>
        </w:rPr>
        <w:t>This dissertation follows a three-step methodology to analyse structural change, performance effect, and capability difference among UK automobile manufacturers catering to both the luxury and mainstream markets. These goals represent the analytical development from the study aim.</w:t>
      </w:r>
    </w:p>
    <w:p w14:paraId="59E5FE8F" w14:textId="77777777" w:rsidR="00C85356" w:rsidRPr="00C85356" w:rsidRDefault="00C85356" w:rsidP="00C85356">
      <w:pPr>
        <w:spacing w:after="0" w:line="360" w:lineRule="auto"/>
        <w:ind w:firstLine="567"/>
        <w:jc w:val="both"/>
        <w:rPr>
          <w:rFonts w:ascii="Arial" w:hAnsi="Arial" w:cs="Arial"/>
          <w:sz w:val="22"/>
          <w:szCs w:val="22"/>
        </w:rPr>
      </w:pPr>
      <w:r w:rsidRPr="00C85356">
        <w:rPr>
          <w:rFonts w:ascii="Arial" w:hAnsi="Arial" w:cs="Arial"/>
          <w:sz w:val="22"/>
          <w:szCs w:val="22"/>
        </w:rPr>
        <w:lastRenderedPageBreak/>
        <w:t>Beginning with a look at the transition from JIT to hybrid JIT-JIC models, the research then moves on to analyse the inventory methods that both sectors implemented from 2019 to 2024. In particular, the reasons for the stronger selective buffering practices of luxury enterprises and the more diverse but limited inventory profiles of mass manufacturers are examined.</w:t>
      </w:r>
    </w:p>
    <w:p w14:paraId="67639308" w14:textId="77777777" w:rsidR="00C85356" w:rsidRPr="00C85356" w:rsidRDefault="00C85356" w:rsidP="00C85356">
      <w:pPr>
        <w:spacing w:after="0" w:line="360" w:lineRule="auto"/>
        <w:ind w:firstLine="567"/>
        <w:jc w:val="both"/>
        <w:rPr>
          <w:rFonts w:ascii="Arial" w:hAnsi="Arial" w:cs="Arial"/>
          <w:sz w:val="22"/>
          <w:szCs w:val="22"/>
        </w:rPr>
      </w:pPr>
      <w:r w:rsidRPr="00C85356">
        <w:rPr>
          <w:rFonts w:ascii="Arial" w:hAnsi="Arial" w:cs="Arial"/>
          <w:sz w:val="22"/>
          <w:szCs w:val="22"/>
        </w:rPr>
        <w:t>Second, the study compares performance from the pre-crisis (2019–2022) and disruption-period (2023–2024) periods to assess the operational and financial effects of these changes. It delves into the exact ways in which the luxury and mass sectors varied in their responses to identical disruptions, including price increases, transportation delays, and inventory growth, and the reasons behind these disparities.</w:t>
      </w:r>
    </w:p>
    <w:p w14:paraId="30007238" w14:textId="77777777" w:rsidR="00C85356" w:rsidRDefault="00C85356" w:rsidP="00C85356">
      <w:pPr>
        <w:spacing w:after="0" w:line="360" w:lineRule="auto"/>
        <w:ind w:firstLine="567"/>
        <w:jc w:val="both"/>
        <w:rPr>
          <w:rFonts w:ascii="Arial" w:hAnsi="Arial" w:cs="Arial"/>
          <w:sz w:val="22"/>
          <w:szCs w:val="22"/>
        </w:rPr>
      </w:pPr>
      <w:r w:rsidRPr="00C85356">
        <w:rPr>
          <w:rFonts w:ascii="Arial" w:hAnsi="Arial" w:cs="Arial"/>
          <w:sz w:val="22"/>
          <w:szCs w:val="22"/>
        </w:rPr>
        <w:t>Industry 4.0 and 5.0 capabilities are examined in the research to determine their impact on segment resilience. It examines the effectiveness of digital tool integration with inventory and cost strategies to see if digital maturity consistently promotes resilience or whether its influence fluctuates.</w:t>
      </w:r>
    </w:p>
    <w:p w14:paraId="32ACED4E" w14:textId="4F60F341" w:rsidR="00BB2072" w:rsidRPr="008E6E17" w:rsidRDefault="00C85356" w:rsidP="008E6E17">
      <w:pPr>
        <w:pStyle w:val="Heading2"/>
        <w:spacing w:before="120"/>
        <w:rPr>
          <w:b/>
          <w:bCs/>
          <w:sz w:val="22"/>
          <w:szCs w:val="22"/>
        </w:rPr>
      </w:pPr>
      <w:bookmarkStart w:id="4" w:name="_Toc228883230"/>
      <w:r w:rsidRPr="008E6E17">
        <w:rPr>
          <w:b/>
          <w:bCs/>
          <w:sz w:val="22"/>
          <w:szCs w:val="22"/>
        </w:rPr>
        <w:t xml:space="preserve">1.4. </w:t>
      </w:r>
      <w:r w:rsidR="00BB2072" w:rsidRPr="008E6E17">
        <w:rPr>
          <w:b/>
          <w:bCs/>
          <w:sz w:val="22"/>
          <w:szCs w:val="22"/>
        </w:rPr>
        <w:t>Research Questions</w:t>
      </w:r>
      <w:bookmarkEnd w:id="4"/>
    </w:p>
    <w:p w14:paraId="4C86B864" w14:textId="61A9F7E1" w:rsidR="00C53965" w:rsidRDefault="00C53965" w:rsidP="00C85356">
      <w:pPr>
        <w:spacing w:after="0" w:line="360" w:lineRule="auto"/>
        <w:ind w:firstLine="567"/>
        <w:jc w:val="both"/>
        <w:rPr>
          <w:rFonts w:ascii="Arial" w:hAnsi="Arial" w:cs="Arial"/>
          <w:sz w:val="22"/>
          <w:szCs w:val="22"/>
        </w:rPr>
      </w:pPr>
      <w:r w:rsidRPr="00C53965">
        <w:rPr>
          <w:rFonts w:ascii="Arial" w:hAnsi="Arial" w:cs="Arial"/>
          <w:sz w:val="22"/>
          <w:szCs w:val="22"/>
        </w:rPr>
        <w:t>Using the following research questions as a framework, we analyse the effects of disruptions on inventory transformation and capability-driven resilience in the UK automotive industry.</w:t>
      </w:r>
    </w:p>
    <w:p w14:paraId="094982B5" w14:textId="77777777" w:rsidR="00923F73" w:rsidRPr="00923F73" w:rsidRDefault="00923F73" w:rsidP="00923F73">
      <w:pPr>
        <w:spacing w:after="0" w:line="360" w:lineRule="auto"/>
        <w:ind w:firstLine="567"/>
        <w:jc w:val="both"/>
        <w:rPr>
          <w:rFonts w:ascii="Arial" w:hAnsi="Arial" w:cs="Arial"/>
          <w:sz w:val="22"/>
          <w:szCs w:val="22"/>
        </w:rPr>
      </w:pPr>
      <w:r w:rsidRPr="00923F73">
        <w:rPr>
          <w:rFonts w:ascii="Arial" w:hAnsi="Arial" w:cs="Arial"/>
          <w:b/>
          <w:bCs/>
          <w:sz w:val="22"/>
          <w:szCs w:val="22"/>
        </w:rPr>
        <w:t>RQ1:</w:t>
      </w:r>
      <w:r w:rsidRPr="00923F73">
        <w:rPr>
          <w:rFonts w:ascii="Arial" w:hAnsi="Arial" w:cs="Arial"/>
          <w:sz w:val="22"/>
          <w:szCs w:val="22"/>
        </w:rPr>
        <w:t xml:space="preserve"> How did the shift from JIT to JIC inventory strategies manifest in the UK automotive sector between 2019 and 2024?</w:t>
      </w:r>
    </w:p>
    <w:p w14:paraId="64281399" w14:textId="77777777" w:rsidR="00923F73" w:rsidRPr="00923F73" w:rsidRDefault="00923F73" w:rsidP="00923F73">
      <w:pPr>
        <w:spacing w:after="0" w:line="360" w:lineRule="auto"/>
        <w:ind w:firstLine="567"/>
        <w:jc w:val="both"/>
        <w:rPr>
          <w:rFonts w:ascii="Arial" w:hAnsi="Arial" w:cs="Arial"/>
          <w:sz w:val="22"/>
          <w:szCs w:val="22"/>
        </w:rPr>
      </w:pPr>
      <w:r w:rsidRPr="00923F73">
        <w:rPr>
          <w:rFonts w:ascii="Arial" w:hAnsi="Arial" w:cs="Arial"/>
          <w:b/>
          <w:bCs/>
          <w:sz w:val="22"/>
          <w:szCs w:val="22"/>
        </w:rPr>
        <w:t>RQ2:</w:t>
      </w:r>
      <w:r w:rsidRPr="00923F73">
        <w:rPr>
          <w:rFonts w:ascii="Arial" w:hAnsi="Arial" w:cs="Arial"/>
          <w:sz w:val="22"/>
          <w:szCs w:val="22"/>
        </w:rPr>
        <w:t xml:space="preserve"> What financial and operational impacts did this transition have on major UK automotive manufacturers during the Red Sea crisis?</w:t>
      </w:r>
    </w:p>
    <w:p w14:paraId="7084B71C" w14:textId="77777777" w:rsidR="00923F73" w:rsidRPr="00923F73" w:rsidRDefault="00923F73" w:rsidP="00923F73">
      <w:pPr>
        <w:spacing w:after="0" w:line="360" w:lineRule="auto"/>
        <w:ind w:firstLine="567"/>
        <w:jc w:val="both"/>
        <w:rPr>
          <w:rFonts w:ascii="Arial" w:hAnsi="Arial" w:cs="Arial"/>
          <w:sz w:val="22"/>
          <w:szCs w:val="22"/>
        </w:rPr>
      </w:pPr>
      <w:r w:rsidRPr="00923F73">
        <w:rPr>
          <w:rFonts w:ascii="Arial" w:hAnsi="Arial" w:cs="Arial"/>
          <w:b/>
          <w:bCs/>
          <w:sz w:val="22"/>
          <w:szCs w:val="22"/>
        </w:rPr>
        <w:t>RQ3:</w:t>
      </w:r>
      <w:r w:rsidRPr="00923F73">
        <w:rPr>
          <w:rFonts w:ascii="Arial" w:hAnsi="Arial" w:cs="Arial"/>
          <w:sz w:val="22"/>
          <w:szCs w:val="22"/>
        </w:rPr>
        <w:t xml:space="preserve"> To what extent can Industry 4.0 and Industry 5.0 technologies enhance supply chain resilience and support hybrid JIT–JIC inventory models?</w:t>
      </w:r>
    </w:p>
    <w:p w14:paraId="12BC7744" w14:textId="77546823" w:rsidR="00B76FE8" w:rsidRPr="00B76FE8" w:rsidRDefault="000E1FC7" w:rsidP="00C85356">
      <w:pPr>
        <w:spacing w:after="0" w:line="360" w:lineRule="auto"/>
        <w:ind w:firstLine="567"/>
        <w:jc w:val="both"/>
        <w:rPr>
          <w:rFonts w:ascii="Arial" w:hAnsi="Arial" w:cs="Arial"/>
          <w:sz w:val="22"/>
          <w:szCs w:val="22"/>
        </w:rPr>
      </w:pPr>
      <w:r w:rsidRPr="000E1FC7">
        <w:rPr>
          <w:rFonts w:ascii="Arial" w:hAnsi="Arial" w:cs="Arial"/>
          <w:sz w:val="22"/>
          <w:szCs w:val="22"/>
        </w:rPr>
        <w:t xml:space="preserve">The answers to these questions will provide the basis for assessing the </w:t>
      </w:r>
      <w:r w:rsidR="00C649B1">
        <w:rPr>
          <w:rFonts w:ascii="Arial" w:hAnsi="Arial" w:cs="Arial"/>
          <w:sz w:val="22"/>
          <w:szCs w:val="22"/>
        </w:rPr>
        <w:t>research's academic and practical relevance within the broader discussion of supply chain resilience</w:t>
      </w:r>
      <w:r w:rsidRPr="000E1FC7">
        <w:rPr>
          <w:rFonts w:ascii="Arial" w:hAnsi="Arial" w:cs="Arial"/>
          <w:sz w:val="22"/>
          <w:szCs w:val="22"/>
        </w:rPr>
        <w:t>.</w:t>
      </w:r>
    </w:p>
    <w:p w14:paraId="2F18A37A" w14:textId="57CF3EA3" w:rsidR="00BB2072" w:rsidRPr="008E6E17" w:rsidRDefault="000E1FC7" w:rsidP="008E6E17">
      <w:pPr>
        <w:pStyle w:val="Heading2"/>
        <w:spacing w:before="120"/>
        <w:rPr>
          <w:b/>
          <w:bCs/>
          <w:sz w:val="22"/>
          <w:szCs w:val="22"/>
        </w:rPr>
      </w:pPr>
      <w:bookmarkStart w:id="5" w:name="_Toc228883231"/>
      <w:r w:rsidRPr="008E6E17">
        <w:rPr>
          <w:b/>
          <w:bCs/>
          <w:sz w:val="22"/>
          <w:szCs w:val="22"/>
        </w:rPr>
        <w:t xml:space="preserve">1.5. </w:t>
      </w:r>
      <w:r w:rsidR="00BB2072" w:rsidRPr="008E6E17">
        <w:rPr>
          <w:b/>
          <w:bCs/>
          <w:sz w:val="22"/>
          <w:szCs w:val="22"/>
        </w:rPr>
        <w:t>Significance / Relevance of Study</w:t>
      </w:r>
      <w:bookmarkEnd w:id="5"/>
      <w:r w:rsidR="00BB2072" w:rsidRPr="008E6E17">
        <w:rPr>
          <w:b/>
          <w:bCs/>
          <w:sz w:val="22"/>
          <w:szCs w:val="22"/>
        </w:rPr>
        <w:t xml:space="preserve"> </w:t>
      </w:r>
    </w:p>
    <w:p w14:paraId="6D14E097" w14:textId="36FBAD60" w:rsidR="00AE5ECC" w:rsidRPr="00AE5ECC" w:rsidRDefault="00AE5ECC" w:rsidP="00AE5ECC">
      <w:pPr>
        <w:spacing w:after="0" w:line="360" w:lineRule="auto"/>
        <w:ind w:firstLine="567"/>
        <w:jc w:val="both"/>
        <w:rPr>
          <w:rFonts w:ascii="Arial" w:hAnsi="Arial" w:cs="Arial"/>
          <w:sz w:val="22"/>
          <w:szCs w:val="22"/>
        </w:rPr>
      </w:pPr>
      <w:r w:rsidRPr="00AE5ECC">
        <w:rPr>
          <w:rFonts w:ascii="Arial" w:hAnsi="Arial" w:cs="Arial"/>
          <w:sz w:val="22"/>
          <w:szCs w:val="22"/>
        </w:rPr>
        <w:t>This research contributes to the existing literature on supply chain resilience by disputing the simplistic assumption that digitisation or buffering alone may boost performance. Integrating firm-level data from high-end and mass-market UK car manufacturers, it shows that the alignment of inventory, cost, and digital capabilities is conditional on resilience results. This gives credibility to a capability-based viewpoint and casts doubt on the common assumptions about the trade-off between efficiency and resilience.</w:t>
      </w:r>
    </w:p>
    <w:p w14:paraId="066BCD4E" w14:textId="005F1345" w:rsidR="00AE5ECC" w:rsidRDefault="00AE5ECC" w:rsidP="00AE5ECC">
      <w:pPr>
        <w:spacing w:after="0" w:line="360" w:lineRule="auto"/>
        <w:ind w:firstLine="567"/>
        <w:jc w:val="both"/>
        <w:rPr>
          <w:rFonts w:ascii="Arial" w:hAnsi="Arial" w:cs="Arial"/>
          <w:sz w:val="22"/>
          <w:szCs w:val="22"/>
        </w:rPr>
      </w:pPr>
      <w:r w:rsidRPr="00AE5ECC">
        <w:rPr>
          <w:rFonts w:ascii="Arial" w:hAnsi="Arial" w:cs="Arial"/>
          <w:sz w:val="22"/>
          <w:szCs w:val="22"/>
        </w:rPr>
        <w:t xml:space="preserve">Considering the growing geopolitical instability, the report offers useful information for UK industries. Hybrid JIT-JIC solutions, bolstered by digital visibility and adaptive decision-making, may enhance resilience, and </w:t>
      </w:r>
      <w:r>
        <w:rPr>
          <w:rFonts w:ascii="Arial" w:hAnsi="Arial" w:cs="Arial"/>
          <w:sz w:val="22"/>
          <w:szCs w:val="22"/>
        </w:rPr>
        <w:t>this</w:t>
      </w:r>
      <w:r w:rsidRPr="00AE5ECC">
        <w:rPr>
          <w:rFonts w:ascii="Arial" w:hAnsi="Arial" w:cs="Arial"/>
          <w:sz w:val="22"/>
          <w:szCs w:val="22"/>
        </w:rPr>
        <w:t xml:space="preserve"> explains why exposure to comparable disruptions </w:t>
      </w:r>
      <w:r w:rsidRPr="00AE5ECC">
        <w:rPr>
          <w:rFonts w:ascii="Arial" w:hAnsi="Arial" w:cs="Arial"/>
          <w:sz w:val="22"/>
          <w:szCs w:val="22"/>
        </w:rPr>
        <w:lastRenderedPageBreak/>
        <w:t xml:space="preserve">has varied consequences. </w:t>
      </w:r>
      <w:r w:rsidR="006C31AF" w:rsidRPr="00AE5ECC">
        <w:rPr>
          <w:rFonts w:ascii="Arial" w:hAnsi="Arial" w:cs="Arial"/>
          <w:sz w:val="22"/>
          <w:szCs w:val="22"/>
        </w:rPr>
        <w:t>Considering</w:t>
      </w:r>
      <w:r w:rsidRPr="00AE5ECC">
        <w:rPr>
          <w:rFonts w:ascii="Arial" w:hAnsi="Arial" w:cs="Arial"/>
          <w:sz w:val="22"/>
          <w:szCs w:val="22"/>
        </w:rPr>
        <w:t xml:space="preserve"> </w:t>
      </w:r>
      <w:r>
        <w:rPr>
          <w:rFonts w:ascii="Arial" w:hAnsi="Arial" w:cs="Arial"/>
          <w:sz w:val="22"/>
          <w:szCs w:val="22"/>
        </w:rPr>
        <w:t xml:space="preserve">ongoing supply chain volatility, it is essential to understand these conditional linkages </w:t>
      </w:r>
      <w:r w:rsidRPr="00AE5ECC">
        <w:rPr>
          <w:rFonts w:ascii="Arial" w:hAnsi="Arial" w:cs="Arial"/>
          <w:sz w:val="22"/>
          <w:szCs w:val="22"/>
        </w:rPr>
        <w:t>to formulate operational solutions that are both effective and sustainable.</w:t>
      </w:r>
    </w:p>
    <w:p w14:paraId="5F445D81" w14:textId="15489AE8" w:rsidR="00BB2072" w:rsidRPr="008E6E17" w:rsidRDefault="00AE5ECC" w:rsidP="008E6E17">
      <w:pPr>
        <w:pStyle w:val="Heading2"/>
        <w:spacing w:before="120"/>
        <w:rPr>
          <w:b/>
          <w:bCs/>
          <w:sz w:val="22"/>
          <w:szCs w:val="22"/>
        </w:rPr>
      </w:pPr>
      <w:bookmarkStart w:id="6" w:name="_Toc228883232"/>
      <w:r w:rsidRPr="008E6E17">
        <w:rPr>
          <w:b/>
          <w:bCs/>
          <w:sz w:val="22"/>
          <w:szCs w:val="22"/>
        </w:rPr>
        <w:t xml:space="preserve">1.6. </w:t>
      </w:r>
      <w:r w:rsidR="00BB2072" w:rsidRPr="008E6E17">
        <w:rPr>
          <w:b/>
          <w:bCs/>
          <w:sz w:val="22"/>
          <w:szCs w:val="22"/>
        </w:rPr>
        <w:t>Brief Research Methodology</w:t>
      </w:r>
      <w:bookmarkEnd w:id="6"/>
      <w:r w:rsidR="00BB2072" w:rsidRPr="008E6E17">
        <w:rPr>
          <w:b/>
          <w:bCs/>
          <w:sz w:val="22"/>
          <w:szCs w:val="22"/>
        </w:rPr>
        <w:t xml:space="preserve"> </w:t>
      </w:r>
    </w:p>
    <w:p w14:paraId="4D1D1559" w14:textId="212AE947" w:rsidR="00D23D6C" w:rsidRPr="00D23D6C" w:rsidRDefault="00D23D6C" w:rsidP="00D23D6C">
      <w:pPr>
        <w:spacing w:after="0" w:line="360" w:lineRule="auto"/>
        <w:ind w:firstLine="567"/>
        <w:jc w:val="both"/>
        <w:rPr>
          <w:rFonts w:ascii="Arial" w:hAnsi="Arial" w:cs="Arial"/>
          <w:sz w:val="22"/>
          <w:szCs w:val="22"/>
        </w:rPr>
      </w:pPr>
      <w:r w:rsidRPr="00D23D6C">
        <w:rPr>
          <w:rFonts w:ascii="Arial" w:hAnsi="Arial" w:cs="Arial"/>
          <w:sz w:val="22"/>
          <w:szCs w:val="22"/>
        </w:rPr>
        <w:t xml:space="preserve">The findings of this study </w:t>
      </w:r>
      <w:r>
        <w:rPr>
          <w:rFonts w:ascii="Arial" w:hAnsi="Arial" w:cs="Arial"/>
          <w:sz w:val="22"/>
          <w:szCs w:val="22"/>
        </w:rPr>
        <w:t>examine</w:t>
      </w:r>
      <w:r w:rsidRPr="00D23D6C">
        <w:rPr>
          <w:rFonts w:ascii="Arial" w:hAnsi="Arial" w:cs="Arial"/>
          <w:sz w:val="22"/>
          <w:szCs w:val="22"/>
        </w:rPr>
        <w:t xml:space="preserve"> the resilience of UK automobile manufacturers at the business level using a quantitative</w:t>
      </w:r>
      <w:r>
        <w:rPr>
          <w:rFonts w:ascii="Arial" w:hAnsi="Arial" w:cs="Arial"/>
          <w:sz w:val="22"/>
          <w:szCs w:val="22"/>
        </w:rPr>
        <w:t>, secondary-data-driven methodology</w:t>
      </w:r>
      <w:r w:rsidRPr="00D23D6C">
        <w:rPr>
          <w:rFonts w:ascii="Arial" w:hAnsi="Arial" w:cs="Arial"/>
          <w:sz w:val="22"/>
          <w:szCs w:val="22"/>
        </w:rPr>
        <w:t xml:space="preserve">. The technique incorporates cross-sectional examination of mass-market and luxury enterprises with </w:t>
      </w:r>
      <w:r>
        <w:rPr>
          <w:rFonts w:ascii="Arial" w:hAnsi="Arial" w:cs="Arial"/>
          <w:sz w:val="22"/>
          <w:szCs w:val="22"/>
        </w:rPr>
        <w:t xml:space="preserve">a </w:t>
      </w:r>
      <w:r w:rsidRPr="00D23D6C">
        <w:rPr>
          <w:rFonts w:ascii="Arial" w:hAnsi="Arial" w:cs="Arial"/>
          <w:sz w:val="22"/>
          <w:szCs w:val="22"/>
        </w:rPr>
        <w:t xml:space="preserve">comparative study of performance during the disruption era (2023–2024) and before the crisis (2019–2022). Supported by external indices </w:t>
      </w:r>
      <w:r>
        <w:rPr>
          <w:rFonts w:ascii="Arial" w:hAnsi="Arial" w:cs="Arial"/>
          <w:sz w:val="22"/>
          <w:szCs w:val="22"/>
        </w:rPr>
        <w:t>such as the GSCPI and the Digital Capability Index (DCI), key measures include</w:t>
      </w:r>
      <w:r w:rsidRPr="00D23D6C">
        <w:rPr>
          <w:rFonts w:ascii="Arial" w:hAnsi="Arial" w:cs="Arial"/>
          <w:sz w:val="22"/>
          <w:szCs w:val="22"/>
        </w:rPr>
        <w:t xml:space="preserve"> inventory levels, import prices, transit durations, and resilience indicators.</w:t>
      </w:r>
    </w:p>
    <w:p w14:paraId="36FB1315" w14:textId="77777777" w:rsidR="00D23D6C" w:rsidRDefault="00D23D6C" w:rsidP="00D23D6C">
      <w:pPr>
        <w:spacing w:after="0" w:line="360" w:lineRule="auto"/>
        <w:ind w:firstLine="567"/>
        <w:jc w:val="both"/>
        <w:rPr>
          <w:rFonts w:ascii="Arial" w:hAnsi="Arial" w:cs="Arial"/>
          <w:sz w:val="22"/>
          <w:szCs w:val="22"/>
        </w:rPr>
      </w:pPr>
      <w:r w:rsidRPr="00D23D6C">
        <w:rPr>
          <w:rFonts w:ascii="Arial" w:hAnsi="Arial" w:cs="Arial"/>
          <w:sz w:val="22"/>
          <w:szCs w:val="22"/>
        </w:rPr>
        <w:t xml:space="preserve">The research uses visual modelling, correlation analysis, and descriptive statistics to </w:t>
      </w:r>
      <w:r>
        <w:rPr>
          <w:rFonts w:ascii="Arial" w:hAnsi="Arial" w:cs="Arial"/>
          <w:sz w:val="22"/>
          <w:szCs w:val="22"/>
        </w:rPr>
        <w:t>identify relationships among exposure to disruptions, strategy responses, and performance outcomes</w:t>
      </w:r>
      <w:r w:rsidRPr="00D23D6C">
        <w:rPr>
          <w:rFonts w:ascii="Arial" w:hAnsi="Arial" w:cs="Arial"/>
          <w:sz w:val="22"/>
          <w:szCs w:val="22"/>
        </w:rPr>
        <w:t>. Focusing on conditional patterns and trade-offs, the technique avoids evaluating linear causation. The interplay between inventory strategies, cost absorption, and digital capabilities in shaping resilience under uncertainty may now be evaluated more critically.</w:t>
      </w:r>
    </w:p>
    <w:p w14:paraId="3A61673C" w14:textId="77777777" w:rsidR="00276564" w:rsidRDefault="00590FC9" w:rsidP="008E6E17">
      <w:pPr>
        <w:pStyle w:val="Heading2"/>
        <w:spacing w:before="0" w:line="240" w:lineRule="auto"/>
        <w:rPr>
          <w:b/>
          <w:bCs/>
          <w:sz w:val="22"/>
          <w:szCs w:val="22"/>
        </w:rPr>
      </w:pPr>
      <w:bookmarkStart w:id="7" w:name="_Toc228883233"/>
      <w:r w:rsidRPr="00276564">
        <w:rPr>
          <w:b/>
          <w:bCs/>
          <w:sz w:val="22"/>
          <w:szCs w:val="22"/>
        </w:rPr>
        <w:t xml:space="preserve">1.7. </w:t>
      </w:r>
      <w:r w:rsidR="00BB2072" w:rsidRPr="00276564">
        <w:rPr>
          <w:b/>
          <w:bCs/>
          <w:sz w:val="22"/>
          <w:szCs w:val="22"/>
        </w:rPr>
        <w:t xml:space="preserve">Structure of </w:t>
      </w:r>
      <w:r w:rsidR="00F456B4" w:rsidRPr="00276564">
        <w:rPr>
          <w:b/>
          <w:bCs/>
          <w:sz w:val="22"/>
          <w:szCs w:val="22"/>
        </w:rPr>
        <w:t xml:space="preserve">the </w:t>
      </w:r>
      <w:r w:rsidR="00BB2072" w:rsidRPr="00276564">
        <w:rPr>
          <w:b/>
          <w:bCs/>
          <w:sz w:val="22"/>
          <w:szCs w:val="22"/>
        </w:rPr>
        <w:t xml:space="preserve">rest of </w:t>
      </w:r>
      <w:r w:rsidR="00F456B4" w:rsidRPr="00276564">
        <w:rPr>
          <w:b/>
          <w:bCs/>
          <w:sz w:val="22"/>
          <w:szCs w:val="22"/>
        </w:rPr>
        <w:t xml:space="preserve">the </w:t>
      </w:r>
      <w:r w:rsidR="00BB2072" w:rsidRPr="00276564">
        <w:rPr>
          <w:b/>
          <w:bCs/>
          <w:sz w:val="22"/>
          <w:szCs w:val="22"/>
        </w:rPr>
        <w:t>project</w:t>
      </w:r>
      <w:bookmarkEnd w:id="7"/>
    </w:p>
    <w:p w14:paraId="2FF28BCC" w14:textId="77777777" w:rsidR="008E6E17" w:rsidRPr="008E6E17" w:rsidRDefault="008E6E17" w:rsidP="008E6E17">
      <w:pPr>
        <w:spacing w:after="0" w:line="360" w:lineRule="auto"/>
        <w:ind w:firstLine="567"/>
        <w:jc w:val="both"/>
        <w:rPr>
          <w:rFonts w:ascii="Arial" w:hAnsi="Arial" w:cs="Arial"/>
          <w:sz w:val="22"/>
          <w:szCs w:val="22"/>
        </w:rPr>
      </w:pPr>
      <w:r w:rsidRPr="008E6E17">
        <w:rPr>
          <w:rFonts w:ascii="Arial" w:hAnsi="Arial" w:cs="Arial"/>
          <w:sz w:val="22"/>
          <w:szCs w:val="22"/>
        </w:rPr>
        <w:t>Moving on from a theoretical framework to an empirical assessment is the next step in this dissertation's organisational structure. In Chapter 2, "Why Traditional Efficiency-Focused Approaches Fail Under Disruption," we examine the research on digital capabilities, JIT-JIC models, and supply chain resilience. The approach, including the analytical framework and key measures such as inventory coverage (e.g., rising from about 28.83 to 33.98 days), cost shock absorption, and disruption indicators (e.g., transit time increasing to around 42.6 days), is presented in Chapter 3.</w:t>
      </w:r>
    </w:p>
    <w:p w14:paraId="1304048E" w14:textId="06E9E6E8" w:rsidR="008E6E17" w:rsidRPr="008E6E17" w:rsidRDefault="008E6E17" w:rsidP="008E6E17">
      <w:pPr>
        <w:spacing w:after="0" w:line="360" w:lineRule="auto"/>
        <w:ind w:firstLine="567"/>
        <w:jc w:val="both"/>
        <w:rPr>
          <w:rFonts w:ascii="Arial" w:hAnsi="Arial" w:cs="Arial"/>
          <w:sz w:val="22"/>
          <w:szCs w:val="22"/>
        </w:rPr>
      </w:pPr>
      <w:r w:rsidRPr="008E6E17">
        <w:rPr>
          <w:rFonts w:ascii="Arial" w:hAnsi="Arial" w:cs="Arial"/>
          <w:sz w:val="22"/>
          <w:szCs w:val="22"/>
        </w:rPr>
        <w:t>Chapter 4 presents the fundamental results on how formulae such as inventory turnover and cost ratios explain firm-level heterogeneity. It links these metrics to resilience outcomes (0.40-0.65) and Digital Capability Index scores (0.12-0.44). In Chapter 5, we draw conclusions and provide suggestions based on the data. We also discuss the limits and potential avenues for further study.</w:t>
      </w:r>
    </w:p>
    <w:p w14:paraId="2150E120" w14:textId="77777777" w:rsidR="00D67AC7" w:rsidRDefault="00D67AC7"/>
    <w:p w14:paraId="242541A2" w14:textId="77777777" w:rsidR="00BB2072" w:rsidRDefault="00BB2072"/>
    <w:p w14:paraId="57934FA8" w14:textId="77777777" w:rsidR="00BB2072" w:rsidRDefault="00BB2072"/>
    <w:p w14:paraId="16481EDD" w14:textId="77777777" w:rsidR="00BB2072" w:rsidRDefault="00BB2072"/>
    <w:p w14:paraId="16A8244D" w14:textId="77777777" w:rsidR="00C32804" w:rsidRDefault="00C32804"/>
    <w:p w14:paraId="6E0003C7" w14:textId="012E9E74" w:rsidR="007F24BD" w:rsidRPr="00873A19" w:rsidRDefault="00C32804" w:rsidP="00FC4FE2">
      <w:pPr>
        <w:pStyle w:val="Heading1"/>
        <w:spacing w:before="240"/>
        <w:rPr>
          <w:b/>
          <w:bCs/>
          <w:i/>
          <w:iCs/>
          <w:color w:val="EE0000"/>
          <w:sz w:val="22"/>
          <w:szCs w:val="22"/>
          <w:u w:val="single"/>
        </w:rPr>
      </w:pPr>
      <w:bookmarkStart w:id="8" w:name="_Toc228883234"/>
      <w:r w:rsidRPr="00873A19">
        <w:rPr>
          <w:b/>
          <w:bCs/>
          <w:sz w:val="22"/>
          <w:szCs w:val="22"/>
        </w:rPr>
        <w:lastRenderedPageBreak/>
        <w:t>CHAPTER 2: LITERATURE REVIEW</w:t>
      </w:r>
      <w:bookmarkEnd w:id="8"/>
      <w:r w:rsidRPr="00873A19">
        <w:rPr>
          <w:b/>
          <w:bCs/>
          <w:sz w:val="22"/>
          <w:szCs w:val="22"/>
        </w:rPr>
        <w:t xml:space="preserve"> </w:t>
      </w:r>
      <w:r w:rsidR="008A1E04" w:rsidRPr="008A1E04">
        <w:rPr>
          <w:b/>
          <w:bCs/>
          <w:sz w:val="22"/>
          <w:szCs w:val="22"/>
        </w:rPr>
        <w:t>(3364 words)</w:t>
      </w:r>
    </w:p>
    <w:p w14:paraId="25E6C9B5" w14:textId="47A011F6" w:rsidR="00B53850" w:rsidRPr="00F73B0C" w:rsidRDefault="00C446F5" w:rsidP="00FC4FE2">
      <w:pPr>
        <w:pStyle w:val="Heading2"/>
        <w:spacing w:before="120"/>
        <w:rPr>
          <w:b/>
          <w:bCs/>
          <w:sz w:val="22"/>
          <w:szCs w:val="22"/>
        </w:rPr>
      </w:pPr>
      <w:bookmarkStart w:id="9" w:name="_Toc228883235"/>
      <w:r w:rsidRPr="00F73B0C">
        <w:rPr>
          <w:b/>
          <w:bCs/>
          <w:sz w:val="22"/>
          <w:szCs w:val="22"/>
        </w:rPr>
        <w:t xml:space="preserve">2.1. </w:t>
      </w:r>
      <w:r w:rsidR="00B53850" w:rsidRPr="00F73B0C">
        <w:rPr>
          <w:b/>
          <w:bCs/>
          <w:sz w:val="22"/>
          <w:szCs w:val="22"/>
        </w:rPr>
        <w:t>Introduction</w:t>
      </w:r>
      <w:bookmarkEnd w:id="9"/>
    </w:p>
    <w:p w14:paraId="3F393F83" w14:textId="74A4CE2B" w:rsidR="006225D6" w:rsidRPr="006225D6" w:rsidRDefault="006225D6" w:rsidP="006225D6">
      <w:pPr>
        <w:spacing w:after="0" w:line="360" w:lineRule="auto"/>
        <w:ind w:firstLine="567"/>
        <w:jc w:val="both"/>
        <w:rPr>
          <w:rFonts w:ascii="Arial" w:hAnsi="Arial" w:cs="Arial"/>
          <w:sz w:val="22"/>
          <w:szCs w:val="22"/>
        </w:rPr>
      </w:pPr>
      <w:r w:rsidRPr="006225D6">
        <w:rPr>
          <w:rFonts w:ascii="Arial" w:hAnsi="Arial" w:cs="Arial"/>
          <w:sz w:val="22"/>
          <w:szCs w:val="22"/>
        </w:rPr>
        <w:t>This chapter analyses the development of inventory strategies in the face of continuous disruption, answering RQ1–RQ3 to provide a thorough picture of the resilience of the UK automotive supply chain. Although Just-in-Time (JIT) efficiency and the rise of Just-in-Case (JIC) buffering have been thoroughly investigated in the literature, they are often discussed independently. Recent worldwide shocks, however, show that uncertainty, structural complexity, and firm-specific capacities are crucial to understanding inventory choices.</w:t>
      </w:r>
    </w:p>
    <w:p w14:paraId="305996DE" w14:textId="05280481" w:rsidR="006225D6" w:rsidRPr="006225D6" w:rsidRDefault="006225D6" w:rsidP="006225D6">
      <w:pPr>
        <w:spacing w:after="0" w:line="360" w:lineRule="auto"/>
        <w:ind w:firstLine="567"/>
        <w:jc w:val="both"/>
        <w:rPr>
          <w:rFonts w:ascii="Arial" w:hAnsi="Arial" w:cs="Arial"/>
          <w:sz w:val="22"/>
          <w:szCs w:val="22"/>
        </w:rPr>
      </w:pPr>
      <w:r w:rsidRPr="006225D6">
        <w:rPr>
          <w:rFonts w:ascii="Arial" w:hAnsi="Arial" w:cs="Arial"/>
          <w:sz w:val="22"/>
          <w:szCs w:val="22"/>
        </w:rPr>
        <w:t xml:space="preserve">Thus, the chapter begins by assessing the theoretical conflict between resilience and </w:t>
      </w:r>
      <w:r w:rsidR="006C31AF" w:rsidRPr="006225D6">
        <w:rPr>
          <w:rFonts w:ascii="Arial" w:hAnsi="Arial" w:cs="Arial"/>
          <w:sz w:val="22"/>
          <w:szCs w:val="22"/>
        </w:rPr>
        <w:t>efficiency and</w:t>
      </w:r>
      <w:r w:rsidRPr="006225D6">
        <w:rPr>
          <w:rFonts w:ascii="Arial" w:hAnsi="Arial" w:cs="Arial"/>
          <w:sz w:val="22"/>
          <w:szCs w:val="22"/>
        </w:rPr>
        <w:t xml:space="preserve"> then places JIT-JIC transitions in the larger framework of systemic shocks, such as the Red Sea catastrophe. Afterwards, it takes a close look at risk and resilience tactics including digital visibility, supplier diversity, and buffering, discussing how dynamic capabilities shape results and casting doubt on their generalisability.</w:t>
      </w:r>
    </w:p>
    <w:p w14:paraId="777590C8" w14:textId="37BB95DC" w:rsidR="00E30164" w:rsidRPr="00E30164" w:rsidRDefault="006225D6" w:rsidP="00F25DA8">
      <w:pPr>
        <w:spacing w:after="0" w:line="360" w:lineRule="auto"/>
        <w:ind w:firstLine="567"/>
        <w:jc w:val="both"/>
        <w:rPr>
          <w:rFonts w:ascii="Arial" w:hAnsi="Arial" w:cs="Arial"/>
          <w:sz w:val="22"/>
          <w:szCs w:val="22"/>
        </w:rPr>
      </w:pPr>
      <w:r w:rsidRPr="006225D6">
        <w:rPr>
          <w:rFonts w:ascii="Arial" w:hAnsi="Arial" w:cs="Arial"/>
          <w:sz w:val="22"/>
          <w:szCs w:val="22"/>
        </w:rPr>
        <w:t xml:space="preserve">At that point, the research separates luxury and mass-market automobile manufacturing firms to show how structural variables like supplier dependency, size, and cost structures cause differing resilience reactions. This chapter goes beyond a descriptive study to pinpoint important theoretical and empirical gaps by including various viewpoints. This sets a solid </w:t>
      </w:r>
      <w:r w:rsidR="00F25DA8" w:rsidRPr="00F25DA8">
        <w:rPr>
          <w:rFonts w:ascii="Arial" w:hAnsi="Arial" w:cs="Arial"/>
          <w:sz w:val="22"/>
          <w:szCs w:val="22"/>
        </w:rPr>
        <w:t>strong basis</w:t>
      </w:r>
      <w:r w:rsidRPr="006225D6">
        <w:rPr>
          <w:rFonts w:ascii="Arial" w:hAnsi="Arial" w:cs="Arial"/>
          <w:sz w:val="22"/>
          <w:szCs w:val="22"/>
        </w:rPr>
        <w:t xml:space="preserve"> for the empirical study that will follow, which will examine how the UK automotive industry implements resilience in the face of disruption.</w:t>
      </w:r>
    </w:p>
    <w:p w14:paraId="783CBAC6" w14:textId="77777777" w:rsidR="00D5563D" w:rsidRDefault="00D5563D" w:rsidP="00B53850">
      <w:pPr>
        <w:rPr>
          <w:rFonts w:ascii="Arial" w:hAnsi="Arial" w:cs="Arial"/>
          <w:b/>
          <w:bCs/>
          <w:sz w:val="22"/>
          <w:szCs w:val="22"/>
        </w:rPr>
      </w:pPr>
    </w:p>
    <w:p w14:paraId="4EECF49F" w14:textId="77777777" w:rsidR="00D5563D" w:rsidRDefault="00D5563D" w:rsidP="00B53850">
      <w:pPr>
        <w:rPr>
          <w:rFonts w:ascii="Arial" w:hAnsi="Arial" w:cs="Arial"/>
          <w:b/>
          <w:bCs/>
          <w:sz w:val="22"/>
          <w:szCs w:val="22"/>
        </w:rPr>
      </w:pPr>
    </w:p>
    <w:p w14:paraId="5F9058E1" w14:textId="77777777" w:rsidR="00D5563D" w:rsidRDefault="00D5563D" w:rsidP="00B53850">
      <w:pPr>
        <w:rPr>
          <w:rFonts w:ascii="Arial" w:hAnsi="Arial" w:cs="Arial"/>
          <w:b/>
          <w:bCs/>
          <w:sz w:val="22"/>
          <w:szCs w:val="22"/>
        </w:rPr>
      </w:pPr>
    </w:p>
    <w:p w14:paraId="29675BD5" w14:textId="77777777" w:rsidR="00D5563D" w:rsidRDefault="00D5563D" w:rsidP="00B53850">
      <w:pPr>
        <w:rPr>
          <w:rFonts w:ascii="Arial" w:hAnsi="Arial" w:cs="Arial"/>
          <w:b/>
          <w:bCs/>
          <w:sz w:val="22"/>
          <w:szCs w:val="22"/>
        </w:rPr>
      </w:pPr>
    </w:p>
    <w:p w14:paraId="50A7EB29" w14:textId="77777777" w:rsidR="00D5563D" w:rsidRDefault="00D5563D" w:rsidP="00B53850">
      <w:pPr>
        <w:rPr>
          <w:rFonts w:ascii="Arial" w:hAnsi="Arial" w:cs="Arial"/>
          <w:b/>
          <w:bCs/>
          <w:sz w:val="22"/>
          <w:szCs w:val="22"/>
        </w:rPr>
      </w:pPr>
    </w:p>
    <w:p w14:paraId="27C0E415" w14:textId="77777777" w:rsidR="00C446F5" w:rsidRDefault="00C446F5" w:rsidP="00B53850">
      <w:pPr>
        <w:rPr>
          <w:rFonts w:ascii="Arial" w:hAnsi="Arial" w:cs="Arial"/>
          <w:b/>
          <w:bCs/>
          <w:sz w:val="22"/>
          <w:szCs w:val="22"/>
        </w:rPr>
      </w:pPr>
    </w:p>
    <w:p w14:paraId="4960A4C4" w14:textId="77777777" w:rsidR="00E30164" w:rsidRDefault="00E30164" w:rsidP="00B53850">
      <w:pPr>
        <w:rPr>
          <w:rFonts w:ascii="Arial" w:hAnsi="Arial" w:cs="Arial"/>
          <w:b/>
          <w:bCs/>
          <w:sz w:val="22"/>
          <w:szCs w:val="22"/>
        </w:rPr>
      </w:pPr>
    </w:p>
    <w:p w14:paraId="20F309B3" w14:textId="77777777" w:rsidR="006225D6" w:rsidRDefault="006225D6" w:rsidP="00B53850">
      <w:pPr>
        <w:rPr>
          <w:rFonts w:ascii="Arial" w:hAnsi="Arial" w:cs="Arial"/>
          <w:b/>
          <w:bCs/>
          <w:sz w:val="22"/>
          <w:szCs w:val="22"/>
        </w:rPr>
      </w:pPr>
    </w:p>
    <w:p w14:paraId="5C100BED" w14:textId="77777777" w:rsidR="006225D6" w:rsidRDefault="006225D6" w:rsidP="00B53850">
      <w:pPr>
        <w:rPr>
          <w:rFonts w:ascii="Arial" w:hAnsi="Arial" w:cs="Arial"/>
          <w:b/>
          <w:bCs/>
          <w:sz w:val="22"/>
          <w:szCs w:val="22"/>
        </w:rPr>
      </w:pPr>
    </w:p>
    <w:p w14:paraId="036A0545" w14:textId="77777777" w:rsidR="006225D6" w:rsidRDefault="006225D6" w:rsidP="00B53850">
      <w:pPr>
        <w:rPr>
          <w:rFonts w:ascii="Arial" w:hAnsi="Arial" w:cs="Arial"/>
          <w:b/>
          <w:bCs/>
          <w:sz w:val="22"/>
          <w:szCs w:val="22"/>
        </w:rPr>
      </w:pPr>
    </w:p>
    <w:p w14:paraId="060EC821" w14:textId="77777777" w:rsidR="00C446F5" w:rsidRDefault="00C446F5" w:rsidP="00B53850">
      <w:pPr>
        <w:rPr>
          <w:rFonts w:ascii="Arial" w:hAnsi="Arial" w:cs="Arial"/>
          <w:b/>
          <w:bCs/>
          <w:sz w:val="22"/>
          <w:szCs w:val="22"/>
        </w:rPr>
      </w:pPr>
    </w:p>
    <w:p w14:paraId="3F5810F9" w14:textId="77777777" w:rsidR="00DD2307" w:rsidRDefault="00DD2307" w:rsidP="00B53850">
      <w:pPr>
        <w:rPr>
          <w:rFonts w:ascii="Arial" w:hAnsi="Arial" w:cs="Arial"/>
          <w:b/>
          <w:bCs/>
          <w:sz w:val="22"/>
          <w:szCs w:val="22"/>
        </w:rPr>
      </w:pPr>
    </w:p>
    <w:p w14:paraId="1F709C8D" w14:textId="77777777" w:rsidR="00DD2307" w:rsidRDefault="00DD2307" w:rsidP="00B53850">
      <w:pPr>
        <w:rPr>
          <w:rFonts w:ascii="Arial" w:hAnsi="Arial" w:cs="Arial"/>
          <w:b/>
          <w:bCs/>
          <w:sz w:val="22"/>
          <w:szCs w:val="22"/>
        </w:rPr>
      </w:pPr>
    </w:p>
    <w:p w14:paraId="32EA7FEA" w14:textId="77777777" w:rsidR="00DD2307" w:rsidRDefault="00DD2307" w:rsidP="00B53850">
      <w:pPr>
        <w:rPr>
          <w:rFonts w:ascii="Arial" w:hAnsi="Arial" w:cs="Arial"/>
          <w:b/>
          <w:bCs/>
          <w:sz w:val="22"/>
          <w:szCs w:val="22"/>
        </w:rPr>
      </w:pPr>
    </w:p>
    <w:p w14:paraId="72A77BA2" w14:textId="77777777" w:rsidR="00C446F5" w:rsidRPr="00C446F5" w:rsidRDefault="00C446F5" w:rsidP="00B53850">
      <w:pPr>
        <w:rPr>
          <w:rFonts w:ascii="Arial" w:hAnsi="Arial" w:cs="Arial"/>
          <w:b/>
          <w:bCs/>
          <w:sz w:val="22"/>
          <w:szCs w:val="22"/>
        </w:rPr>
      </w:pPr>
    </w:p>
    <w:p w14:paraId="675DAEEA" w14:textId="49AD6D65" w:rsidR="00F40107" w:rsidRPr="00F73B0C" w:rsidRDefault="00D5563D" w:rsidP="00312C62">
      <w:pPr>
        <w:pStyle w:val="Heading2"/>
        <w:spacing w:before="120"/>
        <w:rPr>
          <w:b/>
          <w:bCs/>
          <w:sz w:val="22"/>
          <w:szCs w:val="22"/>
        </w:rPr>
      </w:pPr>
      <w:bookmarkStart w:id="10" w:name="_Toc228883236"/>
      <w:r w:rsidRPr="00F73B0C">
        <w:rPr>
          <w:b/>
          <w:bCs/>
          <w:sz w:val="22"/>
          <w:szCs w:val="22"/>
        </w:rPr>
        <w:lastRenderedPageBreak/>
        <w:t xml:space="preserve">2.2. </w:t>
      </w:r>
      <w:r w:rsidR="00C45C8F" w:rsidRPr="00F73B0C">
        <w:rPr>
          <w:b/>
          <w:bCs/>
          <w:sz w:val="22"/>
          <w:szCs w:val="22"/>
        </w:rPr>
        <w:t>JIT vs JIC: From Efficiency to Resilience Logic</w:t>
      </w:r>
      <w:bookmarkEnd w:id="10"/>
    </w:p>
    <w:p w14:paraId="1BEC00FD" w14:textId="61837ABC" w:rsidR="00725D69" w:rsidRPr="00725D69" w:rsidRDefault="00725D69" w:rsidP="00725D69">
      <w:pPr>
        <w:spacing w:after="0" w:line="360" w:lineRule="auto"/>
        <w:ind w:firstLine="567"/>
        <w:jc w:val="both"/>
        <w:rPr>
          <w:rFonts w:ascii="Arial" w:hAnsi="Arial" w:cs="Arial"/>
          <w:sz w:val="22"/>
          <w:szCs w:val="22"/>
        </w:rPr>
      </w:pPr>
      <w:r w:rsidRPr="00725D69">
        <w:rPr>
          <w:rFonts w:ascii="Arial" w:hAnsi="Arial" w:cs="Arial"/>
          <w:sz w:val="22"/>
          <w:szCs w:val="22"/>
        </w:rPr>
        <w:t xml:space="preserve">The dominance of Just-in-Time (JIT) in automotive supply chains is not a result of inherent superiority but rather consistent conditions. Prior to its implementation, JIT required steady supply flows and predictable demand </w:t>
      </w:r>
      <w:r w:rsidR="00D23075" w:rsidRPr="00725D69">
        <w:rPr>
          <w:rFonts w:ascii="Arial" w:hAnsi="Arial" w:cs="Arial"/>
          <w:sz w:val="22"/>
          <w:szCs w:val="22"/>
        </w:rPr>
        <w:t>to</w:t>
      </w:r>
      <w:r w:rsidRPr="00725D69">
        <w:rPr>
          <w:rFonts w:ascii="Arial" w:hAnsi="Arial" w:cs="Arial"/>
          <w:sz w:val="22"/>
          <w:szCs w:val="22"/>
        </w:rPr>
        <w:t xml:space="preserve"> save costs, inventory, and waste. The essential concern, therefore, is whether the conditions under which JIT was successful continue.</w:t>
      </w:r>
    </w:p>
    <w:p w14:paraId="2C5FDF5D" w14:textId="5DBD595C" w:rsidR="00725D69" w:rsidRPr="00725D69" w:rsidRDefault="00725D69" w:rsidP="00725D69">
      <w:pPr>
        <w:spacing w:after="0" w:line="360" w:lineRule="auto"/>
        <w:ind w:firstLine="567"/>
        <w:jc w:val="both"/>
        <w:rPr>
          <w:rFonts w:ascii="Arial" w:hAnsi="Arial" w:cs="Arial"/>
          <w:sz w:val="22"/>
          <w:szCs w:val="22"/>
        </w:rPr>
      </w:pPr>
      <w:r w:rsidRPr="00725D69">
        <w:rPr>
          <w:rFonts w:ascii="Arial" w:hAnsi="Arial" w:cs="Arial"/>
          <w:sz w:val="22"/>
          <w:szCs w:val="22"/>
        </w:rPr>
        <w:t>On the other hand, recent revolutions call these assumptions into doubt. Incidents like the COVID-19 pandemic, semiconductor shortages, and crises in the Red Sea highlight the precarious nature of interdependent supply systems. Consequently, operational efficiency turns into a weakness in the structure. Reevaluating inventory processes is necessary for this shift since efficiency is not a guarantee of resilience in tough circumstances.</w:t>
      </w:r>
    </w:p>
    <w:p w14:paraId="6DF803C9" w14:textId="13D47FB9" w:rsidR="00725D69" w:rsidRPr="00725D69" w:rsidRDefault="00725D69" w:rsidP="00725D69">
      <w:pPr>
        <w:spacing w:after="0" w:line="360" w:lineRule="auto"/>
        <w:ind w:firstLine="567"/>
        <w:jc w:val="both"/>
        <w:rPr>
          <w:rFonts w:ascii="Arial" w:hAnsi="Arial" w:cs="Arial"/>
          <w:sz w:val="22"/>
          <w:szCs w:val="22"/>
        </w:rPr>
      </w:pPr>
      <w:r w:rsidRPr="00725D69">
        <w:rPr>
          <w:rFonts w:ascii="Arial" w:hAnsi="Arial" w:cs="Arial"/>
          <w:sz w:val="22"/>
          <w:szCs w:val="22"/>
        </w:rPr>
        <w:t xml:space="preserve">A theoretical tension between efficiency and robustness is shown in the distinction between JIT and Just-in-Case (JIC). In contrast to JIT's emphasis on reducing costs via lean operations, JIC places a premium on continuity through safety stock and supplier redundancy. Despite appearances, supply chain resilience </w:t>
      </w:r>
      <w:r>
        <w:rPr>
          <w:rFonts w:ascii="Arial" w:hAnsi="Arial" w:cs="Arial"/>
          <w:sz w:val="22"/>
          <w:szCs w:val="22"/>
        </w:rPr>
        <w:t>complicates this seemingly simple trade-off</w:t>
      </w:r>
      <w:r w:rsidRPr="00725D69">
        <w:rPr>
          <w:rFonts w:ascii="Arial" w:hAnsi="Arial" w:cs="Arial"/>
          <w:sz w:val="22"/>
          <w:szCs w:val="22"/>
        </w:rPr>
        <w:t xml:space="preserve">. According to Wieland and </w:t>
      </w:r>
      <w:proofErr w:type="spellStart"/>
      <w:r w:rsidRPr="00725D69">
        <w:rPr>
          <w:rFonts w:ascii="Arial" w:hAnsi="Arial" w:cs="Arial"/>
          <w:sz w:val="22"/>
          <w:szCs w:val="22"/>
        </w:rPr>
        <w:t>Durach</w:t>
      </w:r>
      <w:proofErr w:type="spellEnd"/>
      <w:r w:rsidRPr="00725D69">
        <w:rPr>
          <w:rFonts w:ascii="Arial" w:hAnsi="Arial" w:cs="Arial"/>
          <w:sz w:val="22"/>
          <w:szCs w:val="22"/>
        </w:rPr>
        <w:t xml:space="preserve"> (2021), resilience encompasses the ability to recover, anticipate, absorb, and adjust to disturbances. So, JIC isn't about being inefficient; it's about responding strategically to uncertainty.</w:t>
      </w:r>
    </w:p>
    <w:p w14:paraId="0D56D0F6" w14:textId="222E9EF4" w:rsidR="00725D69" w:rsidRPr="00725D69" w:rsidRDefault="00725D69" w:rsidP="00725D69">
      <w:pPr>
        <w:spacing w:after="0" w:line="360" w:lineRule="auto"/>
        <w:ind w:firstLine="567"/>
        <w:jc w:val="both"/>
        <w:rPr>
          <w:rFonts w:ascii="Arial" w:hAnsi="Arial" w:cs="Arial"/>
          <w:sz w:val="22"/>
          <w:szCs w:val="22"/>
        </w:rPr>
      </w:pPr>
      <w:r w:rsidRPr="00725D69">
        <w:rPr>
          <w:rFonts w:ascii="Arial" w:hAnsi="Arial" w:cs="Arial"/>
          <w:sz w:val="22"/>
          <w:szCs w:val="22"/>
        </w:rPr>
        <w:t>Why has JIT become so popular if JIC makes things more resilient? Environmental protection is the key. Assuming constant conditions, JIT's economic benefits outweigh its risks. This balance shifts as uncertainty increases. During systemic failures, supply networks shift their rationale from optimisation to survival, as stated by Ivanov (2021). Therefore, rather than failing JIT, changing environmental limitations make it more difficult.</w:t>
      </w:r>
    </w:p>
    <w:p w14:paraId="177BB953" w14:textId="2A0FAA0E" w:rsidR="00725D69" w:rsidRPr="00725D69" w:rsidRDefault="00725D69" w:rsidP="00725D69">
      <w:pPr>
        <w:spacing w:after="0" w:line="360" w:lineRule="auto"/>
        <w:ind w:firstLine="567"/>
        <w:jc w:val="both"/>
        <w:rPr>
          <w:rFonts w:ascii="Arial" w:hAnsi="Arial" w:cs="Arial"/>
          <w:sz w:val="22"/>
          <w:szCs w:val="22"/>
        </w:rPr>
      </w:pPr>
      <w:r w:rsidRPr="00725D69">
        <w:rPr>
          <w:rFonts w:ascii="Arial" w:hAnsi="Arial" w:cs="Arial"/>
          <w:sz w:val="22"/>
          <w:szCs w:val="22"/>
        </w:rPr>
        <w:t>Disruptions propagate rapidly across interconnected networks in complex, multi-tiered automobile supply chains. Highlighting JIT's dependence on scheduling, the Red Sea crisis lengthened transit delays and disrupted synchronised flows. Minor setbacks may lead to catastrophic failures when amplified effects, such as the bullwhip phenomenon, are present. The need for synchronisation is the root cause of JIT's vulnerability.</w:t>
      </w:r>
    </w:p>
    <w:p w14:paraId="449126B7" w14:textId="6CA6504E" w:rsidR="00725D69" w:rsidRDefault="00725D69" w:rsidP="00E05509">
      <w:pPr>
        <w:spacing w:after="0" w:line="360" w:lineRule="auto"/>
        <w:ind w:firstLine="567"/>
        <w:jc w:val="both"/>
        <w:rPr>
          <w:rFonts w:ascii="Arial" w:hAnsi="Arial" w:cs="Arial"/>
          <w:sz w:val="22"/>
          <w:szCs w:val="22"/>
        </w:rPr>
      </w:pPr>
      <w:r w:rsidRPr="00725D69">
        <w:rPr>
          <w:rFonts w:ascii="Arial" w:hAnsi="Arial" w:cs="Arial"/>
          <w:sz w:val="22"/>
          <w:szCs w:val="22"/>
        </w:rPr>
        <w:t xml:space="preserve">Due to these constraints, businesses use a JIT-JIC hybrid approach. Strategic adaptation, not </w:t>
      </w:r>
      <w:r w:rsidR="00E05509">
        <w:rPr>
          <w:rFonts w:ascii="Arial" w:hAnsi="Arial" w:cs="Arial"/>
          <w:sz w:val="22"/>
          <w:szCs w:val="22"/>
        </w:rPr>
        <w:t>a</w:t>
      </w:r>
      <w:r w:rsidR="001C36FA" w:rsidRPr="001C36FA">
        <w:rPr>
          <w:rFonts w:ascii="Arial" w:hAnsi="Arial" w:cs="Arial"/>
          <w:sz w:val="22"/>
          <w:szCs w:val="22"/>
        </w:rPr>
        <w:t>doption</w:t>
      </w:r>
      <w:r w:rsidRPr="00725D69">
        <w:rPr>
          <w:rFonts w:ascii="Arial" w:hAnsi="Arial" w:cs="Arial"/>
          <w:sz w:val="22"/>
          <w:szCs w:val="22"/>
        </w:rPr>
        <w:t>, is what this means for JIT. Organisations use buffering strategies based on risk exposure. For stable components, they use JIT, while for essential or unpredictable inputs, they use JIC. Instead of being an expense, inventory may be a strategic asset. This shift is indicative of evolving operational goals and provides a foundation for future research into the causes and effects of similar changes in the UK automotive sector.</w:t>
      </w:r>
    </w:p>
    <w:p w14:paraId="04F9F68E" w14:textId="77777777" w:rsidR="00725D69" w:rsidRPr="00725D69" w:rsidRDefault="00725D69" w:rsidP="00725D69">
      <w:pPr>
        <w:spacing w:after="0" w:line="360" w:lineRule="auto"/>
        <w:ind w:firstLine="567"/>
        <w:jc w:val="both"/>
        <w:rPr>
          <w:rFonts w:ascii="Arial" w:hAnsi="Arial" w:cs="Arial"/>
          <w:sz w:val="22"/>
          <w:szCs w:val="22"/>
        </w:rPr>
      </w:pPr>
    </w:p>
    <w:p w14:paraId="54F04460" w14:textId="77777777" w:rsidR="003234C2" w:rsidRDefault="003234C2" w:rsidP="00C923B3">
      <w:pPr>
        <w:spacing w:after="0" w:line="360" w:lineRule="auto"/>
        <w:ind w:firstLine="567"/>
        <w:jc w:val="both"/>
        <w:rPr>
          <w:rFonts w:ascii="Arial" w:hAnsi="Arial" w:cs="Arial"/>
          <w:sz w:val="14"/>
          <w:szCs w:val="14"/>
        </w:rPr>
      </w:pPr>
    </w:p>
    <w:p w14:paraId="1C647DC6" w14:textId="77777777" w:rsidR="00816AEA" w:rsidRPr="009F4E79" w:rsidRDefault="00816AEA" w:rsidP="00C923B3">
      <w:pPr>
        <w:spacing w:after="0" w:line="360" w:lineRule="auto"/>
        <w:ind w:firstLine="567"/>
        <w:jc w:val="both"/>
        <w:rPr>
          <w:rFonts w:ascii="Arial" w:hAnsi="Arial" w:cs="Arial"/>
          <w:sz w:val="14"/>
          <w:szCs w:val="14"/>
        </w:rPr>
      </w:pPr>
    </w:p>
    <w:p w14:paraId="0CAB88C7" w14:textId="56C0E330" w:rsidR="00816AEA" w:rsidRPr="00816AEA" w:rsidRDefault="00816AEA" w:rsidP="00816AEA">
      <w:pPr>
        <w:spacing w:after="0" w:line="360" w:lineRule="auto"/>
        <w:ind w:firstLine="567"/>
        <w:jc w:val="both"/>
        <w:rPr>
          <w:rFonts w:ascii="Arial" w:hAnsi="Arial" w:cs="Arial"/>
          <w:sz w:val="22"/>
          <w:szCs w:val="22"/>
        </w:rPr>
      </w:pPr>
      <w:r w:rsidRPr="00816AEA">
        <w:rPr>
          <w:rFonts w:ascii="Arial" w:hAnsi="Arial" w:cs="Arial"/>
          <w:sz w:val="22"/>
          <w:szCs w:val="22"/>
        </w:rPr>
        <w:lastRenderedPageBreak/>
        <w:t>The key change from JIT to JIC inventory techniques indicated in RQ1 may be better understood with the use of Dynamic Capability Theory (DCT)—</w:t>
      </w:r>
      <w:r>
        <w:rPr>
          <w:rFonts w:ascii="Arial" w:hAnsi="Arial" w:cs="Arial"/>
          <w:sz w:val="22"/>
          <w:szCs w:val="22"/>
        </w:rPr>
        <w:t>Figure</w:t>
      </w:r>
      <w:r w:rsidRPr="00816AEA">
        <w:rPr>
          <w:rFonts w:ascii="Arial" w:hAnsi="Arial" w:cs="Arial"/>
          <w:sz w:val="22"/>
          <w:szCs w:val="22"/>
        </w:rPr>
        <w:t xml:space="preserve"> 2.1. According to Teece (2014), DCT highlights that businesses vary in their capacity to detect disturbances, </w:t>
      </w:r>
      <w:r>
        <w:rPr>
          <w:rFonts w:ascii="Arial" w:hAnsi="Arial" w:cs="Arial"/>
          <w:sz w:val="22"/>
          <w:szCs w:val="22"/>
        </w:rPr>
        <w:t>seize</w:t>
      </w:r>
      <w:r w:rsidRPr="00816AEA">
        <w:rPr>
          <w:rFonts w:ascii="Arial" w:hAnsi="Arial" w:cs="Arial"/>
          <w:sz w:val="22"/>
          <w:szCs w:val="22"/>
        </w:rPr>
        <w:t xml:space="preserve"> strategic opportunities, and reorganise operational processes, instead of supposing a uniform transformation. Adaptation is not a given but rather a function of capabilities unique to each business, as shown in Figure 2.1. This indicates that, within the UK automotive industry, internal preparedness to react to external shocks is more important than shocks themselves in shaping the appearance of JIT-JIC transitions between 2019 and 2024.</w:t>
      </w:r>
    </w:p>
    <w:p w14:paraId="15D72261" w14:textId="77777777" w:rsidR="00816AEA" w:rsidRDefault="00816AEA" w:rsidP="00C01AFB">
      <w:pPr>
        <w:spacing w:after="0" w:line="240" w:lineRule="auto"/>
        <w:rPr>
          <w:rFonts w:ascii="Arial" w:hAnsi="Arial" w:cs="Arial"/>
          <w:sz w:val="20"/>
          <w:szCs w:val="20"/>
        </w:rPr>
      </w:pPr>
    </w:p>
    <w:p w14:paraId="10D1E881" w14:textId="61F8836F" w:rsidR="00F00050" w:rsidRPr="009F4E79" w:rsidRDefault="003234C2" w:rsidP="009F4E79">
      <w:pPr>
        <w:spacing w:after="0" w:line="240" w:lineRule="auto"/>
        <w:jc w:val="center"/>
        <w:rPr>
          <w:rFonts w:ascii="Arial" w:hAnsi="Arial" w:cs="Arial"/>
          <w:sz w:val="20"/>
          <w:szCs w:val="20"/>
        </w:rPr>
      </w:pPr>
      <w:r w:rsidRPr="009F4E79">
        <w:rPr>
          <w:rFonts w:ascii="Arial" w:hAnsi="Arial" w:cs="Arial"/>
          <w:sz w:val="20"/>
          <w:szCs w:val="20"/>
        </w:rPr>
        <w:t>Figure 2.1. Dynamic Capability Process (Teece</w:t>
      </w:r>
      <w:r w:rsidR="009F4E79" w:rsidRPr="009F4E79">
        <w:rPr>
          <w:rFonts w:ascii="Arial" w:hAnsi="Arial" w:cs="Arial"/>
          <w:sz w:val="20"/>
          <w:szCs w:val="20"/>
        </w:rPr>
        <w:t xml:space="preserve">, </w:t>
      </w:r>
      <w:r w:rsidRPr="009F4E79">
        <w:rPr>
          <w:rFonts w:ascii="Arial" w:hAnsi="Arial" w:cs="Arial"/>
          <w:sz w:val="20"/>
          <w:szCs w:val="20"/>
        </w:rPr>
        <w:t>2014)</w:t>
      </w:r>
    </w:p>
    <w:p w14:paraId="7BA22FAC" w14:textId="61AEE284" w:rsidR="00F00050" w:rsidRPr="00BC1300" w:rsidRDefault="00BD09A6" w:rsidP="009F4E79">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0D34DEA3" wp14:editId="043C356C">
            <wp:extent cx="4159306" cy="2079653"/>
            <wp:effectExtent l="0" t="0" r="0" b="0"/>
            <wp:docPr id="164277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78227" name="Picture 1642778227"/>
                    <pic:cNvPicPr/>
                  </pic:nvPicPr>
                  <pic:blipFill>
                    <a:blip r:embed="rId9">
                      <a:extLst>
                        <a:ext uri="{28A0092B-C50C-407E-A947-70E740481C1C}">
                          <a14:useLocalDpi xmlns:a14="http://schemas.microsoft.com/office/drawing/2010/main" val="0"/>
                        </a:ext>
                      </a:extLst>
                    </a:blip>
                    <a:stretch>
                      <a:fillRect/>
                    </a:stretch>
                  </pic:blipFill>
                  <pic:spPr>
                    <a:xfrm>
                      <a:off x="0" y="0"/>
                      <a:ext cx="4159306" cy="2079653"/>
                    </a:xfrm>
                    <a:prstGeom prst="rect">
                      <a:avLst/>
                    </a:prstGeom>
                  </pic:spPr>
                </pic:pic>
              </a:graphicData>
            </a:graphic>
          </wp:inline>
        </w:drawing>
      </w:r>
    </w:p>
    <w:p w14:paraId="7BCF93BB" w14:textId="77777777" w:rsidR="00F40107" w:rsidRDefault="00F40107" w:rsidP="00C923B3">
      <w:pPr>
        <w:spacing w:line="360" w:lineRule="auto"/>
        <w:rPr>
          <w:rFonts w:ascii="Arial" w:hAnsi="Arial" w:cs="Arial"/>
          <w:sz w:val="16"/>
          <w:szCs w:val="16"/>
        </w:rPr>
      </w:pPr>
    </w:p>
    <w:p w14:paraId="34EDB844" w14:textId="4FAB4BE5" w:rsidR="003E7C8D" w:rsidRPr="003E7C8D" w:rsidRDefault="003E7C8D" w:rsidP="003E7C8D">
      <w:pPr>
        <w:spacing w:after="0" w:line="360" w:lineRule="auto"/>
        <w:ind w:firstLine="567"/>
        <w:jc w:val="both"/>
        <w:rPr>
          <w:rFonts w:ascii="Arial" w:hAnsi="Arial" w:cs="Arial"/>
          <w:sz w:val="22"/>
          <w:szCs w:val="22"/>
        </w:rPr>
      </w:pPr>
      <w:r w:rsidRPr="003E7C8D">
        <w:rPr>
          <w:rFonts w:ascii="Arial" w:hAnsi="Arial" w:cs="Arial"/>
          <w:sz w:val="22"/>
          <w:szCs w:val="22"/>
        </w:rPr>
        <w:t xml:space="preserve">Despite this, this brings up a significant restriction. Unfortunately, not many businesses have the resources, knowledge, or digital infrastructure to successfully execute hybrid inventory strategies. Rather than depending on static operational models, Pepper (2020) contends that flexibility necessitates the establishment of flexible capabilities. Consequently, some businesses shift to resilience-oriented strategies while others are stuck in old-fashioned JIT frameworks, and this is all down to the unequal distribution of such talents. </w:t>
      </w:r>
      <w:r w:rsidRPr="003E7C8D">
        <w:rPr>
          <w:rFonts w:ascii="Arial" w:hAnsi="Arial" w:cs="Arial"/>
          <w:sz w:val="22"/>
          <w:szCs w:val="22"/>
        </w:rPr>
        <w:br/>
        <w:t>Industry 4.0 technologies add another layer of complexity to this change. Technologies like the internet of things (IoT), predictive analytics, and digital twins help with visibility and enabling targeted buffering (</w:t>
      </w:r>
      <w:proofErr w:type="spellStart"/>
      <w:r w:rsidRPr="003E7C8D">
        <w:rPr>
          <w:rFonts w:ascii="Arial" w:hAnsi="Arial" w:cs="Arial"/>
          <w:sz w:val="22"/>
          <w:szCs w:val="22"/>
        </w:rPr>
        <w:t>Spieske</w:t>
      </w:r>
      <w:proofErr w:type="spellEnd"/>
      <w:r w:rsidRPr="003E7C8D">
        <w:rPr>
          <w:rFonts w:ascii="Arial" w:hAnsi="Arial" w:cs="Arial"/>
          <w:sz w:val="22"/>
          <w:szCs w:val="22"/>
        </w:rPr>
        <w:t xml:space="preserve"> and Birkel, 2021), but they still can't get rid of uncertainty. By enhancing decision-making in risky situations, they transform the efficiency-resilience trade-off instead. As a result, studying how dynamic capabilities allow organisations to use hybrid JIT-JIC procedures is crucial to comprehending the change mentioned in RQ1.</w:t>
      </w:r>
    </w:p>
    <w:p w14:paraId="57846DCB" w14:textId="77777777" w:rsidR="0061302B" w:rsidRDefault="0061302B" w:rsidP="0096677C">
      <w:pPr>
        <w:spacing w:after="0"/>
        <w:jc w:val="both"/>
        <w:rPr>
          <w:rFonts w:ascii="Arial" w:hAnsi="Arial" w:cs="Arial"/>
          <w:sz w:val="22"/>
          <w:szCs w:val="22"/>
        </w:rPr>
      </w:pPr>
    </w:p>
    <w:p w14:paraId="1181FD25" w14:textId="77777777" w:rsidR="00E30164" w:rsidRDefault="00E30164" w:rsidP="0096677C">
      <w:pPr>
        <w:spacing w:after="0"/>
        <w:jc w:val="both"/>
        <w:rPr>
          <w:rFonts w:ascii="Arial" w:hAnsi="Arial" w:cs="Arial"/>
          <w:sz w:val="22"/>
          <w:szCs w:val="22"/>
        </w:rPr>
      </w:pPr>
    </w:p>
    <w:p w14:paraId="1E87236F" w14:textId="77777777" w:rsidR="00E30164" w:rsidRDefault="00E30164" w:rsidP="0096677C">
      <w:pPr>
        <w:spacing w:after="0"/>
        <w:jc w:val="both"/>
        <w:rPr>
          <w:rFonts w:ascii="Arial" w:hAnsi="Arial" w:cs="Arial"/>
          <w:sz w:val="22"/>
          <w:szCs w:val="22"/>
        </w:rPr>
      </w:pPr>
    </w:p>
    <w:p w14:paraId="6D35ED0F" w14:textId="77777777" w:rsidR="003E7C8D" w:rsidRDefault="003E7C8D" w:rsidP="0096677C">
      <w:pPr>
        <w:spacing w:after="0"/>
        <w:jc w:val="both"/>
        <w:rPr>
          <w:rFonts w:ascii="Arial" w:hAnsi="Arial" w:cs="Arial"/>
          <w:sz w:val="22"/>
          <w:szCs w:val="22"/>
        </w:rPr>
      </w:pPr>
    </w:p>
    <w:p w14:paraId="125D32D2" w14:textId="77777777" w:rsidR="003E7C8D" w:rsidRDefault="003E7C8D" w:rsidP="0096677C">
      <w:pPr>
        <w:spacing w:after="0"/>
        <w:jc w:val="both"/>
        <w:rPr>
          <w:rFonts w:ascii="Arial" w:hAnsi="Arial" w:cs="Arial"/>
          <w:sz w:val="22"/>
          <w:szCs w:val="22"/>
        </w:rPr>
      </w:pPr>
    </w:p>
    <w:p w14:paraId="2C40A970" w14:textId="77777777" w:rsidR="00C01AFB" w:rsidRDefault="00C01AFB" w:rsidP="0096677C">
      <w:pPr>
        <w:spacing w:after="0"/>
        <w:jc w:val="both"/>
        <w:rPr>
          <w:rFonts w:ascii="Arial" w:hAnsi="Arial" w:cs="Arial"/>
          <w:sz w:val="22"/>
          <w:szCs w:val="22"/>
        </w:rPr>
      </w:pPr>
    </w:p>
    <w:p w14:paraId="4A9D5386" w14:textId="77777777" w:rsidR="0096677C" w:rsidRPr="009F4E79" w:rsidRDefault="0096677C" w:rsidP="0096677C">
      <w:pPr>
        <w:spacing w:after="0"/>
        <w:jc w:val="both"/>
        <w:rPr>
          <w:rFonts w:ascii="Arial" w:hAnsi="Arial" w:cs="Arial"/>
          <w:sz w:val="22"/>
          <w:szCs w:val="22"/>
        </w:rPr>
      </w:pPr>
    </w:p>
    <w:p w14:paraId="724E1F19" w14:textId="09176CED" w:rsidR="00F40107" w:rsidRPr="0061302B" w:rsidRDefault="000764C4" w:rsidP="00BC13F3">
      <w:pPr>
        <w:spacing w:after="0"/>
        <w:jc w:val="center"/>
        <w:rPr>
          <w:rFonts w:ascii="Arial" w:hAnsi="Arial" w:cs="Arial"/>
          <w:sz w:val="20"/>
          <w:szCs w:val="20"/>
        </w:rPr>
      </w:pPr>
      <w:r w:rsidRPr="0061302B">
        <w:rPr>
          <w:rFonts w:ascii="Arial" w:hAnsi="Arial" w:cs="Arial"/>
          <w:sz w:val="20"/>
          <w:szCs w:val="20"/>
        </w:rPr>
        <w:lastRenderedPageBreak/>
        <w:t>Table 2.1</w:t>
      </w:r>
      <w:r w:rsidR="0061302B" w:rsidRPr="0061302B">
        <w:rPr>
          <w:rFonts w:ascii="Arial" w:hAnsi="Arial" w:cs="Arial"/>
          <w:sz w:val="20"/>
          <w:szCs w:val="20"/>
        </w:rPr>
        <w:t xml:space="preserve">. </w:t>
      </w:r>
      <w:r w:rsidRPr="0061302B">
        <w:rPr>
          <w:rFonts w:ascii="Arial" w:hAnsi="Arial" w:cs="Arial"/>
          <w:sz w:val="20"/>
          <w:szCs w:val="20"/>
        </w:rPr>
        <w:t>JIT vs JIC – Operational and Strategic Comparison</w:t>
      </w:r>
      <w:r w:rsidR="0061302B" w:rsidRPr="0061302B">
        <w:rPr>
          <w:rFonts w:ascii="Arial" w:hAnsi="Arial" w:cs="Arial"/>
          <w:sz w:val="20"/>
          <w:szCs w:val="20"/>
        </w:rPr>
        <w:t xml:space="preserve"> (Sheng, 2020)</w:t>
      </w:r>
    </w:p>
    <w:p w14:paraId="77BDF356" w14:textId="41F09DD1" w:rsidR="00F40107" w:rsidRDefault="00E9117B" w:rsidP="00E9117B">
      <w:pPr>
        <w:spacing w:after="0"/>
        <w:jc w:val="center"/>
        <w:rPr>
          <w:rFonts w:ascii="Arial" w:hAnsi="Arial" w:cs="Arial"/>
          <w:sz w:val="22"/>
          <w:szCs w:val="22"/>
        </w:rPr>
      </w:pPr>
      <w:r w:rsidRPr="00E9117B">
        <w:rPr>
          <w:rFonts w:ascii="Arial" w:hAnsi="Arial" w:cs="Arial"/>
          <w:noProof/>
          <w:sz w:val="22"/>
          <w:szCs w:val="22"/>
        </w:rPr>
        <w:drawing>
          <wp:inline distT="0" distB="0" distL="0" distR="0" wp14:anchorId="46E337D6" wp14:editId="0045E521">
            <wp:extent cx="4409135" cy="1300348"/>
            <wp:effectExtent l="0" t="0" r="0" b="0"/>
            <wp:docPr id="4485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9550" name=""/>
                    <pic:cNvPicPr/>
                  </pic:nvPicPr>
                  <pic:blipFill>
                    <a:blip r:embed="rId10"/>
                    <a:stretch>
                      <a:fillRect/>
                    </a:stretch>
                  </pic:blipFill>
                  <pic:spPr>
                    <a:xfrm>
                      <a:off x="0" y="0"/>
                      <a:ext cx="4509214" cy="1329863"/>
                    </a:xfrm>
                    <a:prstGeom prst="rect">
                      <a:avLst/>
                    </a:prstGeom>
                  </pic:spPr>
                </pic:pic>
              </a:graphicData>
            </a:graphic>
          </wp:inline>
        </w:drawing>
      </w:r>
    </w:p>
    <w:p w14:paraId="11527365" w14:textId="77777777" w:rsidR="008973A2" w:rsidRDefault="008973A2" w:rsidP="00E9117B">
      <w:pPr>
        <w:spacing w:after="0"/>
        <w:jc w:val="center"/>
        <w:rPr>
          <w:rFonts w:ascii="Arial" w:hAnsi="Arial" w:cs="Arial"/>
          <w:sz w:val="20"/>
          <w:szCs w:val="20"/>
        </w:rPr>
      </w:pPr>
    </w:p>
    <w:p w14:paraId="02800120" w14:textId="09ACF226" w:rsidR="009232C3" w:rsidRPr="009232C3" w:rsidRDefault="009232C3" w:rsidP="008973A2">
      <w:pPr>
        <w:spacing w:after="0" w:line="360" w:lineRule="auto"/>
        <w:ind w:firstLine="567"/>
        <w:jc w:val="both"/>
        <w:rPr>
          <w:rFonts w:ascii="Arial" w:hAnsi="Arial" w:cs="Arial"/>
          <w:sz w:val="22"/>
          <w:szCs w:val="22"/>
        </w:rPr>
      </w:pPr>
      <w:r w:rsidRPr="009232C3">
        <w:rPr>
          <w:rFonts w:ascii="Arial" w:hAnsi="Arial" w:cs="Arial"/>
          <w:sz w:val="22"/>
          <w:szCs w:val="22"/>
        </w:rPr>
        <w:t xml:space="preserve">Rather than being seen as a straightforward change from efficiency to inefficiency, the transition from JIT to JIC represents a more systemic reorganisation of supply chain priorities in response to increasing uncertainty. The limits of JIT become apparent as disturbances escalate, </w:t>
      </w:r>
      <w:r>
        <w:rPr>
          <w:rFonts w:ascii="Arial" w:hAnsi="Arial" w:cs="Arial"/>
          <w:sz w:val="22"/>
          <w:szCs w:val="22"/>
        </w:rPr>
        <w:t>even though it remains useful under stable conditions</w:t>
      </w:r>
      <w:r w:rsidRPr="009232C3">
        <w:rPr>
          <w:rFonts w:ascii="Arial" w:hAnsi="Arial" w:cs="Arial"/>
          <w:sz w:val="22"/>
          <w:szCs w:val="22"/>
        </w:rPr>
        <w:t xml:space="preserve">. On the other hand, JIC increases resilience but also </w:t>
      </w:r>
      <w:r>
        <w:rPr>
          <w:rFonts w:ascii="Arial" w:hAnsi="Arial" w:cs="Arial"/>
          <w:sz w:val="22"/>
          <w:szCs w:val="22"/>
        </w:rPr>
        <w:t>raises costs, leading</w:t>
      </w:r>
      <w:r w:rsidRPr="009232C3">
        <w:rPr>
          <w:rFonts w:ascii="Arial" w:hAnsi="Arial" w:cs="Arial"/>
          <w:sz w:val="22"/>
          <w:szCs w:val="22"/>
        </w:rPr>
        <w:t xml:space="preserve"> to ongoing strategic friction. Hence, finding out how organisations dynamically balance and transition between models is the main difficulty, not picking one. This shifts the focus from inventory management being </w:t>
      </w:r>
      <w:r>
        <w:rPr>
          <w:rFonts w:ascii="Arial" w:hAnsi="Arial" w:cs="Arial"/>
          <w:sz w:val="22"/>
          <w:szCs w:val="22"/>
        </w:rPr>
        <w:t>solely an operational function to a strategic tool for navigating complex</w:t>
      </w:r>
      <w:r w:rsidRPr="009232C3">
        <w:rPr>
          <w:rFonts w:ascii="Arial" w:hAnsi="Arial" w:cs="Arial"/>
          <w:sz w:val="22"/>
          <w:szCs w:val="22"/>
        </w:rPr>
        <w:t xml:space="preserve"> environments. It is crucial to place this rebalancing in the broader context of growing global disruptions, since these factors are becoming more influential in shaping the decision-making and strategic actions of firms at the highest levels (Sheng, 2020).</w:t>
      </w:r>
    </w:p>
    <w:p w14:paraId="2FABD06F" w14:textId="1FD8BC93" w:rsidR="006D5F6C" w:rsidRPr="00F73B0C" w:rsidRDefault="003960B0" w:rsidP="00312C62">
      <w:pPr>
        <w:pStyle w:val="Heading2"/>
        <w:spacing w:before="120"/>
        <w:rPr>
          <w:b/>
          <w:bCs/>
          <w:sz w:val="22"/>
          <w:szCs w:val="22"/>
        </w:rPr>
      </w:pPr>
      <w:bookmarkStart w:id="11" w:name="_Toc228883237"/>
      <w:r w:rsidRPr="00F73B0C">
        <w:rPr>
          <w:b/>
          <w:bCs/>
          <w:sz w:val="22"/>
          <w:szCs w:val="22"/>
        </w:rPr>
        <w:t>2.3. Supply Chain Disruptions: From Global Instability to the Red Sea Shock</w:t>
      </w:r>
      <w:bookmarkEnd w:id="11"/>
    </w:p>
    <w:p w14:paraId="0A618F40" w14:textId="73BED064" w:rsidR="00182801" w:rsidRPr="00182801" w:rsidRDefault="00182801" w:rsidP="00182801">
      <w:pPr>
        <w:spacing w:after="0" w:line="360" w:lineRule="auto"/>
        <w:ind w:firstLine="567"/>
        <w:jc w:val="both"/>
        <w:rPr>
          <w:rFonts w:ascii="Arial" w:hAnsi="Arial" w:cs="Arial"/>
          <w:sz w:val="22"/>
          <w:szCs w:val="22"/>
        </w:rPr>
      </w:pPr>
      <w:r w:rsidRPr="00182801">
        <w:rPr>
          <w:rFonts w:ascii="Arial" w:hAnsi="Arial" w:cs="Arial"/>
          <w:sz w:val="22"/>
          <w:szCs w:val="22"/>
        </w:rPr>
        <w:t xml:space="preserve">Expanding on the change from efficiency to resilience discussed earlier, it is important to look at the underlying structural factors, especially </w:t>
      </w:r>
      <w:r w:rsidR="003309C1" w:rsidRPr="00182801">
        <w:rPr>
          <w:rFonts w:ascii="Arial" w:hAnsi="Arial" w:cs="Arial"/>
          <w:sz w:val="22"/>
          <w:szCs w:val="22"/>
        </w:rPr>
        <w:t>about</w:t>
      </w:r>
      <w:r w:rsidRPr="00182801">
        <w:rPr>
          <w:rFonts w:ascii="Arial" w:hAnsi="Arial" w:cs="Arial"/>
          <w:sz w:val="22"/>
          <w:szCs w:val="22"/>
        </w:rPr>
        <w:t xml:space="preserve"> RQ1, that are driving this change. The logic of the supply chain has been transformed as disruptions have built up rather than happening in discrete shocks. Therefore, the shift from JIT to JIC must be seen through the prism of disruption's evolution from isolated incidents to systemic circumstances rooted in global networks.</w:t>
      </w:r>
    </w:p>
    <w:p w14:paraId="1EFF7F08" w14:textId="373E7C9C" w:rsidR="00182801" w:rsidRPr="00182801" w:rsidRDefault="00182801" w:rsidP="0047160D">
      <w:pPr>
        <w:spacing w:after="0" w:line="360" w:lineRule="auto"/>
        <w:ind w:firstLine="567"/>
        <w:jc w:val="both"/>
        <w:rPr>
          <w:rFonts w:ascii="Arial" w:hAnsi="Arial" w:cs="Arial"/>
          <w:sz w:val="22"/>
          <w:szCs w:val="22"/>
        </w:rPr>
      </w:pPr>
      <w:r w:rsidRPr="00182801">
        <w:rPr>
          <w:rFonts w:ascii="Arial" w:hAnsi="Arial" w:cs="Arial"/>
          <w:sz w:val="22"/>
          <w:szCs w:val="22"/>
        </w:rPr>
        <w:t>The growing unpredictability of supply chains is a clear indication of this shift. It is clear from recent events like COVID-19, Brexit, and the semiconductor crisis that linked systems are not self-repairing but intrinsically unstable. The combination of geopolitical fragmentation and economic interconnectedness, according to Ali et al. (2023), makes disruptions happen more often and more quickly. This has transformed risk exposure from an episodic to a continuous phenomenon, compelling organisations to put absorption capacity ahead of efficiency alone. Supply chains are now built to endure and adapt to disruptions, in addition to optimising flows. This represents a fundamental architectural change.</w:t>
      </w:r>
    </w:p>
    <w:p w14:paraId="377328BB" w14:textId="4E79E8EE" w:rsidR="00182801" w:rsidRPr="00182801" w:rsidRDefault="00182801" w:rsidP="0047160D">
      <w:pPr>
        <w:spacing w:after="0" w:line="360" w:lineRule="auto"/>
        <w:ind w:firstLine="567"/>
        <w:jc w:val="both"/>
        <w:rPr>
          <w:rFonts w:ascii="Arial" w:hAnsi="Arial" w:cs="Arial"/>
          <w:sz w:val="22"/>
          <w:szCs w:val="22"/>
        </w:rPr>
      </w:pPr>
      <w:r w:rsidRPr="00182801">
        <w:rPr>
          <w:rFonts w:ascii="Arial" w:hAnsi="Arial" w:cs="Arial"/>
          <w:sz w:val="22"/>
          <w:szCs w:val="22"/>
        </w:rPr>
        <w:t xml:space="preserve">This vulnerability is made much more obvious by the complexity of today's automotive supply networks. Cascade failures are more likely to occur in multi-tier supplier arrangements since there is usually little visibility beyond first-tier interactions. Disruptions in such systems </w:t>
      </w:r>
      <w:r w:rsidRPr="00182801">
        <w:rPr>
          <w:rFonts w:ascii="Arial" w:hAnsi="Arial" w:cs="Arial"/>
          <w:sz w:val="22"/>
          <w:szCs w:val="22"/>
        </w:rPr>
        <w:lastRenderedPageBreak/>
        <w:t xml:space="preserve">don't travel in a straight path but rather spread erratically throughout linked nodes. Choi, Rogers, and Vakil (2020) see supply networks as intricate adaptive systems that may experience a domino effect of </w:t>
      </w:r>
      <w:r w:rsidR="007B2F30" w:rsidRPr="00182801">
        <w:rPr>
          <w:rFonts w:ascii="Arial" w:hAnsi="Arial" w:cs="Arial"/>
          <w:sz w:val="22"/>
          <w:szCs w:val="22"/>
        </w:rPr>
        <w:t>failures;</w:t>
      </w:r>
      <w:r w:rsidRPr="00182801">
        <w:rPr>
          <w:rFonts w:ascii="Arial" w:hAnsi="Arial" w:cs="Arial"/>
          <w:sz w:val="22"/>
          <w:szCs w:val="22"/>
        </w:rPr>
        <w:t xml:space="preserve"> </w:t>
      </w:r>
      <w:r w:rsidR="00847E0D" w:rsidRPr="00182801">
        <w:rPr>
          <w:rFonts w:ascii="Arial" w:hAnsi="Arial" w:cs="Arial"/>
          <w:sz w:val="22"/>
          <w:szCs w:val="22"/>
        </w:rPr>
        <w:t>therefore,</w:t>
      </w:r>
      <w:r w:rsidRPr="00182801">
        <w:rPr>
          <w:rFonts w:ascii="Arial" w:hAnsi="Arial" w:cs="Arial"/>
          <w:sz w:val="22"/>
          <w:szCs w:val="22"/>
        </w:rPr>
        <w:t xml:space="preserve"> this makes sense. Similarly, Ivanov and </w:t>
      </w:r>
      <w:proofErr w:type="spellStart"/>
      <w:r w:rsidRPr="00182801">
        <w:rPr>
          <w:rFonts w:ascii="Arial" w:hAnsi="Arial" w:cs="Arial"/>
          <w:sz w:val="22"/>
          <w:szCs w:val="22"/>
        </w:rPr>
        <w:t>Dolgui</w:t>
      </w:r>
      <w:proofErr w:type="spellEnd"/>
      <w:r w:rsidRPr="00182801">
        <w:rPr>
          <w:rFonts w:ascii="Arial" w:hAnsi="Arial" w:cs="Arial"/>
          <w:sz w:val="22"/>
          <w:szCs w:val="22"/>
        </w:rPr>
        <w:t xml:space="preserve"> (2020) show that JIT systems are fundamentally vulnerable due to minimal redundancy and excessive synchronisation, which further emphasises the trade-off between robustness and efficiency.</w:t>
      </w:r>
    </w:p>
    <w:p w14:paraId="703B06A9" w14:textId="0A2F4279" w:rsidR="00182801" w:rsidRPr="00182801" w:rsidRDefault="00182801" w:rsidP="0047160D">
      <w:pPr>
        <w:spacing w:after="0" w:line="360" w:lineRule="auto"/>
        <w:ind w:firstLine="567"/>
        <w:jc w:val="both"/>
        <w:rPr>
          <w:rFonts w:ascii="Arial" w:hAnsi="Arial" w:cs="Arial"/>
          <w:sz w:val="22"/>
          <w:szCs w:val="22"/>
        </w:rPr>
      </w:pPr>
      <w:r w:rsidRPr="00182801">
        <w:rPr>
          <w:rFonts w:ascii="Arial" w:hAnsi="Arial" w:cs="Arial"/>
          <w:sz w:val="22"/>
          <w:szCs w:val="22"/>
        </w:rPr>
        <w:t xml:space="preserve">One </w:t>
      </w:r>
      <w:r w:rsidR="005F0240">
        <w:rPr>
          <w:rFonts w:ascii="Arial" w:hAnsi="Arial" w:cs="Arial"/>
          <w:sz w:val="22"/>
          <w:szCs w:val="22"/>
        </w:rPr>
        <w:t xml:space="preserve">recent </w:t>
      </w:r>
      <w:r w:rsidRPr="00182801">
        <w:rPr>
          <w:rFonts w:ascii="Arial" w:hAnsi="Arial" w:cs="Arial"/>
          <w:sz w:val="22"/>
          <w:szCs w:val="22"/>
        </w:rPr>
        <w:t xml:space="preserve">example of these processes is the Red Sea dispute. Attacks in the Bab </w:t>
      </w:r>
      <w:proofErr w:type="spellStart"/>
      <w:r w:rsidRPr="00182801">
        <w:rPr>
          <w:rFonts w:ascii="Arial" w:hAnsi="Arial" w:cs="Arial"/>
          <w:sz w:val="22"/>
          <w:szCs w:val="22"/>
        </w:rPr>
        <w:t>el</w:t>
      </w:r>
      <w:proofErr w:type="spellEnd"/>
      <w:r w:rsidRPr="00182801">
        <w:rPr>
          <w:rFonts w:ascii="Arial" w:hAnsi="Arial" w:cs="Arial"/>
          <w:sz w:val="22"/>
          <w:szCs w:val="22"/>
        </w:rPr>
        <w:t xml:space="preserve">-Mandeb Strait </w:t>
      </w:r>
      <w:r w:rsidR="00D14103">
        <w:rPr>
          <w:rFonts w:ascii="Arial" w:hAnsi="Arial" w:cs="Arial"/>
          <w:sz w:val="22"/>
          <w:szCs w:val="22"/>
        </w:rPr>
        <w:t>led ships to change their routes to circumnavigate the Cape of Good Hope, increasing uncertainty and lengthening</w:t>
      </w:r>
      <w:r w:rsidRPr="00182801">
        <w:rPr>
          <w:rFonts w:ascii="Arial" w:hAnsi="Arial" w:cs="Arial"/>
          <w:sz w:val="22"/>
          <w:szCs w:val="22"/>
        </w:rPr>
        <w:t xml:space="preserve"> passage times (</w:t>
      </w:r>
      <w:proofErr w:type="spellStart"/>
      <w:r w:rsidRPr="00182801">
        <w:rPr>
          <w:rFonts w:ascii="Arial" w:hAnsi="Arial" w:cs="Arial"/>
          <w:sz w:val="22"/>
          <w:szCs w:val="22"/>
        </w:rPr>
        <w:t>Notteboom</w:t>
      </w:r>
      <w:proofErr w:type="spellEnd"/>
      <w:r w:rsidRPr="00182801">
        <w:rPr>
          <w:rFonts w:ascii="Arial" w:hAnsi="Arial" w:cs="Arial"/>
          <w:sz w:val="22"/>
          <w:szCs w:val="22"/>
        </w:rPr>
        <w:t xml:space="preserve">, </w:t>
      </w:r>
      <w:proofErr w:type="spellStart"/>
      <w:r w:rsidRPr="00182801">
        <w:rPr>
          <w:rFonts w:ascii="Arial" w:hAnsi="Arial" w:cs="Arial"/>
          <w:sz w:val="22"/>
          <w:szCs w:val="22"/>
        </w:rPr>
        <w:t>Haralambides</w:t>
      </w:r>
      <w:proofErr w:type="spellEnd"/>
      <w:r w:rsidRPr="00182801">
        <w:rPr>
          <w:rFonts w:ascii="Arial" w:hAnsi="Arial" w:cs="Arial"/>
          <w:sz w:val="22"/>
          <w:szCs w:val="22"/>
        </w:rPr>
        <w:t xml:space="preserve">, and Cullinane, 2024). </w:t>
      </w:r>
      <w:r w:rsidR="007C20F6" w:rsidRPr="00182801">
        <w:rPr>
          <w:rFonts w:ascii="Arial" w:hAnsi="Arial" w:cs="Arial"/>
          <w:sz w:val="22"/>
          <w:szCs w:val="22"/>
        </w:rPr>
        <w:t>Widespread logistical reconfiguration</w:t>
      </w:r>
      <w:r w:rsidRPr="00182801">
        <w:rPr>
          <w:rFonts w:ascii="Arial" w:hAnsi="Arial" w:cs="Arial"/>
          <w:sz w:val="22"/>
          <w:szCs w:val="22"/>
        </w:rPr>
        <w:t xml:space="preserve"> increased operating expenses, and complicated planning were all results of interruptions connected to geopolitical concerns beginning in November 2023. Although global supply chains did begin to show signs of improvement by 2024, the fact that these disruptions continue to occur shows that they are systemic rather than just passing.</w:t>
      </w:r>
    </w:p>
    <w:p w14:paraId="5092A582" w14:textId="6F488DDD" w:rsidR="00182801" w:rsidRPr="00182801" w:rsidRDefault="00182801" w:rsidP="0047160D">
      <w:pPr>
        <w:spacing w:after="0" w:line="360" w:lineRule="auto"/>
        <w:ind w:firstLine="567"/>
        <w:jc w:val="both"/>
        <w:rPr>
          <w:rFonts w:ascii="Arial" w:hAnsi="Arial" w:cs="Arial"/>
          <w:sz w:val="22"/>
          <w:szCs w:val="22"/>
        </w:rPr>
      </w:pPr>
      <w:r w:rsidRPr="00182801">
        <w:rPr>
          <w:rFonts w:ascii="Arial" w:hAnsi="Arial" w:cs="Arial"/>
          <w:sz w:val="22"/>
          <w:szCs w:val="22"/>
        </w:rPr>
        <w:t>Because of this, an important issue arises: will supply chains be able to maintain their efficiency priorities in an environment where disruptions occur frequently? According to Ivanov (2021), structural stability, not short-term optimisation, is becoming more important for long-term sustainability. Resilience is therefore no longer an optional extra but an essential precondition for survival.</w:t>
      </w:r>
    </w:p>
    <w:p w14:paraId="65D95AE7" w14:textId="11281F79" w:rsidR="00182801" w:rsidRPr="00182801" w:rsidRDefault="00182801" w:rsidP="0047160D">
      <w:pPr>
        <w:spacing w:after="0" w:line="360" w:lineRule="auto"/>
        <w:ind w:firstLine="567"/>
        <w:jc w:val="both"/>
        <w:rPr>
          <w:rFonts w:ascii="Arial" w:hAnsi="Arial" w:cs="Arial"/>
          <w:sz w:val="22"/>
          <w:szCs w:val="22"/>
        </w:rPr>
      </w:pPr>
      <w:r w:rsidRPr="00182801">
        <w:rPr>
          <w:rFonts w:ascii="Arial" w:hAnsi="Arial" w:cs="Arial"/>
          <w:sz w:val="22"/>
          <w:szCs w:val="22"/>
        </w:rPr>
        <w:t xml:space="preserve">On the other hand, there is a lack of information in the literature about the micro level responses of enterprises. Although worldwide trends may be better understood using macro-level research, firm-specific variance is frequently lost in the shuffle. </w:t>
      </w:r>
      <w:proofErr w:type="spellStart"/>
      <w:r w:rsidRPr="00182801">
        <w:rPr>
          <w:rFonts w:ascii="Arial" w:hAnsi="Arial" w:cs="Arial"/>
          <w:sz w:val="22"/>
          <w:szCs w:val="22"/>
        </w:rPr>
        <w:t>Freightos</w:t>
      </w:r>
      <w:proofErr w:type="spellEnd"/>
      <w:r w:rsidRPr="00182801">
        <w:rPr>
          <w:rFonts w:ascii="Arial" w:hAnsi="Arial" w:cs="Arial"/>
          <w:sz w:val="22"/>
          <w:szCs w:val="22"/>
        </w:rPr>
        <w:t xml:space="preserve"> Baltic Index swings, shipping rerouting statistics, and trade flow variations from UN Comtrade and HMRC are just a few empirical indicators that show how disruption can have real-world effects on three interrelated dimensions: operational unreliability, financial instability, and delays and uncertainty. The requirement for adaptable solutions is further reinforced by the fact that these variables impact inventory choices when taken together.</w:t>
      </w:r>
    </w:p>
    <w:p w14:paraId="72A90761" w14:textId="5E814CE6" w:rsidR="00182801" w:rsidRDefault="00182801" w:rsidP="00182801">
      <w:pPr>
        <w:spacing w:after="0" w:line="360" w:lineRule="auto"/>
        <w:ind w:firstLine="567"/>
        <w:jc w:val="both"/>
        <w:rPr>
          <w:rFonts w:ascii="Arial" w:hAnsi="Arial" w:cs="Arial"/>
          <w:sz w:val="22"/>
          <w:szCs w:val="22"/>
        </w:rPr>
      </w:pPr>
      <w:r w:rsidRPr="00182801">
        <w:rPr>
          <w:rFonts w:ascii="Arial" w:hAnsi="Arial" w:cs="Arial"/>
          <w:sz w:val="22"/>
          <w:szCs w:val="22"/>
        </w:rPr>
        <w:t>However, responses vary throughout businesses. Disruption absorption and adaptation capabilities are influenced by digital competence, financial resilience, and supply chain design. This shows that the change from JIT to JIC cannot be explained only by macro-level factors. below, in figure 2.2. As a result, to understand how disruption causes changes in the UK automotive sector's strategy and operations, a more detailed, capability-driven viewpoint is necessary. This will directly lead to the analytical framework that will be established in the section that comes next.</w:t>
      </w:r>
    </w:p>
    <w:p w14:paraId="41DF58E4" w14:textId="77777777" w:rsidR="001B18F8" w:rsidRDefault="001B18F8" w:rsidP="00182801">
      <w:pPr>
        <w:spacing w:after="0" w:line="360" w:lineRule="auto"/>
        <w:ind w:firstLine="567"/>
        <w:jc w:val="both"/>
        <w:rPr>
          <w:rFonts w:ascii="Arial" w:hAnsi="Arial" w:cs="Arial"/>
          <w:sz w:val="22"/>
          <w:szCs w:val="22"/>
        </w:rPr>
      </w:pPr>
    </w:p>
    <w:p w14:paraId="3BDBEA23" w14:textId="77777777" w:rsidR="001B18F8" w:rsidRDefault="001B18F8" w:rsidP="00182801">
      <w:pPr>
        <w:spacing w:after="0" w:line="360" w:lineRule="auto"/>
        <w:ind w:firstLine="567"/>
        <w:jc w:val="both"/>
        <w:rPr>
          <w:rFonts w:ascii="Arial" w:hAnsi="Arial" w:cs="Arial"/>
          <w:sz w:val="22"/>
          <w:szCs w:val="22"/>
        </w:rPr>
      </w:pPr>
    </w:p>
    <w:p w14:paraId="0FBD61C4" w14:textId="77777777" w:rsidR="001B18F8" w:rsidRPr="00182801" w:rsidRDefault="001B18F8" w:rsidP="00312C62">
      <w:pPr>
        <w:spacing w:after="0" w:line="360" w:lineRule="auto"/>
        <w:jc w:val="both"/>
        <w:rPr>
          <w:rFonts w:ascii="Arial" w:hAnsi="Arial" w:cs="Arial"/>
          <w:sz w:val="22"/>
          <w:szCs w:val="22"/>
        </w:rPr>
      </w:pPr>
    </w:p>
    <w:p w14:paraId="5A013AE1" w14:textId="18002692" w:rsidR="00F40107" w:rsidRDefault="006D5F6C" w:rsidP="006D5F6C">
      <w:pPr>
        <w:jc w:val="center"/>
        <w:rPr>
          <w:rFonts w:ascii="Arial" w:hAnsi="Arial" w:cs="Arial"/>
          <w:sz w:val="20"/>
          <w:szCs w:val="20"/>
        </w:rPr>
      </w:pPr>
      <w:r w:rsidRPr="006D5F6C">
        <w:rPr>
          <w:rFonts w:ascii="Arial" w:hAnsi="Arial" w:cs="Arial"/>
          <w:sz w:val="20"/>
          <w:szCs w:val="20"/>
        </w:rPr>
        <w:lastRenderedPageBreak/>
        <w:t>Figure 2.</w:t>
      </w:r>
      <w:r w:rsidR="00F71430">
        <w:rPr>
          <w:rFonts w:ascii="Arial" w:hAnsi="Arial" w:cs="Arial"/>
          <w:sz w:val="20"/>
          <w:szCs w:val="20"/>
        </w:rPr>
        <w:t xml:space="preserve">2. </w:t>
      </w:r>
      <w:r w:rsidRPr="006D5F6C">
        <w:rPr>
          <w:rFonts w:ascii="Arial" w:hAnsi="Arial" w:cs="Arial"/>
          <w:sz w:val="20"/>
          <w:szCs w:val="20"/>
        </w:rPr>
        <w:t xml:space="preserve"> Disruption Propagation and Strategic Response Framework</w:t>
      </w:r>
      <w:r w:rsidR="00BD6D6D">
        <w:rPr>
          <w:rFonts w:ascii="Arial" w:hAnsi="Arial" w:cs="Arial"/>
          <w:sz w:val="20"/>
          <w:szCs w:val="20"/>
        </w:rPr>
        <w:t xml:space="preserve"> (</w:t>
      </w:r>
      <w:r w:rsidR="00BD6D6D" w:rsidRPr="00BD6D6D">
        <w:rPr>
          <w:rFonts w:ascii="Arial" w:hAnsi="Arial" w:cs="Arial"/>
          <w:sz w:val="20"/>
          <w:szCs w:val="20"/>
        </w:rPr>
        <w:t>Reuters, 2024</w:t>
      </w:r>
      <w:r w:rsidR="00BD6D6D">
        <w:rPr>
          <w:rFonts w:ascii="Arial" w:hAnsi="Arial" w:cs="Arial"/>
          <w:sz w:val="20"/>
          <w:szCs w:val="20"/>
        </w:rPr>
        <w:t>)</w:t>
      </w:r>
    </w:p>
    <w:p w14:paraId="4AFDE08F" w14:textId="48C8E514" w:rsidR="006D5F6C" w:rsidRDefault="00070B68" w:rsidP="006D5F6C">
      <w:pPr>
        <w:jc w:val="center"/>
        <w:rPr>
          <w:rFonts w:ascii="Arial" w:hAnsi="Arial" w:cs="Arial"/>
          <w:sz w:val="22"/>
          <w:szCs w:val="22"/>
        </w:rPr>
      </w:pPr>
      <w:r w:rsidRPr="00070B68">
        <w:rPr>
          <w:rFonts w:ascii="Arial" w:hAnsi="Arial" w:cs="Arial"/>
          <w:noProof/>
          <w:sz w:val="22"/>
          <w:szCs w:val="22"/>
        </w:rPr>
        <w:drawing>
          <wp:inline distT="0" distB="0" distL="0" distR="0" wp14:anchorId="5E0902E9" wp14:editId="11B69C26">
            <wp:extent cx="4328555" cy="2035175"/>
            <wp:effectExtent l="0" t="0" r="0" b="3175"/>
            <wp:docPr id="200361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13183" name=""/>
                    <pic:cNvPicPr/>
                  </pic:nvPicPr>
                  <pic:blipFill>
                    <a:blip r:embed="rId11"/>
                    <a:stretch>
                      <a:fillRect/>
                    </a:stretch>
                  </pic:blipFill>
                  <pic:spPr>
                    <a:xfrm>
                      <a:off x="0" y="0"/>
                      <a:ext cx="4369332" cy="2054347"/>
                    </a:xfrm>
                    <a:prstGeom prst="rect">
                      <a:avLst/>
                    </a:prstGeom>
                  </pic:spPr>
                </pic:pic>
              </a:graphicData>
            </a:graphic>
          </wp:inline>
        </w:drawing>
      </w:r>
    </w:p>
    <w:p w14:paraId="2DD25310" w14:textId="77777777" w:rsidR="00E30164" w:rsidRPr="00E30164" w:rsidRDefault="00E30164" w:rsidP="00E30164">
      <w:pPr>
        <w:spacing w:after="0"/>
        <w:jc w:val="center"/>
        <w:rPr>
          <w:rFonts w:ascii="Arial" w:hAnsi="Arial" w:cs="Arial"/>
          <w:sz w:val="16"/>
          <w:szCs w:val="16"/>
        </w:rPr>
      </w:pPr>
    </w:p>
    <w:p w14:paraId="278114BC" w14:textId="464E2E34" w:rsidR="00EB1964" w:rsidRDefault="00EC1B33" w:rsidP="00EC1B33">
      <w:pPr>
        <w:spacing w:after="0" w:line="360" w:lineRule="auto"/>
        <w:ind w:firstLine="567"/>
        <w:jc w:val="both"/>
        <w:rPr>
          <w:rFonts w:ascii="Arial" w:hAnsi="Arial" w:cs="Arial"/>
          <w:sz w:val="22"/>
          <w:szCs w:val="22"/>
        </w:rPr>
      </w:pPr>
      <w:r w:rsidRPr="00EC1B33">
        <w:rPr>
          <w:rFonts w:ascii="Arial" w:hAnsi="Arial" w:cs="Arial"/>
          <w:sz w:val="22"/>
          <w:szCs w:val="22"/>
        </w:rPr>
        <w:t xml:space="preserve">Issues involving the supply chain are becoming more systemic and less episodic, which is putting efficiency-driven models at risk and revealing weaknesses in the system. </w:t>
      </w:r>
      <w:r w:rsidR="006358F5">
        <w:rPr>
          <w:rFonts w:ascii="Arial" w:hAnsi="Arial" w:cs="Arial"/>
          <w:sz w:val="22"/>
          <w:szCs w:val="22"/>
        </w:rPr>
        <w:t>During political instability, critical logistical channels are disrupted, and operational and financial risks are amplified across global networks, as shown by</w:t>
      </w:r>
      <w:r w:rsidRPr="00EC1B33">
        <w:rPr>
          <w:rFonts w:ascii="Arial" w:hAnsi="Arial" w:cs="Arial"/>
          <w:sz w:val="22"/>
          <w:szCs w:val="22"/>
        </w:rPr>
        <w:t xml:space="preserve"> the Red Sea </w:t>
      </w:r>
      <w:r w:rsidR="006358F5" w:rsidRPr="00EC1B33">
        <w:rPr>
          <w:rFonts w:ascii="Arial" w:hAnsi="Arial" w:cs="Arial"/>
          <w:sz w:val="22"/>
          <w:szCs w:val="22"/>
        </w:rPr>
        <w:t>crisis</w:t>
      </w:r>
      <w:r w:rsidRPr="00EC1B33">
        <w:rPr>
          <w:rFonts w:ascii="Arial" w:hAnsi="Arial" w:cs="Arial"/>
          <w:sz w:val="22"/>
          <w:szCs w:val="22"/>
        </w:rPr>
        <w:t xml:space="preserve">. Although these </w:t>
      </w:r>
      <w:r w:rsidR="006358F5">
        <w:rPr>
          <w:rFonts w:ascii="Arial" w:hAnsi="Arial" w:cs="Arial"/>
          <w:sz w:val="22"/>
          <w:szCs w:val="22"/>
        </w:rPr>
        <w:t>macro-level trends are well-captured in the current literature, there is little insight into the micro-level</w:t>
      </w:r>
      <w:r w:rsidRPr="00EC1B33">
        <w:rPr>
          <w:rFonts w:ascii="Arial" w:hAnsi="Arial" w:cs="Arial"/>
          <w:sz w:val="22"/>
          <w:szCs w:val="22"/>
        </w:rPr>
        <w:t xml:space="preserve"> responses of enterprises. Given this, it is crucial </w:t>
      </w:r>
      <w:r w:rsidR="006358F5">
        <w:rPr>
          <w:rFonts w:ascii="Arial" w:hAnsi="Arial" w:cs="Arial"/>
          <w:sz w:val="22"/>
          <w:szCs w:val="22"/>
        </w:rPr>
        <w:t>to understand how disruption leads to</w:t>
      </w:r>
      <w:r w:rsidRPr="00EC1B33">
        <w:rPr>
          <w:rFonts w:ascii="Arial" w:hAnsi="Arial" w:cs="Arial"/>
          <w:sz w:val="22"/>
          <w:szCs w:val="22"/>
        </w:rPr>
        <w:t xml:space="preserve"> strategic adaptation at the corporate level, particularly changes to inventory plans (Reuters, 2024). To fill this knowledge </w:t>
      </w:r>
      <w:r w:rsidR="006358F5">
        <w:rPr>
          <w:rFonts w:ascii="Arial" w:hAnsi="Arial" w:cs="Arial"/>
          <w:sz w:val="22"/>
          <w:szCs w:val="22"/>
        </w:rPr>
        <w:t>gap, the next part draws on empirical research into the methods used by UK vehicle manufacturers to modify inventory models and strengthen resilience through</w:t>
      </w:r>
      <w:r w:rsidRPr="00EC1B33">
        <w:rPr>
          <w:rFonts w:ascii="Arial" w:hAnsi="Arial" w:cs="Arial"/>
          <w:sz w:val="22"/>
          <w:szCs w:val="22"/>
        </w:rPr>
        <w:t xml:space="preserve"> dynamic capabilities.</w:t>
      </w:r>
    </w:p>
    <w:p w14:paraId="0322AF12" w14:textId="36B95A25" w:rsidR="003D5AC6" w:rsidRPr="00823E77" w:rsidRDefault="003D5AC6" w:rsidP="00823E77">
      <w:pPr>
        <w:pStyle w:val="Heading2"/>
        <w:spacing w:before="120"/>
        <w:rPr>
          <w:b/>
          <w:bCs/>
          <w:sz w:val="22"/>
          <w:szCs w:val="22"/>
        </w:rPr>
      </w:pPr>
      <w:bookmarkStart w:id="12" w:name="_Toc228883238"/>
      <w:r w:rsidRPr="00823E77">
        <w:rPr>
          <w:b/>
          <w:bCs/>
          <w:sz w:val="22"/>
          <w:szCs w:val="22"/>
        </w:rPr>
        <w:t>2.</w:t>
      </w:r>
      <w:r w:rsidR="002F3A94" w:rsidRPr="00823E77">
        <w:rPr>
          <w:b/>
          <w:bCs/>
          <w:sz w:val="22"/>
          <w:szCs w:val="22"/>
        </w:rPr>
        <w:t>4.</w:t>
      </w:r>
      <w:r w:rsidRPr="00823E77">
        <w:rPr>
          <w:b/>
          <w:bCs/>
          <w:sz w:val="22"/>
          <w:szCs w:val="22"/>
        </w:rPr>
        <w:t xml:space="preserve"> Supply Chain Resilience &amp; Risk Strategies</w:t>
      </w:r>
      <w:bookmarkEnd w:id="12"/>
    </w:p>
    <w:p w14:paraId="56862C67" w14:textId="3F1B6A65" w:rsidR="00EC6907" w:rsidRPr="00EC6907"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 xml:space="preserve">After systemic disruption is covered, the analytical attention moves from the reasons supply chains fail to the ways in which companies deal with ongoing uncertainty, answering </w:t>
      </w:r>
      <w:r>
        <w:rPr>
          <w:rFonts w:ascii="Arial" w:hAnsi="Arial" w:cs="Arial"/>
          <w:sz w:val="22"/>
          <w:szCs w:val="22"/>
        </w:rPr>
        <w:t>RQ2 and RQ3 directly</w:t>
      </w:r>
      <w:r w:rsidRPr="00EC6907">
        <w:rPr>
          <w:rFonts w:ascii="Arial" w:hAnsi="Arial" w:cs="Arial"/>
          <w:sz w:val="22"/>
          <w:szCs w:val="22"/>
        </w:rPr>
        <w:t xml:space="preserve">. Within this framework, resilience encompasses more than just the ability to heal; it signifies </w:t>
      </w:r>
      <w:r>
        <w:rPr>
          <w:rFonts w:ascii="Arial" w:hAnsi="Arial" w:cs="Arial"/>
          <w:sz w:val="22"/>
          <w:szCs w:val="22"/>
        </w:rPr>
        <w:t xml:space="preserve">businesses' ability </w:t>
      </w:r>
      <w:r w:rsidRPr="00EC6907">
        <w:rPr>
          <w:rFonts w:ascii="Arial" w:hAnsi="Arial" w:cs="Arial"/>
          <w:sz w:val="22"/>
          <w:szCs w:val="22"/>
        </w:rPr>
        <w:t xml:space="preserve">to adjust, reorganise, and thrive despite challenging circumstances. As a process of transformation, resilience is defined by Wieland and </w:t>
      </w:r>
      <w:proofErr w:type="spellStart"/>
      <w:r w:rsidRPr="00EC6907">
        <w:rPr>
          <w:rFonts w:ascii="Arial" w:hAnsi="Arial" w:cs="Arial"/>
          <w:sz w:val="22"/>
          <w:szCs w:val="22"/>
        </w:rPr>
        <w:t>Durach</w:t>
      </w:r>
      <w:proofErr w:type="spellEnd"/>
      <w:r w:rsidRPr="00EC6907">
        <w:rPr>
          <w:rFonts w:ascii="Arial" w:hAnsi="Arial" w:cs="Arial"/>
          <w:sz w:val="22"/>
          <w:szCs w:val="22"/>
        </w:rPr>
        <w:t xml:space="preserve"> (2021) as the ability of enterprises to reorganise their operations in the face of change. This casts doubt on the idea that stability is ideal and raises the possibility that striving to revert to conditions before the disruption may raise susceptibility in the long run.</w:t>
      </w:r>
    </w:p>
    <w:p w14:paraId="7CFB991F" w14:textId="7139AEC9" w:rsidR="00EC6907" w:rsidRPr="00EC6907"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 xml:space="preserve">A variety of risk mitigation measures are being used by organisations, while the success of these strategies is still up in the air. The effectiveness of safety stock, which offers short-term protection against demand and supply swings, is conditional on how long and how predictable the disruption will be. A change towards buffering strategies was shown by </w:t>
      </w:r>
      <w:r w:rsidR="007B2F30" w:rsidRPr="00EC6907">
        <w:rPr>
          <w:rFonts w:ascii="Arial" w:hAnsi="Arial" w:cs="Arial"/>
          <w:sz w:val="22"/>
          <w:szCs w:val="22"/>
        </w:rPr>
        <w:t>empirical evidence</w:t>
      </w:r>
      <w:r w:rsidRPr="00EC6907">
        <w:rPr>
          <w:rFonts w:ascii="Arial" w:hAnsi="Arial" w:cs="Arial"/>
          <w:sz w:val="22"/>
          <w:szCs w:val="22"/>
        </w:rPr>
        <w:t xml:space="preserve"> that worldwide manufacturing inventories grew by around 15-25% from 2020 to 2023 (McKinsey, 2023). Although this lessens vulnerability in the near term, it raises </w:t>
      </w:r>
      <w:r w:rsidRPr="00EC6907">
        <w:rPr>
          <w:rFonts w:ascii="Arial" w:hAnsi="Arial" w:cs="Arial"/>
          <w:sz w:val="22"/>
          <w:szCs w:val="22"/>
        </w:rPr>
        <w:lastRenderedPageBreak/>
        <w:t>holding costs and capital limitations at the same time, making its long-term viability questionable.</w:t>
      </w:r>
    </w:p>
    <w:p w14:paraId="188E2D15" w14:textId="61C63BEE" w:rsidR="00EC6907" w:rsidRPr="00EC6907"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Diversifying suppliers also increases flexibility by lowering reliance on any one source. Seventy percent of businesses, according to Deloitte (2023), increased their supplier base after COVID-19. However, when dealing with several suppliers, it might be difficult to keep quality and consistency consistent, which is one of the coordination issues brought about by diversification. Since then, the focus has shifted from supply interruption to operational complexity, rather than risk elimination.</w:t>
      </w:r>
    </w:p>
    <w:p w14:paraId="1D899479" w14:textId="6F6C3A16" w:rsidR="00EC6907" w:rsidRPr="00EC6907"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Another factor that is adding complexity to this environment are the technological solutions linked to Industry 4.0. Improved supply chain visibility and proactive decision-making are made possible by tools like the Internet of Things (IoT), real-time data analytics, and digital twins. However, it is not always the case that more visibility results in greater outcomes. Rather than increased resilience, businesses run the danger of information overload without the capacity to understand and act upon data. Resisting damage is just part of resilience; antifragility theory teaches us that we should look for ways to use setbacks to our advantage. The ability of the organization, not only the availability of risk mitigation measures, is what matters, according to Ismail et al. (2026).</w:t>
      </w:r>
    </w:p>
    <w:p w14:paraId="395A5BEF" w14:textId="2A9865CE" w:rsidR="00EC6907" w:rsidRPr="00EC6907"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 xml:space="preserve">Because of this, dynamic skills are much more important in determining resilience results. While detecting, seizing, and reconfiguring are all processes laid out by Dynamic Capability Theory, the theory often presumes that corporations can successfully employ these capacities. On the ground, implementation is often impeded by cultural opposition, structural stiffness, and organisational inertia. So, resilience tactics aren't as important as a company's capacity to </w:t>
      </w:r>
      <w:r w:rsidR="007B2F30" w:rsidRPr="00EC6907">
        <w:rPr>
          <w:rFonts w:ascii="Arial" w:hAnsi="Arial" w:cs="Arial"/>
          <w:sz w:val="22"/>
          <w:szCs w:val="22"/>
        </w:rPr>
        <w:t>adjust</w:t>
      </w:r>
      <w:r w:rsidRPr="00EC6907">
        <w:rPr>
          <w:rFonts w:ascii="Arial" w:hAnsi="Arial" w:cs="Arial"/>
          <w:sz w:val="22"/>
          <w:szCs w:val="22"/>
        </w:rPr>
        <w:t xml:space="preserve"> on the fly if they want to be successful.</w:t>
      </w:r>
    </w:p>
    <w:p w14:paraId="7CAF1039" w14:textId="5A85BEFB" w:rsidR="00CE08C2" w:rsidRPr="00E83C9F" w:rsidRDefault="00EC6907" w:rsidP="00EC6907">
      <w:pPr>
        <w:spacing w:after="0" w:line="360" w:lineRule="auto"/>
        <w:ind w:firstLine="567"/>
        <w:jc w:val="both"/>
        <w:rPr>
          <w:rFonts w:ascii="Arial" w:hAnsi="Arial" w:cs="Arial"/>
          <w:sz w:val="22"/>
          <w:szCs w:val="22"/>
        </w:rPr>
      </w:pPr>
      <w:r w:rsidRPr="00EC6907">
        <w:rPr>
          <w:rFonts w:ascii="Arial" w:hAnsi="Arial" w:cs="Arial"/>
          <w:sz w:val="22"/>
          <w:szCs w:val="22"/>
        </w:rPr>
        <w:t xml:space="preserve">Ivanov and </w:t>
      </w:r>
      <w:proofErr w:type="spellStart"/>
      <w:r w:rsidRPr="00EC6907">
        <w:rPr>
          <w:rFonts w:ascii="Arial" w:hAnsi="Arial" w:cs="Arial"/>
          <w:sz w:val="22"/>
          <w:szCs w:val="22"/>
        </w:rPr>
        <w:t>Dolgui</w:t>
      </w:r>
      <w:proofErr w:type="spellEnd"/>
      <w:r w:rsidRPr="00EC6907">
        <w:rPr>
          <w:rFonts w:ascii="Arial" w:hAnsi="Arial" w:cs="Arial"/>
          <w:sz w:val="22"/>
          <w:szCs w:val="22"/>
        </w:rPr>
        <w:t xml:space="preserve"> (2021) argue that supply chains exhibit non-linear interactions and should be seen as complex adaptive systems. This suggests that enterprise-specific factors like digital readiness and organisational structure might influence the results of comparable methods. Being resilient is therefore dependent on the skills that support a strategy, rather than only on the approach itself. Based on this premise, we may analyse the effects of various resilience strategies on JIT and JIC configurations. (Table 2.2).</w:t>
      </w:r>
    </w:p>
    <w:p w14:paraId="47CF825E" w14:textId="77777777" w:rsidR="00EB1964" w:rsidRPr="00F5457F" w:rsidRDefault="00EB1964" w:rsidP="00047A26">
      <w:pPr>
        <w:spacing w:after="0" w:line="360" w:lineRule="auto"/>
        <w:ind w:firstLine="567"/>
        <w:jc w:val="both"/>
        <w:rPr>
          <w:rFonts w:ascii="Arial" w:hAnsi="Arial" w:cs="Arial"/>
          <w:sz w:val="16"/>
          <w:szCs w:val="16"/>
        </w:rPr>
      </w:pPr>
    </w:p>
    <w:p w14:paraId="3FD1BA1E" w14:textId="7396AC71" w:rsidR="00F40107" w:rsidRDefault="00932490" w:rsidP="006D5F6C">
      <w:pPr>
        <w:jc w:val="center"/>
        <w:rPr>
          <w:rFonts w:ascii="Arial" w:hAnsi="Arial" w:cs="Arial"/>
          <w:sz w:val="20"/>
          <w:szCs w:val="20"/>
        </w:rPr>
      </w:pPr>
      <w:r w:rsidRPr="00932490">
        <w:rPr>
          <w:rFonts w:ascii="Arial" w:hAnsi="Arial" w:cs="Arial"/>
          <w:sz w:val="20"/>
          <w:szCs w:val="20"/>
        </w:rPr>
        <w:t>Table 2.2</w:t>
      </w:r>
      <w:r>
        <w:rPr>
          <w:rFonts w:ascii="Arial" w:hAnsi="Arial" w:cs="Arial"/>
          <w:sz w:val="20"/>
          <w:szCs w:val="20"/>
        </w:rPr>
        <w:t xml:space="preserve">. </w:t>
      </w:r>
      <w:r w:rsidRPr="00932490">
        <w:rPr>
          <w:rFonts w:ascii="Arial" w:hAnsi="Arial" w:cs="Arial"/>
          <w:sz w:val="20"/>
          <w:szCs w:val="20"/>
        </w:rPr>
        <w:t>Resilience Strategies and Their Impact on Inventory Models (2023–2024)</w:t>
      </w:r>
    </w:p>
    <w:p w14:paraId="071133EB" w14:textId="37ECEC06" w:rsidR="00B91DC0" w:rsidRDefault="00B91DC0" w:rsidP="006D5F6C">
      <w:pPr>
        <w:jc w:val="center"/>
        <w:rPr>
          <w:rFonts w:ascii="Arial" w:hAnsi="Arial" w:cs="Arial"/>
          <w:i/>
          <w:iCs/>
          <w:sz w:val="20"/>
          <w:szCs w:val="20"/>
        </w:rPr>
      </w:pPr>
      <w:r w:rsidRPr="00B91DC0">
        <w:rPr>
          <w:rFonts w:ascii="Arial" w:hAnsi="Arial" w:cs="Arial"/>
          <w:i/>
          <w:iCs/>
          <w:noProof/>
          <w:sz w:val="20"/>
          <w:szCs w:val="20"/>
        </w:rPr>
        <w:drawing>
          <wp:inline distT="0" distB="0" distL="0" distR="0" wp14:anchorId="17276F49" wp14:editId="156309D9">
            <wp:extent cx="5005053" cy="1113182"/>
            <wp:effectExtent l="0" t="0" r="5715" b="0"/>
            <wp:docPr id="2052756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56352" name=""/>
                    <pic:cNvPicPr/>
                  </pic:nvPicPr>
                  <pic:blipFill>
                    <a:blip r:embed="rId12"/>
                    <a:stretch>
                      <a:fillRect/>
                    </a:stretch>
                  </pic:blipFill>
                  <pic:spPr>
                    <a:xfrm>
                      <a:off x="0" y="0"/>
                      <a:ext cx="5046321" cy="1122361"/>
                    </a:xfrm>
                    <a:prstGeom prst="rect">
                      <a:avLst/>
                    </a:prstGeom>
                  </pic:spPr>
                </pic:pic>
              </a:graphicData>
            </a:graphic>
          </wp:inline>
        </w:drawing>
      </w:r>
    </w:p>
    <w:p w14:paraId="344161D5" w14:textId="55430485" w:rsidR="00932490" w:rsidRPr="008F1EF0" w:rsidRDefault="004A342B" w:rsidP="006D5F6C">
      <w:pPr>
        <w:jc w:val="center"/>
        <w:rPr>
          <w:rFonts w:ascii="Arial" w:hAnsi="Arial" w:cs="Arial"/>
          <w:i/>
          <w:iCs/>
          <w:sz w:val="20"/>
          <w:szCs w:val="20"/>
        </w:rPr>
      </w:pPr>
      <w:r w:rsidRPr="008F1EF0">
        <w:rPr>
          <w:rFonts w:ascii="Arial" w:hAnsi="Arial" w:cs="Arial"/>
          <w:i/>
          <w:iCs/>
          <w:sz w:val="20"/>
          <w:szCs w:val="20"/>
        </w:rPr>
        <w:t xml:space="preserve">(Source: Adapted from McKinsey 2023, Deloitte 2023, and Ivanov and </w:t>
      </w:r>
      <w:proofErr w:type="spellStart"/>
      <w:r w:rsidRPr="008F1EF0">
        <w:rPr>
          <w:rFonts w:ascii="Arial" w:hAnsi="Arial" w:cs="Arial"/>
          <w:i/>
          <w:iCs/>
          <w:sz w:val="20"/>
          <w:szCs w:val="20"/>
        </w:rPr>
        <w:t>Dolgui</w:t>
      </w:r>
      <w:proofErr w:type="spellEnd"/>
      <w:r w:rsidR="008F1EF0" w:rsidRPr="008F1EF0">
        <w:rPr>
          <w:rFonts w:ascii="Arial" w:hAnsi="Arial" w:cs="Arial"/>
          <w:i/>
          <w:iCs/>
          <w:sz w:val="20"/>
          <w:szCs w:val="20"/>
        </w:rPr>
        <w:t xml:space="preserve"> </w:t>
      </w:r>
      <w:r w:rsidRPr="008F1EF0">
        <w:rPr>
          <w:rFonts w:ascii="Arial" w:hAnsi="Arial" w:cs="Arial"/>
          <w:i/>
          <w:iCs/>
          <w:sz w:val="20"/>
          <w:szCs w:val="20"/>
        </w:rPr>
        <w:t>2021)</w:t>
      </w:r>
    </w:p>
    <w:p w14:paraId="4B1E4F59" w14:textId="1D8B3BE3" w:rsidR="00846137" w:rsidRPr="00846137" w:rsidRDefault="00846137" w:rsidP="00846137">
      <w:pPr>
        <w:spacing w:after="0" w:line="360" w:lineRule="auto"/>
        <w:ind w:firstLine="567"/>
        <w:jc w:val="both"/>
        <w:rPr>
          <w:rFonts w:ascii="Arial" w:hAnsi="Arial" w:cs="Arial"/>
          <w:sz w:val="22"/>
          <w:szCs w:val="22"/>
        </w:rPr>
      </w:pPr>
      <w:r w:rsidRPr="00846137">
        <w:rPr>
          <w:rFonts w:ascii="Arial" w:hAnsi="Arial" w:cs="Arial"/>
          <w:sz w:val="22"/>
          <w:szCs w:val="22"/>
        </w:rPr>
        <w:lastRenderedPageBreak/>
        <w:t xml:space="preserve">Table 2.2 suggests that inventory models are not one-size-fits-all </w:t>
      </w:r>
      <w:r w:rsidR="00BC190D" w:rsidRPr="00846137">
        <w:rPr>
          <w:rFonts w:ascii="Arial" w:hAnsi="Arial" w:cs="Arial"/>
          <w:sz w:val="22"/>
          <w:szCs w:val="22"/>
        </w:rPr>
        <w:t>recommendations but</w:t>
      </w:r>
      <w:r w:rsidRPr="00846137">
        <w:rPr>
          <w:rFonts w:ascii="Arial" w:hAnsi="Arial" w:cs="Arial"/>
          <w:sz w:val="22"/>
          <w:szCs w:val="22"/>
        </w:rPr>
        <w:t xml:space="preserve"> rather are intrinsically linked to certain resilience tactics. The </w:t>
      </w:r>
      <w:r w:rsidR="00BC190D">
        <w:rPr>
          <w:rFonts w:ascii="Arial" w:hAnsi="Arial" w:cs="Arial"/>
          <w:sz w:val="22"/>
          <w:szCs w:val="22"/>
        </w:rPr>
        <w:t>cost-effectiveness that is fundamental to JIT is undermined by safety stock, even as</w:t>
      </w:r>
      <w:r w:rsidRPr="00846137">
        <w:rPr>
          <w:rFonts w:ascii="Arial" w:hAnsi="Arial" w:cs="Arial"/>
          <w:sz w:val="22"/>
          <w:szCs w:val="22"/>
        </w:rPr>
        <w:t xml:space="preserve"> it increases JIC by increasing buffering capacity. Digital visibility, on the other hand, lends credence to both schools of thought, implying that skills rather than models form the basis of resilience. This provides further evidence that adopting a single inventory logic is not the key to resilience; rather, it is the alignment of strategic aim with system design.</w:t>
      </w:r>
    </w:p>
    <w:p w14:paraId="25AFFFCF" w14:textId="7072540F" w:rsidR="00846137" w:rsidRPr="00846137" w:rsidRDefault="00846137" w:rsidP="00BC190D">
      <w:pPr>
        <w:spacing w:after="0" w:line="360" w:lineRule="auto"/>
        <w:ind w:firstLine="567"/>
        <w:jc w:val="both"/>
        <w:rPr>
          <w:rFonts w:ascii="Arial" w:hAnsi="Arial" w:cs="Arial"/>
          <w:sz w:val="22"/>
          <w:szCs w:val="22"/>
        </w:rPr>
      </w:pPr>
      <w:r w:rsidRPr="00846137">
        <w:rPr>
          <w:rFonts w:ascii="Arial" w:hAnsi="Arial" w:cs="Arial"/>
          <w:sz w:val="22"/>
          <w:szCs w:val="22"/>
        </w:rPr>
        <w:t>The literature</w:t>
      </w:r>
      <w:r w:rsidR="00BC190D">
        <w:rPr>
          <w:rFonts w:ascii="Arial" w:hAnsi="Arial" w:cs="Arial"/>
          <w:sz w:val="22"/>
          <w:szCs w:val="22"/>
        </w:rPr>
        <w:t>, however, reveals</w:t>
      </w:r>
      <w:r w:rsidRPr="00846137">
        <w:rPr>
          <w:rFonts w:ascii="Arial" w:hAnsi="Arial" w:cs="Arial"/>
          <w:sz w:val="22"/>
          <w:szCs w:val="22"/>
        </w:rPr>
        <w:t xml:space="preserve"> a more fundamental weakness. </w:t>
      </w:r>
      <w:r w:rsidR="00BC190D" w:rsidRPr="00846137">
        <w:rPr>
          <w:rFonts w:ascii="Arial" w:hAnsi="Arial" w:cs="Arial"/>
          <w:sz w:val="22"/>
          <w:szCs w:val="22"/>
        </w:rPr>
        <w:t>Most of</w:t>
      </w:r>
      <w:r w:rsidRPr="00846137">
        <w:rPr>
          <w:rFonts w:ascii="Arial" w:hAnsi="Arial" w:cs="Arial"/>
          <w:sz w:val="22"/>
          <w:szCs w:val="22"/>
        </w:rPr>
        <w:t xml:space="preserve"> the current literature ignores internal restrictions in favour of the assumption that organisations may easily apply resilience methods. Execution might be severely limited by organisational inflexibility, procedural hurdles, and reluctance to embrace technology. </w:t>
      </w:r>
      <w:r w:rsidR="00BC190D">
        <w:rPr>
          <w:rFonts w:ascii="Arial" w:hAnsi="Arial" w:cs="Arial"/>
          <w:sz w:val="22"/>
          <w:szCs w:val="22"/>
        </w:rPr>
        <w:t>According to antifragility theory, such limitations make adaptation more difficult, which explains why companies hit by comparable shocks may yield</w:t>
      </w:r>
      <w:r w:rsidRPr="00846137">
        <w:rPr>
          <w:rFonts w:ascii="Arial" w:hAnsi="Arial" w:cs="Arial"/>
          <w:sz w:val="22"/>
          <w:szCs w:val="22"/>
        </w:rPr>
        <w:t xml:space="preserve"> such different results.</w:t>
      </w:r>
    </w:p>
    <w:p w14:paraId="058AA6C8" w14:textId="63FD6E98" w:rsidR="00846137" w:rsidRPr="00846137" w:rsidRDefault="00846137" w:rsidP="00BC190D">
      <w:pPr>
        <w:spacing w:after="0" w:line="360" w:lineRule="auto"/>
        <w:ind w:firstLine="567"/>
        <w:jc w:val="both"/>
        <w:rPr>
          <w:rFonts w:ascii="Arial" w:hAnsi="Arial" w:cs="Arial"/>
          <w:sz w:val="22"/>
          <w:szCs w:val="22"/>
        </w:rPr>
      </w:pPr>
      <w:r w:rsidRPr="00846137">
        <w:rPr>
          <w:rFonts w:ascii="Arial" w:hAnsi="Arial" w:cs="Arial"/>
          <w:sz w:val="22"/>
          <w:szCs w:val="22"/>
        </w:rPr>
        <w:t xml:space="preserve">Thus, the capacity to deploy resilience measures effectively under constraints is more important than the availability of resilience mechanisms themselves. Instead of seeing resilience as a static trait, it is more accurate to think of it as an adaptable organisational capacity </w:t>
      </w:r>
      <w:r w:rsidR="00BC190D">
        <w:rPr>
          <w:rFonts w:ascii="Arial" w:hAnsi="Arial" w:cs="Arial"/>
          <w:sz w:val="22"/>
          <w:szCs w:val="22"/>
        </w:rPr>
        <w:t>shaped</w:t>
      </w:r>
      <w:r w:rsidRPr="00846137">
        <w:rPr>
          <w:rFonts w:ascii="Arial" w:hAnsi="Arial" w:cs="Arial"/>
          <w:sz w:val="22"/>
          <w:szCs w:val="22"/>
        </w:rPr>
        <w:t xml:space="preserve"> by external factors. This diversity calls for </w:t>
      </w:r>
      <w:r w:rsidR="00BC190D">
        <w:rPr>
          <w:rFonts w:ascii="Arial" w:hAnsi="Arial" w:cs="Arial"/>
          <w:sz w:val="22"/>
          <w:szCs w:val="22"/>
        </w:rPr>
        <w:t>further investigation into how these distinctions materialise across</w:t>
      </w:r>
      <w:r w:rsidRPr="00846137">
        <w:rPr>
          <w:rFonts w:ascii="Arial" w:hAnsi="Arial" w:cs="Arial"/>
          <w:sz w:val="22"/>
          <w:szCs w:val="22"/>
        </w:rPr>
        <w:t xml:space="preserve"> various business contexts, especially between luxury and mass-market automobile companies.</w:t>
      </w:r>
    </w:p>
    <w:p w14:paraId="1C9D3841" w14:textId="2E762588" w:rsidR="0081724D" w:rsidRPr="00D14103" w:rsidRDefault="0081724D" w:rsidP="00D14103">
      <w:pPr>
        <w:pStyle w:val="Heading2"/>
        <w:spacing w:before="120"/>
        <w:rPr>
          <w:b/>
          <w:bCs/>
          <w:sz w:val="22"/>
          <w:szCs w:val="22"/>
        </w:rPr>
      </w:pPr>
      <w:bookmarkStart w:id="13" w:name="_Toc228883239"/>
      <w:r w:rsidRPr="00D14103">
        <w:rPr>
          <w:b/>
          <w:bCs/>
          <w:sz w:val="22"/>
          <w:szCs w:val="22"/>
        </w:rPr>
        <w:t>2.</w:t>
      </w:r>
      <w:r w:rsidR="00447C3E" w:rsidRPr="00D14103">
        <w:rPr>
          <w:b/>
          <w:bCs/>
          <w:sz w:val="22"/>
          <w:szCs w:val="22"/>
        </w:rPr>
        <w:t>5</w:t>
      </w:r>
      <w:r w:rsidRPr="00D14103">
        <w:rPr>
          <w:b/>
          <w:bCs/>
          <w:sz w:val="22"/>
          <w:szCs w:val="22"/>
        </w:rPr>
        <w:t xml:space="preserve">. </w:t>
      </w:r>
      <w:r w:rsidR="00912B53" w:rsidRPr="00D14103">
        <w:rPr>
          <w:b/>
          <w:bCs/>
          <w:sz w:val="22"/>
          <w:szCs w:val="22"/>
        </w:rPr>
        <w:t>Automotive Industry Context (Luxury vs Mass)</w:t>
      </w:r>
      <w:bookmarkEnd w:id="13"/>
    </w:p>
    <w:p w14:paraId="10AA1286" w14:textId="6C927F2C" w:rsidR="001164A1" w:rsidRPr="001164A1" w:rsidRDefault="001164A1" w:rsidP="001164A1">
      <w:pPr>
        <w:spacing w:after="0" w:line="360" w:lineRule="auto"/>
        <w:ind w:firstLine="567"/>
        <w:jc w:val="both"/>
        <w:rPr>
          <w:rFonts w:ascii="Arial" w:hAnsi="Arial" w:cs="Arial"/>
          <w:sz w:val="22"/>
          <w:szCs w:val="22"/>
        </w:rPr>
      </w:pPr>
      <w:r>
        <w:rPr>
          <w:rFonts w:ascii="Arial" w:hAnsi="Arial" w:cs="Arial"/>
          <w:sz w:val="22"/>
          <w:szCs w:val="22"/>
        </w:rPr>
        <w:t>To better understand RQ1 and RQ2, it is important to examine how structural disparities in resilience across</w:t>
      </w:r>
      <w:r w:rsidRPr="001164A1">
        <w:rPr>
          <w:rFonts w:ascii="Arial" w:hAnsi="Arial" w:cs="Arial"/>
          <w:sz w:val="22"/>
          <w:szCs w:val="22"/>
        </w:rPr>
        <w:t xml:space="preserve"> enterprises are influencing the automotive industry. Internal configurations and sectoral positioning impact how organisations respond to comparable external disturbances. With its highly efficient operations and broad global interconnection, the </w:t>
      </w:r>
      <w:r w:rsidR="00F31898">
        <w:rPr>
          <w:rFonts w:ascii="Arial" w:hAnsi="Arial" w:cs="Arial"/>
          <w:sz w:val="22"/>
          <w:szCs w:val="22"/>
        </w:rPr>
        <w:t>automotive</w:t>
      </w:r>
      <w:r w:rsidRPr="001164A1">
        <w:rPr>
          <w:rFonts w:ascii="Arial" w:hAnsi="Arial" w:cs="Arial"/>
          <w:sz w:val="22"/>
          <w:szCs w:val="22"/>
        </w:rPr>
        <w:t xml:space="preserve"> sector offers a </w:t>
      </w:r>
      <w:r>
        <w:rPr>
          <w:rFonts w:ascii="Arial" w:hAnsi="Arial" w:cs="Arial"/>
          <w:sz w:val="22"/>
          <w:szCs w:val="22"/>
        </w:rPr>
        <w:t>particularly pertinent setting</w:t>
      </w:r>
      <w:r w:rsidRPr="001164A1">
        <w:rPr>
          <w:rFonts w:ascii="Arial" w:hAnsi="Arial" w:cs="Arial"/>
          <w:sz w:val="22"/>
          <w:szCs w:val="22"/>
        </w:rPr>
        <w:t>. Nevertheless, the distribution of this complexity is not uniform</w:t>
      </w:r>
      <w:r>
        <w:rPr>
          <w:rFonts w:ascii="Arial" w:hAnsi="Arial" w:cs="Arial"/>
          <w:sz w:val="22"/>
          <w:szCs w:val="22"/>
        </w:rPr>
        <w:t>;</w:t>
      </w:r>
      <w:r w:rsidRPr="001164A1">
        <w:rPr>
          <w:rFonts w:ascii="Arial" w:hAnsi="Arial" w:cs="Arial"/>
          <w:sz w:val="22"/>
          <w:szCs w:val="22"/>
        </w:rPr>
        <w:t xml:space="preserve"> </w:t>
      </w:r>
      <w:r w:rsidR="001C642A">
        <w:rPr>
          <w:rFonts w:ascii="Arial" w:hAnsi="Arial" w:cs="Arial"/>
          <w:sz w:val="22"/>
          <w:szCs w:val="22"/>
        </w:rPr>
        <w:t>it</w:t>
      </w:r>
      <w:r w:rsidRPr="001164A1">
        <w:rPr>
          <w:rFonts w:ascii="Arial" w:hAnsi="Arial" w:cs="Arial"/>
          <w:sz w:val="22"/>
          <w:szCs w:val="22"/>
        </w:rPr>
        <w:t xml:space="preserve"> need</w:t>
      </w:r>
      <w:r w:rsidR="001C642A">
        <w:rPr>
          <w:rFonts w:ascii="Arial" w:hAnsi="Arial" w:cs="Arial"/>
          <w:sz w:val="22"/>
          <w:szCs w:val="22"/>
        </w:rPr>
        <w:t>s</w:t>
      </w:r>
      <w:r w:rsidRPr="001164A1">
        <w:rPr>
          <w:rFonts w:ascii="Arial" w:hAnsi="Arial" w:cs="Arial"/>
          <w:sz w:val="22"/>
          <w:szCs w:val="22"/>
        </w:rPr>
        <w:t xml:space="preserve"> to separate producers targeting the luxury market from those targeting the general market </w:t>
      </w:r>
      <w:r>
        <w:rPr>
          <w:rFonts w:ascii="Arial" w:hAnsi="Arial" w:cs="Arial"/>
          <w:sz w:val="22"/>
          <w:szCs w:val="22"/>
        </w:rPr>
        <w:t>to understand</w:t>
      </w:r>
      <w:r w:rsidRPr="001164A1">
        <w:rPr>
          <w:rFonts w:ascii="Arial" w:hAnsi="Arial" w:cs="Arial"/>
          <w:sz w:val="22"/>
          <w:szCs w:val="22"/>
        </w:rPr>
        <w:t xml:space="preserve"> the practical differences in resilience methods.</w:t>
      </w:r>
    </w:p>
    <w:p w14:paraId="679567E2" w14:textId="58B2FB40" w:rsidR="001164A1" w:rsidRPr="001164A1" w:rsidRDefault="001164A1" w:rsidP="007A40E0">
      <w:pPr>
        <w:spacing w:after="0" w:line="360" w:lineRule="auto"/>
        <w:ind w:firstLine="567"/>
        <w:jc w:val="both"/>
        <w:rPr>
          <w:rFonts w:ascii="Arial" w:hAnsi="Arial" w:cs="Arial"/>
          <w:sz w:val="22"/>
          <w:szCs w:val="22"/>
        </w:rPr>
      </w:pPr>
      <w:r w:rsidRPr="001164A1">
        <w:rPr>
          <w:rFonts w:ascii="Arial" w:hAnsi="Arial" w:cs="Arial"/>
          <w:sz w:val="22"/>
          <w:szCs w:val="22"/>
        </w:rPr>
        <w:t xml:space="preserve">Some </w:t>
      </w:r>
      <w:r>
        <w:rPr>
          <w:rFonts w:ascii="Arial" w:hAnsi="Arial" w:cs="Arial"/>
          <w:sz w:val="22"/>
          <w:szCs w:val="22"/>
        </w:rPr>
        <w:t>distinctive characteristics of automotive supply chains include</w:t>
      </w:r>
      <w:r w:rsidRPr="001164A1">
        <w:rPr>
          <w:rFonts w:ascii="Arial" w:hAnsi="Arial" w:cs="Arial"/>
          <w:sz w:val="22"/>
          <w:szCs w:val="22"/>
        </w:rPr>
        <w:t xml:space="preserve"> rapid manufacturing, dependence on high-value components, and multi-tier supplier networks. Under steady-state </w:t>
      </w:r>
      <w:r>
        <w:rPr>
          <w:rFonts w:ascii="Arial" w:hAnsi="Arial" w:cs="Arial"/>
          <w:sz w:val="22"/>
          <w:szCs w:val="22"/>
        </w:rPr>
        <w:t>conditions, these traits boost efficiency; nevertheless, when disturbances occur, they reduce the system's resilience</w:t>
      </w:r>
      <w:r w:rsidRPr="001164A1">
        <w:rPr>
          <w:rFonts w:ascii="Arial" w:hAnsi="Arial" w:cs="Arial"/>
          <w:sz w:val="22"/>
          <w:szCs w:val="22"/>
        </w:rPr>
        <w:t xml:space="preserve">. Shocks may spread quickly among interdependent suppliers and regions, lending credence to the idea that systems with strong coupling are more prone to domino effects (Lee, Sohn, and Rojen, 2023). Consequently, synchronisation </w:t>
      </w:r>
      <w:r w:rsidR="007A40E0" w:rsidRPr="007A40E0">
        <w:rPr>
          <w:rFonts w:ascii="Arial" w:hAnsi="Arial" w:cs="Arial"/>
          <w:sz w:val="22"/>
          <w:szCs w:val="22"/>
        </w:rPr>
        <w:t>intensifies</w:t>
      </w:r>
      <w:r w:rsidRPr="001164A1">
        <w:rPr>
          <w:rFonts w:ascii="Arial" w:hAnsi="Arial" w:cs="Arial"/>
          <w:sz w:val="22"/>
          <w:szCs w:val="22"/>
        </w:rPr>
        <w:t xml:space="preserve"> rather than mitigates interruption caused by the failure of essential suppliers or logistical hubs.</w:t>
      </w:r>
    </w:p>
    <w:p w14:paraId="69BF34B2" w14:textId="77777777" w:rsidR="001164A1" w:rsidRPr="001164A1" w:rsidRDefault="001164A1" w:rsidP="001164A1">
      <w:pPr>
        <w:spacing w:after="0" w:line="360" w:lineRule="auto"/>
        <w:ind w:firstLine="567"/>
        <w:jc w:val="both"/>
        <w:rPr>
          <w:rFonts w:ascii="Arial" w:hAnsi="Arial" w:cs="Arial"/>
          <w:sz w:val="22"/>
          <w:szCs w:val="22"/>
        </w:rPr>
      </w:pPr>
    </w:p>
    <w:p w14:paraId="57B1F12F" w14:textId="414D436E" w:rsidR="001164A1" w:rsidRPr="001164A1" w:rsidRDefault="001164A1" w:rsidP="001164A1">
      <w:pPr>
        <w:spacing w:after="0" w:line="360" w:lineRule="auto"/>
        <w:ind w:firstLine="567"/>
        <w:jc w:val="both"/>
        <w:rPr>
          <w:rFonts w:ascii="Arial" w:hAnsi="Arial" w:cs="Arial"/>
          <w:sz w:val="22"/>
          <w:szCs w:val="22"/>
        </w:rPr>
      </w:pPr>
      <w:r w:rsidRPr="001164A1">
        <w:rPr>
          <w:rFonts w:ascii="Arial" w:hAnsi="Arial" w:cs="Arial"/>
          <w:sz w:val="22"/>
          <w:szCs w:val="22"/>
        </w:rPr>
        <w:t xml:space="preserve">Some businesses are more susceptible to this structural weakness than others. The limits that mass-market manufacturers face are quite different from those that luxury manufacturers </w:t>
      </w:r>
      <w:r>
        <w:rPr>
          <w:rFonts w:ascii="Arial" w:hAnsi="Arial" w:cs="Arial"/>
          <w:sz w:val="22"/>
          <w:szCs w:val="22"/>
        </w:rPr>
        <w:t>such as Morgan Motor Company, Bentley, Aston Martin, McLaren, Rolls-Royce, Lotus</w:t>
      </w:r>
      <w:r w:rsidRPr="001164A1">
        <w:rPr>
          <w:rFonts w:ascii="Arial" w:hAnsi="Arial" w:cs="Arial"/>
          <w:sz w:val="22"/>
          <w:szCs w:val="22"/>
        </w:rPr>
        <w:t xml:space="preserve">, and JLR face. Companies that produce goods on a large scale rely on JIT systems to maximise efficiency and minimise costs. Luxury enterprises, on the other hand, may more easily weather disruptions by increasing </w:t>
      </w:r>
      <w:r>
        <w:rPr>
          <w:rFonts w:ascii="Arial" w:hAnsi="Arial" w:cs="Arial"/>
          <w:sz w:val="22"/>
          <w:szCs w:val="22"/>
        </w:rPr>
        <w:t>stock levels or diversifying their supplier base, given</w:t>
      </w:r>
      <w:r w:rsidRPr="001164A1">
        <w:rPr>
          <w:rFonts w:ascii="Arial" w:hAnsi="Arial" w:cs="Arial"/>
          <w:sz w:val="22"/>
          <w:szCs w:val="22"/>
        </w:rPr>
        <w:t xml:space="preserve"> their larger profit margins and smaller production volumes.</w:t>
      </w:r>
    </w:p>
    <w:p w14:paraId="6DF62EE7" w14:textId="001AC653" w:rsidR="001164A1" w:rsidRPr="001164A1" w:rsidRDefault="001164A1" w:rsidP="001164A1">
      <w:pPr>
        <w:spacing w:after="0" w:line="360" w:lineRule="auto"/>
        <w:ind w:firstLine="567"/>
        <w:jc w:val="both"/>
        <w:rPr>
          <w:rFonts w:ascii="Arial" w:hAnsi="Arial" w:cs="Arial"/>
          <w:sz w:val="22"/>
          <w:szCs w:val="22"/>
        </w:rPr>
      </w:pPr>
      <w:r>
        <w:rPr>
          <w:rFonts w:ascii="Arial" w:hAnsi="Arial" w:cs="Arial"/>
          <w:sz w:val="22"/>
          <w:szCs w:val="22"/>
        </w:rPr>
        <w:t>That said</w:t>
      </w:r>
      <w:r w:rsidRPr="001164A1">
        <w:rPr>
          <w:rFonts w:ascii="Arial" w:hAnsi="Arial" w:cs="Arial"/>
          <w:sz w:val="22"/>
          <w:szCs w:val="22"/>
        </w:rPr>
        <w:t xml:space="preserve">, this is not always a benefit. Concentrated risk exposure occurs when luxury enterprises rely on specialist suppliers for speciality components. The advantages of flexibility would be nullified if problems with these suppliers caused a complete stop to production. On the other </w:t>
      </w:r>
      <w:r>
        <w:rPr>
          <w:rFonts w:ascii="Arial" w:hAnsi="Arial" w:cs="Arial"/>
          <w:sz w:val="22"/>
          <w:szCs w:val="22"/>
        </w:rPr>
        <w:t>hand, mass producers may be able to maintain supply stability despite price restrictions by leveraging</w:t>
      </w:r>
      <w:r w:rsidRPr="001164A1">
        <w:rPr>
          <w:rFonts w:ascii="Arial" w:hAnsi="Arial" w:cs="Arial"/>
          <w:sz w:val="22"/>
          <w:szCs w:val="22"/>
        </w:rPr>
        <w:t xml:space="preserve"> economies of scale and stronger negotiating positions.</w:t>
      </w:r>
    </w:p>
    <w:p w14:paraId="49959FB3" w14:textId="3836E388" w:rsidR="0051583D" w:rsidRPr="001164A1" w:rsidRDefault="001164A1" w:rsidP="001164A1">
      <w:pPr>
        <w:spacing w:after="0" w:line="360" w:lineRule="auto"/>
        <w:ind w:firstLine="567"/>
        <w:jc w:val="both"/>
        <w:rPr>
          <w:rFonts w:ascii="Arial" w:hAnsi="Arial" w:cs="Arial"/>
          <w:sz w:val="22"/>
          <w:szCs w:val="22"/>
        </w:rPr>
      </w:pPr>
      <w:r w:rsidRPr="001164A1">
        <w:rPr>
          <w:rFonts w:ascii="Arial" w:hAnsi="Arial" w:cs="Arial"/>
          <w:sz w:val="22"/>
          <w:szCs w:val="22"/>
        </w:rPr>
        <w:t>So, resilience isn't just about being adaptable; it's a product of how strategic goals, supply chain topologies, and cost structures interact. That different kinds of businesses react differently to the same disruption situations is made clear here. The idea of antifragility expands on this idea by positing that certain businesses may not only survive but thrive in the face of change. The ability of supply chains to adapt determines their evolution from resistance to resilience and, finally, antifragility (Figure 2.3). The analysis of how resilience approaches result in performance disparities across automotive manufacturers may be significantly improved by emphasising this sectoral differentiation.</w:t>
      </w:r>
    </w:p>
    <w:p w14:paraId="51595441" w14:textId="77777777" w:rsidR="001164A1" w:rsidRPr="00DA2809" w:rsidRDefault="001164A1" w:rsidP="00DA2809">
      <w:pPr>
        <w:spacing w:after="0" w:line="360" w:lineRule="auto"/>
        <w:ind w:firstLine="567"/>
        <w:jc w:val="both"/>
        <w:rPr>
          <w:rFonts w:ascii="Arial" w:hAnsi="Arial" w:cs="Arial"/>
          <w:sz w:val="16"/>
          <w:szCs w:val="16"/>
        </w:rPr>
      </w:pPr>
    </w:p>
    <w:p w14:paraId="3E33759D" w14:textId="15605182" w:rsidR="00F40107" w:rsidRDefault="0051583D" w:rsidP="0051583D">
      <w:pPr>
        <w:spacing w:after="0" w:line="360" w:lineRule="auto"/>
        <w:jc w:val="center"/>
        <w:rPr>
          <w:rFonts w:ascii="Arial" w:hAnsi="Arial" w:cs="Arial"/>
          <w:sz w:val="20"/>
          <w:szCs w:val="20"/>
        </w:rPr>
      </w:pPr>
      <w:r w:rsidRPr="0051583D">
        <w:rPr>
          <w:rFonts w:ascii="Arial" w:hAnsi="Arial" w:cs="Arial"/>
          <w:sz w:val="20"/>
          <w:szCs w:val="20"/>
        </w:rPr>
        <w:t>Figure 2.</w:t>
      </w:r>
      <w:r>
        <w:rPr>
          <w:rFonts w:ascii="Arial" w:hAnsi="Arial" w:cs="Arial"/>
          <w:sz w:val="20"/>
          <w:szCs w:val="20"/>
        </w:rPr>
        <w:t xml:space="preserve">3. </w:t>
      </w:r>
      <w:r w:rsidRPr="0051583D">
        <w:rPr>
          <w:rFonts w:ascii="Arial" w:hAnsi="Arial" w:cs="Arial"/>
          <w:sz w:val="20"/>
          <w:szCs w:val="20"/>
        </w:rPr>
        <w:t>From Supply Chain Robustness to Antifragility</w:t>
      </w:r>
      <w:r w:rsidR="00221708">
        <w:rPr>
          <w:rFonts w:ascii="Arial" w:hAnsi="Arial" w:cs="Arial"/>
          <w:sz w:val="20"/>
          <w:szCs w:val="20"/>
        </w:rPr>
        <w:t xml:space="preserve"> </w:t>
      </w:r>
      <w:r w:rsidR="00221708" w:rsidRPr="00221708">
        <w:rPr>
          <w:rFonts w:ascii="Arial" w:hAnsi="Arial" w:cs="Arial"/>
          <w:sz w:val="20"/>
          <w:szCs w:val="20"/>
        </w:rPr>
        <w:t>(Adapted from Ismail et al., 2026)</w:t>
      </w:r>
    </w:p>
    <w:p w14:paraId="2DF7F769" w14:textId="102A8CB1" w:rsidR="00B743B2" w:rsidRDefault="003020FB" w:rsidP="0051583D">
      <w:pPr>
        <w:spacing w:after="0" w:line="360" w:lineRule="auto"/>
        <w:jc w:val="center"/>
        <w:rPr>
          <w:rFonts w:ascii="Arial" w:hAnsi="Arial" w:cs="Arial"/>
          <w:sz w:val="20"/>
          <w:szCs w:val="20"/>
        </w:rPr>
      </w:pPr>
      <w:r w:rsidRPr="003020FB">
        <w:rPr>
          <w:rFonts w:ascii="Arial" w:hAnsi="Arial" w:cs="Arial"/>
          <w:noProof/>
          <w:sz w:val="20"/>
          <w:szCs w:val="20"/>
        </w:rPr>
        <w:drawing>
          <wp:inline distT="0" distB="0" distL="0" distR="0" wp14:anchorId="4B641088" wp14:editId="7BCA5B8C">
            <wp:extent cx="4116026" cy="1816925"/>
            <wp:effectExtent l="0" t="0" r="0" b="0"/>
            <wp:docPr id="920417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17691" name=""/>
                    <pic:cNvPicPr/>
                  </pic:nvPicPr>
                  <pic:blipFill>
                    <a:blip r:embed="rId13"/>
                    <a:stretch>
                      <a:fillRect/>
                    </a:stretch>
                  </pic:blipFill>
                  <pic:spPr>
                    <a:xfrm>
                      <a:off x="0" y="0"/>
                      <a:ext cx="4158845" cy="1835827"/>
                    </a:xfrm>
                    <a:prstGeom prst="rect">
                      <a:avLst/>
                    </a:prstGeom>
                  </pic:spPr>
                </pic:pic>
              </a:graphicData>
            </a:graphic>
          </wp:inline>
        </w:drawing>
      </w:r>
    </w:p>
    <w:p w14:paraId="520EEB33" w14:textId="0CDA24AB" w:rsidR="00A978BB" w:rsidRPr="00A978BB" w:rsidRDefault="00A978BB" w:rsidP="00A978BB">
      <w:pPr>
        <w:spacing w:after="0" w:line="360" w:lineRule="auto"/>
        <w:ind w:firstLine="567"/>
        <w:jc w:val="both"/>
        <w:rPr>
          <w:rFonts w:ascii="Arial" w:hAnsi="Arial" w:cs="Arial"/>
          <w:sz w:val="22"/>
          <w:szCs w:val="22"/>
        </w:rPr>
      </w:pPr>
      <w:r w:rsidRPr="00A978BB">
        <w:rPr>
          <w:rFonts w:ascii="Arial" w:hAnsi="Arial" w:cs="Arial"/>
          <w:sz w:val="22"/>
          <w:szCs w:val="22"/>
        </w:rPr>
        <w:t xml:space="preserve">Structure and organisational variables both </w:t>
      </w:r>
      <w:r>
        <w:rPr>
          <w:rFonts w:ascii="Arial" w:hAnsi="Arial" w:cs="Arial"/>
          <w:sz w:val="22"/>
          <w:szCs w:val="22"/>
        </w:rPr>
        <w:t>play a role in shaping the variance in this resilience result</w:t>
      </w:r>
      <w:r w:rsidRPr="00A978BB">
        <w:rPr>
          <w:rFonts w:ascii="Arial" w:hAnsi="Arial" w:cs="Arial"/>
          <w:sz w:val="22"/>
          <w:szCs w:val="22"/>
        </w:rPr>
        <w:t xml:space="preserve">. According to Nikookar, Stevenson, and </w:t>
      </w:r>
      <w:proofErr w:type="spellStart"/>
      <w:r w:rsidRPr="00A978BB">
        <w:rPr>
          <w:rFonts w:ascii="Arial" w:hAnsi="Arial" w:cs="Arial"/>
          <w:sz w:val="22"/>
          <w:szCs w:val="22"/>
        </w:rPr>
        <w:t>Varsei</w:t>
      </w:r>
      <w:proofErr w:type="spellEnd"/>
      <w:r w:rsidRPr="00A978BB">
        <w:rPr>
          <w:rFonts w:ascii="Arial" w:hAnsi="Arial" w:cs="Arial"/>
          <w:sz w:val="22"/>
          <w:szCs w:val="22"/>
        </w:rPr>
        <w:t xml:space="preserve"> (2024a), antifragility occurs when a company's operational environment is compatible with its sense, seize, and reconfigure capabilities. This alignment varies </w:t>
      </w:r>
      <w:r>
        <w:rPr>
          <w:rFonts w:ascii="Arial" w:hAnsi="Arial" w:cs="Arial"/>
          <w:sz w:val="22"/>
          <w:szCs w:val="22"/>
        </w:rPr>
        <w:t>widely across</w:t>
      </w:r>
      <w:r w:rsidRPr="00A978BB">
        <w:rPr>
          <w:rFonts w:ascii="Arial" w:hAnsi="Arial" w:cs="Arial"/>
          <w:sz w:val="22"/>
          <w:szCs w:val="22"/>
        </w:rPr>
        <w:t xml:space="preserve"> firms in the automobile industry. The operational flexibility of luxury manufacturers allows them to swap suppliers and use buffering methods, whereas the efficiency of mass manufacturers is prioritised via demand </w:t>
      </w:r>
      <w:r w:rsidRPr="00A978BB">
        <w:rPr>
          <w:rFonts w:ascii="Arial" w:hAnsi="Arial" w:cs="Arial"/>
          <w:sz w:val="22"/>
          <w:szCs w:val="22"/>
        </w:rPr>
        <w:lastRenderedPageBreak/>
        <w:t xml:space="preserve">forecasts and networks that are well linked. This leads to different reactions to disturbance. </w:t>
      </w:r>
      <w:r>
        <w:rPr>
          <w:rFonts w:ascii="Arial" w:hAnsi="Arial" w:cs="Arial"/>
          <w:sz w:val="22"/>
          <w:szCs w:val="22"/>
        </w:rPr>
        <w:t>Reliance on continuous flow causes higher production losses for high-volume enterprises (Wu et al., 2024), whereas low-volume manufacturers keep costs stable but face greater</w:t>
      </w:r>
      <w:r w:rsidRPr="00A978BB">
        <w:rPr>
          <w:rFonts w:ascii="Arial" w:hAnsi="Arial" w:cs="Arial"/>
          <w:sz w:val="22"/>
          <w:szCs w:val="22"/>
        </w:rPr>
        <w:t xml:space="preserve"> volatility. According to Table 2.3, this further supports the idea that resilience results differ consistently throughout categories.</w:t>
      </w:r>
    </w:p>
    <w:p w14:paraId="41B2B99D" w14:textId="77777777" w:rsidR="00A978BB" w:rsidRPr="008D2FD5" w:rsidRDefault="00A978BB" w:rsidP="008D2FD5">
      <w:pPr>
        <w:spacing w:after="0" w:line="360" w:lineRule="auto"/>
        <w:ind w:firstLine="567"/>
        <w:jc w:val="both"/>
        <w:rPr>
          <w:rFonts w:ascii="Arial" w:hAnsi="Arial" w:cs="Arial"/>
          <w:sz w:val="16"/>
          <w:szCs w:val="16"/>
        </w:rPr>
      </w:pPr>
    </w:p>
    <w:p w14:paraId="66430CE9" w14:textId="32DE675A" w:rsidR="0012537B" w:rsidRPr="003C4037" w:rsidRDefault="003C4037" w:rsidP="003C4037">
      <w:pPr>
        <w:spacing w:after="0" w:line="360" w:lineRule="auto"/>
        <w:ind w:firstLine="567"/>
        <w:jc w:val="center"/>
        <w:rPr>
          <w:rFonts w:ascii="Arial" w:hAnsi="Arial" w:cs="Arial"/>
          <w:sz w:val="20"/>
          <w:szCs w:val="20"/>
        </w:rPr>
      </w:pPr>
      <w:r w:rsidRPr="003C4037">
        <w:rPr>
          <w:rFonts w:ascii="Arial" w:hAnsi="Arial" w:cs="Arial"/>
          <w:sz w:val="20"/>
          <w:szCs w:val="20"/>
        </w:rPr>
        <w:t>Table 2.3: Luxury vs Mass Automotive Supply Chain Characteristics (UK Context, 2023–2024)</w:t>
      </w:r>
    </w:p>
    <w:p w14:paraId="7B4DACFA" w14:textId="1F6344F5" w:rsidR="00F40107" w:rsidRPr="00C17515" w:rsidRDefault="008D2FD5" w:rsidP="00C17515">
      <w:pPr>
        <w:jc w:val="center"/>
        <w:rPr>
          <w:rFonts w:ascii="Arial" w:hAnsi="Arial" w:cs="Arial"/>
          <w:sz w:val="22"/>
          <w:szCs w:val="22"/>
        </w:rPr>
      </w:pPr>
      <w:r w:rsidRPr="008D2FD5">
        <w:rPr>
          <w:rFonts w:ascii="Arial" w:hAnsi="Arial" w:cs="Arial"/>
          <w:noProof/>
          <w:sz w:val="22"/>
          <w:szCs w:val="22"/>
        </w:rPr>
        <w:drawing>
          <wp:inline distT="0" distB="0" distL="0" distR="0" wp14:anchorId="3E5923F3" wp14:editId="57BD1AFE">
            <wp:extent cx="3908517" cy="1804670"/>
            <wp:effectExtent l="0" t="0" r="0" b="5080"/>
            <wp:docPr id="58246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67831" name=""/>
                    <pic:cNvPicPr/>
                  </pic:nvPicPr>
                  <pic:blipFill>
                    <a:blip r:embed="rId14"/>
                    <a:stretch>
                      <a:fillRect/>
                    </a:stretch>
                  </pic:blipFill>
                  <pic:spPr>
                    <a:xfrm>
                      <a:off x="0" y="0"/>
                      <a:ext cx="3966619" cy="1831497"/>
                    </a:xfrm>
                    <a:prstGeom prst="rect">
                      <a:avLst/>
                    </a:prstGeom>
                  </pic:spPr>
                </pic:pic>
              </a:graphicData>
            </a:graphic>
          </wp:inline>
        </w:drawing>
      </w:r>
    </w:p>
    <w:p w14:paraId="747850C5" w14:textId="25ACF7C6" w:rsidR="00F40107" w:rsidRDefault="00A730B9" w:rsidP="00A730B9">
      <w:pPr>
        <w:jc w:val="center"/>
        <w:rPr>
          <w:rFonts w:ascii="Arial" w:hAnsi="Arial" w:cs="Arial"/>
          <w:i/>
          <w:iCs/>
          <w:sz w:val="20"/>
          <w:szCs w:val="20"/>
        </w:rPr>
      </w:pPr>
      <w:r>
        <w:rPr>
          <w:rFonts w:ascii="Arial" w:hAnsi="Arial" w:cs="Arial"/>
          <w:i/>
          <w:iCs/>
          <w:sz w:val="20"/>
          <w:szCs w:val="20"/>
        </w:rPr>
        <w:t>(</w:t>
      </w:r>
      <w:r w:rsidRPr="00A730B9">
        <w:rPr>
          <w:rFonts w:ascii="Arial" w:hAnsi="Arial" w:cs="Arial"/>
          <w:i/>
          <w:iCs/>
          <w:sz w:val="20"/>
          <w:szCs w:val="20"/>
        </w:rPr>
        <w:t xml:space="preserve">Source: Adapted from Wu et al. (2024), </w:t>
      </w:r>
      <w:proofErr w:type="spellStart"/>
      <w:r w:rsidRPr="00A730B9">
        <w:rPr>
          <w:rFonts w:ascii="Arial" w:hAnsi="Arial" w:cs="Arial"/>
          <w:i/>
          <w:iCs/>
          <w:sz w:val="20"/>
          <w:szCs w:val="20"/>
        </w:rPr>
        <w:t>Nikookar</w:t>
      </w:r>
      <w:proofErr w:type="spellEnd"/>
      <w:r w:rsidRPr="00A730B9">
        <w:rPr>
          <w:rFonts w:ascii="Arial" w:hAnsi="Arial" w:cs="Arial"/>
          <w:i/>
          <w:iCs/>
          <w:sz w:val="20"/>
          <w:szCs w:val="20"/>
        </w:rPr>
        <w:t xml:space="preserve"> et al. (2024a), and industry datasets</w:t>
      </w:r>
      <w:r>
        <w:rPr>
          <w:rFonts w:ascii="Arial" w:hAnsi="Arial" w:cs="Arial"/>
          <w:i/>
          <w:iCs/>
          <w:sz w:val="20"/>
          <w:szCs w:val="20"/>
        </w:rPr>
        <w:t>)</w:t>
      </w:r>
    </w:p>
    <w:p w14:paraId="59B4B9BE" w14:textId="77777777" w:rsidR="009001B5" w:rsidRPr="00FC4FE2" w:rsidRDefault="009001B5" w:rsidP="009001B5">
      <w:pPr>
        <w:spacing w:after="0" w:line="360" w:lineRule="auto"/>
        <w:jc w:val="center"/>
        <w:rPr>
          <w:rFonts w:ascii="Arial" w:hAnsi="Arial" w:cs="Arial"/>
          <w:i/>
          <w:iCs/>
          <w:sz w:val="16"/>
          <w:szCs w:val="16"/>
        </w:rPr>
      </w:pPr>
    </w:p>
    <w:p w14:paraId="5A962EDE" w14:textId="21A61211" w:rsidR="009001B5" w:rsidRPr="009001B5" w:rsidRDefault="009001B5" w:rsidP="00641E18">
      <w:pPr>
        <w:spacing w:after="0" w:line="360" w:lineRule="auto"/>
        <w:ind w:firstLine="567"/>
        <w:jc w:val="both"/>
        <w:rPr>
          <w:rFonts w:ascii="Arial" w:hAnsi="Arial" w:cs="Arial"/>
          <w:sz w:val="22"/>
          <w:szCs w:val="22"/>
        </w:rPr>
      </w:pPr>
      <w:r w:rsidRPr="009001B5">
        <w:rPr>
          <w:rFonts w:ascii="Arial" w:hAnsi="Arial" w:cs="Arial"/>
          <w:sz w:val="22"/>
          <w:szCs w:val="22"/>
        </w:rPr>
        <w:t>As seen in the illustration, companies in the luxury car category usually have larger inventory buffers, which gives them more leeway to deal with disruptions. This highlights the significance of structural positioning as the same external shocks, like the Red Sea crisis, have distinct operational</w:t>
      </w:r>
      <w:r w:rsidR="00641E18">
        <w:rPr>
          <w:rFonts w:ascii="Arial" w:hAnsi="Arial" w:cs="Arial"/>
          <w:sz w:val="22"/>
          <w:szCs w:val="22"/>
        </w:rPr>
        <w:t xml:space="preserve"> </w:t>
      </w:r>
      <w:r w:rsidR="00641E18" w:rsidRPr="00641E18">
        <w:rPr>
          <w:rFonts w:ascii="Arial" w:hAnsi="Arial" w:cs="Arial"/>
          <w:sz w:val="22"/>
          <w:szCs w:val="22"/>
        </w:rPr>
        <w:t>Impacts</w:t>
      </w:r>
      <w:r w:rsidRPr="009001B5">
        <w:rPr>
          <w:rFonts w:ascii="Arial" w:hAnsi="Arial" w:cs="Arial"/>
          <w:sz w:val="22"/>
          <w:szCs w:val="22"/>
        </w:rPr>
        <w:t>. This indicates that resilience tactics should not be generic but rather tailored to the unique qualities of each company. According to Preuss et al. (2024), context-sensitive adaptability is crucial because structural alignment, internal capabilities, and exposure to external risk determine the efficacy of JIT or JIC.</w:t>
      </w:r>
    </w:p>
    <w:p w14:paraId="79F9D9EE" w14:textId="4E90EF29" w:rsidR="00F40107" w:rsidRPr="009001B5" w:rsidRDefault="009001B5" w:rsidP="009001B5">
      <w:pPr>
        <w:spacing w:after="0" w:line="360" w:lineRule="auto"/>
        <w:ind w:firstLine="567"/>
        <w:jc w:val="both"/>
        <w:rPr>
          <w:rFonts w:ascii="Arial" w:hAnsi="Arial" w:cs="Arial"/>
          <w:sz w:val="22"/>
          <w:szCs w:val="22"/>
        </w:rPr>
      </w:pPr>
      <w:r w:rsidRPr="009001B5">
        <w:rPr>
          <w:rFonts w:ascii="Arial" w:hAnsi="Arial" w:cs="Arial"/>
          <w:sz w:val="22"/>
          <w:szCs w:val="22"/>
        </w:rPr>
        <w:t>That resilience is essentially divided is further shown by the vehicle industry. Different approaches to disruption are taken by luxury enterprises and mass manufacturers. The former prioritises flexibility and margin preservation, while the other focuses on cost control and scale efficiency. However, it is not enough to just acknowledge these distinctions; one must also evaluate the operational and financial consequences of performing so. Following the establishment of diversity in resilience results, the empirical methodology utilised to investigate these disparities among UK automotive enterprises is critically examined in the next chapter.</w:t>
      </w:r>
    </w:p>
    <w:p w14:paraId="55709A17" w14:textId="77777777" w:rsidR="00F40107" w:rsidRDefault="00F40107" w:rsidP="00B53850">
      <w:pPr>
        <w:rPr>
          <w:rFonts w:ascii="Arial" w:hAnsi="Arial" w:cs="Arial"/>
          <w:b/>
          <w:bCs/>
          <w:i/>
          <w:iCs/>
          <w:sz w:val="22"/>
          <w:szCs w:val="22"/>
        </w:rPr>
      </w:pPr>
    </w:p>
    <w:p w14:paraId="77E1871E" w14:textId="77777777" w:rsidR="00F40107" w:rsidRDefault="00F40107" w:rsidP="00B53850">
      <w:pPr>
        <w:rPr>
          <w:rFonts w:ascii="Arial" w:hAnsi="Arial" w:cs="Arial"/>
          <w:b/>
          <w:bCs/>
          <w:i/>
          <w:iCs/>
          <w:sz w:val="22"/>
          <w:szCs w:val="22"/>
        </w:rPr>
      </w:pPr>
    </w:p>
    <w:p w14:paraId="60CAB2CC" w14:textId="77777777" w:rsidR="00F40107" w:rsidRDefault="00F40107" w:rsidP="00B53850">
      <w:pPr>
        <w:rPr>
          <w:rFonts w:ascii="Arial" w:hAnsi="Arial" w:cs="Arial"/>
          <w:b/>
          <w:bCs/>
          <w:i/>
          <w:iCs/>
          <w:sz w:val="22"/>
          <w:szCs w:val="22"/>
        </w:rPr>
      </w:pPr>
    </w:p>
    <w:p w14:paraId="1E056BF0" w14:textId="77777777" w:rsidR="00F40107" w:rsidRDefault="00F40107" w:rsidP="00B53850">
      <w:pPr>
        <w:rPr>
          <w:rFonts w:ascii="Arial" w:hAnsi="Arial" w:cs="Arial"/>
          <w:b/>
          <w:bCs/>
          <w:i/>
          <w:iCs/>
          <w:sz w:val="22"/>
          <w:szCs w:val="22"/>
        </w:rPr>
      </w:pPr>
    </w:p>
    <w:p w14:paraId="2A583682" w14:textId="77777777" w:rsidR="009001B5" w:rsidRPr="00F40107" w:rsidRDefault="009001B5" w:rsidP="00B53850">
      <w:pPr>
        <w:rPr>
          <w:rFonts w:ascii="Arial" w:hAnsi="Arial" w:cs="Arial"/>
          <w:b/>
          <w:bCs/>
          <w:i/>
          <w:iCs/>
          <w:sz w:val="22"/>
          <w:szCs w:val="22"/>
        </w:rPr>
      </w:pPr>
    </w:p>
    <w:p w14:paraId="150E36BA" w14:textId="637628FD" w:rsidR="00BB2072" w:rsidRPr="00FC4FE2" w:rsidRDefault="004B518F" w:rsidP="00FC4FE2">
      <w:pPr>
        <w:pStyle w:val="Heading1"/>
        <w:spacing w:before="120"/>
        <w:rPr>
          <w:b/>
          <w:bCs/>
          <w:sz w:val="22"/>
          <w:szCs w:val="22"/>
        </w:rPr>
      </w:pPr>
      <w:bookmarkStart w:id="14" w:name="_Toc228883240"/>
      <w:r w:rsidRPr="00FC4FE2">
        <w:rPr>
          <w:b/>
          <w:bCs/>
          <w:sz w:val="22"/>
          <w:szCs w:val="22"/>
        </w:rPr>
        <w:t>CHAPTER 3: RESEARCH METHODOLOGY</w:t>
      </w:r>
      <w:bookmarkEnd w:id="14"/>
      <w:r w:rsidR="0046317F">
        <w:rPr>
          <w:b/>
          <w:bCs/>
          <w:sz w:val="22"/>
          <w:szCs w:val="22"/>
        </w:rPr>
        <w:t xml:space="preserve"> </w:t>
      </w:r>
      <w:r w:rsidR="0046317F" w:rsidRPr="0046317F">
        <w:rPr>
          <w:b/>
          <w:bCs/>
          <w:sz w:val="22"/>
          <w:szCs w:val="22"/>
        </w:rPr>
        <w:t>(4083 words)</w:t>
      </w:r>
    </w:p>
    <w:p w14:paraId="4DA77669" w14:textId="38FF71F4" w:rsidR="00BB2072" w:rsidRPr="00FC4FE2" w:rsidRDefault="004B5410" w:rsidP="00FC4FE2">
      <w:pPr>
        <w:pStyle w:val="Heading2"/>
        <w:spacing w:before="120"/>
        <w:rPr>
          <w:b/>
          <w:bCs/>
          <w:sz w:val="22"/>
          <w:szCs w:val="22"/>
        </w:rPr>
      </w:pPr>
      <w:bookmarkStart w:id="15" w:name="_Toc228883241"/>
      <w:r w:rsidRPr="00FC4FE2">
        <w:rPr>
          <w:b/>
          <w:bCs/>
          <w:sz w:val="22"/>
          <w:szCs w:val="22"/>
        </w:rPr>
        <w:t xml:space="preserve">3.1. </w:t>
      </w:r>
      <w:r w:rsidR="00514C05" w:rsidRPr="00FC4FE2">
        <w:rPr>
          <w:b/>
          <w:bCs/>
          <w:sz w:val="22"/>
          <w:szCs w:val="22"/>
        </w:rPr>
        <w:t>Introduction</w:t>
      </w:r>
      <w:bookmarkEnd w:id="15"/>
    </w:p>
    <w:p w14:paraId="14B210F7" w14:textId="208BA094" w:rsidR="007E1611" w:rsidRPr="007E1611" w:rsidRDefault="007E1611" w:rsidP="007E1611">
      <w:pPr>
        <w:spacing w:after="0" w:line="360" w:lineRule="auto"/>
        <w:ind w:firstLine="567"/>
        <w:jc w:val="both"/>
        <w:rPr>
          <w:rFonts w:ascii="Arial" w:hAnsi="Arial" w:cs="Arial"/>
          <w:sz w:val="22"/>
          <w:szCs w:val="22"/>
        </w:rPr>
      </w:pPr>
      <w:r w:rsidRPr="007E1611">
        <w:rPr>
          <w:rFonts w:ascii="Arial" w:hAnsi="Arial" w:cs="Arial"/>
          <w:sz w:val="22"/>
          <w:szCs w:val="22"/>
        </w:rPr>
        <w:t>Since 2019, global supply chains have seen major disruptions, which have challenged the supremacy of Just-in-Time (JIT) systems and gradually prompted a change towards tactics that are more robust and buffer-oriented. The automotive industry in the UK has been heavily impacted by global sourcing, complicated supplier networks, and crises like the Red Sea crisis, making this transformation apparent. How JIT and JIC inventory methods have developed and how companies strike a balance between efficiency and resilience in the face of disruption are the topics explored in this research.</w:t>
      </w:r>
    </w:p>
    <w:p w14:paraId="035CE8E3" w14:textId="6EB82879" w:rsidR="007E1611" w:rsidRPr="007E1611" w:rsidRDefault="007E1611" w:rsidP="007E1611">
      <w:pPr>
        <w:spacing w:after="0" w:line="360" w:lineRule="auto"/>
        <w:ind w:firstLine="567"/>
        <w:jc w:val="both"/>
        <w:rPr>
          <w:rFonts w:ascii="Arial" w:hAnsi="Arial" w:cs="Arial"/>
          <w:sz w:val="22"/>
          <w:szCs w:val="22"/>
        </w:rPr>
      </w:pPr>
      <w:r w:rsidRPr="007E1611">
        <w:rPr>
          <w:rFonts w:ascii="Arial" w:hAnsi="Arial" w:cs="Arial"/>
          <w:sz w:val="22"/>
          <w:szCs w:val="22"/>
        </w:rPr>
        <w:t>The study combines financial and operational data at the business level with macroeconomic indicators like the Global Supply Chain Pressure Index using a secondary-data, longitudinal approach. As an illustration of the operational constraints driving strategy change, preliminary trends reveal that inventory buffers increased from around 1–5 days before 2020 to 10–20 days after interruption, while transit delays rose from about 30 to more than 40 days.</w:t>
      </w:r>
    </w:p>
    <w:p w14:paraId="505E4966" w14:textId="768474BB" w:rsidR="007E1611" w:rsidRPr="007E1611" w:rsidRDefault="00E674E5" w:rsidP="007E1611">
      <w:pPr>
        <w:spacing w:after="0" w:line="360" w:lineRule="auto"/>
        <w:ind w:firstLine="567"/>
        <w:jc w:val="both"/>
        <w:rPr>
          <w:rFonts w:ascii="Arial" w:hAnsi="Arial" w:cs="Arial"/>
          <w:sz w:val="22"/>
          <w:szCs w:val="22"/>
        </w:rPr>
      </w:pPr>
      <w:r w:rsidRPr="007E1611">
        <w:rPr>
          <w:rFonts w:ascii="Arial" w:hAnsi="Arial" w:cs="Arial"/>
          <w:sz w:val="22"/>
          <w:szCs w:val="22"/>
        </w:rPr>
        <w:t>To</w:t>
      </w:r>
      <w:r w:rsidR="007E1611" w:rsidRPr="007E1611">
        <w:rPr>
          <w:rFonts w:ascii="Arial" w:hAnsi="Arial" w:cs="Arial"/>
          <w:sz w:val="22"/>
          <w:szCs w:val="22"/>
        </w:rPr>
        <w:t xml:space="preserve"> understand not only whether companies adapt, but also how and why this varies across different types of organisational structures, the research integrates time-series, cross-sectional, and disruption-based analysis.</w:t>
      </w:r>
    </w:p>
    <w:p w14:paraId="4A819BF4" w14:textId="77777777" w:rsidR="00BB2072" w:rsidRPr="007E1611" w:rsidRDefault="00BB2072" w:rsidP="007E1611">
      <w:pPr>
        <w:spacing w:after="0"/>
        <w:ind w:firstLine="567"/>
        <w:jc w:val="both"/>
      </w:pPr>
    </w:p>
    <w:p w14:paraId="26457241" w14:textId="77777777" w:rsidR="00BB2072" w:rsidRPr="007E1611" w:rsidRDefault="00BB2072" w:rsidP="007E1611">
      <w:pPr>
        <w:spacing w:after="0"/>
        <w:ind w:firstLine="567"/>
        <w:jc w:val="both"/>
      </w:pPr>
    </w:p>
    <w:p w14:paraId="290977DF" w14:textId="77777777" w:rsidR="00BB2072" w:rsidRDefault="00BB2072"/>
    <w:p w14:paraId="541645A1" w14:textId="77777777" w:rsidR="00BB2072" w:rsidRDefault="00BB2072"/>
    <w:p w14:paraId="68224F64" w14:textId="77777777" w:rsidR="00BB2072" w:rsidRDefault="00BB2072"/>
    <w:p w14:paraId="1F84794B" w14:textId="77777777" w:rsidR="00BB2072" w:rsidRDefault="00BB2072"/>
    <w:p w14:paraId="56DAD8F6" w14:textId="77777777" w:rsidR="00BB2072" w:rsidRDefault="00BB2072"/>
    <w:p w14:paraId="4882D6F6" w14:textId="77777777" w:rsidR="00BB2072" w:rsidRDefault="00BB2072"/>
    <w:p w14:paraId="0D260E04" w14:textId="77777777" w:rsidR="00BB2072" w:rsidRDefault="00BB2072"/>
    <w:p w14:paraId="47A07DD2" w14:textId="77777777" w:rsidR="00BB2072" w:rsidRDefault="00BB2072"/>
    <w:p w14:paraId="0972005F" w14:textId="77777777" w:rsidR="00BB2072" w:rsidRDefault="00BB2072"/>
    <w:p w14:paraId="179116A7" w14:textId="77777777" w:rsidR="00BB2072" w:rsidRDefault="00BB2072"/>
    <w:p w14:paraId="4FE14066" w14:textId="77777777" w:rsidR="007E1611" w:rsidRDefault="007E1611"/>
    <w:p w14:paraId="69183420" w14:textId="77777777" w:rsidR="007E1611" w:rsidRDefault="007E1611"/>
    <w:p w14:paraId="2E66028B" w14:textId="77777777" w:rsidR="005222E4" w:rsidRPr="00027D92" w:rsidRDefault="005222E4">
      <w:pPr>
        <w:rPr>
          <w:rFonts w:ascii="Arial" w:hAnsi="Arial" w:cs="Arial"/>
          <w:sz w:val="22"/>
          <w:szCs w:val="22"/>
        </w:rPr>
      </w:pPr>
    </w:p>
    <w:p w14:paraId="0407FE6E" w14:textId="350BB619" w:rsidR="00BB2072" w:rsidRPr="00FC4FE2" w:rsidRDefault="0046237C" w:rsidP="00FC4FE2">
      <w:pPr>
        <w:pStyle w:val="Heading2"/>
        <w:spacing w:before="120"/>
        <w:rPr>
          <w:b/>
          <w:bCs/>
          <w:sz w:val="22"/>
          <w:szCs w:val="22"/>
        </w:rPr>
      </w:pPr>
      <w:bookmarkStart w:id="16" w:name="_Toc228883242"/>
      <w:r w:rsidRPr="00FC4FE2">
        <w:rPr>
          <w:b/>
          <w:bCs/>
          <w:sz w:val="22"/>
          <w:szCs w:val="22"/>
        </w:rPr>
        <w:t>3.2. Research Philosophy and Assumptions</w:t>
      </w:r>
      <w:bookmarkEnd w:id="16"/>
    </w:p>
    <w:p w14:paraId="2003B53A" w14:textId="77777777" w:rsidR="00F3017C" w:rsidRDefault="00F3017C" w:rsidP="00F3017C">
      <w:pPr>
        <w:spacing w:after="0" w:line="360" w:lineRule="auto"/>
        <w:ind w:firstLine="567"/>
        <w:jc w:val="both"/>
        <w:rPr>
          <w:rFonts w:ascii="Arial" w:hAnsi="Arial" w:cs="Arial"/>
          <w:sz w:val="22"/>
          <w:szCs w:val="22"/>
        </w:rPr>
      </w:pPr>
      <w:r w:rsidRPr="00F3017C">
        <w:rPr>
          <w:rFonts w:ascii="Arial" w:hAnsi="Arial" w:cs="Arial"/>
          <w:sz w:val="22"/>
          <w:szCs w:val="22"/>
        </w:rPr>
        <w:t>The study takes a pragmatic approach to research, not to appease traditionalists or creative types but considering that it feels it is essential in relation to the characteristics of resilient supply chains. The adaptive and temporal aspects of resilience are lost if it is seen as a static result, as is sometimes inferred in positivist methods. The absence of empirical basis in interpretivism makes it ill-suited to evaluate firm-level reactions throughout time, while it does provide light on managerial thinking. Neither viewpoint is enough on its own. According to Grimm, Langley, and Reinecke (2024), pragmatism is justified since it enables the integration of context-specific organisational behaviour with demonstrable operational improvement.</w:t>
      </w:r>
    </w:p>
    <w:p w14:paraId="06A0E73B" w14:textId="77777777" w:rsidR="00F3017C" w:rsidRDefault="00F3017C" w:rsidP="00F3017C">
      <w:pPr>
        <w:spacing w:after="0" w:line="360" w:lineRule="auto"/>
        <w:ind w:firstLine="567"/>
        <w:jc w:val="both"/>
        <w:rPr>
          <w:rFonts w:ascii="Arial" w:hAnsi="Arial" w:cs="Arial"/>
          <w:sz w:val="22"/>
          <w:szCs w:val="22"/>
        </w:rPr>
      </w:pPr>
      <w:r w:rsidRPr="00F3017C">
        <w:rPr>
          <w:rFonts w:ascii="Arial" w:hAnsi="Arial" w:cs="Arial"/>
          <w:sz w:val="22"/>
          <w:szCs w:val="22"/>
        </w:rPr>
        <w:t>This stance is based on the existential assumption that resilience is not an outcome but rather an ongoing process influenced by failures, adjustments, and triumphs. Therefore, it is necessary to infer it from changes in operational indicators rather than see it directly. Resilience is not innate but rather learned and practised via the relationship of structural limitations and organisational responses, which in turn produce supply chain consequences (</w:t>
      </w:r>
      <w:proofErr w:type="spellStart"/>
      <w:r w:rsidRPr="00F3017C">
        <w:rPr>
          <w:rFonts w:ascii="Arial" w:hAnsi="Arial" w:cs="Arial"/>
          <w:sz w:val="22"/>
          <w:szCs w:val="22"/>
        </w:rPr>
        <w:t>Nikookar</w:t>
      </w:r>
      <w:proofErr w:type="spellEnd"/>
      <w:r w:rsidRPr="00F3017C">
        <w:rPr>
          <w:rFonts w:ascii="Arial" w:hAnsi="Arial" w:cs="Arial"/>
          <w:sz w:val="22"/>
          <w:szCs w:val="22"/>
        </w:rPr>
        <w:t xml:space="preserve"> and </w:t>
      </w:r>
      <w:proofErr w:type="spellStart"/>
      <w:r w:rsidRPr="00F3017C">
        <w:rPr>
          <w:rFonts w:ascii="Arial" w:hAnsi="Arial" w:cs="Arial"/>
          <w:sz w:val="22"/>
          <w:szCs w:val="22"/>
        </w:rPr>
        <w:t>Yadavari</w:t>
      </w:r>
      <w:proofErr w:type="spellEnd"/>
      <w:r w:rsidRPr="00F3017C">
        <w:rPr>
          <w:rFonts w:ascii="Arial" w:hAnsi="Arial" w:cs="Arial"/>
          <w:sz w:val="22"/>
          <w:szCs w:val="22"/>
        </w:rPr>
        <w:t>, 2022). This poses a problem for methods that ignore underlying strategy adjustment in favour of static measurements.</w:t>
      </w:r>
    </w:p>
    <w:p w14:paraId="60B78B2D" w14:textId="69177D04" w:rsidR="00F3017C" w:rsidRPr="00F3017C" w:rsidRDefault="00F3017C" w:rsidP="00F3017C">
      <w:pPr>
        <w:spacing w:after="0" w:line="360" w:lineRule="auto"/>
        <w:ind w:firstLine="567"/>
        <w:jc w:val="both"/>
        <w:rPr>
          <w:rFonts w:ascii="Arial" w:hAnsi="Arial" w:cs="Arial"/>
          <w:sz w:val="22"/>
          <w:szCs w:val="22"/>
        </w:rPr>
      </w:pPr>
      <w:r w:rsidRPr="00F3017C">
        <w:rPr>
          <w:rFonts w:ascii="Arial" w:hAnsi="Arial" w:cs="Arial"/>
          <w:sz w:val="22"/>
          <w:szCs w:val="22"/>
        </w:rPr>
        <w:t xml:space="preserve">It follows that proxy-based measurement is required from an epistemological standpoint. Rather than seeing indicators like inventory levels, cost variations, and transportation delays as measures of resilience, we view them as tangible signs of adaptive behaviour. This is in line with the Dynamic Capability Theory, which states that changes in firm-level activities, rather than abstract concepts, are used to identify sensing, seizing, and reconfiguring. Therefore, the research </w:t>
      </w:r>
      <w:r w:rsidR="0088512F">
        <w:rPr>
          <w:rFonts w:ascii="Arial" w:hAnsi="Arial" w:cs="Arial"/>
          <w:sz w:val="22"/>
          <w:szCs w:val="22"/>
        </w:rPr>
        <w:t>emphasises quantifiable changes in inventory strategy and operational responses as evidence</w:t>
      </w:r>
      <w:r w:rsidRPr="00F3017C">
        <w:rPr>
          <w:rFonts w:ascii="Arial" w:hAnsi="Arial" w:cs="Arial"/>
          <w:sz w:val="22"/>
          <w:szCs w:val="22"/>
        </w:rPr>
        <w:t xml:space="preserve"> of resilience. This way, the analysis is based on practical adaptation rather than theoretical abstraction.</w:t>
      </w:r>
    </w:p>
    <w:p w14:paraId="464D98E7" w14:textId="72DE999A" w:rsidR="007C44C8" w:rsidRPr="00DA74B9" w:rsidRDefault="007C44C8" w:rsidP="00DA74B9">
      <w:pPr>
        <w:pStyle w:val="Heading2"/>
        <w:spacing w:before="120"/>
        <w:rPr>
          <w:b/>
          <w:bCs/>
          <w:sz w:val="22"/>
          <w:szCs w:val="22"/>
        </w:rPr>
      </w:pPr>
      <w:bookmarkStart w:id="17" w:name="_Toc228883243"/>
      <w:r w:rsidRPr="00DA74B9">
        <w:rPr>
          <w:b/>
          <w:bCs/>
          <w:sz w:val="22"/>
          <w:szCs w:val="22"/>
        </w:rPr>
        <w:t xml:space="preserve">3.3. </w:t>
      </w:r>
      <w:r w:rsidR="007A38BC" w:rsidRPr="00DA74B9">
        <w:rPr>
          <w:b/>
          <w:bCs/>
          <w:sz w:val="22"/>
          <w:szCs w:val="22"/>
        </w:rPr>
        <w:t>Research Design</w:t>
      </w:r>
      <w:bookmarkEnd w:id="17"/>
    </w:p>
    <w:p w14:paraId="0B6481C4" w14:textId="1209A3C7" w:rsidR="001C7D93" w:rsidRPr="001C7D93" w:rsidRDefault="001C7D93" w:rsidP="001C7D93">
      <w:pPr>
        <w:spacing w:after="0" w:line="360" w:lineRule="auto"/>
        <w:ind w:firstLine="567"/>
        <w:jc w:val="both"/>
        <w:rPr>
          <w:rFonts w:ascii="Arial" w:hAnsi="Arial" w:cs="Arial"/>
          <w:sz w:val="22"/>
          <w:szCs w:val="22"/>
        </w:rPr>
      </w:pPr>
      <w:r w:rsidRPr="001C7D93">
        <w:rPr>
          <w:rFonts w:ascii="Arial" w:hAnsi="Arial" w:cs="Arial"/>
          <w:sz w:val="22"/>
          <w:szCs w:val="22"/>
        </w:rPr>
        <w:t xml:space="preserve">The study is based on the philosophical perspective that resilience is changeable and can only be seen via change. It uses a comparative, longitudinal, and secondary-data methodology. This is an essential part of the methodology, not a matter of personal preference. Analysing static snapshots of organisations would make it difficult to see when and where inventory strategy changes if we are trying to answer RQ1 and RQ2. To better understand the evolution of the shift from JIT to JIC, the research employs a longitudinal design that spans 2019–2024. This design </w:t>
      </w:r>
      <w:r>
        <w:rPr>
          <w:rFonts w:ascii="Arial" w:hAnsi="Arial" w:cs="Arial"/>
          <w:sz w:val="22"/>
          <w:szCs w:val="22"/>
        </w:rPr>
        <w:t xml:space="preserve">is </w:t>
      </w:r>
      <w:r w:rsidRPr="001C7D93">
        <w:rPr>
          <w:rFonts w:ascii="Arial" w:hAnsi="Arial" w:cs="Arial"/>
          <w:sz w:val="22"/>
          <w:szCs w:val="22"/>
        </w:rPr>
        <w:t>for the collection of the pre–disruption, disruption, and adjustment phases.</w:t>
      </w:r>
    </w:p>
    <w:p w14:paraId="1E723EAB" w14:textId="2DBF6EBC" w:rsidR="001C7D93" w:rsidRPr="001C7D93" w:rsidRDefault="001C7D93" w:rsidP="001C7D93">
      <w:pPr>
        <w:spacing w:after="0" w:line="360" w:lineRule="auto"/>
        <w:ind w:firstLine="567"/>
        <w:jc w:val="both"/>
        <w:rPr>
          <w:rFonts w:ascii="Arial" w:hAnsi="Arial" w:cs="Arial"/>
          <w:sz w:val="22"/>
          <w:szCs w:val="22"/>
        </w:rPr>
      </w:pPr>
      <w:r w:rsidRPr="001C7D93">
        <w:rPr>
          <w:rFonts w:ascii="Arial" w:hAnsi="Arial" w:cs="Arial"/>
          <w:sz w:val="22"/>
          <w:szCs w:val="22"/>
        </w:rPr>
        <w:lastRenderedPageBreak/>
        <w:t xml:space="preserve">Despite the dynamic perspective laid </w:t>
      </w:r>
      <w:r>
        <w:rPr>
          <w:rFonts w:ascii="Arial" w:hAnsi="Arial" w:cs="Arial"/>
          <w:sz w:val="22"/>
          <w:szCs w:val="22"/>
        </w:rPr>
        <w:t>out in Section 3.2, a cross-sectional approach would erroneously conclude that resilience can be inferred from</w:t>
      </w:r>
      <w:r w:rsidRPr="001C7D93">
        <w:rPr>
          <w:rFonts w:ascii="Arial" w:hAnsi="Arial" w:cs="Arial"/>
          <w:sz w:val="22"/>
          <w:szCs w:val="22"/>
        </w:rPr>
        <w:t xml:space="preserve"> a single moment in time. In contrast, although rich in background, single-case studies don't provide </w:t>
      </w:r>
      <w:r>
        <w:rPr>
          <w:rFonts w:ascii="Arial" w:hAnsi="Arial" w:cs="Arial"/>
          <w:sz w:val="22"/>
          <w:szCs w:val="22"/>
        </w:rPr>
        <w:t>sufficient comparative variety to explain why comparable shocks react differently across</w:t>
      </w:r>
      <w:r w:rsidRPr="001C7D93">
        <w:rPr>
          <w:rFonts w:ascii="Arial" w:hAnsi="Arial" w:cs="Arial"/>
          <w:sz w:val="22"/>
          <w:szCs w:val="22"/>
        </w:rPr>
        <w:t xml:space="preserve"> businesses (Grimm, Langley, and Reinecke, 2024). Consequently, </w:t>
      </w:r>
      <w:r w:rsidR="008E7FA1" w:rsidRPr="001C7D93">
        <w:rPr>
          <w:rFonts w:ascii="Arial" w:hAnsi="Arial" w:cs="Arial"/>
          <w:sz w:val="22"/>
          <w:szCs w:val="22"/>
        </w:rPr>
        <w:t>to</w:t>
      </w:r>
      <w:r w:rsidRPr="001C7D93">
        <w:rPr>
          <w:rFonts w:ascii="Arial" w:hAnsi="Arial" w:cs="Arial"/>
          <w:sz w:val="22"/>
          <w:szCs w:val="22"/>
        </w:rPr>
        <w:t xml:space="preserve"> discover fundamentally different organization-specific resilience response variability, a comparative multi-firm design is used.</w:t>
      </w:r>
    </w:p>
    <w:p w14:paraId="2A16F18A" w14:textId="63D5C519" w:rsidR="001C7D93" w:rsidRPr="001C7D93" w:rsidRDefault="001C7D93" w:rsidP="001C7D93">
      <w:pPr>
        <w:spacing w:after="0" w:line="360" w:lineRule="auto"/>
        <w:ind w:firstLine="567"/>
        <w:jc w:val="both"/>
        <w:rPr>
          <w:rFonts w:ascii="Arial" w:hAnsi="Arial" w:cs="Arial"/>
          <w:sz w:val="22"/>
          <w:szCs w:val="22"/>
        </w:rPr>
      </w:pPr>
      <w:r w:rsidRPr="001C7D93">
        <w:rPr>
          <w:rFonts w:ascii="Arial" w:hAnsi="Arial" w:cs="Arial"/>
          <w:sz w:val="22"/>
          <w:szCs w:val="22"/>
        </w:rPr>
        <w:t>Differences in cost structures, manufacturing size, and strategic flexibility are reflected in the purposeful division between luxury and mass-market car manufacturers in terms of firm selection. Because it lends credence to the study of how structural traits impact inventory judgements during disruption, this differentiation is more analytical than descriptive. The chosen companies—Bentley, Aston Martin, McLaren, JLR, Nissan, and Toyota—offer sufficient diversity while preserving sectoral uniformity. Previous studies have shown that crisis reactions are greatly influenced by internal competences and governance frameworks, which highlights the need of comparing responses at the business level (Lee, Sohn, and Rojen, 2023).</w:t>
      </w:r>
    </w:p>
    <w:p w14:paraId="5565685E" w14:textId="4D3D0AB5" w:rsidR="001C7D93" w:rsidRPr="001C7D93" w:rsidRDefault="001C7D93" w:rsidP="001C7D93">
      <w:pPr>
        <w:spacing w:after="0" w:line="360" w:lineRule="auto"/>
        <w:ind w:firstLine="567"/>
        <w:jc w:val="both"/>
        <w:rPr>
          <w:rFonts w:ascii="Arial" w:hAnsi="Arial" w:cs="Arial"/>
          <w:sz w:val="22"/>
          <w:szCs w:val="22"/>
        </w:rPr>
      </w:pPr>
      <w:r w:rsidRPr="001C7D93">
        <w:rPr>
          <w:rFonts w:ascii="Arial" w:hAnsi="Arial" w:cs="Arial"/>
          <w:sz w:val="22"/>
          <w:szCs w:val="22"/>
        </w:rPr>
        <w:t>The analytical framework (Table 3.1) creates a hybrid dataset that records both long-term strategic results and short-term changes by combining financial data from a firm's year with operational indicators from a firm's month. The research may now go beyond a purely descriptive comparison and start looking for patterns of adaption because of this. The analysis is further structured by the before-during-after disruption logic, which makes sure that changes are seen in the context of external shocks and not just as random fluctuations.</w:t>
      </w:r>
    </w:p>
    <w:p w14:paraId="1212CC2C" w14:textId="77777777" w:rsidR="0071357E" w:rsidRPr="001E72D5" w:rsidRDefault="0071357E" w:rsidP="007C44C8">
      <w:pPr>
        <w:spacing w:after="0" w:line="360" w:lineRule="auto"/>
        <w:ind w:firstLine="567"/>
        <w:jc w:val="both"/>
        <w:rPr>
          <w:rFonts w:ascii="Arial" w:hAnsi="Arial" w:cs="Arial"/>
          <w:sz w:val="16"/>
          <w:szCs w:val="16"/>
        </w:rPr>
      </w:pPr>
    </w:p>
    <w:p w14:paraId="33AB4A6D" w14:textId="601AD151" w:rsidR="001E72D5" w:rsidRDefault="001E72D5" w:rsidP="001E72D5">
      <w:pPr>
        <w:spacing w:after="0" w:line="360" w:lineRule="auto"/>
        <w:jc w:val="center"/>
        <w:rPr>
          <w:rFonts w:ascii="Arial" w:hAnsi="Arial" w:cs="Arial"/>
          <w:sz w:val="20"/>
          <w:szCs w:val="20"/>
        </w:rPr>
      </w:pPr>
      <w:r w:rsidRPr="001E72D5">
        <w:rPr>
          <w:rFonts w:ascii="Arial" w:hAnsi="Arial" w:cs="Arial"/>
          <w:sz w:val="20"/>
          <w:szCs w:val="20"/>
        </w:rPr>
        <w:t>Table 3.1. Comparative Design Logic – Luxury vs Mass Market Supply Chains</w:t>
      </w:r>
    </w:p>
    <w:p w14:paraId="1C49A16C" w14:textId="42BC82B0" w:rsidR="00C04B22" w:rsidRDefault="00C04B22" w:rsidP="001E72D5">
      <w:pPr>
        <w:spacing w:after="0" w:line="360" w:lineRule="auto"/>
        <w:jc w:val="center"/>
        <w:rPr>
          <w:rFonts w:ascii="Arial" w:hAnsi="Arial" w:cs="Arial"/>
          <w:i/>
          <w:iCs/>
          <w:sz w:val="20"/>
          <w:szCs w:val="20"/>
        </w:rPr>
      </w:pPr>
      <w:r w:rsidRPr="00C04B22">
        <w:rPr>
          <w:rFonts w:ascii="Arial" w:hAnsi="Arial" w:cs="Arial"/>
          <w:i/>
          <w:iCs/>
          <w:noProof/>
          <w:sz w:val="20"/>
          <w:szCs w:val="20"/>
        </w:rPr>
        <w:drawing>
          <wp:inline distT="0" distB="0" distL="0" distR="0" wp14:anchorId="54EE6EFB" wp14:editId="66E56B86">
            <wp:extent cx="4834923" cy="1830371"/>
            <wp:effectExtent l="0" t="0" r="3810" b="0"/>
            <wp:docPr id="215477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77781" name=""/>
                    <pic:cNvPicPr/>
                  </pic:nvPicPr>
                  <pic:blipFill>
                    <a:blip r:embed="rId15"/>
                    <a:stretch>
                      <a:fillRect/>
                    </a:stretch>
                  </pic:blipFill>
                  <pic:spPr>
                    <a:xfrm>
                      <a:off x="0" y="0"/>
                      <a:ext cx="4852928" cy="1837187"/>
                    </a:xfrm>
                    <a:prstGeom prst="rect">
                      <a:avLst/>
                    </a:prstGeom>
                  </pic:spPr>
                </pic:pic>
              </a:graphicData>
            </a:graphic>
          </wp:inline>
        </w:drawing>
      </w:r>
    </w:p>
    <w:p w14:paraId="70549447" w14:textId="6A460C10" w:rsidR="001E72D5" w:rsidRDefault="008C14BD" w:rsidP="001E72D5">
      <w:pPr>
        <w:spacing w:after="0" w:line="360" w:lineRule="auto"/>
        <w:jc w:val="center"/>
        <w:rPr>
          <w:rFonts w:ascii="Arial" w:hAnsi="Arial" w:cs="Arial"/>
          <w:i/>
          <w:iCs/>
          <w:sz w:val="20"/>
          <w:szCs w:val="20"/>
        </w:rPr>
      </w:pPr>
      <w:r w:rsidRPr="008C14BD">
        <w:rPr>
          <w:rFonts w:ascii="Arial" w:hAnsi="Arial" w:cs="Arial"/>
          <w:i/>
          <w:iCs/>
          <w:sz w:val="20"/>
          <w:szCs w:val="20"/>
        </w:rPr>
        <w:t>(Source: Synthesised from Lee, Sohn and Rojen 2023, Preuss et al. 2024, and Queiroz et al. 2024)</w:t>
      </w:r>
    </w:p>
    <w:p w14:paraId="5AB32028" w14:textId="77777777" w:rsidR="005652CB" w:rsidRPr="007C44C8" w:rsidRDefault="005652CB" w:rsidP="001E72D5">
      <w:pPr>
        <w:spacing w:after="0" w:line="360" w:lineRule="auto"/>
        <w:jc w:val="center"/>
        <w:rPr>
          <w:rFonts w:ascii="Arial" w:hAnsi="Arial" w:cs="Arial"/>
          <w:i/>
          <w:iCs/>
          <w:sz w:val="16"/>
          <w:szCs w:val="16"/>
        </w:rPr>
      </w:pPr>
    </w:p>
    <w:p w14:paraId="23EC1D7A" w14:textId="67365F64" w:rsidR="00681C06" w:rsidRPr="00681C06" w:rsidRDefault="00681C06" w:rsidP="005652CB">
      <w:pPr>
        <w:spacing w:after="0" w:line="360" w:lineRule="auto"/>
        <w:ind w:firstLine="567"/>
        <w:jc w:val="both"/>
        <w:rPr>
          <w:rFonts w:ascii="Arial" w:hAnsi="Arial" w:cs="Arial"/>
          <w:sz w:val="22"/>
          <w:szCs w:val="22"/>
        </w:rPr>
      </w:pPr>
      <w:r w:rsidRPr="00681C06">
        <w:rPr>
          <w:rFonts w:ascii="Arial" w:hAnsi="Arial" w:cs="Arial"/>
          <w:sz w:val="22"/>
          <w:szCs w:val="22"/>
        </w:rPr>
        <w:t xml:space="preserve">The </w:t>
      </w:r>
      <w:r>
        <w:rPr>
          <w:rFonts w:ascii="Arial" w:hAnsi="Arial" w:cs="Arial"/>
          <w:sz w:val="22"/>
          <w:szCs w:val="22"/>
        </w:rPr>
        <w:t>dissertation</w:t>
      </w:r>
      <w:r w:rsidRPr="00681C06">
        <w:rPr>
          <w:rFonts w:ascii="Arial" w:hAnsi="Arial" w:cs="Arial"/>
          <w:sz w:val="22"/>
          <w:szCs w:val="22"/>
        </w:rPr>
        <w:t>'s aims are directly addressed by the research methodology, which integrates longitudinal and cross-sectional variables to assess resilience as an organisational process rather than a static quality.</w:t>
      </w:r>
    </w:p>
    <w:p w14:paraId="139F63E8" w14:textId="03E283EF" w:rsidR="00014E31" w:rsidRPr="00DA74B9" w:rsidRDefault="00014E31" w:rsidP="00DA74B9">
      <w:pPr>
        <w:pStyle w:val="Heading2"/>
        <w:spacing w:before="120"/>
        <w:rPr>
          <w:b/>
          <w:bCs/>
          <w:sz w:val="22"/>
          <w:szCs w:val="22"/>
        </w:rPr>
      </w:pPr>
      <w:bookmarkStart w:id="18" w:name="_Toc228883244"/>
      <w:r w:rsidRPr="00DA74B9">
        <w:rPr>
          <w:b/>
          <w:bCs/>
          <w:sz w:val="22"/>
          <w:szCs w:val="22"/>
        </w:rPr>
        <w:lastRenderedPageBreak/>
        <w:t>3.4 Research Approach</w:t>
      </w:r>
      <w:bookmarkEnd w:id="18"/>
    </w:p>
    <w:p w14:paraId="6E6F9E0E" w14:textId="4F400856" w:rsidR="003055B4" w:rsidRPr="003055B4" w:rsidRDefault="003055B4" w:rsidP="003055B4">
      <w:pPr>
        <w:spacing w:after="0" w:line="360" w:lineRule="auto"/>
        <w:ind w:firstLine="567"/>
        <w:jc w:val="both"/>
        <w:rPr>
          <w:rFonts w:ascii="Arial" w:hAnsi="Arial" w:cs="Arial"/>
          <w:sz w:val="22"/>
          <w:szCs w:val="22"/>
        </w:rPr>
      </w:pPr>
      <w:r w:rsidRPr="003055B4">
        <w:rPr>
          <w:rFonts w:ascii="Arial" w:hAnsi="Arial" w:cs="Arial"/>
          <w:sz w:val="22"/>
          <w:szCs w:val="22"/>
        </w:rPr>
        <w:t xml:space="preserve">The analysis uses a deductive-explanatory method, as outlined in the research design, to examine the relationship between theoretical expectations of supply chain adaptability and observed business action. This study aims to explain why companies react differently to comparable disruption situations, while a merely descriptive method would just reveal that change took occurred. Deduction is used to draw patterns from theory, and the explanatory layer checks whether these patterns </w:t>
      </w:r>
      <w:r w:rsidR="0041714C" w:rsidRPr="003055B4">
        <w:rPr>
          <w:rFonts w:ascii="Arial" w:hAnsi="Arial" w:cs="Arial"/>
          <w:sz w:val="22"/>
          <w:szCs w:val="22"/>
        </w:rPr>
        <w:t>hold</w:t>
      </w:r>
      <w:r w:rsidRPr="003055B4">
        <w:rPr>
          <w:rFonts w:ascii="Arial" w:hAnsi="Arial" w:cs="Arial"/>
          <w:sz w:val="22"/>
          <w:szCs w:val="22"/>
        </w:rPr>
        <w:t>.</w:t>
      </w:r>
    </w:p>
    <w:p w14:paraId="2B179CB4" w14:textId="5CCFBBA4" w:rsidR="003055B4" w:rsidRPr="003055B4" w:rsidRDefault="003055B4" w:rsidP="003055B4">
      <w:pPr>
        <w:spacing w:after="0" w:line="360" w:lineRule="auto"/>
        <w:ind w:firstLine="567"/>
        <w:jc w:val="both"/>
        <w:rPr>
          <w:rFonts w:ascii="Arial" w:hAnsi="Arial" w:cs="Arial"/>
          <w:sz w:val="22"/>
          <w:szCs w:val="22"/>
        </w:rPr>
      </w:pPr>
      <w:r w:rsidRPr="003055B4">
        <w:rPr>
          <w:rFonts w:ascii="Arial" w:hAnsi="Arial" w:cs="Arial"/>
          <w:sz w:val="22"/>
          <w:szCs w:val="22"/>
        </w:rPr>
        <w:t xml:space="preserve">The strategy is </w:t>
      </w:r>
      <w:r w:rsidR="0041714C">
        <w:rPr>
          <w:rFonts w:ascii="Arial" w:hAnsi="Arial" w:cs="Arial"/>
          <w:sz w:val="22"/>
          <w:szCs w:val="22"/>
        </w:rPr>
        <w:t>fully aligned</w:t>
      </w:r>
      <w:r w:rsidRPr="003055B4">
        <w:rPr>
          <w:rFonts w:ascii="Arial" w:hAnsi="Arial" w:cs="Arial"/>
          <w:sz w:val="22"/>
          <w:szCs w:val="22"/>
        </w:rPr>
        <w:t xml:space="preserve"> with the enquiries posed by the study. </w:t>
      </w:r>
      <w:r w:rsidR="0041714C">
        <w:rPr>
          <w:rFonts w:ascii="Arial" w:hAnsi="Arial" w:cs="Arial"/>
          <w:sz w:val="22"/>
          <w:szCs w:val="22"/>
        </w:rPr>
        <w:t xml:space="preserve">To answer RQ1, we examine changes in inventory levels and turnover to determine whether there is a systematic shift from JIT to </w:t>
      </w:r>
      <w:r w:rsidR="007B2F30">
        <w:rPr>
          <w:rFonts w:ascii="Arial" w:hAnsi="Arial" w:cs="Arial"/>
          <w:sz w:val="22"/>
          <w:szCs w:val="22"/>
        </w:rPr>
        <w:t>buffer</w:t>
      </w:r>
      <w:r w:rsidR="0041714C">
        <w:rPr>
          <w:rFonts w:ascii="Arial" w:hAnsi="Arial" w:cs="Arial"/>
          <w:sz w:val="22"/>
          <w:szCs w:val="22"/>
        </w:rPr>
        <w:t>-based JIC tactics following the</w:t>
      </w:r>
      <w:r w:rsidRPr="003055B4">
        <w:rPr>
          <w:rFonts w:ascii="Arial" w:hAnsi="Arial" w:cs="Arial"/>
          <w:sz w:val="22"/>
          <w:szCs w:val="22"/>
        </w:rPr>
        <w:t xml:space="preserve"> interruption. The study investigates the potential negative impact of enhanced buffering on financial performance and if some organisations are able to overcome this effect </w:t>
      </w:r>
      <w:r w:rsidR="00EA4212" w:rsidRPr="003055B4">
        <w:rPr>
          <w:rFonts w:ascii="Arial" w:hAnsi="Arial" w:cs="Arial"/>
          <w:sz w:val="22"/>
          <w:szCs w:val="22"/>
        </w:rPr>
        <w:t>to</w:t>
      </w:r>
      <w:r w:rsidRPr="003055B4">
        <w:rPr>
          <w:rFonts w:ascii="Arial" w:hAnsi="Arial" w:cs="Arial"/>
          <w:sz w:val="22"/>
          <w:szCs w:val="22"/>
        </w:rPr>
        <w:t xml:space="preserve"> evaluate RQ2, which concerns the trade-off between efficiency and resilience. Regarding RQ3, we take organisational capabilities into account, specifically </w:t>
      </w:r>
      <w:r w:rsidR="0041714C">
        <w:rPr>
          <w:rFonts w:ascii="Arial" w:hAnsi="Arial" w:cs="Arial"/>
          <w:sz w:val="22"/>
          <w:szCs w:val="22"/>
        </w:rPr>
        <w:t>examining whether companies with greater adaptive capacity respond</w:t>
      </w:r>
      <w:r w:rsidRPr="003055B4">
        <w:rPr>
          <w:rFonts w:ascii="Arial" w:hAnsi="Arial" w:cs="Arial"/>
          <w:sz w:val="22"/>
          <w:szCs w:val="22"/>
        </w:rPr>
        <w:t xml:space="preserve"> to disruptions more quickly or more effectively.</w:t>
      </w:r>
    </w:p>
    <w:p w14:paraId="05D7972D" w14:textId="6D0CF242" w:rsidR="003055B4" w:rsidRPr="003055B4" w:rsidRDefault="003055B4" w:rsidP="003055B4">
      <w:pPr>
        <w:spacing w:after="0" w:line="360" w:lineRule="auto"/>
        <w:ind w:firstLine="567"/>
        <w:jc w:val="both"/>
        <w:rPr>
          <w:rFonts w:ascii="Arial" w:hAnsi="Arial" w:cs="Arial"/>
          <w:sz w:val="22"/>
          <w:szCs w:val="22"/>
        </w:rPr>
      </w:pPr>
      <w:r w:rsidRPr="003055B4">
        <w:rPr>
          <w:rFonts w:ascii="Arial" w:hAnsi="Arial" w:cs="Arial"/>
          <w:sz w:val="22"/>
          <w:szCs w:val="22"/>
        </w:rPr>
        <w:t>This framework avoids both the issues associated with inductive reasoning in general and its danger of drawing unwarranted inferences from empirical evidence by using a more generalised framework. Deductive reasoning, on the other hand, makes sure that actual results are tested against known norms, which improves the quality of analysis and makes it easier to draw firm conclusions about cause and effect. Ismail et al. (2025) and Wu et al. (2024) cite previous research that suggests disruption serves as both a shock and a trigger for strategic adjustment, highlighting the need of testing behavioural reactions instead of merely recording them.</w:t>
      </w:r>
    </w:p>
    <w:p w14:paraId="45E54557" w14:textId="46FDE731" w:rsidR="003055B4" w:rsidRDefault="003055B4" w:rsidP="003055B4">
      <w:pPr>
        <w:spacing w:after="0" w:line="360" w:lineRule="auto"/>
        <w:ind w:firstLine="567"/>
        <w:jc w:val="both"/>
        <w:rPr>
          <w:rFonts w:ascii="Arial" w:hAnsi="Arial" w:cs="Arial"/>
          <w:sz w:val="22"/>
          <w:szCs w:val="22"/>
        </w:rPr>
      </w:pPr>
      <w:r w:rsidRPr="003055B4">
        <w:rPr>
          <w:rFonts w:ascii="Arial" w:hAnsi="Arial" w:cs="Arial"/>
          <w:sz w:val="22"/>
          <w:szCs w:val="22"/>
        </w:rPr>
        <w:t xml:space="preserve">But if it doesn't convert abstract ideas into measurable parameters, deduction isn't enough. Table 3.2 of the study's operationalisation phase establishes the relationship between theoretical concepts like resilience, adaptability, and antifragility and measurable indicators </w:t>
      </w:r>
      <w:r w:rsidR="00EA4212" w:rsidRPr="003055B4">
        <w:rPr>
          <w:rFonts w:ascii="Arial" w:hAnsi="Arial" w:cs="Arial"/>
          <w:sz w:val="22"/>
          <w:szCs w:val="22"/>
        </w:rPr>
        <w:t>to</w:t>
      </w:r>
      <w:r w:rsidRPr="003055B4">
        <w:rPr>
          <w:rFonts w:ascii="Arial" w:hAnsi="Arial" w:cs="Arial"/>
          <w:sz w:val="22"/>
          <w:szCs w:val="22"/>
        </w:rPr>
        <w:t xml:space="preserve"> tackle this issue. This ensure that the analysis progresses from theoretical debate to practical experience.</w:t>
      </w:r>
    </w:p>
    <w:p w14:paraId="11618B4B" w14:textId="77777777" w:rsidR="003055B4" w:rsidRDefault="003055B4" w:rsidP="003055B4">
      <w:pPr>
        <w:spacing w:after="0" w:line="360" w:lineRule="auto"/>
        <w:ind w:firstLine="567"/>
        <w:jc w:val="both"/>
        <w:rPr>
          <w:rFonts w:ascii="Arial" w:hAnsi="Arial" w:cs="Arial"/>
          <w:sz w:val="16"/>
          <w:szCs w:val="16"/>
        </w:rPr>
      </w:pPr>
    </w:p>
    <w:p w14:paraId="596E1967" w14:textId="77777777" w:rsidR="002E13E2" w:rsidRDefault="002E13E2" w:rsidP="003055B4">
      <w:pPr>
        <w:spacing w:after="0" w:line="360" w:lineRule="auto"/>
        <w:ind w:firstLine="567"/>
        <w:jc w:val="both"/>
        <w:rPr>
          <w:rFonts w:ascii="Arial" w:hAnsi="Arial" w:cs="Arial"/>
          <w:sz w:val="16"/>
          <w:szCs w:val="16"/>
        </w:rPr>
      </w:pPr>
    </w:p>
    <w:p w14:paraId="518F33D1" w14:textId="77777777" w:rsidR="002E13E2" w:rsidRDefault="002E13E2" w:rsidP="003055B4">
      <w:pPr>
        <w:spacing w:after="0" w:line="360" w:lineRule="auto"/>
        <w:ind w:firstLine="567"/>
        <w:jc w:val="both"/>
        <w:rPr>
          <w:rFonts w:ascii="Arial" w:hAnsi="Arial" w:cs="Arial"/>
          <w:sz w:val="16"/>
          <w:szCs w:val="16"/>
        </w:rPr>
      </w:pPr>
    </w:p>
    <w:p w14:paraId="5723E115" w14:textId="77777777" w:rsidR="002E13E2" w:rsidRDefault="002E13E2" w:rsidP="003055B4">
      <w:pPr>
        <w:spacing w:after="0" w:line="360" w:lineRule="auto"/>
        <w:ind w:firstLine="567"/>
        <w:jc w:val="both"/>
        <w:rPr>
          <w:rFonts w:ascii="Arial" w:hAnsi="Arial" w:cs="Arial"/>
          <w:sz w:val="16"/>
          <w:szCs w:val="16"/>
        </w:rPr>
      </w:pPr>
    </w:p>
    <w:p w14:paraId="17EB8F71" w14:textId="77777777" w:rsidR="002E13E2" w:rsidRDefault="002E13E2" w:rsidP="003055B4">
      <w:pPr>
        <w:spacing w:after="0" w:line="360" w:lineRule="auto"/>
        <w:ind w:firstLine="567"/>
        <w:jc w:val="both"/>
        <w:rPr>
          <w:rFonts w:ascii="Arial" w:hAnsi="Arial" w:cs="Arial"/>
          <w:sz w:val="16"/>
          <w:szCs w:val="16"/>
        </w:rPr>
      </w:pPr>
    </w:p>
    <w:p w14:paraId="3B74795B" w14:textId="77777777" w:rsidR="002E13E2" w:rsidRDefault="002E13E2" w:rsidP="003055B4">
      <w:pPr>
        <w:spacing w:after="0" w:line="360" w:lineRule="auto"/>
        <w:ind w:firstLine="567"/>
        <w:jc w:val="both"/>
        <w:rPr>
          <w:rFonts w:ascii="Arial" w:hAnsi="Arial" w:cs="Arial"/>
          <w:sz w:val="16"/>
          <w:szCs w:val="16"/>
        </w:rPr>
      </w:pPr>
    </w:p>
    <w:p w14:paraId="53046CFD" w14:textId="77777777" w:rsidR="002E13E2" w:rsidRDefault="002E13E2" w:rsidP="003055B4">
      <w:pPr>
        <w:spacing w:after="0" w:line="360" w:lineRule="auto"/>
        <w:ind w:firstLine="567"/>
        <w:jc w:val="both"/>
        <w:rPr>
          <w:rFonts w:ascii="Arial" w:hAnsi="Arial" w:cs="Arial"/>
          <w:sz w:val="16"/>
          <w:szCs w:val="16"/>
        </w:rPr>
      </w:pPr>
    </w:p>
    <w:p w14:paraId="0B2BC126" w14:textId="77777777" w:rsidR="002E13E2" w:rsidRDefault="002E13E2" w:rsidP="003055B4">
      <w:pPr>
        <w:spacing w:after="0" w:line="360" w:lineRule="auto"/>
        <w:ind w:firstLine="567"/>
        <w:jc w:val="both"/>
        <w:rPr>
          <w:rFonts w:ascii="Arial" w:hAnsi="Arial" w:cs="Arial"/>
          <w:sz w:val="16"/>
          <w:szCs w:val="16"/>
        </w:rPr>
      </w:pPr>
    </w:p>
    <w:p w14:paraId="40EEAF8C" w14:textId="77777777" w:rsidR="002E13E2" w:rsidRDefault="002E13E2" w:rsidP="003055B4">
      <w:pPr>
        <w:spacing w:after="0" w:line="360" w:lineRule="auto"/>
        <w:ind w:firstLine="567"/>
        <w:jc w:val="both"/>
        <w:rPr>
          <w:rFonts w:ascii="Arial" w:hAnsi="Arial" w:cs="Arial"/>
          <w:sz w:val="16"/>
          <w:szCs w:val="16"/>
        </w:rPr>
      </w:pPr>
    </w:p>
    <w:p w14:paraId="409DC307" w14:textId="77777777" w:rsidR="002E13E2" w:rsidRDefault="002E13E2" w:rsidP="003055B4">
      <w:pPr>
        <w:spacing w:after="0" w:line="360" w:lineRule="auto"/>
        <w:ind w:firstLine="567"/>
        <w:jc w:val="both"/>
        <w:rPr>
          <w:rFonts w:ascii="Arial" w:hAnsi="Arial" w:cs="Arial"/>
          <w:sz w:val="16"/>
          <w:szCs w:val="16"/>
        </w:rPr>
      </w:pPr>
    </w:p>
    <w:p w14:paraId="2E07CDF8" w14:textId="77777777" w:rsidR="002E13E2" w:rsidRDefault="002E13E2" w:rsidP="003055B4">
      <w:pPr>
        <w:spacing w:after="0" w:line="360" w:lineRule="auto"/>
        <w:ind w:firstLine="567"/>
        <w:jc w:val="both"/>
        <w:rPr>
          <w:rFonts w:ascii="Arial" w:hAnsi="Arial" w:cs="Arial"/>
          <w:sz w:val="16"/>
          <w:szCs w:val="16"/>
        </w:rPr>
      </w:pPr>
    </w:p>
    <w:p w14:paraId="4035C64B" w14:textId="77777777" w:rsidR="002E13E2" w:rsidRPr="003055B4" w:rsidRDefault="002E13E2" w:rsidP="003055B4">
      <w:pPr>
        <w:spacing w:after="0" w:line="360" w:lineRule="auto"/>
        <w:ind w:firstLine="567"/>
        <w:jc w:val="both"/>
        <w:rPr>
          <w:rFonts w:ascii="Arial" w:hAnsi="Arial" w:cs="Arial"/>
          <w:sz w:val="16"/>
          <w:szCs w:val="16"/>
        </w:rPr>
      </w:pPr>
    </w:p>
    <w:p w14:paraId="6DE11D58" w14:textId="2F9CCD71" w:rsidR="00BB2072" w:rsidRDefault="00A53948" w:rsidP="00A53948">
      <w:pPr>
        <w:jc w:val="center"/>
        <w:rPr>
          <w:rFonts w:ascii="Arial" w:hAnsi="Arial" w:cs="Arial"/>
          <w:sz w:val="20"/>
          <w:szCs w:val="20"/>
        </w:rPr>
      </w:pPr>
      <w:r w:rsidRPr="00A53948">
        <w:rPr>
          <w:rFonts w:ascii="Arial" w:hAnsi="Arial" w:cs="Arial"/>
          <w:sz w:val="20"/>
          <w:szCs w:val="20"/>
        </w:rPr>
        <w:lastRenderedPageBreak/>
        <w:t>Table 3.2</w:t>
      </w:r>
      <w:r>
        <w:rPr>
          <w:rFonts w:ascii="Arial" w:hAnsi="Arial" w:cs="Arial"/>
          <w:sz w:val="20"/>
          <w:szCs w:val="20"/>
        </w:rPr>
        <w:t xml:space="preserve">. </w:t>
      </w:r>
      <w:r w:rsidRPr="00A53948">
        <w:rPr>
          <w:rFonts w:ascii="Arial" w:hAnsi="Arial" w:cs="Arial"/>
          <w:sz w:val="20"/>
          <w:szCs w:val="20"/>
        </w:rPr>
        <w:t>Linking Theory to Empirical Testing Framework</w:t>
      </w:r>
    </w:p>
    <w:p w14:paraId="5C961A6F" w14:textId="7F68882D" w:rsidR="00634B9C" w:rsidRDefault="00DD5408" w:rsidP="00B55366">
      <w:pPr>
        <w:spacing w:line="240" w:lineRule="auto"/>
        <w:jc w:val="center"/>
        <w:rPr>
          <w:rFonts w:ascii="Arial" w:hAnsi="Arial" w:cs="Arial"/>
          <w:sz w:val="20"/>
          <w:szCs w:val="20"/>
        </w:rPr>
      </w:pPr>
      <w:r w:rsidRPr="00DD5408">
        <w:rPr>
          <w:rFonts w:ascii="Arial" w:hAnsi="Arial" w:cs="Arial"/>
          <w:noProof/>
          <w:sz w:val="20"/>
          <w:szCs w:val="20"/>
        </w:rPr>
        <w:drawing>
          <wp:inline distT="0" distB="0" distL="0" distR="0" wp14:anchorId="683D2B7E" wp14:editId="29438DAE">
            <wp:extent cx="5577586" cy="2084119"/>
            <wp:effectExtent l="0" t="0" r="4445" b="0"/>
            <wp:docPr id="164145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52828" name=""/>
                    <pic:cNvPicPr/>
                  </pic:nvPicPr>
                  <pic:blipFill>
                    <a:blip r:embed="rId16"/>
                    <a:stretch>
                      <a:fillRect/>
                    </a:stretch>
                  </pic:blipFill>
                  <pic:spPr>
                    <a:xfrm>
                      <a:off x="0" y="0"/>
                      <a:ext cx="5732875" cy="2142144"/>
                    </a:xfrm>
                    <a:prstGeom prst="rect">
                      <a:avLst/>
                    </a:prstGeom>
                  </pic:spPr>
                </pic:pic>
              </a:graphicData>
            </a:graphic>
          </wp:inline>
        </w:drawing>
      </w:r>
    </w:p>
    <w:p w14:paraId="3A79EE18" w14:textId="79A214E6" w:rsidR="00FE5136" w:rsidRDefault="00B55366" w:rsidP="0000048A">
      <w:pPr>
        <w:spacing w:line="240" w:lineRule="auto"/>
        <w:jc w:val="center"/>
        <w:rPr>
          <w:rFonts w:ascii="Arial" w:hAnsi="Arial" w:cs="Arial"/>
          <w:i/>
          <w:iCs/>
          <w:sz w:val="20"/>
          <w:szCs w:val="20"/>
        </w:rPr>
      </w:pPr>
      <w:r w:rsidRPr="00B55366">
        <w:rPr>
          <w:rFonts w:ascii="Arial" w:hAnsi="Arial" w:cs="Arial"/>
          <w:i/>
          <w:iCs/>
          <w:sz w:val="20"/>
          <w:szCs w:val="20"/>
        </w:rPr>
        <w:t>(Source: Synthesised from Ismail et al. 2025, Wu et al. 2024, and Preuss et al. 2024)</w:t>
      </w:r>
    </w:p>
    <w:p w14:paraId="5C3C7EB3" w14:textId="77777777" w:rsidR="002E13E2" w:rsidRPr="002E13E2" w:rsidRDefault="002E13E2" w:rsidP="0000048A">
      <w:pPr>
        <w:spacing w:line="240" w:lineRule="auto"/>
        <w:jc w:val="center"/>
        <w:rPr>
          <w:rFonts w:ascii="Arial" w:hAnsi="Arial" w:cs="Arial"/>
          <w:i/>
          <w:iCs/>
          <w:sz w:val="16"/>
          <w:szCs w:val="16"/>
        </w:rPr>
      </w:pPr>
    </w:p>
    <w:p w14:paraId="123D37CA" w14:textId="25B26A4F" w:rsidR="00FE5136" w:rsidRPr="00FE5136" w:rsidRDefault="00FE5136" w:rsidP="00FE5136">
      <w:pPr>
        <w:spacing w:after="0" w:line="360" w:lineRule="auto"/>
        <w:ind w:firstLine="567"/>
        <w:jc w:val="both"/>
        <w:rPr>
          <w:rFonts w:ascii="Arial" w:hAnsi="Arial" w:cs="Arial"/>
          <w:sz w:val="22"/>
          <w:szCs w:val="22"/>
        </w:rPr>
      </w:pPr>
      <w:r w:rsidRPr="00FE5136">
        <w:rPr>
          <w:rFonts w:ascii="Arial" w:hAnsi="Arial" w:cs="Arial"/>
          <w:sz w:val="22"/>
          <w:szCs w:val="22"/>
        </w:rPr>
        <w:t>By bridging the gap between theory and measurement, this study opens the way for a comprehensive evaluation of the ways in which supply chain strategies change in response to disturbance. This lays the analytical groundwork for the next data collecting phase, when the variables are built and evaluated consistently and comparably.</w:t>
      </w:r>
    </w:p>
    <w:p w14:paraId="0F4FDFC2" w14:textId="09D02C39" w:rsidR="002F6D6D" w:rsidRPr="00DA74B9" w:rsidRDefault="00174098" w:rsidP="00DA74B9">
      <w:pPr>
        <w:pStyle w:val="Heading2"/>
        <w:spacing w:before="120"/>
        <w:rPr>
          <w:b/>
          <w:bCs/>
          <w:sz w:val="22"/>
          <w:szCs w:val="22"/>
        </w:rPr>
      </w:pPr>
      <w:bookmarkStart w:id="19" w:name="_Toc228883245"/>
      <w:r w:rsidRPr="00DA74B9">
        <w:rPr>
          <w:b/>
          <w:bCs/>
          <w:sz w:val="22"/>
          <w:szCs w:val="22"/>
        </w:rPr>
        <w:t>3.5. Data Collection Methods</w:t>
      </w:r>
      <w:bookmarkEnd w:id="19"/>
    </w:p>
    <w:p w14:paraId="2FB14F7D" w14:textId="5BF481C0" w:rsidR="007F749D" w:rsidRPr="007F749D" w:rsidRDefault="007F749D" w:rsidP="007F749D">
      <w:pPr>
        <w:spacing w:after="0" w:line="360" w:lineRule="auto"/>
        <w:ind w:firstLine="567"/>
        <w:jc w:val="both"/>
        <w:rPr>
          <w:rFonts w:ascii="Arial" w:hAnsi="Arial" w:cs="Arial"/>
          <w:sz w:val="22"/>
          <w:szCs w:val="22"/>
        </w:rPr>
      </w:pPr>
      <w:r w:rsidRPr="007F749D">
        <w:rPr>
          <w:rFonts w:ascii="Arial" w:hAnsi="Arial" w:cs="Arial"/>
          <w:sz w:val="22"/>
          <w:szCs w:val="22"/>
        </w:rPr>
        <w:t xml:space="preserve">Using a structured secondary-data framework, the research expands upon the deductive-explanatory approach previously described and </w:t>
      </w:r>
      <w:r>
        <w:rPr>
          <w:rFonts w:ascii="Arial" w:hAnsi="Arial" w:cs="Arial"/>
          <w:sz w:val="22"/>
          <w:szCs w:val="22"/>
        </w:rPr>
        <w:t>enables longitudinal and cross-firm comparisons</w:t>
      </w:r>
      <w:r w:rsidRPr="007F749D">
        <w:rPr>
          <w:rFonts w:ascii="Arial" w:hAnsi="Arial" w:cs="Arial"/>
          <w:sz w:val="22"/>
          <w:szCs w:val="22"/>
        </w:rPr>
        <w:t xml:space="preserve">. To address RQ1 and RQ2 across many enterprises and disruption stages, secondary data is needed since primary data collection lacks the requisite temporal depth and comparability. </w:t>
      </w:r>
      <w:r>
        <w:rPr>
          <w:rFonts w:ascii="Arial" w:hAnsi="Arial" w:cs="Arial"/>
          <w:sz w:val="22"/>
          <w:szCs w:val="22"/>
        </w:rPr>
        <w:t>To</w:t>
      </w:r>
      <w:r w:rsidRPr="007F749D">
        <w:rPr>
          <w:rFonts w:ascii="Arial" w:hAnsi="Arial" w:cs="Arial"/>
          <w:sz w:val="22"/>
          <w:szCs w:val="22"/>
        </w:rPr>
        <w:t xml:space="preserve"> ensure measurement consistency from 2019 to 2024, financial, operational, and macroeconomic data are combined into a single analytical dataset (Ivanov, 2022).</w:t>
      </w:r>
    </w:p>
    <w:p w14:paraId="6F37BC6E" w14:textId="6BA3C736" w:rsidR="007F749D" w:rsidRPr="007F749D" w:rsidRDefault="007F749D" w:rsidP="007F749D">
      <w:pPr>
        <w:spacing w:after="0" w:line="360" w:lineRule="auto"/>
        <w:ind w:firstLine="567"/>
        <w:jc w:val="both"/>
        <w:rPr>
          <w:rFonts w:ascii="Arial" w:hAnsi="Arial" w:cs="Arial"/>
          <w:sz w:val="22"/>
          <w:szCs w:val="22"/>
        </w:rPr>
      </w:pPr>
      <w:r w:rsidRPr="007F749D">
        <w:rPr>
          <w:rFonts w:ascii="Arial" w:hAnsi="Arial" w:cs="Arial"/>
          <w:sz w:val="22"/>
          <w:szCs w:val="22"/>
        </w:rPr>
        <w:t xml:space="preserve">Indicators at the macro level, such </w:t>
      </w:r>
      <w:r w:rsidR="00AA710A">
        <w:rPr>
          <w:rFonts w:ascii="Arial" w:hAnsi="Arial" w:cs="Arial"/>
          <w:sz w:val="22"/>
          <w:szCs w:val="22"/>
        </w:rPr>
        <w:t>as the Global Supply Chain Pressure Index (GSCPI), as well as trade databases based on HS codes and yearly reports,</w:t>
      </w:r>
      <w:r w:rsidRPr="007F749D">
        <w:rPr>
          <w:rFonts w:ascii="Arial" w:hAnsi="Arial" w:cs="Arial"/>
          <w:sz w:val="22"/>
          <w:szCs w:val="22"/>
        </w:rPr>
        <w:t xml:space="preserve"> are where the data is culled from. Although these sources make things easier to obtain and replicate, they also have certain structural restrictions, especially when it comes to time granularity. The solution to this problem is </w:t>
      </w:r>
      <w:r>
        <w:rPr>
          <w:rFonts w:ascii="Arial" w:hAnsi="Arial" w:cs="Arial"/>
          <w:sz w:val="22"/>
          <w:szCs w:val="22"/>
        </w:rPr>
        <w:t>to proportionally distribute</w:t>
      </w:r>
      <w:r w:rsidRPr="007F749D">
        <w:rPr>
          <w:rFonts w:ascii="Arial" w:hAnsi="Arial" w:cs="Arial"/>
          <w:sz w:val="22"/>
          <w:szCs w:val="22"/>
        </w:rPr>
        <w:t xml:space="preserve"> yearly financial data into monthly observations. While this estimate approach is good at aligning with operational factors like transit time and route interruption, it does include smoothing bias, which makes short-term variations less noticeable. Since maintaining consistency across time is more important than being exact during discrete instances, this compromise is considered acceptable (Lee, Son and Roden, 2023).</w:t>
      </w:r>
    </w:p>
    <w:p w14:paraId="4844B6DB" w14:textId="77777777" w:rsidR="007F749D" w:rsidRPr="007F749D" w:rsidRDefault="007F749D" w:rsidP="007F749D">
      <w:pPr>
        <w:spacing w:after="0" w:line="360" w:lineRule="auto"/>
        <w:ind w:firstLine="567"/>
        <w:jc w:val="both"/>
        <w:rPr>
          <w:rFonts w:ascii="Arial" w:hAnsi="Arial" w:cs="Arial"/>
          <w:sz w:val="22"/>
          <w:szCs w:val="22"/>
        </w:rPr>
      </w:pPr>
      <w:r w:rsidRPr="007F749D">
        <w:rPr>
          <w:rFonts w:ascii="Arial" w:hAnsi="Arial" w:cs="Arial"/>
          <w:sz w:val="22"/>
          <w:szCs w:val="22"/>
        </w:rPr>
        <w:t xml:space="preserve">Due to the dataset's construction at the firm-month-component level, operational disturbances may be directly connected to financial consequences at the company level. </w:t>
      </w:r>
    </w:p>
    <w:p w14:paraId="71121627" w14:textId="00A76EC5" w:rsidR="002D0765" w:rsidRDefault="007F749D" w:rsidP="00F41996">
      <w:pPr>
        <w:spacing w:after="0" w:line="360" w:lineRule="auto"/>
        <w:ind w:firstLine="567"/>
        <w:jc w:val="both"/>
        <w:rPr>
          <w:rFonts w:ascii="Arial" w:hAnsi="Arial" w:cs="Arial"/>
          <w:sz w:val="22"/>
          <w:szCs w:val="22"/>
        </w:rPr>
      </w:pPr>
      <w:r w:rsidRPr="007F749D">
        <w:rPr>
          <w:rFonts w:ascii="Arial" w:hAnsi="Arial" w:cs="Arial"/>
          <w:sz w:val="22"/>
          <w:szCs w:val="22"/>
        </w:rPr>
        <w:lastRenderedPageBreak/>
        <w:t>See Table 3.</w:t>
      </w:r>
      <w:r w:rsidR="00F41996">
        <w:rPr>
          <w:rFonts w:ascii="Arial" w:hAnsi="Arial" w:cs="Arial"/>
          <w:sz w:val="22"/>
          <w:szCs w:val="22"/>
        </w:rPr>
        <w:t>3</w:t>
      </w:r>
      <w:r w:rsidRPr="007F749D">
        <w:rPr>
          <w:rFonts w:ascii="Arial" w:hAnsi="Arial" w:cs="Arial"/>
          <w:sz w:val="22"/>
          <w:szCs w:val="22"/>
        </w:rPr>
        <w:t xml:space="preserve"> for a breakdown of the important operational variables: transit time, route selection (Suez vs Cape), and import prices. Metrics for revenue and inventory serve as financial surrogates for performance and strategic reaction. The addition of HS codes enhances the dataset's validity by reflecting the real movements of automobile components rather than relying on aggregated trade assumptions. Ismail et al. (2025) note that disruption affects are not uniform but are moderated by supply chain structure and sourcing dependence. Consequently, firm-level risk is explicitly observed.</w:t>
      </w:r>
    </w:p>
    <w:p w14:paraId="4D84882C" w14:textId="77777777" w:rsidR="00F41996" w:rsidRPr="00F41996" w:rsidRDefault="00F41996" w:rsidP="00F41996">
      <w:pPr>
        <w:spacing w:after="0" w:line="360" w:lineRule="auto"/>
        <w:ind w:firstLine="567"/>
        <w:jc w:val="both"/>
        <w:rPr>
          <w:rFonts w:ascii="Arial" w:hAnsi="Arial" w:cs="Arial"/>
          <w:sz w:val="16"/>
          <w:szCs w:val="16"/>
        </w:rPr>
      </w:pPr>
    </w:p>
    <w:p w14:paraId="291568C1" w14:textId="5E4D736E" w:rsidR="00BB2072" w:rsidRDefault="00F85604" w:rsidP="000057DF">
      <w:pPr>
        <w:spacing w:after="0"/>
        <w:jc w:val="center"/>
        <w:rPr>
          <w:rFonts w:ascii="Arial" w:hAnsi="Arial" w:cs="Arial"/>
          <w:sz w:val="20"/>
          <w:szCs w:val="20"/>
        </w:rPr>
      </w:pPr>
      <w:r w:rsidRPr="00F85604">
        <w:rPr>
          <w:rFonts w:ascii="Arial" w:hAnsi="Arial" w:cs="Arial"/>
          <w:sz w:val="20"/>
          <w:szCs w:val="20"/>
        </w:rPr>
        <w:t>Table 3.</w:t>
      </w:r>
      <w:r w:rsidR="00AE609E">
        <w:rPr>
          <w:rFonts w:ascii="Arial" w:hAnsi="Arial" w:cs="Arial"/>
          <w:sz w:val="20"/>
          <w:szCs w:val="20"/>
        </w:rPr>
        <w:t>3</w:t>
      </w:r>
      <w:r>
        <w:rPr>
          <w:rFonts w:ascii="Arial" w:hAnsi="Arial" w:cs="Arial"/>
          <w:sz w:val="20"/>
          <w:szCs w:val="20"/>
        </w:rPr>
        <w:t xml:space="preserve">. </w:t>
      </w:r>
      <w:r w:rsidRPr="00F85604">
        <w:rPr>
          <w:rFonts w:ascii="Arial" w:hAnsi="Arial" w:cs="Arial"/>
          <w:sz w:val="20"/>
          <w:szCs w:val="20"/>
        </w:rPr>
        <w:t>Structure of Monthly Import Route Dataset</w:t>
      </w:r>
    </w:p>
    <w:p w14:paraId="56B1A9D7" w14:textId="1FC8DA97" w:rsidR="000057DF" w:rsidRPr="00F85604" w:rsidRDefault="00D93F84" w:rsidP="000057DF">
      <w:pPr>
        <w:spacing w:after="0"/>
        <w:jc w:val="center"/>
        <w:rPr>
          <w:rFonts w:ascii="Arial" w:hAnsi="Arial" w:cs="Arial"/>
          <w:sz w:val="20"/>
          <w:szCs w:val="20"/>
        </w:rPr>
      </w:pPr>
      <w:r w:rsidRPr="00D93F84">
        <w:rPr>
          <w:rFonts w:ascii="Arial" w:hAnsi="Arial" w:cs="Arial"/>
          <w:noProof/>
          <w:sz w:val="20"/>
          <w:szCs w:val="20"/>
        </w:rPr>
        <w:drawing>
          <wp:inline distT="0" distB="0" distL="0" distR="0" wp14:anchorId="777693AA" wp14:editId="2BD974F9">
            <wp:extent cx="4916384" cy="2754630"/>
            <wp:effectExtent l="0" t="0" r="0" b="7620"/>
            <wp:docPr id="69396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69878" name=""/>
                    <pic:cNvPicPr/>
                  </pic:nvPicPr>
                  <pic:blipFill>
                    <a:blip r:embed="rId17"/>
                    <a:stretch>
                      <a:fillRect/>
                    </a:stretch>
                  </pic:blipFill>
                  <pic:spPr>
                    <a:xfrm>
                      <a:off x="0" y="0"/>
                      <a:ext cx="4931736" cy="2763231"/>
                    </a:xfrm>
                    <a:prstGeom prst="rect">
                      <a:avLst/>
                    </a:prstGeom>
                  </pic:spPr>
                </pic:pic>
              </a:graphicData>
            </a:graphic>
          </wp:inline>
        </w:drawing>
      </w:r>
    </w:p>
    <w:p w14:paraId="13C9FEDE" w14:textId="137CE10E" w:rsidR="001643FB" w:rsidRDefault="001643FB" w:rsidP="001643FB">
      <w:pPr>
        <w:spacing w:after="0" w:line="360" w:lineRule="auto"/>
        <w:jc w:val="center"/>
        <w:rPr>
          <w:rFonts w:ascii="Arial" w:hAnsi="Arial" w:cs="Arial"/>
          <w:i/>
          <w:iCs/>
          <w:sz w:val="20"/>
          <w:szCs w:val="20"/>
        </w:rPr>
      </w:pPr>
      <w:r w:rsidRPr="001643FB">
        <w:rPr>
          <w:rFonts w:ascii="Arial" w:hAnsi="Arial" w:cs="Arial"/>
          <w:i/>
          <w:iCs/>
          <w:sz w:val="20"/>
          <w:szCs w:val="20"/>
        </w:rPr>
        <w:t>(Source: Synthesised from Ivanov, 2022; Lee, Son and Roden, 2023; and Wu et al., 2024)</w:t>
      </w:r>
    </w:p>
    <w:p w14:paraId="62C67B35" w14:textId="77777777" w:rsidR="00B91C13" w:rsidRPr="009F5CAC" w:rsidRDefault="00B91C13" w:rsidP="001643FB">
      <w:pPr>
        <w:spacing w:after="0" w:line="360" w:lineRule="auto"/>
        <w:jc w:val="center"/>
        <w:rPr>
          <w:rFonts w:ascii="Arial" w:hAnsi="Arial" w:cs="Arial"/>
          <w:i/>
          <w:iCs/>
          <w:sz w:val="16"/>
          <w:szCs w:val="16"/>
        </w:rPr>
      </w:pPr>
    </w:p>
    <w:p w14:paraId="47A75722" w14:textId="1C9B1513" w:rsidR="009F5CAC" w:rsidRPr="009F5CAC" w:rsidRDefault="009F5CAC" w:rsidP="009F5CAC">
      <w:pPr>
        <w:spacing w:after="0" w:line="360" w:lineRule="auto"/>
        <w:ind w:firstLine="567"/>
        <w:jc w:val="both"/>
        <w:rPr>
          <w:rFonts w:ascii="Arial" w:hAnsi="Arial" w:cs="Arial"/>
          <w:sz w:val="22"/>
          <w:szCs w:val="22"/>
        </w:rPr>
      </w:pPr>
      <w:r w:rsidRPr="009F5CAC">
        <w:rPr>
          <w:rFonts w:ascii="Arial" w:hAnsi="Arial" w:cs="Arial"/>
          <w:sz w:val="22"/>
          <w:szCs w:val="22"/>
        </w:rPr>
        <w:t xml:space="preserve">Crucially, the approach gives more weight to volume-driven cost prediction by examining the correlation between imported cost per vehicle and production levels, as instead of depending on averages. With this method, researchers </w:t>
      </w:r>
      <w:r>
        <w:rPr>
          <w:rFonts w:ascii="Arial" w:hAnsi="Arial" w:cs="Arial"/>
          <w:sz w:val="22"/>
          <w:szCs w:val="22"/>
        </w:rPr>
        <w:t xml:space="preserve">can differentiate among companies' </w:t>
      </w:r>
      <w:r w:rsidRPr="009F5CAC">
        <w:rPr>
          <w:rFonts w:ascii="Arial" w:hAnsi="Arial" w:cs="Arial"/>
          <w:sz w:val="22"/>
          <w:szCs w:val="22"/>
        </w:rPr>
        <w:t xml:space="preserve">levels of exposure to risk, which is especially useful when comparing mass manufacturers with lower production volumes and luxury brands with higher ones. However, it is important to </w:t>
      </w:r>
      <w:r>
        <w:rPr>
          <w:rFonts w:ascii="Arial" w:hAnsi="Arial" w:cs="Arial"/>
          <w:sz w:val="22"/>
          <w:szCs w:val="22"/>
        </w:rPr>
        <w:t>exercise caution when interpreting reported statistics based on secondary data, as they may reflect</w:t>
      </w:r>
      <w:r w:rsidRPr="009F5CAC">
        <w:rPr>
          <w:rFonts w:ascii="Arial" w:hAnsi="Arial" w:cs="Arial"/>
          <w:sz w:val="22"/>
          <w:szCs w:val="22"/>
        </w:rPr>
        <w:t xml:space="preserve"> accounting procedures rather than practical realities.</w:t>
      </w:r>
    </w:p>
    <w:p w14:paraId="645F4505" w14:textId="2B0A091C" w:rsidR="009F5CAC" w:rsidRDefault="009F5CAC" w:rsidP="009F5CAC">
      <w:pPr>
        <w:spacing w:after="0" w:line="360" w:lineRule="auto"/>
        <w:ind w:firstLine="567"/>
        <w:jc w:val="both"/>
        <w:rPr>
          <w:rFonts w:ascii="Arial" w:hAnsi="Arial" w:cs="Arial"/>
          <w:sz w:val="22"/>
          <w:szCs w:val="22"/>
        </w:rPr>
      </w:pPr>
      <w:r w:rsidRPr="009F5CAC">
        <w:rPr>
          <w:rFonts w:ascii="Arial" w:hAnsi="Arial" w:cs="Arial"/>
          <w:sz w:val="22"/>
          <w:szCs w:val="22"/>
        </w:rPr>
        <w:t xml:space="preserve">The data </w:t>
      </w:r>
      <w:r>
        <w:rPr>
          <w:rFonts w:ascii="Arial" w:hAnsi="Arial" w:cs="Arial"/>
          <w:sz w:val="22"/>
          <w:szCs w:val="22"/>
        </w:rPr>
        <w:t>collection</w:t>
      </w:r>
      <w:r w:rsidRPr="009F5CAC">
        <w:rPr>
          <w:rFonts w:ascii="Arial" w:hAnsi="Arial" w:cs="Arial"/>
          <w:sz w:val="22"/>
          <w:szCs w:val="22"/>
        </w:rPr>
        <w:t xml:space="preserve"> approach strikes a good </w:t>
      </w:r>
      <w:r>
        <w:rPr>
          <w:rFonts w:ascii="Arial" w:hAnsi="Arial" w:cs="Arial"/>
          <w:sz w:val="22"/>
          <w:szCs w:val="22"/>
        </w:rPr>
        <w:t xml:space="preserve">balance between academic methodology and realistic constraints, which ensures that the dataset remains strong enough to support the analytical framework </w:t>
      </w:r>
      <w:r w:rsidRPr="009F5CAC">
        <w:rPr>
          <w:rFonts w:ascii="Arial" w:hAnsi="Arial" w:cs="Arial"/>
          <w:sz w:val="22"/>
          <w:szCs w:val="22"/>
        </w:rPr>
        <w:t>established in the following section.</w:t>
      </w:r>
    </w:p>
    <w:p w14:paraId="55C940AD" w14:textId="628AE32F" w:rsidR="00A3777B" w:rsidRPr="008A6596" w:rsidRDefault="00A3777B" w:rsidP="008A6596">
      <w:pPr>
        <w:pStyle w:val="Heading2"/>
        <w:spacing w:before="120"/>
        <w:rPr>
          <w:b/>
          <w:bCs/>
          <w:sz w:val="22"/>
          <w:szCs w:val="22"/>
        </w:rPr>
      </w:pPr>
      <w:bookmarkStart w:id="20" w:name="_Toc228883246"/>
      <w:r w:rsidRPr="008A6596">
        <w:rPr>
          <w:b/>
          <w:bCs/>
          <w:sz w:val="22"/>
          <w:szCs w:val="22"/>
        </w:rPr>
        <w:t>3.6 Variable Construction &amp; Measurement</w:t>
      </w:r>
      <w:bookmarkEnd w:id="20"/>
    </w:p>
    <w:p w14:paraId="3BCAED89" w14:textId="70F15B7B" w:rsidR="004F3B60" w:rsidRPr="004F3B60" w:rsidRDefault="004F3B60" w:rsidP="004F3B60">
      <w:pPr>
        <w:spacing w:after="0" w:line="360" w:lineRule="auto"/>
        <w:ind w:firstLine="567"/>
        <w:jc w:val="both"/>
        <w:rPr>
          <w:rFonts w:ascii="Arial" w:hAnsi="Arial" w:cs="Arial"/>
          <w:sz w:val="22"/>
          <w:szCs w:val="22"/>
        </w:rPr>
      </w:pPr>
      <w:r w:rsidRPr="004F3B60">
        <w:rPr>
          <w:rFonts w:ascii="Arial" w:hAnsi="Arial" w:cs="Arial"/>
          <w:sz w:val="22"/>
          <w:szCs w:val="22"/>
        </w:rPr>
        <w:t>This part develops the data collecting approach to transform abstract ideas into measurable variables, ensuring theoretical claims and empirical tests match. All variables are built using observable proxies since the research uses secondary data, which adds analytical structure and restrictions.</w:t>
      </w:r>
    </w:p>
    <w:p w14:paraId="2B1CC9F0" w14:textId="26599905" w:rsidR="00E579BB" w:rsidRDefault="004F3B60" w:rsidP="004F3B60">
      <w:pPr>
        <w:spacing w:after="0" w:line="360" w:lineRule="auto"/>
        <w:ind w:firstLine="567"/>
        <w:jc w:val="both"/>
        <w:rPr>
          <w:rFonts w:ascii="Arial" w:hAnsi="Arial" w:cs="Arial"/>
          <w:sz w:val="22"/>
          <w:szCs w:val="22"/>
        </w:rPr>
      </w:pPr>
      <w:r w:rsidRPr="004F3B60">
        <w:rPr>
          <w:rFonts w:ascii="Arial" w:hAnsi="Arial" w:cs="Arial"/>
          <w:sz w:val="22"/>
          <w:szCs w:val="22"/>
        </w:rPr>
        <w:lastRenderedPageBreak/>
        <w:t>Variables are divided into firm-level responses and industry-level pressures for clarity. To avoid attributing external disruptive impacts to internal strategy initiatives, this difference is crucial. Inventory Days (DIO), turnover, income, and cost shock absorption measure organisational adaptability. Using proportional allocation, yearly reports are translated into monthly observations for 2019–2024. This allows longitudinal study pre-, during-, and post-disruption, although smoothing bias reduces short-term variability (Ivanov, 2022</w:t>
      </w:r>
      <w:r w:rsidR="0005263B" w:rsidRPr="004F3B60">
        <w:rPr>
          <w:rFonts w:ascii="Arial" w:hAnsi="Arial" w:cs="Arial"/>
          <w:sz w:val="22"/>
          <w:szCs w:val="22"/>
        </w:rPr>
        <w:t>).</w:t>
      </w:r>
      <w:r w:rsidR="0005263B" w:rsidRPr="00AA39BC">
        <w:rPr>
          <w:rFonts w:ascii="Arial" w:hAnsi="Arial" w:cs="Arial"/>
          <w:sz w:val="22"/>
          <w:szCs w:val="22"/>
        </w:rPr>
        <w:t xml:space="preserve"> For</w:t>
      </w:r>
      <w:r w:rsidR="00AA39BC" w:rsidRPr="00AA39BC">
        <w:rPr>
          <w:rFonts w:ascii="Arial" w:hAnsi="Arial" w:cs="Arial"/>
          <w:sz w:val="22"/>
          <w:szCs w:val="22"/>
        </w:rPr>
        <w:t xml:space="preserve"> contrast, financial statistics align to fiscal year ending. This is important for JLR, Nissan, and Toyota, which report from 1 April to 31 March. The core of operational activity (April–December) is consistently represented within the same analysis period by assigning financial outcomes to the finishing year. Bloomberg, </w:t>
      </w:r>
      <w:proofErr w:type="spellStart"/>
      <w:r w:rsidR="00AA39BC" w:rsidRPr="00AA39BC">
        <w:rPr>
          <w:rFonts w:ascii="Arial" w:hAnsi="Arial" w:cs="Arial"/>
          <w:sz w:val="22"/>
          <w:szCs w:val="22"/>
        </w:rPr>
        <w:t>Compustat</w:t>
      </w:r>
      <w:proofErr w:type="spellEnd"/>
      <w:r w:rsidR="00AA39BC" w:rsidRPr="00AA39BC">
        <w:rPr>
          <w:rFonts w:ascii="Arial" w:hAnsi="Arial" w:cs="Arial"/>
          <w:sz w:val="22"/>
          <w:szCs w:val="22"/>
        </w:rPr>
        <w:t>, Orbis, and S&amp;P Capital IQ standardise datasets by fiscal year end to ensure methodological consistency (Bloomberg, 2024; S&amp;P Capital IQ, 2024).</w:t>
      </w:r>
    </w:p>
    <w:p w14:paraId="2890F4B7" w14:textId="77777777" w:rsidR="00E94E8E" w:rsidRPr="00E94E8E" w:rsidRDefault="00E94E8E" w:rsidP="004F3B60">
      <w:pPr>
        <w:spacing w:after="0" w:line="360" w:lineRule="auto"/>
        <w:ind w:firstLine="567"/>
        <w:jc w:val="both"/>
        <w:rPr>
          <w:rFonts w:ascii="Arial" w:hAnsi="Arial" w:cs="Arial"/>
          <w:sz w:val="16"/>
          <w:szCs w:val="16"/>
        </w:rPr>
      </w:pPr>
    </w:p>
    <w:p w14:paraId="635816BB" w14:textId="47FB6514" w:rsidR="004F3B60" w:rsidRDefault="0078324F" w:rsidP="00E94E8E">
      <w:pPr>
        <w:spacing w:after="0" w:line="360" w:lineRule="auto"/>
        <w:jc w:val="center"/>
        <w:rPr>
          <w:rFonts w:ascii="Arial" w:hAnsi="Arial" w:cs="Arial"/>
          <w:sz w:val="20"/>
          <w:szCs w:val="20"/>
        </w:rPr>
      </w:pPr>
      <w:r w:rsidRPr="00E94E8E">
        <w:rPr>
          <w:rFonts w:ascii="Arial" w:hAnsi="Arial" w:cs="Arial"/>
          <w:sz w:val="20"/>
          <w:szCs w:val="20"/>
        </w:rPr>
        <w:t>Table 3.</w:t>
      </w:r>
      <w:r w:rsidR="00AE609E">
        <w:rPr>
          <w:rFonts w:ascii="Arial" w:hAnsi="Arial" w:cs="Arial"/>
          <w:sz w:val="20"/>
          <w:szCs w:val="20"/>
        </w:rPr>
        <w:t>4</w:t>
      </w:r>
      <w:r w:rsidRPr="00E94E8E">
        <w:rPr>
          <w:rFonts w:ascii="Arial" w:hAnsi="Arial" w:cs="Arial"/>
          <w:sz w:val="20"/>
          <w:szCs w:val="20"/>
        </w:rPr>
        <w:t xml:space="preserve">. Selected Companies </w:t>
      </w:r>
      <w:r w:rsidR="00E94E8E" w:rsidRPr="00E94E8E">
        <w:rPr>
          <w:rFonts w:ascii="Arial" w:hAnsi="Arial" w:cs="Arial"/>
          <w:sz w:val="20"/>
          <w:szCs w:val="20"/>
        </w:rPr>
        <w:t>with Company House Number</w:t>
      </w:r>
    </w:p>
    <w:p w14:paraId="109F41B8" w14:textId="2A162864" w:rsidR="00E94E8E" w:rsidRPr="00E94E8E" w:rsidRDefault="008A6596" w:rsidP="00A01D62">
      <w:pPr>
        <w:spacing w:after="0" w:line="360" w:lineRule="auto"/>
        <w:jc w:val="center"/>
        <w:rPr>
          <w:rFonts w:ascii="Arial" w:hAnsi="Arial" w:cs="Arial"/>
          <w:sz w:val="20"/>
          <w:szCs w:val="20"/>
        </w:rPr>
      </w:pPr>
      <w:r>
        <w:rPr>
          <w:rFonts w:ascii="Arial" w:hAnsi="Arial" w:cs="Arial"/>
          <w:noProof/>
          <w:sz w:val="20"/>
          <w:szCs w:val="20"/>
        </w:rPr>
        <w:drawing>
          <wp:inline distT="0" distB="0" distL="0" distR="0" wp14:anchorId="35A89890" wp14:editId="6549FBA1">
            <wp:extent cx="5046497" cy="2713512"/>
            <wp:effectExtent l="0" t="0" r="1905" b="0"/>
            <wp:docPr id="1722507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5874" cy="2729308"/>
                    </a:xfrm>
                    <a:prstGeom prst="rect">
                      <a:avLst/>
                    </a:prstGeom>
                    <a:noFill/>
                  </pic:spPr>
                </pic:pic>
              </a:graphicData>
            </a:graphic>
          </wp:inline>
        </w:drawing>
      </w:r>
    </w:p>
    <w:p w14:paraId="7F74E3E2" w14:textId="4DB47550" w:rsidR="001643FB" w:rsidRDefault="00A60218" w:rsidP="00E94E8E">
      <w:pPr>
        <w:spacing w:after="0" w:line="360" w:lineRule="auto"/>
        <w:jc w:val="center"/>
        <w:rPr>
          <w:rFonts w:ascii="Arial" w:hAnsi="Arial" w:cs="Arial"/>
          <w:sz w:val="18"/>
          <w:szCs w:val="18"/>
        </w:rPr>
      </w:pPr>
      <w:r>
        <w:rPr>
          <w:rFonts w:ascii="Arial" w:hAnsi="Arial" w:cs="Arial"/>
          <w:sz w:val="18"/>
          <w:szCs w:val="18"/>
        </w:rPr>
        <w:t>(</w:t>
      </w:r>
      <w:r w:rsidR="001751C9">
        <w:rPr>
          <w:rFonts w:ascii="Arial" w:hAnsi="Arial" w:cs="Arial"/>
          <w:sz w:val="18"/>
          <w:szCs w:val="18"/>
        </w:rPr>
        <w:t xml:space="preserve">Source: Created by </w:t>
      </w:r>
      <w:r>
        <w:rPr>
          <w:rFonts w:ascii="Arial" w:hAnsi="Arial" w:cs="Arial"/>
          <w:sz w:val="18"/>
          <w:szCs w:val="18"/>
        </w:rPr>
        <w:t>the author</w:t>
      </w:r>
      <w:r w:rsidR="001751C9">
        <w:rPr>
          <w:rFonts w:ascii="Arial" w:hAnsi="Arial" w:cs="Arial"/>
          <w:sz w:val="18"/>
          <w:szCs w:val="18"/>
        </w:rPr>
        <w:t xml:space="preserve"> based on the Company </w:t>
      </w:r>
      <w:r>
        <w:rPr>
          <w:rFonts w:ascii="Arial" w:hAnsi="Arial" w:cs="Arial"/>
          <w:sz w:val="18"/>
          <w:szCs w:val="18"/>
        </w:rPr>
        <w:t>House</w:t>
      </w:r>
      <w:r w:rsidR="001751C9">
        <w:rPr>
          <w:rFonts w:ascii="Arial" w:hAnsi="Arial" w:cs="Arial"/>
          <w:sz w:val="18"/>
          <w:szCs w:val="18"/>
        </w:rPr>
        <w:t xml:space="preserve"> Data</w:t>
      </w:r>
      <w:r>
        <w:rPr>
          <w:rFonts w:ascii="Arial" w:hAnsi="Arial" w:cs="Arial"/>
          <w:sz w:val="18"/>
          <w:szCs w:val="18"/>
        </w:rPr>
        <w:t xml:space="preserve"> 2019-2024)</w:t>
      </w:r>
    </w:p>
    <w:p w14:paraId="4964A6C9" w14:textId="77777777" w:rsidR="00106919" w:rsidRPr="008A6596" w:rsidRDefault="00106919" w:rsidP="00E94E8E">
      <w:pPr>
        <w:spacing w:after="0" w:line="360" w:lineRule="auto"/>
        <w:jc w:val="center"/>
        <w:rPr>
          <w:rFonts w:ascii="Arial" w:hAnsi="Arial" w:cs="Arial"/>
          <w:sz w:val="16"/>
          <w:szCs w:val="16"/>
        </w:rPr>
      </w:pPr>
    </w:p>
    <w:p w14:paraId="1EFEC982" w14:textId="28AFBE6A" w:rsidR="00106919" w:rsidRPr="00106919" w:rsidRDefault="00106919" w:rsidP="00106919">
      <w:pPr>
        <w:spacing w:after="0" w:line="360" w:lineRule="auto"/>
        <w:ind w:firstLine="567"/>
        <w:jc w:val="both"/>
        <w:rPr>
          <w:rFonts w:ascii="Arial" w:hAnsi="Arial" w:cs="Arial"/>
          <w:sz w:val="22"/>
          <w:szCs w:val="22"/>
        </w:rPr>
      </w:pPr>
      <w:r w:rsidRPr="00106919">
        <w:rPr>
          <w:rFonts w:ascii="Arial" w:hAnsi="Arial" w:cs="Arial"/>
          <w:sz w:val="22"/>
          <w:szCs w:val="22"/>
        </w:rPr>
        <w:t>Operational consistency, data openness, and schedule synchronisation are used to pick 14 businesses. With premium and mass-market manufacturers in the final sample, structural variety is maintained beside comparability. All chosen organisations rely on global shipping routes, especially those impacted by the Red Sea disruption, rendering them vulnerable to transit delays and cost shocks. Including bus and truck manufacturers (Alexander Dennis and Leyland Trucks) expands the JIT–JIC shift beyond passenger vehicles, confirming that it is a sector-wide industrial reaction.</w:t>
      </w:r>
    </w:p>
    <w:p w14:paraId="28534191" w14:textId="6E9CA251" w:rsidR="00106919" w:rsidRPr="00106919" w:rsidRDefault="00106919" w:rsidP="00106919">
      <w:pPr>
        <w:spacing w:after="0" w:line="360" w:lineRule="auto"/>
        <w:ind w:firstLine="567"/>
        <w:jc w:val="both"/>
        <w:rPr>
          <w:rFonts w:ascii="Arial" w:hAnsi="Arial" w:cs="Arial"/>
          <w:sz w:val="22"/>
          <w:szCs w:val="22"/>
        </w:rPr>
      </w:pPr>
      <w:r w:rsidRPr="00106919">
        <w:rPr>
          <w:rFonts w:ascii="Arial" w:hAnsi="Arial" w:cs="Arial"/>
          <w:sz w:val="22"/>
          <w:szCs w:val="22"/>
        </w:rPr>
        <w:t>The sampling procedure is transparent</w:t>
      </w:r>
      <w:r w:rsidR="00693AA0">
        <w:rPr>
          <w:rFonts w:ascii="Arial" w:hAnsi="Arial" w:cs="Arial"/>
          <w:sz w:val="22"/>
          <w:szCs w:val="22"/>
        </w:rPr>
        <w:t xml:space="preserve">, with Appendix 1 listing the excluded </w:t>
      </w:r>
      <w:r w:rsidRPr="00106919">
        <w:rPr>
          <w:rFonts w:ascii="Arial" w:hAnsi="Arial" w:cs="Arial"/>
          <w:sz w:val="22"/>
          <w:szCs w:val="22"/>
        </w:rPr>
        <w:t xml:space="preserve">businesses and </w:t>
      </w:r>
      <w:r w:rsidR="00693AA0">
        <w:rPr>
          <w:rFonts w:ascii="Arial" w:hAnsi="Arial" w:cs="Arial"/>
          <w:sz w:val="22"/>
          <w:szCs w:val="22"/>
        </w:rPr>
        <w:t>the rationale for their exclusion</w:t>
      </w:r>
      <w:r w:rsidRPr="00106919">
        <w:rPr>
          <w:rFonts w:ascii="Arial" w:hAnsi="Arial" w:cs="Arial"/>
          <w:sz w:val="22"/>
          <w:szCs w:val="22"/>
        </w:rPr>
        <w:t>.</w:t>
      </w:r>
    </w:p>
    <w:p w14:paraId="36515A27" w14:textId="5F319D65" w:rsidR="00106919" w:rsidRPr="00106919" w:rsidRDefault="00106919" w:rsidP="008A6596">
      <w:pPr>
        <w:spacing w:after="0" w:line="360" w:lineRule="auto"/>
        <w:ind w:firstLine="567"/>
        <w:jc w:val="both"/>
        <w:rPr>
          <w:rFonts w:ascii="Arial" w:hAnsi="Arial" w:cs="Arial"/>
          <w:sz w:val="22"/>
          <w:szCs w:val="22"/>
        </w:rPr>
      </w:pPr>
      <w:r w:rsidRPr="00106919">
        <w:rPr>
          <w:rFonts w:ascii="Arial" w:hAnsi="Arial" w:cs="Arial"/>
          <w:sz w:val="22"/>
          <w:szCs w:val="22"/>
        </w:rPr>
        <w:lastRenderedPageBreak/>
        <w:t xml:space="preserve">Industry factors explain company behaviour. These include UNCTAD, </w:t>
      </w:r>
      <w:r w:rsidR="00CE011D" w:rsidRPr="00106919">
        <w:rPr>
          <w:rFonts w:ascii="Arial" w:hAnsi="Arial" w:cs="Arial"/>
          <w:sz w:val="22"/>
          <w:szCs w:val="22"/>
        </w:rPr>
        <w:t>Marine Traffic</w:t>
      </w:r>
      <w:r w:rsidRPr="00106919">
        <w:rPr>
          <w:rFonts w:ascii="Arial" w:hAnsi="Arial" w:cs="Arial"/>
          <w:sz w:val="22"/>
          <w:szCs w:val="22"/>
        </w:rPr>
        <w:t xml:space="preserve">, Drewry, UN Comtrade, and HM Revenue &amp; Customs freight rates, maritime activities, and trade flows. These metrics measure disruption severity, route congestion, and global supply chain pressure, creating the basis for firm-level adaptation (UNCTAD, 2024; </w:t>
      </w:r>
      <w:r w:rsidR="00CE011D" w:rsidRPr="00106919">
        <w:rPr>
          <w:rFonts w:ascii="Arial" w:hAnsi="Arial" w:cs="Arial"/>
          <w:sz w:val="22"/>
          <w:szCs w:val="22"/>
        </w:rPr>
        <w:t>Marine Traffic</w:t>
      </w:r>
      <w:r w:rsidRPr="00106919">
        <w:rPr>
          <w:rFonts w:ascii="Arial" w:hAnsi="Arial" w:cs="Arial"/>
          <w:sz w:val="22"/>
          <w:szCs w:val="22"/>
        </w:rPr>
        <w:t>, 2024; Drewry, 2024; HMRC, 2024).</w:t>
      </w:r>
    </w:p>
    <w:p w14:paraId="2267E085" w14:textId="0FC6A373" w:rsidR="00106919" w:rsidRDefault="00106919" w:rsidP="00106919">
      <w:pPr>
        <w:spacing w:after="0" w:line="360" w:lineRule="auto"/>
        <w:ind w:firstLine="567"/>
        <w:jc w:val="both"/>
        <w:rPr>
          <w:rFonts w:ascii="Arial" w:hAnsi="Arial" w:cs="Arial"/>
          <w:sz w:val="22"/>
          <w:szCs w:val="22"/>
        </w:rPr>
      </w:pPr>
      <w:r w:rsidRPr="00106919">
        <w:rPr>
          <w:rFonts w:ascii="Arial" w:hAnsi="Arial" w:cs="Arial"/>
          <w:sz w:val="22"/>
          <w:szCs w:val="22"/>
        </w:rPr>
        <w:t xml:space="preserve">Despite </w:t>
      </w:r>
      <w:r w:rsidR="00F93B54">
        <w:rPr>
          <w:rFonts w:ascii="Arial" w:hAnsi="Arial" w:cs="Arial"/>
          <w:sz w:val="22"/>
          <w:szCs w:val="22"/>
        </w:rPr>
        <w:t xml:space="preserve">the </w:t>
      </w:r>
      <w:r w:rsidRPr="00106919">
        <w:rPr>
          <w:rFonts w:ascii="Arial" w:hAnsi="Arial" w:cs="Arial"/>
          <w:sz w:val="22"/>
          <w:szCs w:val="22"/>
        </w:rPr>
        <w:t xml:space="preserve">structure, restrictions exist. Proxy-based measurement facilitates </w:t>
      </w:r>
      <w:r w:rsidR="00F93B54">
        <w:rPr>
          <w:rFonts w:ascii="Arial" w:hAnsi="Arial" w:cs="Arial"/>
          <w:sz w:val="22"/>
          <w:szCs w:val="22"/>
        </w:rPr>
        <w:t>complex decision-making, though approximate monthly statistics may obscure</w:t>
      </w:r>
      <w:r w:rsidRPr="00106919">
        <w:rPr>
          <w:rFonts w:ascii="Arial" w:hAnsi="Arial" w:cs="Arial"/>
          <w:sz w:val="22"/>
          <w:szCs w:val="22"/>
        </w:rPr>
        <w:t xml:space="preserve"> instability. Given this, the model allows consistent cross-firm and time-series analysis, which underpins the calculation logic below.</w:t>
      </w:r>
    </w:p>
    <w:p w14:paraId="283C4C12" w14:textId="437DA625" w:rsidR="00EE5342" w:rsidRPr="008A6596" w:rsidRDefault="00EE5342" w:rsidP="008A6596">
      <w:pPr>
        <w:pStyle w:val="Heading3"/>
        <w:spacing w:before="120"/>
        <w:rPr>
          <w:b/>
          <w:bCs/>
          <w:sz w:val="22"/>
          <w:szCs w:val="22"/>
        </w:rPr>
      </w:pPr>
      <w:bookmarkStart w:id="21" w:name="_Toc228883247"/>
      <w:r w:rsidRPr="008A6596">
        <w:rPr>
          <w:b/>
          <w:bCs/>
          <w:sz w:val="22"/>
          <w:szCs w:val="22"/>
        </w:rPr>
        <w:t xml:space="preserve">3.6.1. </w:t>
      </w:r>
      <w:r w:rsidR="00943F92" w:rsidRPr="008A6596">
        <w:rPr>
          <w:b/>
          <w:bCs/>
          <w:sz w:val="22"/>
          <w:szCs w:val="22"/>
        </w:rPr>
        <w:t>Financial and operational Metrics (Company Level)</w:t>
      </w:r>
      <w:bookmarkEnd w:id="21"/>
    </w:p>
    <w:p w14:paraId="068179A2" w14:textId="6D30E49F" w:rsidR="001220CC" w:rsidRPr="001220CC" w:rsidRDefault="00020AA5" w:rsidP="001220CC">
      <w:pPr>
        <w:spacing w:after="0" w:line="360" w:lineRule="auto"/>
        <w:ind w:firstLine="567"/>
        <w:jc w:val="both"/>
        <w:rPr>
          <w:rFonts w:ascii="Arial" w:hAnsi="Arial" w:cs="Arial"/>
          <w:sz w:val="22"/>
          <w:szCs w:val="22"/>
        </w:rPr>
      </w:pPr>
      <w:r>
        <w:rPr>
          <w:rFonts w:ascii="Arial" w:hAnsi="Arial" w:cs="Arial"/>
          <w:sz w:val="22"/>
          <w:szCs w:val="22"/>
        </w:rPr>
        <w:t>Table</w:t>
      </w:r>
      <w:r w:rsidRPr="00020AA5">
        <w:rPr>
          <w:rFonts w:ascii="Arial" w:hAnsi="Arial" w:cs="Arial"/>
          <w:sz w:val="22"/>
          <w:szCs w:val="22"/>
        </w:rPr>
        <w:t xml:space="preserve"> 3.7 indicates </w:t>
      </w:r>
      <w:r w:rsidR="001220CC">
        <w:rPr>
          <w:rFonts w:ascii="Arial" w:hAnsi="Arial" w:cs="Arial"/>
          <w:sz w:val="22"/>
          <w:szCs w:val="22"/>
        </w:rPr>
        <w:t>that audited</w:t>
      </w:r>
      <w:r w:rsidRPr="00020AA5">
        <w:rPr>
          <w:rFonts w:ascii="Arial" w:hAnsi="Arial" w:cs="Arial"/>
          <w:sz w:val="22"/>
          <w:szCs w:val="22"/>
        </w:rPr>
        <w:t xml:space="preserve"> </w:t>
      </w:r>
      <w:r>
        <w:rPr>
          <w:rFonts w:ascii="Arial" w:hAnsi="Arial" w:cs="Arial"/>
          <w:sz w:val="22"/>
          <w:szCs w:val="22"/>
        </w:rPr>
        <w:t>annual reports (balance sheets and income statements) are used to create all variables, ensuring coherence and comparability across</w:t>
      </w:r>
      <w:r w:rsidRPr="00020AA5">
        <w:rPr>
          <w:rFonts w:ascii="Arial" w:hAnsi="Arial" w:cs="Arial"/>
          <w:sz w:val="22"/>
          <w:szCs w:val="22"/>
        </w:rPr>
        <w:t xml:space="preserve"> organisations. While ensuring measurement transparency, this meets secondary-data dissertation methodological requirements.</w:t>
      </w:r>
      <w:r w:rsidR="001220CC">
        <w:rPr>
          <w:rFonts w:ascii="Arial" w:hAnsi="Arial" w:cs="Arial"/>
          <w:sz w:val="22"/>
          <w:szCs w:val="22"/>
        </w:rPr>
        <w:t xml:space="preserve"> </w:t>
      </w:r>
      <w:r w:rsidR="001220CC" w:rsidRPr="001220CC">
        <w:rPr>
          <w:rFonts w:ascii="Arial" w:hAnsi="Arial" w:cs="Arial"/>
          <w:sz w:val="22"/>
          <w:szCs w:val="22"/>
        </w:rPr>
        <w:t xml:space="preserve">All supporting company and trade evidence is provided in </w:t>
      </w:r>
      <w:r w:rsidR="001220CC" w:rsidRPr="001220CC">
        <w:rPr>
          <w:rFonts w:ascii="Arial" w:hAnsi="Arial" w:cs="Arial"/>
          <w:b/>
          <w:bCs/>
          <w:sz w:val="22"/>
          <w:szCs w:val="22"/>
        </w:rPr>
        <w:t>APPENDIX 2</w:t>
      </w:r>
      <w:r w:rsidR="001220CC" w:rsidRPr="001220CC">
        <w:rPr>
          <w:rFonts w:ascii="Arial" w:hAnsi="Arial" w:cs="Arial"/>
          <w:sz w:val="22"/>
          <w:szCs w:val="22"/>
        </w:rPr>
        <w:t>, showing that both mass-market and luxury UK automotive manufacturers rely on Asia–Europe shipping routes for critical components, exposing them to transit delays and cost shocks during disruption.</w:t>
      </w:r>
    </w:p>
    <w:p w14:paraId="2B004301" w14:textId="30240056" w:rsidR="00020AA5" w:rsidRPr="00020AA5" w:rsidRDefault="001220CC" w:rsidP="001220CC">
      <w:pPr>
        <w:spacing w:after="0" w:line="360" w:lineRule="auto"/>
        <w:ind w:firstLine="567"/>
        <w:jc w:val="both"/>
        <w:rPr>
          <w:rFonts w:ascii="Arial" w:hAnsi="Arial" w:cs="Arial"/>
          <w:sz w:val="22"/>
          <w:szCs w:val="22"/>
        </w:rPr>
      </w:pPr>
      <w:r w:rsidRPr="001220CC">
        <w:rPr>
          <w:rFonts w:ascii="Arial" w:hAnsi="Arial" w:cs="Arial"/>
          <w:sz w:val="22"/>
          <w:szCs w:val="22"/>
        </w:rPr>
        <w:t xml:space="preserve">In </w:t>
      </w:r>
      <w:r w:rsidRPr="001220CC">
        <w:rPr>
          <w:rFonts w:ascii="Arial" w:hAnsi="Arial" w:cs="Arial"/>
          <w:b/>
          <w:bCs/>
          <w:sz w:val="22"/>
          <w:szCs w:val="22"/>
        </w:rPr>
        <w:t>APPENDIX 2</w:t>
      </w:r>
      <w:r w:rsidRPr="001220CC">
        <w:rPr>
          <w:rFonts w:ascii="Arial" w:hAnsi="Arial" w:cs="Arial"/>
          <w:sz w:val="22"/>
          <w:szCs w:val="22"/>
        </w:rPr>
        <w:t>, the original Excel dataset includes full company financials, calculated operational metrics, global and industry indicators, monthly import route data with HS codes, quantities, and component-level detail, supporting calculations, and a consolidated fact table for Power BI modelling and RQ3 analysis</w:t>
      </w:r>
    </w:p>
    <w:p w14:paraId="4C543043" w14:textId="1A664477" w:rsidR="00020AA5" w:rsidRPr="00020AA5" w:rsidRDefault="00020AA5" w:rsidP="00020AA5">
      <w:pPr>
        <w:spacing w:after="0" w:line="360" w:lineRule="auto"/>
        <w:ind w:firstLine="567"/>
        <w:jc w:val="both"/>
        <w:rPr>
          <w:rFonts w:ascii="Arial" w:hAnsi="Arial" w:cs="Arial"/>
          <w:sz w:val="22"/>
          <w:szCs w:val="22"/>
        </w:rPr>
      </w:pPr>
      <w:r w:rsidRPr="00020AA5">
        <w:rPr>
          <w:rFonts w:ascii="Arial" w:hAnsi="Arial" w:cs="Arial"/>
          <w:sz w:val="22"/>
          <w:szCs w:val="22"/>
        </w:rPr>
        <w:t>Metrics are chosen to convert theories into behaviour. JIT–JIC transition (RQ1) is operationalised via inventory turnover and DIO, turning supply chain theory into firm-level choices. Working capital days highlights the efficiency–resilience trade-off (RQ2), revealing whether companies adapt via liquidity pressure or operational change.</w:t>
      </w:r>
    </w:p>
    <w:p w14:paraId="38986C39" w14:textId="54CC6796" w:rsidR="00680B84" w:rsidRDefault="00020AA5" w:rsidP="00020AA5">
      <w:pPr>
        <w:spacing w:after="0" w:line="360" w:lineRule="auto"/>
        <w:ind w:firstLine="567"/>
        <w:jc w:val="both"/>
        <w:rPr>
          <w:rFonts w:ascii="Arial" w:hAnsi="Arial" w:cs="Arial"/>
          <w:sz w:val="22"/>
          <w:szCs w:val="22"/>
        </w:rPr>
      </w:pPr>
      <w:r w:rsidRPr="00020AA5">
        <w:rPr>
          <w:rFonts w:ascii="Arial" w:hAnsi="Arial" w:cs="Arial"/>
          <w:sz w:val="22"/>
          <w:szCs w:val="22"/>
        </w:rPr>
        <w:t>Revenue and inventory growth add dynamic layers. For explanatory analysis, they measure response speed and direction instead of static levels.</w:t>
      </w:r>
    </w:p>
    <w:p w14:paraId="1E876457" w14:textId="77777777" w:rsidR="008037E4" w:rsidRDefault="008037E4" w:rsidP="00020AA5">
      <w:pPr>
        <w:spacing w:after="0" w:line="360" w:lineRule="auto"/>
        <w:ind w:firstLine="567"/>
        <w:jc w:val="both"/>
        <w:rPr>
          <w:rFonts w:ascii="Arial" w:hAnsi="Arial" w:cs="Arial"/>
          <w:sz w:val="16"/>
          <w:szCs w:val="16"/>
        </w:rPr>
      </w:pPr>
    </w:p>
    <w:p w14:paraId="297351DC" w14:textId="77777777" w:rsidR="00DD751D" w:rsidRDefault="00DD751D" w:rsidP="00020AA5">
      <w:pPr>
        <w:spacing w:after="0" w:line="360" w:lineRule="auto"/>
        <w:ind w:firstLine="567"/>
        <w:jc w:val="both"/>
        <w:rPr>
          <w:rFonts w:ascii="Arial" w:hAnsi="Arial" w:cs="Arial"/>
          <w:sz w:val="16"/>
          <w:szCs w:val="16"/>
        </w:rPr>
      </w:pPr>
    </w:p>
    <w:p w14:paraId="6529B0A4" w14:textId="77777777" w:rsidR="00DD751D" w:rsidRDefault="00DD751D" w:rsidP="00020AA5">
      <w:pPr>
        <w:spacing w:after="0" w:line="360" w:lineRule="auto"/>
        <w:ind w:firstLine="567"/>
        <w:jc w:val="both"/>
        <w:rPr>
          <w:rFonts w:ascii="Arial" w:hAnsi="Arial" w:cs="Arial"/>
          <w:sz w:val="16"/>
          <w:szCs w:val="16"/>
        </w:rPr>
      </w:pPr>
    </w:p>
    <w:p w14:paraId="0B1B7D36" w14:textId="77777777" w:rsidR="00DD751D" w:rsidRDefault="00DD751D" w:rsidP="00020AA5">
      <w:pPr>
        <w:spacing w:after="0" w:line="360" w:lineRule="auto"/>
        <w:ind w:firstLine="567"/>
        <w:jc w:val="both"/>
        <w:rPr>
          <w:rFonts w:ascii="Arial" w:hAnsi="Arial" w:cs="Arial"/>
          <w:sz w:val="16"/>
          <w:szCs w:val="16"/>
        </w:rPr>
      </w:pPr>
    </w:p>
    <w:p w14:paraId="4D0900A0" w14:textId="77777777" w:rsidR="00DD751D" w:rsidRDefault="00DD751D" w:rsidP="00020AA5">
      <w:pPr>
        <w:spacing w:after="0" w:line="360" w:lineRule="auto"/>
        <w:ind w:firstLine="567"/>
        <w:jc w:val="both"/>
        <w:rPr>
          <w:rFonts w:ascii="Arial" w:hAnsi="Arial" w:cs="Arial"/>
          <w:sz w:val="16"/>
          <w:szCs w:val="16"/>
        </w:rPr>
      </w:pPr>
    </w:p>
    <w:p w14:paraId="10BBD37B" w14:textId="77777777" w:rsidR="00DD751D" w:rsidRDefault="00DD751D" w:rsidP="00020AA5">
      <w:pPr>
        <w:spacing w:after="0" w:line="360" w:lineRule="auto"/>
        <w:ind w:firstLine="567"/>
        <w:jc w:val="both"/>
        <w:rPr>
          <w:rFonts w:ascii="Arial" w:hAnsi="Arial" w:cs="Arial"/>
          <w:sz w:val="16"/>
          <w:szCs w:val="16"/>
        </w:rPr>
      </w:pPr>
    </w:p>
    <w:p w14:paraId="5300D549" w14:textId="77777777" w:rsidR="00DD751D" w:rsidRDefault="00DD751D" w:rsidP="00020AA5">
      <w:pPr>
        <w:spacing w:after="0" w:line="360" w:lineRule="auto"/>
        <w:ind w:firstLine="567"/>
        <w:jc w:val="both"/>
        <w:rPr>
          <w:rFonts w:ascii="Arial" w:hAnsi="Arial" w:cs="Arial"/>
          <w:sz w:val="16"/>
          <w:szCs w:val="16"/>
        </w:rPr>
      </w:pPr>
    </w:p>
    <w:p w14:paraId="2FBCED6C" w14:textId="77777777" w:rsidR="00DD751D" w:rsidRDefault="00DD751D" w:rsidP="00020AA5">
      <w:pPr>
        <w:spacing w:after="0" w:line="360" w:lineRule="auto"/>
        <w:ind w:firstLine="567"/>
        <w:jc w:val="both"/>
        <w:rPr>
          <w:rFonts w:ascii="Arial" w:hAnsi="Arial" w:cs="Arial"/>
          <w:sz w:val="16"/>
          <w:szCs w:val="16"/>
        </w:rPr>
      </w:pPr>
    </w:p>
    <w:p w14:paraId="0A27A846" w14:textId="77777777" w:rsidR="00DD751D" w:rsidRDefault="00DD751D" w:rsidP="00020AA5">
      <w:pPr>
        <w:spacing w:after="0" w:line="360" w:lineRule="auto"/>
        <w:ind w:firstLine="567"/>
        <w:jc w:val="both"/>
        <w:rPr>
          <w:rFonts w:ascii="Arial" w:hAnsi="Arial" w:cs="Arial"/>
          <w:sz w:val="16"/>
          <w:szCs w:val="16"/>
        </w:rPr>
      </w:pPr>
    </w:p>
    <w:p w14:paraId="79D605BF" w14:textId="77777777" w:rsidR="00DD751D" w:rsidRDefault="00DD751D" w:rsidP="00020AA5">
      <w:pPr>
        <w:spacing w:after="0" w:line="360" w:lineRule="auto"/>
        <w:ind w:firstLine="567"/>
        <w:jc w:val="both"/>
        <w:rPr>
          <w:rFonts w:ascii="Arial" w:hAnsi="Arial" w:cs="Arial"/>
          <w:sz w:val="16"/>
          <w:szCs w:val="16"/>
        </w:rPr>
      </w:pPr>
    </w:p>
    <w:p w14:paraId="0B2CF2E7" w14:textId="77777777" w:rsidR="00DD751D" w:rsidRDefault="00DD751D" w:rsidP="00020AA5">
      <w:pPr>
        <w:spacing w:after="0" w:line="360" w:lineRule="auto"/>
        <w:ind w:firstLine="567"/>
        <w:jc w:val="both"/>
        <w:rPr>
          <w:rFonts w:ascii="Arial" w:hAnsi="Arial" w:cs="Arial"/>
          <w:sz w:val="16"/>
          <w:szCs w:val="16"/>
        </w:rPr>
      </w:pPr>
    </w:p>
    <w:p w14:paraId="029456E5" w14:textId="77777777" w:rsidR="00DD751D" w:rsidRDefault="00DD751D" w:rsidP="00020AA5">
      <w:pPr>
        <w:spacing w:after="0" w:line="360" w:lineRule="auto"/>
        <w:ind w:firstLine="567"/>
        <w:jc w:val="both"/>
        <w:rPr>
          <w:rFonts w:ascii="Arial" w:hAnsi="Arial" w:cs="Arial"/>
          <w:sz w:val="16"/>
          <w:szCs w:val="16"/>
        </w:rPr>
      </w:pPr>
    </w:p>
    <w:p w14:paraId="2AFBFDF6" w14:textId="77777777" w:rsidR="00DD751D" w:rsidRPr="008037E4" w:rsidRDefault="00DD751D" w:rsidP="00020AA5">
      <w:pPr>
        <w:spacing w:after="0" w:line="360" w:lineRule="auto"/>
        <w:ind w:firstLine="567"/>
        <w:jc w:val="both"/>
        <w:rPr>
          <w:rFonts w:ascii="Arial" w:hAnsi="Arial" w:cs="Arial"/>
          <w:sz w:val="16"/>
          <w:szCs w:val="16"/>
        </w:rPr>
      </w:pPr>
    </w:p>
    <w:p w14:paraId="2427DFE8" w14:textId="4454EFF6" w:rsidR="00106919" w:rsidRPr="008037E4" w:rsidRDefault="008037E4" w:rsidP="00E94E8E">
      <w:pPr>
        <w:spacing w:after="0" w:line="360" w:lineRule="auto"/>
        <w:jc w:val="center"/>
        <w:rPr>
          <w:rFonts w:ascii="Arial" w:hAnsi="Arial" w:cs="Arial"/>
          <w:sz w:val="22"/>
          <w:szCs w:val="22"/>
        </w:rPr>
      </w:pPr>
      <w:r w:rsidRPr="008037E4">
        <w:rPr>
          <w:rFonts w:ascii="Arial" w:hAnsi="Arial" w:cs="Arial"/>
          <w:sz w:val="20"/>
          <w:szCs w:val="20"/>
        </w:rPr>
        <w:lastRenderedPageBreak/>
        <w:t>Table 3.</w:t>
      </w:r>
      <w:r w:rsidR="00AE609E">
        <w:rPr>
          <w:rFonts w:ascii="Arial" w:hAnsi="Arial" w:cs="Arial"/>
          <w:sz w:val="20"/>
          <w:szCs w:val="20"/>
        </w:rPr>
        <w:t>5</w:t>
      </w:r>
      <w:r w:rsidRPr="008037E4">
        <w:rPr>
          <w:rFonts w:ascii="Arial" w:hAnsi="Arial" w:cs="Arial"/>
          <w:sz w:val="20"/>
          <w:szCs w:val="20"/>
        </w:rPr>
        <w:t>. Company Operational Metric Construction and Measurement Framework</w:t>
      </w:r>
    </w:p>
    <w:p w14:paraId="22A92AA7" w14:textId="1E15C841" w:rsidR="00F37190" w:rsidRDefault="00B37904" w:rsidP="003943A3">
      <w:pPr>
        <w:spacing w:after="0" w:line="360" w:lineRule="auto"/>
        <w:jc w:val="center"/>
        <w:rPr>
          <w:rFonts w:ascii="Arial" w:hAnsi="Arial" w:cs="Arial"/>
          <w:sz w:val="20"/>
          <w:szCs w:val="20"/>
        </w:rPr>
      </w:pPr>
      <w:r w:rsidRPr="00B37904">
        <w:rPr>
          <w:rFonts w:ascii="Arial" w:hAnsi="Arial" w:cs="Arial"/>
          <w:noProof/>
          <w:sz w:val="20"/>
          <w:szCs w:val="20"/>
        </w:rPr>
        <w:drawing>
          <wp:inline distT="0" distB="0" distL="0" distR="0" wp14:anchorId="44B02F45" wp14:editId="553D76B0">
            <wp:extent cx="5465559" cy="3301340"/>
            <wp:effectExtent l="0" t="0" r="1905" b="0"/>
            <wp:docPr id="1004830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30841" name=""/>
                    <pic:cNvPicPr/>
                  </pic:nvPicPr>
                  <pic:blipFill>
                    <a:blip r:embed="rId19"/>
                    <a:stretch>
                      <a:fillRect/>
                    </a:stretch>
                  </pic:blipFill>
                  <pic:spPr>
                    <a:xfrm>
                      <a:off x="0" y="0"/>
                      <a:ext cx="5514399" cy="3330840"/>
                    </a:xfrm>
                    <a:prstGeom prst="rect">
                      <a:avLst/>
                    </a:prstGeom>
                  </pic:spPr>
                </pic:pic>
              </a:graphicData>
            </a:graphic>
          </wp:inline>
        </w:drawing>
      </w:r>
    </w:p>
    <w:p w14:paraId="75EA69AF" w14:textId="396E27D4" w:rsidR="003943A3" w:rsidRDefault="003943A3" w:rsidP="008037E4">
      <w:pPr>
        <w:spacing w:after="0" w:line="360" w:lineRule="auto"/>
        <w:ind w:firstLine="567"/>
        <w:jc w:val="center"/>
        <w:rPr>
          <w:rFonts w:ascii="Arial" w:hAnsi="Arial" w:cs="Arial"/>
          <w:sz w:val="20"/>
          <w:szCs w:val="20"/>
        </w:rPr>
      </w:pPr>
      <w:r w:rsidRPr="003943A3">
        <w:rPr>
          <w:rFonts w:ascii="Arial" w:hAnsi="Arial" w:cs="Arial"/>
          <w:sz w:val="20"/>
          <w:szCs w:val="20"/>
        </w:rPr>
        <w:t xml:space="preserve">(Source: Created by the author based on the </w:t>
      </w:r>
      <w:r w:rsidR="004E7F6D">
        <w:rPr>
          <w:rFonts w:ascii="Arial" w:hAnsi="Arial" w:cs="Arial"/>
          <w:sz w:val="20"/>
          <w:szCs w:val="20"/>
        </w:rPr>
        <w:t>Company's</w:t>
      </w:r>
      <w:r w:rsidRPr="003943A3">
        <w:rPr>
          <w:rFonts w:ascii="Arial" w:hAnsi="Arial" w:cs="Arial"/>
          <w:sz w:val="20"/>
          <w:szCs w:val="20"/>
        </w:rPr>
        <w:t xml:space="preserve"> </w:t>
      </w:r>
      <w:r w:rsidR="004E7F6D" w:rsidRPr="004E7F6D">
        <w:rPr>
          <w:rFonts w:ascii="Arial" w:hAnsi="Arial" w:cs="Arial"/>
          <w:sz w:val="20"/>
          <w:szCs w:val="20"/>
        </w:rPr>
        <w:t>annual reports</w:t>
      </w:r>
      <w:r w:rsidRPr="003943A3">
        <w:rPr>
          <w:rFonts w:ascii="Arial" w:hAnsi="Arial" w:cs="Arial"/>
          <w:sz w:val="20"/>
          <w:szCs w:val="20"/>
        </w:rPr>
        <w:t xml:space="preserve"> Data 2019-2024)</w:t>
      </w:r>
    </w:p>
    <w:p w14:paraId="20B3DEB5" w14:textId="77777777" w:rsidR="008A6596" w:rsidRPr="008A6596" w:rsidRDefault="008A6596" w:rsidP="008037E4">
      <w:pPr>
        <w:spacing w:after="0" w:line="360" w:lineRule="auto"/>
        <w:ind w:firstLine="567"/>
        <w:jc w:val="center"/>
        <w:rPr>
          <w:rFonts w:ascii="Arial" w:hAnsi="Arial" w:cs="Arial"/>
          <w:sz w:val="16"/>
          <w:szCs w:val="16"/>
        </w:rPr>
      </w:pPr>
    </w:p>
    <w:p w14:paraId="52EE1A1A" w14:textId="39E4296B" w:rsidR="0005459A" w:rsidRPr="0005459A" w:rsidRDefault="0005459A" w:rsidP="0005459A">
      <w:pPr>
        <w:spacing w:after="0" w:line="360" w:lineRule="auto"/>
        <w:ind w:firstLine="567"/>
        <w:jc w:val="both"/>
        <w:rPr>
          <w:rFonts w:ascii="Arial" w:hAnsi="Arial" w:cs="Arial"/>
          <w:sz w:val="22"/>
          <w:szCs w:val="22"/>
        </w:rPr>
      </w:pPr>
      <w:r w:rsidRPr="0005459A">
        <w:rPr>
          <w:rFonts w:ascii="Arial" w:hAnsi="Arial" w:cs="Arial"/>
          <w:sz w:val="22"/>
          <w:szCs w:val="22"/>
        </w:rPr>
        <w:t xml:space="preserve">The “abnormal” results are typical behaviour of ratio-based measures under uneven company size and disruption. Data shows this. Rolls-Royce's DIO of 36,655 days (2019) </w:t>
      </w:r>
      <w:r w:rsidR="00065892">
        <w:rPr>
          <w:rFonts w:ascii="Arial" w:hAnsi="Arial" w:cs="Arial"/>
          <w:sz w:val="22"/>
          <w:szCs w:val="22"/>
        </w:rPr>
        <w:t>may seem high, but it reflects low COGS relative</w:t>
      </w:r>
      <w:r w:rsidRPr="0005459A">
        <w:rPr>
          <w:rFonts w:ascii="Arial" w:hAnsi="Arial" w:cs="Arial"/>
          <w:sz w:val="22"/>
          <w:szCs w:val="22"/>
        </w:rPr>
        <w:t xml:space="preserve"> to high-value inventory in low-volume manufacturing. Morgan Motor Company estimates inventory increase of 357.02% (2022) and revenue growth above 3000% (2020), mostly due to a low prior-year base rather than impulsive operational expansion. The financial structure of Aston Martin relies on supplier credit rather than liquidity problems, with working-capital days reaching -999. Jaguar Land Rover has </w:t>
      </w:r>
      <w:r w:rsidR="00065892">
        <w:rPr>
          <w:rFonts w:ascii="Arial" w:hAnsi="Arial" w:cs="Arial"/>
          <w:sz w:val="22"/>
          <w:szCs w:val="22"/>
        </w:rPr>
        <w:t xml:space="preserve">an inventory increase of over 4500% and revenue growth of </w:t>
      </w:r>
      <w:r w:rsidRPr="0005459A">
        <w:rPr>
          <w:rFonts w:ascii="Arial" w:hAnsi="Arial" w:cs="Arial"/>
          <w:sz w:val="22"/>
          <w:szCs w:val="22"/>
        </w:rPr>
        <w:t>above 6100% (2019), with timing implications connected to production recovery cycles.</w:t>
      </w:r>
    </w:p>
    <w:p w14:paraId="093F2164" w14:textId="25BD2DDD" w:rsidR="00674924" w:rsidRDefault="0005459A" w:rsidP="0005459A">
      <w:pPr>
        <w:spacing w:after="0" w:line="360" w:lineRule="auto"/>
        <w:ind w:firstLine="567"/>
        <w:jc w:val="both"/>
        <w:rPr>
          <w:rFonts w:ascii="Arial" w:hAnsi="Arial" w:cs="Arial"/>
          <w:sz w:val="22"/>
          <w:szCs w:val="22"/>
        </w:rPr>
      </w:pPr>
      <w:r w:rsidRPr="0005459A">
        <w:rPr>
          <w:rFonts w:ascii="Arial" w:hAnsi="Arial" w:cs="Arial"/>
          <w:sz w:val="22"/>
          <w:szCs w:val="22"/>
        </w:rPr>
        <w:t xml:space="preserve">Disruptions, especially Red Sea delays, alter inventory, production, and revenue recognition due to increased transit durations and precautionary stock stockpiling. Thus, excessive results should be understood as strategic </w:t>
      </w:r>
      <w:r w:rsidR="00D10396">
        <w:rPr>
          <w:rFonts w:ascii="Arial" w:hAnsi="Arial" w:cs="Arial"/>
          <w:sz w:val="22"/>
          <w:szCs w:val="22"/>
        </w:rPr>
        <w:t xml:space="preserve">adjustments and supply chain stress rather than statistical anomalies, since interruption events increase variability in operational performance </w:t>
      </w:r>
      <w:r w:rsidRPr="0005459A">
        <w:rPr>
          <w:rFonts w:ascii="Arial" w:hAnsi="Arial" w:cs="Arial"/>
          <w:sz w:val="22"/>
          <w:szCs w:val="22"/>
        </w:rPr>
        <w:t xml:space="preserve">(Christopher </w:t>
      </w:r>
      <w:r w:rsidR="00BE61AF">
        <w:rPr>
          <w:rFonts w:ascii="Arial" w:hAnsi="Arial" w:cs="Arial"/>
          <w:sz w:val="22"/>
          <w:szCs w:val="22"/>
        </w:rPr>
        <w:t>&amp;</w:t>
      </w:r>
      <w:r w:rsidRPr="0005459A">
        <w:rPr>
          <w:rFonts w:ascii="Arial" w:hAnsi="Arial" w:cs="Arial"/>
          <w:sz w:val="22"/>
          <w:szCs w:val="22"/>
        </w:rPr>
        <w:t xml:space="preserve"> Peck, 2004).</w:t>
      </w:r>
    </w:p>
    <w:p w14:paraId="39D7DAC7" w14:textId="0180CCDB" w:rsidR="0005459A" w:rsidRPr="008A6596" w:rsidRDefault="0080327D" w:rsidP="008A6596">
      <w:pPr>
        <w:pStyle w:val="Heading3"/>
        <w:spacing w:before="120"/>
        <w:rPr>
          <w:b/>
          <w:bCs/>
          <w:sz w:val="22"/>
          <w:szCs w:val="22"/>
        </w:rPr>
      </w:pPr>
      <w:bookmarkStart w:id="22" w:name="_Toc228883248"/>
      <w:r w:rsidRPr="008A6596">
        <w:rPr>
          <w:b/>
          <w:bCs/>
          <w:sz w:val="22"/>
          <w:szCs w:val="22"/>
        </w:rPr>
        <w:t xml:space="preserve">3.6.2. </w:t>
      </w:r>
      <w:r w:rsidR="00BE61AF" w:rsidRPr="008A6596">
        <w:rPr>
          <w:b/>
          <w:bCs/>
          <w:sz w:val="22"/>
          <w:szCs w:val="22"/>
        </w:rPr>
        <w:t>Global Metrics (disruptions)</w:t>
      </w:r>
      <w:bookmarkEnd w:id="22"/>
    </w:p>
    <w:p w14:paraId="30CA8F22" w14:textId="77777777" w:rsidR="0085012E" w:rsidRDefault="0085012E" w:rsidP="0005459A">
      <w:pPr>
        <w:spacing w:after="0" w:line="360" w:lineRule="auto"/>
        <w:ind w:firstLine="567"/>
        <w:jc w:val="both"/>
        <w:rPr>
          <w:rFonts w:ascii="Arial" w:hAnsi="Arial" w:cs="Arial"/>
          <w:sz w:val="22"/>
          <w:szCs w:val="22"/>
        </w:rPr>
      </w:pPr>
      <w:r w:rsidRPr="0085012E">
        <w:rPr>
          <w:rFonts w:ascii="Arial" w:hAnsi="Arial" w:cs="Arial"/>
          <w:sz w:val="22"/>
          <w:szCs w:val="22"/>
        </w:rPr>
        <w:t xml:space="preserve">Figure 3.1 shows how Bentley Motors Limited's firm-level operations translate into measurable disruption exposure, with production declining from 1,097 vehicles in 2023 to 868 vehicles in 2024 and key imported components like ADAS modules (HS Code 9032.89 – electronic control systems for vehicles) coming from China. </w:t>
      </w:r>
    </w:p>
    <w:p w14:paraId="27B111C8" w14:textId="77777777" w:rsidR="0040769E" w:rsidRPr="008A6596" w:rsidRDefault="0040769E" w:rsidP="0005459A">
      <w:pPr>
        <w:spacing w:after="0" w:line="360" w:lineRule="auto"/>
        <w:ind w:firstLine="567"/>
        <w:jc w:val="both"/>
        <w:rPr>
          <w:rFonts w:ascii="Arial" w:hAnsi="Arial" w:cs="Arial"/>
          <w:sz w:val="16"/>
          <w:szCs w:val="16"/>
        </w:rPr>
      </w:pPr>
    </w:p>
    <w:p w14:paraId="231D1D43" w14:textId="58989BDD" w:rsidR="0085012E" w:rsidRPr="0040769E" w:rsidRDefault="0040769E" w:rsidP="0040769E">
      <w:pPr>
        <w:spacing w:after="0" w:line="360" w:lineRule="auto"/>
        <w:jc w:val="center"/>
        <w:rPr>
          <w:rFonts w:ascii="Arial" w:hAnsi="Arial" w:cs="Arial"/>
          <w:sz w:val="20"/>
          <w:szCs w:val="20"/>
        </w:rPr>
      </w:pPr>
      <w:r w:rsidRPr="0040769E">
        <w:rPr>
          <w:rFonts w:ascii="Arial" w:hAnsi="Arial" w:cs="Arial"/>
          <w:sz w:val="20"/>
          <w:szCs w:val="20"/>
        </w:rPr>
        <w:lastRenderedPageBreak/>
        <w:t>Figure 3.1. Bentley Motors Limited's firm-level operational example</w:t>
      </w:r>
    </w:p>
    <w:p w14:paraId="0AD7B704" w14:textId="6DC0C986" w:rsidR="0085012E" w:rsidRDefault="0040769E" w:rsidP="0040769E">
      <w:pPr>
        <w:spacing w:after="0" w:line="360" w:lineRule="auto"/>
        <w:jc w:val="center"/>
        <w:rPr>
          <w:rFonts w:ascii="Arial" w:hAnsi="Arial" w:cs="Arial"/>
          <w:sz w:val="22"/>
          <w:szCs w:val="22"/>
        </w:rPr>
      </w:pPr>
      <w:r w:rsidRPr="0040769E">
        <w:rPr>
          <w:rFonts w:ascii="Arial" w:hAnsi="Arial" w:cs="Arial"/>
          <w:noProof/>
          <w:sz w:val="22"/>
          <w:szCs w:val="22"/>
        </w:rPr>
        <w:drawing>
          <wp:inline distT="0" distB="0" distL="0" distR="0" wp14:anchorId="18000967" wp14:editId="37753E13">
            <wp:extent cx="5731510" cy="2185060"/>
            <wp:effectExtent l="0" t="0" r="2540" b="5715"/>
            <wp:docPr id="1586141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41893" name=""/>
                    <pic:cNvPicPr/>
                  </pic:nvPicPr>
                  <pic:blipFill>
                    <a:blip r:embed="rId20"/>
                    <a:stretch>
                      <a:fillRect/>
                    </a:stretch>
                  </pic:blipFill>
                  <pic:spPr>
                    <a:xfrm>
                      <a:off x="0" y="0"/>
                      <a:ext cx="5737241" cy="2187245"/>
                    </a:xfrm>
                    <a:prstGeom prst="rect">
                      <a:avLst/>
                    </a:prstGeom>
                  </pic:spPr>
                </pic:pic>
              </a:graphicData>
            </a:graphic>
          </wp:inline>
        </w:drawing>
      </w:r>
    </w:p>
    <w:p w14:paraId="066859AA" w14:textId="68134735" w:rsidR="0085012E" w:rsidRDefault="0040769E" w:rsidP="0040769E">
      <w:pPr>
        <w:spacing w:after="0" w:line="360" w:lineRule="auto"/>
        <w:jc w:val="center"/>
        <w:rPr>
          <w:rFonts w:ascii="Arial" w:hAnsi="Arial" w:cs="Arial"/>
          <w:i/>
          <w:iCs/>
          <w:sz w:val="20"/>
          <w:szCs w:val="20"/>
        </w:rPr>
      </w:pPr>
      <w:r w:rsidRPr="0040769E">
        <w:rPr>
          <w:rFonts w:ascii="Arial" w:hAnsi="Arial" w:cs="Arial"/>
          <w:i/>
          <w:iCs/>
          <w:sz w:val="20"/>
          <w:szCs w:val="20"/>
        </w:rPr>
        <w:t>(Source: Created by the author based on the Company's annual reports Data 2019-2024)</w:t>
      </w:r>
    </w:p>
    <w:p w14:paraId="7869CD8B" w14:textId="77777777" w:rsidR="0040769E" w:rsidRPr="0040769E" w:rsidRDefault="0040769E" w:rsidP="0040769E">
      <w:pPr>
        <w:spacing w:after="0" w:line="360" w:lineRule="auto"/>
        <w:jc w:val="center"/>
        <w:rPr>
          <w:rFonts w:ascii="Arial" w:hAnsi="Arial" w:cs="Arial"/>
          <w:i/>
          <w:iCs/>
          <w:sz w:val="16"/>
          <w:szCs w:val="16"/>
        </w:rPr>
      </w:pPr>
    </w:p>
    <w:p w14:paraId="48D93DA8" w14:textId="2D9ED4D6" w:rsidR="00FC7F38" w:rsidRDefault="0085012E" w:rsidP="0005459A">
      <w:pPr>
        <w:spacing w:after="0" w:line="360" w:lineRule="auto"/>
        <w:ind w:firstLine="567"/>
        <w:jc w:val="both"/>
        <w:rPr>
          <w:rFonts w:ascii="Arial" w:hAnsi="Arial" w:cs="Arial"/>
          <w:sz w:val="22"/>
          <w:szCs w:val="22"/>
        </w:rPr>
      </w:pPr>
      <w:r w:rsidRPr="0085012E">
        <w:rPr>
          <w:rFonts w:ascii="Arial" w:hAnsi="Arial" w:cs="Arial"/>
          <w:sz w:val="22"/>
          <w:szCs w:val="22"/>
        </w:rPr>
        <w:t>Transit durations increased from 29–30 days to 40–44 days during the interruption period, while imported vehicle costs rose from £29.27k to £53.16k, indicating the change in route from Suez Canal to the Cape of Good Hope. Appendix 2 contains the whole dataset for all companies, whereas Table 3.</w:t>
      </w:r>
      <w:r w:rsidR="002C7D8A">
        <w:rPr>
          <w:rFonts w:ascii="Arial" w:hAnsi="Arial" w:cs="Arial"/>
          <w:sz w:val="22"/>
          <w:szCs w:val="22"/>
        </w:rPr>
        <w:t>6</w:t>
      </w:r>
      <w:r w:rsidRPr="0085012E">
        <w:rPr>
          <w:rFonts w:ascii="Arial" w:hAnsi="Arial" w:cs="Arial"/>
          <w:sz w:val="22"/>
          <w:szCs w:val="22"/>
        </w:rPr>
        <w:t xml:space="preserve"> clearly describes the calculation logic and analytical significance of each measure, relating raw inputs (columns A–I) to derived indicators (J–L).</w:t>
      </w:r>
    </w:p>
    <w:p w14:paraId="24BE2242" w14:textId="77777777" w:rsidR="008A6596" w:rsidRDefault="008A6596" w:rsidP="0005459A">
      <w:pPr>
        <w:spacing w:after="0" w:line="360" w:lineRule="auto"/>
        <w:ind w:firstLine="567"/>
        <w:jc w:val="both"/>
        <w:rPr>
          <w:rFonts w:ascii="Arial" w:hAnsi="Arial" w:cs="Arial"/>
          <w:sz w:val="16"/>
          <w:szCs w:val="16"/>
        </w:rPr>
      </w:pPr>
    </w:p>
    <w:p w14:paraId="41EF0E5F" w14:textId="77777777" w:rsidR="0003495B" w:rsidRDefault="0003495B" w:rsidP="0005459A">
      <w:pPr>
        <w:spacing w:after="0" w:line="360" w:lineRule="auto"/>
        <w:ind w:firstLine="567"/>
        <w:jc w:val="both"/>
        <w:rPr>
          <w:rFonts w:ascii="Arial" w:hAnsi="Arial" w:cs="Arial"/>
          <w:sz w:val="16"/>
          <w:szCs w:val="16"/>
        </w:rPr>
      </w:pPr>
    </w:p>
    <w:p w14:paraId="2B8E1DC5" w14:textId="77777777" w:rsidR="0003495B" w:rsidRDefault="0003495B" w:rsidP="0005459A">
      <w:pPr>
        <w:spacing w:after="0" w:line="360" w:lineRule="auto"/>
        <w:ind w:firstLine="567"/>
        <w:jc w:val="both"/>
        <w:rPr>
          <w:rFonts w:ascii="Arial" w:hAnsi="Arial" w:cs="Arial"/>
          <w:sz w:val="16"/>
          <w:szCs w:val="16"/>
        </w:rPr>
      </w:pPr>
    </w:p>
    <w:p w14:paraId="7F6E6AF0" w14:textId="77777777" w:rsidR="0003495B" w:rsidRDefault="0003495B" w:rsidP="0005459A">
      <w:pPr>
        <w:spacing w:after="0" w:line="360" w:lineRule="auto"/>
        <w:ind w:firstLine="567"/>
        <w:jc w:val="both"/>
        <w:rPr>
          <w:rFonts w:ascii="Arial" w:hAnsi="Arial" w:cs="Arial"/>
          <w:sz w:val="16"/>
          <w:szCs w:val="16"/>
        </w:rPr>
      </w:pPr>
    </w:p>
    <w:p w14:paraId="6AD2E86E" w14:textId="77777777" w:rsidR="0003495B" w:rsidRDefault="0003495B" w:rsidP="0005459A">
      <w:pPr>
        <w:spacing w:after="0" w:line="360" w:lineRule="auto"/>
        <w:ind w:firstLine="567"/>
        <w:jc w:val="both"/>
        <w:rPr>
          <w:rFonts w:ascii="Arial" w:hAnsi="Arial" w:cs="Arial"/>
          <w:sz w:val="16"/>
          <w:szCs w:val="16"/>
        </w:rPr>
      </w:pPr>
    </w:p>
    <w:p w14:paraId="024DAE38" w14:textId="77777777" w:rsidR="0003495B" w:rsidRDefault="0003495B" w:rsidP="0005459A">
      <w:pPr>
        <w:spacing w:after="0" w:line="360" w:lineRule="auto"/>
        <w:ind w:firstLine="567"/>
        <w:jc w:val="both"/>
        <w:rPr>
          <w:rFonts w:ascii="Arial" w:hAnsi="Arial" w:cs="Arial"/>
          <w:sz w:val="16"/>
          <w:szCs w:val="16"/>
        </w:rPr>
      </w:pPr>
    </w:p>
    <w:p w14:paraId="0C2974AF" w14:textId="77777777" w:rsidR="0003495B" w:rsidRDefault="0003495B" w:rsidP="0005459A">
      <w:pPr>
        <w:spacing w:after="0" w:line="360" w:lineRule="auto"/>
        <w:ind w:firstLine="567"/>
        <w:jc w:val="both"/>
        <w:rPr>
          <w:rFonts w:ascii="Arial" w:hAnsi="Arial" w:cs="Arial"/>
          <w:sz w:val="16"/>
          <w:szCs w:val="16"/>
        </w:rPr>
      </w:pPr>
    </w:p>
    <w:p w14:paraId="74515D37" w14:textId="77777777" w:rsidR="0003495B" w:rsidRDefault="0003495B" w:rsidP="0005459A">
      <w:pPr>
        <w:spacing w:after="0" w:line="360" w:lineRule="auto"/>
        <w:ind w:firstLine="567"/>
        <w:jc w:val="both"/>
        <w:rPr>
          <w:rFonts w:ascii="Arial" w:hAnsi="Arial" w:cs="Arial"/>
          <w:sz w:val="16"/>
          <w:szCs w:val="16"/>
        </w:rPr>
      </w:pPr>
    </w:p>
    <w:p w14:paraId="62DD988F" w14:textId="77777777" w:rsidR="0003495B" w:rsidRDefault="0003495B" w:rsidP="0005459A">
      <w:pPr>
        <w:spacing w:after="0" w:line="360" w:lineRule="auto"/>
        <w:ind w:firstLine="567"/>
        <w:jc w:val="both"/>
        <w:rPr>
          <w:rFonts w:ascii="Arial" w:hAnsi="Arial" w:cs="Arial"/>
          <w:sz w:val="16"/>
          <w:szCs w:val="16"/>
        </w:rPr>
      </w:pPr>
    </w:p>
    <w:p w14:paraId="31375935" w14:textId="77777777" w:rsidR="0003495B" w:rsidRDefault="0003495B" w:rsidP="0005459A">
      <w:pPr>
        <w:spacing w:after="0" w:line="360" w:lineRule="auto"/>
        <w:ind w:firstLine="567"/>
        <w:jc w:val="both"/>
        <w:rPr>
          <w:rFonts w:ascii="Arial" w:hAnsi="Arial" w:cs="Arial"/>
          <w:sz w:val="16"/>
          <w:szCs w:val="16"/>
        </w:rPr>
      </w:pPr>
    </w:p>
    <w:p w14:paraId="6E351E0C" w14:textId="77777777" w:rsidR="0003495B" w:rsidRDefault="0003495B" w:rsidP="0005459A">
      <w:pPr>
        <w:spacing w:after="0" w:line="360" w:lineRule="auto"/>
        <w:ind w:firstLine="567"/>
        <w:jc w:val="both"/>
        <w:rPr>
          <w:rFonts w:ascii="Arial" w:hAnsi="Arial" w:cs="Arial"/>
          <w:sz w:val="16"/>
          <w:szCs w:val="16"/>
        </w:rPr>
      </w:pPr>
    </w:p>
    <w:p w14:paraId="3EB6FD53" w14:textId="77777777" w:rsidR="0003495B" w:rsidRDefault="0003495B" w:rsidP="0005459A">
      <w:pPr>
        <w:spacing w:after="0" w:line="360" w:lineRule="auto"/>
        <w:ind w:firstLine="567"/>
        <w:jc w:val="both"/>
        <w:rPr>
          <w:rFonts w:ascii="Arial" w:hAnsi="Arial" w:cs="Arial"/>
          <w:sz w:val="16"/>
          <w:szCs w:val="16"/>
        </w:rPr>
      </w:pPr>
    </w:p>
    <w:p w14:paraId="4C57FB56" w14:textId="77777777" w:rsidR="0003495B" w:rsidRDefault="0003495B" w:rsidP="0005459A">
      <w:pPr>
        <w:spacing w:after="0" w:line="360" w:lineRule="auto"/>
        <w:ind w:firstLine="567"/>
        <w:jc w:val="both"/>
        <w:rPr>
          <w:rFonts w:ascii="Arial" w:hAnsi="Arial" w:cs="Arial"/>
          <w:sz w:val="16"/>
          <w:szCs w:val="16"/>
        </w:rPr>
      </w:pPr>
    </w:p>
    <w:p w14:paraId="6E8A626E" w14:textId="77777777" w:rsidR="0003495B" w:rsidRDefault="0003495B" w:rsidP="0005459A">
      <w:pPr>
        <w:spacing w:after="0" w:line="360" w:lineRule="auto"/>
        <w:ind w:firstLine="567"/>
        <w:jc w:val="both"/>
        <w:rPr>
          <w:rFonts w:ascii="Arial" w:hAnsi="Arial" w:cs="Arial"/>
          <w:sz w:val="16"/>
          <w:szCs w:val="16"/>
        </w:rPr>
      </w:pPr>
    </w:p>
    <w:p w14:paraId="65A59849" w14:textId="77777777" w:rsidR="0003495B" w:rsidRDefault="0003495B" w:rsidP="0005459A">
      <w:pPr>
        <w:spacing w:after="0" w:line="360" w:lineRule="auto"/>
        <w:ind w:firstLine="567"/>
        <w:jc w:val="both"/>
        <w:rPr>
          <w:rFonts w:ascii="Arial" w:hAnsi="Arial" w:cs="Arial"/>
          <w:sz w:val="16"/>
          <w:szCs w:val="16"/>
        </w:rPr>
      </w:pPr>
    </w:p>
    <w:p w14:paraId="751C5C64" w14:textId="77777777" w:rsidR="0003495B" w:rsidRDefault="0003495B" w:rsidP="0005459A">
      <w:pPr>
        <w:spacing w:after="0" w:line="360" w:lineRule="auto"/>
        <w:ind w:firstLine="567"/>
        <w:jc w:val="both"/>
        <w:rPr>
          <w:rFonts w:ascii="Arial" w:hAnsi="Arial" w:cs="Arial"/>
          <w:sz w:val="16"/>
          <w:szCs w:val="16"/>
        </w:rPr>
      </w:pPr>
    </w:p>
    <w:p w14:paraId="1FD8FE21" w14:textId="77777777" w:rsidR="0003495B" w:rsidRDefault="0003495B" w:rsidP="0005459A">
      <w:pPr>
        <w:spacing w:after="0" w:line="360" w:lineRule="auto"/>
        <w:ind w:firstLine="567"/>
        <w:jc w:val="both"/>
        <w:rPr>
          <w:rFonts w:ascii="Arial" w:hAnsi="Arial" w:cs="Arial"/>
          <w:sz w:val="16"/>
          <w:szCs w:val="16"/>
        </w:rPr>
      </w:pPr>
    </w:p>
    <w:p w14:paraId="467D9F4E" w14:textId="77777777" w:rsidR="0003495B" w:rsidRDefault="0003495B" w:rsidP="0005459A">
      <w:pPr>
        <w:spacing w:after="0" w:line="360" w:lineRule="auto"/>
        <w:ind w:firstLine="567"/>
        <w:jc w:val="both"/>
        <w:rPr>
          <w:rFonts w:ascii="Arial" w:hAnsi="Arial" w:cs="Arial"/>
          <w:sz w:val="16"/>
          <w:szCs w:val="16"/>
        </w:rPr>
      </w:pPr>
    </w:p>
    <w:p w14:paraId="526CC744" w14:textId="77777777" w:rsidR="0003495B" w:rsidRDefault="0003495B" w:rsidP="0005459A">
      <w:pPr>
        <w:spacing w:after="0" w:line="360" w:lineRule="auto"/>
        <w:ind w:firstLine="567"/>
        <w:jc w:val="both"/>
        <w:rPr>
          <w:rFonts w:ascii="Arial" w:hAnsi="Arial" w:cs="Arial"/>
          <w:sz w:val="16"/>
          <w:szCs w:val="16"/>
        </w:rPr>
      </w:pPr>
    </w:p>
    <w:p w14:paraId="5D07AA66" w14:textId="77777777" w:rsidR="0003495B" w:rsidRDefault="0003495B" w:rsidP="0005459A">
      <w:pPr>
        <w:spacing w:after="0" w:line="360" w:lineRule="auto"/>
        <w:ind w:firstLine="567"/>
        <w:jc w:val="both"/>
        <w:rPr>
          <w:rFonts w:ascii="Arial" w:hAnsi="Arial" w:cs="Arial"/>
          <w:sz w:val="16"/>
          <w:szCs w:val="16"/>
        </w:rPr>
      </w:pPr>
    </w:p>
    <w:p w14:paraId="2ED9AA3F" w14:textId="77777777" w:rsidR="0003495B" w:rsidRDefault="0003495B" w:rsidP="0005459A">
      <w:pPr>
        <w:spacing w:after="0" w:line="360" w:lineRule="auto"/>
        <w:ind w:firstLine="567"/>
        <w:jc w:val="both"/>
        <w:rPr>
          <w:rFonts w:ascii="Arial" w:hAnsi="Arial" w:cs="Arial"/>
          <w:sz w:val="16"/>
          <w:szCs w:val="16"/>
        </w:rPr>
      </w:pPr>
    </w:p>
    <w:p w14:paraId="123BB208" w14:textId="77777777" w:rsidR="0003495B" w:rsidRDefault="0003495B" w:rsidP="0005459A">
      <w:pPr>
        <w:spacing w:after="0" w:line="360" w:lineRule="auto"/>
        <w:ind w:firstLine="567"/>
        <w:jc w:val="both"/>
        <w:rPr>
          <w:rFonts w:ascii="Arial" w:hAnsi="Arial" w:cs="Arial"/>
          <w:sz w:val="16"/>
          <w:szCs w:val="16"/>
        </w:rPr>
      </w:pPr>
    </w:p>
    <w:p w14:paraId="3061139A" w14:textId="77777777" w:rsidR="0003495B" w:rsidRDefault="0003495B" w:rsidP="0005459A">
      <w:pPr>
        <w:spacing w:after="0" w:line="360" w:lineRule="auto"/>
        <w:ind w:firstLine="567"/>
        <w:jc w:val="both"/>
        <w:rPr>
          <w:rFonts w:ascii="Arial" w:hAnsi="Arial" w:cs="Arial"/>
          <w:sz w:val="16"/>
          <w:szCs w:val="16"/>
        </w:rPr>
      </w:pPr>
    </w:p>
    <w:p w14:paraId="2031F9DE" w14:textId="77777777" w:rsidR="0003495B" w:rsidRDefault="0003495B" w:rsidP="0005459A">
      <w:pPr>
        <w:spacing w:after="0" w:line="360" w:lineRule="auto"/>
        <w:ind w:firstLine="567"/>
        <w:jc w:val="both"/>
        <w:rPr>
          <w:rFonts w:ascii="Arial" w:hAnsi="Arial" w:cs="Arial"/>
          <w:sz w:val="16"/>
          <w:szCs w:val="16"/>
        </w:rPr>
      </w:pPr>
    </w:p>
    <w:p w14:paraId="4249E36A" w14:textId="77777777" w:rsidR="0003495B" w:rsidRDefault="0003495B" w:rsidP="0005459A">
      <w:pPr>
        <w:spacing w:after="0" w:line="360" w:lineRule="auto"/>
        <w:ind w:firstLine="567"/>
        <w:jc w:val="both"/>
        <w:rPr>
          <w:rFonts w:ascii="Arial" w:hAnsi="Arial" w:cs="Arial"/>
          <w:sz w:val="16"/>
          <w:szCs w:val="16"/>
        </w:rPr>
      </w:pPr>
    </w:p>
    <w:p w14:paraId="2FCD1AD5" w14:textId="77777777" w:rsidR="0003495B" w:rsidRDefault="0003495B" w:rsidP="0005459A">
      <w:pPr>
        <w:spacing w:after="0" w:line="360" w:lineRule="auto"/>
        <w:ind w:firstLine="567"/>
        <w:jc w:val="both"/>
        <w:rPr>
          <w:rFonts w:ascii="Arial" w:hAnsi="Arial" w:cs="Arial"/>
          <w:sz w:val="16"/>
          <w:szCs w:val="16"/>
        </w:rPr>
      </w:pPr>
    </w:p>
    <w:p w14:paraId="7565A3F8" w14:textId="77777777" w:rsidR="0003495B" w:rsidRPr="008A6596" w:rsidRDefault="0003495B" w:rsidP="0005459A">
      <w:pPr>
        <w:spacing w:after="0" w:line="360" w:lineRule="auto"/>
        <w:ind w:firstLine="567"/>
        <w:jc w:val="both"/>
        <w:rPr>
          <w:rFonts w:ascii="Arial" w:hAnsi="Arial" w:cs="Arial"/>
          <w:sz w:val="16"/>
          <w:szCs w:val="16"/>
        </w:rPr>
      </w:pPr>
    </w:p>
    <w:p w14:paraId="489CF04A" w14:textId="12EF4B6D" w:rsidR="0085012E" w:rsidRDefault="0040769E" w:rsidP="00A72C9B">
      <w:pPr>
        <w:spacing w:after="0" w:line="360" w:lineRule="auto"/>
        <w:jc w:val="center"/>
        <w:rPr>
          <w:rFonts w:ascii="Arial" w:hAnsi="Arial" w:cs="Arial"/>
          <w:sz w:val="20"/>
          <w:szCs w:val="20"/>
        </w:rPr>
      </w:pPr>
      <w:r w:rsidRPr="00A72C9B">
        <w:rPr>
          <w:rFonts w:ascii="Arial" w:hAnsi="Arial" w:cs="Arial"/>
          <w:sz w:val="20"/>
          <w:szCs w:val="20"/>
        </w:rPr>
        <w:lastRenderedPageBreak/>
        <w:t>Table 3.</w:t>
      </w:r>
      <w:r w:rsidR="00AE609E">
        <w:rPr>
          <w:rFonts w:ascii="Arial" w:hAnsi="Arial" w:cs="Arial"/>
          <w:sz w:val="20"/>
          <w:szCs w:val="20"/>
        </w:rPr>
        <w:t>6</w:t>
      </w:r>
      <w:r w:rsidR="00BC7D6D">
        <w:rPr>
          <w:rFonts w:ascii="Arial" w:hAnsi="Arial" w:cs="Arial"/>
          <w:sz w:val="20"/>
          <w:szCs w:val="20"/>
        </w:rPr>
        <w:t>.</w:t>
      </w:r>
      <w:r w:rsidRPr="00A72C9B">
        <w:rPr>
          <w:rFonts w:ascii="Arial" w:hAnsi="Arial" w:cs="Arial"/>
          <w:sz w:val="20"/>
          <w:szCs w:val="20"/>
        </w:rPr>
        <w:t xml:space="preserve"> </w:t>
      </w:r>
      <w:r w:rsidR="00B93833" w:rsidRPr="00B93833">
        <w:rPr>
          <w:rFonts w:ascii="Arial" w:hAnsi="Arial" w:cs="Arial"/>
          <w:sz w:val="20"/>
          <w:szCs w:val="20"/>
        </w:rPr>
        <w:t>Global Disruption Metrics — Structure, Calculation Logic, and Analytical Role</w:t>
      </w:r>
    </w:p>
    <w:p w14:paraId="44DAB07B" w14:textId="4E85EE60" w:rsidR="00B93833" w:rsidRDefault="00555142" w:rsidP="00A72C9B">
      <w:pPr>
        <w:spacing w:after="0" w:line="360" w:lineRule="auto"/>
        <w:jc w:val="center"/>
        <w:rPr>
          <w:rFonts w:ascii="Arial" w:hAnsi="Arial" w:cs="Arial"/>
          <w:sz w:val="20"/>
          <w:szCs w:val="20"/>
        </w:rPr>
      </w:pPr>
      <w:r w:rsidRPr="00555142">
        <w:rPr>
          <w:rFonts w:ascii="Arial" w:hAnsi="Arial" w:cs="Arial"/>
          <w:noProof/>
          <w:sz w:val="20"/>
          <w:szCs w:val="20"/>
        </w:rPr>
        <w:drawing>
          <wp:inline distT="0" distB="0" distL="0" distR="0" wp14:anchorId="0316C141" wp14:editId="71DEB0A0">
            <wp:extent cx="5731494" cy="5314207"/>
            <wp:effectExtent l="0" t="0" r="3175" b="1270"/>
            <wp:docPr id="1741494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94080" name=""/>
                    <pic:cNvPicPr/>
                  </pic:nvPicPr>
                  <pic:blipFill>
                    <a:blip r:embed="rId21"/>
                    <a:stretch>
                      <a:fillRect/>
                    </a:stretch>
                  </pic:blipFill>
                  <pic:spPr>
                    <a:xfrm>
                      <a:off x="0" y="0"/>
                      <a:ext cx="5746391" cy="5328019"/>
                    </a:xfrm>
                    <a:prstGeom prst="rect">
                      <a:avLst/>
                    </a:prstGeom>
                  </pic:spPr>
                </pic:pic>
              </a:graphicData>
            </a:graphic>
          </wp:inline>
        </w:drawing>
      </w:r>
    </w:p>
    <w:p w14:paraId="17A8DE84" w14:textId="5082A2F8" w:rsidR="00B93833" w:rsidRPr="0003495B" w:rsidRDefault="00B93833" w:rsidP="00A72C9B">
      <w:pPr>
        <w:spacing w:after="0" w:line="360" w:lineRule="auto"/>
        <w:jc w:val="center"/>
        <w:rPr>
          <w:rFonts w:ascii="Arial" w:hAnsi="Arial" w:cs="Arial"/>
          <w:i/>
          <w:iCs/>
          <w:sz w:val="20"/>
          <w:szCs w:val="20"/>
        </w:rPr>
      </w:pPr>
      <w:r w:rsidRPr="0003495B">
        <w:rPr>
          <w:rFonts w:ascii="Arial" w:hAnsi="Arial" w:cs="Arial"/>
          <w:i/>
          <w:iCs/>
          <w:sz w:val="20"/>
          <w:szCs w:val="20"/>
        </w:rPr>
        <w:t>(Source: Created by the author based on the Company's annual reports</w:t>
      </w:r>
      <w:r w:rsidR="00BE29B1" w:rsidRPr="0003495B">
        <w:rPr>
          <w:rFonts w:ascii="Arial" w:hAnsi="Arial" w:cs="Arial"/>
          <w:i/>
          <w:iCs/>
          <w:sz w:val="20"/>
          <w:szCs w:val="20"/>
        </w:rPr>
        <w:t>,</w:t>
      </w:r>
      <w:r w:rsidRPr="0003495B">
        <w:rPr>
          <w:rFonts w:ascii="Arial" w:hAnsi="Arial" w:cs="Arial"/>
          <w:i/>
          <w:iCs/>
          <w:sz w:val="20"/>
          <w:szCs w:val="20"/>
        </w:rPr>
        <w:t xml:space="preserve"> Data 2019-2024)</w:t>
      </w:r>
    </w:p>
    <w:p w14:paraId="2F8D0842" w14:textId="77777777" w:rsidR="00BE29B1" w:rsidRPr="00BE29B1" w:rsidRDefault="00BE29B1" w:rsidP="00A72C9B">
      <w:pPr>
        <w:spacing w:after="0" w:line="360" w:lineRule="auto"/>
        <w:jc w:val="center"/>
        <w:rPr>
          <w:rFonts w:ascii="Arial" w:hAnsi="Arial" w:cs="Arial"/>
          <w:sz w:val="16"/>
          <w:szCs w:val="16"/>
        </w:rPr>
      </w:pPr>
    </w:p>
    <w:p w14:paraId="338F8CA4" w14:textId="158828FE" w:rsidR="00BE29B1" w:rsidRPr="00BE29B1" w:rsidRDefault="00BE29B1" w:rsidP="00BE29B1">
      <w:pPr>
        <w:spacing w:after="0" w:line="360" w:lineRule="auto"/>
        <w:ind w:firstLine="567"/>
        <w:jc w:val="both"/>
        <w:rPr>
          <w:rFonts w:ascii="Arial" w:hAnsi="Arial" w:cs="Arial"/>
          <w:sz w:val="22"/>
          <w:szCs w:val="22"/>
        </w:rPr>
      </w:pPr>
      <w:r w:rsidRPr="00BE29B1">
        <w:rPr>
          <w:rFonts w:ascii="Arial" w:hAnsi="Arial" w:cs="Arial"/>
          <w:sz w:val="22"/>
          <w:szCs w:val="22"/>
        </w:rPr>
        <w:t>As mentioned above, Columns A–I are the fundamental dataset, gathered from corporate annual reports (financial statements), strategic and ESG disclosures, and external industry sources</w:t>
      </w:r>
      <w:r>
        <w:rPr>
          <w:rFonts w:ascii="Arial" w:hAnsi="Arial" w:cs="Arial"/>
          <w:sz w:val="22"/>
          <w:szCs w:val="22"/>
        </w:rPr>
        <w:t>,</w:t>
      </w:r>
      <w:r w:rsidRPr="00BE29B1">
        <w:rPr>
          <w:rFonts w:ascii="Arial" w:hAnsi="Arial" w:cs="Arial"/>
          <w:sz w:val="22"/>
          <w:szCs w:val="22"/>
        </w:rPr>
        <w:t xml:space="preserve"> including worldwide production statistics and Suez Canal traffic indicators. This </w:t>
      </w:r>
      <w:r>
        <w:rPr>
          <w:rFonts w:ascii="Arial" w:hAnsi="Arial" w:cs="Arial"/>
          <w:sz w:val="22"/>
          <w:szCs w:val="22"/>
        </w:rPr>
        <w:t>aligns with the sampling logic and secondary data architecture, which interpret firm-level activity in the context of global shipping dependency and Red Sea exposure disruption</w:t>
      </w:r>
      <w:r w:rsidRPr="00BE29B1">
        <w:rPr>
          <w:rFonts w:ascii="Arial" w:hAnsi="Arial" w:cs="Arial"/>
          <w:sz w:val="22"/>
          <w:szCs w:val="22"/>
        </w:rPr>
        <w:t>. Cross-source consistency and avoiding corporate narratives are achieved by combining business disclosures with externally evaluated trade and logistics data.</w:t>
      </w:r>
    </w:p>
    <w:p w14:paraId="7F1BFF36" w14:textId="77777777" w:rsidR="00FD3E81" w:rsidRDefault="00BE29B1" w:rsidP="00BE29B1">
      <w:pPr>
        <w:spacing w:after="0" w:line="360" w:lineRule="auto"/>
        <w:ind w:firstLine="567"/>
        <w:jc w:val="both"/>
        <w:rPr>
          <w:rFonts w:ascii="Arial" w:hAnsi="Arial" w:cs="Arial"/>
          <w:sz w:val="22"/>
          <w:szCs w:val="22"/>
        </w:rPr>
      </w:pPr>
      <w:r w:rsidRPr="00BE29B1">
        <w:rPr>
          <w:rFonts w:ascii="Arial" w:hAnsi="Arial" w:cs="Arial"/>
          <w:sz w:val="22"/>
          <w:szCs w:val="22"/>
        </w:rPr>
        <w:t xml:space="preserve">The important analytical layer of this dataset is the formulas, which verify, normalise, and stress-test the data against real-world disruption situations. The model actively corrects discrepancies and reconstructs operational reality using conditional logic, aggregation functions, and cost–volume scaling. Calculations are the most valuable part of the framework because they turn raw inputs into causally interpretable metrics, ensuring that any identified </w:t>
      </w:r>
      <w:r w:rsidRPr="00BE29B1">
        <w:rPr>
          <w:rFonts w:ascii="Arial" w:hAnsi="Arial" w:cs="Arial"/>
          <w:sz w:val="22"/>
          <w:szCs w:val="22"/>
        </w:rPr>
        <w:lastRenderedPageBreak/>
        <w:t>patterns—such as increased transit times, rerouting, or cost inflation—are empirically verified and directly linked to the Red Sea disruption and supply chain unstable conditions.</w:t>
      </w:r>
      <w:r w:rsidR="00FD3E81">
        <w:rPr>
          <w:rFonts w:ascii="Arial" w:hAnsi="Arial" w:cs="Arial"/>
          <w:sz w:val="22"/>
          <w:szCs w:val="22"/>
        </w:rPr>
        <w:t xml:space="preserve"> </w:t>
      </w:r>
    </w:p>
    <w:p w14:paraId="78C2558C" w14:textId="6A147FF5" w:rsidR="003255E6" w:rsidRPr="00351BB4" w:rsidRDefault="00A35C35" w:rsidP="00351BB4">
      <w:pPr>
        <w:pStyle w:val="Heading3"/>
        <w:spacing w:before="120"/>
        <w:rPr>
          <w:b/>
          <w:bCs/>
        </w:rPr>
      </w:pPr>
      <w:bookmarkStart w:id="23" w:name="_Toc228883249"/>
      <w:r w:rsidRPr="00351BB4">
        <w:rPr>
          <w:b/>
          <w:bCs/>
          <w:sz w:val="22"/>
          <w:szCs w:val="22"/>
        </w:rPr>
        <w:t>3.6.3. Additional metrics</w:t>
      </w:r>
      <w:r w:rsidR="00380474" w:rsidRPr="00351BB4">
        <w:rPr>
          <w:b/>
          <w:bCs/>
          <w:sz w:val="22"/>
          <w:szCs w:val="22"/>
        </w:rPr>
        <w:t xml:space="preserve"> and RQ3</w:t>
      </w:r>
      <w:r w:rsidR="00E21349" w:rsidRPr="00351BB4">
        <w:rPr>
          <w:b/>
          <w:bCs/>
          <w:sz w:val="22"/>
          <w:szCs w:val="22"/>
        </w:rPr>
        <w:t xml:space="preserve"> key indicators</w:t>
      </w:r>
      <w:r w:rsidR="00380474" w:rsidRPr="00351BB4">
        <w:rPr>
          <w:b/>
          <w:bCs/>
          <w:sz w:val="22"/>
          <w:szCs w:val="22"/>
        </w:rPr>
        <w:t xml:space="preserve"> explanation</w:t>
      </w:r>
      <w:bookmarkEnd w:id="23"/>
    </w:p>
    <w:p w14:paraId="26C76336" w14:textId="1C3F2591" w:rsidR="002779A8" w:rsidRDefault="00BA28D0" w:rsidP="0095699F">
      <w:pPr>
        <w:spacing w:after="0" w:line="360" w:lineRule="auto"/>
        <w:ind w:firstLine="567"/>
        <w:jc w:val="both"/>
        <w:rPr>
          <w:rFonts w:ascii="Arial" w:hAnsi="Arial" w:cs="Arial"/>
          <w:sz w:val="22"/>
          <w:szCs w:val="22"/>
        </w:rPr>
      </w:pPr>
      <w:r w:rsidRPr="00BA28D0">
        <w:rPr>
          <w:rFonts w:ascii="Arial" w:hAnsi="Arial" w:cs="Arial"/>
          <w:sz w:val="22"/>
          <w:szCs w:val="22"/>
        </w:rPr>
        <w:t xml:space="preserve">How disruption spreads from the Red Sea shock into company conduct is explained by a framework illustrated in </w:t>
      </w:r>
      <w:r w:rsidR="0095699F">
        <w:rPr>
          <w:rFonts w:ascii="Arial" w:hAnsi="Arial" w:cs="Arial"/>
          <w:sz w:val="22"/>
          <w:szCs w:val="22"/>
        </w:rPr>
        <w:t>Table</w:t>
      </w:r>
      <w:r w:rsidRPr="00BA28D0">
        <w:rPr>
          <w:rFonts w:ascii="Arial" w:hAnsi="Arial" w:cs="Arial"/>
          <w:sz w:val="22"/>
          <w:szCs w:val="22"/>
        </w:rPr>
        <w:t xml:space="preserve"> 3.</w:t>
      </w:r>
      <w:r w:rsidR="00A212F4">
        <w:rPr>
          <w:rFonts w:ascii="Arial" w:hAnsi="Arial" w:cs="Arial"/>
          <w:sz w:val="22"/>
          <w:szCs w:val="22"/>
        </w:rPr>
        <w:t>7</w:t>
      </w:r>
      <w:r w:rsidRPr="00BA28D0">
        <w:rPr>
          <w:rFonts w:ascii="Arial" w:hAnsi="Arial" w:cs="Arial"/>
          <w:sz w:val="22"/>
          <w:szCs w:val="22"/>
        </w:rPr>
        <w:t xml:space="preserve"> below, which integrates cost, routing, inventory, and macro stress indicators</w:t>
      </w:r>
      <w:r w:rsidR="0095699F">
        <w:rPr>
          <w:rFonts w:ascii="Arial" w:hAnsi="Arial" w:cs="Arial"/>
          <w:sz w:val="22"/>
          <w:szCs w:val="22"/>
        </w:rPr>
        <w:t xml:space="preserve"> (</w:t>
      </w:r>
      <w:r w:rsidR="002779A8">
        <w:rPr>
          <w:rFonts w:ascii="Arial" w:hAnsi="Arial" w:cs="Arial"/>
          <w:sz w:val="22"/>
          <w:szCs w:val="22"/>
        </w:rPr>
        <w:t>see Appendix 2 for a full</w:t>
      </w:r>
      <w:r w:rsidR="0095699F">
        <w:rPr>
          <w:rFonts w:ascii="Arial" w:hAnsi="Arial" w:cs="Arial"/>
          <w:sz w:val="22"/>
          <w:szCs w:val="22"/>
        </w:rPr>
        <w:t xml:space="preserve"> explanation)</w:t>
      </w:r>
      <w:r w:rsidRPr="00BA28D0">
        <w:rPr>
          <w:rFonts w:ascii="Arial" w:hAnsi="Arial" w:cs="Arial"/>
          <w:sz w:val="22"/>
          <w:szCs w:val="22"/>
        </w:rPr>
        <w:t>.</w:t>
      </w:r>
    </w:p>
    <w:p w14:paraId="117EF309" w14:textId="7E97F60E" w:rsidR="00BA28D0" w:rsidRPr="006D2C44" w:rsidRDefault="00BA28D0" w:rsidP="0095699F">
      <w:pPr>
        <w:spacing w:after="0" w:line="360" w:lineRule="auto"/>
        <w:ind w:firstLine="567"/>
        <w:jc w:val="both"/>
        <w:rPr>
          <w:rFonts w:ascii="Arial" w:hAnsi="Arial" w:cs="Arial"/>
          <w:sz w:val="16"/>
          <w:szCs w:val="16"/>
        </w:rPr>
      </w:pPr>
      <w:r w:rsidRPr="00BA28D0">
        <w:rPr>
          <w:rFonts w:ascii="Arial" w:hAnsi="Arial" w:cs="Arial"/>
          <w:sz w:val="22"/>
          <w:szCs w:val="22"/>
        </w:rPr>
        <w:t xml:space="preserve"> </w:t>
      </w:r>
    </w:p>
    <w:p w14:paraId="4AF11799" w14:textId="451B2592" w:rsidR="00BA28D0" w:rsidRDefault="005059E7" w:rsidP="0095699F">
      <w:pPr>
        <w:spacing w:after="0" w:line="360" w:lineRule="auto"/>
        <w:jc w:val="center"/>
        <w:rPr>
          <w:rFonts w:ascii="Arial" w:hAnsi="Arial" w:cs="Arial"/>
          <w:sz w:val="20"/>
          <w:szCs w:val="20"/>
        </w:rPr>
      </w:pPr>
      <w:r w:rsidRPr="005059E7">
        <w:rPr>
          <w:rFonts w:ascii="Arial" w:hAnsi="Arial" w:cs="Arial"/>
          <w:sz w:val="20"/>
          <w:szCs w:val="20"/>
        </w:rPr>
        <w:t xml:space="preserve">Table </w:t>
      </w:r>
      <w:r>
        <w:rPr>
          <w:rFonts w:ascii="Arial" w:hAnsi="Arial" w:cs="Arial"/>
          <w:sz w:val="20"/>
          <w:szCs w:val="20"/>
        </w:rPr>
        <w:t>3.</w:t>
      </w:r>
      <w:r w:rsidR="00BC7D6D">
        <w:rPr>
          <w:rFonts w:ascii="Arial" w:hAnsi="Arial" w:cs="Arial"/>
          <w:sz w:val="20"/>
          <w:szCs w:val="20"/>
        </w:rPr>
        <w:t>7</w:t>
      </w:r>
      <w:r>
        <w:rPr>
          <w:rFonts w:ascii="Arial" w:hAnsi="Arial" w:cs="Arial"/>
          <w:sz w:val="20"/>
          <w:szCs w:val="20"/>
        </w:rPr>
        <w:t>.</w:t>
      </w:r>
      <w:r w:rsidRPr="005059E7">
        <w:rPr>
          <w:rFonts w:ascii="Arial" w:hAnsi="Arial" w:cs="Arial"/>
          <w:sz w:val="20"/>
          <w:szCs w:val="20"/>
        </w:rPr>
        <w:t xml:space="preserve"> Formula Logic, Analytical Role, and Research Linkage</w:t>
      </w:r>
    </w:p>
    <w:p w14:paraId="57B206AA" w14:textId="43E43AE1" w:rsidR="0056313F" w:rsidRPr="0056313F" w:rsidRDefault="0056313F" w:rsidP="0095699F">
      <w:pPr>
        <w:spacing w:after="0" w:line="360" w:lineRule="auto"/>
        <w:jc w:val="center"/>
        <w:rPr>
          <w:rFonts w:ascii="Arial" w:hAnsi="Arial" w:cs="Arial"/>
          <w:sz w:val="20"/>
          <w:szCs w:val="20"/>
        </w:rPr>
      </w:pPr>
      <w:r w:rsidRPr="0056313F">
        <w:rPr>
          <w:rFonts w:ascii="Arial" w:hAnsi="Arial" w:cs="Arial"/>
          <w:noProof/>
          <w:sz w:val="20"/>
          <w:szCs w:val="20"/>
        </w:rPr>
        <w:drawing>
          <wp:inline distT="0" distB="0" distL="0" distR="0" wp14:anchorId="25B393D8" wp14:editId="10E8397B">
            <wp:extent cx="5728970" cy="3621974"/>
            <wp:effectExtent l="0" t="0" r="5080" b="0"/>
            <wp:docPr id="133595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52094" name=""/>
                    <pic:cNvPicPr/>
                  </pic:nvPicPr>
                  <pic:blipFill>
                    <a:blip r:embed="rId22"/>
                    <a:stretch>
                      <a:fillRect/>
                    </a:stretch>
                  </pic:blipFill>
                  <pic:spPr>
                    <a:xfrm>
                      <a:off x="0" y="0"/>
                      <a:ext cx="5827062" cy="3683990"/>
                    </a:xfrm>
                    <a:prstGeom prst="rect">
                      <a:avLst/>
                    </a:prstGeom>
                  </pic:spPr>
                </pic:pic>
              </a:graphicData>
            </a:graphic>
          </wp:inline>
        </w:drawing>
      </w:r>
    </w:p>
    <w:p w14:paraId="0FC388C7" w14:textId="44AE78E5" w:rsidR="00BA28D0" w:rsidRDefault="00A64BC7" w:rsidP="00835740">
      <w:pPr>
        <w:spacing w:after="0" w:line="360" w:lineRule="auto"/>
        <w:jc w:val="center"/>
        <w:rPr>
          <w:rFonts w:ascii="Arial" w:hAnsi="Arial" w:cs="Arial"/>
          <w:i/>
          <w:iCs/>
          <w:sz w:val="20"/>
          <w:szCs w:val="20"/>
        </w:rPr>
      </w:pPr>
      <w:r w:rsidRPr="00A64BC7">
        <w:rPr>
          <w:rFonts w:ascii="Arial" w:hAnsi="Arial" w:cs="Arial"/>
          <w:i/>
          <w:iCs/>
          <w:sz w:val="20"/>
          <w:szCs w:val="20"/>
        </w:rPr>
        <w:t>(Source: Created by the author based on the Company's annual reports, Data 2019-2024)</w:t>
      </w:r>
    </w:p>
    <w:p w14:paraId="65D0CD95" w14:textId="77777777" w:rsidR="006D2C44" w:rsidRPr="006D2C44" w:rsidRDefault="006D2C44" w:rsidP="00835740">
      <w:pPr>
        <w:spacing w:after="0" w:line="360" w:lineRule="auto"/>
        <w:jc w:val="center"/>
        <w:rPr>
          <w:rFonts w:ascii="Arial" w:hAnsi="Arial" w:cs="Arial"/>
          <w:i/>
          <w:iCs/>
          <w:sz w:val="16"/>
          <w:szCs w:val="16"/>
        </w:rPr>
      </w:pPr>
    </w:p>
    <w:p w14:paraId="6D63CDFF" w14:textId="2977242F" w:rsidR="00BA28D0" w:rsidRPr="00BA28D0" w:rsidRDefault="00BA28D0" w:rsidP="00835740">
      <w:pPr>
        <w:spacing w:after="0" w:line="360" w:lineRule="auto"/>
        <w:ind w:firstLine="567"/>
        <w:jc w:val="both"/>
        <w:rPr>
          <w:rFonts w:ascii="Arial" w:hAnsi="Arial" w:cs="Arial"/>
          <w:sz w:val="22"/>
          <w:szCs w:val="22"/>
        </w:rPr>
      </w:pPr>
      <w:r w:rsidRPr="00BA28D0">
        <w:rPr>
          <w:rFonts w:ascii="Arial" w:hAnsi="Arial" w:cs="Arial"/>
          <w:sz w:val="22"/>
          <w:szCs w:val="22"/>
        </w:rPr>
        <w:t xml:space="preserve">The fundamental calculation yields a </w:t>
      </w:r>
      <w:r w:rsidR="00835740">
        <w:rPr>
          <w:rFonts w:ascii="Arial" w:hAnsi="Arial" w:cs="Arial"/>
          <w:sz w:val="22"/>
          <w:szCs w:val="22"/>
        </w:rPr>
        <w:t>cost-shock absorption of around 44% when pre-crisis benchmarks (for example, £30,027 per car for Bentley Motors Limited) are compared with</w:t>
      </w:r>
      <w:r w:rsidRPr="00BA28D0">
        <w:rPr>
          <w:rFonts w:ascii="Arial" w:hAnsi="Arial" w:cs="Arial"/>
          <w:sz w:val="22"/>
          <w:szCs w:val="22"/>
        </w:rPr>
        <w:t xml:space="preserve"> crisis-period averages (~£43,259). Not only is this a terrible figure for the finance team, but it also becomes a formulaic input for resilience reasoning. Concurrently, the model accounts for structural change by changing routes; the first modification to the Cape of Good Hope will occur in November 2023, which would increase transit delays from about 45 to over 75 days.</w:t>
      </w:r>
    </w:p>
    <w:p w14:paraId="32B20995" w14:textId="0091AA92" w:rsidR="003255E6" w:rsidRDefault="00BA28D0" w:rsidP="00835740">
      <w:pPr>
        <w:spacing w:after="0" w:line="360" w:lineRule="auto"/>
        <w:ind w:firstLine="567"/>
        <w:jc w:val="both"/>
        <w:rPr>
          <w:rFonts w:ascii="Arial" w:hAnsi="Arial" w:cs="Arial"/>
          <w:sz w:val="22"/>
          <w:szCs w:val="22"/>
        </w:rPr>
      </w:pPr>
      <w:r w:rsidRPr="00BA28D0">
        <w:rPr>
          <w:rFonts w:ascii="Arial" w:hAnsi="Arial" w:cs="Arial"/>
          <w:sz w:val="22"/>
          <w:szCs w:val="22"/>
        </w:rPr>
        <w:t xml:space="preserve">Firms </w:t>
      </w:r>
      <w:r w:rsidR="00835740">
        <w:rPr>
          <w:rFonts w:ascii="Arial" w:hAnsi="Arial" w:cs="Arial"/>
          <w:sz w:val="22"/>
          <w:szCs w:val="22"/>
        </w:rPr>
        <w:t>move from JIT efficiency to JIC resilience via inventory reaction, a behavioural adaptation characterised by buffer expansion</w:t>
      </w:r>
      <w:r w:rsidRPr="00BA28D0">
        <w:rPr>
          <w:rFonts w:ascii="Arial" w:hAnsi="Arial" w:cs="Arial"/>
          <w:sz w:val="22"/>
          <w:szCs w:val="22"/>
        </w:rPr>
        <w:t xml:space="preserve">. The Global Supply Chain Pressure Index (GSCPI) is a macro indicator that measures systemic stress and correlates with observable cost spikes and delays; it is used to confirm these micro-adjustments. By combining inventory, delay, and cost into a quantifiable </w:t>
      </w:r>
      <w:r w:rsidR="00582CC9">
        <w:rPr>
          <w:rFonts w:ascii="Arial" w:hAnsi="Arial" w:cs="Arial"/>
          <w:sz w:val="22"/>
          <w:szCs w:val="22"/>
        </w:rPr>
        <w:t xml:space="preserve">measure of disruption exposure, the two resulting composite </w:t>
      </w:r>
      <w:r w:rsidR="00582CC9">
        <w:rPr>
          <w:rFonts w:ascii="Arial" w:hAnsi="Arial" w:cs="Arial"/>
          <w:sz w:val="22"/>
          <w:szCs w:val="22"/>
        </w:rPr>
        <w:lastRenderedPageBreak/>
        <w:t>indices—the Resilience Index and the DCI—directly address</w:t>
      </w:r>
      <w:r w:rsidRPr="00BA28D0">
        <w:rPr>
          <w:rFonts w:ascii="Arial" w:hAnsi="Arial" w:cs="Arial"/>
          <w:sz w:val="22"/>
          <w:szCs w:val="22"/>
        </w:rPr>
        <w:t xml:space="preserve"> operational adaptability and systemic vulnerability (Federal Reserve Bank of New York, 2023)</w:t>
      </w:r>
      <w:r w:rsidR="008761C2">
        <w:rPr>
          <w:rFonts w:ascii="Arial" w:hAnsi="Arial" w:cs="Arial"/>
          <w:sz w:val="22"/>
          <w:szCs w:val="22"/>
        </w:rPr>
        <w:t>.</w:t>
      </w:r>
    </w:p>
    <w:p w14:paraId="70D064C0" w14:textId="01583847" w:rsidR="0085012E" w:rsidRPr="00FD3E81" w:rsidRDefault="00FD3E81" w:rsidP="00FD3E81">
      <w:pPr>
        <w:spacing w:after="0" w:line="360" w:lineRule="auto"/>
        <w:ind w:firstLine="567"/>
        <w:jc w:val="both"/>
        <w:rPr>
          <w:rFonts w:ascii="Arial" w:hAnsi="Arial" w:cs="Arial"/>
          <w:sz w:val="22"/>
          <w:szCs w:val="22"/>
        </w:rPr>
      </w:pPr>
      <w:r w:rsidRPr="00FD3E81">
        <w:rPr>
          <w:rFonts w:ascii="Arial" w:hAnsi="Arial" w:cs="Arial"/>
          <w:sz w:val="22"/>
          <w:szCs w:val="22"/>
        </w:rPr>
        <w:t>This structured output is quick to integrate into the Power BI model, where the fact table dynamically visualises disruption effects, route adjustments, and cost exposures across businesses and time.</w:t>
      </w:r>
    </w:p>
    <w:p w14:paraId="0C4A75E2" w14:textId="5536615C" w:rsidR="00C01592" w:rsidRPr="006C0C1D" w:rsidRDefault="002A1A18" w:rsidP="006C0C1D">
      <w:pPr>
        <w:pStyle w:val="Heading3"/>
        <w:spacing w:before="120"/>
        <w:rPr>
          <w:b/>
          <w:bCs/>
          <w:sz w:val="22"/>
          <w:szCs w:val="22"/>
        </w:rPr>
      </w:pPr>
      <w:bookmarkStart w:id="24" w:name="_Toc228883250"/>
      <w:r w:rsidRPr="006C0C1D">
        <w:rPr>
          <w:b/>
          <w:bCs/>
          <w:sz w:val="22"/>
          <w:szCs w:val="22"/>
        </w:rPr>
        <w:t>3.</w:t>
      </w:r>
      <w:r w:rsidR="00A3777B" w:rsidRPr="006C0C1D">
        <w:rPr>
          <w:b/>
          <w:bCs/>
          <w:sz w:val="22"/>
          <w:szCs w:val="22"/>
        </w:rPr>
        <w:t>7.</w:t>
      </w:r>
      <w:r w:rsidRPr="006C0C1D">
        <w:rPr>
          <w:b/>
          <w:bCs/>
          <w:sz w:val="22"/>
          <w:szCs w:val="22"/>
        </w:rPr>
        <w:t xml:space="preserve"> Data Analysis &amp; Tools (Power BI + SQL Logic)</w:t>
      </w:r>
      <w:bookmarkEnd w:id="24"/>
    </w:p>
    <w:p w14:paraId="26ABF8A3" w14:textId="73D6D068" w:rsidR="00BE787F" w:rsidRPr="00BE787F" w:rsidRDefault="00BE787F" w:rsidP="00BE787F">
      <w:pPr>
        <w:spacing w:after="0" w:line="360" w:lineRule="auto"/>
        <w:ind w:firstLine="567"/>
        <w:jc w:val="both"/>
        <w:rPr>
          <w:rFonts w:ascii="Arial" w:hAnsi="Arial" w:cs="Arial"/>
          <w:sz w:val="22"/>
          <w:szCs w:val="22"/>
        </w:rPr>
      </w:pPr>
      <w:r w:rsidRPr="00BE787F">
        <w:rPr>
          <w:rFonts w:ascii="Arial" w:hAnsi="Arial" w:cs="Arial"/>
          <w:sz w:val="22"/>
          <w:szCs w:val="22"/>
        </w:rPr>
        <w:t xml:space="preserve">With the objective to answer RQ1–RQ3 at the system level, this research uses a </w:t>
      </w:r>
      <w:r w:rsidR="009C44BD">
        <w:rPr>
          <w:rFonts w:ascii="Arial" w:hAnsi="Arial" w:cs="Arial"/>
          <w:sz w:val="22"/>
          <w:szCs w:val="22"/>
        </w:rPr>
        <w:t>secondary data</w:t>
      </w:r>
      <w:r w:rsidRPr="00BE787F">
        <w:rPr>
          <w:rFonts w:ascii="Arial" w:hAnsi="Arial" w:cs="Arial"/>
          <w:sz w:val="22"/>
          <w:szCs w:val="22"/>
        </w:rPr>
        <w:t xml:space="preserve"> technique that integrates datasets at the company level, logistics level, and macroeconomic level. Power BI goes beyond simple visualisation to model interactions across enterprises and time. It allows factors like disruption, inventory, and cost to interact dynamically (Microsoft, 2024). Ensuring aggregation consistency, a central fact table is connected to the firm and time dimensions using a star schema (Microsoft, 2023).</w:t>
      </w:r>
    </w:p>
    <w:p w14:paraId="3394F8E5" w14:textId="77777777" w:rsidR="00BE787F" w:rsidRDefault="00BE787F" w:rsidP="00BE787F">
      <w:pPr>
        <w:spacing w:after="0" w:line="360" w:lineRule="auto"/>
        <w:ind w:firstLine="567"/>
        <w:jc w:val="both"/>
        <w:rPr>
          <w:rFonts w:ascii="Arial" w:hAnsi="Arial" w:cs="Arial"/>
          <w:sz w:val="22"/>
          <w:szCs w:val="22"/>
        </w:rPr>
      </w:pPr>
      <w:r w:rsidRPr="00BE787F">
        <w:rPr>
          <w:rFonts w:ascii="Arial" w:hAnsi="Arial" w:cs="Arial"/>
          <w:sz w:val="22"/>
          <w:szCs w:val="22"/>
        </w:rPr>
        <w:t xml:space="preserve">By monitoring the transition from JIT to JIC, time-series analysis answers RQ1. Figure 3.2 shows that inventory buffers grow for all companies. </w:t>
      </w:r>
    </w:p>
    <w:p w14:paraId="7A7CAB4C" w14:textId="77777777" w:rsidR="00BE787F" w:rsidRPr="006D2C44" w:rsidRDefault="00BE787F" w:rsidP="00BE787F">
      <w:pPr>
        <w:spacing w:after="0" w:line="360" w:lineRule="auto"/>
        <w:ind w:firstLine="567"/>
        <w:jc w:val="both"/>
        <w:rPr>
          <w:rFonts w:ascii="Arial" w:hAnsi="Arial" w:cs="Arial"/>
          <w:sz w:val="16"/>
          <w:szCs w:val="16"/>
        </w:rPr>
      </w:pPr>
    </w:p>
    <w:p w14:paraId="01B2B0C3" w14:textId="794016D7" w:rsidR="009C44BD" w:rsidRDefault="006C0C1D" w:rsidP="002557B4">
      <w:pPr>
        <w:spacing w:after="0" w:line="360" w:lineRule="auto"/>
        <w:jc w:val="center"/>
        <w:rPr>
          <w:rFonts w:ascii="Arial" w:hAnsi="Arial" w:cs="Arial"/>
          <w:sz w:val="20"/>
          <w:szCs w:val="20"/>
        </w:rPr>
      </w:pPr>
      <w:r w:rsidRPr="006C0C1D">
        <w:rPr>
          <w:rFonts w:ascii="Arial" w:hAnsi="Arial" w:cs="Arial"/>
          <w:sz w:val="20"/>
          <w:szCs w:val="20"/>
        </w:rPr>
        <w:t>Figure</w:t>
      </w:r>
      <w:r>
        <w:rPr>
          <w:rFonts w:ascii="Arial" w:hAnsi="Arial" w:cs="Arial"/>
          <w:sz w:val="20"/>
          <w:szCs w:val="20"/>
        </w:rPr>
        <w:t xml:space="preserve"> </w:t>
      </w:r>
      <w:r w:rsidR="009C44BD" w:rsidRPr="009C44BD">
        <w:rPr>
          <w:rFonts w:ascii="Arial" w:hAnsi="Arial" w:cs="Arial"/>
          <w:sz w:val="20"/>
          <w:szCs w:val="20"/>
        </w:rPr>
        <w:t>3.</w:t>
      </w:r>
      <w:r w:rsidR="009C44BD">
        <w:rPr>
          <w:rFonts w:ascii="Arial" w:hAnsi="Arial" w:cs="Arial"/>
          <w:sz w:val="20"/>
          <w:szCs w:val="20"/>
        </w:rPr>
        <w:t>2.</w:t>
      </w:r>
      <w:r w:rsidR="006D2C44">
        <w:rPr>
          <w:rFonts w:ascii="Arial" w:hAnsi="Arial" w:cs="Arial"/>
          <w:sz w:val="20"/>
          <w:szCs w:val="20"/>
        </w:rPr>
        <w:t xml:space="preserve"> </w:t>
      </w:r>
      <w:r w:rsidR="009C44BD" w:rsidRPr="009C44BD">
        <w:rPr>
          <w:rFonts w:ascii="Arial" w:hAnsi="Arial" w:cs="Arial"/>
          <w:sz w:val="20"/>
          <w:szCs w:val="20"/>
        </w:rPr>
        <w:t>Inventory Buffer Expansion (line chart)</w:t>
      </w:r>
    </w:p>
    <w:p w14:paraId="0C6AAF38" w14:textId="0A3240AD" w:rsidR="006D2C44" w:rsidRPr="009C44BD" w:rsidRDefault="002557B4" w:rsidP="002557B4">
      <w:pPr>
        <w:spacing w:after="0" w:line="360" w:lineRule="auto"/>
        <w:jc w:val="center"/>
        <w:rPr>
          <w:rFonts w:ascii="Arial" w:hAnsi="Arial" w:cs="Arial"/>
          <w:sz w:val="20"/>
          <w:szCs w:val="20"/>
        </w:rPr>
      </w:pPr>
      <w:r w:rsidRPr="002557B4">
        <w:rPr>
          <w:rFonts w:ascii="Arial" w:hAnsi="Arial" w:cs="Arial"/>
          <w:noProof/>
          <w:sz w:val="20"/>
          <w:szCs w:val="20"/>
        </w:rPr>
        <w:drawing>
          <wp:inline distT="0" distB="0" distL="0" distR="0" wp14:anchorId="44E7D1DD" wp14:editId="5A54D0BE">
            <wp:extent cx="5731293" cy="2090057"/>
            <wp:effectExtent l="0" t="0" r="3175" b="5715"/>
            <wp:docPr id="776378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78268" name=""/>
                    <pic:cNvPicPr/>
                  </pic:nvPicPr>
                  <pic:blipFill>
                    <a:blip r:embed="rId23"/>
                    <a:stretch>
                      <a:fillRect/>
                    </a:stretch>
                  </pic:blipFill>
                  <pic:spPr>
                    <a:xfrm>
                      <a:off x="0" y="0"/>
                      <a:ext cx="5749276" cy="2096615"/>
                    </a:xfrm>
                    <a:prstGeom prst="rect">
                      <a:avLst/>
                    </a:prstGeom>
                  </pic:spPr>
                </pic:pic>
              </a:graphicData>
            </a:graphic>
          </wp:inline>
        </w:drawing>
      </w:r>
    </w:p>
    <w:p w14:paraId="7F3EE9D1" w14:textId="6563BC6C" w:rsidR="00BE787F" w:rsidRDefault="002557B4" w:rsidP="002557B4">
      <w:pPr>
        <w:spacing w:after="0" w:line="360" w:lineRule="auto"/>
        <w:ind w:firstLine="567"/>
        <w:jc w:val="center"/>
        <w:rPr>
          <w:rFonts w:ascii="Arial" w:hAnsi="Arial" w:cs="Arial"/>
          <w:i/>
          <w:iCs/>
          <w:sz w:val="20"/>
          <w:szCs w:val="20"/>
        </w:rPr>
      </w:pPr>
      <w:r w:rsidRPr="002557B4">
        <w:rPr>
          <w:rFonts w:ascii="Arial" w:hAnsi="Arial" w:cs="Arial"/>
          <w:i/>
          <w:iCs/>
          <w:sz w:val="20"/>
          <w:szCs w:val="20"/>
        </w:rPr>
        <w:t>(Source: Created by the author based on the Company's annual reports, Data 2019-2024)</w:t>
      </w:r>
    </w:p>
    <w:p w14:paraId="45B623F2" w14:textId="77777777" w:rsidR="002557B4" w:rsidRPr="002557B4" w:rsidRDefault="002557B4" w:rsidP="002557B4">
      <w:pPr>
        <w:spacing w:after="0" w:line="360" w:lineRule="auto"/>
        <w:ind w:firstLine="567"/>
        <w:jc w:val="center"/>
        <w:rPr>
          <w:rFonts w:ascii="Arial" w:hAnsi="Arial" w:cs="Arial"/>
          <w:i/>
          <w:iCs/>
          <w:sz w:val="16"/>
          <w:szCs w:val="16"/>
        </w:rPr>
      </w:pPr>
    </w:p>
    <w:p w14:paraId="55F4AACC" w14:textId="77B30655" w:rsidR="00BE787F" w:rsidRPr="00BE787F" w:rsidRDefault="00BE787F" w:rsidP="00C07AF2">
      <w:pPr>
        <w:spacing w:after="0" w:line="360" w:lineRule="auto"/>
        <w:ind w:firstLine="567"/>
        <w:jc w:val="both"/>
        <w:rPr>
          <w:rFonts w:ascii="Arial" w:hAnsi="Arial" w:cs="Arial"/>
          <w:sz w:val="22"/>
          <w:szCs w:val="22"/>
        </w:rPr>
      </w:pPr>
      <w:r w:rsidRPr="00BE787F">
        <w:rPr>
          <w:rFonts w:ascii="Arial" w:hAnsi="Arial" w:cs="Arial"/>
          <w:sz w:val="22"/>
          <w:szCs w:val="22"/>
        </w:rPr>
        <w:t xml:space="preserve">However, </w:t>
      </w:r>
      <w:r w:rsidR="002557B4">
        <w:rPr>
          <w:rFonts w:ascii="Arial" w:hAnsi="Arial" w:cs="Arial"/>
          <w:sz w:val="22"/>
          <w:szCs w:val="22"/>
        </w:rPr>
        <w:t>the variance of smaller companies would be compressed owing to Jaguar Land Rover's very large inventory levels;</w:t>
      </w:r>
      <w:r w:rsidRPr="00BE787F">
        <w:rPr>
          <w:rFonts w:ascii="Arial" w:hAnsi="Arial" w:cs="Arial"/>
          <w:sz w:val="22"/>
          <w:szCs w:val="22"/>
        </w:rPr>
        <w:t xml:space="preserve"> the y-axis is shown on a logarithmic scale. Despite this change, </w:t>
      </w:r>
      <w:r w:rsidR="002557B4" w:rsidRPr="00BE787F">
        <w:rPr>
          <w:rFonts w:ascii="Arial" w:hAnsi="Arial" w:cs="Arial"/>
          <w:sz w:val="22"/>
          <w:szCs w:val="22"/>
        </w:rPr>
        <w:t>most</w:t>
      </w:r>
      <w:r w:rsidRPr="00BE787F">
        <w:rPr>
          <w:rFonts w:ascii="Arial" w:hAnsi="Arial" w:cs="Arial"/>
          <w:sz w:val="22"/>
          <w:szCs w:val="22"/>
        </w:rPr>
        <w:t xml:space="preserve"> companies still grow from about 1 to 5 days to around 10 to 20 days</w:t>
      </w:r>
      <w:r w:rsidR="002557B4">
        <w:rPr>
          <w:rFonts w:ascii="Arial" w:hAnsi="Arial" w:cs="Arial"/>
          <w:sz w:val="22"/>
          <w:szCs w:val="22"/>
        </w:rPr>
        <w:t>, while JLR remains</w:t>
      </w:r>
      <w:r w:rsidRPr="00BE787F">
        <w:rPr>
          <w:rFonts w:ascii="Arial" w:hAnsi="Arial" w:cs="Arial"/>
          <w:sz w:val="22"/>
          <w:szCs w:val="22"/>
        </w:rPr>
        <w:t xml:space="preserve"> above 100 days, suggesting a long-term change rather than a short-term one.</w:t>
      </w:r>
    </w:p>
    <w:p w14:paraId="01B30A6B" w14:textId="77777777" w:rsidR="005B2E4A" w:rsidRDefault="00BE787F" w:rsidP="005B2E4A">
      <w:pPr>
        <w:spacing w:after="0" w:line="360" w:lineRule="auto"/>
        <w:ind w:firstLine="567"/>
        <w:jc w:val="both"/>
        <w:rPr>
          <w:rFonts w:ascii="Arial" w:hAnsi="Arial" w:cs="Arial"/>
          <w:sz w:val="22"/>
          <w:szCs w:val="22"/>
        </w:rPr>
      </w:pPr>
      <w:r w:rsidRPr="00BE787F">
        <w:rPr>
          <w:rFonts w:ascii="Arial" w:hAnsi="Arial" w:cs="Arial"/>
          <w:sz w:val="22"/>
          <w:szCs w:val="22"/>
        </w:rPr>
        <w:t xml:space="preserve">Figure 3.3 shows that there is a positive but not uniform association between GSCPI (≈ -1 to &gt;3) and import costs (~£50k-£150k) for RQ2. </w:t>
      </w:r>
    </w:p>
    <w:p w14:paraId="27D5F00B" w14:textId="77777777" w:rsidR="00616AE1" w:rsidRDefault="00616AE1" w:rsidP="006C0C1D">
      <w:pPr>
        <w:spacing w:after="0" w:line="360" w:lineRule="auto"/>
        <w:jc w:val="both"/>
        <w:rPr>
          <w:rFonts w:ascii="Arial" w:hAnsi="Arial" w:cs="Arial"/>
          <w:sz w:val="16"/>
          <w:szCs w:val="16"/>
        </w:rPr>
      </w:pPr>
    </w:p>
    <w:p w14:paraId="5FBF1AC8" w14:textId="77777777" w:rsidR="00AB2F3D" w:rsidRDefault="00AB2F3D" w:rsidP="006C0C1D">
      <w:pPr>
        <w:spacing w:after="0" w:line="360" w:lineRule="auto"/>
        <w:jc w:val="both"/>
        <w:rPr>
          <w:rFonts w:ascii="Arial" w:hAnsi="Arial" w:cs="Arial"/>
          <w:sz w:val="16"/>
          <w:szCs w:val="16"/>
        </w:rPr>
      </w:pPr>
    </w:p>
    <w:p w14:paraId="009B70D8" w14:textId="77777777" w:rsidR="00AB2F3D" w:rsidRDefault="00AB2F3D" w:rsidP="006C0C1D">
      <w:pPr>
        <w:spacing w:after="0" w:line="360" w:lineRule="auto"/>
        <w:jc w:val="both"/>
        <w:rPr>
          <w:rFonts w:ascii="Arial" w:hAnsi="Arial" w:cs="Arial"/>
          <w:sz w:val="16"/>
          <w:szCs w:val="16"/>
        </w:rPr>
      </w:pPr>
    </w:p>
    <w:p w14:paraId="7663F780" w14:textId="77777777" w:rsidR="00AB2F3D" w:rsidRDefault="00AB2F3D" w:rsidP="006C0C1D">
      <w:pPr>
        <w:spacing w:after="0" w:line="360" w:lineRule="auto"/>
        <w:jc w:val="both"/>
        <w:rPr>
          <w:rFonts w:ascii="Arial" w:hAnsi="Arial" w:cs="Arial"/>
          <w:sz w:val="16"/>
          <w:szCs w:val="16"/>
        </w:rPr>
      </w:pPr>
    </w:p>
    <w:p w14:paraId="43E3F9D6" w14:textId="77777777" w:rsidR="00AB2F3D" w:rsidRPr="006563FA" w:rsidRDefault="00AB2F3D" w:rsidP="006C0C1D">
      <w:pPr>
        <w:spacing w:after="0" w:line="360" w:lineRule="auto"/>
        <w:jc w:val="both"/>
        <w:rPr>
          <w:rFonts w:ascii="Arial" w:hAnsi="Arial" w:cs="Arial"/>
          <w:sz w:val="16"/>
          <w:szCs w:val="16"/>
        </w:rPr>
      </w:pPr>
    </w:p>
    <w:p w14:paraId="2F39D29B" w14:textId="722649D1" w:rsidR="005B2E4A" w:rsidRPr="006C0C1D" w:rsidRDefault="006C0C1D" w:rsidP="006C0C1D">
      <w:pPr>
        <w:spacing w:after="0" w:line="360" w:lineRule="auto"/>
        <w:jc w:val="center"/>
        <w:rPr>
          <w:rFonts w:ascii="Arial" w:hAnsi="Arial" w:cs="Arial"/>
          <w:sz w:val="20"/>
          <w:szCs w:val="20"/>
        </w:rPr>
      </w:pPr>
      <w:r w:rsidRPr="006C0C1D">
        <w:rPr>
          <w:rFonts w:ascii="Arial" w:hAnsi="Arial" w:cs="Arial"/>
          <w:sz w:val="20"/>
          <w:szCs w:val="20"/>
        </w:rPr>
        <w:lastRenderedPageBreak/>
        <w:t xml:space="preserve">Figure </w:t>
      </w:r>
      <w:r w:rsidR="007C4117" w:rsidRPr="006C0C1D">
        <w:rPr>
          <w:rFonts w:ascii="Arial" w:hAnsi="Arial" w:cs="Arial"/>
          <w:sz w:val="20"/>
          <w:szCs w:val="20"/>
        </w:rPr>
        <w:t>3.</w:t>
      </w:r>
      <w:r w:rsidRPr="006C0C1D">
        <w:rPr>
          <w:rFonts w:ascii="Arial" w:hAnsi="Arial" w:cs="Arial"/>
          <w:sz w:val="20"/>
          <w:szCs w:val="20"/>
        </w:rPr>
        <w:t>3</w:t>
      </w:r>
      <w:r w:rsidR="007C4117" w:rsidRPr="006C0C1D">
        <w:rPr>
          <w:rFonts w:ascii="Arial" w:hAnsi="Arial" w:cs="Arial"/>
          <w:sz w:val="20"/>
          <w:szCs w:val="20"/>
        </w:rPr>
        <w:t>. Firm-Level Import Cost vs GSCPI</w:t>
      </w:r>
    </w:p>
    <w:p w14:paraId="33407C18" w14:textId="4F718020" w:rsidR="007C4117" w:rsidRPr="007C4117" w:rsidRDefault="006563FA" w:rsidP="006563FA">
      <w:pPr>
        <w:spacing w:after="0" w:line="360" w:lineRule="auto"/>
        <w:jc w:val="center"/>
        <w:rPr>
          <w:rFonts w:ascii="Arial" w:hAnsi="Arial" w:cs="Arial"/>
          <w:sz w:val="20"/>
          <w:szCs w:val="20"/>
        </w:rPr>
      </w:pPr>
      <w:r w:rsidRPr="006563FA">
        <w:rPr>
          <w:rFonts w:ascii="Arial" w:hAnsi="Arial" w:cs="Arial"/>
          <w:noProof/>
          <w:sz w:val="20"/>
          <w:szCs w:val="20"/>
        </w:rPr>
        <w:drawing>
          <wp:inline distT="0" distB="0" distL="0" distR="0" wp14:anchorId="504D2610" wp14:editId="348DC04D">
            <wp:extent cx="5731215" cy="1905989"/>
            <wp:effectExtent l="0" t="0" r="3175" b="0"/>
            <wp:docPr id="79610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04719" name=""/>
                    <pic:cNvPicPr/>
                  </pic:nvPicPr>
                  <pic:blipFill>
                    <a:blip r:embed="rId24"/>
                    <a:stretch>
                      <a:fillRect/>
                    </a:stretch>
                  </pic:blipFill>
                  <pic:spPr>
                    <a:xfrm>
                      <a:off x="0" y="0"/>
                      <a:ext cx="5756511" cy="1914402"/>
                    </a:xfrm>
                    <a:prstGeom prst="rect">
                      <a:avLst/>
                    </a:prstGeom>
                  </pic:spPr>
                </pic:pic>
              </a:graphicData>
            </a:graphic>
          </wp:inline>
        </w:drawing>
      </w:r>
    </w:p>
    <w:p w14:paraId="375A0B45" w14:textId="38F3B2D4" w:rsidR="005B2E4A" w:rsidRDefault="006563FA" w:rsidP="00D014F2">
      <w:pPr>
        <w:spacing w:after="0" w:line="360" w:lineRule="auto"/>
        <w:jc w:val="center"/>
        <w:rPr>
          <w:rFonts w:ascii="Arial" w:hAnsi="Arial" w:cs="Arial"/>
          <w:i/>
          <w:iCs/>
          <w:sz w:val="20"/>
          <w:szCs w:val="20"/>
        </w:rPr>
      </w:pPr>
      <w:r w:rsidRPr="00B00104">
        <w:rPr>
          <w:rFonts w:ascii="Arial" w:hAnsi="Arial" w:cs="Arial"/>
          <w:i/>
          <w:iCs/>
          <w:sz w:val="20"/>
          <w:szCs w:val="20"/>
        </w:rPr>
        <w:t>(Source: Created by the author based on the Company's annual reports, Data 2019-2024)</w:t>
      </w:r>
    </w:p>
    <w:p w14:paraId="06E02A88" w14:textId="77777777" w:rsidR="00D014F2" w:rsidRPr="00D014F2" w:rsidRDefault="00D014F2" w:rsidP="00D014F2">
      <w:pPr>
        <w:spacing w:after="0" w:line="360" w:lineRule="auto"/>
        <w:jc w:val="center"/>
        <w:rPr>
          <w:rFonts w:ascii="Arial" w:hAnsi="Arial" w:cs="Arial"/>
          <w:i/>
          <w:iCs/>
          <w:sz w:val="16"/>
          <w:szCs w:val="16"/>
        </w:rPr>
      </w:pPr>
    </w:p>
    <w:p w14:paraId="646E272A" w14:textId="7CD44F31" w:rsidR="00BE787F" w:rsidRPr="00BE787F" w:rsidRDefault="00BE787F" w:rsidP="005B2E4A">
      <w:pPr>
        <w:spacing w:after="0" w:line="360" w:lineRule="auto"/>
        <w:ind w:firstLine="567"/>
        <w:jc w:val="both"/>
        <w:rPr>
          <w:rFonts w:ascii="Arial" w:hAnsi="Arial" w:cs="Arial"/>
          <w:sz w:val="22"/>
          <w:szCs w:val="22"/>
        </w:rPr>
      </w:pPr>
      <w:r w:rsidRPr="00BE787F">
        <w:rPr>
          <w:rFonts w:ascii="Arial" w:hAnsi="Arial" w:cs="Arial"/>
          <w:sz w:val="22"/>
          <w:szCs w:val="22"/>
        </w:rPr>
        <w:t xml:space="preserve">The dispersion indicates that enterprises are not equally exposed to global pressure; rather, vulnerability is influenced by factors such as size, sourcing tactics, and product sector. Larger companies may absorb certain shocks rather than fully passing them on, as their absolute expenses are </w:t>
      </w:r>
      <w:r w:rsidR="00D014F2" w:rsidRPr="00BE787F">
        <w:rPr>
          <w:rFonts w:ascii="Arial" w:hAnsi="Arial" w:cs="Arial"/>
          <w:sz w:val="22"/>
          <w:szCs w:val="22"/>
        </w:rPr>
        <w:t>larger,</w:t>
      </w:r>
      <w:r w:rsidRPr="00BE787F">
        <w:rPr>
          <w:rFonts w:ascii="Arial" w:hAnsi="Arial" w:cs="Arial"/>
          <w:sz w:val="22"/>
          <w:szCs w:val="22"/>
        </w:rPr>
        <w:t xml:space="preserve"> but their sensitivity is not comparable.</w:t>
      </w:r>
    </w:p>
    <w:p w14:paraId="0E075873" w14:textId="5DB12AB7" w:rsidR="00D014F2" w:rsidRDefault="00BE787F" w:rsidP="00BE787F">
      <w:pPr>
        <w:spacing w:after="0" w:line="360" w:lineRule="auto"/>
        <w:ind w:firstLine="567"/>
        <w:jc w:val="both"/>
        <w:rPr>
          <w:rFonts w:ascii="Arial" w:hAnsi="Arial" w:cs="Arial"/>
          <w:sz w:val="22"/>
          <w:szCs w:val="22"/>
        </w:rPr>
      </w:pPr>
      <w:r w:rsidRPr="00BE787F">
        <w:rPr>
          <w:rFonts w:ascii="Arial" w:hAnsi="Arial" w:cs="Arial"/>
          <w:sz w:val="22"/>
          <w:szCs w:val="22"/>
        </w:rPr>
        <w:t xml:space="preserve">Changes to the routing protocol </w:t>
      </w:r>
      <w:r w:rsidR="00D014F2">
        <w:rPr>
          <w:rFonts w:ascii="Arial" w:hAnsi="Arial" w:cs="Arial"/>
          <w:sz w:val="22"/>
          <w:szCs w:val="22"/>
        </w:rPr>
        <w:t>cause operational disruption</w:t>
      </w:r>
      <w:r w:rsidRPr="00BE787F">
        <w:rPr>
          <w:rFonts w:ascii="Arial" w:hAnsi="Arial" w:cs="Arial"/>
          <w:sz w:val="22"/>
          <w:szCs w:val="22"/>
        </w:rPr>
        <w:t xml:space="preserve">. In Figure 3.4, one can see that the transit periods increase from around 30 to 35 days to 40 to </w:t>
      </w:r>
      <w:r w:rsidR="00616AE1">
        <w:rPr>
          <w:rFonts w:ascii="Arial" w:hAnsi="Arial" w:cs="Arial"/>
          <w:sz w:val="22"/>
          <w:szCs w:val="22"/>
        </w:rPr>
        <w:t>4</w:t>
      </w:r>
      <w:r w:rsidRPr="00BE787F">
        <w:rPr>
          <w:rFonts w:ascii="Arial" w:hAnsi="Arial" w:cs="Arial"/>
          <w:sz w:val="22"/>
          <w:szCs w:val="22"/>
        </w:rPr>
        <w:t xml:space="preserve">5 days after the Cape change. </w:t>
      </w:r>
    </w:p>
    <w:p w14:paraId="0A394D23" w14:textId="77777777" w:rsidR="00405B09" w:rsidRPr="00405B09" w:rsidRDefault="00405B09" w:rsidP="00BE787F">
      <w:pPr>
        <w:spacing w:after="0" w:line="360" w:lineRule="auto"/>
        <w:ind w:firstLine="567"/>
        <w:jc w:val="both"/>
        <w:rPr>
          <w:rFonts w:ascii="Arial" w:hAnsi="Arial" w:cs="Arial"/>
          <w:sz w:val="16"/>
          <w:szCs w:val="16"/>
        </w:rPr>
      </w:pPr>
    </w:p>
    <w:p w14:paraId="011218EC" w14:textId="1F49C311" w:rsidR="00D014F2" w:rsidRPr="006C0C1D" w:rsidRDefault="006C0C1D" w:rsidP="00405B09">
      <w:pPr>
        <w:spacing w:after="0" w:line="360" w:lineRule="auto"/>
        <w:jc w:val="center"/>
        <w:rPr>
          <w:rFonts w:ascii="Arial" w:hAnsi="Arial" w:cs="Arial"/>
          <w:sz w:val="20"/>
          <w:szCs w:val="20"/>
        </w:rPr>
      </w:pPr>
      <w:r w:rsidRPr="006C0C1D">
        <w:rPr>
          <w:rFonts w:ascii="Arial" w:hAnsi="Arial" w:cs="Arial"/>
          <w:sz w:val="20"/>
          <w:szCs w:val="20"/>
        </w:rPr>
        <w:t xml:space="preserve">Figure </w:t>
      </w:r>
      <w:r w:rsidR="00387899" w:rsidRPr="006C0C1D">
        <w:rPr>
          <w:rFonts w:ascii="Arial" w:hAnsi="Arial" w:cs="Arial"/>
          <w:sz w:val="20"/>
          <w:szCs w:val="20"/>
        </w:rPr>
        <w:t>3.</w:t>
      </w:r>
      <w:r w:rsidR="00C07AF2" w:rsidRPr="006C0C1D">
        <w:rPr>
          <w:rFonts w:ascii="Arial" w:hAnsi="Arial" w:cs="Arial"/>
          <w:sz w:val="20"/>
          <w:szCs w:val="20"/>
        </w:rPr>
        <w:t>4</w:t>
      </w:r>
      <w:r w:rsidR="00405B09" w:rsidRPr="006C0C1D">
        <w:rPr>
          <w:rFonts w:ascii="Arial" w:hAnsi="Arial" w:cs="Arial"/>
          <w:sz w:val="20"/>
          <w:szCs w:val="20"/>
        </w:rPr>
        <w:t>.</w:t>
      </w:r>
      <w:r w:rsidR="00387899" w:rsidRPr="006C0C1D">
        <w:rPr>
          <w:rFonts w:ascii="Arial" w:hAnsi="Arial" w:cs="Arial"/>
          <w:sz w:val="20"/>
          <w:szCs w:val="20"/>
        </w:rPr>
        <w:t xml:space="preserve"> (Pre/Post Disruption) Transit Time by Route Mode (Suez vs Cape)</w:t>
      </w:r>
    </w:p>
    <w:p w14:paraId="5E0DC710" w14:textId="74B601D7" w:rsidR="00405B09" w:rsidRDefault="003F0A86" w:rsidP="00405B09">
      <w:pPr>
        <w:spacing w:after="0" w:line="360" w:lineRule="auto"/>
        <w:jc w:val="center"/>
        <w:rPr>
          <w:rFonts w:ascii="Arial" w:hAnsi="Arial" w:cs="Arial"/>
          <w:sz w:val="20"/>
          <w:szCs w:val="20"/>
        </w:rPr>
      </w:pPr>
      <w:r w:rsidRPr="003F0A86">
        <w:rPr>
          <w:rFonts w:ascii="Arial" w:hAnsi="Arial" w:cs="Arial"/>
          <w:noProof/>
          <w:sz w:val="20"/>
          <w:szCs w:val="20"/>
        </w:rPr>
        <w:drawing>
          <wp:inline distT="0" distB="0" distL="0" distR="0" wp14:anchorId="05718FFE" wp14:editId="5EF4F3C7">
            <wp:extent cx="5729863" cy="1686296"/>
            <wp:effectExtent l="0" t="0" r="4445" b="9525"/>
            <wp:docPr id="5096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22404" name=""/>
                    <pic:cNvPicPr/>
                  </pic:nvPicPr>
                  <pic:blipFill>
                    <a:blip r:embed="rId25"/>
                    <a:stretch>
                      <a:fillRect/>
                    </a:stretch>
                  </pic:blipFill>
                  <pic:spPr>
                    <a:xfrm>
                      <a:off x="0" y="0"/>
                      <a:ext cx="5746109" cy="1691077"/>
                    </a:xfrm>
                    <a:prstGeom prst="rect">
                      <a:avLst/>
                    </a:prstGeom>
                  </pic:spPr>
                </pic:pic>
              </a:graphicData>
            </a:graphic>
          </wp:inline>
        </w:drawing>
      </w:r>
    </w:p>
    <w:p w14:paraId="65A5C294" w14:textId="76A366B5" w:rsidR="00405B09" w:rsidRPr="006C0C1D" w:rsidRDefault="003F0A86" w:rsidP="003F0A86">
      <w:pPr>
        <w:spacing w:after="0" w:line="360" w:lineRule="auto"/>
        <w:jc w:val="center"/>
        <w:rPr>
          <w:rFonts w:ascii="Arial" w:hAnsi="Arial" w:cs="Arial"/>
          <w:i/>
          <w:iCs/>
          <w:sz w:val="20"/>
          <w:szCs w:val="20"/>
        </w:rPr>
      </w:pPr>
      <w:r w:rsidRPr="006C0C1D">
        <w:rPr>
          <w:rFonts w:ascii="Arial" w:hAnsi="Arial" w:cs="Arial"/>
          <w:i/>
          <w:iCs/>
          <w:sz w:val="20"/>
          <w:szCs w:val="20"/>
        </w:rPr>
        <w:t>(Source: Created by the author based on the Company's annual reports, Data 2019-2024)</w:t>
      </w:r>
    </w:p>
    <w:p w14:paraId="3A905C2F" w14:textId="77777777" w:rsidR="00D014F2" w:rsidRPr="006C0C1D" w:rsidRDefault="00D014F2" w:rsidP="00BE787F">
      <w:pPr>
        <w:spacing w:after="0" w:line="360" w:lineRule="auto"/>
        <w:ind w:firstLine="567"/>
        <w:jc w:val="both"/>
        <w:rPr>
          <w:rFonts w:ascii="Arial" w:hAnsi="Arial" w:cs="Arial"/>
          <w:i/>
          <w:iCs/>
          <w:sz w:val="16"/>
          <w:szCs w:val="16"/>
        </w:rPr>
      </w:pPr>
    </w:p>
    <w:p w14:paraId="56F7E7FA" w14:textId="77777777" w:rsidR="008A6C67" w:rsidRPr="008A6C67" w:rsidRDefault="00BE787F" w:rsidP="008A6C67">
      <w:pPr>
        <w:spacing w:after="0" w:line="360" w:lineRule="auto"/>
        <w:ind w:firstLine="567"/>
        <w:jc w:val="both"/>
        <w:rPr>
          <w:rFonts w:ascii="Arial" w:hAnsi="Arial" w:cs="Arial"/>
          <w:sz w:val="22"/>
          <w:szCs w:val="22"/>
        </w:rPr>
      </w:pPr>
      <w:r w:rsidRPr="00BE787F">
        <w:rPr>
          <w:rFonts w:ascii="Arial" w:hAnsi="Arial" w:cs="Arial"/>
          <w:sz w:val="22"/>
          <w:szCs w:val="22"/>
        </w:rPr>
        <w:t xml:space="preserve">The fact that delays may be explained in part by operational flexibility and supplier networks, but that rerouting is not the only factor </w:t>
      </w:r>
      <w:r w:rsidR="00C07AF2">
        <w:rPr>
          <w:rFonts w:ascii="Arial" w:hAnsi="Arial" w:cs="Arial"/>
          <w:sz w:val="22"/>
          <w:szCs w:val="22"/>
        </w:rPr>
        <w:t xml:space="preserve">influencing results, is shown by </w:t>
      </w:r>
      <w:r w:rsidR="008A6C67" w:rsidRPr="008A6C67">
        <w:rPr>
          <w:rFonts w:ascii="Arial" w:hAnsi="Arial" w:cs="Arial"/>
          <w:sz w:val="22"/>
          <w:szCs w:val="22"/>
        </w:rPr>
        <w:t xml:space="preserve">variety </w:t>
      </w:r>
    </w:p>
    <w:p w14:paraId="1450E121" w14:textId="6E42B5E2" w:rsidR="00BE787F" w:rsidRPr="00BE787F" w:rsidRDefault="008A6C67" w:rsidP="008A6C67">
      <w:pPr>
        <w:spacing w:after="0" w:line="360" w:lineRule="auto"/>
        <w:jc w:val="both"/>
        <w:rPr>
          <w:rFonts w:ascii="Arial" w:hAnsi="Arial" w:cs="Arial"/>
          <w:sz w:val="22"/>
          <w:szCs w:val="22"/>
        </w:rPr>
      </w:pPr>
      <w:r>
        <w:rPr>
          <w:rFonts w:ascii="Arial" w:hAnsi="Arial" w:cs="Arial"/>
          <w:sz w:val="22"/>
          <w:szCs w:val="22"/>
        </w:rPr>
        <w:t xml:space="preserve"> </w:t>
      </w:r>
      <w:r w:rsidR="00BE787F" w:rsidRPr="00BE787F">
        <w:rPr>
          <w:rFonts w:ascii="Arial" w:hAnsi="Arial" w:cs="Arial"/>
          <w:sz w:val="22"/>
          <w:szCs w:val="22"/>
        </w:rPr>
        <w:t>between organisations.</w:t>
      </w:r>
    </w:p>
    <w:p w14:paraId="6412E1E1" w14:textId="7DD967DB" w:rsidR="00C82E96" w:rsidRDefault="00BE787F" w:rsidP="00BE787F">
      <w:pPr>
        <w:spacing w:after="0" w:line="360" w:lineRule="auto"/>
        <w:ind w:firstLine="567"/>
        <w:jc w:val="both"/>
        <w:rPr>
          <w:rFonts w:ascii="Arial" w:hAnsi="Arial" w:cs="Arial"/>
          <w:sz w:val="22"/>
          <w:szCs w:val="22"/>
        </w:rPr>
      </w:pPr>
      <w:r w:rsidRPr="00BE787F">
        <w:rPr>
          <w:rFonts w:ascii="Arial" w:hAnsi="Arial" w:cs="Arial"/>
          <w:sz w:val="22"/>
          <w:szCs w:val="22"/>
        </w:rPr>
        <w:t>SQL logic assures relational integrity, whereas DAX measurements quantify these dynamics.</w:t>
      </w:r>
    </w:p>
    <w:p w14:paraId="2149D94C" w14:textId="02A618DE" w:rsidR="00C82E96" w:rsidRPr="0075058A" w:rsidRDefault="0075058A" w:rsidP="0075058A">
      <w:pPr>
        <w:spacing w:after="0" w:line="360" w:lineRule="auto"/>
        <w:ind w:firstLine="567"/>
        <w:jc w:val="both"/>
        <w:rPr>
          <w:rFonts w:ascii="Arial" w:hAnsi="Arial" w:cs="Arial"/>
          <w:sz w:val="22"/>
          <w:szCs w:val="22"/>
        </w:rPr>
      </w:pPr>
      <w:r w:rsidRPr="0075058A">
        <w:rPr>
          <w:rFonts w:ascii="Arial" w:hAnsi="Arial" w:cs="Arial"/>
          <w:sz w:val="22"/>
          <w:szCs w:val="22"/>
        </w:rPr>
        <w:t>While analytically strong, these methodological choices nevertheless include assumptions and possible biases that are rigorously analysed in the next section on ethical issues.</w:t>
      </w:r>
    </w:p>
    <w:p w14:paraId="1500ED9F" w14:textId="54F1C8E4" w:rsidR="00BE4D6B" w:rsidRPr="006C0C1D" w:rsidRDefault="00DA6727" w:rsidP="006C0C1D">
      <w:pPr>
        <w:pStyle w:val="Heading2"/>
        <w:spacing w:before="120"/>
        <w:rPr>
          <w:b/>
          <w:bCs/>
          <w:sz w:val="22"/>
          <w:szCs w:val="22"/>
        </w:rPr>
      </w:pPr>
      <w:bookmarkStart w:id="25" w:name="_Toc228883251"/>
      <w:r w:rsidRPr="006C0C1D">
        <w:rPr>
          <w:b/>
          <w:bCs/>
          <w:sz w:val="22"/>
          <w:szCs w:val="22"/>
        </w:rPr>
        <w:lastRenderedPageBreak/>
        <w:t>3.</w:t>
      </w:r>
      <w:r w:rsidR="00C82E96" w:rsidRPr="006C0C1D">
        <w:rPr>
          <w:b/>
          <w:bCs/>
          <w:sz w:val="22"/>
          <w:szCs w:val="22"/>
        </w:rPr>
        <w:t>8.</w:t>
      </w:r>
      <w:r w:rsidRPr="006C0C1D">
        <w:rPr>
          <w:b/>
          <w:bCs/>
          <w:sz w:val="22"/>
          <w:szCs w:val="22"/>
        </w:rPr>
        <w:t xml:space="preserve"> Ethical Considerations</w:t>
      </w:r>
      <w:bookmarkEnd w:id="25"/>
    </w:p>
    <w:p w14:paraId="2BD5E408" w14:textId="0919C802" w:rsidR="00EB340A" w:rsidRPr="00EB340A" w:rsidRDefault="00EB340A" w:rsidP="00EB340A">
      <w:pPr>
        <w:spacing w:after="0" w:line="360" w:lineRule="auto"/>
        <w:ind w:firstLine="567"/>
        <w:jc w:val="both"/>
        <w:rPr>
          <w:rFonts w:ascii="Arial" w:hAnsi="Arial" w:cs="Arial"/>
          <w:sz w:val="22"/>
          <w:szCs w:val="22"/>
        </w:rPr>
      </w:pPr>
      <w:r w:rsidRPr="00EB340A">
        <w:rPr>
          <w:rFonts w:ascii="Arial" w:hAnsi="Arial" w:cs="Arial"/>
          <w:sz w:val="22"/>
          <w:szCs w:val="22"/>
        </w:rPr>
        <w:t xml:space="preserve">No sensitive or personally identifiable information is </w:t>
      </w:r>
      <w:r>
        <w:rPr>
          <w:rFonts w:ascii="Arial" w:hAnsi="Arial" w:cs="Arial"/>
          <w:sz w:val="22"/>
          <w:szCs w:val="22"/>
        </w:rPr>
        <w:t>collected for this research, as it relies solely on publicly accessible secondary data</w:t>
      </w:r>
      <w:r w:rsidRPr="00EB340A">
        <w:rPr>
          <w:rFonts w:ascii="Arial" w:hAnsi="Arial" w:cs="Arial"/>
          <w:sz w:val="22"/>
          <w:szCs w:val="22"/>
        </w:rPr>
        <w:t xml:space="preserve">. But accessibility doesn't mean we can ignore </w:t>
      </w:r>
      <w:r>
        <w:rPr>
          <w:rFonts w:ascii="Arial" w:hAnsi="Arial" w:cs="Arial"/>
          <w:sz w:val="22"/>
          <w:szCs w:val="22"/>
        </w:rPr>
        <w:t>ethical responsibilities; being upfront about how we choose, handle, and interpret data remains</w:t>
      </w:r>
      <w:r w:rsidRPr="00EB340A">
        <w:rPr>
          <w:rFonts w:ascii="Arial" w:hAnsi="Arial" w:cs="Arial"/>
          <w:sz w:val="22"/>
          <w:szCs w:val="22"/>
        </w:rPr>
        <w:t xml:space="preserve"> crucial. The use of derived indicators, including inventory response and cost shock absorption, </w:t>
      </w:r>
      <w:r>
        <w:rPr>
          <w:rFonts w:ascii="Arial" w:hAnsi="Arial" w:cs="Arial"/>
          <w:sz w:val="22"/>
          <w:szCs w:val="22"/>
        </w:rPr>
        <w:t>may lead to interpretive bias unless methodologies are well-defined</w:t>
      </w:r>
      <w:r w:rsidRPr="00EB340A">
        <w:rPr>
          <w:rFonts w:ascii="Arial" w:hAnsi="Arial" w:cs="Arial"/>
          <w:sz w:val="22"/>
          <w:szCs w:val="22"/>
        </w:rPr>
        <w:t xml:space="preserve"> and reproducible.</w:t>
      </w:r>
    </w:p>
    <w:p w14:paraId="4689D8C1" w14:textId="703B74F9" w:rsidR="00EB340A" w:rsidRPr="00EB340A" w:rsidRDefault="00EB340A" w:rsidP="00EB340A">
      <w:pPr>
        <w:spacing w:after="0" w:line="360" w:lineRule="auto"/>
        <w:ind w:firstLine="567"/>
        <w:jc w:val="both"/>
        <w:rPr>
          <w:rFonts w:ascii="Arial" w:hAnsi="Arial" w:cs="Arial"/>
          <w:sz w:val="22"/>
          <w:szCs w:val="22"/>
        </w:rPr>
      </w:pPr>
      <w:r w:rsidRPr="00EB340A">
        <w:rPr>
          <w:rFonts w:ascii="Arial" w:hAnsi="Arial" w:cs="Arial"/>
          <w:sz w:val="22"/>
          <w:szCs w:val="22"/>
        </w:rPr>
        <w:t xml:space="preserve">Obligatory data management, critical interpretation, and understanding of dataset constraints are ethical practices in secondary research, according to Tripathy (2013). To account for the possibility of reporting errors, chronological misalignment, and institutional bias in secondary sources, the results are </w:t>
      </w:r>
      <w:r>
        <w:rPr>
          <w:rFonts w:ascii="Arial" w:hAnsi="Arial" w:cs="Arial"/>
          <w:sz w:val="22"/>
          <w:szCs w:val="22"/>
        </w:rPr>
        <w:t xml:space="preserve">presented as interpretations grounded in evidence rather than as </w:t>
      </w:r>
      <w:r w:rsidRPr="00EB340A">
        <w:rPr>
          <w:rFonts w:ascii="Arial" w:hAnsi="Arial" w:cs="Arial"/>
          <w:sz w:val="22"/>
          <w:szCs w:val="22"/>
        </w:rPr>
        <w:t>absolute assertions.</w:t>
      </w:r>
    </w:p>
    <w:p w14:paraId="7EA0F35C" w14:textId="6738BE13" w:rsidR="001A7FAE" w:rsidRPr="006C0C1D" w:rsidRDefault="00BA7378" w:rsidP="006C0C1D">
      <w:pPr>
        <w:pStyle w:val="Heading2"/>
        <w:spacing w:before="120"/>
        <w:rPr>
          <w:b/>
          <w:bCs/>
          <w:sz w:val="22"/>
          <w:szCs w:val="22"/>
        </w:rPr>
      </w:pPr>
      <w:bookmarkStart w:id="26" w:name="_Toc228883252"/>
      <w:r w:rsidRPr="006C0C1D">
        <w:rPr>
          <w:b/>
          <w:bCs/>
          <w:sz w:val="22"/>
          <w:szCs w:val="22"/>
        </w:rPr>
        <w:t>3.8 Methodological Limitations</w:t>
      </w:r>
      <w:bookmarkEnd w:id="26"/>
    </w:p>
    <w:p w14:paraId="79A712CA" w14:textId="13853CEF" w:rsidR="000C5E8F" w:rsidRPr="000C5E8F" w:rsidRDefault="000C5E8F" w:rsidP="000C5E8F">
      <w:pPr>
        <w:spacing w:after="0" w:line="360" w:lineRule="auto"/>
        <w:ind w:firstLine="567"/>
        <w:jc w:val="both"/>
        <w:rPr>
          <w:rFonts w:ascii="Arial" w:hAnsi="Arial" w:cs="Arial"/>
          <w:sz w:val="22"/>
          <w:szCs w:val="22"/>
        </w:rPr>
      </w:pPr>
      <w:r w:rsidRPr="000C5E8F">
        <w:rPr>
          <w:rFonts w:ascii="Arial" w:hAnsi="Arial" w:cs="Arial"/>
          <w:sz w:val="22"/>
          <w:szCs w:val="22"/>
        </w:rPr>
        <w:t>Even if the analytical approach is well-organised, there are still certain methodological limits. First, the study relies heavily on secondary data, particularly commercial disclosures, which differ in terms of reporting requirements, timeliness, and strategic emphasis. When companies report selectively or with different quantities of information, it makes the data inconsistent and hard to compare. Saunders et al. (2019) assert that secondary data is influenced by its original intent and may fail to fulfil subsequent analytical objectives.</w:t>
      </w:r>
    </w:p>
    <w:p w14:paraId="2E2C3ADD" w14:textId="4737D8EA" w:rsidR="000C5E8F" w:rsidRPr="000C5E8F" w:rsidRDefault="000C5E8F" w:rsidP="000C5E8F">
      <w:pPr>
        <w:spacing w:after="0" w:line="360" w:lineRule="auto"/>
        <w:ind w:firstLine="567"/>
        <w:jc w:val="both"/>
        <w:rPr>
          <w:rFonts w:ascii="Arial" w:hAnsi="Arial" w:cs="Arial"/>
          <w:sz w:val="22"/>
          <w:szCs w:val="22"/>
        </w:rPr>
      </w:pPr>
      <w:r w:rsidRPr="000C5E8F">
        <w:rPr>
          <w:rFonts w:ascii="Arial" w:hAnsi="Arial" w:cs="Arial"/>
          <w:sz w:val="22"/>
          <w:szCs w:val="22"/>
        </w:rPr>
        <w:t>Using a proxy adds another restriction. Days Inventory Outstanding (DIO) and other indicators are good for getting a general idea of inventory strategy, but they don't show how complicated operational decisions might be. It may be hard to figure out the strategic objective of inventory levels since they might be due to cautious buffering, changes in demand, or accounting practices. Cost-based measures could show changes in prices outside of the company instead of how well it can handle them.</w:t>
      </w:r>
    </w:p>
    <w:p w14:paraId="76B6921E" w14:textId="2A65F90C" w:rsidR="000C5E8F" w:rsidRPr="000C5E8F" w:rsidRDefault="000C5E8F" w:rsidP="000C5E8F">
      <w:pPr>
        <w:spacing w:after="0" w:line="360" w:lineRule="auto"/>
        <w:ind w:firstLine="567"/>
        <w:jc w:val="both"/>
        <w:rPr>
          <w:rFonts w:ascii="Arial" w:hAnsi="Arial" w:cs="Arial"/>
          <w:sz w:val="22"/>
          <w:szCs w:val="22"/>
        </w:rPr>
      </w:pPr>
      <w:r w:rsidRPr="000C5E8F">
        <w:rPr>
          <w:rFonts w:ascii="Arial" w:hAnsi="Arial" w:cs="Arial"/>
          <w:sz w:val="22"/>
          <w:szCs w:val="22"/>
        </w:rPr>
        <w:t>Identification is another limitation. The study focuses on the suspension of the Red Sea crisis, but not all changes in travel time, cost, or route habits can be ascribed to it. Other macroeconomic factors, geopolitical occurrences, and firm-specific strategies may also influence outcomes, complicating causal interpretation.</w:t>
      </w:r>
    </w:p>
    <w:p w14:paraId="77992E7B" w14:textId="66E53FD8" w:rsidR="000C5E8F" w:rsidRPr="000C5E8F" w:rsidRDefault="000C5E8F" w:rsidP="000C5E8F">
      <w:pPr>
        <w:spacing w:after="0" w:line="360" w:lineRule="auto"/>
        <w:ind w:firstLine="567"/>
        <w:jc w:val="both"/>
        <w:rPr>
          <w:rFonts w:ascii="Arial" w:hAnsi="Arial" w:cs="Arial"/>
          <w:sz w:val="22"/>
          <w:szCs w:val="22"/>
        </w:rPr>
      </w:pPr>
      <w:r w:rsidRPr="000C5E8F">
        <w:rPr>
          <w:rFonts w:ascii="Arial" w:hAnsi="Arial" w:cs="Arial"/>
          <w:sz w:val="22"/>
          <w:szCs w:val="22"/>
        </w:rPr>
        <w:t>Using macro indicators, operational data, and financial proxies to triangulate makes the study less reliant on any one parameter. This enhances analytical robustness, even while it does not eliminate bias.</w:t>
      </w:r>
    </w:p>
    <w:p w14:paraId="29DF6FFF" w14:textId="4A991C92" w:rsidR="000C5E8F" w:rsidRDefault="000C5E8F" w:rsidP="000C5E8F">
      <w:pPr>
        <w:spacing w:after="0" w:line="360" w:lineRule="auto"/>
        <w:ind w:firstLine="567"/>
        <w:jc w:val="both"/>
        <w:rPr>
          <w:rFonts w:ascii="Arial" w:hAnsi="Arial" w:cs="Arial"/>
          <w:sz w:val="22"/>
          <w:szCs w:val="22"/>
        </w:rPr>
      </w:pPr>
      <w:r w:rsidRPr="000C5E8F">
        <w:rPr>
          <w:rFonts w:ascii="Arial" w:hAnsi="Arial" w:cs="Arial"/>
          <w:sz w:val="22"/>
          <w:szCs w:val="22"/>
        </w:rPr>
        <w:t>When analysing data and drawing conclusions, it is important to keep these limitations in mind so that the results are based on the specific situation and not on broad generalisations.</w:t>
      </w:r>
    </w:p>
    <w:p w14:paraId="4227D4CE" w14:textId="77777777" w:rsidR="00F30E74" w:rsidRDefault="00F30E74" w:rsidP="000C5E8F">
      <w:pPr>
        <w:spacing w:after="0" w:line="360" w:lineRule="auto"/>
        <w:ind w:firstLine="567"/>
        <w:jc w:val="both"/>
        <w:rPr>
          <w:rFonts w:ascii="Arial" w:hAnsi="Arial" w:cs="Arial"/>
          <w:sz w:val="22"/>
          <w:szCs w:val="22"/>
        </w:rPr>
      </w:pPr>
    </w:p>
    <w:p w14:paraId="6C3B3B91" w14:textId="77777777" w:rsidR="00F30E74" w:rsidRPr="000C5E8F" w:rsidRDefault="00F30E74" w:rsidP="006C0C1D">
      <w:pPr>
        <w:spacing w:after="0" w:line="360" w:lineRule="auto"/>
        <w:jc w:val="both"/>
        <w:rPr>
          <w:rFonts w:ascii="Arial" w:hAnsi="Arial" w:cs="Arial"/>
          <w:sz w:val="22"/>
          <w:szCs w:val="22"/>
        </w:rPr>
      </w:pPr>
    </w:p>
    <w:p w14:paraId="799B65F5" w14:textId="55CAD661" w:rsidR="001A7FAE" w:rsidRPr="006C0C1D" w:rsidRDefault="007D0AA1" w:rsidP="006C0C1D">
      <w:pPr>
        <w:pStyle w:val="Heading2"/>
        <w:rPr>
          <w:b/>
          <w:bCs/>
          <w:sz w:val="22"/>
          <w:szCs w:val="22"/>
        </w:rPr>
      </w:pPr>
      <w:bookmarkStart w:id="27" w:name="_Toc228883253"/>
      <w:r w:rsidRPr="006C0C1D">
        <w:rPr>
          <w:b/>
          <w:bCs/>
          <w:sz w:val="22"/>
          <w:szCs w:val="22"/>
        </w:rPr>
        <w:lastRenderedPageBreak/>
        <w:t>3.9 Conclusion</w:t>
      </w:r>
      <w:bookmarkEnd w:id="27"/>
    </w:p>
    <w:p w14:paraId="0236BF5B" w14:textId="0680E26C" w:rsidR="004E40D6" w:rsidRDefault="004E40D6" w:rsidP="004E40D6">
      <w:pPr>
        <w:spacing w:after="0" w:line="360" w:lineRule="auto"/>
        <w:ind w:firstLine="567"/>
        <w:jc w:val="both"/>
        <w:rPr>
          <w:rFonts w:ascii="Arial" w:hAnsi="Arial" w:cs="Arial"/>
          <w:sz w:val="22"/>
          <w:szCs w:val="22"/>
        </w:rPr>
      </w:pPr>
      <w:r w:rsidRPr="004E40D6">
        <w:rPr>
          <w:rFonts w:ascii="Arial" w:hAnsi="Arial" w:cs="Arial"/>
          <w:sz w:val="22"/>
          <w:szCs w:val="22"/>
        </w:rPr>
        <w:t xml:space="preserve">Based on this research, UK automotive companies have been moving away from JIT and toward hybrid JIT-JIC strategies from 2019 to 2024. This change has been driven by long-term disruptions instead of short-term shocks. Rather than being a result of cyclical variation, the time-series data suggests that inventory buffers have been increasing from around 1–5 days to 10–20 days for most enterprises (Figure 3.1). However, there are a few outliers, such as JLR, whose buffers surpass 100 days on a logarithmic scale. Figure 3.2 shows that there is an unequal cost response to supply chain pressure, with bigger businesses being able to absorb shocks more efficiently while having higher absolute costs. Figure 3.3, which compares the situation before and after the interruption, shows that </w:t>
      </w:r>
      <w:r>
        <w:rPr>
          <w:rFonts w:ascii="Arial" w:hAnsi="Arial" w:cs="Arial"/>
          <w:sz w:val="22"/>
          <w:szCs w:val="22"/>
        </w:rPr>
        <w:t>transit durations rose from about 30 to more than 40 days, supporting</w:t>
      </w:r>
      <w:r w:rsidRPr="004E40D6">
        <w:rPr>
          <w:rFonts w:ascii="Arial" w:hAnsi="Arial" w:cs="Arial"/>
          <w:sz w:val="22"/>
          <w:szCs w:val="22"/>
        </w:rPr>
        <w:t xml:space="preserve"> the operational drivers of buffering. </w:t>
      </w:r>
    </w:p>
    <w:p w14:paraId="18FCBF59" w14:textId="65740A42" w:rsidR="004E40D6" w:rsidRPr="004E40D6" w:rsidRDefault="004E40D6" w:rsidP="004E40D6">
      <w:pPr>
        <w:spacing w:after="0" w:line="360" w:lineRule="auto"/>
        <w:ind w:firstLine="567"/>
        <w:jc w:val="both"/>
        <w:rPr>
          <w:rFonts w:ascii="Arial" w:hAnsi="Arial" w:cs="Arial"/>
          <w:sz w:val="22"/>
          <w:szCs w:val="22"/>
        </w:rPr>
      </w:pPr>
      <w:r w:rsidRPr="004E40D6">
        <w:rPr>
          <w:rFonts w:ascii="Arial" w:hAnsi="Arial" w:cs="Arial"/>
          <w:sz w:val="22"/>
          <w:szCs w:val="22"/>
        </w:rPr>
        <w:t xml:space="preserve">Ultimately, resilience is not a fixed capacity but rather a trait </w:t>
      </w:r>
      <w:r>
        <w:rPr>
          <w:rFonts w:ascii="Arial" w:hAnsi="Arial" w:cs="Arial"/>
          <w:sz w:val="22"/>
          <w:szCs w:val="22"/>
        </w:rPr>
        <w:t>shaped</w:t>
      </w:r>
      <w:r w:rsidRPr="004E40D6">
        <w:rPr>
          <w:rFonts w:ascii="Arial" w:hAnsi="Arial" w:cs="Arial"/>
          <w:sz w:val="22"/>
          <w:szCs w:val="22"/>
        </w:rPr>
        <w:t xml:space="preserve"> by both strong structure and severe exposure. Consistent multi-level analysis is </w:t>
      </w:r>
      <w:r>
        <w:rPr>
          <w:rFonts w:ascii="Arial" w:hAnsi="Arial" w:cs="Arial"/>
          <w:sz w:val="22"/>
          <w:szCs w:val="22"/>
        </w:rPr>
        <w:t>enabled by Power BI and SQL modelling, but results are still affected by proxy decisions and limitations in</w:t>
      </w:r>
      <w:r w:rsidRPr="004E40D6">
        <w:rPr>
          <w:rFonts w:ascii="Arial" w:hAnsi="Arial" w:cs="Arial"/>
          <w:sz w:val="22"/>
          <w:szCs w:val="22"/>
        </w:rPr>
        <w:t xml:space="preserve"> secondary data.</w:t>
      </w:r>
    </w:p>
    <w:p w14:paraId="0277F9DA" w14:textId="431E988D" w:rsidR="00242098" w:rsidRPr="00242098" w:rsidRDefault="00F5409B" w:rsidP="00242098">
      <w:pPr>
        <w:spacing w:after="0" w:line="360" w:lineRule="auto"/>
        <w:ind w:firstLine="567"/>
        <w:jc w:val="both"/>
        <w:rPr>
          <w:rFonts w:ascii="Arial" w:hAnsi="Arial" w:cs="Arial"/>
          <w:sz w:val="22"/>
          <w:szCs w:val="22"/>
        </w:rPr>
      </w:pPr>
      <w:r>
        <w:rPr>
          <w:rFonts w:ascii="Arial" w:hAnsi="Arial" w:cs="Arial"/>
          <w:sz w:val="22"/>
          <w:szCs w:val="22"/>
        </w:rPr>
        <w:t xml:space="preserve">The next chapter </w:t>
      </w:r>
      <w:r w:rsidR="00242098" w:rsidRPr="00242098">
        <w:rPr>
          <w:rFonts w:ascii="Arial" w:hAnsi="Arial" w:cs="Arial"/>
          <w:sz w:val="22"/>
          <w:szCs w:val="22"/>
        </w:rPr>
        <w:t xml:space="preserve">provides a comprehensive overview of the company's actions, outcomes, and </w:t>
      </w:r>
      <w:r w:rsidR="00735532">
        <w:rPr>
          <w:rFonts w:ascii="Arial" w:hAnsi="Arial" w:cs="Arial"/>
          <w:sz w:val="22"/>
          <w:szCs w:val="22"/>
        </w:rPr>
        <w:t>resilience practices</w:t>
      </w:r>
      <w:r w:rsidR="00242098" w:rsidRPr="00242098">
        <w:rPr>
          <w:rFonts w:ascii="Arial" w:hAnsi="Arial" w:cs="Arial"/>
          <w:sz w:val="22"/>
          <w:szCs w:val="22"/>
        </w:rPr>
        <w:t>.</w:t>
      </w:r>
    </w:p>
    <w:p w14:paraId="53E6A771" w14:textId="77777777" w:rsidR="00242098" w:rsidRDefault="00242098" w:rsidP="00A63152">
      <w:pPr>
        <w:spacing w:after="0" w:line="360" w:lineRule="auto"/>
        <w:ind w:firstLine="567"/>
        <w:jc w:val="both"/>
        <w:rPr>
          <w:rFonts w:ascii="Arial" w:hAnsi="Arial" w:cs="Arial"/>
          <w:sz w:val="22"/>
          <w:szCs w:val="22"/>
        </w:rPr>
      </w:pPr>
    </w:p>
    <w:p w14:paraId="7A4E0735" w14:textId="77777777" w:rsidR="00F5409B" w:rsidRDefault="00F5409B" w:rsidP="00A63152">
      <w:pPr>
        <w:spacing w:after="0" w:line="360" w:lineRule="auto"/>
        <w:ind w:firstLine="567"/>
        <w:jc w:val="both"/>
        <w:rPr>
          <w:rFonts w:ascii="Arial" w:hAnsi="Arial" w:cs="Arial"/>
          <w:sz w:val="22"/>
          <w:szCs w:val="22"/>
        </w:rPr>
      </w:pPr>
    </w:p>
    <w:p w14:paraId="6916B2D3" w14:textId="77777777" w:rsidR="00F5409B" w:rsidRDefault="00F5409B" w:rsidP="00A63152">
      <w:pPr>
        <w:spacing w:after="0" w:line="360" w:lineRule="auto"/>
        <w:ind w:firstLine="567"/>
        <w:jc w:val="both"/>
        <w:rPr>
          <w:rFonts w:ascii="Arial" w:hAnsi="Arial" w:cs="Arial"/>
          <w:sz w:val="22"/>
          <w:szCs w:val="22"/>
        </w:rPr>
      </w:pPr>
    </w:p>
    <w:p w14:paraId="296F49A0" w14:textId="77777777" w:rsidR="00F5409B" w:rsidRDefault="00F5409B" w:rsidP="00A63152">
      <w:pPr>
        <w:spacing w:after="0" w:line="360" w:lineRule="auto"/>
        <w:ind w:firstLine="567"/>
        <w:jc w:val="both"/>
        <w:rPr>
          <w:rFonts w:ascii="Arial" w:hAnsi="Arial" w:cs="Arial"/>
          <w:sz w:val="22"/>
          <w:szCs w:val="22"/>
        </w:rPr>
      </w:pPr>
    </w:p>
    <w:p w14:paraId="63BAB291" w14:textId="77777777" w:rsidR="004E40D6" w:rsidRDefault="004E40D6" w:rsidP="00A63152">
      <w:pPr>
        <w:spacing w:after="0" w:line="360" w:lineRule="auto"/>
        <w:ind w:firstLine="567"/>
        <w:jc w:val="both"/>
        <w:rPr>
          <w:rFonts w:ascii="Arial" w:hAnsi="Arial" w:cs="Arial"/>
          <w:sz w:val="22"/>
          <w:szCs w:val="22"/>
        </w:rPr>
      </w:pPr>
    </w:p>
    <w:p w14:paraId="0C70FF8E" w14:textId="77777777" w:rsidR="004E40D6" w:rsidRDefault="004E40D6" w:rsidP="00A63152">
      <w:pPr>
        <w:spacing w:after="0" w:line="360" w:lineRule="auto"/>
        <w:ind w:firstLine="567"/>
        <w:jc w:val="both"/>
        <w:rPr>
          <w:rFonts w:ascii="Arial" w:hAnsi="Arial" w:cs="Arial"/>
          <w:sz w:val="22"/>
          <w:szCs w:val="22"/>
        </w:rPr>
      </w:pPr>
    </w:p>
    <w:p w14:paraId="75A44676" w14:textId="77777777" w:rsidR="004E40D6" w:rsidRDefault="004E40D6" w:rsidP="00A63152">
      <w:pPr>
        <w:spacing w:after="0" w:line="360" w:lineRule="auto"/>
        <w:ind w:firstLine="567"/>
        <w:jc w:val="both"/>
        <w:rPr>
          <w:rFonts w:ascii="Arial" w:hAnsi="Arial" w:cs="Arial"/>
          <w:sz w:val="22"/>
          <w:szCs w:val="22"/>
        </w:rPr>
      </w:pPr>
    </w:p>
    <w:p w14:paraId="62149614" w14:textId="77777777" w:rsidR="004E40D6" w:rsidRDefault="004E40D6" w:rsidP="00A63152">
      <w:pPr>
        <w:spacing w:after="0" w:line="360" w:lineRule="auto"/>
        <w:ind w:firstLine="567"/>
        <w:jc w:val="both"/>
        <w:rPr>
          <w:rFonts w:ascii="Arial" w:hAnsi="Arial" w:cs="Arial"/>
          <w:sz w:val="22"/>
          <w:szCs w:val="22"/>
        </w:rPr>
      </w:pPr>
    </w:p>
    <w:p w14:paraId="6BAAF90D" w14:textId="77777777" w:rsidR="004E40D6" w:rsidRDefault="004E40D6" w:rsidP="00A63152">
      <w:pPr>
        <w:spacing w:after="0" w:line="360" w:lineRule="auto"/>
        <w:ind w:firstLine="567"/>
        <w:jc w:val="both"/>
        <w:rPr>
          <w:rFonts w:ascii="Arial" w:hAnsi="Arial" w:cs="Arial"/>
          <w:sz w:val="22"/>
          <w:szCs w:val="22"/>
        </w:rPr>
      </w:pPr>
    </w:p>
    <w:p w14:paraId="30F32867" w14:textId="77777777" w:rsidR="004E40D6" w:rsidRDefault="004E40D6" w:rsidP="00A63152">
      <w:pPr>
        <w:spacing w:after="0" w:line="360" w:lineRule="auto"/>
        <w:ind w:firstLine="567"/>
        <w:jc w:val="both"/>
        <w:rPr>
          <w:rFonts w:ascii="Arial" w:hAnsi="Arial" w:cs="Arial"/>
          <w:sz w:val="22"/>
          <w:szCs w:val="22"/>
        </w:rPr>
      </w:pPr>
    </w:p>
    <w:p w14:paraId="6EC5EF43" w14:textId="77777777" w:rsidR="004E40D6" w:rsidRDefault="004E40D6" w:rsidP="00A63152">
      <w:pPr>
        <w:spacing w:after="0" w:line="360" w:lineRule="auto"/>
        <w:ind w:firstLine="567"/>
        <w:jc w:val="both"/>
        <w:rPr>
          <w:rFonts w:ascii="Arial" w:hAnsi="Arial" w:cs="Arial"/>
          <w:sz w:val="22"/>
          <w:szCs w:val="22"/>
        </w:rPr>
      </w:pPr>
    </w:p>
    <w:p w14:paraId="4A22ABE1" w14:textId="77777777" w:rsidR="004E40D6" w:rsidRDefault="004E40D6" w:rsidP="00A63152">
      <w:pPr>
        <w:spacing w:after="0" w:line="360" w:lineRule="auto"/>
        <w:ind w:firstLine="567"/>
        <w:jc w:val="both"/>
        <w:rPr>
          <w:rFonts w:ascii="Arial" w:hAnsi="Arial" w:cs="Arial"/>
          <w:sz w:val="22"/>
          <w:szCs w:val="22"/>
        </w:rPr>
      </w:pPr>
    </w:p>
    <w:p w14:paraId="4935B67A" w14:textId="77777777" w:rsidR="004E40D6" w:rsidRDefault="004E40D6" w:rsidP="00A63152">
      <w:pPr>
        <w:spacing w:after="0" w:line="360" w:lineRule="auto"/>
        <w:ind w:firstLine="567"/>
        <w:jc w:val="both"/>
        <w:rPr>
          <w:rFonts w:ascii="Arial" w:hAnsi="Arial" w:cs="Arial"/>
          <w:sz w:val="22"/>
          <w:szCs w:val="22"/>
        </w:rPr>
      </w:pPr>
    </w:p>
    <w:p w14:paraId="0270C5A1" w14:textId="77777777" w:rsidR="004E40D6" w:rsidRDefault="004E40D6" w:rsidP="00A63152">
      <w:pPr>
        <w:spacing w:after="0" w:line="360" w:lineRule="auto"/>
        <w:ind w:firstLine="567"/>
        <w:jc w:val="both"/>
        <w:rPr>
          <w:rFonts w:ascii="Arial" w:hAnsi="Arial" w:cs="Arial"/>
          <w:sz w:val="22"/>
          <w:szCs w:val="22"/>
        </w:rPr>
      </w:pPr>
    </w:p>
    <w:p w14:paraId="15648EF8" w14:textId="77777777" w:rsidR="004E40D6" w:rsidRDefault="004E40D6" w:rsidP="00A63152">
      <w:pPr>
        <w:spacing w:after="0" w:line="360" w:lineRule="auto"/>
        <w:ind w:firstLine="567"/>
        <w:jc w:val="both"/>
        <w:rPr>
          <w:rFonts w:ascii="Arial" w:hAnsi="Arial" w:cs="Arial"/>
          <w:sz w:val="22"/>
          <w:szCs w:val="22"/>
        </w:rPr>
      </w:pPr>
    </w:p>
    <w:p w14:paraId="12C0203B" w14:textId="77777777" w:rsidR="00F5409B" w:rsidRDefault="00F5409B" w:rsidP="00A63152">
      <w:pPr>
        <w:spacing w:after="0" w:line="360" w:lineRule="auto"/>
        <w:ind w:firstLine="567"/>
        <w:jc w:val="both"/>
        <w:rPr>
          <w:rFonts w:ascii="Arial" w:hAnsi="Arial" w:cs="Arial"/>
          <w:sz w:val="22"/>
          <w:szCs w:val="22"/>
        </w:rPr>
      </w:pPr>
    </w:p>
    <w:p w14:paraId="1625D0BD" w14:textId="77777777" w:rsidR="00F5409B" w:rsidRDefault="00F5409B" w:rsidP="00A63152">
      <w:pPr>
        <w:spacing w:after="0" w:line="360" w:lineRule="auto"/>
        <w:ind w:firstLine="567"/>
        <w:jc w:val="both"/>
        <w:rPr>
          <w:rFonts w:ascii="Arial" w:hAnsi="Arial" w:cs="Arial"/>
          <w:sz w:val="22"/>
          <w:szCs w:val="22"/>
        </w:rPr>
      </w:pPr>
    </w:p>
    <w:p w14:paraId="6F8A20BA" w14:textId="77777777" w:rsidR="00F5409B" w:rsidRDefault="00F5409B" w:rsidP="00A63152">
      <w:pPr>
        <w:spacing w:after="0" w:line="360" w:lineRule="auto"/>
        <w:ind w:firstLine="567"/>
        <w:jc w:val="both"/>
        <w:rPr>
          <w:rFonts w:ascii="Arial" w:hAnsi="Arial" w:cs="Arial"/>
          <w:sz w:val="22"/>
          <w:szCs w:val="22"/>
        </w:rPr>
      </w:pPr>
    </w:p>
    <w:p w14:paraId="1233DF51" w14:textId="77777777" w:rsidR="00F5409B" w:rsidRDefault="00F5409B" w:rsidP="00A63152">
      <w:pPr>
        <w:spacing w:after="0" w:line="360" w:lineRule="auto"/>
        <w:ind w:firstLine="567"/>
        <w:jc w:val="both"/>
        <w:rPr>
          <w:rFonts w:ascii="Arial" w:hAnsi="Arial" w:cs="Arial"/>
          <w:sz w:val="22"/>
          <w:szCs w:val="22"/>
        </w:rPr>
      </w:pPr>
    </w:p>
    <w:p w14:paraId="4949EB07" w14:textId="77777777" w:rsidR="00F5409B" w:rsidRDefault="00F5409B" w:rsidP="00A63152">
      <w:pPr>
        <w:spacing w:after="0" w:line="360" w:lineRule="auto"/>
        <w:ind w:firstLine="567"/>
        <w:jc w:val="both"/>
        <w:rPr>
          <w:rFonts w:ascii="Arial" w:hAnsi="Arial" w:cs="Arial"/>
          <w:sz w:val="22"/>
          <w:szCs w:val="22"/>
        </w:rPr>
      </w:pPr>
    </w:p>
    <w:p w14:paraId="1F6ADE13" w14:textId="3C966273" w:rsidR="00F5409B" w:rsidRPr="00883700" w:rsidRDefault="00F5409B" w:rsidP="00883700">
      <w:pPr>
        <w:pStyle w:val="Heading1"/>
        <w:spacing w:before="120"/>
        <w:rPr>
          <w:b/>
          <w:bCs/>
          <w:sz w:val="22"/>
          <w:szCs w:val="22"/>
        </w:rPr>
      </w:pPr>
      <w:bookmarkStart w:id="28" w:name="_Toc228883254"/>
      <w:r w:rsidRPr="00883700">
        <w:rPr>
          <w:b/>
          <w:bCs/>
          <w:sz w:val="22"/>
          <w:szCs w:val="22"/>
        </w:rPr>
        <w:lastRenderedPageBreak/>
        <w:t>Chapter 4: FINDINGS / RESULTS, ANALYSIS AND DISCUSSION</w:t>
      </w:r>
      <w:bookmarkEnd w:id="28"/>
      <w:r w:rsidR="00AE04BE">
        <w:rPr>
          <w:b/>
          <w:bCs/>
          <w:sz w:val="22"/>
          <w:szCs w:val="22"/>
        </w:rPr>
        <w:t xml:space="preserve"> </w:t>
      </w:r>
      <w:r w:rsidR="00AE04BE" w:rsidRPr="00AE04BE">
        <w:rPr>
          <w:b/>
          <w:bCs/>
          <w:sz w:val="22"/>
          <w:szCs w:val="22"/>
        </w:rPr>
        <w:t>(5919 words)</w:t>
      </w:r>
    </w:p>
    <w:p w14:paraId="0CC69187" w14:textId="7D4BD44F" w:rsidR="00D10D42" w:rsidRPr="00883700" w:rsidRDefault="00240EC9" w:rsidP="00883700">
      <w:pPr>
        <w:pStyle w:val="Heading2"/>
        <w:spacing w:before="120"/>
        <w:rPr>
          <w:b/>
          <w:bCs/>
          <w:sz w:val="22"/>
          <w:szCs w:val="22"/>
        </w:rPr>
      </w:pPr>
      <w:bookmarkStart w:id="29" w:name="_Toc228883255"/>
      <w:r w:rsidRPr="00883700">
        <w:rPr>
          <w:b/>
          <w:bCs/>
          <w:sz w:val="22"/>
          <w:szCs w:val="22"/>
        </w:rPr>
        <w:t>4.1 Introduction</w:t>
      </w:r>
      <w:bookmarkEnd w:id="29"/>
    </w:p>
    <w:p w14:paraId="0E45B792" w14:textId="5E50028F" w:rsidR="00883700" w:rsidRPr="00883700" w:rsidRDefault="00883700" w:rsidP="00883700">
      <w:pPr>
        <w:spacing w:after="0" w:line="360" w:lineRule="auto"/>
        <w:ind w:firstLine="567"/>
        <w:jc w:val="both"/>
        <w:rPr>
          <w:rFonts w:ascii="Arial" w:hAnsi="Arial" w:cs="Arial"/>
          <w:sz w:val="22"/>
          <w:szCs w:val="22"/>
        </w:rPr>
      </w:pPr>
      <w:r w:rsidRPr="00883700">
        <w:rPr>
          <w:rFonts w:ascii="Arial" w:hAnsi="Arial" w:cs="Arial"/>
          <w:sz w:val="22"/>
          <w:szCs w:val="22"/>
        </w:rPr>
        <w:t xml:space="preserve">The chapter focuses </w:t>
      </w:r>
      <w:r>
        <w:rPr>
          <w:rFonts w:ascii="Arial" w:hAnsi="Arial" w:cs="Arial"/>
          <w:sz w:val="22"/>
          <w:szCs w:val="22"/>
        </w:rPr>
        <w:t>on</w:t>
      </w:r>
      <w:r w:rsidRPr="00883700">
        <w:rPr>
          <w:rFonts w:ascii="Arial" w:hAnsi="Arial" w:cs="Arial"/>
          <w:sz w:val="22"/>
          <w:szCs w:val="22"/>
        </w:rPr>
        <w:t xml:space="preserve"> </w:t>
      </w:r>
      <w:r>
        <w:rPr>
          <w:rFonts w:ascii="Arial" w:hAnsi="Arial" w:cs="Arial"/>
          <w:sz w:val="22"/>
          <w:szCs w:val="22"/>
        </w:rPr>
        <w:t>the methods by</w:t>
      </w:r>
      <w:r w:rsidRPr="00883700">
        <w:rPr>
          <w:rFonts w:ascii="Arial" w:hAnsi="Arial" w:cs="Arial"/>
          <w:sz w:val="22"/>
          <w:szCs w:val="22"/>
        </w:rPr>
        <w:t xml:space="preserve"> which </w:t>
      </w:r>
      <w:r>
        <w:rPr>
          <w:rFonts w:ascii="Arial" w:hAnsi="Arial" w:cs="Arial"/>
          <w:sz w:val="22"/>
          <w:szCs w:val="22"/>
        </w:rPr>
        <w:t>UK automotive manufacturers adapted their inventories, cost structures, and operational strategies in response to supply chain disruptions</w:t>
      </w:r>
      <w:r w:rsidRPr="00883700">
        <w:rPr>
          <w:rFonts w:ascii="Arial" w:hAnsi="Arial" w:cs="Arial"/>
          <w:sz w:val="22"/>
          <w:szCs w:val="22"/>
        </w:rPr>
        <w:t xml:space="preserve">. Responding to RQ1, it </w:t>
      </w:r>
      <w:r>
        <w:rPr>
          <w:rFonts w:ascii="Arial" w:hAnsi="Arial" w:cs="Arial"/>
          <w:sz w:val="22"/>
          <w:szCs w:val="22"/>
        </w:rPr>
        <w:t>examines the transition from JIT to hybrid JIT-JIC, as evidenced</w:t>
      </w:r>
      <w:r w:rsidRPr="00883700">
        <w:rPr>
          <w:rFonts w:ascii="Arial" w:hAnsi="Arial" w:cs="Arial"/>
          <w:sz w:val="22"/>
          <w:szCs w:val="22"/>
        </w:rPr>
        <w:t xml:space="preserve"> by inventory increases of up to 17.9% and differences in buffering intensity at the business level. The second research question </w:t>
      </w:r>
      <w:r>
        <w:rPr>
          <w:rFonts w:ascii="Arial" w:hAnsi="Arial" w:cs="Arial"/>
          <w:sz w:val="22"/>
          <w:szCs w:val="22"/>
        </w:rPr>
        <w:t>examines the effects on finances and operations and finds that import prices may rise (by as much as £13.7m) and shipping times may lengthen (by as much as 42.6 days), with different companies bearing different costs</w:t>
      </w:r>
      <w:r w:rsidRPr="00883700">
        <w:rPr>
          <w:rFonts w:ascii="Arial" w:hAnsi="Arial" w:cs="Arial"/>
          <w:sz w:val="22"/>
          <w:szCs w:val="22"/>
        </w:rPr>
        <w:t xml:space="preserve">. In respect of RQ3, it evaluates the impact of digital capacity on resilience, finding that </w:t>
      </w:r>
      <w:r>
        <w:rPr>
          <w:rFonts w:ascii="Arial" w:hAnsi="Arial" w:cs="Arial"/>
          <w:sz w:val="22"/>
          <w:szCs w:val="22"/>
        </w:rPr>
        <w:t>higher resilience outcomes (0.40-0.65) are associated with higher DCI scores (0.12-0.44), contingent on</w:t>
      </w:r>
      <w:r w:rsidRPr="00883700">
        <w:rPr>
          <w:rFonts w:ascii="Arial" w:hAnsi="Arial" w:cs="Arial"/>
          <w:sz w:val="22"/>
          <w:szCs w:val="22"/>
        </w:rPr>
        <w:t xml:space="preserve"> efficient cost and inventory management.</w:t>
      </w:r>
    </w:p>
    <w:p w14:paraId="2F63FB60" w14:textId="23A00720" w:rsidR="00883700" w:rsidRPr="00883700" w:rsidRDefault="00883700" w:rsidP="00883700">
      <w:pPr>
        <w:spacing w:after="0" w:line="360" w:lineRule="auto"/>
        <w:ind w:firstLine="567"/>
        <w:jc w:val="both"/>
        <w:rPr>
          <w:rFonts w:ascii="Arial" w:hAnsi="Arial" w:cs="Arial"/>
          <w:color w:val="EE0000"/>
          <w:sz w:val="22"/>
          <w:szCs w:val="22"/>
        </w:rPr>
      </w:pPr>
      <w:r w:rsidRPr="00883700">
        <w:rPr>
          <w:rFonts w:ascii="Arial" w:hAnsi="Arial" w:cs="Arial"/>
          <w:sz w:val="22"/>
          <w:szCs w:val="22"/>
        </w:rPr>
        <w:t>Interactions among inventory, cost absorption, and digitally enhanced operational capabilities, rather than buffering alone, are what produce resilience, as this chapter reflects</w:t>
      </w:r>
      <w:r w:rsidRPr="00883700">
        <w:rPr>
          <w:rFonts w:ascii="Arial" w:hAnsi="Arial" w:cs="Arial"/>
          <w:color w:val="EE0000"/>
          <w:sz w:val="22"/>
          <w:szCs w:val="22"/>
        </w:rPr>
        <w:t>.</w:t>
      </w:r>
    </w:p>
    <w:p w14:paraId="1376DB9E" w14:textId="77777777" w:rsidR="007967A2" w:rsidRDefault="007967A2" w:rsidP="00A92367">
      <w:pPr>
        <w:spacing w:after="0" w:line="360" w:lineRule="auto"/>
        <w:jc w:val="both"/>
        <w:rPr>
          <w:rFonts w:ascii="Arial" w:hAnsi="Arial" w:cs="Arial"/>
          <w:sz w:val="22"/>
          <w:szCs w:val="22"/>
        </w:rPr>
      </w:pPr>
    </w:p>
    <w:p w14:paraId="23EA2F6A" w14:textId="77777777" w:rsidR="00685F2F" w:rsidRDefault="00685F2F" w:rsidP="00A92367">
      <w:pPr>
        <w:spacing w:after="0" w:line="360" w:lineRule="auto"/>
        <w:jc w:val="both"/>
        <w:rPr>
          <w:rFonts w:ascii="Arial" w:hAnsi="Arial" w:cs="Arial"/>
          <w:sz w:val="22"/>
          <w:szCs w:val="22"/>
        </w:rPr>
      </w:pPr>
    </w:p>
    <w:p w14:paraId="5E275BFB" w14:textId="77777777" w:rsidR="00685F2F" w:rsidRDefault="00685F2F" w:rsidP="00A92367">
      <w:pPr>
        <w:spacing w:after="0" w:line="360" w:lineRule="auto"/>
        <w:jc w:val="both"/>
        <w:rPr>
          <w:rFonts w:ascii="Arial" w:hAnsi="Arial" w:cs="Arial"/>
          <w:sz w:val="22"/>
          <w:szCs w:val="22"/>
        </w:rPr>
      </w:pPr>
    </w:p>
    <w:p w14:paraId="5C52ECA2" w14:textId="77777777" w:rsidR="00685F2F" w:rsidRDefault="00685F2F" w:rsidP="00A92367">
      <w:pPr>
        <w:spacing w:after="0" w:line="360" w:lineRule="auto"/>
        <w:jc w:val="both"/>
        <w:rPr>
          <w:rFonts w:ascii="Arial" w:hAnsi="Arial" w:cs="Arial"/>
          <w:sz w:val="22"/>
          <w:szCs w:val="22"/>
        </w:rPr>
      </w:pPr>
    </w:p>
    <w:p w14:paraId="43F7A142" w14:textId="77777777" w:rsidR="00685F2F" w:rsidRDefault="00685F2F" w:rsidP="00A92367">
      <w:pPr>
        <w:spacing w:after="0" w:line="360" w:lineRule="auto"/>
        <w:jc w:val="both"/>
        <w:rPr>
          <w:rFonts w:ascii="Arial" w:hAnsi="Arial" w:cs="Arial"/>
          <w:sz w:val="22"/>
          <w:szCs w:val="22"/>
        </w:rPr>
      </w:pPr>
    </w:p>
    <w:p w14:paraId="1F404730" w14:textId="77777777" w:rsidR="00685F2F" w:rsidRDefault="00685F2F" w:rsidP="00A92367">
      <w:pPr>
        <w:spacing w:after="0" w:line="360" w:lineRule="auto"/>
        <w:jc w:val="both"/>
        <w:rPr>
          <w:rFonts w:ascii="Arial" w:hAnsi="Arial" w:cs="Arial"/>
          <w:sz w:val="22"/>
          <w:szCs w:val="22"/>
        </w:rPr>
      </w:pPr>
    </w:p>
    <w:p w14:paraId="71B03111" w14:textId="77777777" w:rsidR="003107B4" w:rsidRDefault="003107B4" w:rsidP="00A92367">
      <w:pPr>
        <w:spacing w:after="0" w:line="360" w:lineRule="auto"/>
        <w:jc w:val="both"/>
        <w:rPr>
          <w:rFonts w:ascii="Arial" w:hAnsi="Arial" w:cs="Arial"/>
          <w:sz w:val="22"/>
          <w:szCs w:val="22"/>
        </w:rPr>
      </w:pPr>
    </w:p>
    <w:p w14:paraId="24E191DA" w14:textId="77777777" w:rsidR="003107B4" w:rsidRDefault="003107B4" w:rsidP="00A92367">
      <w:pPr>
        <w:spacing w:after="0" w:line="360" w:lineRule="auto"/>
        <w:jc w:val="both"/>
        <w:rPr>
          <w:rFonts w:ascii="Arial" w:hAnsi="Arial" w:cs="Arial"/>
          <w:sz w:val="22"/>
          <w:szCs w:val="22"/>
        </w:rPr>
      </w:pPr>
    </w:p>
    <w:p w14:paraId="66300F74" w14:textId="77777777" w:rsidR="003107B4" w:rsidRDefault="003107B4" w:rsidP="00A92367">
      <w:pPr>
        <w:spacing w:after="0" w:line="360" w:lineRule="auto"/>
        <w:jc w:val="both"/>
        <w:rPr>
          <w:rFonts w:ascii="Arial" w:hAnsi="Arial" w:cs="Arial"/>
          <w:sz w:val="22"/>
          <w:szCs w:val="22"/>
        </w:rPr>
      </w:pPr>
    </w:p>
    <w:p w14:paraId="59CFE414" w14:textId="77777777" w:rsidR="003107B4" w:rsidRDefault="003107B4" w:rsidP="00A92367">
      <w:pPr>
        <w:spacing w:after="0" w:line="360" w:lineRule="auto"/>
        <w:jc w:val="both"/>
        <w:rPr>
          <w:rFonts w:ascii="Arial" w:hAnsi="Arial" w:cs="Arial"/>
          <w:sz w:val="22"/>
          <w:szCs w:val="22"/>
        </w:rPr>
      </w:pPr>
    </w:p>
    <w:p w14:paraId="67909FB8" w14:textId="77777777" w:rsidR="003107B4" w:rsidRDefault="003107B4" w:rsidP="00A92367">
      <w:pPr>
        <w:spacing w:after="0" w:line="360" w:lineRule="auto"/>
        <w:jc w:val="both"/>
        <w:rPr>
          <w:rFonts w:ascii="Arial" w:hAnsi="Arial" w:cs="Arial"/>
          <w:sz w:val="22"/>
          <w:szCs w:val="22"/>
        </w:rPr>
      </w:pPr>
    </w:p>
    <w:p w14:paraId="3046D8D1" w14:textId="77777777" w:rsidR="003107B4" w:rsidRDefault="003107B4" w:rsidP="00A92367">
      <w:pPr>
        <w:spacing w:after="0" w:line="360" w:lineRule="auto"/>
        <w:jc w:val="both"/>
        <w:rPr>
          <w:rFonts w:ascii="Arial" w:hAnsi="Arial" w:cs="Arial"/>
          <w:sz w:val="22"/>
          <w:szCs w:val="22"/>
        </w:rPr>
      </w:pPr>
    </w:p>
    <w:p w14:paraId="62AD0A88" w14:textId="77777777" w:rsidR="003107B4" w:rsidRDefault="003107B4" w:rsidP="00A92367">
      <w:pPr>
        <w:spacing w:after="0" w:line="360" w:lineRule="auto"/>
        <w:jc w:val="both"/>
        <w:rPr>
          <w:rFonts w:ascii="Arial" w:hAnsi="Arial" w:cs="Arial"/>
          <w:sz w:val="22"/>
          <w:szCs w:val="22"/>
        </w:rPr>
      </w:pPr>
    </w:p>
    <w:p w14:paraId="19A19817" w14:textId="77777777" w:rsidR="003107B4" w:rsidRDefault="003107B4" w:rsidP="00A92367">
      <w:pPr>
        <w:spacing w:after="0" w:line="360" w:lineRule="auto"/>
        <w:jc w:val="both"/>
        <w:rPr>
          <w:rFonts w:ascii="Arial" w:hAnsi="Arial" w:cs="Arial"/>
          <w:sz w:val="22"/>
          <w:szCs w:val="22"/>
        </w:rPr>
      </w:pPr>
    </w:p>
    <w:p w14:paraId="2BF97688" w14:textId="77777777" w:rsidR="003107B4" w:rsidRDefault="003107B4" w:rsidP="00A92367">
      <w:pPr>
        <w:spacing w:after="0" w:line="360" w:lineRule="auto"/>
        <w:jc w:val="both"/>
        <w:rPr>
          <w:rFonts w:ascii="Arial" w:hAnsi="Arial" w:cs="Arial"/>
          <w:sz w:val="22"/>
          <w:szCs w:val="22"/>
        </w:rPr>
      </w:pPr>
    </w:p>
    <w:p w14:paraId="7EDD555D" w14:textId="77777777" w:rsidR="00240EC9" w:rsidRDefault="00240EC9" w:rsidP="00A92367">
      <w:pPr>
        <w:spacing w:after="0" w:line="360" w:lineRule="auto"/>
        <w:jc w:val="both"/>
        <w:rPr>
          <w:rFonts w:ascii="Arial" w:hAnsi="Arial" w:cs="Arial"/>
          <w:sz w:val="22"/>
          <w:szCs w:val="22"/>
        </w:rPr>
      </w:pPr>
    </w:p>
    <w:p w14:paraId="6096FBE5" w14:textId="77777777" w:rsidR="00240EC9" w:rsidRDefault="00240EC9" w:rsidP="00A92367">
      <w:pPr>
        <w:spacing w:after="0" w:line="360" w:lineRule="auto"/>
        <w:jc w:val="both"/>
        <w:rPr>
          <w:rFonts w:ascii="Arial" w:hAnsi="Arial" w:cs="Arial"/>
          <w:sz w:val="22"/>
          <w:szCs w:val="22"/>
        </w:rPr>
      </w:pPr>
    </w:p>
    <w:p w14:paraId="12E7A2FB" w14:textId="77777777" w:rsidR="00240EC9" w:rsidRDefault="00240EC9" w:rsidP="00A92367">
      <w:pPr>
        <w:spacing w:after="0" w:line="360" w:lineRule="auto"/>
        <w:jc w:val="both"/>
        <w:rPr>
          <w:rFonts w:ascii="Arial" w:hAnsi="Arial" w:cs="Arial"/>
          <w:sz w:val="22"/>
          <w:szCs w:val="22"/>
        </w:rPr>
      </w:pPr>
    </w:p>
    <w:p w14:paraId="7B31BC49" w14:textId="77777777" w:rsidR="00240EC9" w:rsidRDefault="00240EC9" w:rsidP="00A92367">
      <w:pPr>
        <w:spacing w:after="0" w:line="360" w:lineRule="auto"/>
        <w:jc w:val="both"/>
        <w:rPr>
          <w:rFonts w:ascii="Arial" w:hAnsi="Arial" w:cs="Arial"/>
          <w:sz w:val="22"/>
          <w:szCs w:val="22"/>
        </w:rPr>
      </w:pPr>
    </w:p>
    <w:p w14:paraId="16F7493F" w14:textId="77777777" w:rsidR="009D668E" w:rsidRDefault="009D668E" w:rsidP="00A92367">
      <w:pPr>
        <w:spacing w:after="0" w:line="360" w:lineRule="auto"/>
        <w:jc w:val="both"/>
        <w:rPr>
          <w:rFonts w:ascii="Arial" w:hAnsi="Arial" w:cs="Arial"/>
          <w:sz w:val="22"/>
          <w:szCs w:val="22"/>
        </w:rPr>
      </w:pPr>
    </w:p>
    <w:p w14:paraId="35BDDDAE" w14:textId="77777777" w:rsidR="00240EC9" w:rsidRDefault="00240EC9" w:rsidP="00A92367">
      <w:pPr>
        <w:spacing w:after="0" w:line="360" w:lineRule="auto"/>
        <w:jc w:val="both"/>
        <w:rPr>
          <w:rFonts w:ascii="Arial" w:hAnsi="Arial" w:cs="Arial"/>
          <w:sz w:val="22"/>
          <w:szCs w:val="22"/>
        </w:rPr>
      </w:pPr>
    </w:p>
    <w:p w14:paraId="247967EE" w14:textId="1B1B6781" w:rsidR="00170556" w:rsidRPr="00CF0723" w:rsidRDefault="00170556" w:rsidP="00CF0723">
      <w:pPr>
        <w:pStyle w:val="Heading2"/>
        <w:spacing w:before="120"/>
        <w:rPr>
          <w:b/>
          <w:bCs/>
          <w:sz w:val="22"/>
          <w:szCs w:val="22"/>
        </w:rPr>
      </w:pPr>
      <w:bookmarkStart w:id="30" w:name="_Toc228883256"/>
      <w:r w:rsidRPr="00CF0723">
        <w:rPr>
          <w:b/>
          <w:bCs/>
          <w:sz w:val="22"/>
          <w:szCs w:val="22"/>
        </w:rPr>
        <w:lastRenderedPageBreak/>
        <w:t>4.2 Empirical Analysis of Supply Chain Adaptation</w:t>
      </w:r>
      <w:bookmarkEnd w:id="30"/>
    </w:p>
    <w:p w14:paraId="14E93E74" w14:textId="754271F6" w:rsidR="00123512" w:rsidRPr="00CF0723" w:rsidRDefault="00CF0723" w:rsidP="00CF0723">
      <w:pPr>
        <w:spacing w:after="0" w:line="360" w:lineRule="auto"/>
        <w:ind w:firstLine="567"/>
        <w:jc w:val="both"/>
        <w:rPr>
          <w:rFonts w:ascii="Arial" w:hAnsi="Arial" w:cs="Arial"/>
          <w:sz w:val="22"/>
          <w:szCs w:val="22"/>
        </w:rPr>
      </w:pPr>
      <w:r w:rsidRPr="00CF0723">
        <w:rPr>
          <w:rFonts w:ascii="Arial" w:hAnsi="Arial" w:cs="Arial"/>
          <w:sz w:val="22"/>
          <w:szCs w:val="22"/>
        </w:rPr>
        <w:t xml:space="preserve">To analyse how businesses adjusted their supply chain approaches in the face of disruption, Section 4.2 </w:t>
      </w:r>
      <w:r w:rsidR="006C0BA1">
        <w:rPr>
          <w:rFonts w:ascii="Arial" w:hAnsi="Arial" w:cs="Arial"/>
          <w:sz w:val="22"/>
          <w:szCs w:val="22"/>
        </w:rPr>
        <w:t xml:space="preserve">presents empirical data categorised according to the </w:t>
      </w:r>
      <w:r w:rsidRPr="00CF0723">
        <w:rPr>
          <w:rFonts w:ascii="Arial" w:hAnsi="Arial" w:cs="Arial"/>
          <w:sz w:val="22"/>
          <w:szCs w:val="22"/>
        </w:rPr>
        <w:t>research questions.</w:t>
      </w:r>
    </w:p>
    <w:p w14:paraId="7F35128F" w14:textId="11DB1A54" w:rsidR="00240EC9" w:rsidRPr="00CF0723" w:rsidRDefault="00240EC9" w:rsidP="00CF0723">
      <w:pPr>
        <w:pStyle w:val="Heading3"/>
        <w:rPr>
          <w:b/>
          <w:bCs/>
          <w:sz w:val="22"/>
          <w:szCs w:val="22"/>
        </w:rPr>
      </w:pPr>
      <w:bookmarkStart w:id="31" w:name="_Toc228883257"/>
      <w:r w:rsidRPr="00CF0723">
        <w:rPr>
          <w:b/>
          <w:bCs/>
          <w:sz w:val="22"/>
          <w:szCs w:val="22"/>
        </w:rPr>
        <w:t>4.2.</w:t>
      </w:r>
      <w:r w:rsidR="00FB49B9" w:rsidRPr="00CF0723">
        <w:rPr>
          <w:b/>
          <w:bCs/>
          <w:sz w:val="22"/>
          <w:szCs w:val="22"/>
        </w:rPr>
        <w:t>1</w:t>
      </w:r>
      <w:r w:rsidRPr="00CF0723">
        <w:rPr>
          <w:b/>
          <w:bCs/>
          <w:sz w:val="22"/>
          <w:szCs w:val="22"/>
        </w:rPr>
        <w:t xml:space="preserve"> </w:t>
      </w:r>
      <w:r w:rsidR="00E32392" w:rsidRPr="00CF0723">
        <w:rPr>
          <w:b/>
          <w:bCs/>
          <w:sz w:val="22"/>
          <w:szCs w:val="22"/>
        </w:rPr>
        <w:t>RQ1: How did firms shift from JIT toward JIC?</w:t>
      </w:r>
      <w:bookmarkEnd w:id="31"/>
    </w:p>
    <w:p w14:paraId="6A6AE15C" w14:textId="1D8F82BA" w:rsidR="00F22CAF" w:rsidRPr="00F22CAF" w:rsidRDefault="00F22CAF" w:rsidP="00F22CAF">
      <w:pPr>
        <w:spacing w:after="0" w:line="360" w:lineRule="auto"/>
        <w:ind w:firstLine="567"/>
        <w:jc w:val="both"/>
        <w:rPr>
          <w:rFonts w:ascii="Arial" w:hAnsi="Arial" w:cs="Arial"/>
          <w:sz w:val="22"/>
          <w:szCs w:val="22"/>
        </w:rPr>
      </w:pPr>
      <w:r w:rsidRPr="00F22CAF">
        <w:rPr>
          <w:rFonts w:ascii="Arial" w:hAnsi="Arial" w:cs="Arial"/>
          <w:sz w:val="22"/>
          <w:szCs w:val="22"/>
        </w:rPr>
        <w:t>Building on the methodological framework established in Chapter 3, the analysis of inventory behaviour reveals that the transition from JIT to JIC is not a discrete strategic switch but a gradual and uneven recalibration. Rather than replacing lean systems, firms embed buffering selectively in response to sustained disruption.</w:t>
      </w:r>
    </w:p>
    <w:p w14:paraId="41D78425" w14:textId="66340FF9" w:rsidR="00F22CAF" w:rsidRPr="00F22CAF" w:rsidRDefault="00F22CAF" w:rsidP="00F22CAF">
      <w:pPr>
        <w:spacing w:after="0" w:line="360" w:lineRule="auto"/>
        <w:ind w:firstLine="567"/>
        <w:jc w:val="both"/>
        <w:rPr>
          <w:rFonts w:ascii="Arial" w:hAnsi="Arial" w:cs="Arial"/>
          <w:sz w:val="22"/>
          <w:szCs w:val="22"/>
        </w:rPr>
      </w:pPr>
      <w:r w:rsidRPr="00F22CAF">
        <w:rPr>
          <w:rFonts w:ascii="Arial" w:hAnsi="Arial" w:cs="Arial"/>
          <w:sz w:val="22"/>
          <w:szCs w:val="22"/>
        </w:rPr>
        <w:t>The findings indicate that inventory coverage increased across all sampled firms between 2019 and 2024; however, the significance lies not in the rise itself, but in its persistence and distribution. For instance, firms such as Lotus increased from 1.99 to 6.24 days, while Nissan reached 57.67 days, and Aston Martin rose from 14.59 to 21.21 days. This suggests that buffering is not random accumulation but a deliberate response to uncertainty. Crucially, firms with initially lower inventory levels exhibit proportionally larger increases, implying that vulnerability, rather than size, drives adaptation.</w:t>
      </w:r>
    </w:p>
    <w:p w14:paraId="7407CC80" w14:textId="78999004" w:rsidR="00F22CAF" w:rsidRPr="00F22CAF" w:rsidRDefault="00F22CAF" w:rsidP="00F22CAF">
      <w:pPr>
        <w:spacing w:after="0" w:line="360" w:lineRule="auto"/>
        <w:ind w:firstLine="567"/>
        <w:jc w:val="both"/>
        <w:rPr>
          <w:rFonts w:ascii="Arial" w:hAnsi="Arial" w:cs="Arial"/>
          <w:sz w:val="22"/>
          <w:szCs w:val="22"/>
        </w:rPr>
      </w:pPr>
      <w:r w:rsidRPr="00F22CAF">
        <w:rPr>
          <w:rFonts w:ascii="Arial" w:hAnsi="Arial" w:cs="Arial"/>
          <w:sz w:val="22"/>
          <w:szCs w:val="22"/>
        </w:rPr>
        <w:t>However, this pattern complicates the assumption of a uniform shift toward JIC. Instead, heterogeneity indicates a trade-off between efficiency and resilience, where luxury manufacturers sustain structurally higher buffers, while volume producers adjust more cautiously. This supports the argument that JIT discipline is not abandoned but modified through hybrid strategies (Ivanov and Dolgui, 2021; Belhadi et al., 2021).</w:t>
      </w:r>
    </w:p>
    <w:p w14:paraId="4C452EB0" w14:textId="4A7E48D6" w:rsidR="00F22CAF" w:rsidRPr="00F22CAF" w:rsidRDefault="00F22CAF" w:rsidP="00F22CAF">
      <w:pPr>
        <w:spacing w:after="0" w:line="360" w:lineRule="auto"/>
        <w:ind w:firstLine="567"/>
        <w:jc w:val="both"/>
        <w:rPr>
          <w:rFonts w:ascii="Arial" w:hAnsi="Arial" w:cs="Arial"/>
          <w:sz w:val="22"/>
          <w:szCs w:val="22"/>
        </w:rPr>
      </w:pPr>
      <w:r w:rsidRPr="00F22CAF">
        <w:rPr>
          <w:rFonts w:ascii="Arial" w:hAnsi="Arial" w:cs="Arial"/>
          <w:sz w:val="22"/>
          <w:szCs w:val="22"/>
        </w:rPr>
        <w:t>Furthermore, temporal clustering of changes during 2020–2023 suggests that disruptions act as cumulative triggers rather than isolated shocks. Consequently, buffering reflects adaptive learning rather than short-term reaction (Ivanov, 2022). Moreover, firms with lower starting inventory levels increased buffering the most, a pattern further examined through Table 4.1 and Figure 4.</w:t>
      </w:r>
      <w:r w:rsidR="005B6997">
        <w:rPr>
          <w:rFonts w:ascii="Arial" w:hAnsi="Arial" w:cs="Arial"/>
          <w:sz w:val="22"/>
          <w:szCs w:val="22"/>
        </w:rPr>
        <w:t>1</w:t>
      </w:r>
      <w:r w:rsidRPr="00F22CAF">
        <w:rPr>
          <w:rFonts w:ascii="Arial" w:hAnsi="Arial" w:cs="Arial"/>
          <w:sz w:val="22"/>
          <w:szCs w:val="22"/>
        </w:rPr>
        <w:t>, which assess whether inventory expansion is accompanied by logistics adaptation, particularly route diversification during the Red Sea disruption.</w:t>
      </w:r>
    </w:p>
    <w:p w14:paraId="36F6D8B0" w14:textId="7219EF71" w:rsidR="00A21063" w:rsidRPr="00F22CAF" w:rsidRDefault="00F22CAF" w:rsidP="00F22CAF">
      <w:pPr>
        <w:spacing w:after="0" w:line="360" w:lineRule="auto"/>
        <w:ind w:firstLine="567"/>
        <w:jc w:val="both"/>
        <w:rPr>
          <w:rFonts w:ascii="Arial" w:hAnsi="Arial" w:cs="Arial"/>
          <w:sz w:val="22"/>
          <w:szCs w:val="22"/>
        </w:rPr>
      </w:pPr>
      <w:r w:rsidRPr="00F22CAF">
        <w:rPr>
          <w:rFonts w:ascii="Arial" w:hAnsi="Arial" w:cs="Arial"/>
          <w:sz w:val="22"/>
          <w:szCs w:val="22"/>
        </w:rPr>
        <w:t>This variation directs the analysis toward operational responses, where route diversification and disruption exposure are examined in the following section.</w:t>
      </w:r>
    </w:p>
    <w:p w14:paraId="2DDEC48E" w14:textId="10CFB722" w:rsidR="009E0454" w:rsidRPr="00CF0723" w:rsidRDefault="009E0454" w:rsidP="00CF0723">
      <w:pPr>
        <w:pStyle w:val="Heading3"/>
        <w:spacing w:before="120"/>
        <w:rPr>
          <w:b/>
          <w:bCs/>
          <w:sz w:val="22"/>
          <w:szCs w:val="22"/>
        </w:rPr>
      </w:pPr>
      <w:bookmarkStart w:id="32" w:name="_Toc228883258"/>
      <w:r w:rsidRPr="00CF0723">
        <w:rPr>
          <w:b/>
          <w:bCs/>
          <w:sz w:val="22"/>
          <w:szCs w:val="22"/>
        </w:rPr>
        <w:t>4.2.2</w:t>
      </w:r>
      <w:r w:rsidR="00C920D2" w:rsidRPr="00CF0723">
        <w:rPr>
          <w:b/>
          <w:bCs/>
          <w:sz w:val="22"/>
          <w:szCs w:val="22"/>
        </w:rPr>
        <w:t xml:space="preserve">. </w:t>
      </w:r>
      <w:r w:rsidRPr="00CF0723">
        <w:rPr>
          <w:b/>
          <w:bCs/>
          <w:sz w:val="22"/>
          <w:szCs w:val="22"/>
        </w:rPr>
        <w:t xml:space="preserve"> Route Diversification as Behavioural Evidence of Strategic JIC Adaptation</w:t>
      </w:r>
      <w:bookmarkEnd w:id="32"/>
    </w:p>
    <w:p w14:paraId="7E865312" w14:textId="0E9A9159" w:rsidR="00DB1E88" w:rsidRDefault="00DB1E88" w:rsidP="00CF0723">
      <w:pPr>
        <w:spacing w:after="0" w:line="360" w:lineRule="auto"/>
        <w:ind w:firstLine="567"/>
        <w:jc w:val="both"/>
        <w:rPr>
          <w:rFonts w:ascii="Arial" w:hAnsi="Arial" w:cs="Arial"/>
          <w:sz w:val="22"/>
          <w:szCs w:val="22"/>
        </w:rPr>
      </w:pPr>
      <w:r w:rsidRPr="00DB1E88">
        <w:rPr>
          <w:rFonts w:ascii="Arial" w:hAnsi="Arial" w:cs="Arial"/>
          <w:sz w:val="22"/>
          <w:szCs w:val="22"/>
        </w:rPr>
        <w:t>The results suggest inventory buffering is the structural signal of hybrid JIT-JIC adaption. Figure 4.</w:t>
      </w:r>
      <w:r w:rsidR="00E56DFD">
        <w:rPr>
          <w:rFonts w:ascii="Arial" w:hAnsi="Arial" w:cs="Arial"/>
          <w:sz w:val="22"/>
          <w:szCs w:val="22"/>
        </w:rPr>
        <w:t>1</w:t>
      </w:r>
      <w:r w:rsidRPr="00DB1E88">
        <w:rPr>
          <w:rFonts w:ascii="Arial" w:hAnsi="Arial" w:cs="Arial"/>
          <w:sz w:val="22"/>
          <w:szCs w:val="22"/>
        </w:rPr>
        <w:t xml:space="preserve"> and Table 4.1 show that logistics redesign during the Red Sea blockage caused a behavioural resilience response. This is analytically significant since it extends just-in-case adaptation beyond inventory stockholding and suggests supply chain flow-dependent routing selections for JIC. Route diversification seems to have been a deliberate resilience strategy </w:t>
      </w:r>
      <w:r w:rsidRPr="00DB1E88">
        <w:rPr>
          <w:rFonts w:ascii="Arial" w:hAnsi="Arial" w:cs="Arial"/>
          <w:sz w:val="22"/>
          <w:szCs w:val="22"/>
        </w:rPr>
        <w:lastRenderedPageBreak/>
        <w:t xml:space="preserve">rather than </w:t>
      </w:r>
      <w:r>
        <w:rPr>
          <w:rFonts w:ascii="Arial" w:hAnsi="Arial" w:cs="Arial"/>
          <w:sz w:val="22"/>
          <w:szCs w:val="22"/>
        </w:rPr>
        <w:t>a reactive response to operational disruption, supporting dynamic capabilities views that prioritise reconfiguration over</w:t>
      </w:r>
      <w:r w:rsidRPr="00DB1E88">
        <w:rPr>
          <w:rFonts w:ascii="Arial" w:hAnsi="Arial" w:cs="Arial"/>
          <w:sz w:val="22"/>
          <w:szCs w:val="22"/>
        </w:rPr>
        <w:t xml:space="preserve"> static redundancy.</w:t>
      </w:r>
    </w:p>
    <w:p w14:paraId="73907825" w14:textId="77777777" w:rsidR="00204B98" w:rsidRPr="00204B98" w:rsidRDefault="00204B98" w:rsidP="00CF0723">
      <w:pPr>
        <w:spacing w:after="0" w:line="360" w:lineRule="auto"/>
        <w:ind w:firstLine="567"/>
        <w:jc w:val="both"/>
        <w:rPr>
          <w:rFonts w:ascii="Arial" w:hAnsi="Arial" w:cs="Arial"/>
          <w:sz w:val="16"/>
          <w:szCs w:val="16"/>
        </w:rPr>
      </w:pPr>
    </w:p>
    <w:p w14:paraId="47B26867" w14:textId="3F4A3903" w:rsidR="00441E3C" w:rsidRPr="008A31BD" w:rsidRDefault="008A31BD" w:rsidP="008A31BD">
      <w:pPr>
        <w:spacing w:after="0" w:line="360" w:lineRule="auto"/>
        <w:ind w:firstLine="567"/>
        <w:jc w:val="center"/>
        <w:rPr>
          <w:rFonts w:ascii="Arial" w:hAnsi="Arial" w:cs="Arial"/>
          <w:sz w:val="20"/>
          <w:szCs w:val="20"/>
        </w:rPr>
      </w:pPr>
      <w:r w:rsidRPr="008A31BD">
        <w:rPr>
          <w:rFonts w:ascii="Arial" w:hAnsi="Arial" w:cs="Arial"/>
          <w:sz w:val="20"/>
          <w:szCs w:val="20"/>
        </w:rPr>
        <w:t>Figure 4.</w:t>
      </w:r>
      <w:r w:rsidR="00E56DFD">
        <w:rPr>
          <w:rFonts w:ascii="Arial" w:hAnsi="Arial" w:cs="Arial"/>
          <w:sz w:val="20"/>
          <w:szCs w:val="20"/>
        </w:rPr>
        <w:t>1.</w:t>
      </w:r>
      <w:r w:rsidRPr="008A31BD">
        <w:rPr>
          <w:rFonts w:ascii="Arial" w:hAnsi="Arial" w:cs="Arial"/>
          <w:sz w:val="20"/>
          <w:szCs w:val="20"/>
        </w:rPr>
        <w:t xml:space="preserve"> Route Diversification During the Red Sea Disruption</w:t>
      </w:r>
    </w:p>
    <w:p w14:paraId="7D7E2B01" w14:textId="6CA692AC" w:rsidR="00441E3C" w:rsidRDefault="00441E3C" w:rsidP="00441E3C">
      <w:pPr>
        <w:spacing w:after="0" w:line="360" w:lineRule="auto"/>
        <w:jc w:val="center"/>
        <w:rPr>
          <w:rFonts w:ascii="Arial" w:hAnsi="Arial" w:cs="Arial"/>
          <w:sz w:val="22"/>
          <w:szCs w:val="22"/>
        </w:rPr>
      </w:pPr>
      <w:r w:rsidRPr="00441E3C">
        <w:rPr>
          <w:rFonts w:ascii="Arial" w:hAnsi="Arial" w:cs="Arial"/>
          <w:noProof/>
          <w:sz w:val="22"/>
          <w:szCs w:val="22"/>
        </w:rPr>
        <w:drawing>
          <wp:inline distT="0" distB="0" distL="0" distR="0" wp14:anchorId="4D55B15E" wp14:editId="123EA78F">
            <wp:extent cx="5728970" cy="1609106"/>
            <wp:effectExtent l="0" t="0" r="5080" b="0"/>
            <wp:docPr id="132266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63876" name=""/>
                    <pic:cNvPicPr/>
                  </pic:nvPicPr>
                  <pic:blipFill>
                    <a:blip r:embed="rId26"/>
                    <a:stretch>
                      <a:fillRect/>
                    </a:stretch>
                  </pic:blipFill>
                  <pic:spPr>
                    <a:xfrm>
                      <a:off x="0" y="0"/>
                      <a:ext cx="5769676" cy="1620539"/>
                    </a:xfrm>
                    <a:prstGeom prst="rect">
                      <a:avLst/>
                    </a:prstGeom>
                  </pic:spPr>
                </pic:pic>
              </a:graphicData>
            </a:graphic>
          </wp:inline>
        </w:drawing>
      </w:r>
    </w:p>
    <w:p w14:paraId="62C887C4" w14:textId="58CE0C86" w:rsidR="00AD065A" w:rsidRDefault="00AD065A" w:rsidP="00D86903">
      <w:pPr>
        <w:jc w:val="center"/>
        <w:rPr>
          <w:rFonts w:ascii="Arial" w:hAnsi="Arial" w:cs="Arial"/>
          <w:i/>
          <w:iCs/>
          <w:sz w:val="20"/>
          <w:szCs w:val="20"/>
        </w:rPr>
      </w:pPr>
      <w:r w:rsidRPr="00D86903">
        <w:rPr>
          <w:rFonts w:ascii="Arial" w:hAnsi="Arial" w:cs="Arial"/>
          <w:i/>
          <w:iCs/>
          <w:sz w:val="20"/>
          <w:szCs w:val="20"/>
        </w:rPr>
        <w:t xml:space="preserve">(Source: Author’s analysis based on UNCTAD and </w:t>
      </w:r>
      <w:proofErr w:type="spellStart"/>
      <w:r w:rsidRPr="00D86903">
        <w:rPr>
          <w:rFonts w:ascii="Arial" w:hAnsi="Arial" w:cs="Arial"/>
          <w:i/>
          <w:iCs/>
          <w:sz w:val="20"/>
          <w:szCs w:val="20"/>
        </w:rPr>
        <w:t>MarineTraffic</w:t>
      </w:r>
      <w:proofErr w:type="spellEnd"/>
      <w:r w:rsidRPr="00D86903">
        <w:rPr>
          <w:rFonts w:ascii="Arial" w:hAnsi="Arial" w:cs="Arial"/>
          <w:i/>
          <w:iCs/>
          <w:sz w:val="20"/>
          <w:szCs w:val="20"/>
        </w:rPr>
        <w:t xml:space="preserve"> data)</w:t>
      </w:r>
    </w:p>
    <w:p w14:paraId="4E46E94D" w14:textId="77777777" w:rsidR="00A62F13" w:rsidRDefault="00A62F13" w:rsidP="00D66A45">
      <w:pPr>
        <w:spacing w:after="0" w:line="360" w:lineRule="auto"/>
        <w:ind w:firstLine="567"/>
        <w:jc w:val="both"/>
        <w:rPr>
          <w:rFonts w:ascii="Arial" w:hAnsi="Arial" w:cs="Arial"/>
          <w:sz w:val="16"/>
          <w:szCs w:val="16"/>
        </w:rPr>
      </w:pPr>
    </w:p>
    <w:p w14:paraId="71F223AA" w14:textId="6B83A652" w:rsidR="00FF4392" w:rsidRPr="00FF4392" w:rsidRDefault="00FF4392" w:rsidP="00FF4392">
      <w:pPr>
        <w:spacing w:after="0" w:line="360" w:lineRule="auto"/>
        <w:ind w:firstLine="567"/>
        <w:jc w:val="both"/>
        <w:rPr>
          <w:rFonts w:ascii="Arial" w:hAnsi="Arial" w:cs="Arial"/>
          <w:sz w:val="22"/>
          <w:szCs w:val="22"/>
        </w:rPr>
      </w:pPr>
      <w:r w:rsidRPr="00FF4392">
        <w:rPr>
          <w:rFonts w:ascii="Arial" w:hAnsi="Arial" w:cs="Arial"/>
          <w:sz w:val="22"/>
          <w:szCs w:val="22"/>
        </w:rPr>
        <w:t>Logistics strategies relied heavily on the Suez Canal until the latter half of 2023, when they quickly moved to the Cape of Good Hope, as seen in Figure 4.</w:t>
      </w:r>
      <w:r w:rsidR="00E56DFD">
        <w:rPr>
          <w:rFonts w:ascii="Arial" w:hAnsi="Arial" w:cs="Arial"/>
          <w:sz w:val="22"/>
          <w:szCs w:val="22"/>
        </w:rPr>
        <w:t>1</w:t>
      </w:r>
      <w:r w:rsidRPr="00FF4392">
        <w:rPr>
          <w:rFonts w:ascii="Arial" w:hAnsi="Arial" w:cs="Arial"/>
          <w:sz w:val="22"/>
          <w:szCs w:val="22"/>
        </w:rPr>
        <w:t>. In 2023, the Cape route will handle 28.57</w:t>
      </w:r>
      <w:r>
        <w:rPr>
          <w:rFonts w:ascii="Arial" w:hAnsi="Arial" w:cs="Arial"/>
          <w:sz w:val="22"/>
          <w:szCs w:val="22"/>
        </w:rPr>
        <w:t xml:space="preserve">% </w:t>
      </w:r>
      <w:r w:rsidRPr="00FF4392">
        <w:rPr>
          <w:rFonts w:ascii="Arial" w:hAnsi="Arial" w:cs="Arial"/>
          <w:sz w:val="22"/>
          <w:szCs w:val="22"/>
        </w:rPr>
        <w:t>of exports, and that number will rise in 2024. It seems that businesses made deliberate changes to their route systems during interruptions, based on this tendency.</w:t>
      </w:r>
    </w:p>
    <w:p w14:paraId="071313BD" w14:textId="2E6CCAE7" w:rsidR="00FF4392" w:rsidRPr="00FF4392" w:rsidRDefault="00FF4392" w:rsidP="00FF4392">
      <w:pPr>
        <w:spacing w:after="0" w:line="360" w:lineRule="auto"/>
        <w:ind w:firstLine="567"/>
        <w:jc w:val="both"/>
        <w:rPr>
          <w:rFonts w:ascii="Arial" w:hAnsi="Arial" w:cs="Arial"/>
          <w:sz w:val="22"/>
          <w:szCs w:val="22"/>
        </w:rPr>
      </w:pPr>
      <w:r w:rsidRPr="00FF4392">
        <w:rPr>
          <w:rFonts w:ascii="Arial" w:hAnsi="Arial" w:cs="Arial"/>
          <w:sz w:val="22"/>
          <w:szCs w:val="22"/>
        </w:rPr>
        <w:t>Every shift is unique. Table 4.1 shows the timing and intensity of adoption for each business, while the aggregate trend indicates rerouting. This points to cost sensitivity or supplier networks as firm-specific constraints instead of a generic answer.</w:t>
      </w:r>
    </w:p>
    <w:p w14:paraId="5E403C02" w14:textId="281AD40B" w:rsidR="00FF4392" w:rsidRPr="00FF4392" w:rsidRDefault="00FF4392" w:rsidP="00FF4392">
      <w:pPr>
        <w:spacing w:after="0" w:line="360" w:lineRule="auto"/>
        <w:ind w:firstLine="567"/>
        <w:jc w:val="both"/>
        <w:rPr>
          <w:rFonts w:ascii="Arial" w:hAnsi="Arial" w:cs="Arial"/>
          <w:sz w:val="22"/>
          <w:szCs w:val="22"/>
        </w:rPr>
      </w:pPr>
      <w:r w:rsidRPr="00FF4392">
        <w:rPr>
          <w:rFonts w:ascii="Arial" w:hAnsi="Arial" w:cs="Arial"/>
          <w:sz w:val="22"/>
          <w:szCs w:val="22"/>
        </w:rPr>
        <w:t xml:space="preserve">Rather than replacing inventory buffering, route diversification works in tandem with it. Rerouting, in contrast to buffering, allows the network to adjust and externalise risk. According to Ivanov and </w:t>
      </w:r>
      <w:proofErr w:type="spellStart"/>
      <w:r w:rsidRPr="00FF4392">
        <w:rPr>
          <w:rFonts w:ascii="Arial" w:hAnsi="Arial" w:cs="Arial"/>
          <w:sz w:val="22"/>
          <w:szCs w:val="22"/>
        </w:rPr>
        <w:t>Dolgui</w:t>
      </w:r>
      <w:proofErr w:type="spellEnd"/>
      <w:r w:rsidRPr="00FF4392">
        <w:rPr>
          <w:rFonts w:ascii="Arial" w:hAnsi="Arial" w:cs="Arial"/>
          <w:sz w:val="22"/>
          <w:szCs w:val="22"/>
        </w:rPr>
        <w:t xml:space="preserve"> (2021), this provides credibility to the idea that JIC reflects in operational dimensions that go beyond inventory.</w:t>
      </w:r>
    </w:p>
    <w:p w14:paraId="45A39023" w14:textId="7D4DD6BA" w:rsidR="00FF4392" w:rsidRDefault="00FF4392" w:rsidP="00FF4392">
      <w:pPr>
        <w:spacing w:after="0" w:line="360" w:lineRule="auto"/>
        <w:ind w:firstLine="567"/>
        <w:jc w:val="both"/>
        <w:rPr>
          <w:rFonts w:ascii="Arial" w:hAnsi="Arial" w:cs="Arial"/>
          <w:sz w:val="22"/>
          <w:szCs w:val="22"/>
        </w:rPr>
      </w:pPr>
      <w:r w:rsidRPr="00FF4392">
        <w:rPr>
          <w:rFonts w:ascii="Arial" w:hAnsi="Arial" w:cs="Arial"/>
          <w:sz w:val="22"/>
          <w:szCs w:val="22"/>
        </w:rPr>
        <w:t xml:space="preserve">The results raise the question of how businesses </w:t>
      </w:r>
      <w:r>
        <w:rPr>
          <w:rFonts w:ascii="Arial" w:hAnsi="Arial" w:cs="Arial"/>
          <w:sz w:val="22"/>
          <w:szCs w:val="22"/>
        </w:rPr>
        <w:t>translate these changes into financial success, suggesting that resilience depends</w:t>
      </w:r>
      <w:r w:rsidRPr="00FF4392">
        <w:rPr>
          <w:rFonts w:ascii="Arial" w:hAnsi="Arial" w:cs="Arial"/>
          <w:sz w:val="22"/>
          <w:szCs w:val="22"/>
        </w:rPr>
        <w:t xml:space="preserve"> on logistics and inventory decisions.</w:t>
      </w:r>
    </w:p>
    <w:p w14:paraId="0E0D7859" w14:textId="77777777" w:rsidR="00FF4392" w:rsidRPr="00FF4392" w:rsidRDefault="00FF4392" w:rsidP="00FF4392">
      <w:pPr>
        <w:spacing w:after="0" w:line="360" w:lineRule="auto"/>
        <w:ind w:firstLine="567"/>
        <w:jc w:val="both"/>
        <w:rPr>
          <w:rFonts w:ascii="Arial" w:hAnsi="Arial" w:cs="Arial"/>
          <w:sz w:val="16"/>
          <w:szCs w:val="16"/>
        </w:rPr>
      </w:pPr>
    </w:p>
    <w:p w14:paraId="2F0D3AAA" w14:textId="4E524F35" w:rsidR="00A62F13" w:rsidRPr="00A62F13" w:rsidRDefault="00A62F13" w:rsidP="00A62F13">
      <w:pPr>
        <w:spacing w:after="0" w:line="240" w:lineRule="auto"/>
        <w:ind w:firstLine="567"/>
        <w:jc w:val="center"/>
        <w:rPr>
          <w:rFonts w:ascii="Arial" w:hAnsi="Arial" w:cs="Arial"/>
          <w:sz w:val="20"/>
          <w:szCs w:val="20"/>
        </w:rPr>
      </w:pPr>
      <w:r w:rsidRPr="00A62F13">
        <w:rPr>
          <w:rFonts w:ascii="Arial" w:hAnsi="Arial" w:cs="Arial"/>
          <w:sz w:val="20"/>
          <w:szCs w:val="20"/>
        </w:rPr>
        <w:t>Table 4.1 Timing of Strategic Route Diversion by Manufacturer</w:t>
      </w:r>
    </w:p>
    <w:p w14:paraId="223A9FE8" w14:textId="1934ED84" w:rsidR="00A62F13" w:rsidRDefault="00A62F13" w:rsidP="00A62F13">
      <w:pPr>
        <w:spacing w:after="0" w:line="360" w:lineRule="auto"/>
        <w:ind w:firstLine="567"/>
        <w:jc w:val="center"/>
        <w:rPr>
          <w:rFonts w:ascii="Arial" w:hAnsi="Arial" w:cs="Arial"/>
          <w:sz w:val="22"/>
          <w:szCs w:val="22"/>
        </w:rPr>
      </w:pPr>
      <w:r w:rsidRPr="001B1AD0">
        <w:rPr>
          <w:rFonts w:ascii="Arial" w:hAnsi="Arial" w:cs="Arial"/>
          <w:noProof/>
          <w:sz w:val="20"/>
          <w:szCs w:val="20"/>
        </w:rPr>
        <w:drawing>
          <wp:inline distT="0" distB="0" distL="0" distR="0" wp14:anchorId="1E88AD88" wp14:editId="6B43A7A0">
            <wp:extent cx="4252896" cy="1520041"/>
            <wp:effectExtent l="0" t="0" r="0" b="4445"/>
            <wp:docPr id="1696181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81817" name=""/>
                    <pic:cNvPicPr/>
                  </pic:nvPicPr>
                  <pic:blipFill>
                    <a:blip r:embed="rId27"/>
                    <a:stretch>
                      <a:fillRect/>
                    </a:stretch>
                  </pic:blipFill>
                  <pic:spPr>
                    <a:xfrm>
                      <a:off x="0" y="0"/>
                      <a:ext cx="4372877" cy="1562924"/>
                    </a:xfrm>
                    <a:prstGeom prst="rect">
                      <a:avLst/>
                    </a:prstGeom>
                  </pic:spPr>
                </pic:pic>
              </a:graphicData>
            </a:graphic>
          </wp:inline>
        </w:drawing>
      </w:r>
    </w:p>
    <w:p w14:paraId="114EBFF9" w14:textId="47C57738" w:rsidR="00A62F13" w:rsidRPr="00A62F13" w:rsidRDefault="00A62F13" w:rsidP="00A62F13">
      <w:pPr>
        <w:spacing w:line="240" w:lineRule="auto"/>
        <w:jc w:val="center"/>
        <w:rPr>
          <w:rFonts w:ascii="Arial" w:hAnsi="Arial" w:cs="Arial"/>
          <w:i/>
          <w:iCs/>
          <w:sz w:val="20"/>
          <w:szCs w:val="20"/>
        </w:rPr>
      </w:pPr>
      <w:r w:rsidRPr="00A62F13">
        <w:rPr>
          <w:rFonts w:ascii="Arial" w:hAnsi="Arial" w:cs="Arial"/>
          <w:i/>
          <w:iCs/>
          <w:sz w:val="20"/>
          <w:szCs w:val="20"/>
        </w:rPr>
        <w:t xml:space="preserve">(Source: Author’s analysis based on UNCTAD and </w:t>
      </w:r>
      <w:proofErr w:type="spellStart"/>
      <w:r w:rsidRPr="00A62F13">
        <w:rPr>
          <w:rFonts w:ascii="Arial" w:hAnsi="Arial" w:cs="Arial"/>
          <w:i/>
          <w:iCs/>
          <w:sz w:val="20"/>
          <w:szCs w:val="20"/>
        </w:rPr>
        <w:t>MarineTraffic</w:t>
      </w:r>
      <w:proofErr w:type="spellEnd"/>
      <w:r w:rsidRPr="00A62F13">
        <w:rPr>
          <w:rFonts w:ascii="Arial" w:hAnsi="Arial" w:cs="Arial"/>
          <w:i/>
          <w:iCs/>
          <w:sz w:val="20"/>
          <w:szCs w:val="20"/>
        </w:rPr>
        <w:t xml:space="preserve"> data)</w:t>
      </w:r>
    </w:p>
    <w:p w14:paraId="2539FE43" w14:textId="77777777" w:rsidR="00A62F13" w:rsidRPr="00A62F13" w:rsidRDefault="00A62F13" w:rsidP="00D66A45">
      <w:pPr>
        <w:spacing w:after="0" w:line="360" w:lineRule="auto"/>
        <w:ind w:firstLine="567"/>
        <w:jc w:val="both"/>
        <w:rPr>
          <w:rFonts w:ascii="Arial" w:hAnsi="Arial" w:cs="Arial"/>
          <w:sz w:val="16"/>
          <w:szCs w:val="16"/>
        </w:rPr>
      </w:pPr>
    </w:p>
    <w:p w14:paraId="26961CD8" w14:textId="3DB17994" w:rsidR="00556D18" w:rsidRPr="00556D18" w:rsidRDefault="00556D18" w:rsidP="00556D18">
      <w:pPr>
        <w:spacing w:after="0" w:line="360" w:lineRule="auto"/>
        <w:ind w:firstLine="567"/>
        <w:jc w:val="both"/>
        <w:rPr>
          <w:rFonts w:ascii="Arial" w:hAnsi="Arial" w:cs="Arial"/>
          <w:sz w:val="22"/>
          <w:szCs w:val="22"/>
        </w:rPr>
      </w:pPr>
      <w:r w:rsidRPr="00556D18">
        <w:rPr>
          <w:rFonts w:ascii="Arial" w:hAnsi="Arial" w:cs="Arial"/>
          <w:sz w:val="22"/>
          <w:szCs w:val="22"/>
        </w:rPr>
        <w:lastRenderedPageBreak/>
        <w:t>Despite the apparent synchronisation, which covers strategic variance, most enterprises moved from Suez to Cape routing within a small window (November-December 2023), as seen in Table 4.1. Aston Martin and Bentley were among the first to reroute in November, but others didn't do so until December. This might be because they have varying degrees of comfort with potential disruptions and costs. This lag in time shows that route switching was reflective of decision thresholds particular to firms rather than being a reactive action.</w:t>
      </w:r>
    </w:p>
    <w:p w14:paraId="303EE053" w14:textId="02BBAFF9" w:rsidR="00556D18" w:rsidRPr="00556D18" w:rsidRDefault="00556D18" w:rsidP="00556D18">
      <w:pPr>
        <w:spacing w:after="0" w:line="360" w:lineRule="auto"/>
        <w:ind w:firstLine="567"/>
        <w:jc w:val="both"/>
        <w:rPr>
          <w:rFonts w:ascii="Arial" w:hAnsi="Arial" w:cs="Arial"/>
          <w:sz w:val="22"/>
          <w:szCs w:val="22"/>
        </w:rPr>
      </w:pPr>
      <w:r w:rsidRPr="00556D18">
        <w:rPr>
          <w:rFonts w:ascii="Arial" w:hAnsi="Arial" w:cs="Arial"/>
          <w:sz w:val="22"/>
          <w:szCs w:val="22"/>
        </w:rPr>
        <w:t>Most importantly, the proof expands JIC's scope to include logistical configuration in addition to inventory. According to Figure 4.</w:t>
      </w:r>
      <w:r w:rsidR="00D167C1">
        <w:rPr>
          <w:rFonts w:ascii="Arial" w:hAnsi="Arial" w:cs="Arial"/>
          <w:sz w:val="22"/>
          <w:szCs w:val="22"/>
        </w:rPr>
        <w:t>1</w:t>
      </w:r>
      <w:r w:rsidRPr="00556D18">
        <w:rPr>
          <w:rFonts w:ascii="Arial" w:hAnsi="Arial" w:cs="Arial"/>
          <w:sz w:val="22"/>
          <w:szCs w:val="22"/>
        </w:rPr>
        <w:t>, resilience is not only built into networks via stockholding but also through their flexibility, lending credence to the idea that adaptation happens through selected redundancy (Belhadi et al., 2021; Ivanov, 2022). But there are costs and benefits to rerouting, and it increases transit times and makes costs more unpredictable.</w:t>
      </w:r>
    </w:p>
    <w:p w14:paraId="1211327E" w14:textId="2DE77150" w:rsidR="00556D18" w:rsidRPr="00556D18" w:rsidRDefault="00556D18" w:rsidP="00556D18">
      <w:pPr>
        <w:spacing w:after="0" w:line="360" w:lineRule="auto"/>
        <w:ind w:firstLine="567"/>
        <w:jc w:val="both"/>
        <w:rPr>
          <w:rFonts w:ascii="Arial" w:hAnsi="Arial" w:cs="Arial"/>
          <w:sz w:val="22"/>
          <w:szCs w:val="22"/>
        </w:rPr>
      </w:pPr>
      <w:r w:rsidRPr="00556D18">
        <w:rPr>
          <w:rFonts w:ascii="Arial" w:hAnsi="Arial" w:cs="Arial"/>
          <w:sz w:val="22"/>
          <w:szCs w:val="22"/>
        </w:rPr>
        <w:t xml:space="preserve">In other words, route diversification is a behavioural aspect of JIC; the next part will </w:t>
      </w:r>
      <w:r w:rsidR="00D167C1">
        <w:rPr>
          <w:rFonts w:ascii="Arial" w:hAnsi="Arial" w:cs="Arial"/>
          <w:sz w:val="22"/>
          <w:szCs w:val="22"/>
        </w:rPr>
        <w:t>examine how these operational modifications lead to</w:t>
      </w:r>
      <w:r w:rsidRPr="00556D18">
        <w:rPr>
          <w:rFonts w:ascii="Arial" w:hAnsi="Arial" w:cs="Arial"/>
          <w:sz w:val="22"/>
          <w:szCs w:val="22"/>
        </w:rPr>
        <w:t xml:space="preserve"> financial consequences.</w:t>
      </w:r>
    </w:p>
    <w:p w14:paraId="510B3691" w14:textId="4E40412D" w:rsidR="00577BD6" w:rsidRPr="00C511C5" w:rsidRDefault="00892150" w:rsidP="00C511C5">
      <w:pPr>
        <w:pStyle w:val="Heading3"/>
        <w:spacing w:before="120"/>
        <w:rPr>
          <w:b/>
          <w:bCs/>
          <w:sz w:val="22"/>
          <w:szCs w:val="22"/>
        </w:rPr>
      </w:pPr>
      <w:bookmarkStart w:id="33" w:name="_Toc228883259"/>
      <w:r w:rsidRPr="00C511C5">
        <w:rPr>
          <w:b/>
          <w:bCs/>
          <w:sz w:val="22"/>
          <w:szCs w:val="22"/>
        </w:rPr>
        <w:t>4.2.3 Transit Time Inflation and the Cost of Resilience Adaptation</w:t>
      </w:r>
      <w:bookmarkEnd w:id="33"/>
    </w:p>
    <w:p w14:paraId="6DF2D892" w14:textId="5890A3AA" w:rsidR="00F1129A" w:rsidRDefault="00613E1C" w:rsidP="00613E1C">
      <w:pPr>
        <w:tabs>
          <w:tab w:val="left" w:pos="4030"/>
        </w:tabs>
        <w:spacing w:after="0" w:line="360" w:lineRule="auto"/>
        <w:ind w:firstLine="567"/>
        <w:jc w:val="both"/>
        <w:rPr>
          <w:rFonts w:ascii="Arial" w:hAnsi="Arial" w:cs="Arial"/>
          <w:sz w:val="22"/>
          <w:szCs w:val="22"/>
        </w:rPr>
      </w:pPr>
      <w:r w:rsidRPr="00613E1C">
        <w:rPr>
          <w:rFonts w:ascii="Arial" w:hAnsi="Arial" w:cs="Arial"/>
          <w:sz w:val="22"/>
          <w:szCs w:val="22"/>
        </w:rPr>
        <w:t xml:space="preserve">Section 4.2.2 examined route diversity. The next analytical research continues to </w:t>
      </w:r>
      <w:r>
        <w:rPr>
          <w:rFonts w:ascii="Arial" w:hAnsi="Arial" w:cs="Arial"/>
          <w:sz w:val="22"/>
          <w:szCs w:val="22"/>
        </w:rPr>
        <w:t>be whether strategic routing adaptation maintains continuity or creates</w:t>
      </w:r>
      <w:r w:rsidRPr="00613E1C">
        <w:rPr>
          <w:rFonts w:ascii="Arial" w:hAnsi="Arial" w:cs="Arial"/>
          <w:sz w:val="22"/>
          <w:szCs w:val="22"/>
        </w:rPr>
        <w:t xml:space="preserve"> operational losses. Transport time inflation resilience costs are listed in Figure 4.</w:t>
      </w:r>
      <w:r w:rsidR="00D167C1">
        <w:rPr>
          <w:rFonts w:ascii="Arial" w:hAnsi="Arial" w:cs="Arial"/>
          <w:sz w:val="22"/>
          <w:szCs w:val="22"/>
        </w:rPr>
        <w:t>2</w:t>
      </w:r>
      <w:r w:rsidRPr="00613E1C">
        <w:rPr>
          <w:rFonts w:ascii="Arial" w:hAnsi="Arial" w:cs="Arial"/>
          <w:sz w:val="22"/>
          <w:szCs w:val="22"/>
        </w:rPr>
        <w:t>. Figure 4.3 examines if rerouting delays, costs, and affects performance.</w:t>
      </w:r>
    </w:p>
    <w:p w14:paraId="39B6ABED" w14:textId="77777777" w:rsidR="00613E1C" w:rsidRPr="00613E1C" w:rsidRDefault="00613E1C" w:rsidP="00613E1C">
      <w:pPr>
        <w:tabs>
          <w:tab w:val="left" w:pos="4030"/>
        </w:tabs>
        <w:spacing w:after="0" w:line="360" w:lineRule="auto"/>
        <w:ind w:firstLine="567"/>
        <w:jc w:val="both"/>
        <w:rPr>
          <w:rFonts w:ascii="Arial" w:hAnsi="Arial" w:cs="Arial"/>
          <w:sz w:val="16"/>
          <w:szCs w:val="16"/>
        </w:rPr>
      </w:pPr>
    </w:p>
    <w:p w14:paraId="088F777D" w14:textId="0ECFAFF5" w:rsidR="004B4C9D" w:rsidRPr="002B4B17" w:rsidRDefault="00CB1221" w:rsidP="002F3A62">
      <w:pPr>
        <w:tabs>
          <w:tab w:val="left" w:pos="4030"/>
        </w:tabs>
        <w:spacing w:after="0" w:line="360" w:lineRule="auto"/>
        <w:jc w:val="center"/>
        <w:rPr>
          <w:rFonts w:ascii="Arial" w:hAnsi="Arial" w:cs="Arial"/>
          <w:sz w:val="20"/>
          <w:szCs w:val="20"/>
        </w:rPr>
      </w:pPr>
      <w:r w:rsidRPr="002B4B17">
        <w:rPr>
          <w:rFonts w:ascii="Arial" w:hAnsi="Arial" w:cs="Arial"/>
          <w:sz w:val="20"/>
          <w:szCs w:val="20"/>
        </w:rPr>
        <w:t>Figure 4.</w:t>
      </w:r>
      <w:r w:rsidR="00D167C1">
        <w:rPr>
          <w:rFonts w:ascii="Arial" w:hAnsi="Arial" w:cs="Arial"/>
          <w:sz w:val="20"/>
          <w:szCs w:val="20"/>
        </w:rPr>
        <w:t>2</w:t>
      </w:r>
      <w:r w:rsidRPr="002B4B17">
        <w:rPr>
          <w:rFonts w:ascii="Arial" w:hAnsi="Arial" w:cs="Arial"/>
          <w:sz w:val="20"/>
          <w:szCs w:val="20"/>
        </w:rPr>
        <w:t>. Transit Time Inflation During Crisis-Driven Route Switching</w:t>
      </w:r>
    </w:p>
    <w:p w14:paraId="6FBA1AF7" w14:textId="74D14123" w:rsidR="00A62F13" w:rsidRDefault="002F3A62" w:rsidP="002F3A62">
      <w:pPr>
        <w:spacing w:after="0" w:line="360" w:lineRule="auto"/>
        <w:jc w:val="center"/>
        <w:rPr>
          <w:rFonts w:ascii="Arial" w:hAnsi="Arial" w:cs="Arial"/>
          <w:sz w:val="22"/>
          <w:szCs w:val="22"/>
        </w:rPr>
      </w:pPr>
      <w:r w:rsidRPr="002F3A62">
        <w:rPr>
          <w:rFonts w:ascii="Arial" w:hAnsi="Arial" w:cs="Arial"/>
          <w:noProof/>
          <w:sz w:val="22"/>
          <w:szCs w:val="22"/>
        </w:rPr>
        <w:drawing>
          <wp:inline distT="0" distB="0" distL="0" distR="0" wp14:anchorId="1ABCC032" wp14:editId="251BFDE2">
            <wp:extent cx="5729034" cy="1472540"/>
            <wp:effectExtent l="0" t="0" r="5080" b="0"/>
            <wp:docPr id="1339641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41427" name=""/>
                    <pic:cNvPicPr/>
                  </pic:nvPicPr>
                  <pic:blipFill>
                    <a:blip r:embed="rId28"/>
                    <a:stretch>
                      <a:fillRect/>
                    </a:stretch>
                  </pic:blipFill>
                  <pic:spPr>
                    <a:xfrm>
                      <a:off x="0" y="0"/>
                      <a:ext cx="5813467" cy="1494242"/>
                    </a:xfrm>
                    <a:prstGeom prst="rect">
                      <a:avLst/>
                    </a:prstGeom>
                  </pic:spPr>
                </pic:pic>
              </a:graphicData>
            </a:graphic>
          </wp:inline>
        </w:drawing>
      </w:r>
    </w:p>
    <w:p w14:paraId="53EA98C6" w14:textId="6F9F17AB" w:rsidR="00FA0AC9" w:rsidRDefault="00FA0AC9" w:rsidP="00FA0AC9">
      <w:pPr>
        <w:jc w:val="center"/>
        <w:rPr>
          <w:rFonts w:ascii="Arial" w:hAnsi="Arial" w:cs="Arial"/>
          <w:i/>
          <w:iCs/>
          <w:sz w:val="20"/>
          <w:szCs w:val="20"/>
        </w:rPr>
      </w:pPr>
      <w:r w:rsidRPr="00FA0AC9">
        <w:rPr>
          <w:rFonts w:ascii="Arial" w:hAnsi="Arial" w:cs="Arial"/>
          <w:i/>
          <w:iCs/>
          <w:sz w:val="20"/>
          <w:szCs w:val="20"/>
        </w:rPr>
        <w:t xml:space="preserve">(Source: Author’s analysis based on UNCTAD and </w:t>
      </w:r>
      <w:proofErr w:type="spellStart"/>
      <w:r w:rsidRPr="00FA0AC9">
        <w:rPr>
          <w:rFonts w:ascii="Arial" w:hAnsi="Arial" w:cs="Arial"/>
          <w:i/>
          <w:iCs/>
          <w:sz w:val="20"/>
          <w:szCs w:val="20"/>
        </w:rPr>
        <w:t>MarineTraffic</w:t>
      </w:r>
      <w:proofErr w:type="spellEnd"/>
      <w:r w:rsidRPr="00FA0AC9">
        <w:rPr>
          <w:rFonts w:ascii="Arial" w:hAnsi="Arial" w:cs="Arial"/>
          <w:i/>
          <w:iCs/>
          <w:sz w:val="20"/>
          <w:szCs w:val="20"/>
        </w:rPr>
        <w:t xml:space="preserve"> data)</w:t>
      </w:r>
    </w:p>
    <w:p w14:paraId="78A8DE68" w14:textId="77777777" w:rsidR="00C61F33" w:rsidRPr="00C61F33" w:rsidRDefault="00C61F33" w:rsidP="00C61F33">
      <w:pPr>
        <w:spacing w:after="0"/>
        <w:jc w:val="center"/>
        <w:rPr>
          <w:rFonts w:ascii="Arial" w:hAnsi="Arial" w:cs="Arial"/>
          <w:i/>
          <w:iCs/>
          <w:sz w:val="16"/>
          <w:szCs w:val="16"/>
        </w:rPr>
      </w:pPr>
    </w:p>
    <w:p w14:paraId="7F18462F" w14:textId="2BC8788F" w:rsidR="00C61F33" w:rsidRPr="00C61F33" w:rsidRDefault="00C61F33" w:rsidP="00C61F33">
      <w:pPr>
        <w:spacing w:after="0" w:line="360" w:lineRule="auto"/>
        <w:ind w:firstLine="567"/>
        <w:jc w:val="both"/>
        <w:rPr>
          <w:rFonts w:ascii="Arial" w:hAnsi="Arial" w:cs="Arial"/>
          <w:sz w:val="22"/>
          <w:szCs w:val="22"/>
        </w:rPr>
      </w:pPr>
      <w:r w:rsidRPr="00C61F33">
        <w:rPr>
          <w:rFonts w:ascii="Arial" w:hAnsi="Arial" w:cs="Arial"/>
          <w:sz w:val="22"/>
          <w:szCs w:val="22"/>
        </w:rPr>
        <w:t>By connecting route diversity to transit-time inflation, Figure 4.</w:t>
      </w:r>
      <w:r w:rsidR="000A4C71">
        <w:rPr>
          <w:rFonts w:ascii="Arial" w:hAnsi="Arial" w:cs="Arial"/>
          <w:sz w:val="22"/>
          <w:szCs w:val="22"/>
        </w:rPr>
        <w:t>2</w:t>
      </w:r>
      <w:r w:rsidRPr="00C61F33">
        <w:rPr>
          <w:rFonts w:ascii="Arial" w:hAnsi="Arial" w:cs="Arial"/>
          <w:sz w:val="22"/>
          <w:szCs w:val="22"/>
        </w:rPr>
        <w:t xml:space="preserve"> highlights the operational repercussions of the JIT-JIC shift. As a result of highly optimised JIT scheduling, transit performance stays consistent between 2019 and mid-2023 at 28-31 days. Nevertheless, this balance is disrupted after the Red Sea incident, and by early 2024, lead times had increased by 35-55%, reaching 40-46 days. Rerouting </w:t>
      </w:r>
      <w:r>
        <w:rPr>
          <w:rFonts w:ascii="Arial" w:hAnsi="Arial" w:cs="Arial"/>
          <w:sz w:val="22"/>
          <w:szCs w:val="22"/>
        </w:rPr>
        <w:t>had</w:t>
      </w:r>
      <w:r w:rsidRPr="00C61F33">
        <w:rPr>
          <w:rFonts w:ascii="Arial" w:hAnsi="Arial" w:cs="Arial"/>
          <w:sz w:val="22"/>
          <w:szCs w:val="22"/>
        </w:rPr>
        <w:t xml:space="preserve"> no effect on efficiency and instead caused immediate operating costs due to the suddenness of the change.</w:t>
      </w:r>
    </w:p>
    <w:p w14:paraId="5790EF10" w14:textId="51C54A7B" w:rsidR="00C61F33" w:rsidRPr="00C61F33" w:rsidRDefault="00C61F33" w:rsidP="00C61F33">
      <w:pPr>
        <w:spacing w:after="0" w:line="360" w:lineRule="auto"/>
        <w:ind w:firstLine="567"/>
        <w:jc w:val="both"/>
        <w:rPr>
          <w:rFonts w:ascii="Arial" w:hAnsi="Arial" w:cs="Arial"/>
          <w:sz w:val="22"/>
          <w:szCs w:val="22"/>
        </w:rPr>
      </w:pPr>
      <w:r w:rsidRPr="00C61F33">
        <w:rPr>
          <w:rFonts w:ascii="Arial" w:hAnsi="Arial" w:cs="Arial"/>
          <w:sz w:val="22"/>
          <w:szCs w:val="22"/>
        </w:rPr>
        <w:t xml:space="preserve">The distribution of </w:t>
      </w:r>
      <w:r>
        <w:rPr>
          <w:rFonts w:ascii="Arial" w:hAnsi="Arial" w:cs="Arial"/>
          <w:sz w:val="22"/>
          <w:szCs w:val="22"/>
        </w:rPr>
        <w:t>effects</w:t>
      </w:r>
      <w:r w:rsidRPr="00C61F33">
        <w:rPr>
          <w:rFonts w:ascii="Arial" w:hAnsi="Arial" w:cs="Arial"/>
          <w:sz w:val="22"/>
          <w:szCs w:val="22"/>
        </w:rPr>
        <w:t xml:space="preserve"> shows </w:t>
      </w:r>
      <w:r>
        <w:rPr>
          <w:rFonts w:ascii="Arial" w:hAnsi="Arial" w:cs="Arial"/>
          <w:sz w:val="22"/>
          <w:szCs w:val="22"/>
        </w:rPr>
        <w:t>significant</w:t>
      </w:r>
      <w:r w:rsidRPr="00C61F33">
        <w:rPr>
          <w:rFonts w:ascii="Arial" w:hAnsi="Arial" w:cs="Arial"/>
          <w:sz w:val="22"/>
          <w:szCs w:val="22"/>
        </w:rPr>
        <w:t xml:space="preserve"> diversity at the business level. One of the most consistent increases is </w:t>
      </w:r>
      <w:r>
        <w:rPr>
          <w:rFonts w:ascii="Arial" w:hAnsi="Arial" w:cs="Arial"/>
          <w:sz w:val="22"/>
          <w:szCs w:val="22"/>
        </w:rPr>
        <w:t>observed in McLaren, which rises from 30 to 46 days and remains elevated</w:t>
      </w:r>
      <w:r w:rsidRPr="00C61F33">
        <w:rPr>
          <w:rFonts w:ascii="Arial" w:hAnsi="Arial" w:cs="Arial"/>
          <w:sz w:val="22"/>
          <w:szCs w:val="22"/>
        </w:rPr>
        <w:t xml:space="preserve"> beyond 40 days, indicating sustained exposure rather than a transient disturbance. </w:t>
      </w:r>
      <w:r w:rsidRPr="00C61F33">
        <w:rPr>
          <w:rFonts w:ascii="Arial" w:hAnsi="Arial" w:cs="Arial"/>
          <w:sz w:val="22"/>
          <w:szCs w:val="22"/>
        </w:rPr>
        <w:lastRenderedPageBreak/>
        <w:t xml:space="preserve">Even luxury manufacturers like Aston Martin and Bentley, </w:t>
      </w:r>
      <w:r>
        <w:rPr>
          <w:rFonts w:ascii="Arial" w:hAnsi="Arial" w:cs="Arial"/>
          <w:sz w:val="22"/>
          <w:szCs w:val="22"/>
        </w:rPr>
        <w:t>which</w:t>
      </w:r>
      <w:r w:rsidRPr="00C61F33">
        <w:rPr>
          <w:rFonts w:ascii="Arial" w:hAnsi="Arial" w:cs="Arial"/>
          <w:sz w:val="22"/>
          <w:szCs w:val="22"/>
        </w:rPr>
        <w:t xml:space="preserve"> have larger reserves of resources, were not immune to routing limitations; their respective times of 45 and 44 days show this. The idea that size or financial power can improve resilience on their own is cast into doubt by this.</w:t>
      </w:r>
    </w:p>
    <w:p w14:paraId="4784689B" w14:textId="50341C72" w:rsidR="00C61F33" w:rsidRPr="00C61F33" w:rsidRDefault="00C61F33" w:rsidP="00C61F33">
      <w:pPr>
        <w:spacing w:after="0" w:line="360" w:lineRule="auto"/>
        <w:ind w:firstLine="567"/>
        <w:jc w:val="both"/>
        <w:rPr>
          <w:rFonts w:ascii="Arial" w:hAnsi="Arial" w:cs="Arial"/>
          <w:sz w:val="22"/>
          <w:szCs w:val="22"/>
        </w:rPr>
      </w:pPr>
      <w:r w:rsidRPr="00C61F33">
        <w:rPr>
          <w:rFonts w:ascii="Arial" w:hAnsi="Arial" w:cs="Arial"/>
          <w:sz w:val="22"/>
          <w:szCs w:val="22"/>
        </w:rPr>
        <w:t xml:space="preserve">On the other hand, recovery trajectories of mass-market enterprises are more dynamic. Late 2024 sees Toyota UK and Vauxhall's return from 42-45 days to 29-30 days, which is close to pre-crisis levels, suggesting greater capacities for downstream adjustment. Lean-oriented businesses are not immune to </w:t>
      </w:r>
      <w:r w:rsidR="00760E94">
        <w:rPr>
          <w:rFonts w:ascii="Arial" w:hAnsi="Arial" w:cs="Arial"/>
          <w:sz w:val="22"/>
          <w:szCs w:val="22"/>
        </w:rPr>
        <w:t>disturbances; in fact, they absorb them through</w:t>
      </w:r>
      <w:r w:rsidRPr="00C61F33">
        <w:rPr>
          <w:rFonts w:ascii="Arial" w:hAnsi="Arial" w:cs="Arial"/>
          <w:sz w:val="22"/>
          <w:szCs w:val="22"/>
        </w:rPr>
        <w:t xml:space="preserve"> schedule volatility, as Nissan's surge to 42 days shows.</w:t>
      </w:r>
    </w:p>
    <w:p w14:paraId="4FAA4915" w14:textId="708C8C94" w:rsidR="00C61F33" w:rsidRPr="00C61F33" w:rsidRDefault="00C61F33" w:rsidP="00C61F33">
      <w:pPr>
        <w:spacing w:after="0" w:line="360" w:lineRule="auto"/>
        <w:ind w:firstLine="567"/>
        <w:jc w:val="both"/>
        <w:rPr>
          <w:rFonts w:ascii="Arial" w:hAnsi="Arial" w:cs="Arial"/>
          <w:sz w:val="22"/>
          <w:szCs w:val="22"/>
        </w:rPr>
      </w:pPr>
      <w:r w:rsidRPr="00C61F33">
        <w:rPr>
          <w:rFonts w:ascii="Arial" w:hAnsi="Arial" w:cs="Arial"/>
          <w:sz w:val="22"/>
          <w:szCs w:val="22"/>
        </w:rPr>
        <w:t xml:space="preserve">JLR follows a clear trend, increasing from 33 to 35 days in 2022 and 2023 to 43 days in 2024. This indicates that some companies internalised disruption risk before </w:t>
      </w:r>
      <w:r w:rsidR="00760E94">
        <w:rPr>
          <w:rFonts w:ascii="Arial" w:hAnsi="Arial" w:cs="Arial"/>
          <w:sz w:val="22"/>
          <w:szCs w:val="22"/>
        </w:rPr>
        <w:t>a systemic breakdown occurred, suggesting that adaptation was more proactive than reactive</w:t>
      </w:r>
      <w:r w:rsidRPr="00C61F33">
        <w:rPr>
          <w:rFonts w:ascii="Arial" w:hAnsi="Arial" w:cs="Arial"/>
          <w:sz w:val="22"/>
          <w:szCs w:val="22"/>
        </w:rPr>
        <w:t>.</w:t>
      </w:r>
    </w:p>
    <w:p w14:paraId="0CDC3033" w14:textId="08C6A019" w:rsidR="00C61F33" w:rsidRPr="00C61F33" w:rsidRDefault="00760E94" w:rsidP="00C61F33">
      <w:pPr>
        <w:spacing w:after="0" w:line="360" w:lineRule="auto"/>
        <w:ind w:firstLine="567"/>
        <w:jc w:val="both"/>
        <w:rPr>
          <w:rFonts w:ascii="Arial" w:hAnsi="Arial" w:cs="Arial"/>
          <w:sz w:val="22"/>
          <w:szCs w:val="22"/>
        </w:rPr>
      </w:pPr>
      <w:r>
        <w:rPr>
          <w:rFonts w:ascii="Arial" w:hAnsi="Arial" w:cs="Arial"/>
          <w:sz w:val="22"/>
          <w:szCs w:val="22"/>
        </w:rPr>
        <w:t xml:space="preserve">The </w:t>
      </w:r>
      <w:r w:rsidR="000D35ED">
        <w:rPr>
          <w:rFonts w:ascii="Arial" w:hAnsi="Arial" w:cs="Arial"/>
          <w:sz w:val="22"/>
          <w:szCs w:val="22"/>
        </w:rPr>
        <w:t>visualisation</w:t>
      </w:r>
      <w:r>
        <w:rPr>
          <w:rFonts w:ascii="Arial" w:hAnsi="Arial" w:cs="Arial"/>
          <w:sz w:val="22"/>
          <w:szCs w:val="22"/>
        </w:rPr>
        <w:t xml:space="preserve"> shows an important structural trade-off: longer,</w:t>
      </w:r>
      <w:r w:rsidR="00C61F33" w:rsidRPr="00C61F33">
        <w:rPr>
          <w:rFonts w:ascii="Arial" w:hAnsi="Arial" w:cs="Arial"/>
          <w:sz w:val="22"/>
          <w:szCs w:val="22"/>
        </w:rPr>
        <w:t xml:space="preserve"> more unpredictable lead times are the price to pay for route variety, which ensures continuity. Adaptation necessitates a regulated sacrifice of efficiency, which </w:t>
      </w:r>
      <w:r>
        <w:rPr>
          <w:rFonts w:ascii="Arial" w:hAnsi="Arial" w:cs="Arial"/>
          <w:sz w:val="22"/>
          <w:szCs w:val="22"/>
        </w:rPr>
        <w:t>aligns</w:t>
      </w:r>
      <w:r w:rsidR="00C61F33" w:rsidRPr="00C61F33">
        <w:rPr>
          <w:rFonts w:ascii="Arial" w:hAnsi="Arial" w:cs="Arial"/>
          <w:sz w:val="22"/>
          <w:szCs w:val="22"/>
        </w:rPr>
        <w:t xml:space="preserve"> with the lean-resilience dilemma (Ivanov and Dolgui, 2021; </w:t>
      </w:r>
      <w:proofErr w:type="spellStart"/>
      <w:r w:rsidR="00C61F33" w:rsidRPr="00C61F33">
        <w:rPr>
          <w:rFonts w:ascii="Arial" w:hAnsi="Arial" w:cs="Arial"/>
          <w:sz w:val="22"/>
          <w:szCs w:val="22"/>
        </w:rPr>
        <w:t>Nikookar</w:t>
      </w:r>
      <w:proofErr w:type="spellEnd"/>
      <w:r w:rsidR="00C61F33" w:rsidRPr="00C61F33">
        <w:rPr>
          <w:rFonts w:ascii="Arial" w:hAnsi="Arial" w:cs="Arial"/>
          <w:sz w:val="22"/>
          <w:szCs w:val="22"/>
        </w:rPr>
        <w:t>, Gligor and Russo, 2024). Uneven recovery trajectories, however, show that resilience is not universally accomplished but rather depends on firm-specific characteristics (Tortorella et al., 2022).</w:t>
      </w:r>
    </w:p>
    <w:p w14:paraId="1134DDD0" w14:textId="351E14FB" w:rsidR="00C61F33" w:rsidRPr="00760E94" w:rsidRDefault="00C61F33" w:rsidP="00760E94">
      <w:pPr>
        <w:spacing w:after="0" w:line="360" w:lineRule="auto"/>
        <w:ind w:firstLine="567"/>
        <w:jc w:val="both"/>
        <w:rPr>
          <w:rFonts w:ascii="Arial" w:hAnsi="Arial" w:cs="Arial"/>
          <w:sz w:val="22"/>
          <w:szCs w:val="22"/>
        </w:rPr>
      </w:pPr>
      <w:r w:rsidRPr="00C61F33">
        <w:rPr>
          <w:rFonts w:ascii="Arial" w:hAnsi="Arial" w:cs="Arial"/>
          <w:sz w:val="22"/>
          <w:szCs w:val="22"/>
        </w:rPr>
        <w:t>Figure 4.</w:t>
      </w:r>
      <w:r w:rsidR="0047214D">
        <w:rPr>
          <w:rFonts w:ascii="Arial" w:hAnsi="Arial" w:cs="Arial"/>
          <w:sz w:val="22"/>
          <w:szCs w:val="22"/>
        </w:rPr>
        <w:t>2</w:t>
      </w:r>
      <w:r w:rsidRPr="00C61F33">
        <w:rPr>
          <w:rFonts w:ascii="Arial" w:hAnsi="Arial" w:cs="Arial"/>
          <w:sz w:val="22"/>
          <w:szCs w:val="22"/>
        </w:rPr>
        <w:t xml:space="preserve"> shows the cost component of resilience, but it also begs the more fundamental issue of whether operational penalties caused structural inventory changes, which would lead us back to the hybrid JIT-JIC transition tested in RQ1.</w:t>
      </w:r>
    </w:p>
    <w:p w14:paraId="52707A42" w14:textId="184E5C3A" w:rsidR="00884598" w:rsidRPr="00C511C5" w:rsidRDefault="00884598" w:rsidP="00C511C5">
      <w:pPr>
        <w:pStyle w:val="Heading3"/>
        <w:spacing w:before="120"/>
        <w:rPr>
          <w:b/>
          <w:bCs/>
          <w:sz w:val="22"/>
          <w:szCs w:val="22"/>
        </w:rPr>
      </w:pPr>
      <w:bookmarkStart w:id="34" w:name="_Toc228883260"/>
      <w:r w:rsidRPr="00C511C5">
        <w:rPr>
          <w:b/>
          <w:bCs/>
          <w:sz w:val="22"/>
          <w:szCs w:val="22"/>
        </w:rPr>
        <w:t>4.2.4 Crisis-Period Inventory Growth and Evidence of Hybrid JIT–JIC Transition</w:t>
      </w:r>
      <w:bookmarkEnd w:id="34"/>
    </w:p>
    <w:p w14:paraId="79F91F07" w14:textId="62E3BB4B" w:rsidR="007372E1" w:rsidRDefault="000A09DA" w:rsidP="000A09DA">
      <w:pPr>
        <w:spacing w:after="0" w:line="360" w:lineRule="auto"/>
        <w:ind w:firstLine="567"/>
        <w:jc w:val="both"/>
        <w:rPr>
          <w:rFonts w:ascii="Arial" w:hAnsi="Arial" w:cs="Arial"/>
          <w:sz w:val="22"/>
          <w:szCs w:val="22"/>
        </w:rPr>
      </w:pPr>
      <w:r w:rsidRPr="000A09DA">
        <w:rPr>
          <w:rFonts w:ascii="Arial" w:hAnsi="Arial" w:cs="Arial"/>
          <w:sz w:val="22"/>
          <w:szCs w:val="22"/>
        </w:rPr>
        <w:t xml:space="preserve">While </w:t>
      </w:r>
      <w:r w:rsidR="000D35ED">
        <w:rPr>
          <w:rFonts w:ascii="Arial" w:hAnsi="Arial" w:cs="Arial"/>
          <w:sz w:val="22"/>
          <w:szCs w:val="22"/>
        </w:rPr>
        <w:t>image</w:t>
      </w:r>
      <w:r w:rsidRPr="000A09DA">
        <w:rPr>
          <w:rFonts w:ascii="Arial" w:hAnsi="Arial" w:cs="Arial"/>
          <w:sz w:val="22"/>
          <w:szCs w:val="22"/>
        </w:rPr>
        <w:t xml:space="preserve"> 4.3 </w:t>
      </w:r>
      <w:r>
        <w:rPr>
          <w:rFonts w:ascii="Arial" w:hAnsi="Arial" w:cs="Arial"/>
          <w:sz w:val="22"/>
          <w:szCs w:val="22"/>
        </w:rPr>
        <w:t>sets</w:t>
      </w:r>
      <w:r w:rsidRPr="000A09DA">
        <w:rPr>
          <w:rFonts w:ascii="Arial" w:hAnsi="Arial" w:cs="Arial"/>
          <w:sz w:val="22"/>
          <w:szCs w:val="22"/>
        </w:rPr>
        <w:t xml:space="preserve"> out the cost of resilience via lead-time inflation, </w:t>
      </w:r>
      <w:r w:rsidR="000D35ED">
        <w:rPr>
          <w:rFonts w:ascii="Arial" w:hAnsi="Arial" w:cs="Arial"/>
          <w:sz w:val="22"/>
          <w:szCs w:val="22"/>
        </w:rPr>
        <w:t>the next one</w:t>
      </w:r>
      <w:r w:rsidRPr="000A09DA">
        <w:rPr>
          <w:rFonts w:ascii="Arial" w:hAnsi="Arial" w:cs="Arial"/>
          <w:sz w:val="22"/>
          <w:szCs w:val="22"/>
        </w:rPr>
        <w:t xml:space="preserve"> 4.</w:t>
      </w:r>
      <w:r w:rsidR="000D35ED">
        <w:rPr>
          <w:rFonts w:ascii="Arial" w:hAnsi="Arial" w:cs="Arial"/>
          <w:sz w:val="22"/>
          <w:szCs w:val="22"/>
        </w:rPr>
        <w:t>3</w:t>
      </w:r>
      <w:r w:rsidRPr="000A09DA">
        <w:rPr>
          <w:rFonts w:ascii="Arial" w:hAnsi="Arial" w:cs="Arial"/>
          <w:sz w:val="22"/>
          <w:szCs w:val="22"/>
        </w:rPr>
        <w:t xml:space="preserve"> switches the study to structural reaction by evaluating inventory reconfiguration across crisis phases.</w:t>
      </w:r>
    </w:p>
    <w:p w14:paraId="0D7F0705" w14:textId="77777777" w:rsidR="000A09DA" w:rsidRPr="000A09DA" w:rsidRDefault="000A09DA" w:rsidP="000D35ED">
      <w:pPr>
        <w:spacing w:after="0" w:line="360" w:lineRule="auto"/>
        <w:ind w:firstLine="567"/>
        <w:jc w:val="both"/>
        <w:rPr>
          <w:rFonts w:ascii="Arial" w:hAnsi="Arial" w:cs="Arial"/>
          <w:sz w:val="16"/>
          <w:szCs w:val="16"/>
        </w:rPr>
      </w:pPr>
    </w:p>
    <w:p w14:paraId="3AE1E1D2" w14:textId="193FEF37" w:rsidR="00D85C9B" w:rsidRDefault="007372E1" w:rsidP="007372E1">
      <w:pPr>
        <w:spacing w:after="0" w:line="360" w:lineRule="auto"/>
        <w:jc w:val="center"/>
        <w:rPr>
          <w:rFonts w:ascii="Arial" w:hAnsi="Arial" w:cs="Arial"/>
          <w:sz w:val="20"/>
          <w:szCs w:val="20"/>
        </w:rPr>
      </w:pPr>
      <w:r w:rsidRPr="007372E1">
        <w:rPr>
          <w:rFonts w:ascii="Arial" w:hAnsi="Arial" w:cs="Arial"/>
          <w:sz w:val="20"/>
          <w:szCs w:val="20"/>
        </w:rPr>
        <w:t>Figure 4.</w:t>
      </w:r>
      <w:r w:rsidR="000D35ED">
        <w:rPr>
          <w:rFonts w:ascii="Arial" w:hAnsi="Arial" w:cs="Arial"/>
          <w:sz w:val="20"/>
          <w:szCs w:val="20"/>
        </w:rPr>
        <w:t>3.</w:t>
      </w:r>
      <w:r w:rsidRPr="007372E1">
        <w:rPr>
          <w:rFonts w:ascii="Arial" w:hAnsi="Arial" w:cs="Arial"/>
          <w:sz w:val="20"/>
          <w:szCs w:val="20"/>
        </w:rPr>
        <w:t xml:space="preserve"> Cross-Firm Contribution to Cumulative Inventory Holdings Across Crisis Phases</w:t>
      </w:r>
    </w:p>
    <w:p w14:paraId="0FE1499F" w14:textId="09883028" w:rsidR="00E106DD" w:rsidRDefault="00E106DD" w:rsidP="007372E1">
      <w:pPr>
        <w:spacing w:after="0" w:line="360" w:lineRule="auto"/>
        <w:jc w:val="center"/>
        <w:rPr>
          <w:rFonts w:ascii="Arial" w:hAnsi="Arial" w:cs="Arial"/>
          <w:sz w:val="20"/>
          <w:szCs w:val="20"/>
        </w:rPr>
      </w:pPr>
      <w:r w:rsidRPr="00E106DD">
        <w:rPr>
          <w:rFonts w:ascii="Arial" w:hAnsi="Arial" w:cs="Arial"/>
          <w:noProof/>
          <w:sz w:val="20"/>
          <w:szCs w:val="20"/>
        </w:rPr>
        <w:drawing>
          <wp:inline distT="0" distB="0" distL="0" distR="0" wp14:anchorId="48AC36FD" wp14:editId="26427377">
            <wp:extent cx="5729590" cy="1413163"/>
            <wp:effectExtent l="0" t="0" r="5080" b="0"/>
            <wp:docPr id="809635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35638" name=""/>
                    <pic:cNvPicPr/>
                  </pic:nvPicPr>
                  <pic:blipFill>
                    <a:blip r:embed="rId29"/>
                    <a:stretch>
                      <a:fillRect/>
                    </a:stretch>
                  </pic:blipFill>
                  <pic:spPr>
                    <a:xfrm>
                      <a:off x="0" y="0"/>
                      <a:ext cx="5752737" cy="1418872"/>
                    </a:xfrm>
                    <a:prstGeom prst="rect">
                      <a:avLst/>
                    </a:prstGeom>
                  </pic:spPr>
                </pic:pic>
              </a:graphicData>
            </a:graphic>
          </wp:inline>
        </w:drawing>
      </w:r>
    </w:p>
    <w:p w14:paraId="7D504EFC" w14:textId="77777777" w:rsidR="00FA0AC9" w:rsidRPr="00FA0AC9" w:rsidRDefault="00FA0AC9" w:rsidP="00FA0AC9">
      <w:pPr>
        <w:spacing w:after="0" w:line="360" w:lineRule="auto"/>
        <w:jc w:val="center"/>
        <w:rPr>
          <w:rFonts w:ascii="Arial" w:hAnsi="Arial" w:cs="Arial"/>
          <w:i/>
          <w:iCs/>
          <w:sz w:val="20"/>
          <w:szCs w:val="20"/>
        </w:rPr>
      </w:pPr>
      <w:r w:rsidRPr="00FA0AC9">
        <w:rPr>
          <w:rFonts w:ascii="Arial" w:hAnsi="Arial" w:cs="Arial"/>
          <w:i/>
          <w:iCs/>
          <w:sz w:val="20"/>
          <w:szCs w:val="20"/>
        </w:rPr>
        <w:t xml:space="preserve">(Source: Author’s analysis based on UNCTAD and </w:t>
      </w:r>
      <w:proofErr w:type="spellStart"/>
      <w:r w:rsidRPr="00FA0AC9">
        <w:rPr>
          <w:rFonts w:ascii="Arial" w:hAnsi="Arial" w:cs="Arial"/>
          <w:i/>
          <w:iCs/>
          <w:sz w:val="20"/>
          <w:szCs w:val="20"/>
        </w:rPr>
        <w:t>MarineTraffic</w:t>
      </w:r>
      <w:proofErr w:type="spellEnd"/>
      <w:r w:rsidRPr="00FA0AC9">
        <w:rPr>
          <w:rFonts w:ascii="Arial" w:hAnsi="Arial" w:cs="Arial"/>
          <w:i/>
          <w:iCs/>
          <w:sz w:val="20"/>
          <w:szCs w:val="20"/>
        </w:rPr>
        <w:t xml:space="preserve"> data)</w:t>
      </w:r>
    </w:p>
    <w:p w14:paraId="0CF3194E" w14:textId="77777777" w:rsidR="00FA0AC9" w:rsidRPr="002240C2" w:rsidRDefault="00FA0AC9" w:rsidP="00A774DF">
      <w:pPr>
        <w:spacing w:after="0" w:line="360" w:lineRule="auto"/>
        <w:jc w:val="both"/>
        <w:rPr>
          <w:rFonts w:ascii="Arial" w:hAnsi="Arial" w:cs="Arial"/>
          <w:sz w:val="16"/>
          <w:szCs w:val="16"/>
        </w:rPr>
      </w:pPr>
    </w:p>
    <w:p w14:paraId="64A64915" w14:textId="05D665CF" w:rsidR="007D6337" w:rsidRPr="007D6337" w:rsidRDefault="007D6337" w:rsidP="00DD542B">
      <w:pPr>
        <w:spacing w:after="0" w:line="360" w:lineRule="auto"/>
        <w:ind w:firstLine="567"/>
        <w:jc w:val="both"/>
        <w:rPr>
          <w:rFonts w:ascii="Arial" w:hAnsi="Arial" w:cs="Arial"/>
          <w:sz w:val="22"/>
          <w:szCs w:val="22"/>
        </w:rPr>
      </w:pPr>
      <w:r w:rsidRPr="007D6337">
        <w:rPr>
          <w:rFonts w:ascii="Arial" w:hAnsi="Arial" w:cs="Arial"/>
          <w:sz w:val="22"/>
          <w:szCs w:val="22"/>
        </w:rPr>
        <w:t xml:space="preserve">Average inventory coverage rises from 28.83 days pre-crisis to 33.98 during disruption (+17.9%) and remains elevated at 33.89 days in recovery. The key insight is persistence rather </w:t>
      </w:r>
      <w:r w:rsidRPr="007D6337">
        <w:rPr>
          <w:rFonts w:ascii="Arial" w:hAnsi="Arial" w:cs="Arial"/>
          <w:sz w:val="22"/>
          <w:szCs w:val="22"/>
        </w:rPr>
        <w:lastRenderedPageBreak/>
        <w:t>than magnitude: inventory does not revert, indicating strategic buffering rather than temporary stockpiling.</w:t>
      </w:r>
    </w:p>
    <w:p w14:paraId="1264D3F3" w14:textId="7F8FA0BE" w:rsidR="007D6337" w:rsidRPr="007D6337" w:rsidRDefault="007D6337" w:rsidP="007D6337">
      <w:pPr>
        <w:spacing w:after="0" w:line="360" w:lineRule="auto"/>
        <w:ind w:firstLine="567"/>
        <w:jc w:val="both"/>
        <w:rPr>
          <w:rFonts w:ascii="Arial" w:hAnsi="Arial" w:cs="Arial"/>
          <w:sz w:val="22"/>
          <w:szCs w:val="22"/>
        </w:rPr>
      </w:pPr>
      <w:r w:rsidRPr="007D6337">
        <w:rPr>
          <w:rFonts w:ascii="Arial" w:hAnsi="Arial" w:cs="Arial"/>
          <w:sz w:val="22"/>
          <w:szCs w:val="22"/>
        </w:rPr>
        <w:t>This stability between shock and recovery challenges the assumption of reactive behaviour. If firms had overstocked defensively, post-crisis levels would normalise. Instead, near-identical values suggest selective redundancy embedded into operations. This supports the argument that disruption triggered adaptive hybridisation, where JIT systems are recalibrated through controlled JIC mechanisms rather than replaced (</w:t>
      </w:r>
      <w:proofErr w:type="spellStart"/>
      <w:r w:rsidRPr="007D6337">
        <w:rPr>
          <w:rFonts w:ascii="Arial" w:hAnsi="Arial" w:cs="Arial"/>
          <w:sz w:val="22"/>
          <w:szCs w:val="22"/>
        </w:rPr>
        <w:t>Spieske</w:t>
      </w:r>
      <w:proofErr w:type="spellEnd"/>
      <w:r w:rsidRPr="007D6337">
        <w:rPr>
          <w:rFonts w:ascii="Arial" w:hAnsi="Arial" w:cs="Arial"/>
          <w:sz w:val="22"/>
          <w:szCs w:val="22"/>
        </w:rPr>
        <w:t xml:space="preserve"> and Birkel, 2021; Queiroz, Pereira, Telles and Machado, 2021).</w:t>
      </w:r>
    </w:p>
    <w:p w14:paraId="13CFD6D5" w14:textId="306B73BF" w:rsidR="007D6337" w:rsidRPr="007D6337" w:rsidRDefault="007D6337" w:rsidP="007D6337">
      <w:pPr>
        <w:spacing w:after="0" w:line="360" w:lineRule="auto"/>
        <w:ind w:firstLine="567"/>
        <w:jc w:val="both"/>
        <w:rPr>
          <w:rFonts w:ascii="Arial" w:hAnsi="Arial" w:cs="Arial"/>
          <w:sz w:val="22"/>
          <w:szCs w:val="22"/>
        </w:rPr>
      </w:pPr>
      <w:r w:rsidRPr="007D6337">
        <w:rPr>
          <w:rFonts w:ascii="Arial" w:hAnsi="Arial" w:cs="Arial"/>
          <w:sz w:val="22"/>
          <w:szCs w:val="22"/>
        </w:rPr>
        <w:t>However, aggregate averages conceal firm-level variation. The +17.9% increase signals systemic adjustment but not uniform contribution, raising the question of whether resilience is evenly distributed or structurally dependent.</w:t>
      </w:r>
    </w:p>
    <w:p w14:paraId="339D5CDF" w14:textId="277163AD" w:rsidR="007D6337" w:rsidRPr="007D6337" w:rsidRDefault="007D6337" w:rsidP="007D6337">
      <w:pPr>
        <w:spacing w:after="0" w:line="360" w:lineRule="auto"/>
        <w:ind w:firstLine="567"/>
        <w:jc w:val="both"/>
        <w:rPr>
          <w:rFonts w:ascii="Arial" w:hAnsi="Arial" w:cs="Arial"/>
          <w:sz w:val="22"/>
          <w:szCs w:val="22"/>
        </w:rPr>
      </w:pPr>
      <w:r w:rsidRPr="007D6337">
        <w:rPr>
          <w:rFonts w:ascii="Arial" w:hAnsi="Arial" w:cs="Arial"/>
          <w:sz w:val="22"/>
          <w:szCs w:val="22"/>
        </w:rPr>
        <w:t>Therefore, the analysis moves beyond whether inventory increased to how firms contributed to that increase, linking directly to cross-firm differences explored in the next section.</w:t>
      </w:r>
    </w:p>
    <w:p w14:paraId="7489E8C2" w14:textId="7D2D5A3F" w:rsidR="00A45EF1" w:rsidRPr="009442CE" w:rsidRDefault="00176E9C" w:rsidP="009442CE">
      <w:pPr>
        <w:pStyle w:val="Heading3"/>
        <w:rPr>
          <w:b/>
          <w:bCs/>
          <w:sz w:val="22"/>
          <w:szCs w:val="22"/>
        </w:rPr>
      </w:pPr>
      <w:bookmarkStart w:id="35" w:name="_Toc228883261"/>
      <w:r w:rsidRPr="00C511C5">
        <w:rPr>
          <w:b/>
          <w:bCs/>
          <w:sz w:val="22"/>
          <w:szCs w:val="22"/>
        </w:rPr>
        <w:t>4.2.5 Cross-Firm Contribution to Cumulative Inventory Holdings and Strategic Contingency</w:t>
      </w:r>
      <w:bookmarkEnd w:id="35"/>
    </w:p>
    <w:p w14:paraId="715C5FC5" w14:textId="0A1424BA" w:rsidR="00535FA7" w:rsidRPr="00844631" w:rsidRDefault="00A45EF1" w:rsidP="00F22336">
      <w:pPr>
        <w:spacing w:after="0" w:line="360" w:lineRule="auto"/>
        <w:ind w:firstLine="567"/>
        <w:jc w:val="both"/>
        <w:rPr>
          <w:rFonts w:ascii="Arial" w:hAnsi="Arial" w:cs="Arial"/>
          <w:sz w:val="22"/>
          <w:szCs w:val="22"/>
        </w:rPr>
      </w:pPr>
      <w:r w:rsidRPr="00A45EF1">
        <w:rPr>
          <w:rFonts w:ascii="Arial" w:hAnsi="Arial" w:cs="Arial"/>
          <w:sz w:val="22"/>
          <w:szCs w:val="22"/>
        </w:rPr>
        <w:t>Figure 4.</w:t>
      </w:r>
      <w:r w:rsidR="00BE3832">
        <w:rPr>
          <w:rFonts w:ascii="Arial" w:hAnsi="Arial" w:cs="Arial"/>
          <w:sz w:val="22"/>
          <w:szCs w:val="22"/>
        </w:rPr>
        <w:t>4.</w:t>
      </w:r>
      <w:r w:rsidRPr="00A45EF1">
        <w:rPr>
          <w:rFonts w:ascii="Arial" w:hAnsi="Arial" w:cs="Arial"/>
          <w:sz w:val="22"/>
          <w:szCs w:val="22"/>
        </w:rPr>
        <w:t xml:space="preserve"> explores whether hybrid JIT-JIC </w:t>
      </w:r>
      <w:r>
        <w:rPr>
          <w:rFonts w:ascii="Arial" w:hAnsi="Arial" w:cs="Arial"/>
          <w:sz w:val="22"/>
          <w:szCs w:val="22"/>
        </w:rPr>
        <w:t>adaptation</w:t>
      </w:r>
      <w:r w:rsidRPr="00A45EF1">
        <w:rPr>
          <w:rFonts w:ascii="Arial" w:hAnsi="Arial" w:cs="Arial"/>
          <w:sz w:val="22"/>
          <w:szCs w:val="22"/>
        </w:rPr>
        <w:t xml:space="preserve"> was widespread across firms. Section 4.2.4 shows that inventory buffering increased during crises. Mean inventory holdings </w:t>
      </w:r>
      <w:r>
        <w:rPr>
          <w:rFonts w:ascii="Arial" w:hAnsi="Arial" w:cs="Arial"/>
          <w:sz w:val="22"/>
          <w:szCs w:val="22"/>
        </w:rPr>
        <w:t>indicate that adaptation was both dependent</w:t>
      </w:r>
      <w:r w:rsidRPr="00A45EF1">
        <w:rPr>
          <w:rFonts w:ascii="Arial" w:hAnsi="Arial" w:cs="Arial"/>
          <w:sz w:val="22"/>
          <w:szCs w:val="22"/>
        </w:rPr>
        <w:t xml:space="preserve"> and differentiated. In Figure 4.</w:t>
      </w:r>
      <w:r w:rsidR="00BE3832">
        <w:rPr>
          <w:rFonts w:ascii="Arial" w:hAnsi="Arial" w:cs="Arial"/>
          <w:sz w:val="22"/>
          <w:szCs w:val="22"/>
        </w:rPr>
        <w:t>4</w:t>
      </w:r>
      <w:r w:rsidRPr="00A45EF1">
        <w:rPr>
          <w:rFonts w:ascii="Arial" w:hAnsi="Arial" w:cs="Arial"/>
          <w:sz w:val="22"/>
          <w:szCs w:val="22"/>
        </w:rPr>
        <w:t xml:space="preserve">, JLR had the largest average inventory stocks, expanding from 268.81 days pre-crisis to 306.73 during the shock period and 302.33 in recovery, showing purposeful buffering rather than crisis excess. This </w:t>
      </w:r>
      <w:r>
        <w:rPr>
          <w:rFonts w:ascii="Arial" w:hAnsi="Arial" w:cs="Arial"/>
          <w:sz w:val="22"/>
          <w:szCs w:val="22"/>
        </w:rPr>
        <w:t xml:space="preserve">is </w:t>
      </w:r>
      <w:r w:rsidRPr="00A45EF1">
        <w:rPr>
          <w:rFonts w:ascii="Arial" w:hAnsi="Arial" w:cs="Arial"/>
          <w:sz w:val="22"/>
          <w:szCs w:val="22"/>
        </w:rPr>
        <w:t>important because JLR prioritises resilience over concern.</w:t>
      </w:r>
    </w:p>
    <w:p w14:paraId="1B1BE6B4" w14:textId="77777777" w:rsidR="00844631" w:rsidRPr="00535FA7" w:rsidRDefault="00844631" w:rsidP="00F22336">
      <w:pPr>
        <w:spacing w:after="0" w:line="360" w:lineRule="auto"/>
        <w:ind w:firstLine="567"/>
        <w:jc w:val="both"/>
        <w:rPr>
          <w:rFonts w:ascii="Arial" w:hAnsi="Arial" w:cs="Arial"/>
          <w:sz w:val="16"/>
          <w:szCs w:val="16"/>
        </w:rPr>
      </w:pPr>
    </w:p>
    <w:p w14:paraId="716995A9" w14:textId="4AAE22B1" w:rsidR="00240EC9" w:rsidRDefault="007A1F33" w:rsidP="004C37CD">
      <w:pPr>
        <w:spacing w:after="0" w:line="360" w:lineRule="auto"/>
        <w:jc w:val="center"/>
        <w:rPr>
          <w:rFonts w:ascii="Arial" w:hAnsi="Arial" w:cs="Arial"/>
          <w:sz w:val="20"/>
          <w:szCs w:val="20"/>
        </w:rPr>
      </w:pPr>
      <w:r w:rsidRPr="007A1F33">
        <w:rPr>
          <w:rFonts w:ascii="Arial" w:hAnsi="Arial" w:cs="Arial"/>
          <w:sz w:val="20"/>
          <w:szCs w:val="20"/>
        </w:rPr>
        <w:t>Figure 4.</w:t>
      </w:r>
      <w:r w:rsidR="00DB6523">
        <w:rPr>
          <w:rFonts w:ascii="Arial" w:hAnsi="Arial" w:cs="Arial"/>
          <w:sz w:val="20"/>
          <w:szCs w:val="20"/>
        </w:rPr>
        <w:t>4.</w:t>
      </w:r>
      <w:r w:rsidRPr="007A1F33">
        <w:rPr>
          <w:rFonts w:ascii="Arial" w:hAnsi="Arial" w:cs="Arial"/>
          <w:sz w:val="20"/>
          <w:szCs w:val="20"/>
        </w:rPr>
        <w:t xml:space="preserve"> Cross-Firm Contribution to Cumulative Inventory Holdings Across Crisis Phases</w:t>
      </w:r>
    </w:p>
    <w:p w14:paraId="2A379F66" w14:textId="4FFA6346" w:rsidR="007A1F33" w:rsidRPr="007A1F33" w:rsidRDefault="00541773" w:rsidP="004C37CD">
      <w:pPr>
        <w:spacing w:after="0" w:line="360" w:lineRule="auto"/>
        <w:jc w:val="center"/>
        <w:rPr>
          <w:rFonts w:ascii="Arial" w:hAnsi="Arial" w:cs="Arial"/>
          <w:sz w:val="20"/>
          <w:szCs w:val="20"/>
        </w:rPr>
      </w:pPr>
      <w:r w:rsidRPr="00541773">
        <w:rPr>
          <w:rFonts w:ascii="Arial" w:hAnsi="Arial" w:cs="Arial"/>
          <w:noProof/>
          <w:sz w:val="20"/>
          <w:szCs w:val="20"/>
        </w:rPr>
        <w:drawing>
          <wp:inline distT="0" distB="0" distL="0" distR="0" wp14:anchorId="53BF4401" wp14:editId="1FD7F6C8">
            <wp:extent cx="5731510" cy="2066307"/>
            <wp:effectExtent l="0" t="0" r="2540" b="0"/>
            <wp:docPr id="726799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99665" name=""/>
                    <pic:cNvPicPr/>
                  </pic:nvPicPr>
                  <pic:blipFill>
                    <a:blip r:embed="rId30"/>
                    <a:stretch>
                      <a:fillRect/>
                    </a:stretch>
                  </pic:blipFill>
                  <pic:spPr>
                    <a:xfrm>
                      <a:off x="0" y="0"/>
                      <a:ext cx="5737474" cy="2068457"/>
                    </a:xfrm>
                    <a:prstGeom prst="rect">
                      <a:avLst/>
                    </a:prstGeom>
                  </pic:spPr>
                </pic:pic>
              </a:graphicData>
            </a:graphic>
          </wp:inline>
        </w:drawing>
      </w:r>
    </w:p>
    <w:p w14:paraId="51320FF3" w14:textId="34C2E936" w:rsidR="00240EC9" w:rsidRDefault="00713274" w:rsidP="00713274">
      <w:pPr>
        <w:spacing w:after="0" w:line="360" w:lineRule="auto"/>
        <w:jc w:val="center"/>
        <w:rPr>
          <w:rFonts w:ascii="Arial" w:hAnsi="Arial" w:cs="Arial"/>
          <w:i/>
          <w:iCs/>
          <w:sz w:val="20"/>
          <w:szCs w:val="20"/>
        </w:rPr>
      </w:pPr>
      <w:r w:rsidRPr="00713274">
        <w:rPr>
          <w:rFonts w:ascii="Arial" w:hAnsi="Arial" w:cs="Arial"/>
          <w:i/>
          <w:iCs/>
          <w:sz w:val="20"/>
          <w:szCs w:val="20"/>
        </w:rPr>
        <w:t>(Source: Author’s analysis based on Companies House filings and official company annual reports)</w:t>
      </w:r>
    </w:p>
    <w:p w14:paraId="6F64E609" w14:textId="77777777" w:rsidR="00C34EB9" w:rsidRPr="00C34EB9" w:rsidRDefault="00C34EB9" w:rsidP="00C34EB9">
      <w:pPr>
        <w:spacing w:after="0" w:line="360" w:lineRule="auto"/>
        <w:ind w:firstLine="567"/>
        <w:jc w:val="both"/>
        <w:rPr>
          <w:rFonts w:ascii="Arial" w:hAnsi="Arial" w:cs="Arial"/>
          <w:i/>
          <w:iCs/>
          <w:sz w:val="16"/>
          <w:szCs w:val="16"/>
        </w:rPr>
      </w:pPr>
    </w:p>
    <w:p w14:paraId="59D52FFD" w14:textId="53A86DB8" w:rsidR="001733D3" w:rsidRPr="001733D3" w:rsidRDefault="001733D3" w:rsidP="001733D3">
      <w:pPr>
        <w:spacing w:after="0" w:line="360" w:lineRule="auto"/>
        <w:ind w:firstLine="567"/>
        <w:jc w:val="both"/>
        <w:rPr>
          <w:rFonts w:ascii="Arial" w:hAnsi="Arial" w:cs="Arial"/>
          <w:sz w:val="22"/>
          <w:szCs w:val="22"/>
        </w:rPr>
      </w:pPr>
      <w:r w:rsidRPr="001733D3">
        <w:rPr>
          <w:rFonts w:ascii="Arial" w:hAnsi="Arial" w:cs="Arial"/>
          <w:sz w:val="22"/>
          <w:szCs w:val="22"/>
        </w:rPr>
        <w:t xml:space="preserve">The data shows that companies aren't all using the same hybrid JIT-JIC strategy. A dramatic change is seen in Nissan, which went from 28.74 before the crisis to 51.89 during </w:t>
      </w:r>
      <w:r>
        <w:rPr>
          <w:rFonts w:ascii="Arial" w:hAnsi="Arial" w:cs="Arial"/>
          <w:sz w:val="22"/>
          <w:szCs w:val="22"/>
        </w:rPr>
        <w:t xml:space="preserve">the </w:t>
      </w:r>
      <w:r w:rsidRPr="001733D3">
        <w:rPr>
          <w:rFonts w:ascii="Arial" w:hAnsi="Arial" w:cs="Arial"/>
          <w:sz w:val="22"/>
          <w:szCs w:val="22"/>
        </w:rPr>
        <w:t xml:space="preserve">interruption and 57.67 after recovery, indicating a firm dedication to buffering. Moderate </w:t>
      </w:r>
      <w:r w:rsidRPr="001733D3">
        <w:rPr>
          <w:rFonts w:ascii="Arial" w:hAnsi="Arial" w:cs="Arial"/>
          <w:sz w:val="22"/>
          <w:szCs w:val="22"/>
        </w:rPr>
        <w:lastRenderedPageBreak/>
        <w:t>modifications, as shown in Aston Martin (17.30 to 21.08) and Bentley (15.67 to 17.53), indicate managed rather than forceful adaptation.</w:t>
      </w:r>
    </w:p>
    <w:p w14:paraId="0264F824" w14:textId="313AC951" w:rsidR="001733D3" w:rsidRPr="001733D3" w:rsidRDefault="001733D3" w:rsidP="001733D3">
      <w:pPr>
        <w:spacing w:after="0" w:line="360" w:lineRule="auto"/>
        <w:ind w:firstLine="567"/>
        <w:jc w:val="both"/>
        <w:rPr>
          <w:rFonts w:ascii="Arial" w:hAnsi="Arial" w:cs="Arial"/>
          <w:sz w:val="22"/>
          <w:szCs w:val="22"/>
        </w:rPr>
      </w:pPr>
      <w:r w:rsidRPr="001733D3">
        <w:rPr>
          <w:rFonts w:ascii="Arial" w:hAnsi="Arial" w:cs="Arial"/>
          <w:sz w:val="22"/>
          <w:szCs w:val="22"/>
        </w:rPr>
        <w:t>Vauxhall fell from 16.61 to 12.76 and Toyota UK from 13.71 to 11.97, showing that certain volume manufacturers selectively retain lean concepts by reducing inventory exposure. These differences show that adaptation is not a one-size-fits-all process</w:t>
      </w:r>
      <w:r>
        <w:rPr>
          <w:rFonts w:ascii="Arial" w:hAnsi="Arial" w:cs="Arial"/>
          <w:sz w:val="22"/>
          <w:szCs w:val="22"/>
        </w:rPr>
        <w:t xml:space="preserve"> but rather depends on factors such as</w:t>
      </w:r>
      <w:r w:rsidRPr="001733D3">
        <w:rPr>
          <w:rFonts w:ascii="Arial" w:hAnsi="Arial" w:cs="Arial"/>
          <w:sz w:val="22"/>
          <w:szCs w:val="22"/>
        </w:rPr>
        <w:t xml:space="preserve"> exposure, cost structures, and business strategies.</w:t>
      </w:r>
    </w:p>
    <w:p w14:paraId="160AD919" w14:textId="528EDF34" w:rsidR="001733D3" w:rsidRPr="001733D3" w:rsidRDefault="001733D3" w:rsidP="001733D3">
      <w:pPr>
        <w:spacing w:after="0" w:line="360" w:lineRule="auto"/>
        <w:ind w:firstLine="567"/>
        <w:jc w:val="both"/>
        <w:rPr>
          <w:rFonts w:ascii="Arial" w:hAnsi="Arial" w:cs="Arial"/>
          <w:sz w:val="22"/>
          <w:szCs w:val="22"/>
        </w:rPr>
      </w:pPr>
      <w:r w:rsidRPr="001733D3">
        <w:rPr>
          <w:rFonts w:ascii="Arial" w:hAnsi="Arial" w:cs="Arial"/>
          <w:sz w:val="22"/>
          <w:szCs w:val="22"/>
        </w:rPr>
        <w:t xml:space="preserve">These patterns provide a serious challenge to the idea that JIC is synonymous with massive hoarding. </w:t>
      </w:r>
      <w:proofErr w:type="spellStart"/>
      <w:r w:rsidRPr="001733D3">
        <w:rPr>
          <w:rFonts w:ascii="Arial" w:hAnsi="Arial" w:cs="Arial"/>
          <w:sz w:val="22"/>
          <w:szCs w:val="22"/>
        </w:rPr>
        <w:t>Spieske</w:t>
      </w:r>
      <w:proofErr w:type="spellEnd"/>
      <w:r w:rsidRPr="001733D3">
        <w:rPr>
          <w:rFonts w:ascii="Arial" w:hAnsi="Arial" w:cs="Arial"/>
          <w:sz w:val="22"/>
          <w:szCs w:val="22"/>
        </w:rPr>
        <w:t xml:space="preserve"> et al. (2023) and </w:t>
      </w:r>
      <w:proofErr w:type="spellStart"/>
      <w:r w:rsidRPr="001733D3">
        <w:rPr>
          <w:rFonts w:ascii="Arial" w:hAnsi="Arial" w:cs="Arial"/>
          <w:sz w:val="22"/>
          <w:szCs w:val="22"/>
        </w:rPr>
        <w:t>Nikookar</w:t>
      </w:r>
      <w:proofErr w:type="spellEnd"/>
      <w:r w:rsidRPr="001733D3">
        <w:rPr>
          <w:rFonts w:ascii="Arial" w:hAnsi="Arial" w:cs="Arial"/>
          <w:sz w:val="22"/>
          <w:szCs w:val="22"/>
        </w:rPr>
        <w:t xml:space="preserve">, </w:t>
      </w:r>
      <w:proofErr w:type="spellStart"/>
      <w:r w:rsidRPr="001733D3">
        <w:rPr>
          <w:rFonts w:ascii="Arial" w:hAnsi="Arial" w:cs="Arial"/>
          <w:sz w:val="22"/>
          <w:szCs w:val="22"/>
        </w:rPr>
        <w:t>Yanadori</w:t>
      </w:r>
      <w:proofErr w:type="spellEnd"/>
      <w:r w:rsidRPr="001733D3">
        <w:rPr>
          <w:rFonts w:ascii="Arial" w:hAnsi="Arial" w:cs="Arial"/>
          <w:sz w:val="22"/>
          <w:szCs w:val="22"/>
        </w:rPr>
        <w:t>, and Wieland (2022) found the opposite; they argue that operational context shapes firm-specific resilience reconfiguration.</w:t>
      </w:r>
    </w:p>
    <w:p w14:paraId="4B677FD2" w14:textId="61DA1895" w:rsidR="001733D3" w:rsidRPr="001733D3" w:rsidRDefault="001733D3" w:rsidP="001733D3">
      <w:pPr>
        <w:spacing w:after="0" w:line="360" w:lineRule="auto"/>
        <w:ind w:firstLine="567"/>
        <w:jc w:val="both"/>
        <w:rPr>
          <w:rFonts w:ascii="Arial" w:hAnsi="Arial" w:cs="Arial"/>
          <w:sz w:val="22"/>
          <w:szCs w:val="22"/>
        </w:rPr>
      </w:pPr>
      <w:r w:rsidRPr="001733D3">
        <w:rPr>
          <w:rFonts w:ascii="Arial" w:hAnsi="Arial" w:cs="Arial"/>
          <w:sz w:val="22"/>
          <w:szCs w:val="22"/>
        </w:rPr>
        <w:t>Figure 4.</w:t>
      </w:r>
      <w:r w:rsidR="00DB6523">
        <w:rPr>
          <w:rFonts w:ascii="Arial" w:hAnsi="Arial" w:cs="Arial"/>
          <w:sz w:val="22"/>
          <w:szCs w:val="22"/>
        </w:rPr>
        <w:t>4</w:t>
      </w:r>
      <w:r w:rsidRPr="001733D3">
        <w:rPr>
          <w:rFonts w:ascii="Arial" w:hAnsi="Arial" w:cs="Arial"/>
          <w:sz w:val="22"/>
          <w:szCs w:val="22"/>
        </w:rPr>
        <w:t xml:space="preserve"> demonstrates that inventory adaptation is differentiated, which supports the idea that strategic positioning, not a sector-wide change, is needed to adopt hybrid JIT-JIC.</w:t>
      </w:r>
    </w:p>
    <w:p w14:paraId="4E56B9FD" w14:textId="6664FDBF" w:rsidR="006274DB" w:rsidRPr="009442CE" w:rsidRDefault="00473D72" w:rsidP="009442CE">
      <w:pPr>
        <w:pStyle w:val="Heading3"/>
        <w:spacing w:before="120"/>
        <w:rPr>
          <w:b/>
          <w:bCs/>
          <w:sz w:val="22"/>
          <w:szCs w:val="22"/>
        </w:rPr>
      </w:pPr>
      <w:bookmarkStart w:id="36" w:name="_Toc228883262"/>
      <w:r w:rsidRPr="009442CE">
        <w:rPr>
          <w:b/>
          <w:bCs/>
          <w:sz w:val="22"/>
          <w:szCs w:val="22"/>
        </w:rPr>
        <w:t>4.2.6 Implications for JIT–JIC Theory</w:t>
      </w:r>
      <w:bookmarkEnd w:id="36"/>
    </w:p>
    <w:p w14:paraId="288089DD" w14:textId="2CA90962" w:rsidR="00AC2A43" w:rsidRPr="00AC2A43" w:rsidRDefault="00AC2A43" w:rsidP="00AC2A43">
      <w:pPr>
        <w:spacing w:after="0" w:line="360" w:lineRule="auto"/>
        <w:ind w:firstLine="567"/>
        <w:jc w:val="both"/>
        <w:rPr>
          <w:rFonts w:ascii="Arial" w:hAnsi="Arial" w:cs="Arial"/>
          <w:sz w:val="22"/>
          <w:szCs w:val="22"/>
        </w:rPr>
      </w:pPr>
      <w:r w:rsidRPr="00AC2A43">
        <w:rPr>
          <w:rFonts w:ascii="Arial" w:hAnsi="Arial" w:cs="Arial"/>
          <w:sz w:val="22"/>
          <w:szCs w:val="22"/>
        </w:rPr>
        <w:t>Figures 4.1–4.</w:t>
      </w:r>
      <w:r w:rsidR="00DB6523">
        <w:rPr>
          <w:rFonts w:ascii="Arial" w:hAnsi="Arial" w:cs="Arial"/>
          <w:sz w:val="22"/>
          <w:szCs w:val="22"/>
        </w:rPr>
        <w:t>4</w:t>
      </w:r>
      <w:r w:rsidRPr="00AC2A43">
        <w:rPr>
          <w:rFonts w:ascii="Arial" w:hAnsi="Arial" w:cs="Arial"/>
          <w:sz w:val="22"/>
          <w:szCs w:val="22"/>
        </w:rPr>
        <w:t xml:space="preserve"> collectively demonstrate that JIC does not represent a simple shift toward inventory hoarding but a structured reconfiguration of JIT systems. Rather than </w:t>
      </w:r>
      <w:r w:rsidR="00E7220E" w:rsidRPr="00E7220E">
        <w:rPr>
          <w:rFonts w:ascii="Arial" w:hAnsi="Arial" w:cs="Arial"/>
          <w:sz w:val="22"/>
          <w:szCs w:val="22"/>
        </w:rPr>
        <w:t>ignoring lean arguments</w:t>
      </w:r>
      <w:r w:rsidRPr="00AC2A43">
        <w:rPr>
          <w:rFonts w:ascii="Arial" w:hAnsi="Arial" w:cs="Arial"/>
          <w:sz w:val="22"/>
          <w:szCs w:val="22"/>
        </w:rPr>
        <w:t>, firms selectively embedded buffering, route diversification, and lead-time absorption in response to disruption. This indicates that adaptation is conditional</w:t>
      </w:r>
      <w:r>
        <w:rPr>
          <w:rFonts w:ascii="Arial" w:hAnsi="Arial" w:cs="Arial"/>
          <w:sz w:val="22"/>
          <w:szCs w:val="22"/>
        </w:rPr>
        <w:t xml:space="preserve"> rather than universal and varies with</w:t>
      </w:r>
      <w:r w:rsidRPr="00AC2A43">
        <w:rPr>
          <w:rFonts w:ascii="Arial" w:hAnsi="Arial" w:cs="Arial"/>
          <w:sz w:val="22"/>
          <w:szCs w:val="22"/>
        </w:rPr>
        <w:t xml:space="preserve"> exposure and operational capacity.</w:t>
      </w:r>
    </w:p>
    <w:p w14:paraId="36D3443A" w14:textId="1A9EC660" w:rsidR="00AC2A43" w:rsidRPr="00AC2A43" w:rsidRDefault="00AC2A43" w:rsidP="00AC2A43">
      <w:pPr>
        <w:spacing w:after="0" w:line="360" w:lineRule="auto"/>
        <w:ind w:firstLine="567"/>
        <w:jc w:val="both"/>
        <w:rPr>
          <w:rFonts w:ascii="Arial" w:hAnsi="Arial" w:cs="Arial"/>
          <w:sz w:val="22"/>
          <w:szCs w:val="22"/>
        </w:rPr>
      </w:pPr>
      <w:r w:rsidRPr="00AC2A43">
        <w:rPr>
          <w:rFonts w:ascii="Arial" w:hAnsi="Arial" w:cs="Arial"/>
          <w:sz w:val="22"/>
          <w:szCs w:val="22"/>
        </w:rPr>
        <w:t>The evidence challenges static interpretations of resilience. JLR’s persistently high buffers, Nissan’s sharp inventory expansion, and the more constrained adjustments of Toyota, Bentley, and Aston Martin reveal that buffering is strategically calibrated rather than uniformly applied. Thus, resilience emerges as a capability-based response rather than a standardised outcome. This aligns with capability-enhancement perspectives, where firms reconfigure operations to maintain functionality under stress (Ralston and Blackhurst, 2020).</w:t>
      </w:r>
    </w:p>
    <w:p w14:paraId="671FF078" w14:textId="40BCB8AA" w:rsidR="00AC2A43" w:rsidRPr="00AC2A43" w:rsidRDefault="00AC2A43" w:rsidP="00AC2A43">
      <w:pPr>
        <w:spacing w:after="0" w:line="360" w:lineRule="auto"/>
        <w:ind w:firstLine="567"/>
        <w:jc w:val="both"/>
        <w:rPr>
          <w:rFonts w:ascii="Arial" w:hAnsi="Arial" w:cs="Arial"/>
          <w:sz w:val="22"/>
          <w:szCs w:val="22"/>
        </w:rPr>
      </w:pPr>
      <w:r w:rsidRPr="00AC2A43">
        <w:rPr>
          <w:rFonts w:ascii="Arial" w:hAnsi="Arial" w:cs="Arial"/>
          <w:sz w:val="22"/>
          <w:szCs w:val="22"/>
        </w:rPr>
        <w:t>Moreover, route switching and lead-time inflation show that resilience involves trade-offs, not efficiency-neutral adjustments. Hybrid JIT–JIC systems therefore operate through selective redundancy embedded within lean structures.</w:t>
      </w:r>
    </w:p>
    <w:p w14:paraId="391F32A2" w14:textId="22F85AB9" w:rsidR="00240EC9" w:rsidRDefault="00AC2A43" w:rsidP="00AC2A43">
      <w:pPr>
        <w:spacing w:after="0" w:line="360" w:lineRule="auto"/>
        <w:ind w:firstLine="567"/>
        <w:jc w:val="both"/>
        <w:rPr>
          <w:rFonts w:ascii="Arial" w:hAnsi="Arial" w:cs="Arial"/>
          <w:sz w:val="22"/>
          <w:szCs w:val="22"/>
        </w:rPr>
      </w:pPr>
      <w:r w:rsidRPr="00AC2A43">
        <w:rPr>
          <w:rFonts w:ascii="Arial" w:hAnsi="Arial" w:cs="Arial"/>
          <w:sz w:val="22"/>
          <w:szCs w:val="22"/>
        </w:rPr>
        <w:t xml:space="preserve">Overall, the findings suggest that JIT is not replaced but re-engineered through targeted JIC mechanisms. This reframes the theory from </w:t>
      </w:r>
      <w:r w:rsidR="00063948">
        <w:rPr>
          <w:rFonts w:ascii="Arial" w:hAnsi="Arial" w:cs="Arial"/>
          <w:sz w:val="22"/>
          <w:szCs w:val="22"/>
        </w:rPr>
        <w:t>a binary substitution to an adaptive integration,</w:t>
      </w:r>
      <w:r w:rsidRPr="00AC2A43">
        <w:rPr>
          <w:rFonts w:ascii="Arial" w:hAnsi="Arial" w:cs="Arial"/>
          <w:sz w:val="22"/>
          <w:szCs w:val="22"/>
        </w:rPr>
        <w:t xml:space="preserve"> and leads directly to RQ2, where the financial and operational consequences of these adjustments are examined.</w:t>
      </w:r>
    </w:p>
    <w:p w14:paraId="270919CA" w14:textId="77777777" w:rsidR="00240EC9" w:rsidRDefault="00240EC9" w:rsidP="00AC2A43">
      <w:pPr>
        <w:spacing w:after="0" w:line="360" w:lineRule="auto"/>
        <w:ind w:firstLine="567"/>
        <w:jc w:val="both"/>
        <w:rPr>
          <w:rFonts w:ascii="Arial" w:hAnsi="Arial" w:cs="Arial"/>
          <w:sz w:val="22"/>
          <w:szCs w:val="22"/>
        </w:rPr>
      </w:pPr>
    </w:p>
    <w:p w14:paraId="6194E72D" w14:textId="77777777" w:rsidR="00240EC9" w:rsidRDefault="00240EC9" w:rsidP="00A92367">
      <w:pPr>
        <w:spacing w:after="0" w:line="360" w:lineRule="auto"/>
        <w:jc w:val="both"/>
        <w:rPr>
          <w:rFonts w:ascii="Arial" w:hAnsi="Arial" w:cs="Arial"/>
          <w:sz w:val="22"/>
          <w:szCs w:val="22"/>
        </w:rPr>
      </w:pPr>
    </w:p>
    <w:p w14:paraId="4072CBE2" w14:textId="77777777" w:rsidR="00240EC9" w:rsidRDefault="00240EC9" w:rsidP="00A92367">
      <w:pPr>
        <w:spacing w:after="0" w:line="360" w:lineRule="auto"/>
        <w:jc w:val="both"/>
        <w:rPr>
          <w:rFonts w:ascii="Arial" w:hAnsi="Arial" w:cs="Arial"/>
          <w:sz w:val="22"/>
          <w:szCs w:val="22"/>
        </w:rPr>
      </w:pPr>
    </w:p>
    <w:p w14:paraId="64E1A278" w14:textId="77777777" w:rsidR="00240EC9" w:rsidRDefault="00240EC9" w:rsidP="00A92367">
      <w:pPr>
        <w:spacing w:after="0" w:line="360" w:lineRule="auto"/>
        <w:jc w:val="both"/>
        <w:rPr>
          <w:rFonts w:ascii="Arial" w:hAnsi="Arial" w:cs="Arial"/>
          <w:sz w:val="22"/>
          <w:szCs w:val="22"/>
        </w:rPr>
      </w:pPr>
    </w:p>
    <w:p w14:paraId="3479BB6A" w14:textId="30AF34B8" w:rsidR="00240EC9" w:rsidRPr="003304E3" w:rsidRDefault="0092522A" w:rsidP="003304E3">
      <w:pPr>
        <w:pStyle w:val="Heading2"/>
        <w:spacing w:before="120"/>
        <w:rPr>
          <w:b/>
          <w:bCs/>
          <w:sz w:val="22"/>
          <w:szCs w:val="22"/>
        </w:rPr>
      </w:pPr>
      <w:bookmarkStart w:id="37" w:name="_Toc228883263"/>
      <w:r w:rsidRPr="003304E3">
        <w:rPr>
          <w:b/>
          <w:bCs/>
          <w:sz w:val="22"/>
          <w:szCs w:val="22"/>
        </w:rPr>
        <w:lastRenderedPageBreak/>
        <w:t>4.3. RQ2 Financial and operational impacts of Red Sea crisis</w:t>
      </w:r>
      <w:bookmarkEnd w:id="37"/>
    </w:p>
    <w:p w14:paraId="4EDBF51A" w14:textId="38F08B63" w:rsidR="00240EC9" w:rsidRDefault="00190BAF" w:rsidP="00A92367">
      <w:pPr>
        <w:spacing w:after="0" w:line="360" w:lineRule="auto"/>
        <w:jc w:val="both"/>
        <w:rPr>
          <w:rFonts w:ascii="Arial" w:hAnsi="Arial" w:cs="Arial"/>
          <w:sz w:val="22"/>
          <w:szCs w:val="22"/>
        </w:rPr>
      </w:pPr>
      <w:r w:rsidRPr="00190BAF">
        <w:rPr>
          <w:rFonts w:ascii="Arial" w:hAnsi="Arial" w:cs="Arial"/>
          <w:sz w:val="22"/>
          <w:szCs w:val="22"/>
        </w:rPr>
        <w:t xml:space="preserve">After RQ1 showed how businesses changed </w:t>
      </w:r>
      <w:r w:rsidR="006D7773">
        <w:rPr>
          <w:rFonts w:ascii="Arial" w:hAnsi="Arial" w:cs="Arial"/>
          <w:sz w:val="22"/>
          <w:szCs w:val="22"/>
        </w:rPr>
        <w:t>their operations through hybrid JIT-JIC reactions, RQ2 examines the</w:t>
      </w:r>
      <w:r w:rsidRPr="00190BAF">
        <w:rPr>
          <w:rFonts w:ascii="Arial" w:hAnsi="Arial" w:cs="Arial"/>
          <w:sz w:val="22"/>
          <w:szCs w:val="22"/>
        </w:rPr>
        <w:t xml:space="preserve"> financial and operational effects under systemic disruption.</w:t>
      </w:r>
    </w:p>
    <w:p w14:paraId="32690E71" w14:textId="4D67C858" w:rsidR="00190BAF" w:rsidRPr="003304E3" w:rsidRDefault="006D7773" w:rsidP="003304E3">
      <w:pPr>
        <w:pStyle w:val="Heading2"/>
        <w:spacing w:before="120"/>
        <w:rPr>
          <w:b/>
          <w:bCs/>
          <w:sz w:val="22"/>
          <w:szCs w:val="22"/>
        </w:rPr>
      </w:pPr>
      <w:bookmarkStart w:id="38" w:name="_Toc228883264"/>
      <w:r w:rsidRPr="003304E3">
        <w:rPr>
          <w:b/>
          <w:bCs/>
          <w:sz w:val="22"/>
          <w:szCs w:val="22"/>
        </w:rPr>
        <w:t>4.3.1 Macro Disruption Evidence: Crisis Transmission Mechanisms</w:t>
      </w:r>
      <w:bookmarkEnd w:id="38"/>
    </w:p>
    <w:p w14:paraId="045DF63E" w14:textId="7693CC93" w:rsidR="00240EC9" w:rsidRDefault="00412F4E" w:rsidP="00A92367">
      <w:pPr>
        <w:spacing w:after="0" w:line="360" w:lineRule="auto"/>
        <w:jc w:val="both"/>
        <w:rPr>
          <w:rFonts w:ascii="Arial" w:hAnsi="Arial" w:cs="Arial"/>
          <w:sz w:val="22"/>
          <w:szCs w:val="22"/>
        </w:rPr>
      </w:pPr>
      <w:r w:rsidRPr="00412F4E">
        <w:rPr>
          <w:rFonts w:ascii="Arial" w:hAnsi="Arial" w:cs="Arial"/>
          <w:sz w:val="22"/>
          <w:szCs w:val="22"/>
        </w:rPr>
        <w:t>Figure 4.</w:t>
      </w:r>
      <w:r w:rsidR="00344E4F">
        <w:rPr>
          <w:rFonts w:ascii="Arial" w:hAnsi="Arial" w:cs="Arial"/>
          <w:sz w:val="22"/>
          <w:szCs w:val="22"/>
        </w:rPr>
        <w:t>5</w:t>
      </w:r>
      <w:r w:rsidRPr="00412F4E">
        <w:rPr>
          <w:rFonts w:ascii="Arial" w:hAnsi="Arial" w:cs="Arial"/>
          <w:sz w:val="22"/>
          <w:szCs w:val="22"/>
        </w:rPr>
        <w:t xml:space="preserve"> shows the escalation of transit times and global supply chain pressure (GSCPI) from 2019 to 2024, which is a strong indication of this diffusion.</w:t>
      </w:r>
    </w:p>
    <w:p w14:paraId="215B4E8A" w14:textId="77777777" w:rsidR="00412F4E" w:rsidRPr="002B123D" w:rsidRDefault="00412F4E" w:rsidP="007244B7">
      <w:pPr>
        <w:spacing w:after="0" w:line="360" w:lineRule="auto"/>
        <w:jc w:val="center"/>
        <w:rPr>
          <w:rFonts w:ascii="Arial" w:hAnsi="Arial" w:cs="Arial"/>
          <w:sz w:val="16"/>
          <w:szCs w:val="16"/>
        </w:rPr>
      </w:pPr>
    </w:p>
    <w:p w14:paraId="7B2D98E6" w14:textId="16F612D1" w:rsidR="007244B7" w:rsidRDefault="007244B7" w:rsidP="007244B7">
      <w:pPr>
        <w:spacing w:after="0" w:line="360" w:lineRule="auto"/>
        <w:jc w:val="center"/>
        <w:rPr>
          <w:rFonts w:ascii="Arial" w:hAnsi="Arial" w:cs="Arial"/>
          <w:sz w:val="20"/>
          <w:szCs w:val="20"/>
        </w:rPr>
      </w:pPr>
      <w:r w:rsidRPr="007244B7">
        <w:rPr>
          <w:rFonts w:ascii="Arial" w:hAnsi="Arial" w:cs="Arial"/>
          <w:sz w:val="20"/>
          <w:szCs w:val="20"/>
        </w:rPr>
        <w:t>Figure 4.</w:t>
      </w:r>
      <w:r w:rsidR="00344E4F">
        <w:rPr>
          <w:rFonts w:ascii="Arial" w:hAnsi="Arial" w:cs="Arial"/>
          <w:sz w:val="20"/>
          <w:szCs w:val="20"/>
        </w:rPr>
        <w:t>5</w:t>
      </w:r>
      <w:r w:rsidRPr="007244B7">
        <w:rPr>
          <w:rFonts w:ascii="Arial" w:hAnsi="Arial" w:cs="Arial"/>
          <w:sz w:val="20"/>
          <w:szCs w:val="20"/>
        </w:rPr>
        <w:t xml:space="preserve"> Global Supply Chain Pressure and Transit Time Escalation (2019–2024)</w:t>
      </w:r>
    </w:p>
    <w:p w14:paraId="09BDDE10" w14:textId="40C42AA2" w:rsidR="007244B7" w:rsidRPr="007244B7" w:rsidRDefault="007107FE" w:rsidP="007244B7">
      <w:pPr>
        <w:spacing w:after="0" w:line="360" w:lineRule="auto"/>
        <w:jc w:val="center"/>
        <w:rPr>
          <w:rFonts w:ascii="Arial" w:hAnsi="Arial" w:cs="Arial"/>
          <w:sz w:val="20"/>
          <w:szCs w:val="20"/>
        </w:rPr>
      </w:pPr>
      <w:r w:rsidRPr="007107FE">
        <w:rPr>
          <w:rFonts w:ascii="Arial" w:hAnsi="Arial" w:cs="Arial"/>
          <w:noProof/>
          <w:sz w:val="20"/>
          <w:szCs w:val="20"/>
        </w:rPr>
        <w:drawing>
          <wp:inline distT="0" distB="0" distL="0" distR="0" wp14:anchorId="40A45D72" wp14:editId="3942BE08">
            <wp:extent cx="5729670" cy="2113808"/>
            <wp:effectExtent l="0" t="0" r="4445" b="1270"/>
            <wp:docPr id="157405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53986" name=""/>
                    <pic:cNvPicPr/>
                  </pic:nvPicPr>
                  <pic:blipFill>
                    <a:blip r:embed="rId31"/>
                    <a:stretch>
                      <a:fillRect/>
                    </a:stretch>
                  </pic:blipFill>
                  <pic:spPr>
                    <a:xfrm>
                      <a:off x="0" y="0"/>
                      <a:ext cx="5777486" cy="2131448"/>
                    </a:xfrm>
                    <a:prstGeom prst="rect">
                      <a:avLst/>
                    </a:prstGeom>
                  </pic:spPr>
                </pic:pic>
              </a:graphicData>
            </a:graphic>
          </wp:inline>
        </w:drawing>
      </w:r>
    </w:p>
    <w:p w14:paraId="369765D8" w14:textId="2D7287B8" w:rsidR="00412F4E" w:rsidRPr="00E13071" w:rsidRDefault="00E13071" w:rsidP="00E13071">
      <w:pPr>
        <w:spacing w:after="0" w:line="240" w:lineRule="auto"/>
        <w:jc w:val="center"/>
        <w:rPr>
          <w:rFonts w:ascii="Arial" w:hAnsi="Arial" w:cs="Arial"/>
          <w:i/>
          <w:iCs/>
          <w:sz w:val="20"/>
          <w:szCs w:val="20"/>
        </w:rPr>
      </w:pPr>
      <w:r>
        <w:rPr>
          <w:rFonts w:ascii="Arial" w:hAnsi="Arial" w:cs="Arial"/>
          <w:i/>
          <w:iCs/>
          <w:sz w:val="20"/>
          <w:szCs w:val="20"/>
        </w:rPr>
        <w:t>(</w:t>
      </w:r>
      <w:r w:rsidRPr="00E13071">
        <w:rPr>
          <w:rFonts w:ascii="Arial" w:hAnsi="Arial" w:cs="Arial"/>
          <w:i/>
          <w:iCs/>
          <w:sz w:val="20"/>
          <w:szCs w:val="20"/>
        </w:rPr>
        <w:t>Source: Author’s visualisation based on Federal Reserve Bank of New York GSCPI data and firm transit-time records</w:t>
      </w:r>
      <w:r>
        <w:rPr>
          <w:rFonts w:ascii="Arial" w:hAnsi="Arial" w:cs="Arial"/>
          <w:i/>
          <w:iCs/>
          <w:sz w:val="20"/>
          <w:szCs w:val="20"/>
        </w:rPr>
        <w:t>)</w:t>
      </w:r>
    </w:p>
    <w:p w14:paraId="0A0E759A" w14:textId="77777777" w:rsidR="00240EC9" w:rsidRDefault="00240EC9" w:rsidP="00A92367">
      <w:pPr>
        <w:spacing w:after="0" w:line="360" w:lineRule="auto"/>
        <w:jc w:val="both"/>
        <w:rPr>
          <w:rFonts w:ascii="Arial" w:hAnsi="Arial" w:cs="Arial"/>
          <w:sz w:val="22"/>
          <w:szCs w:val="22"/>
        </w:rPr>
      </w:pPr>
    </w:p>
    <w:p w14:paraId="76F21E13" w14:textId="307F98C1" w:rsidR="002B123D" w:rsidRPr="002B123D" w:rsidRDefault="002B123D" w:rsidP="002B123D">
      <w:pPr>
        <w:spacing w:after="0" w:line="360" w:lineRule="auto"/>
        <w:ind w:firstLine="567"/>
        <w:jc w:val="both"/>
        <w:rPr>
          <w:rFonts w:ascii="Arial" w:hAnsi="Arial" w:cs="Arial"/>
          <w:sz w:val="22"/>
          <w:szCs w:val="22"/>
        </w:rPr>
      </w:pPr>
      <w:r w:rsidRPr="002B123D">
        <w:rPr>
          <w:rFonts w:ascii="Arial" w:hAnsi="Arial" w:cs="Arial"/>
          <w:sz w:val="22"/>
          <w:szCs w:val="22"/>
        </w:rPr>
        <w:t>Expanding on RQ1, Figure 4.5 shows that disruption spreads systematically instead of locally. In April 2020, GSCP hits a high of 3.38, followed by 3.77 in January 2022, and 3.60 in April 2022. However, by March 2024, when the transit time exceeds 42.57 days, up from about 29 days before the crisis, it drops to -0.35. Importantly, disruption increases even as traditional pressure indicators fall. Dislocated flows due to rerouting, congestion, and network strain are reflected by the negative GSCP, which does not signify recovery.</w:t>
      </w:r>
    </w:p>
    <w:p w14:paraId="08C62CEE" w14:textId="1D81E95E" w:rsidR="000126BC" w:rsidRDefault="002B123D" w:rsidP="002B123D">
      <w:pPr>
        <w:spacing w:after="0" w:line="360" w:lineRule="auto"/>
        <w:ind w:firstLine="567"/>
        <w:jc w:val="both"/>
        <w:rPr>
          <w:rFonts w:ascii="Arial" w:hAnsi="Arial" w:cs="Arial"/>
          <w:sz w:val="22"/>
          <w:szCs w:val="22"/>
        </w:rPr>
      </w:pPr>
      <w:r>
        <w:rPr>
          <w:rFonts w:ascii="Arial" w:hAnsi="Arial" w:cs="Arial"/>
          <w:sz w:val="22"/>
          <w:szCs w:val="22"/>
        </w:rPr>
        <w:t>Figure 4.6</w:t>
      </w:r>
      <w:r w:rsidRPr="002B123D">
        <w:rPr>
          <w:rFonts w:ascii="Arial" w:hAnsi="Arial" w:cs="Arial"/>
          <w:sz w:val="22"/>
          <w:szCs w:val="22"/>
        </w:rPr>
        <w:t xml:space="preserve">, the Suez Traffic Collapse as a Result of the Red Sea Crisis, provides more evidence of this process. From 32,830 in October 2023 to 15,610 in March 2024, vessel movements </w:t>
      </w:r>
      <w:r>
        <w:rPr>
          <w:rFonts w:ascii="Arial" w:hAnsi="Arial" w:cs="Arial"/>
          <w:sz w:val="22"/>
          <w:szCs w:val="22"/>
        </w:rPr>
        <w:t>decreased, and transit durations peaked</w:t>
      </w:r>
      <w:r w:rsidRPr="002B123D">
        <w:rPr>
          <w:rFonts w:ascii="Arial" w:hAnsi="Arial" w:cs="Arial"/>
          <w:sz w:val="22"/>
          <w:szCs w:val="22"/>
        </w:rPr>
        <w:t xml:space="preserve"> at the same time, before settling around 14,000 to 15,000 in late 2024. According to Herberger, Wieland, and Hochstrasser (2024), this proves that disruptions are not fixed but rather transferred to other lines. Consequently, operational </w:t>
      </w:r>
      <w:r>
        <w:rPr>
          <w:rFonts w:ascii="Arial" w:hAnsi="Arial" w:cs="Arial"/>
          <w:sz w:val="22"/>
          <w:szCs w:val="22"/>
        </w:rPr>
        <w:t>costs and performance consequences stem from the need to understand firm-level performance as a response</w:t>
      </w:r>
      <w:r w:rsidRPr="002B123D">
        <w:rPr>
          <w:rFonts w:ascii="Arial" w:hAnsi="Arial" w:cs="Arial"/>
          <w:sz w:val="22"/>
          <w:szCs w:val="22"/>
        </w:rPr>
        <w:t xml:space="preserve"> to systemic transmission channels.</w:t>
      </w:r>
    </w:p>
    <w:p w14:paraId="45829A3A" w14:textId="77777777" w:rsidR="002B123D" w:rsidRDefault="002B123D" w:rsidP="002B123D">
      <w:pPr>
        <w:spacing w:after="0" w:line="360" w:lineRule="auto"/>
        <w:ind w:firstLine="567"/>
        <w:jc w:val="both"/>
        <w:rPr>
          <w:rFonts w:ascii="Arial" w:hAnsi="Arial" w:cs="Arial"/>
          <w:sz w:val="16"/>
          <w:szCs w:val="16"/>
        </w:rPr>
      </w:pPr>
    </w:p>
    <w:p w14:paraId="00C1F1B2" w14:textId="77777777" w:rsidR="002B123D" w:rsidRDefault="002B123D" w:rsidP="002B123D">
      <w:pPr>
        <w:spacing w:after="0" w:line="360" w:lineRule="auto"/>
        <w:ind w:firstLine="567"/>
        <w:jc w:val="both"/>
        <w:rPr>
          <w:rFonts w:ascii="Arial" w:hAnsi="Arial" w:cs="Arial"/>
          <w:sz w:val="16"/>
          <w:szCs w:val="16"/>
        </w:rPr>
      </w:pPr>
    </w:p>
    <w:p w14:paraId="6599FDD8" w14:textId="77777777" w:rsidR="002B123D" w:rsidRDefault="002B123D" w:rsidP="002B123D">
      <w:pPr>
        <w:spacing w:after="0" w:line="360" w:lineRule="auto"/>
        <w:ind w:firstLine="567"/>
        <w:jc w:val="both"/>
        <w:rPr>
          <w:rFonts w:ascii="Arial" w:hAnsi="Arial" w:cs="Arial"/>
          <w:sz w:val="16"/>
          <w:szCs w:val="16"/>
        </w:rPr>
      </w:pPr>
    </w:p>
    <w:p w14:paraId="6F42134F" w14:textId="77777777" w:rsidR="002B123D" w:rsidRDefault="002B123D" w:rsidP="002B123D">
      <w:pPr>
        <w:spacing w:after="0" w:line="360" w:lineRule="auto"/>
        <w:ind w:firstLine="567"/>
        <w:jc w:val="both"/>
        <w:rPr>
          <w:rFonts w:ascii="Arial" w:hAnsi="Arial" w:cs="Arial"/>
          <w:sz w:val="16"/>
          <w:szCs w:val="16"/>
        </w:rPr>
      </w:pPr>
    </w:p>
    <w:p w14:paraId="733754C8" w14:textId="77777777" w:rsidR="002B123D" w:rsidRDefault="002B123D" w:rsidP="002B123D">
      <w:pPr>
        <w:spacing w:after="0" w:line="360" w:lineRule="auto"/>
        <w:ind w:firstLine="567"/>
        <w:jc w:val="both"/>
        <w:rPr>
          <w:rFonts w:ascii="Arial" w:hAnsi="Arial" w:cs="Arial"/>
          <w:sz w:val="16"/>
          <w:szCs w:val="16"/>
        </w:rPr>
      </w:pPr>
    </w:p>
    <w:p w14:paraId="55C13916" w14:textId="77777777" w:rsidR="002B123D" w:rsidRPr="002B123D" w:rsidRDefault="002B123D" w:rsidP="002B123D">
      <w:pPr>
        <w:spacing w:after="0" w:line="360" w:lineRule="auto"/>
        <w:ind w:firstLine="567"/>
        <w:jc w:val="both"/>
        <w:rPr>
          <w:rFonts w:ascii="Arial" w:hAnsi="Arial" w:cs="Arial"/>
          <w:sz w:val="16"/>
          <w:szCs w:val="16"/>
        </w:rPr>
      </w:pPr>
    </w:p>
    <w:p w14:paraId="43F1877F" w14:textId="120FCF13" w:rsidR="000126BC" w:rsidRPr="003C721F" w:rsidRDefault="003C721F" w:rsidP="003C721F">
      <w:pPr>
        <w:spacing w:after="0" w:line="360" w:lineRule="auto"/>
        <w:jc w:val="center"/>
        <w:rPr>
          <w:rFonts w:ascii="Arial" w:hAnsi="Arial" w:cs="Arial"/>
          <w:sz w:val="20"/>
          <w:szCs w:val="20"/>
        </w:rPr>
      </w:pPr>
      <w:r w:rsidRPr="003C721F">
        <w:rPr>
          <w:rFonts w:ascii="Arial" w:hAnsi="Arial" w:cs="Arial"/>
          <w:sz w:val="20"/>
          <w:szCs w:val="20"/>
        </w:rPr>
        <w:lastRenderedPageBreak/>
        <w:t>Figure 4.</w:t>
      </w:r>
      <w:r w:rsidR="003508E2">
        <w:rPr>
          <w:rFonts w:ascii="Arial" w:hAnsi="Arial" w:cs="Arial"/>
          <w:sz w:val="20"/>
          <w:szCs w:val="20"/>
        </w:rPr>
        <w:t>6</w:t>
      </w:r>
      <w:r w:rsidR="00235F6C">
        <w:rPr>
          <w:rFonts w:ascii="Arial" w:hAnsi="Arial" w:cs="Arial"/>
          <w:sz w:val="20"/>
          <w:szCs w:val="20"/>
        </w:rPr>
        <w:t>.</w:t>
      </w:r>
      <w:r w:rsidRPr="003C721F">
        <w:rPr>
          <w:rFonts w:ascii="Arial" w:hAnsi="Arial" w:cs="Arial"/>
          <w:sz w:val="20"/>
          <w:szCs w:val="20"/>
        </w:rPr>
        <w:t xml:space="preserve"> Suez Traffic Collapse During Red Sea Disruption</w:t>
      </w:r>
    </w:p>
    <w:p w14:paraId="31C7454A" w14:textId="4575F6A1" w:rsidR="000126BC" w:rsidRDefault="00EA0417" w:rsidP="00EA0417">
      <w:pPr>
        <w:spacing w:after="0" w:line="360" w:lineRule="auto"/>
        <w:jc w:val="center"/>
        <w:rPr>
          <w:rFonts w:ascii="Arial" w:hAnsi="Arial" w:cs="Arial"/>
          <w:sz w:val="22"/>
          <w:szCs w:val="22"/>
        </w:rPr>
      </w:pPr>
      <w:r w:rsidRPr="00EA0417">
        <w:rPr>
          <w:rFonts w:ascii="Arial" w:hAnsi="Arial" w:cs="Arial"/>
          <w:noProof/>
          <w:sz w:val="22"/>
          <w:szCs w:val="22"/>
        </w:rPr>
        <w:drawing>
          <wp:inline distT="0" distB="0" distL="0" distR="0" wp14:anchorId="59834B10" wp14:editId="00082007">
            <wp:extent cx="5731510" cy="1775361"/>
            <wp:effectExtent l="0" t="0" r="2540" b="0"/>
            <wp:docPr id="21940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01007" name=""/>
                    <pic:cNvPicPr/>
                  </pic:nvPicPr>
                  <pic:blipFill>
                    <a:blip r:embed="rId32"/>
                    <a:stretch>
                      <a:fillRect/>
                    </a:stretch>
                  </pic:blipFill>
                  <pic:spPr>
                    <a:xfrm>
                      <a:off x="0" y="0"/>
                      <a:ext cx="5731510" cy="1775361"/>
                    </a:xfrm>
                    <a:prstGeom prst="rect">
                      <a:avLst/>
                    </a:prstGeom>
                  </pic:spPr>
                </pic:pic>
              </a:graphicData>
            </a:graphic>
          </wp:inline>
        </w:drawing>
      </w:r>
    </w:p>
    <w:p w14:paraId="7C66C74F" w14:textId="79ECBE12" w:rsidR="00240EC9" w:rsidRPr="003508E2" w:rsidRDefault="00F3553F" w:rsidP="00F3553F">
      <w:pPr>
        <w:spacing w:after="0" w:line="360" w:lineRule="auto"/>
        <w:ind w:firstLine="567"/>
        <w:jc w:val="center"/>
        <w:rPr>
          <w:rFonts w:ascii="Arial" w:hAnsi="Arial" w:cs="Arial"/>
          <w:i/>
          <w:iCs/>
          <w:sz w:val="20"/>
          <w:szCs w:val="20"/>
        </w:rPr>
      </w:pPr>
      <w:r w:rsidRPr="003508E2">
        <w:rPr>
          <w:rFonts w:ascii="Arial" w:hAnsi="Arial" w:cs="Arial"/>
          <w:i/>
          <w:iCs/>
          <w:sz w:val="20"/>
          <w:szCs w:val="20"/>
        </w:rPr>
        <w:t>(</w:t>
      </w:r>
      <w:r w:rsidR="00E352E7" w:rsidRPr="003508E2">
        <w:rPr>
          <w:rFonts w:ascii="Arial" w:hAnsi="Arial" w:cs="Arial"/>
          <w:i/>
          <w:iCs/>
          <w:sz w:val="20"/>
          <w:szCs w:val="20"/>
        </w:rPr>
        <w:t>Source: Author’s visualisation based on Suez Canal Authority vessel traffic data</w:t>
      </w:r>
      <w:r w:rsidRPr="003508E2">
        <w:rPr>
          <w:rFonts w:ascii="Arial" w:hAnsi="Arial" w:cs="Arial"/>
          <w:i/>
          <w:iCs/>
          <w:sz w:val="20"/>
          <w:szCs w:val="20"/>
        </w:rPr>
        <w:t>)</w:t>
      </w:r>
    </w:p>
    <w:p w14:paraId="2A73C2A2" w14:textId="77777777" w:rsidR="00240EC9" w:rsidRPr="00786C8C" w:rsidRDefault="00240EC9" w:rsidP="00F3553F">
      <w:pPr>
        <w:spacing w:after="0" w:line="360" w:lineRule="auto"/>
        <w:jc w:val="center"/>
        <w:rPr>
          <w:rFonts w:ascii="Arial" w:hAnsi="Arial" w:cs="Arial"/>
          <w:sz w:val="16"/>
          <w:szCs w:val="16"/>
        </w:rPr>
      </w:pPr>
    </w:p>
    <w:p w14:paraId="7C91A954" w14:textId="0F133EC9" w:rsidR="00786C8C" w:rsidRPr="00786C8C" w:rsidRDefault="00786C8C" w:rsidP="00786C8C">
      <w:pPr>
        <w:spacing w:after="0" w:line="360" w:lineRule="auto"/>
        <w:ind w:firstLine="567"/>
        <w:jc w:val="both"/>
        <w:rPr>
          <w:rFonts w:ascii="Arial" w:hAnsi="Arial" w:cs="Arial"/>
          <w:sz w:val="22"/>
          <w:szCs w:val="22"/>
        </w:rPr>
      </w:pPr>
      <w:r w:rsidRPr="00786C8C">
        <w:rPr>
          <w:rFonts w:ascii="Arial" w:hAnsi="Arial" w:cs="Arial"/>
          <w:sz w:val="22"/>
          <w:szCs w:val="22"/>
        </w:rPr>
        <w:t xml:space="preserve">The correlation between increasing transit times and falling Suez throughput is shown </w:t>
      </w:r>
      <w:r>
        <w:rPr>
          <w:rFonts w:ascii="Arial" w:hAnsi="Arial" w:cs="Arial"/>
          <w:sz w:val="22"/>
          <w:szCs w:val="22"/>
        </w:rPr>
        <w:t>in</w:t>
      </w:r>
      <w:r w:rsidRPr="00786C8C">
        <w:rPr>
          <w:rFonts w:ascii="Arial" w:hAnsi="Arial" w:cs="Arial"/>
          <w:sz w:val="22"/>
          <w:szCs w:val="22"/>
        </w:rPr>
        <w:t xml:space="preserve"> Figure 4.6. Congestion and forced rerouting, not demand shocks, cause disruption, since peak delays </w:t>
      </w:r>
      <w:r>
        <w:rPr>
          <w:rFonts w:ascii="Arial" w:hAnsi="Arial" w:cs="Arial"/>
          <w:sz w:val="22"/>
          <w:szCs w:val="22"/>
        </w:rPr>
        <w:t>coincide with vessel movements falling</w:t>
      </w:r>
      <w:r w:rsidRPr="00786C8C">
        <w:rPr>
          <w:rFonts w:ascii="Arial" w:hAnsi="Arial" w:cs="Arial"/>
          <w:sz w:val="22"/>
          <w:szCs w:val="22"/>
        </w:rPr>
        <w:t xml:space="preserve"> by over 50%. Reducing marine capacity directly leads to lead-time inflation, according to Xu et al. (2020) and Huang, Ghadge and Yates (2024).</w:t>
      </w:r>
    </w:p>
    <w:p w14:paraId="64F281AA" w14:textId="34C65C55" w:rsidR="00786C8C" w:rsidRPr="003304E3" w:rsidRDefault="00786C8C" w:rsidP="003304E3">
      <w:pPr>
        <w:spacing w:after="0" w:line="360" w:lineRule="auto"/>
        <w:ind w:firstLine="567"/>
        <w:jc w:val="both"/>
        <w:rPr>
          <w:rFonts w:ascii="Arial" w:hAnsi="Arial" w:cs="Arial"/>
          <w:sz w:val="20"/>
          <w:szCs w:val="20"/>
        </w:rPr>
      </w:pPr>
      <w:r w:rsidRPr="003304E3">
        <w:rPr>
          <w:rFonts w:ascii="Arial" w:hAnsi="Arial" w:cs="Arial"/>
          <w:sz w:val="22"/>
          <w:szCs w:val="22"/>
        </w:rPr>
        <w:t>Moreover, the pattern indicates that the whole network has been disrupted, not just a single route. System reconfiguration, not individual bottlenecks, is the mechanism by which disruption propagates. Consequently, these macro pressures are best understood as systemic limits; the next part delves into this concept by examining their effects on firm-level finances and operations.</w:t>
      </w:r>
    </w:p>
    <w:p w14:paraId="3AAA1BA9" w14:textId="17A30B3B" w:rsidR="00240EC9" w:rsidRPr="003304E3" w:rsidRDefault="004D04C0" w:rsidP="003304E3">
      <w:pPr>
        <w:pStyle w:val="Heading2"/>
        <w:spacing w:before="120"/>
        <w:rPr>
          <w:b/>
          <w:bCs/>
          <w:sz w:val="22"/>
          <w:szCs w:val="22"/>
        </w:rPr>
      </w:pPr>
      <w:bookmarkStart w:id="39" w:name="_Toc228883265"/>
      <w:r w:rsidRPr="003304E3">
        <w:rPr>
          <w:b/>
          <w:bCs/>
          <w:sz w:val="22"/>
          <w:szCs w:val="22"/>
        </w:rPr>
        <w:t>4.3.2 Cost Impact Findings and Shock Absorption Responses</w:t>
      </w:r>
      <w:bookmarkEnd w:id="39"/>
    </w:p>
    <w:p w14:paraId="08D434A9" w14:textId="682492A8" w:rsidR="00586237" w:rsidRPr="00586237" w:rsidRDefault="00586237" w:rsidP="00586237">
      <w:pPr>
        <w:spacing w:after="0" w:line="360" w:lineRule="auto"/>
        <w:ind w:firstLine="567"/>
        <w:jc w:val="both"/>
        <w:rPr>
          <w:rFonts w:ascii="Arial" w:hAnsi="Arial" w:cs="Arial"/>
          <w:sz w:val="22"/>
          <w:szCs w:val="22"/>
        </w:rPr>
      </w:pPr>
      <w:r w:rsidRPr="00586237">
        <w:rPr>
          <w:rFonts w:ascii="Arial" w:hAnsi="Arial" w:cs="Arial"/>
          <w:sz w:val="22"/>
          <w:szCs w:val="22"/>
        </w:rPr>
        <w:t xml:space="preserve">Logistics network interruptions affected firm-level cost exposure and shock absorption. Crisis </w:t>
      </w:r>
      <w:r>
        <w:rPr>
          <w:rFonts w:ascii="Arial" w:hAnsi="Arial" w:cs="Arial"/>
          <w:sz w:val="22"/>
          <w:szCs w:val="22"/>
        </w:rPr>
        <w:t>doesn't always stop at delays; thus,</w:t>
      </w:r>
      <w:r w:rsidRPr="00586237">
        <w:rPr>
          <w:rFonts w:ascii="Arial" w:hAnsi="Arial" w:cs="Arial"/>
          <w:sz w:val="22"/>
          <w:szCs w:val="22"/>
        </w:rPr>
        <w:t xml:space="preserve"> they charge.</w:t>
      </w:r>
    </w:p>
    <w:p w14:paraId="4295CBF9" w14:textId="4FF4E447" w:rsidR="00BE0272" w:rsidRDefault="00586237" w:rsidP="00586237">
      <w:pPr>
        <w:spacing w:after="0" w:line="360" w:lineRule="auto"/>
        <w:ind w:firstLine="567"/>
        <w:jc w:val="both"/>
        <w:rPr>
          <w:rFonts w:ascii="Arial" w:hAnsi="Arial" w:cs="Arial"/>
          <w:sz w:val="22"/>
          <w:szCs w:val="22"/>
        </w:rPr>
      </w:pPr>
      <w:r w:rsidRPr="00586237">
        <w:rPr>
          <w:rFonts w:ascii="Arial" w:hAnsi="Arial" w:cs="Arial"/>
          <w:sz w:val="22"/>
          <w:szCs w:val="22"/>
        </w:rPr>
        <w:t>This is seen in Figure 4.7 Global Supply Chain Pressure and Import Cost Exposure. The GSCPI dropped to -0.96 in April 2024, and enterprises' average import cost was £1,617,824, one of the highest.</w:t>
      </w:r>
    </w:p>
    <w:p w14:paraId="5DDDCAC9" w14:textId="77777777" w:rsidR="00586237" w:rsidRPr="00586237" w:rsidRDefault="00586237" w:rsidP="00586237">
      <w:pPr>
        <w:spacing w:after="0" w:line="360" w:lineRule="auto"/>
        <w:ind w:firstLine="567"/>
        <w:jc w:val="both"/>
        <w:rPr>
          <w:rFonts w:ascii="Arial" w:hAnsi="Arial" w:cs="Arial"/>
          <w:sz w:val="16"/>
          <w:szCs w:val="16"/>
        </w:rPr>
      </w:pPr>
    </w:p>
    <w:p w14:paraId="058F7D6D" w14:textId="3AF2C1F6" w:rsidR="000F7F35" w:rsidRDefault="00BE0272" w:rsidP="00BE0272">
      <w:pPr>
        <w:spacing w:after="0" w:line="360" w:lineRule="auto"/>
        <w:jc w:val="center"/>
        <w:rPr>
          <w:rFonts w:ascii="Arial" w:hAnsi="Arial" w:cs="Arial"/>
          <w:sz w:val="20"/>
          <w:szCs w:val="20"/>
        </w:rPr>
      </w:pPr>
      <w:r w:rsidRPr="00BE0272">
        <w:rPr>
          <w:rFonts w:ascii="Arial" w:hAnsi="Arial" w:cs="Arial"/>
          <w:sz w:val="20"/>
          <w:szCs w:val="20"/>
        </w:rPr>
        <w:t>Figure 4.</w:t>
      </w:r>
      <w:r w:rsidR="0003670E">
        <w:rPr>
          <w:rFonts w:ascii="Arial" w:hAnsi="Arial" w:cs="Arial"/>
          <w:sz w:val="20"/>
          <w:szCs w:val="20"/>
        </w:rPr>
        <w:t>7</w:t>
      </w:r>
      <w:r w:rsidR="00235F6C">
        <w:rPr>
          <w:rFonts w:ascii="Arial" w:hAnsi="Arial" w:cs="Arial"/>
          <w:sz w:val="20"/>
          <w:szCs w:val="20"/>
        </w:rPr>
        <w:t>.</w:t>
      </w:r>
      <w:r w:rsidRPr="00BE0272">
        <w:rPr>
          <w:rFonts w:ascii="Arial" w:hAnsi="Arial" w:cs="Arial"/>
          <w:sz w:val="20"/>
          <w:szCs w:val="20"/>
        </w:rPr>
        <w:t xml:space="preserve"> Global Supply Chain Pressure and Import Cost Response</w:t>
      </w:r>
    </w:p>
    <w:p w14:paraId="56E762CF" w14:textId="7CF9BC93" w:rsidR="00BE0272" w:rsidRPr="00425B0C" w:rsidRDefault="00425B0C" w:rsidP="00BE0272">
      <w:pPr>
        <w:spacing w:after="0" w:line="360" w:lineRule="auto"/>
        <w:jc w:val="center"/>
        <w:rPr>
          <w:rFonts w:ascii="Arial" w:hAnsi="Arial" w:cs="Arial"/>
          <w:i/>
          <w:iCs/>
          <w:sz w:val="16"/>
          <w:szCs w:val="16"/>
        </w:rPr>
      </w:pPr>
      <w:r w:rsidRPr="00425B0C">
        <w:rPr>
          <w:rFonts w:ascii="Arial" w:hAnsi="Arial" w:cs="Arial"/>
          <w:i/>
          <w:iCs/>
          <w:noProof/>
          <w:sz w:val="16"/>
          <w:szCs w:val="16"/>
        </w:rPr>
        <w:drawing>
          <wp:inline distT="0" distB="0" distL="0" distR="0" wp14:anchorId="13C444EC" wp14:editId="022A3BDB">
            <wp:extent cx="5728989" cy="1781299"/>
            <wp:effectExtent l="0" t="0" r="5080" b="9525"/>
            <wp:docPr id="498017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17926" name=""/>
                    <pic:cNvPicPr/>
                  </pic:nvPicPr>
                  <pic:blipFill>
                    <a:blip r:embed="rId33"/>
                    <a:stretch>
                      <a:fillRect/>
                    </a:stretch>
                  </pic:blipFill>
                  <pic:spPr>
                    <a:xfrm>
                      <a:off x="0" y="0"/>
                      <a:ext cx="5736860" cy="1783746"/>
                    </a:xfrm>
                    <a:prstGeom prst="rect">
                      <a:avLst/>
                    </a:prstGeom>
                  </pic:spPr>
                </pic:pic>
              </a:graphicData>
            </a:graphic>
          </wp:inline>
        </w:drawing>
      </w:r>
    </w:p>
    <w:p w14:paraId="5414F260" w14:textId="329AFE08" w:rsidR="000F7F35" w:rsidRDefault="00425B0C" w:rsidP="00425B0C">
      <w:pPr>
        <w:spacing w:after="0" w:line="360" w:lineRule="auto"/>
        <w:ind w:firstLine="567"/>
        <w:jc w:val="center"/>
        <w:rPr>
          <w:rFonts w:ascii="Arial" w:hAnsi="Arial" w:cs="Arial"/>
          <w:i/>
          <w:iCs/>
          <w:sz w:val="20"/>
          <w:szCs w:val="20"/>
        </w:rPr>
      </w:pPr>
      <w:r w:rsidRPr="00425B0C">
        <w:rPr>
          <w:rFonts w:ascii="Arial" w:hAnsi="Arial" w:cs="Arial"/>
          <w:i/>
          <w:iCs/>
          <w:sz w:val="20"/>
          <w:szCs w:val="20"/>
        </w:rPr>
        <w:t>(Source: Author’s calculations based on GSCPI and firm import cost data)</w:t>
      </w:r>
    </w:p>
    <w:p w14:paraId="3CE2DC5F" w14:textId="5B4B2F12" w:rsidR="00240EC9" w:rsidRDefault="00AA1FB4" w:rsidP="00153284">
      <w:pPr>
        <w:spacing w:after="0" w:line="360" w:lineRule="auto"/>
        <w:ind w:firstLine="567"/>
        <w:jc w:val="both"/>
        <w:rPr>
          <w:rFonts w:ascii="Arial" w:hAnsi="Arial" w:cs="Arial"/>
          <w:sz w:val="22"/>
          <w:szCs w:val="22"/>
        </w:rPr>
      </w:pPr>
      <w:r w:rsidRPr="00AA1FB4">
        <w:rPr>
          <w:rFonts w:ascii="Arial" w:hAnsi="Arial" w:cs="Arial"/>
          <w:sz w:val="22"/>
          <w:szCs w:val="22"/>
        </w:rPr>
        <w:lastRenderedPageBreak/>
        <w:t xml:space="preserve">Sustained cost transmission via rerouting, insurance, and </w:t>
      </w:r>
      <w:r>
        <w:rPr>
          <w:rFonts w:ascii="Arial" w:hAnsi="Arial" w:cs="Arial"/>
          <w:sz w:val="22"/>
          <w:szCs w:val="22"/>
        </w:rPr>
        <w:t>keeping</w:t>
      </w:r>
      <w:r w:rsidRPr="00AA1FB4">
        <w:rPr>
          <w:rFonts w:ascii="Arial" w:hAnsi="Arial" w:cs="Arial"/>
          <w:sz w:val="22"/>
          <w:szCs w:val="22"/>
        </w:rPr>
        <w:t xml:space="preserve"> lead times, rather than transient pressure, is shown by the fact that import costs stay excessive despite GSCP changes (</w:t>
      </w:r>
      <w:proofErr w:type="spellStart"/>
      <w:r w:rsidRPr="00AA1FB4">
        <w:rPr>
          <w:rFonts w:ascii="Arial" w:hAnsi="Arial" w:cs="Arial"/>
          <w:sz w:val="22"/>
          <w:szCs w:val="22"/>
        </w:rPr>
        <w:t>Gurtu</w:t>
      </w:r>
      <w:proofErr w:type="spellEnd"/>
      <w:r w:rsidRPr="00AA1FB4">
        <w:rPr>
          <w:rFonts w:ascii="Arial" w:hAnsi="Arial" w:cs="Arial"/>
          <w:sz w:val="22"/>
          <w:szCs w:val="22"/>
        </w:rPr>
        <w:t xml:space="preserve"> and Johny, 2021; Xu et al., 2020). Cost absorption and pass-through differ by capacity, as shown in the firm-level evidence (Section 3) (Hughes et al., 2022). Figure 4.8 provides further clarity on this inconsistent adjustment by showing how these diverse shock absorption techniques are reflected in the unit-level cost structures.</w:t>
      </w:r>
    </w:p>
    <w:p w14:paraId="04012757" w14:textId="77777777" w:rsidR="00153284" w:rsidRPr="00153284" w:rsidRDefault="00153284" w:rsidP="00153284">
      <w:pPr>
        <w:spacing w:after="0" w:line="360" w:lineRule="auto"/>
        <w:ind w:firstLine="567"/>
        <w:jc w:val="both"/>
        <w:rPr>
          <w:rFonts w:ascii="Arial" w:hAnsi="Arial" w:cs="Arial"/>
          <w:sz w:val="16"/>
          <w:szCs w:val="16"/>
        </w:rPr>
      </w:pPr>
    </w:p>
    <w:p w14:paraId="66C313BF" w14:textId="194296EE" w:rsidR="00240EC9" w:rsidRPr="00384A6F" w:rsidRDefault="00384A6F" w:rsidP="00384A6F">
      <w:pPr>
        <w:spacing w:after="0" w:line="360" w:lineRule="auto"/>
        <w:jc w:val="center"/>
        <w:rPr>
          <w:rFonts w:ascii="Arial" w:hAnsi="Arial" w:cs="Arial"/>
          <w:sz w:val="20"/>
          <w:szCs w:val="20"/>
        </w:rPr>
      </w:pPr>
      <w:r w:rsidRPr="00384A6F">
        <w:rPr>
          <w:rFonts w:ascii="Arial" w:hAnsi="Arial" w:cs="Arial"/>
          <w:sz w:val="20"/>
          <w:szCs w:val="20"/>
        </w:rPr>
        <w:t>Figure 4.</w:t>
      </w:r>
      <w:r w:rsidR="00153284">
        <w:rPr>
          <w:rFonts w:ascii="Arial" w:hAnsi="Arial" w:cs="Arial"/>
          <w:sz w:val="20"/>
          <w:szCs w:val="20"/>
        </w:rPr>
        <w:t>8.</w:t>
      </w:r>
      <w:r w:rsidRPr="00384A6F">
        <w:rPr>
          <w:rFonts w:ascii="Arial" w:hAnsi="Arial" w:cs="Arial"/>
          <w:sz w:val="20"/>
          <w:szCs w:val="20"/>
        </w:rPr>
        <w:t xml:space="preserve"> Cost per Unit Response under Supply Chain Pressure</w:t>
      </w:r>
    </w:p>
    <w:p w14:paraId="564CEB74" w14:textId="64955BA6" w:rsidR="00384A6F" w:rsidRDefault="00303CCE" w:rsidP="00384A6F">
      <w:pPr>
        <w:spacing w:after="0" w:line="360" w:lineRule="auto"/>
        <w:jc w:val="center"/>
        <w:rPr>
          <w:rFonts w:ascii="Arial" w:hAnsi="Arial" w:cs="Arial"/>
          <w:sz w:val="22"/>
          <w:szCs w:val="22"/>
        </w:rPr>
      </w:pPr>
      <w:r w:rsidRPr="00303CCE">
        <w:rPr>
          <w:rFonts w:ascii="Arial" w:hAnsi="Arial" w:cs="Arial"/>
          <w:noProof/>
          <w:sz w:val="22"/>
          <w:szCs w:val="22"/>
        </w:rPr>
        <w:drawing>
          <wp:inline distT="0" distB="0" distL="0" distR="0" wp14:anchorId="50E9DFB2" wp14:editId="6D40FAD0">
            <wp:extent cx="5730554" cy="1864425"/>
            <wp:effectExtent l="0" t="0" r="3810" b="2540"/>
            <wp:docPr id="95217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76706" name=""/>
                    <pic:cNvPicPr/>
                  </pic:nvPicPr>
                  <pic:blipFill>
                    <a:blip r:embed="rId34"/>
                    <a:stretch>
                      <a:fillRect/>
                    </a:stretch>
                  </pic:blipFill>
                  <pic:spPr>
                    <a:xfrm>
                      <a:off x="0" y="0"/>
                      <a:ext cx="5755546" cy="1872556"/>
                    </a:xfrm>
                    <a:prstGeom prst="rect">
                      <a:avLst/>
                    </a:prstGeom>
                  </pic:spPr>
                </pic:pic>
              </a:graphicData>
            </a:graphic>
          </wp:inline>
        </w:drawing>
      </w:r>
    </w:p>
    <w:p w14:paraId="04D70585" w14:textId="4BCB469B" w:rsidR="00240EC9" w:rsidRDefault="009A42CC" w:rsidP="009A42CC">
      <w:pPr>
        <w:spacing w:after="0" w:line="360" w:lineRule="auto"/>
        <w:jc w:val="center"/>
        <w:rPr>
          <w:rFonts w:ascii="Arial" w:hAnsi="Arial" w:cs="Arial"/>
          <w:i/>
          <w:iCs/>
          <w:sz w:val="20"/>
          <w:szCs w:val="20"/>
        </w:rPr>
      </w:pPr>
      <w:r w:rsidRPr="009A42CC">
        <w:rPr>
          <w:rFonts w:ascii="Arial" w:hAnsi="Arial" w:cs="Arial"/>
          <w:i/>
          <w:iCs/>
          <w:sz w:val="20"/>
          <w:szCs w:val="20"/>
        </w:rPr>
        <w:t>(Source: Author’s calculations based on firm cost-per-unit data)</w:t>
      </w:r>
    </w:p>
    <w:p w14:paraId="7FE3366B" w14:textId="77777777" w:rsidR="00615267" w:rsidRPr="00AC1962" w:rsidRDefault="00615267" w:rsidP="009A42CC">
      <w:pPr>
        <w:spacing w:after="0" w:line="360" w:lineRule="auto"/>
        <w:jc w:val="center"/>
        <w:rPr>
          <w:rFonts w:ascii="Arial" w:hAnsi="Arial" w:cs="Arial"/>
          <w:i/>
          <w:iCs/>
          <w:sz w:val="16"/>
          <w:szCs w:val="16"/>
        </w:rPr>
      </w:pPr>
    </w:p>
    <w:p w14:paraId="6D411028" w14:textId="667BEA52" w:rsidR="005F111D" w:rsidRPr="005F111D" w:rsidRDefault="005F111D" w:rsidP="005F111D">
      <w:pPr>
        <w:spacing w:after="0" w:line="360" w:lineRule="auto"/>
        <w:ind w:firstLine="567"/>
        <w:jc w:val="both"/>
        <w:rPr>
          <w:rFonts w:ascii="Arial" w:hAnsi="Arial" w:cs="Arial"/>
          <w:sz w:val="22"/>
          <w:szCs w:val="22"/>
        </w:rPr>
      </w:pPr>
      <w:r w:rsidRPr="005F111D">
        <w:rPr>
          <w:rFonts w:ascii="Arial" w:hAnsi="Arial" w:cs="Arial"/>
          <w:sz w:val="22"/>
          <w:szCs w:val="22"/>
        </w:rPr>
        <w:t xml:space="preserve">Rather than being linearly related to GSCP, cost responses differ essentially between enterprises (as seen in Figure 4.8). As an example, at GSCP = 0.11, Nissan UK reports unit costs of £199.47 and an inventory of 57.67 days, whereas LEVC with GSCP ≈ 0.21 reports just £6.40 per unit and an inventory of 5.15 days. On the other hand, JLR always operates in a somewhat higher price range (£500-£700), which further solidifies its position as an outlier and </w:t>
      </w:r>
      <w:r>
        <w:rPr>
          <w:rFonts w:ascii="Arial" w:hAnsi="Arial" w:cs="Arial"/>
          <w:sz w:val="22"/>
          <w:szCs w:val="22"/>
        </w:rPr>
        <w:t>justifies</w:t>
      </w:r>
      <w:r w:rsidRPr="005F111D">
        <w:rPr>
          <w:rFonts w:ascii="Arial" w:hAnsi="Arial" w:cs="Arial"/>
          <w:sz w:val="22"/>
          <w:szCs w:val="22"/>
        </w:rPr>
        <w:t xml:space="preserve"> using the logarithmic scale.</w:t>
      </w:r>
    </w:p>
    <w:p w14:paraId="40E89809" w14:textId="14998AC8" w:rsidR="005F111D" w:rsidRPr="007E0CCE" w:rsidRDefault="005F111D" w:rsidP="007E0CCE">
      <w:pPr>
        <w:spacing w:after="0" w:line="360" w:lineRule="auto"/>
        <w:ind w:firstLine="567"/>
        <w:jc w:val="both"/>
        <w:rPr>
          <w:rFonts w:ascii="Arial" w:hAnsi="Arial" w:cs="Arial"/>
          <w:sz w:val="22"/>
          <w:szCs w:val="22"/>
        </w:rPr>
      </w:pPr>
      <w:r w:rsidRPr="005F111D">
        <w:rPr>
          <w:rFonts w:ascii="Arial" w:hAnsi="Arial" w:cs="Arial"/>
          <w:sz w:val="22"/>
          <w:szCs w:val="22"/>
        </w:rPr>
        <w:t xml:space="preserve">This dispersion shows that different inventory strategies, sources, and exposures </w:t>
      </w:r>
      <w:r>
        <w:rPr>
          <w:rFonts w:ascii="Arial" w:hAnsi="Arial" w:cs="Arial"/>
          <w:sz w:val="22"/>
          <w:szCs w:val="22"/>
        </w:rPr>
        <w:t xml:space="preserve">lead to different costs, even when </w:t>
      </w:r>
      <w:r w:rsidRPr="005F111D">
        <w:rPr>
          <w:rFonts w:ascii="Arial" w:hAnsi="Arial" w:cs="Arial"/>
          <w:sz w:val="22"/>
          <w:szCs w:val="22"/>
        </w:rPr>
        <w:t xml:space="preserve">macro circumstances are the same. It seems that there is some decoupling between pressure and cost transmission, since larger inventory levels are generally correlated with higher cost absorption levels, but this is not always the case. According to </w:t>
      </w:r>
      <w:proofErr w:type="spellStart"/>
      <w:r w:rsidRPr="005F111D">
        <w:rPr>
          <w:rFonts w:ascii="Arial" w:hAnsi="Arial" w:cs="Arial"/>
          <w:sz w:val="22"/>
          <w:szCs w:val="22"/>
        </w:rPr>
        <w:t>Kazancoglu</w:t>
      </w:r>
      <w:proofErr w:type="spellEnd"/>
      <w:r w:rsidRPr="005F111D">
        <w:rPr>
          <w:rFonts w:ascii="Arial" w:hAnsi="Arial" w:cs="Arial"/>
          <w:sz w:val="22"/>
          <w:szCs w:val="22"/>
        </w:rPr>
        <w:t xml:space="preserve"> et al. (2023a) and Ju, Hou, and Yang (2021), GSCP does not directly affect cost behaviour</w:t>
      </w:r>
      <w:r>
        <w:rPr>
          <w:rFonts w:ascii="Arial" w:hAnsi="Arial" w:cs="Arial"/>
          <w:sz w:val="22"/>
          <w:szCs w:val="22"/>
        </w:rPr>
        <w:t>; rather, strategic mediation does, allowing</w:t>
      </w:r>
      <w:r w:rsidRPr="005F111D">
        <w:rPr>
          <w:rFonts w:ascii="Arial" w:hAnsi="Arial" w:cs="Arial"/>
          <w:sz w:val="22"/>
          <w:szCs w:val="22"/>
        </w:rPr>
        <w:t xml:space="preserve"> for diverse resilience responses.</w:t>
      </w:r>
    </w:p>
    <w:p w14:paraId="64C94F22" w14:textId="24B8C917" w:rsidR="004B084D" w:rsidRPr="003304E3" w:rsidRDefault="004B084D" w:rsidP="003304E3">
      <w:pPr>
        <w:pStyle w:val="Heading2"/>
        <w:spacing w:before="120"/>
        <w:rPr>
          <w:b/>
          <w:bCs/>
          <w:sz w:val="22"/>
          <w:szCs w:val="22"/>
        </w:rPr>
      </w:pPr>
      <w:bookmarkStart w:id="40" w:name="_Toc228883266"/>
      <w:r w:rsidRPr="003304E3">
        <w:rPr>
          <w:b/>
          <w:bCs/>
          <w:sz w:val="22"/>
          <w:szCs w:val="22"/>
        </w:rPr>
        <w:t>4.3.3 Inventory–Performance Trade-Offs</w:t>
      </w:r>
      <w:bookmarkEnd w:id="40"/>
    </w:p>
    <w:p w14:paraId="036886D6" w14:textId="05020BF0" w:rsidR="007E0CCE" w:rsidRPr="007E0CCE" w:rsidRDefault="00C0306C" w:rsidP="00615267">
      <w:pPr>
        <w:spacing w:after="0" w:line="360" w:lineRule="auto"/>
        <w:ind w:firstLine="567"/>
        <w:jc w:val="both"/>
        <w:rPr>
          <w:rFonts w:ascii="Arial" w:hAnsi="Arial" w:cs="Arial"/>
          <w:sz w:val="22"/>
          <w:szCs w:val="22"/>
        </w:rPr>
      </w:pPr>
      <w:r w:rsidRPr="00C0306C">
        <w:rPr>
          <w:rFonts w:ascii="Arial" w:hAnsi="Arial" w:cs="Arial"/>
          <w:sz w:val="22"/>
          <w:szCs w:val="22"/>
        </w:rPr>
        <w:t xml:space="preserve">Based on the data presented in Section 3, it can be concluded that rerouting had an unequal but consistent effect of increasing transit times across enterprises. McLaren's growth is between 40.29 and 43.38 days (+3.1), whilst more susceptible corporations like Vauxhall (33.13 to 41.57 days) and Bentley (32.43 to 41.50 days) have increases of more than 8 days. This proves that diversifying routes lowers disruption risk but increases time inefficiency due </w:t>
      </w:r>
      <w:r w:rsidRPr="00C0306C">
        <w:rPr>
          <w:rFonts w:ascii="Arial" w:hAnsi="Arial" w:cs="Arial"/>
          <w:sz w:val="22"/>
          <w:szCs w:val="22"/>
        </w:rPr>
        <w:lastRenderedPageBreak/>
        <w:t xml:space="preserve">to pressure transfers. </w:t>
      </w:r>
      <w:proofErr w:type="spellStart"/>
      <w:r w:rsidRPr="00C0306C">
        <w:rPr>
          <w:rFonts w:ascii="Arial" w:hAnsi="Arial" w:cs="Arial"/>
          <w:sz w:val="22"/>
          <w:szCs w:val="22"/>
        </w:rPr>
        <w:t>Spieske</w:t>
      </w:r>
      <w:proofErr w:type="spellEnd"/>
      <w:r w:rsidRPr="00C0306C">
        <w:rPr>
          <w:rFonts w:ascii="Arial" w:hAnsi="Arial" w:cs="Arial"/>
          <w:sz w:val="22"/>
          <w:szCs w:val="22"/>
        </w:rPr>
        <w:t xml:space="preserve"> and Birkel (2021) and Ivanov, Dolgui, and Sokolov (2019) highlight the importance of structural exposure and operational flexibility in achieving resilience</w:t>
      </w:r>
      <w:r w:rsidR="00D12549">
        <w:rPr>
          <w:rFonts w:ascii="Arial" w:hAnsi="Arial" w:cs="Arial"/>
          <w:sz w:val="22"/>
          <w:szCs w:val="22"/>
        </w:rPr>
        <w:t xml:space="preserve"> across</w:t>
      </w:r>
      <w:r w:rsidRPr="00C0306C">
        <w:rPr>
          <w:rFonts w:ascii="Arial" w:hAnsi="Arial" w:cs="Arial"/>
          <w:sz w:val="22"/>
          <w:szCs w:val="22"/>
        </w:rPr>
        <w:t xml:space="preserve"> different organisations. This highlights the importance of the lean-resilience trade-off. Table 4.2 elaborates on these distinct results by formally evaluating inventory, cost, and transit performance as interrelated resilience </w:t>
      </w:r>
      <w:r w:rsidR="00D12549">
        <w:rPr>
          <w:rFonts w:ascii="Arial" w:hAnsi="Arial" w:cs="Arial"/>
          <w:sz w:val="22"/>
          <w:szCs w:val="22"/>
        </w:rPr>
        <w:t>adaptation</w:t>
      </w:r>
      <w:r w:rsidRPr="00C0306C">
        <w:rPr>
          <w:rFonts w:ascii="Arial" w:hAnsi="Arial" w:cs="Arial"/>
          <w:sz w:val="22"/>
          <w:szCs w:val="22"/>
        </w:rPr>
        <w:t xml:space="preserve"> factors.</w:t>
      </w:r>
    </w:p>
    <w:p w14:paraId="68F7B38E" w14:textId="77777777" w:rsidR="00240EC9" w:rsidRPr="00C0306C" w:rsidRDefault="00240EC9" w:rsidP="009A42CC">
      <w:pPr>
        <w:spacing w:after="0" w:line="360" w:lineRule="auto"/>
        <w:jc w:val="center"/>
        <w:rPr>
          <w:rFonts w:ascii="Arial" w:hAnsi="Arial" w:cs="Arial"/>
          <w:sz w:val="16"/>
          <w:szCs w:val="16"/>
        </w:rPr>
      </w:pPr>
    </w:p>
    <w:p w14:paraId="4AF54264" w14:textId="4F3893A3" w:rsidR="00D1427A" w:rsidRPr="00D1427A" w:rsidRDefault="00D1427A" w:rsidP="00D1427A">
      <w:pPr>
        <w:spacing w:after="0" w:line="360" w:lineRule="auto"/>
        <w:jc w:val="center"/>
        <w:rPr>
          <w:rFonts w:ascii="Arial" w:hAnsi="Arial" w:cs="Arial"/>
          <w:sz w:val="20"/>
          <w:szCs w:val="20"/>
        </w:rPr>
      </w:pPr>
      <w:r w:rsidRPr="00D1427A">
        <w:rPr>
          <w:rFonts w:ascii="Arial" w:hAnsi="Arial" w:cs="Arial"/>
          <w:sz w:val="20"/>
          <w:szCs w:val="20"/>
        </w:rPr>
        <w:t>Table 4.2.  Firm-Level Inventory and Import Cost Trade-Off Across Crisis Phases</w:t>
      </w:r>
    </w:p>
    <w:p w14:paraId="4CF0071C" w14:textId="4FC58B68" w:rsidR="00D1427A" w:rsidRPr="00D1427A" w:rsidRDefault="00CE69EF" w:rsidP="00D1427A">
      <w:pPr>
        <w:spacing w:after="0" w:line="360" w:lineRule="auto"/>
        <w:jc w:val="center"/>
        <w:rPr>
          <w:rFonts w:ascii="Arial" w:hAnsi="Arial" w:cs="Arial"/>
          <w:sz w:val="20"/>
          <w:szCs w:val="20"/>
        </w:rPr>
      </w:pPr>
      <w:r w:rsidRPr="00CE69EF">
        <w:rPr>
          <w:rFonts w:ascii="Arial" w:hAnsi="Arial" w:cs="Arial"/>
          <w:noProof/>
          <w:sz w:val="20"/>
          <w:szCs w:val="20"/>
        </w:rPr>
        <w:drawing>
          <wp:inline distT="0" distB="0" distL="0" distR="0" wp14:anchorId="6881EC25" wp14:editId="79170903">
            <wp:extent cx="5943850" cy="2297430"/>
            <wp:effectExtent l="0" t="0" r="0" b="7620"/>
            <wp:docPr id="45821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15105" name=""/>
                    <pic:cNvPicPr/>
                  </pic:nvPicPr>
                  <pic:blipFill>
                    <a:blip r:embed="rId35"/>
                    <a:stretch>
                      <a:fillRect/>
                    </a:stretch>
                  </pic:blipFill>
                  <pic:spPr>
                    <a:xfrm>
                      <a:off x="0" y="0"/>
                      <a:ext cx="5973130" cy="2308747"/>
                    </a:xfrm>
                    <a:prstGeom prst="rect">
                      <a:avLst/>
                    </a:prstGeom>
                  </pic:spPr>
                </pic:pic>
              </a:graphicData>
            </a:graphic>
          </wp:inline>
        </w:drawing>
      </w:r>
    </w:p>
    <w:p w14:paraId="3E00DC28" w14:textId="77777777" w:rsidR="00D1427A" w:rsidRPr="00D1427A" w:rsidRDefault="00D1427A" w:rsidP="00D1427A">
      <w:pPr>
        <w:spacing w:after="0" w:line="360" w:lineRule="auto"/>
        <w:jc w:val="center"/>
        <w:rPr>
          <w:rFonts w:ascii="Arial" w:hAnsi="Arial" w:cs="Arial"/>
          <w:i/>
          <w:iCs/>
          <w:sz w:val="20"/>
          <w:szCs w:val="20"/>
        </w:rPr>
      </w:pPr>
      <w:r w:rsidRPr="00D1427A">
        <w:rPr>
          <w:rFonts w:ascii="Arial" w:hAnsi="Arial" w:cs="Arial"/>
          <w:b/>
          <w:bCs/>
          <w:i/>
          <w:iCs/>
          <w:sz w:val="20"/>
          <w:szCs w:val="20"/>
        </w:rPr>
        <w:t>Source:</w:t>
      </w:r>
      <w:r w:rsidRPr="00D1427A">
        <w:rPr>
          <w:rFonts w:ascii="Arial" w:hAnsi="Arial" w:cs="Arial"/>
          <w:i/>
          <w:iCs/>
          <w:sz w:val="20"/>
          <w:szCs w:val="20"/>
        </w:rPr>
        <w:t xml:space="preserve"> Author’s calculations based on firm-level inventory and import cost data.</w:t>
      </w:r>
    </w:p>
    <w:p w14:paraId="0FB61F94" w14:textId="77777777" w:rsidR="00D1427A" w:rsidRDefault="00D1427A" w:rsidP="009A42CC">
      <w:pPr>
        <w:spacing w:after="0" w:line="360" w:lineRule="auto"/>
        <w:jc w:val="center"/>
        <w:rPr>
          <w:rFonts w:ascii="Arial" w:hAnsi="Arial" w:cs="Arial"/>
          <w:i/>
          <w:iCs/>
          <w:sz w:val="20"/>
          <w:szCs w:val="20"/>
        </w:rPr>
      </w:pPr>
    </w:p>
    <w:p w14:paraId="3C09E7A4" w14:textId="0E3B128C" w:rsidR="00385CB0" w:rsidRPr="00385CB0" w:rsidRDefault="00385CB0" w:rsidP="00385CB0">
      <w:pPr>
        <w:spacing w:after="0" w:line="360" w:lineRule="auto"/>
        <w:ind w:firstLine="567"/>
        <w:jc w:val="both"/>
        <w:rPr>
          <w:rFonts w:ascii="Arial" w:hAnsi="Arial" w:cs="Arial"/>
          <w:sz w:val="22"/>
          <w:szCs w:val="22"/>
        </w:rPr>
      </w:pPr>
      <w:r w:rsidRPr="00385CB0">
        <w:rPr>
          <w:rFonts w:ascii="Arial" w:hAnsi="Arial" w:cs="Arial"/>
          <w:sz w:val="22"/>
          <w:szCs w:val="22"/>
        </w:rPr>
        <w:t xml:space="preserve">Responses to resilience are not consistent but </w:t>
      </w:r>
      <w:r>
        <w:rPr>
          <w:rFonts w:ascii="Arial" w:hAnsi="Arial" w:cs="Arial"/>
          <w:sz w:val="22"/>
          <w:szCs w:val="22"/>
        </w:rPr>
        <w:t>vary widely across</w:t>
      </w:r>
      <w:r w:rsidRPr="00385CB0">
        <w:rPr>
          <w:rFonts w:ascii="Arial" w:hAnsi="Arial" w:cs="Arial"/>
          <w:sz w:val="22"/>
          <w:szCs w:val="22"/>
        </w:rPr>
        <w:t xml:space="preserve"> companies, as seen in Table 4.2. JLR is a prime example of a company whose import expenditures increased from £9.4m before the crisis to £13.7m during the shock period, and whose inventory grew from 268.81 to 306.73 days, suggesting that they strategically used capital-intensive buffers to ensure continuity. Costs rise from £2.0m to £4.7m</w:t>
      </w:r>
      <w:r>
        <w:rPr>
          <w:rFonts w:ascii="Arial" w:hAnsi="Arial" w:cs="Arial"/>
          <w:sz w:val="22"/>
          <w:szCs w:val="22"/>
        </w:rPr>
        <w:t>,</w:t>
      </w:r>
      <w:r w:rsidRPr="00385CB0">
        <w:rPr>
          <w:rFonts w:ascii="Arial" w:hAnsi="Arial" w:cs="Arial"/>
          <w:sz w:val="22"/>
          <w:szCs w:val="22"/>
        </w:rPr>
        <w:t xml:space="preserve"> and inventory grows from 28.74 to 51.89 days, indicating coordinated cost absorption and stockholding, in a similar but less dramatic trend for Nissan UK.</w:t>
      </w:r>
    </w:p>
    <w:p w14:paraId="4FBC6EFE" w14:textId="154416EB" w:rsidR="00385CB0" w:rsidRPr="00385CB0" w:rsidRDefault="00385CB0" w:rsidP="00385CB0">
      <w:pPr>
        <w:spacing w:after="0" w:line="360" w:lineRule="auto"/>
        <w:ind w:firstLine="567"/>
        <w:jc w:val="both"/>
        <w:rPr>
          <w:rFonts w:ascii="Arial" w:hAnsi="Arial" w:cs="Arial"/>
          <w:sz w:val="22"/>
          <w:szCs w:val="22"/>
        </w:rPr>
      </w:pPr>
      <w:r w:rsidRPr="00385CB0">
        <w:rPr>
          <w:rFonts w:ascii="Arial" w:hAnsi="Arial" w:cs="Arial"/>
          <w:sz w:val="22"/>
          <w:szCs w:val="22"/>
        </w:rPr>
        <w:t xml:space="preserve">But for other companies, this connection isn't as strong. A decrease in inventory from 13.71 to 11.97 days, together with an increase in expenses from £524k to £824k, suggests that </w:t>
      </w:r>
      <w:r>
        <w:rPr>
          <w:rFonts w:ascii="Arial" w:hAnsi="Arial" w:cs="Arial"/>
          <w:sz w:val="22"/>
          <w:szCs w:val="22"/>
        </w:rPr>
        <w:t>Toyota UK is relying on operational flexibility rather than buffering</w:t>
      </w:r>
      <w:r w:rsidRPr="00385CB0">
        <w:rPr>
          <w:rFonts w:ascii="Arial" w:hAnsi="Arial" w:cs="Arial"/>
          <w:sz w:val="22"/>
          <w:szCs w:val="22"/>
        </w:rPr>
        <w:t>. Despite relatively modest prices (£1.44 to £2.85), Morgan demonstrates little scalability, with inventory shifting just from 0.97 to 1.35 days. This suggests little adaptive capability.</w:t>
      </w:r>
    </w:p>
    <w:p w14:paraId="062DFB0B" w14:textId="63E56527" w:rsidR="00385CB0" w:rsidRPr="00385CB0" w:rsidRDefault="00385CB0" w:rsidP="00385CB0">
      <w:pPr>
        <w:spacing w:after="0" w:line="360" w:lineRule="auto"/>
        <w:ind w:firstLine="567"/>
        <w:jc w:val="both"/>
        <w:rPr>
          <w:rFonts w:ascii="Arial" w:hAnsi="Arial" w:cs="Arial"/>
          <w:sz w:val="22"/>
          <w:szCs w:val="22"/>
        </w:rPr>
      </w:pPr>
      <w:r w:rsidRPr="00385CB0">
        <w:rPr>
          <w:rFonts w:ascii="Arial" w:hAnsi="Arial" w:cs="Arial"/>
          <w:sz w:val="22"/>
          <w:szCs w:val="22"/>
        </w:rPr>
        <w:t xml:space="preserve">As a result, there is no clear relationship between price increases and stock levels. The data show conditional complementarities between cost exposure and buffering. Companies that are more severely disrupted combine rerouting expenses with </w:t>
      </w:r>
      <w:r>
        <w:rPr>
          <w:rFonts w:ascii="Arial" w:hAnsi="Arial" w:cs="Arial"/>
          <w:sz w:val="22"/>
          <w:szCs w:val="22"/>
        </w:rPr>
        <w:t>inventory expansion</w:t>
      </w:r>
      <w:r w:rsidRPr="00385CB0">
        <w:rPr>
          <w:rFonts w:ascii="Arial" w:hAnsi="Arial" w:cs="Arial"/>
          <w:sz w:val="22"/>
          <w:szCs w:val="22"/>
        </w:rPr>
        <w:t xml:space="preserve">, while others choose flexibility over stockholding. This further supports the idea that JIT-JIC adaptation is not based on a universal resilience model but rather on trade-offs that are individual to each </w:t>
      </w:r>
      <w:r>
        <w:rPr>
          <w:rFonts w:ascii="Arial" w:hAnsi="Arial" w:cs="Arial"/>
          <w:sz w:val="22"/>
          <w:szCs w:val="22"/>
        </w:rPr>
        <w:t>organisation</w:t>
      </w:r>
      <w:r w:rsidRPr="00385CB0">
        <w:rPr>
          <w:rFonts w:ascii="Arial" w:hAnsi="Arial" w:cs="Arial"/>
          <w:sz w:val="22"/>
          <w:szCs w:val="22"/>
        </w:rPr>
        <w:t xml:space="preserve"> (Queiroz et al., 2021; Wieland </w:t>
      </w:r>
      <w:r w:rsidR="007D2B07">
        <w:rPr>
          <w:rFonts w:ascii="Arial" w:hAnsi="Arial" w:cs="Arial"/>
          <w:sz w:val="22"/>
          <w:szCs w:val="22"/>
        </w:rPr>
        <w:t>and</w:t>
      </w:r>
      <w:r w:rsidRPr="00385CB0">
        <w:rPr>
          <w:rFonts w:ascii="Arial" w:hAnsi="Arial" w:cs="Arial"/>
          <w:sz w:val="22"/>
          <w:szCs w:val="22"/>
        </w:rPr>
        <w:t xml:space="preserve"> </w:t>
      </w:r>
      <w:proofErr w:type="spellStart"/>
      <w:r w:rsidRPr="00385CB0">
        <w:rPr>
          <w:rFonts w:ascii="Arial" w:hAnsi="Arial" w:cs="Arial"/>
          <w:sz w:val="22"/>
          <w:szCs w:val="22"/>
        </w:rPr>
        <w:t>Durach</w:t>
      </w:r>
      <w:proofErr w:type="spellEnd"/>
      <w:r w:rsidRPr="00385CB0">
        <w:rPr>
          <w:rFonts w:ascii="Arial" w:hAnsi="Arial" w:cs="Arial"/>
          <w:sz w:val="22"/>
          <w:szCs w:val="22"/>
        </w:rPr>
        <w:t>, 2021).</w:t>
      </w:r>
    </w:p>
    <w:p w14:paraId="51737979" w14:textId="0C5724DD" w:rsidR="009D104F" w:rsidRPr="003304E3" w:rsidRDefault="0076191F" w:rsidP="003304E3">
      <w:pPr>
        <w:pStyle w:val="Heading2"/>
        <w:spacing w:before="120"/>
        <w:rPr>
          <w:b/>
          <w:bCs/>
          <w:sz w:val="22"/>
          <w:szCs w:val="22"/>
        </w:rPr>
      </w:pPr>
      <w:bookmarkStart w:id="41" w:name="_Toc228883267"/>
      <w:r w:rsidRPr="003304E3">
        <w:rPr>
          <w:b/>
          <w:bCs/>
          <w:sz w:val="22"/>
          <w:szCs w:val="22"/>
        </w:rPr>
        <w:lastRenderedPageBreak/>
        <w:t>4.3.4 Differences in Resilience Outcomes at the Firm Level</w:t>
      </w:r>
      <w:bookmarkEnd w:id="41"/>
    </w:p>
    <w:p w14:paraId="385F6A8C" w14:textId="26F983AF" w:rsidR="00F467C3" w:rsidRPr="00F467C3" w:rsidRDefault="00F467C3" w:rsidP="00F467C3">
      <w:pPr>
        <w:spacing w:after="0" w:line="360" w:lineRule="auto"/>
        <w:ind w:firstLine="567"/>
        <w:jc w:val="both"/>
        <w:rPr>
          <w:rFonts w:ascii="Arial" w:hAnsi="Arial" w:cs="Arial"/>
          <w:sz w:val="22"/>
          <w:szCs w:val="22"/>
        </w:rPr>
      </w:pPr>
      <w:r w:rsidRPr="00F467C3">
        <w:rPr>
          <w:rFonts w:ascii="Arial" w:hAnsi="Arial" w:cs="Arial"/>
          <w:sz w:val="22"/>
          <w:szCs w:val="22"/>
        </w:rPr>
        <w:t xml:space="preserve">According to data collected from individual firms, adaptive mechanisms interacted differentially across transportation, inventory, and cost measures, </w:t>
      </w:r>
      <w:r>
        <w:rPr>
          <w:rFonts w:ascii="Arial" w:hAnsi="Arial" w:cs="Arial"/>
          <w:sz w:val="22"/>
          <w:szCs w:val="22"/>
        </w:rPr>
        <w:t>resulting in inconsistent resilience outcomes</w:t>
      </w:r>
      <w:r w:rsidRPr="00F467C3">
        <w:rPr>
          <w:rFonts w:ascii="Arial" w:hAnsi="Arial" w:cs="Arial"/>
          <w:sz w:val="22"/>
          <w:szCs w:val="22"/>
        </w:rPr>
        <w:t xml:space="preserve">. According to Bentley, there was a high-buffer reaction that came at a high cost: the inventory time went from 15.67 to 17.53 days, the import expenses went up from about £30,000 to around £46,000, and the transit time went from 32.43 to 41.50 days due to rerouting, which means that they were exposed to financial and logistical penalties at the same time. While Aston Martin's transit time increased by 36.29 </w:t>
      </w:r>
      <w:r>
        <w:rPr>
          <w:rFonts w:ascii="Arial" w:hAnsi="Arial" w:cs="Arial"/>
          <w:sz w:val="22"/>
          <w:szCs w:val="22"/>
        </w:rPr>
        <w:t xml:space="preserve">days, from 35.96 to 41.25 days, its import expenses increased by a greater percentage (£6.4k to £15.7k), indicating lower cost absorption despite a </w:t>
      </w:r>
      <w:r w:rsidRPr="00F467C3">
        <w:rPr>
          <w:rFonts w:ascii="Arial" w:hAnsi="Arial" w:cs="Arial"/>
          <w:sz w:val="22"/>
          <w:szCs w:val="22"/>
        </w:rPr>
        <w:t>mild operational interruption.</w:t>
      </w:r>
    </w:p>
    <w:p w14:paraId="45D0E5CE" w14:textId="025337E9" w:rsidR="00F467C3" w:rsidRPr="00F467C3" w:rsidRDefault="00F467C3" w:rsidP="00F467C3">
      <w:pPr>
        <w:spacing w:after="0" w:line="360" w:lineRule="auto"/>
        <w:ind w:firstLine="567"/>
        <w:jc w:val="both"/>
        <w:rPr>
          <w:rFonts w:ascii="Arial" w:hAnsi="Arial" w:cs="Arial"/>
          <w:sz w:val="22"/>
          <w:szCs w:val="22"/>
        </w:rPr>
      </w:pPr>
      <w:r w:rsidRPr="00F467C3">
        <w:rPr>
          <w:rFonts w:ascii="Arial" w:hAnsi="Arial" w:cs="Arial"/>
          <w:sz w:val="22"/>
          <w:szCs w:val="22"/>
        </w:rPr>
        <w:t xml:space="preserve">McLaren offers a different setup, with steady inventory (10.78 to 10.61 days), minor cost increases (£3.0k to £5.1k), and low transit penalties (40.29 to 43.38 days). This suggests capability-led resilience instead </w:t>
      </w:r>
      <w:r>
        <w:rPr>
          <w:rFonts w:ascii="Arial" w:hAnsi="Arial" w:cs="Arial"/>
          <w:sz w:val="22"/>
          <w:szCs w:val="22"/>
        </w:rPr>
        <w:t>of</w:t>
      </w:r>
      <w:r w:rsidRPr="00F467C3">
        <w:rPr>
          <w:rFonts w:ascii="Arial" w:hAnsi="Arial" w:cs="Arial"/>
          <w:sz w:val="22"/>
          <w:szCs w:val="22"/>
        </w:rPr>
        <w:t xml:space="preserve"> relying on buffering. These differences show that increasing inventory or costs does not consistently make transportation more stable. </w:t>
      </w:r>
      <w:r>
        <w:rPr>
          <w:rFonts w:ascii="Arial" w:hAnsi="Arial" w:cs="Arial"/>
          <w:sz w:val="22"/>
          <w:szCs w:val="22"/>
        </w:rPr>
        <w:t>Enterprises that combined moderate buffering with limited cost exposure achieved more stable results; however, performance stability was not guaranteed for</w:t>
      </w:r>
      <w:r w:rsidRPr="00F467C3">
        <w:rPr>
          <w:rFonts w:ascii="Arial" w:hAnsi="Arial" w:cs="Arial"/>
          <w:sz w:val="22"/>
          <w:szCs w:val="22"/>
        </w:rPr>
        <w:t xml:space="preserve"> firms that used severe buffering or cost escalation.</w:t>
      </w:r>
    </w:p>
    <w:p w14:paraId="55A0754B" w14:textId="38B2E196" w:rsidR="0076191F" w:rsidRDefault="00F467C3" w:rsidP="00F467C3">
      <w:pPr>
        <w:spacing w:after="0" w:line="360" w:lineRule="auto"/>
        <w:ind w:firstLine="567"/>
        <w:jc w:val="both"/>
        <w:rPr>
          <w:rFonts w:ascii="Arial" w:hAnsi="Arial" w:cs="Arial"/>
          <w:sz w:val="22"/>
          <w:szCs w:val="22"/>
        </w:rPr>
      </w:pPr>
      <w:r w:rsidRPr="00F467C3">
        <w:rPr>
          <w:rFonts w:ascii="Arial" w:hAnsi="Arial" w:cs="Arial"/>
          <w:sz w:val="22"/>
          <w:szCs w:val="22"/>
        </w:rPr>
        <w:t xml:space="preserve">According to </w:t>
      </w:r>
      <w:proofErr w:type="spellStart"/>
      <w:r w:rsidRPr="00F467C3">
        <w:rPr>
          <w:rFonts w:ascii="Arial" w:hAnsi="Arial" w:cs="Arial"/>
          <w:sz w:val="22"/>
          <w:szCs w:val="22"/>
        </w:rPr>
        <w:t>Hellaf</w:t>
      </w:r>
      <w:proofErr w:type="spellEnd"/>
      <w:r w:rsidRPr="00F467C3">
        <w:rPr>
          <w:rFonts w:ascii="Arial" w:hAnsi="Arial" w:cs="Arial"/>
          <w:sz w:val="22"/>
          <w:szCs w:val="22"/>
        </w:rPr>
        <w:t xml:space="preserve"> and </w:t>
      </w:r>
      <w:proofErr w:type="spellStart"/>
      <w:r w:rsidRPr="00F467C3">
        <w:rPr>
          <w:rFonts w:ascii="Arial" w:hAnsi="Arial" w:cs="Arial"/>
          <w:sz w:val="22"/>
          <w:szCs w:val="22"/>
        </w:rPr>
        <w:t>Peteraf</w:t>
      </w:r>
      <w:proofErr w:type="spellEnd"/>
      <w:r w:rsidRPr="00F467C3">
        <w:rPr>
          <w:rFonts w:ascii="Arial" w:hAnsi="Arial" w:cs="Arial"/>
          <w:sz w:val="22"/>
          <w:szCs w:val="22"/>
        </w:rPr>
        <w:t xml:space="preserve"> (2015) and Turner, Aitken and Bozarth (2018), resilience is not just determined by the severity of JICs, but also by the alignment of buffering, routing strategy, and cost management. The consideration of how these distinctions </w:t>
      </w:r>
      <w:r>
        <w:rPr>
          <w:rFonts w:ascii="Arial" w:hAnsi="Arial" w:cs="Arial"/>
          <w:sz w:val="22"/>
          <w:szCs w:val="22"/>
        </w:rPr>
        <w:t>relate to broader capacity development in RQ3 follows directly from the support for dynamic capability views, which hold</w:t>
      </w:r>
      <w:r w:rsidRPr="00F467C3">
        <w:rPr>
          <w:rFonts w:ascii="Arial" w:hAnsi="Arial" w:cs="Arial"/>
          <w:sz w:val="22"/>
          <w:szCs w:val="22"/>
        </w:rPr>
        <w:t xml:space="preserve"> that outcomes are determined by sensing, reaction time, and resource orchestration (Herberger, Wieland, and Hochstrasser, 2024).</w:t>
      </w:r>
    </w:p>
    <w:p w14:paraId="78A82516" w14:textId="42FCBD9E" w:rsidR="002004D7" w:rsidRPr="006B6691" w:rsidRDefault="004874FD" w:rsidP="006B6691">
      <w:pPr>
        <w:pStyle w:val="Heading2"/>
        <w:spacing w:before="120"/>
        <w:rPr>
          <w:b/>
          <w:bCs/>
          <w:sz w:val="22"/>
          <w:szCs w:val="22"/>
        </w:rPr>
      </w:pPr>
      <w:bookmarkStart w:id="42" w:name="_Toc228883268"/>
      <w:r w:rsidRPr="006B6691">
        <w:rPr>
          <w:b/>
          <w:bCs/>
          <w:sz w:val="22"/>
          <w:szCs w:val="22"/>
        </w:rPr>
        <w:t>4.3.5. Discussion with Literature and Bridge to RQ3</w:t>
      </w:r>
      <w:bookmarkEnd w:id="42"/>
    </w:p>
    <w:p w14:paraId="4D99BF22" w14:textId="1B2A57C5" w:rsidR="000E0029" w:rsidRPr="000E0029" w:rsidRDefault="000E0029" w:rsidP="000E0029">
      <w:pPr>
        <w:spacing w:after="0" w:line="360" w:lineRule="auto"/>
        <w:ind w:firstLine="567"/>
        <w:jc w:val="both"/>
        <w:rPr>
          <w:rFonts w:ascii="Arial" w:hAnsi="Arial" w:cs="Arial"/>
          <w:sz w:val="22"/>
          <w:szCs w:val="22"/>
        </w:rPr>
      </w:pPr>
      <w:r w:rsidRPr="000E0029">
        <w:rPr>
          <w:rFonts w:ascii="Arial" w:hAnsi="Arial" w:cs="Arial"/>
          <w:sz w:val="22"/>
          <w:szCs w:val="22"/>
        </w:rPr>
        <w:t xml:space="preserve">Results for resilience, according to RQ2, are not caused by a single process but rather by the interplay of inventory, cost exposure, and routing choices. Despite popular belief, the correlation between increased buffering and continuity is conditional. For example, JLR manages to keep operations stable while </w:t>
      </w:r>
      <w:r>
        <w:rPr>
          <w:rFonts w:ascii="Arial" w:hAnsi="Arial" w:cs="Arial"/>
          <w:sz w:val="22"/>
          <w:szCs w:val="22"/>
        </w:rPr>
        <w:t xml:space="preserve">incurring very high import prices (£13.7m) and extremely long inventory periods (306.73 days), whereas Nissan UK shows less consistent efficiency despite raising expenses to £4.7m and </w:t>
      </w:r>
      <w:r w:rsidRPr="000E0029">
        <w:rPr>
          <w:rFonts w:ascii="Arial" w:hAnsi="Arial" w:cs="Arial"/>
          <w:sz w:val="22"/>
          <w:szCs w:val="22"/>
        </w:rPr>
        <w:t xml:space="preserve">extremely long inventory periods (51.89 days). This discrepancy implies that resilience efficacy is not determined </w:t>
      </w:r>
      <w:r>
        <w:rPr>
          <w:rFonts w:ascii="Arial" w:hAnsi="Arial" w:cs="Arial"/>
          <w:sz w:val="22"/>
          <w:szCs w:val="22"/>
        </w:rPr>
        <w:t>solely by size</w:t>
      </w:r>
      <w:r w:rsidRPr="000E0029">
        <w:rPr>
          <w:rFonts w:ascii="Arial" w:hAnsi="Arial" w:cs="Arial"/>
          <w:sz w:val="22"/>
          <w:szCs w:val="22"/>
        </w:rPr>
        <w:t>.</w:t>
      </w:r>
    </w:p>
    <w:p w14:paraId="0C80FBFE" w14:textId="30BE0AC6" w:rsidR="000E0029" w:rsidRPr="000E0029" w:rsidRDefault="000E0029" w:rsidP="000E0029">
      <w:pPr>
        <w:spacing w:after="0" w:line="360" w:lineRule="auto"/>
        <w:ind w:firstLine="567"/>
        <w:jc w:val="both"/>
        <w:rPr>
          <w:rFonts w:ascii="Arial" w:hAnsi="Arial" w:cs="Arial"/>
          <w:sz w:val="22"/>
          <w:szCs w:val="22"/>
        </w:rPr>
      </w:pPr>
      <w:r w:rsidRPr="000E0029">
        <w:rPr>
          <w:rFonts w:ascii="Arial" w:hAnsi="Arial" w:cs="Arial"/>
          <w:sz w:val="22"/>
          <w:szCs w:val="22"/>
        </w:rPr>
        <w:t xml:space="preserve">The numbers also show a weak relationship between transit-time inflation and stockpile growth. Companies like Bentley, which faced lengthier rerouting penalties (32.43 to 41.50 days), enhanced their inventory (15.67 to 17.53 days) and raised their expenses (~£30,000 to ~£46,000), suggesting integrated adaptability. Nonetheless, McLaren was able to maintain a consistent level of performance while experiencing little changes in inventory (10.78 to 10.61 </w:t>
      </w:r>
      <w:r w:rsidRPr="000E0029">
        <w:rPr>
          <w:rFonts w:ascii="Arial" w:hAnsi="Arial" w:cs="Arial"/>
          <w:sz w:val="22"/>
          <w:szCs w:val="22"/>
        </w:rPr>
        <w:lastRenderedPageBreak/>
        <w:t>days), limited increases in costs (£3.0k to £5.1k), and reduced transit penalties (40.29 to 43.38 days), proving that capacity replacement for buffering was effective.</w:t>
      </w:r>
    </w:p>
    <w:p w14:paraId="5D65AFDE" w14:textId="4B4FF11A" w:rsidR="00240EC9" w:rsidRDefault="000E0029" w:rsidP="000E0029">
      <w:pPr>
        <w:spacing w:after="0" w:line="360" w:lineRule="auto"/>
        <w:ind w:firstLine="567"/>
        <w:jc w:val="both"/>
        <w:rPr>
          <w:rFonts w:ascii="Arial" w:hAnsi="Arial" w:cs="Arial"/>
          <w:sz w:val="22"/>
          <w:szCs w:val="22"/>
        </w:rPr>
      </w:pPr>
      <w:r w:rsidRPr="000E0029">
        <w:rPr>
          <w:rFonts w:ascii="Arial" w:hAnsi="Arial" w:cs="Arial"/>
          <w:sz w:val="22"/>
          <w:szCs w:val="22"/>
        </w:rPr>
        <w:t>Consequently, operational flexibility, cost management, and inventory placement are more important than buffering intensity in determining resilience (</w:t>
      </w:r>
      <w:proofErr w:type="spellStart"/>
      <w:r w:rsidRPr="000E0029">
        <w:rPr>
          <w:rFonts w:ascii="Arial" w:hAnsi="Arial" w:cs="Arial"/>
          <w:sz w:val="22"/>
          <w:szCs w:val="22"/>
        </w:rPr>
        <w:t>Spieske</w:t>
      </w:r>
      <w:proofErr w:type="spellEnd"/>
      <w:r w:rsidRPr="000E0029">
        <w:rPr>
          <w:rFonts w:ascii="Arial" w:hAnsi="Arial" w:cs="Arial"/>
          <w:sz w:val="22"/>
          <w:szCs w:val="22"/>
        </w:rPr>
        <w:t xml:space="preserve"> et al., 2023). According to Huang et al. (2023) and </w:t>
      </w:r>
      <w:proofErr w:type="spellStart"/>
      <w:r w:rsidRPr="000E0029">
        <w:rPr>
          <w:rFonts w:ascii="Arial" w:hAnsi="Arial" w:cs="Arial"/>
          <w:sz w:val="22"/>
          <w:szCs w:val="22"/>
        </w:rPr>
        <w:t>Rauniyar</w:t>
      </w:r>
      <w:proofErr w:type="spellEnd"/>
      <w:r w:rsidRPr="000E0029">
        <w:rPr>
          <w:rFonts w:ascii="Arial" w:hAnsi="Arial" w:cs="Arial"/>
          <w:sz w:val="22"/>
          <w:szCs w:val="22"/>
        </w:rPr>
        <w:t xml:space="preserve"> et al. (2023), company performance is influenced by their capacity to detect and react to disruptions. This lends credence to dynamic capability viewpoints. As a result, JIT is not eliminated but rather selectively rearranged, serving as an analytical link to RQ3.</w:t>
      </w:r>
    </w:p>
    <w:p w14:paraId="4F1B0F04" w14:textId="77777777" w:rsidR="00240EC9" w:rsidRDefault="00240EC9" w:rsidP="000E0029">
      <w:pPr>
        <w:spacing w:after="0" w:line="360" w:lineRule="auto"/>
        <w:ind w:firstLine="567"/>
        <w:jc w:val="both"/>
        <w:rPr>
          <w:rFonts w:ascii="Arial" w:hAnsi="Arial" w:cs="Arial"/>
          <w:sz w:val="22"/>
          <w:szCs w:val="22"/>
        </w:rPr>
      </w:pPr>
    </w:p>
    <w:p w14:paraId="369DAE90" w14:textId="77777777" w:rsidR="00240EC9" w:rsidRDefault="00240EC9" w:rsidP="000E0029">
      <w:pPr>
        <w:spacing w:after="0" w:line="360" w:lineRule="auto"/>
        <w:ind w:firstLine="567"/>
        <w:jc w:val="both"/>
        <w:rPr>
          <w:rFonts w:ascii="Arial" w:hAnsi="Arial" w:cs="Arial"/>
          <w:sz w:val="22"/>
          <w:szCs w:val="22"/>
        </w:rPr>
      </w:pPr>
    </w:p>
    <w:p w14:paraId="308B1993" w14:textId="77777777" w:rsidR="00240EC9" w:rsidRDefault="00240EC9" w:rsidP="00A92367">
      <w:pPr>
        <w:spacing w:after="0" w:line="360" w:lineRule="auto"/>
        <w:jc w:val="both"/>
        <w:rPr>
          <w:rFonts w:ascii="Arial" w:hAnsi="Arial" w:cs="Arial"/>
          <w:sz w:val="22"/>
          <w:szCs w:val="22"/>
        </w:rPr>
      </w:pPr>
    </w:p>
    <w:p w14:paraId="16A03F0E" w14:textId="77777777" w:rsidR="00240EC9" w:rsidRDefault="00240EC9" w:rsidP="00A92367">
      <w:pPr>
        <w:spacing w:after="0" w:line="360" w:lineRule="auto"/>
        <w:jc w:val="both"/>
        <w:rPr>
          <w:rFonts w:ascii="Arial" w:hAnsi="Arial" w:cs="Arial"/>
          <w:sz w:val="22"/>
          <w:szCs w:val="22"/>
        </w:rPr>
      </w:pPr>
    </w:p>
    <w:p w14:paraId="6C5DD705" w14:textId="77777777" w:rsidR="004F12F5" w:rsidRDefault="004F12F5" w:rsidP="00A92367">
      <w:pPr>
        <w:spacing w:after="0" w:line="360" w:lineRule="auto"/>
        <w:jc w:val="both"/>
        <w:rPr>
          <w:rFonts w:ascii="Arial" w:hAnsi="Arial" w:cs="Arial"/>
          <w:sz w:val="22"/>
          <w:szCs w:val="22"/>
        </w:rPr>
      </w:pPr>
    </w:p>
    <w:p w14:paraId="09151027" w14:textId="77777777" w:rsidR="00B31C75" w:rsidRDefault="00B31C75" w:rsidP="00A92367">
      <w:pPr>
        <w:spacing w:after="0" w:line="360" w:lineRule="auto"/>
        <w:jc w:val="both"/>
        <w:rPr>
          <w:rFonts w:ascii="Arial" w:hAnsi="Arial" w:cs="Arial"/>
          <w:sz w:val="22"/>
          <w:szCs w:val="22"/>
        </w:rPr>
      </w:pPr>
    </w:p>
    <w:p w14:paraId="6ED878CD" w14:textId="77777777" w:rsidR="000E0029" w:rsidRDefault="000E0029" w:rsidP="00A92367">
      <w:pPr>
        <w:spacing w:after="0" w:line="360" w:lineRule="auto"/>
        <w:jc w:val="both"/>
        <w:rPr>
          <w:rFonts w:ascii="Arial" w:hAnsi="Arial" w:cs="Arial"/>
          <w:sz w:val="22"/>
          <w:szCs w:val="22"/>
        </w:rPr>
      </w:pPr>
    </w:p>
    <w:p w14:paraId="57DB4F1C" w14:textId="77777777" w:rsidR="000E0029" w:rsidRDefault="000E0029" w:rsidP="00A92367">
      <w:pPr>
        <w:spacing w:after="0" w:line="360" w:lineRule="auto"/>
        <w:jc w:val="both"/>
        <w:rPr>
          <w:rFonts w:ascii="Arial" w:hAnsi="Arial" w:cs="Arial"/>
          <w:sz w:val="22"/>
          <w:szCs w:val="22"/>
        </w:rPr>
      </w:pPr>
    </w:p>
    <w:p w14:paraId="50FD2B86" w14:textId="77777777" w:rsidR="000E0029" w:rsidRDefault="000E0029" w:rsidP="00A92367">
      <w:pPr>
        <w:spacing w:after="0" w:line="360" w:lineRule="auto"/>
        <w:jc w:val="both"/>
        <w:rPr>
          <w:rFonts w:ascii="Arial" w:hAnsi="Arial" w:cs="Arial"/>
          <w:sz w:val="22"/>
          <w:szCs w:val="22"/>
        </w:rPr>
      </w:pPr>
    </w:p>
    <w:p w14:paraId="6CCBC62D" w14:textId="77777777" w:rsidR="000E0029" w:rsidRDefault="000E0029" w:rsidP="00A92367">
      <w:pPr>
        <w:spacing w:after="0" w:line="360" w:lineRule="auto"/>
        <w:jc w:val="both"/>
        <w:rPr>
          <w:rFonts w:ascii="Arial" w:hAnsi="Arial" w:cs="Arial"/>
          <w:sz w:val="22"/>
          <w:szCs w:val="22"/>
        </w:rPr>
      </w:pPr>
    </w:p>
    <w:p w14:paraId="765DF296" w14:textId="77777777" w:rsidR="000E0029" w:rsidRDefault="000E0029" w:rsidP="00A92367">
      <w:pPr>
        <w:spacing w:after="0" w:line="360" w:lineRule="auto"/>
        <w:jc w:val="both"/>
        <w:rPr>
          <w:rFonts w:ascii="Arial" w:hAnsi="Arial" w:cs="Arial"/>
          <w:sz w:val="22"/>
          <w:szCs w:val="22"/>
        </w:rPr>
      </w:pPr>
    </w:p>
    <w:p w14:paraId="159966B8" w14:textId="77777777" w:rsidR="000E0029" w:rsidRDefault="000E0029" w:rsidP="00A92367">
      <w:pPr>
        <w:spacing w:after="0" w:line="360" w:lineRule="auto"/>
        <w:jc w:val="both"/>
        <w:rPr>
          <w:rFonts w:ascii="Arial" w:hAnsi="Arial" w:cs="Arial"/>
          <w:sz w:val="22"/>
          <w:szCs w:val="22"/>
        </w:rPr>
      </w:pPr>
    </w:p>
    <w:p w14:paraId="462D994F" w14:textId="77777777" w:rsidR="000E0029" w:rsidRDefault="000E0029" w:rsidP="00A92367">
      <w:pPr>
        <w:spacing w:after="0" w:line="360" w:lineRule="auto"/>
        <w:jc w:val="both"/>
        <w:rPr>
          <w:rFonts w:ascii="Arial" w:hAnsi="Arial" w:cs="Arial"/>
          <w:sz w:val="22"/>
          <w:szCs w:val="22"/>
        </w:rPr>
      </w:pPr>
    </w:p>
    <w:p w14:paraId="09B35D05" w14:textId="77777777" w:rsidR="000E0029" w:rsidRDefault="000E0029" w:rsidP="00A92367">
      <w:pPr>
        <w:spacing w:after="0" w:line="360" w:lineRule="auto"/>
        <w:jc w:val="both"/>
        <w:rPr>
          <w:rFonts w:ascii="Arial" w:hAnsi="Arial" w:cs="Arial"/>
          <w:sz w:val="22"/>
          <w:szCs w:val="22"/>
        </w:rPr>
      </w:pPr>
    </w:p>
    <w:p w14:paraId="5DB75651" w14:textId="77777777" w:rsidR="000E0029" w:rsidRDefault="000E0029" w:rsidP="00A92367">
      <w:pPr>
        <w:spacing w:after="0" w:line="360" w:lineRule="auto"/>
        <w:jc w:val="both"/>
        <w:rPr>
          <w:rFonts w:ascii="Arial" w:hAnsi="Arial" w:cs="Arial"/>
          <w:sz w:val="22"/>
          <w:szCs w:val="22"/>
        </w:rPr>
      </w:pPr>
    </w:p>
    <w:p w14:paraId="458AAA73" w14:textId="77777777" w:rsidR="000E0029" w:rsidRDefault="000E0029" w:rsidP="00A92367">
      <w:pPr>
        <w:spacing w:after="0" w:line="360" w:lineRule="auto"/>
        <w:jc w:val="both"/>
        <w:rPr>
          <w:rFonts w:ascii="Arial" w:hAnsi="Arial" w:cs="Arial"/>
          <w:sz w:val="22"/>
          <w:szCs w:val="22"/>
        </w:rPr>
      </w:pPr>
    </w:p>
    <w:p w14:paraId="3994D0F6" w14:textId="77777777" w:rsidR="000E0029" w:rsidRDefault="000E0029" w:rsidP="00A92367">
      <w:pPr>
        <w:spacing w:after="0" w:line="360" w:lineRule="auto"/>
        <w:jc w:val="both"/>
        <w:rPr>
          <w:rFonts w:ascii="Arial" w:hAnsi="Arial" w:cs="Arial"/>
          <w:sz w:val="22"/>
          <w:szCs w:val="22"/>
        </w:rPr>
      </w:pPr>
    </w:p>
    <w:p w14:paraId="20BB4DAB" w14:textId="77777777" w:rsidR="000E0029" w:rsidRDefault="000E0029" w:rsidP="00A92367">
      <w:pPr>
        <w:spacing w:after="0" w:line="360" w:lineRule="auto"/>
        <w:jc w:val="both"/>
        <w:rPr>
          <w:rFonts w:ascii="Arial" w:hAnsi="Arial" w:cs="Arial"/>
          <w:sz w:val="22"/>
          <w:szCs w:val="22"/>
        </w:rPr>
      </w:pPr>
    </w:p>
    <w:p w14:paraId="1ABCA80B" w14:textId="77777777" w:rsidR="000E0029" w:rsidRDefault="000E0029" w:rsidP="00A92367">
      <w:pPr>
        <w:spacing w:after="0" w:line="360" w:lineRule="auto"/>
        <w:jc w:val="both"/>
        <w:rPr>
          <w:rFonts w:ascii="Arial" w:hAnsi="Arial" w:cs="Arial"/>
          <w:sz w:val="22"/>
          <w:szCs w:val="22"/>
        </w:rPr>
      </w:pPr>
    </w:p>
    <w:p w14:paraId="314852E3" w14:textId="77777777" w:rsidR="000E0029" w:rsidRDefault="000E0029" w:rsidP="00A92367">
      <w:pPr>
        <w:spacing w:after="0" w:line="360" w:lineRule="auto"/>
        <w:jc w:val="both"/>
        <w:rPr>
          <w:rFonts w:ascii="Arial" w:hAnsi="Arial" w:cs="Arial"/>
          <w:sz w:val="22"/>
          <w:szCs w:val="22"/>
        </w:rPr>
      </w:pPr>
    </w:p>
    <w:p w14:paraId="3043B99A" w14:textId="77777777" w:rsidR="000E0029" w:rsidRDefault="000E0029" w:rsidP="00A92367">
      <w:pPr>
        <w:spacing w:after="0" w:line="360" w:lineRule="auto"/>
        <w:jc w:val="both"/>
        <w:rPr>
          <w:rFonts w:ascii="Arial" w:hAnsi="Arial" w:cs="Arial"/>
          <w:sz w:val="22"/>
          <w:szCs w:val="22"/>
        </w:rPr>
      </w:pPr>
    </w:p>
    <w:p w14:paraId="35642A82" w14:textId="77777777" w:rsidR="000E0029" w:rsidRDefault="000E0029" w:rsidP="00A92367">
      <w:pPr>
        <w:spacing w:after="0" w:line="360" w:lineRule="auto"/>
        <w:jc w:val="both"/>
        <w:rPr>
          <w:rFonts w:ascii="Arial" w:hAnsi="Arial" w:cs="Arial"/>
          <w:sz w:val="22"/>
          <w:szCs w:val="22"/>
        </w:rPr>
      </w:pPr>
    </w:p>
    <w:p w14:paraId="73B4DFA4" w14:textId="77777777" w:rsidR="000E0029" w:rsidRDefault="000E0029" w:rsidP="00A92367">
      <w:pPr>
        <w:spacing w:after="0" w:line="360" w:lineRule="auto"/>
        <w:jc w:val="both"/>
        <w:rPr>
          <w:rFonts w:ascii="Arial" w:hAnsi="Arial" w:cs="Arial"/>
          <w:sz w:val="22"/>
          <w:szCs w:val="22"/>
        </w:rPr>
      </w:pPr>
    </w:p>
    <w:p w14:paraId="4F857A2D" w14:textId="77777777" w:rsidR="000E0029" w:rsidRDefault="000E0029" w:rsidP="00A92367">
      <w:pPr>
        <w:spacing w:after="0" w:line="360" w:lineRule="auto"/>
        <w:jc w:val="both"/>
        <w:rPr>
          <w:rFonts w:ascii="Arial" w:hAnsi="Arial" w:cs="Arial"/>
          <w:sz w:val="22"/>
          <w:szCs w:val="22"/>
        </w:rPr>
      </w:pPr>
    </w:p>
    <w:p w14:paraId="5CAC2D92" w14:textId="77777777" w:rsidR="000E0029" w:rsidRDefault="000E0029" w:rsidP="00A92367">
      <w:pPr>
        <w:spacing w:after="0" w:line="360" w:lineRule="auto"/>
        <w:jc w:val="both"/>
        <w:rPr>
          <w:rFonts w:ascii="Arial" w:hAnsi="Arial" w:cs="Arial"/>
          <w:sz w:val="22"/>
          <w:szCs w:val="22"/>
        </w:rPr>
      </w:pPr>
    </w:p>
    <w:p w14:paraId="14545372" w14:textId="77777777" w:rsidR="000E0029" w:rsidRDefault="000E0029" w:rsidP="00A92367">
      <w:pPr>
        <w:spacing w:after="0" w:line="360" w:lineRule="auto"/>
        <w:jc w:val="both"/>
        <w:rPr>
          <w:rFonts w:ascii="Arial" w:hAnsi="Arial" w:cs="Arial"/>
          <w:sz w:val="22"/>
          <w:szCs w:val="22"/>
        </w:rPr>
      </w:pPr>
    </w:p>
    <w:p w14:paraId="04BF946B" w14:textId="77777777" w:rsidR="000E0029" w:rsidRDefault="000E0029" w:rsidP="00A92367">
      <w:pPr>
        <w:spacing w:after="0" w:line="360" w:lineRule="auto"/>
        <w:jc w:val="both"/>
        <w:rPr>
          <w:rFonts w:ascii="Arial" w:hAnsi="Arial" w:cs="Arial"/>
          <w:sz w:val="22"/>
          <w:szCs w:val="22"/>
        </w:rPr>
      </w:pPr>
    </w:p>
    <w:p w14:paraId="4F893A57" w14:textId="77777777" w:rsidR="000E0029" w:rsidRDefault="000E0029" w:rsidP="00A92367">
      <w:pPr>
        <w:spacing w:after="0" w:line="360" w:lineRule="auto"/>
        <w:jc w:val="both"/>
        <w:rPr>
          <w:rFonts w:ascii="Arial" w:hAnsi="Arial" w:cs="Arial"/>
          <w:sz w:val="22"/>
          <w:szCs w:val="22"/>
        </w:rPr>
      </w:pPr>
    </w:p>
    <w:p w14:paraId="5693A7E2" w14:textId="77777777" w:rsidR="000E0029" w:rsidRDefault="000E0029" w:rsidP="00A92367">
      <w:pPr>
        <w:spacing w:after="0" w:line="360" w:lineRule="auto"/>
        <w:jc w:val="both"/>
        <w:rPr>
          <w:rFonts w:ascii="Arial" w:hAnsi="Arial" w:cs="Arial"/>
          <w:sz w:val="22"/>
          <w:szCs w:val="22"/>
        </w:rPr>
      </w:pPr>
    </w:p>
    <w:p w14:paraId="3F9C047F" w14:textId="15264CCF" w:rsidR="004F12F5" w:rsidRPr="006B6691" w:rsidRDefault="004F12F5" w:rsidP="006B6691">
      <w:pPr>
        <w:pStyle w:val="Heading2"/>
        <w:spacing w:before="120"/>
        <w:rPr>
          <w:b/>
          <w:bCs/>
          <w:sz w:val="22"/>
          <w:szCs w:val="22"/>
        </w:rPr>
      </w:pPr>
      <w:bookmarkStart w:id="43" w:name="_Toc228883269"/>
      <w:r w:rsidRPr="006B6691">
        <w:rPr>
          <w:b/>
          <w:bCs/>
          <w:sz w:val="22"/>
          <w:szCs w:val="22"/>
        </w:rPr>
        <w:lastRenderedPageBreak/>
        <w:t>4.4</w:t>
      </w:r>
      <w:r w:rsidR="003811B4" w:rsidRPr="006B6691">
        <w:rPr>
          <w:b/>
          <w:bCs/>
          <w:sz w:val="22"/>
          <w:szCs w:val="22"/>
        </w:rPr>
        <w:t xml:space="preserve">. </w:t>
      </w:r>
      <w:r w:rsidRPr="006B6691">
        <w:rPr>
          <w:b/>
          <w:bCs/>
          <w:sz w:val="22"/>
          <w:szCs w:val="22"/>
        </w:rPr>
        <w:t>RQ3. Industry 4.0 / 5.0 and resilience capability</w:t>
      </w:r>
      <w:bookmarkEnd w:id="43"/>
    </w:p>
    <w:p w14:paraId="036B3A56" w14:textId="7E4AB728" w:rsidR="00F25D47" w:rsidRPr="004673AD" w:rsidRDefault="004673AD" w:rsidP="004673AD">
      <w:pPr>
        <w:spacing w:after="0" w:line="360" w:lineRule="auto"/>
        <w:ind w:firstLine="567"/>
        <w:jc w:val="both"/>
        <w:rPr>
          <w:rFonts w:ascii="Arial" w:hAnsi="Arial" w:cs="Arial"/>
          <w:sz w:val="22"/>
          <w:szCs w:val="22"/>
        </w:rPr>
      </w:pPr>
      <w:r w:rsidRPr="004673AD">
        <w:rPr>
          <w:rFonts w:ascii="Arial" w:hAnsi="Arial" w:cs="Arial"/>
          <w:sz w:val="22"/>
          <w:szCs w:val="22"/>
        </w:rPr>
        <w:t>To what extent does the apparent impact of digital capability intensity depend on underlying operational setups, or does it really enhance resilience? This section provides a critical evaluation of the literature on the topic.</w:t>
      </w:r>
    </w:p>
    <w:p w14:paraId="07F789A6" w14:textId="2F94A661" w:rsidR="001E4B31" w:rsidRPr="006B6691" w:rsidRDefault="001E4B31" w:rsidP="006B6691">
      <w:pPr>
        <w:pStyle w:val="Heading3"/>
        <w:spacing w:before="120"/>
        <w:rPr>
          <w:b/>
          <w:bCs/>
          <w:sz w:val="22"/>
          <w:szCs w:val="22"/>
        </w:rPr>
      </w:pPr>
      <w:bookmarkStart w:id="44" w:name="_Toc228883270"/>
      <w:r w:rsidRPr="006B6691">
        <w:rPr>
          <w:b/>
          <w:bCs/>
          <w:sz w:val="22"/>
          <w:szCs w:val="22"/>
        </w:rPr>
        <w:t>4.4.1 The Relationship Between Digital Capability Intensity and Resilience</w:t>
      </w:r>
      <w:bookmarkEnd w:id="44"/>
    </w:p>
    <w:p w14:paraId="669F1914" w14:textId="17BE1247" w:rsidR="001B1C8E" w:rsidRDefault="00180C4F" w:rsidP="00180C4F">
      <w:pPr>
        <w:spacing w:after="0" w:line="360" w:lineRule="auto"/>
        <w:ind w:firstLine="567"/>
        <w:jc w:val="both"/>
        <w:rPr>
          <w:rFonts w:ascii="Arial" w:hAnsi="Arial" w:cs="Arial"/>
          <w:sz w:val="22"/>
          <w:szCs w:val="22"/>
        </w:rPr>
      </w:pPr>
      <w:r w:rsidRPr="00180C4F">
        <w:rPr>
          <w:rFonts w:ascii="Arial" w:hAnsi="Arial" w:cs="Arial"/>
          <w:sz w:val="22"/>
          <w:szCs w:val="22"/>
        </w:rPr>
        <w:t xml:space="preserve">Are digitally stronger firms more resilient? The following visualisations indicate a positive, non-linear link between DCI and resilience. Since supply chains have no single provider, operational configuration mediates the </w:t>
      </w:r>
      <w:r>
        <w:rPr>
          <w:rFonts w:ascii="Arial" w:hAnsi="Arial" w:cs="Arial"/>
          <w:sz w:val="22"/>
          <w:szCs w:val="22"/>
        </w:rPr>
        <w:t xml:space="preserve">increase in the resilience index </w:t>
      </w:r>
      <w:r w:rsidRPr="00180C4F">
        <w:rPr>
          <w:rFonts w:ascii="Arial" w:hAnsi="Arial" w:cs="Arial"/>
          <w:sz w:val="22"/>
          <w:szCs w:val="22"/>
        </w:rPr>
        <w:t>caused by DCI (Figure 4.9).</w:t>
      </w:r>
    </w:p>
    <w:p w14:paraId="2A2701D5" w14:textId="77777777" w:rsidR="00180C4F" w:rsidRPr="00180C4F" w:rsidRDefault="00180C4F" w:rsidP="004F12F5">
      <w:pPr>
        <w:spacing w:after="0" w:line="360" w:lineRule="auto"/>
        <w:jc w:val="both"/>
        <w:rPr>
          <w:rFonts w:ascii="Arial" w:hAnsi="Arial" w:cs="Arial"/>
          <w:sz w:val="16"/>
          <w:szCs w:val="16"/>
        </w:rPr>
      </w:pPr>
    </w:p>
    <w:p w14:paraId="07E4F095" w14:textId="39AB77CA" w:rsidR="00272F9A" w:rsidRPr="00C46D46" w:rsidRDefault="00C46D46" w:rsidP="00C46D46">
      <w:pPr>
        <w:spacing w:after="0" w:line="360" w:lineRule="auto"/>
        <w:jc w:val="center"/>
        <w:rPr>
          <w:rFonts w:ascii="Arial" w:hAnsi="Arial" w:cs="Arial"/>
          <w:sz w:val="20"/>
          <w:szCs w:val="20"/>
        </w:rPr>
      </w:pPr>
      <w:r w:rsidRPr="00C46D46">
        <w:rPr>
          <w:rFonts w:ascii="Arial" w:hAnsi="Arial" w:cs="Arial"/>
          <w:sz w:val="20"/>
          <w:szCs w:val="20"/>
        </w:rPr>
        <w:t>Figure 4.</w:t>
      </w:r>
      <w:r w:rsidR="007673B2">
        <w:rPr>
          <w:rFonts w:ascii="Arial" w:hAnsi="Arial" w:cs="Arial"/>
          <w:sz w:val="20"/>
          <w:szCs w:val="20"/>
        </w:rPr>
        <w:t xml:space="preserve">9. </w:t>
      </w:r>
      <w:r w:rsidRPr="00C46D46">
        <w:rPr>
          <w:rFonts w:ascii="Arial" w:hAnsi="Arial" w:cs="Arial"/>
          <w:sz w:val="20"/>
          <w:szCs w:val="20"/>
        </w:rPr>
        <w:t>Digital Capability vs Resilience Index UK Automotive Firms</w:t>
      </w:r>
    </w:p>
    <w:p w14:paraId="7345168E" w14:textId="3AA24EC6" w:rsidR="00272F9A" w:rsidRPr="003D34CF" w:rsidRDefault="003E2E6D" w:rsidP="00272F9A">
      <w:pPr>
        <w:spacing w:after="0" w:line="360" w:lineRule="auto"/>
        <w:jc w:val="center"/>
        <w:rPr>
          <w:rFonts w:ascii="Arial" w:hAnsi="Arial" w:cs="Arial"/>
          <w:sz w:val="22"/>
          <w:szCs w:val="22"/>
        </w:rPr>
      </w:pPr>
      <w:r w:rsidRPr="003E2E6D">
        <w:rPr>
          <w:rFonts w:ascii="Arial" w:hAnsi="Arial" w:cs="Arial"/>
          <w:noProof/>
          <w:sz w:val="22"/>
          <w:szCs w:val="22"/>
        </w:rPr>
        <w:drawing>
          <wp:inline distT="0" distB="0" distL="0" distR="0" wp14:anchorId="7FB4E3C8" wp14:editId="14205D94">
            <wp:extent cx="5731510" cy="1673860"/>
            <wp:effectExtent l="0" t="0" r="2540" b="2540"/>
            <wp:docPr id="50300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04135" name=""/>
                    <pic:cNvPicPr/>
                  </pic:nvPicPr>
                  <pic:blipFill>
                    <a:blip r:embed="rId36"/>
                    <a:stretch>
                      <a:fillRect/>
                    </a:stretch>
                  </pic:blipFill>
                  <pic:spPr>
                    <a:xfrm>
                      <a:off x="0" y="0"/>
                      <a:ext cx="5731510" cy="1673860"/>
                    </a:xfrm>
                    <a:prstGeom prst="rect">
                      <a:avLst/>
                    </a:prstGeom>
                  </pic:spPr>
                </pic:pic>
              </a:graphicData>
            </a:graphic>
          </wp:inline>
        </w:drawing>
      </w:r>
    </w:p>
    <w:p w14:paraId="5FD47BF0" w14:textId="05251DEB" w:rsidR="004F12F5" w:rsidRPr="00C46D46" w:rsidRDefault="00C46D46" w:rsidP="00C46D46">
      <w:pPr>
        <w:spacing w:after="0" w:line="360" w:lineRule="auto"/>
        <w:jc w:val="center"/>
        <w:rPr>
          <w:rFonts w:ascii="Arial" w:hAnsi="Arial" w:cs="Arial"/>
          <w:i/>
          <w:iCs/>
          <w:sz w:val="20"/>
          <w:szCs w:val="20"/>
        </w:rPr>
      </w:pPr>
      <w:r>
        <w:rPr>
          <w:rFonts w:ascii="Arial" w:hAnsi="Arial" w:cs="Arial"/>
          <w:i/>
          <w:iCs/>
          <w:sz w:val="20"/>
          <w:szCs w:val="20"/>
        </w:rPr>
        <w:t>(</w:t>
      </w:r>
      <w:r w:rsidRPr="00C46D46">
        <w:rPr>
          <w:rFonts w:ascii="Arial" w:hAnsi="Arial" w:cs="Arial"/>
          <w:i/>
          <w:iCs/>
          <w:sz w:val="20"/>
          <w:szCs w:val="20"/>
        </w:rPr>
        <w:t>Source: Author’s visualisation based on firm DCI and resilience metrics</w:t>
      </w:r>
      <w:r>
        <w:rPr>
          <w:rFonts w:ascii="Arial" w:hAnsi="Arial" w:cs="Arial"/>
          <w:i/>
          <w:iCs/>
          <w:sz w:val="20"/>
          <w:szCs w:val="20"/>
        </w:rPr>
        <w:t>)</w:t>
      </w:r>
    </w:p>
    <w:p w14:paraId="4F74B469" w14:textId="77777777" w:rsidR="004F12F5" w:rsidRPr="00371A88" w:rsidRDefault="004F12F5" w:rsidP="00A92367">
      <w:pPr>
        <w:spacing w:after="0" w:line="360" w:lineRule="auto"/>
        <w:jc w:val="both"/>
        <w:rPr>
          <w:rFonts w:ascii="Arial" w:hAnsi="Arial" w:cs="Arial"/>
          <w:sz w:val="16"/>
          <w:szCs w:val="16"/>
        </w:rPr>
      </w:pPr>
    </w:p>
    <w:p w14:paraId="1A67C4B8" w14:textId="6C03D440" w:rsidR="00371A88" w:rsidRPr="00371A88" w:rsidRDefault="00371A88" w:rsidP="00371A88">
      <w:pPr>
        <w:spacing w:after="0" w:line="360" w:lineRule="auto"/>
        <w:ind w:firstLine="567"/>
        <w:jc w:val="both"/>
        <w:rPr>
          <w:rFonts w:ascii="Arial" w:hAnsi="Arial" w:cs="Arial"/>
          <w:sz w:val="22"/>
          <w:szCs w:val="22"/>
        </w:rPr>
      </w:pPr>
      <w:r w:rsidRPr="00371A88">
        <w:rPr>
          <w:rFonts w:ascii="Arial" w:hAnsi="Arial" w:cs="Arial"/>
          <w:sz w:val="22"/>
          <w:szCs w:val="22"/>
        </w:rPr>
        <w:t xml:space="preserve">The correlation between digital capability (DCI) and resilience performance is positive and non-linear, as shown in Figure 4.9. With a relatively high DCI (0.44), the highest resilience score (0.65), and elevated cost (0.97) and inventory (0.85), BMW UK exemplifies the top limit. This suggests that enterprises with higher digital maturity </w:t>
      </w:r>
      <w:r>
        <w:rPr>
          <w:rFonts w:ascii="Arial" w:hAnsi="Arial" w:cs="Arial"/>
          <w:sz w:val="22"/>
          <w:szCs w:val="22"/>
        </w:rPr>
        <w:t>can maintain more complex, resource-intensive resilience configurations</w:t>
      </w:r>
      <w:r w:rsidRPr="00371A88">
        <w:rPr>
          <w:rFonts w:ascii="Arial" w:hAnsi="Arial" w:cs="Arial"/>
          <w:sz w:val="22"/>
          <w:szCs w:val="22"/>
        </w:rPr>
        <w:t>.</w:t>
      </w:r>
    </w:p>
    <w:p w14:paraId="095F0A07" w14:textId="7BAF8FEB" w:rsidR="00371A88" w:rsidRPr="00371A88" w:rsidRDefault="00371A88" w:rsidP="00371A88">
      <w:pPr>
        <w:spacing w:after="0" w:line="360" w:lineRule="auto"/>
        <w:ind w:firstLine="567"/>
        <w:jc w:val="both"/>
        <w:rPr>
          <w:rFonts w:ascii="Arial" w:hAnsi="Arial" w:cs="Arial"/>
          <w:sz w:val="22"/>
          <w:szCs w:val="22"/>
        </w:rPr>
      </w:pPr>
      <w:r w:rsidRPr="00371A88">
        <w:rPr>
          <w:rFonts w:ascii="Arial" w:hAnsi="Arial" w:cs="Arial"/>
          <w:sz w:val="22"/>
          <w:szCs w:val="22"/>
        </w:rPr>
        <w:t>But this relationship may not hold true for all samples. At intermediate DCI levels, Vauxhall and Toyota both show good resilience results (0.58</w:t>
      </w:r>
      <w:r>
        <w:rPr>
          <w:rFonts w:ascii="Arial" w:hAnsi="Arial" w:cs="Arial"/>
          <w:sz w:val="22"/>
          <w:szCs w:val="22"/>
        </w:rPr>
        <w:t xml:space="preserve"> and 0.57, respectively), while</w:t>
      </w:r>
      <w:r w:rsidRPr="00371A88">
        <w:rPr>
          <w:rFonts w:ascii="Arial" w:hAnsi="Arial" w:cs="Arial"/>
          <w:sz w:val="22"/>
          <w:szCs w:val="22"/>
        </w:rPr>
        <w:t xml:space="preserve"> McLaren falls short of its positioning (0.42 resilience), suggesting that digital competence is not a guarantee of successful adaptation. Lotus, on the other hand, combines poor resilience (0.40) with limited DCI (0.12), further establishing a baseline dependence between capability and performance.</w:t>
      </w:r>
    </w:p>
    <w:p w14:paraId="1C58BF34" w14:textId="2D721832" w:rsidR="004F12F5" w:rsidRDefault="00371A88" w:rsidP="00371A88">
      <w:pPr>
        <w:spacing w:after="0" w:line="360" w:lineRule="auto"/>
        <w:ind w:firstLine="567"/>
        <w:jc w:val="both"/>
        <w:rPr>
          <w:rFonts w:ascii="Arial" w:hAnsi="Arial" w:cs="Arial"/>
          <w:sz w:val="22"/>
          <w:szCs w:val="22"/>
        </w:rPr>
      </w:pPr>
      <w:r w:rsidRPr="00371A88">
        <w:rPr>
          <w:rFonts w:ascii="Arial" w:hAnsi="Arial" w:cs="Arial"/>
          <w:sz w:val="22"/>
          <w:szCs w:val="22"/>
        </w:rPr>
        <w:t xml:space="preserve">Therefore, it seems that DCI is more of a </w:t>
      </w:r>
      <w:r>
        <w:rPr>
          <w:rFonts w:ascii="Arial" w:hAnsi="Arial" w:cs="Arial"/>
          <w:sz w:val="22"/>
          <w:szCs w:val="22"/>
        </w:rPr>
        <w:t>facilitator than a driving force: greater digital capacity enables better coordination of buffering, routing, and cost absorption, but the results depend</w:t>
      </w:r>
      <w:r w:rsidRPr="00371A88">
        <w:rPr>
          <w:rFonts w:ascii="Arial" w:hAnsi="Arial" w:cs="Arial"/>
          <w:sz w:val="22"/>
          <w:szCs w:val="22"/>
        </w:rPr>
        <w:t xml:space="preserve"> on the integration of these processes. Capability alignment, not digital intensity alone, affects resilience performance, as seen in Table 4.3.</w:t>
      </w:r>
    </w:p>
    <w:p w14:paraId="7C9006EC" w14:textId="77777777" w:rsidR="00371A88" w:rsidRDefault="00371A88" w:rsidP="00371A88">
      <w:pPr>
        <w:spacing w:after="0" w:line="360" w:lineRule="auto"/>
        <w:ind w:firstLine="567"/>
        <w:jc w:val="both"/>
        <w:rPr>
          <w:rFonts w:ascii="Arial" w:hAnsi="Arial" w:cs="Arial"/>
          <w:sz w:val="22"/>
          <w:szCs w:val="22"/>
        </w:rPr>
      </w:pPr>
    </w:p>
    <w:p w14:paraId="43A3587D" w14:textId="77777777" w:rsidR="00371A88" w:rsidRPr="004A7ADE" w:rsidRDefault="00371A88" w:rsidP="00371A88">
      <w:pPr>
        <w:spacing w:after="0" w:line="360" w:lineRule="auto"/>
        <w:ind w:firstLine="567"/>
        <w:jc w:val="both"/>
        <w:rPr>
          <w:rFonts w:ascii="Arial" w:hAnsi="Arial" w:cs="Arial"/>
          <w:sz w:val="16"/>
          <w:szCs w:val="16"/>
        </w:rPr>
      </w:pPr>
    </w:p>
    <w:p w14:paraId="24E1FD54" w14:textId="1BBC7D9C" w:rsidR="004A7ADE" w:rsidRPr="004A7ADE" w:rsidRDefault="004A7ADE" w:rsidP="004A7ADE">
      <w:pPr>
        <w:spacing w:after="0" w:line="360" w:lineRule="auto"/>
        <w:jc w:val="center"/>
        <w:rPr>
          <w:rFonts w:ascii="Arial" w:hAnsi="Arial" w:cs="Arial"/>
          <w:sz w:val="20"/>
          <w:szCs w:val="20"/>
        </w:rPr>
      </w:pPr>
      <w:r w:rsidRPr="004A7ADE">
        <w:rPr>
          <w:rFonts w:ascii="Arial" w:hAnsi="Arial" w:cs="Arial"/>
          <w:sz w:val="20"/>
          <w:szCs w:val="20"/>
        </w:rPr>
        <w:lastRenderedPageBreak/>
        <w:t>Table 4.3.  Digital Capability and Resilience Rankings</w:t>
      </w:r>
    </w:p>
    <w:p w14:paraId="64148AB6" w14:textId="021DB514" w:rsidR="004A7ADE" w:rsidRDefault="00A50AFF" w:rsidP="004A7ADE">
      <w:pPr>
        <w:spacing w:after="0" w:line="360" w:lineRule="auto"/>
        <w:jc w:val="center"/>
        <w:rPr>
          <w:rFonts w:ascii="Arial" w:hAnsi="Arial" w:cs="Arial"/>
          <w:sz w:val="22"/>
          <w:szCs w:val="22"/>
        </w:rPr>
      </w:pPr>
      <w:r w:rsidRPr="00A50AFF">
        <w:rPr>
          <w:rFonts w:ascii="Arial" w:hAnsi="Arial" w:cs="Arial"/>
          <w:noProof/>
          <w:sz w:val="22"/>
          <w:szCs w:val="22"/>
        </w:rPr>
        <w:drawing>
          <wp:inline distT="0" distB="0" distL="0" distR="0" wp14:anchorId="48B86A9A" wp14:editId="015A6FD0">
            <wp:extent cx="4173814" cy="1704109"/>
            <wp:effectExtent l="0" t="0" r="0" b="0"/>
            <wp:docPr id="86113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39892" name=""/>
                    <pic:cNvPicPr/>
                  </pic:nvPicPr>
                  <pic:blipFill>
                    <a:blip r:embed="rId37"/>
                    <a:stretch>
                      <a:fillRect/>
                    </a:stretch>
                  </pic:blipFill>
                  <pic:spPr>
                    <a:xfrm>
                      <a:off x="0" y="0"/>
                      <a:ext cx="4229095" cy="1726679"/>
                    </a:xfrm>
                    <a:prstGeom prst="rect">
                      <a:avLst/>
                    </a:prstGeom>
                  </pic:spPr>
                </pic:pic>
              </a:graphicData>
            </a:graphic>
          </wp:inline>
        </w:drawing>
      </w:r>
    </w:p>
    <w:p w14:paraId="546C06A1" w14:textId="1D1E97C6" w:rsidR="003E2E6D" w:rsidRDefault="001444FE" w:rsidP="004A7ADE">
      <w:pPr>
        <w:spacing w:after="0" w:line="360" w:lineRule="auto"/>
        <w:jc w:val="center"/>
        <w:rPr>
          <w:rFonts w:ascii="Arial" w:hAnsi="Arial" w:cs="Arial"/>
          <w:i/>
          <w:iCs/>
          <w:sz w:val="20"/>
          <w:szCs w:val="20"/>
        </w:rPr>
      </w:pPr>
      <w:r w:rsidRPr="001444FE">
        <w:rPr>
          <w:rFonts w:ascii="Arial" w:hAnsi="Arial" w:cs="Arial"/>
          <w:i/>
          <w:iCs/>
          <w:sz w:val="20"/>
          <w:szCs w:val="20"/>
        </w:rPr>
        <w:t>(Source: Author’s calculations from firm resilience and DCI indicators)</w:t>
      </w:r>
    </w:p>
    <w:p w14:paraId="147BF63D" w14:textId="77777777" w:rsidR="00371A88" w:rsidRPr="00371A88" w:rsidRDefault="00371A88" w:rsidP="004A7ADE">
      <w:pPr>
        <w:spacing w:after="0" w:line="360" w:lineRule="auto"/>
        <w:jc w:val="center"/>
        <w:rPr>
          <w:rFonts w:ascii="Arial" w:hAnsi="Arial" w:cs="Arial"/>
          <w:i/>
          <w:iCs/>
          <w:sz w:val="16"/>
          <w:szCs w:val="16"/>
        </w:rPr>
      </w:pPr>
    </w:p>
    <w:p w14:paraId="44C37B61" w14:textId="71BCA57D" w:rsidR="004F12F5" w:rsidRDefault="007A34DD" w:rsidP="007A34DD">
      <w:pPr>
        <w:spacing w:after="0" w:line="360" w:lineRule="auto"/>
        <w:ind w:firstLine="567"/>
        <w:jc w:val="both"/>
        <w:rPr>
          <w:rFonts w:ascii="Arial" w:hAnsi="Arial" w:cs="Arial"/>
          <w:sz w:val="22"/>
          <w:szCs w:val="22"/>
        </w:rPr>
      </w:pPr>
      <w:r w:rsidRPr="007A34DD">
        <w:rPr>
          <w:rFonts w:ascii="Arial" w:hAnsi="Arial" w:cs="Arial"/>
          <w:sz w:val="22"/>
          <w:szCs w:val="22"/>
        </w:rPr>
        <w:t xml:space="preserve">Mass-market companies are more resilient than luxury companies (0.54 vs. 0.48). Bigger manufacturers were shown to be more digitally robust. But the distribution of segments is important. Aston's outstanding inventory score of 0.97 only </w:t>
      </w:r>
      <w:r>
        <w:rPr>
          <w:rFonts w:ascii="Arial" w:hAnsi="Arial" w:cs="Arial"/>
          <w:sz w:val="22"/>
          <w:szCs w:val="22"/>
        </w:rPr>
        <w:t>ranks 0.51, compared with</w:t>
      </w:r>
      <w:r w:rsidRPr="007A34DD">
        <w:rPr>
          <w:rFonts w:ascii="Arial" w:hAnsi="Arial" w:cs="Arial"/>
          <w:sz w:val="22"/>
          <w:szCs w:val="22"/>
        </w:rPr>
        <w:t xml:space="preserve"> BMW UK's better performance. This is for capacity interpretation assistance</w:t>
      </w:r>
      <w:r>
        <w:rPr>
          <w:rFonts w:ascii="Arial" w:hAnsi="Arial" w:cs="Arial"/>
          <w:sz w:val="22"/>
          <w:szCs w:val="22"/>
        </w:rPr>
        <w:t>,</w:t>
      </w:r>
      <w:r w:rsidRPr="007A34DD">
        <w:rPr>
          <w:rFonts w:ascii="Arial" w:hAnsi="Arial" w:cs="Arial"/>
          <w:sz w:val="22"/>
          <w:szCs w:val="22"/>
        </w:rPr>
        <w:t xml:space="preserve"> not stock interpretation (Belhadi et al., 2022). As an additional argument, Table 4.4 contains digital capabilities and operational KPIs.</w:t>
      </w:r>
    </w:p>
    <w:p w14:paraId="3B9F3461" w14:textId="77777777" w:rsidR="007A34DD" w:rsidRPr="007A34DD" w:rsidRDefault="007A34DD" w:rsidP="007A34DD">
      <w:pPr>
        <w:spacing w:after="0" w:line="360" w:lineRule="auto"/>
        <w:ind w:firstLine="567"/>
        <w:jc w:val="both"/>
        <w:rPr>
          <w:rFonts w:ascii="Arial" w:hAnsi="Arial" w:cs="Arial"/>
          <w:sz w:val="16"/>
          <w:szCs w:val="16"/>
        </w:rPr>
      </w:pPr>
    </w:p>
    <w:p w14:paraId="19D6F13E" w14:textId="596D52C2" w:rsidR="004F12F5" w:rsidRDefault="001E7536" w:rsidP="001E7536">
      <w:pPr>
        <w:spacing w:after="0" w:line="360" w:lineRule="auto"/>
        <w:jc w:val="center"/>
        <w:rPr>
          <w:rFonts w:ascii="Arial" w:hAnsi="Arial" w:cs="Arial"/>
          <w:sz w:val="20"/>
          <w:szCs w:val="20"/>
        </w:rPr>
      </w:pPr>
      <w:r w:rsidRPr="001E7536">
        <w:rPr>
          <w:rFonts w:ascii="Arial" w:hAnsi="Arial" w:cs="Arial"/>
          <w:sz w:val="20"/>
          <w:szCs w:val="20"/>
        </w:rPr>
        <w:t>Table 4.4. Operational Benchmarking of UK Automotive Firms</w:t>
      </w:r>
    </w:p>
    <w:p w14:paraId="17D165A4" w14:textId="1E95845E" w:rsidR="00911E20" w:rsidRDefault="0053775B" w:rsidP="001E7536">
      <w:pPr>
        <w:spacing w:after="0" w:line="360" w:lineRule="auto"/>
        <w:jc w:val="center"/>
        <w:rPr>
          <w:rFonts w:ascii="Arial" w:hAnsi="Arial" w:cs="Arial"/>
          <w:sz w:val="20"/>
          <w:szCs w:val="20"/>
        </w:rPr>
      </w:pPr>
      <w:r w:rsidRPr="0053775B">
        <w:rPr>
          <w:rFonts w:ascii="Arial" w:hAnsi="Arial" w:cs="Arial"/>
          <w:noProof/>
          <w:sz w:val="20"/>
          <w:szCs w:val="20"/>
        </w:rPr>
        <w:drawing>
          <wp:inline distT="0" distB="0" distL="0" distR="0" wp14:anchorId="6903DF7D" wp14:editId="748CABBE">
            <wp:extent cx="5147147" cy="2018805"/>
            <wp:effectExtent l="0" t="0" r="0" b="635"/>
            <wp:docPr id="178123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37122" name=""/>
                    <pic:cNvPicPr/>
                  </pic:nvPicPr>
                  <pic:blipFill>
                    <a:blip r:embed="rId38"/>
                    <a:stretch>
                      <a:fillRect/>
                    </a:stretch>
                  </pic:blipFill>
                  <pic:spPr>
                    <a:xfrm>
                      <a:off x="0" y="0"/>
                      <a:ext cx="5182324" cy="2032602"/>
                    </a:xfrm>
                    <a:prstGeom prst="rect">
                      <a:avLst/>
                    </a:prstGeom>
                  </pic:spPr>
                </pic:pic>
              </a:graphicData>
            </a:graphic>
          </wp:inline>
        </w:drawing>
      </w:r>
    </w:p>
    <w:p w14:paraId="21BE1650" w14:textId="5786CF45" w:rsidR="00911E20" w:rsidRPr="00911E20" w:rsidRDefault="00911E20" w:rsidP="001E7536">
      <w:pPr>
        <w:spacing w:after="0" w:line="360" w:lineRule="auto"/>
        <w:jc w:val="center"/>
        <w:rPr>
          <w:rFonts w:ascii="Arial" w:hAnsi="Arial" w:cs="Arial"/>
          <w:i/>
          <w:iCs/>
          <w:sz w:val="20"/>
          <w:szCs w:val="20"/>
        </w:rPr>
      </w:pPr>
      <w:r w:rsidRPr="00911E20">
        <w:rPr>
          <w:rFonts w:ascii="Arial" w:hAnsi="Arial" w:cs="Arial"/>
          <w:i/>
          <w:iCs/>
          <w:sz w:val="20"/>
          <w:szCs w:val="20"/>
        </w:rPr>
        <w:t>(Source: Author’s calculations from firm operational performance data)</w:t>
      </w:r>
    </w:p>
    <w:p w14:paraId="7E09B532" w14:textId="77777777" w:rsidR="004F12F5" w:rsidRPr="00B05F7D" w:rsidRDefault="004F12F5" w:rsidP="00A92367">
      <w:pPr>
        <w:spacing w:after="0" w:line="360" w:lineRule="auto"/>
        <w:jc w:val="both"/>
        <w:rPr>
          <w:rFonts w:ascii="Arial" w:hAnsi="Arial" w:cs="Arial"/>
          <w:sz w:val="16"/>
          <w:szCs w:val="16"/>
        </w:rPr>
      </w:pPr>
    </w:p>
    <w:p w14:paraId="0EA4ED5F" w14:textId="5001122C" w:rsidR="004B4D5B" w:rsidRPr="004B4D5B" w:rsidRDefault="004B4D5B" w:rsidP="00BC03E1">
      <w:pPr>
        <w:spacing w:after="0" w:line="360" w:lineRule="auto"/>
        <w:ind w:firstLine="567"/>
        <w:jc w:val="both"/>
        <w:rPr>
          <w:rFonts w:ascii="Arial" w:hAnsi="Arial" w:cs="Arial"/>
          <w:sz w:val="22"/>
          <w:szCs w:val="22"/>
        </w:rPr>
      </w:pPr>
      <w:r w:rsidRPr="004B4D5B">
        <w:rPr>
          <w:rFonts w:ascii="Arial" w:hAnsi="Arial" w:cs="Arial"/>
          <w:sz w:val="22"/>
          <w:szCs w:val="22"/>
        </w:rPr>
        <w:t>Table 4.4 shows that inventory, cost, and capacity interact to produce resilience. JLR has the biggest inventory (19,888) but only moderate resilience (0.52), compared to BMW_UK (0.65), which has 314 less inventory and a thinner DIO of 7.77. This shows that extensive buffering does not improve performance uniformly.</w:t>
      </w:r>
    </w:p>
    <w:p w14:paraId="0B22EA1C" w14:textId="487DC7E2" w:rsidR="004B4D5B" w:rsidRPr="004B4D5B" w:rsidRDefault="004B4D5B" w:rsidP="004B4D5B">
      <w:pPr>
        <w:spacing w:after="0" w:line="360" w:lineRule="auto"/>
        <w:ind w:firstLine="567"/>
        <w:jc w:val="both"/>
        <w:rPr>
          <w:rFonts w:ascii="Arial" w:hAnsi="Arial" w:cs="Arial"/>
          <w:sz w:val="22"/>
          <w:szCs w:val="22"/>
        </w:rPr>
      </w:pPr>
      <w:r w:rsidRPr="004B4D5B">
        <w:rPr>
          <w:rFonts w:ascii="Arial" w:hAnsi="Arial" w:cs="Arial"/>
          <w:sz w:val="22"/>
          <w:szCs w:val="22"/>
        </w:rPr>
        <w:t>RRMC's strong inventory score (0.94) and resilience (0.54) indicate good stockholding-operational control coordination. Lotus has one of the highest inventory ratings (0.97) but the lowest resilience (0.40) owing to insufficient cost capabilities (0.27), demonstrating that buffering without cost control hurts results.</w:t>
      </w:r>
    </w:p>
    <w:p w14:paraId="0C72C87D" w14:textId="598E3D6A" w:rsidR="004B4D5B" w:rsidRPr="004B4D5B" w:rsidRDefault="004B4D5B" w:rsidP="004B4D5B">
      <w:pPr>
        <w:spacing w:after="0" w:line="360" w:lineRule="auto"/>
        <w:ind w:firstLine="567"/>
        <w:jc w:val="both"/>
        <w:rPr>
          <w:rFonts w:ascii="Arial" w:hAnsi="Arial" w:cs="Arial"/>
          <w:sz w:val="22"/>
          <w:szCs w:val="22"/>
        </w:rPr>
      </w:pPr>
      <w:r w:rsidRPr="004B4D5B">
        <w:rPr>
          <w:rFonts w:ascii="Arial" w:hAnsi="Arial" w:cs="Arial"/>
          <w:sz w:val="22"/>
          <w:szCs w:val="22"/>
        </w:rPr>
        <w:lastRenderedPageBreak/>
        <w:t xml:space="preserve">Firms with balanced metrics, modest inventory (0.78–0.95), managed expenses (0.62–0.85), and enhanced digital capabilities cluster at higher resilience (0.54–0.65). Thus, resilience increases when inventory, cost absorption, and coordination skills are coordinated rather than maximised separately (Bag et al., 2023; </w:t>
      </w:r>
      <w:proofErr w:type="spellStart"/>
      <w:r w:rsidRPr="004B4D5B">
        <w:rPr>
          <w:rFonts w:ascii="Arial" w:hAnsi="Arial" w:cs="Arial"/>
          <w:sz w:val="22"/>
          <w:szCs w:val="22"/>
        </w:rPr>
        <w:t>Bechtsis</w:t>
      </w:r>
      <w:proofErr w:type="spellEnd"/>
      <w:r w:rsidRPr="004B4D5B">
        <w:rPr>
          <w:rFonts w:ascii="Arial" w:hAnsi="Arial" w:cs="Arial"/>
          <w:sz w:val="22"/>
          <w:szCs w:val="22"/>
        </w:rPr>
        <w:t>, 2022).</w:t>
      </w:r>
    </w:p>
    <w:p w14:paraId="11C71AE0" w14:textId="325D3D96" w:rsidR="004B4D5B" w:rsidRDefault="004B4D5B" w:rsidP="004B4D5B">
      <w:pPr>
        <w:spacing w:after="0" w:line="360" w:lineRule="auto"/>
        <w:ind w:firstLine="567"/>
        <w:jc w:val="both"/>
        <w:rPr>
          <w:rFonts w:ascii="Arial" w:hAnsi="Arial" w:cs="Arial"/>
          <w:sz w:val="22"/>
          <w:szCs w:val="22"/>
        </w:rPr>
      </w:pPr>
      <w:r w:rsidRPr="004B4D5B">
        <w:rPr>
          <w:rFonts w:ascii="Arial" w:hAnsi="Arial" w:cs="Arial"/>
          <w:sz w:val="22"/>
          <w:szCs w:val="22"/>
        </w:rPr>
        <w:t xml:space="preserve">This supports the idea that capability quality, not firm size or inventory </w:t>
      </w:r>
      <w:r>
        <w:rPr>
          <w:rFonts w:ascii="Arial" w:hAnsi="Arial" w:cs="Arial"/>
          <w:sz w:val="22"/>
          <w:szCs w:val="22"/>
        </w:rPr>
        <w:t>levels, drives adaptive performance, leading</w:t>
      </w:r>
      <w:r w:rsidRPr="004B4D5B">
        <w:rPr>
          <w:rFonts w:ascii="Arial" w:hAnsi="Arial" w:cs="Arial"/>
          <w:sz w:val="22"/>
          <w:szCs w:val="22"/>
        </w:rPr>
        <w:t xml:space="preserve"> to the measurement of digital competence in hybrid JIT–JIC methods.</w:t>
      </w:r>
    </w:p>
    <w:p w14:paraId="109F5210" w14:textId="40D6F6CE" w:rsidR="004F12F5" w:rsidRPr="006B6691" w:rsidRDefault="00D479E0" w:rsidP="006B6691">
      <w:pPr>
        <w:pStyle w:val="Heading3"/>
        <w:spacing w:before="120"/>
        <w:rPr>
          <w:b/>
          <w:bCs/>
          <w:sz w:val="22"/>
          <w:szCs w:val="22"/>
        </w:rPr>
      </w:pPr>
      <w:bookmarkStart w:id="45" w:name="_Toc228883271"/>
      <w:r w:rsidRPr="006B6691">
        <w:rPr>
          <w:b/>
          <w:bCs/>
          <w:sz w:val="22"/>
          <w:szCs w:val="22"/>
        </w:rPr>
        <w:t>4.4.2 Digital Capability and Hybrid JIT–JIC Models</w:t>
      </w:r>
      <w:bookmarkEnd w:id="45"/>
    </w:p>
    <w:p w14:paraId="2888D8EE" w14:textId="331C5ECE" w:rsidR="00511A69" w:rsidRDefault="005F75A3" w:rsidP="005F75A3">
      <w:pPr>
        <w:spacing w:after="0" w:line="360" w:lineRule="auto"/>
        <w:ind w:firstLine="567"/>
        <w:jc w:val="both"/>
        <w:rPr>
          <w:rFonts w:ascii="Arial" w:hAnsi="Arial" w:cs="Arial"/>
          <w:sz w:val="22"/>
          <w:szCs w:val="22"/>
        </w:rPr>
      </w:pPr>
      <w:r w:rsidRPr="005F75A3">
        <w:rPr>
          <w:rFonts w:ascii="Arial" w:hAnsi="Arial" w:cs="Arial"/>
          <w:sz w:val="22"/>
          <w:szCs w:val="22"/>
        </w:rPr>
        <w:t xml:space="preserve">Figures 4.10-4.13 indicate how digital capability enhances hybrid JIT-JIC </w:t>
      </w:r>
      <w:r w:rsidR="00754BDD">
        <w:rPr>
          <w:rFonts w:ascii="Arial" w:hAnsi="Arial" w:cs="Arial"/>
          <w:sz w:val="22"/>
          <w:szCs w:val="22"/>
        </w:rPr>
        <w:t>adaptation</w:t>
      </w:r>
      <w:r w:rsidRPr="005F75A3">
        <w:rPr>
          <w:rFonts w:ascii="Arial" w:hAnsi="Arial" w:cs="Arial"/>
          <w:sz w:val="22"/>
          <w:szCs w:val="22"/>
        </w:rPr>
        <w:t xml:space="preserve"> after establishing a favourable correlation. Study: Using digital buffering, routing, and cost absorption </w:t>
      </w:r>
      <w:r>
        <w:rPr>
          <w:rFonts w:ascii="Arial" w:hAnsi="Arial" w:cs="Arial"/>
          <w:sz w:val="22"/>
          <w:szCs w:val="22"/>
        </w:rPr>
        <w:t>boosts</w:t>
      </w:r>
      <w:r w:rsidRPr="005F75A3">
        <w:rPr>
          <w:rFonts w:ascii="Arial" w:hAnsi="Arial" w:cs="Arial"/>
          <w:sz w:val="22"/>
          <w:szCs w:val="22"/>
        </w:rPr>
        <w:t xml:space="preserve"> resilience, not inventory. More knowledge is not more inventive.</w:t>
      </w:r>
    </w:p>
    <w:p w14:paraId="121F540A" w14:textId="77777777" w:rsidR="005F75A3" w:rsidRPr="005F75A3" w:rsidRDefault="005F75A3" w:rsidP="005F75A3">
      <w:pPr>
        <w:spacing w:after="0" w:line="360" w:lineRule="auto"/>
        <w:ind w:firstLine="567"/>
        <w:jc w:val="both"/>
        <w:rPr>
          <w:rFonts w:ascii="Arial" w:hAnsi="Arial" w:cs="Arial"/>
          <w:sz w:val="16"/>
          <w:szCs w:val="16"/>
        </w:rPr>
      </w:pPr>
    </w:p>
    <w:p w14:paraId="1361D2E6" w14:textId="6422DD18" w:rsidR="000D48AE" w:rsidRDefault="00D633A4" w:rsidP="00534432">
      <w:pPr>
        <w:spacing w:after="0" w:line="360" w:lineRule="auto"/>
        <w:jc w:val="center"/>
        <w:rPr>
          <w:rFonts w:ascii="Arial" w:hAnsi="Arial" w:cs="Arial"/>
          <w:sz w:val="20"/>
          <w:szCs w:val="20"/>
        </w:rPr>
      </w:pPr>
      <w:r w:rsidRPr="00D633A4">
        <w:rPr>
          <w:rFonts w:ascii="Arial" w:hAnsi="Arial" w:cs="Arial"/>
          <w:sz w:val="20"/>
          <w:szCs w:val="20"/>
        </w:rPr>
        <w:t>Figure 4.1</w:t>
      </w:r>
      <w:r w:rsidR="00DD1353">
        <w:rPr>
          <w:rFonts w:ascii="Arial" w:hAnsi="Arial" w:cs="Arial"/>
          <w:sz w:val="20"/>
          <w:szCs w:val="20"/>
        </w:rPr>
        <w:t>0</w:t>
      </w:r>
      <w:r w:rsidRPr="00D633A4">
        <w:rPr>
          <w:rFonts w:ascii="Arial" w:hAnsi="Arial" w:cs="Arial"/>
          <w:sz w:val="20"/>
          <w:szCs w:val="20"/>
        </w:rPr>
        <w:t>.  Disruption Exposure vs Cost Absorption</w:t>
      </w:r>
    </w:p>
    <w:p w14:paraId="542F053A" w14:textId="6CE50CD1" w:rsidR="000D48AE" w:rsidRDefault="005F368A" w:rsidP="00534432">
      <w:pPr>
        <w:spacing w:after="0" w:line="360" w:lineRule="auto"/>
        <w:jc w:val="center"/>
        <w:rPr>
          <w:rFonts w:ascii="Arial" w:hAnsi="Arial" w:cs="Arial"/>
          <w:sz w:val="20"/>
          <w:szCs w:val="20"/>
        </w:rPr>
      </w:pPr>
      <w:r w:rsidRPr="005F368A">
        <w:rPr>
          <w:rFonts w:ascii="Arial" w:hAnsi="Arial" w:cs="Arial"/>
          <w:noProof/>
          <w:sz w:val="20"/>
          <w:szCs w:val="20"/>
        </w:rPr>
        <w:drawing>
          <wp:inline distT="0" distB="0" distL="0" distR="0" wp14:anchorId="58FAA966" wp14:editId="19980B7A">
            <wp:extent cx="5730629" cy="1781298"/>
            <wp:effectExtent l="0" t="0" r="3810" b="9525"/>
            <wp:docPr id="1375102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02013" name=""/>
                    <pic:cNvPicPr/>
                  </pic:nvPicPr>
                  <pic:blipFill>
                    <a:blip r:embed="rId39"/>
                    <a:stretch>
                      <a:fillRect/>
                    </a:stretch>
                  </pic:blipFill>
                  <pic:spPr>
                    <a:xfrm>
                      <a:off x="0" y="0"/>
                      <a:ext cx="5778934" cy="1796313"/>
                    </a:xfrm>
                    <a:prstGeom prst="rect">
                      <a:avLst/>
                    </a:prstGeom>
                  </pic:spPr>
                </pic:pic>
              </a:graphicData>
            </a:graphic>
          </wp:inline>
        </w:drawing>
      </w:r>
    </w:p>
    <w:p w14:paraId="5CA7A073" w14:textId="00B76DB0" w:rsidR="00D633A4" w:rsidRDefault="000D48AE" w:rsidP="00534432">
      <w:pPr>
        <w:spacing w:after="0" w:line="360" w:lineRule="auto"/>
        <w:jc w:val="center"/>
        <w:rPr>
          <w:rFonts w:ascii="Arial" w:hAnsi="Arial" w:cs="Arial"/>
          <w:i/>
          <w:iCs/>
          <w:sz w:val="20"/>
          <w:szCs w:val="20"/>
        </w:rPr>
      </w:pPr>
      <w:r>
        <w:rPr>
          <w:rFonts w:ascii="Arial" w:hAnsi="Arial" w:cs="Arial"/>
          <w:i/>
          <w:iCs/>
          <w:sz w:val="20"/>
          <w:szCs w:val="20"/>
        </w:rPr>
        <w:t>(</w:t>
      </w:r>
      <w:r w:rsidRPr="000D48AE">
        <w:rPr>
          <w:rFonts w:ascii="Arial" w:hAnsi="Arial" w:cs="Arial"/>
          <w:i/>
          <w:iCs/>
          <w:sz w:val="20"/>
          <w:szCs w:val="20"/>
        </w:rPr>
        <w:t>Source: Author’s visualisation based on route disruption and shock absorption metrics</w:t>
      </w:r>
      <w:r>
        <w:rPr>
          <w:rFonts w:ascii="Arial" w:hAnsi="Arial" w:cs="Arial"/>
          <w:i/>
          <w:iCs/>
          <w:sz w:val="20"/>
          <w:szCs w:val="20"/>
        </w:rPr>
        <w:t>)</w:t>
      </w:r>
    </w:p>
    <w:p w14:paraId="580C92E8" w14:textId="77777777" w:rsidR="002902D3" w:rsidRPr="00710735" w:rsidRDefault="002902D3" w:rsidP="00534432">
      <w:pPr>
        <w:spacing w:after="0" w:line="360" w:lineRule="auto"/>
        <w:jc w:val="center"/>
        <w:rPr>
          <w:rFonts w:ascii="Arial" w:hAnsi="Arial" w:cs="Arial"/>
          <w:i/>
          <w:iCs/>
          <w:sz w:val="16"/>
          <w:szCs w:val="16"/>
        </w:rPr>
      </w:pPr>
    </w:p>
    <w:p w14:paraId="38711D96" w14:textId="3AD68F14" w:rsidR="007B6394" w:rsidRDefault="00710735" w:rsidP="00710735">
      <w:pPr>
        <w:spacing w:after="0" w:line="360" w:lineRule="auto"/>
        <w:ind w:firstLine="567"/>
        <w:jc w:val="both"/>
        <w:rPr>
          <w:rFonts w:ascii="Arial" w:hAnsi="Arial" w:cs="Arial"/>
          <w:sz w:val="22"/>
          <w:szCs w:val="22"/>
        </w:rPr>
      </w:pPr>
      <w:r w:rsidRPr="00710735">
        <w:rPr>
          <w:rFonts w:ascii="Arial" w:hAnsi="Arial" w:cs="Arial"/>
          <w:sz w:val="22"/>
          <w:szCs w:val="22"/>
        </w:rPr>
        <w:t xml:space="preserve">Figure 4.10 clarifies that cost absorption is not only determined by </w:t>
      </w:r>
      <w:r>
        <w:rPr>
          <w:rFonts w:ascii="Arial" w:hAnsi="Arial" w:cs="Arial"/>
          <w:sz w:val="22"/>
          <w:szCs w:val="22"/>
        </w:rPr>
        <w:t>exposure to interruptions; rather, results vary widely across companies facing</w:t>
      </w:r>
      <w:r w:rsidRPr="00710735">
        <w:rPr>
          <w:rFonts w:ascii="Arial" w:hAnsi="Arial" w:cs="Arial"/>
          <w:sz w:val="22"/>
          <w:szCs w:val="22"/>
        </w:rPr>
        <w:t xml:space="preserve"> comparable delays. Lotus has the best shock absorption at 2.8 at around </w:t>
      </w:r>
      <w:r w:rsidR="009A6E8A">
        <w:rPr>
          <w:rFonts w:ascii="Arial" w:hAnsi="Arial" w:cs="Arial"/>
          <w:sz w:val="22"/>
          <w:szCs w:val="22"/>
        </w:rPr>
        <w:t>4</w:t>
      </w:r>
      <w:r w:rsidRPr="00710735">
        <w:rPr>
          <w:rFonts w:ascii="Arial" w:hAnsi="Arial" w:cs="Arial"/>
          <w:sz w:val="22"/>
          <w:szCs w:val="22"/>
        </w:rPr>
        <w:t>5 days of route delay, followed by Nissan UK at about 1.0, and BMW, JLR, and ADL at far lower levels, ranging from 0.2 to 0.5. This scatter plot shows that the relationship between disturbance intensity and cost response is non-linear.</w:t>
      </w:r>
      <w:r w:rsidRPr="00710735">
        <w:rPr>
          <w:rFonts w:ascii="Arial" w:hAnsi="Arial" w:cs="Arial"/>
          <w:sz w:val="22"/>
          <w:szCs w:val="22"/>
        </w:rPr>
        <w:br/>
        <w:t>It seems that competence mediates the association instead. Financial consequences are influenced by internal coordination, pricing tactics, and supply chain flexibility, as shown by significantly varying absorption patterns across firms with similar exposure (≈75 days).</w:t>
      </w:r>
    </w:p>
    <w:p w14:paraId="26C18EAF" w14:textId="219C0896" w:rsidR="00567F2F" w:rsidRDefault="00710735" w:rsidP="007B6394">
      <w:pPr>
        <w:spacing w:after="0" w:line="360" w:lineRule="auto"/>
        <w:ind w:firstLine="567"/>
        <w:jc w:val="both"/>
        <w:rPr>
          <w:rFonts w:ascii="Arial" w:hAnsi="Arial" w:cs="Arial"/>
          <w:sz w:val="22"/>
          <w:szCs w:val="22"/>
        </w:rPr>
      </w:pPr>
      <w:r w:rsidRPr="00710735">
        <w:rPr>
          <w:rFonts w:ascii="Arial" w:hAnsi="Arial" w:cs="Arial"/>
          <w:sz w:val="22"/>
          <w:szCs w:val="22"/>
        </w:rPr>
        <w:t>Companies like BMW and JLR with lower absorption levels likely have better cost management or other mitigation strategies in place, while Lotus, with a higher absorption level, is more vulnerable or relies on financial buffers more heavily.</w:t>
      </w:r>
      <w:r w:rsidRPr="00710735">
        <w:rPr>
          <w:rFonts w:ascii="Arial" w:hAnsi="Arial" w:cs="Arial"/>
          <w:sz w:val="22"/>
          <w:szCs w:val="22"/>
        </w:rPr>
        <w:br/>
        <w:t xml:space="preserve">So, it seems that the data doesn't support the idea that more disruption always means more expense. It is the configuration of operational and financial responses by enterprises, rather </w:t>
      </w:r>
      <w:r w:rsidRPr="00710735">
        <w:rPr>
          <w:rFonts w:ascii="Arial" w:hAnsi="Arial" w:cs="Arial"/>
          <w:sz w:val="22"/>
          <w:szCs w:val="22"/>
        </w:rPr>
        <w:lastRenderedPageBreak/>
        <w:t>than the magnitude of the disruption itself, that determines resilience performance, since cost absorption is conditional (Dubey et al., 2021).</w:t>
      </w:r>
    </w:p>
    <w:p w14:paraId="086999FE" w14:textId="77777777" w:rsidR="006B6691" w:rsidRPr="006B6691" w:rsidRDefault="006B6691" w:rsidP="007B6394">
      <w:pPr>
        <w:spacing w:after="0" w:line="360" w:lineRule="auto"/>
        <w:ind w:firstLine="567"/>
        <w:jc w:val="both"/>
        <w:rPr>
          <w:rFonts w:ascii="Arial" w:hAnsi="Arial" w:cs="Arial"/>
          <w:sz w:val="16"/>
          <w:szCs w:val="16"/>
        </w:rPr>
      </w:pPr>
    </w:p>
    <w:p w14:paraId="6EE7C22C" w14:textId="7C6F0239" w:rsidR="001C4308" w:rsidRDefault="001C4308" w:rsidP="001C4308">
      <w:pPr>
        <w:spacing w:after="0" w:line="360" w:lineRule="auto"/>
        <w:jc w:val="center"/>
        <w:rPr>
          <w:rFonts w:ascii="Arial" w:hAnsi="Arial" w:cs="Arial"/>
          <w:sz w:val="20"/>
          <w:szCs w:val="20"/>
        </w:rPr>
      </w:pPr>
      <w:r w:rsidRPr="001C4308">
        <w:rPr>
          <w:rFonts w:ascii="Arial" w:hAnsi="Arial" w:cs="Arial"/>
          <w:sz w:val="20"/>
          <w:szCs w:val="20"/>
        </w:rPr>
        <w:t>Figure 4.1</w:t>
      </w:r>
      <w:r w:rsidR="00940C16">
        <w:rPr>
          <w:rFonts w:ascii="Arial" w:hAnsi="Arial" w:cs="Arial"/>
          <w:sz w:val="20"/>
          <w:szCs w:val="20"/>
        </w:rPr>
        <w:t>1.</w:t>
      </w:r>
      <w:r w:rsidRPr="001C4308">
        <w:rPr>
          <w:rFonts w:ascii="Arial" w:hAnsi="Arial" w:cs="Arial"/>
          <w:sz w:val="20"/>
          <w:szCs w:val="20"/>
        </w:rPr>
        <w:t xml:space="preserve"> Drivers of Firm Resilience (Cost, Inventory, Routing)</w:t>
      </w:r>
    </w:p>
    <w:p w14:paraId="19E00A4D" w14:textId="7DEE38E7" w:rsidR="001C4308" w:rsidRDefault="00F341B8" w:rsidP="001C4308">
      <w:pPr>
        <w:spacing w:after="0" w:line="360" w:lineRule="auto"/>
        <w:jc w:val="center"/>
        <w:rPr>
          <w:rFonts w:ascii="Arial" w:hAnsi="Arial" w:cs="Arial"/>
          <w:sz w:val="20"/>
          <w:szCs w:val="20"/>
        </w:rPr>
      </w:pPr>
      <w:r w:rsidRPr="00F341B8">
        <w:rPr>
          <w:rFonts w:ascii="Arial" w:hAnsi="Arial" w:cs="Arial"/>
          <w:noProof/>
          <w:sz w:val="20"/>
          <w:szCs w:val="20"/>
        </w:rPr>
        <w:drawing>
          <wp:inline distT="0" distB="0" distL="0" distR="0" wp14:anchorId="3709EE8E" wp14:editId="4E56FE6F">
            <wp:extent cx="5729707" cy="2951018"/>
            <wp:effectExtent l="0" t="0" r="4445" b="1905"/>
            <wp:docPr id="684574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74716" name=""/>
                    <pic:cNvPicPr/>
                  </pic:nvPicPr>
                  <pic:blipFill>
                    <a:blip r:embed="rId40"/>
                    <a:stretch>
                      <a:fillRect/>
                    </a:stretch>
                  </pic:blipFill>
                  <pic:spPr>
                    <a:xfrm>
                      <a:off x="0" y="0"/>
                      <a:ext cx="5768588" cy="2971043"/>
                    </a:xfrm>
                    <a:prstGeom prst="rect">
                      <a:avLst/>
                    </a:prstGeom>
                  </pic:spPr>
                </pic:pic>
              </a:graphicData>
            </a:graphic>
          </wp:inline>
        </w:drawing>
      </w:r>
    </w:p>
    <w:p w14:paraId="72A174AD" w14:textId="67CCB5FA" w:rsidR="00F341B8" w:rsidRDefault="00673CE2" w:rsidP="001C4308">
      <w:pPr>
        <w:spacing w:after="0" w:line="360" w:lineRule="auto"/>
        <w:jc w:val="center"/>
        <w:rPr>
          <w:rFonts w:ascii="Arial" w:hAnsi="Arial" w:cs="Arial"/>
          <w:i/>
          <w:iCs/>
          <w:sz w:val="20"/>
          <w:szCs w:val="20"/>
        </w:rPr>
      </w:pPr>
      <w:r w:rsidRPr="00673CE2">
        <w:rPr>
          <w:rFonts w:ascii="Arial" w:hAnsi="Arial" w:cs="Arial"/>
          <w:i/>
          <w:iCs/>
          <w:sz w:val="20"/>
          <w:szCs w:val="20"/>
        </w:rPr>
        <w:t>(Source: Author’s decomposition modelling of resilience drivers)</w:t>
      </w:r>
    </w:p>
    <w:p w14:paraId="124D7FD9" w14:textId="77777777" w:rsidR="00AF390E" w:rsidRPr="00AF390E" w:rsidRDefault="00AF390E" w:rsidP="001C4308">
      <w:pPr>
        <w:spacing w:after="0" w:line="360" w:lineRule="auto"/>
        <w:jc w:val="center"/>
        <w:rPr>
          <w:rFonts w:ascii="Arial" w:hAnsi="Arial" w:cs="Arial"/>
          <w:i/>
          <w:iCs/>
          <w:sz w:val="16"/>
          <w:szCs w:val="16"/>
        </w:rPr>
      </w:pPr>
    </w:p>
    <w:p w14:paraId="2467C3D9" w14:textId="0C41AEAF" w:rsidR="00AF390E" w:rsidRPr="00AF390E" w:rsidRDefault="00AF390E" w:rsidP="00AF390E">
      <w:pPr>
        <w:spacing w:after="0" w:line="360" w:lineRule="auto"/>
        <w:ind w:firstLine="567"/>
        <w:jc w:val="both"/>
        <w:rPr>
          <w:rFonts w:ascii="Arial" w:hAnsi="Arial" w:cs="Arial"/>
          <w:sz w:val="22"/>
          <w:szCs w:val="22"/>
        </w:rPr>
      </w:pPr>
      <w:r w:rsidRPr="00AF390E">
        <w:rPr>
          <w:rFonts w:ascii="Arial" w:hAnsi="Arial" w:cs="Arial"/>
          <w:sz w:val="22"/>
          <w:szCs w:val="22"/>
        </w:rPr>
        <w:t xml:space="preserve">Figure 4.11 shows resilience's substantially inconsistent </w:t>
      </w:r>
      <w:r>
        <w:rPr>
          <w:rFonts w:ascii="Arial" w:hAnsi="Arial" w:cs="Arial"/>
          <w:sz w:val="22"/>
          <w:szCs w:val="22"/>
        </w:rPr>
        <w:t>contributions to cost, inventory, and routing</w:t>
      </w:r>
      <w:r w:rsidRPr="00AF390E">
        <w:rPr>
          <w:rFonts w:ascii="Arial" w:hAnsi="Arial" w:cs="Arial"/>
          <w:sz w:val="22"/>
          <w:szCs w:val="22"/>
        </w:rPr>
        <w:t>. High resilience (0.65) is linked to near-maximal cost (0.97) and high inventory (0.85) scores, whereas routing contribution is modest (~0.01). This suggests that financial and stock-based processes drive performance.</w:t>
      </w:r>
    </w:p>
    <w:p w14:paraId="5EC0B5CF" w14:textId="3A5B1A36" w:rsidR="00AF390E" w:rsidRPr="00AF390E" w:rsidRDefault="00AF390E" w:rsidP="00AF390E">
      <w:pPr>
        <w:spacing w:after="0" w:line="360" w:lineRule="auto"/>
        <w:ind w:firstLine="567"/>
        <w:jc w:val="both"/>
        <w:rPr>
          <w:rFonts w:ascii="Arial" w:hAnsi="Arial" w:cs="Arial"/>
          <w:sz w:val="22"/>
          <w:szCs w:val="22"/>
        </w:rPr>
      </w:pPr>
      <w:r w:rsidRPr="00AF390E">
        <w:rPr>
          <w:rFonts w:ascii="Arial" w:hAnsi="Arial" w:cs="Arial"/>
          <w:sz w:val="22"/>
          <w:szCs w:val="22"/>
        </w:rPr>
        <w:t xml:space="preserve">Mid-performing enterprises (0.49-0.52) </w:t>
      </w:r>
      <w:r>
        <w:rPr>
          <w:rFonts w:ascii="Arial" w:hAnsi="Arial" w:cs="Arial"/>
          <w:sz w:val="22"/>
          <w:szCs w:val="22"/>
        </w:rPr>
        <w:t>exhibit lower resilience, despite similar inventory ratings (≈0.62-0.73), largely due</w:t>
      </w:r>
      <w:r w:rsidRPr="00AF390E">
        <w:rPr>
          <w:rFonts w:ascii="Arial" w:hAnsi="Arial" w:cs="Arial"/>
          <w:sz w:val="22"/>
          <w:szCs w:val="22"/>
        </w:rPr>
        <w:t xml:space="preserve"> to weaker cost orchestration. Inventory alone lacks explanatory power without adequate cost absorption.</w:t>
      </w:r>
    </w:p>
    <w:p w14:paraId="3526B8DD" w14:textId="3DF47AB9" w:rsidR="00AF390E" w:rsidRPr="00AF390E" w:rsidRDefault="00AF390E" w:rsidP="007B6394">
      <w:pPr>
        <w:spacing w:after="0" w:line="360" w:lineRule="auto"/>
        <w:ind w:firstLine="567"/>
        <w:jc w:val="both"/>
        <w:rPr>
          <w:rFonts w:ascii="Arial" w:hAnsi="Arial" w:cs="Arial"/>
          <w:sz w:val="22"/>
          <w:szCs w:val="22"/>
        </w:rPr>
      </w:pPr>
      <w:r w:rsidRPr="00AF390E">
        <w:rPr>
          <w:rFonts w:ascii="Arial" w:hAnsi="Arial" w:cs="Arial"/>
          <w:sz w:val="22"/>
          <w:szCs w:val="22"/>
        </w:rPr>
        <w:t>Crucially, the near-zero routing weight undermines the idea that rerouting directly causes resilience</w:t>
      </w:r>
      <w:r>
        <w:rPr>
          <w:rFonts w:ascii="Arial" w:hAnsi="Arial" w:cs="Arial"/>
          <w:sz w:val="22"/>
          <w:szCs w:val="22"/>
        </w:rPr>
        <w:t>, instead affecting cost and inventory changes</w:t>
      </w:r>
      <w:r w:rsidRPr="00AF390E">
        <w:rPr>
          <w:rFonts w:ascii="Arial" w:hAnsi="Arial" w:cs="Arial"/>
          <w:sz w:val="22"/>
          <w:szCs w:val="22"/>
        </w:rPr>
        <w:t xml:space="preserve">. Therefore, resilience is best </w:t>
      </w:r>
      <w:r>
        <w:rPr>
          <w:rFonts w:ascii="Arial" w:hAnsi="Arial" w:cs="Arial"/>
          <w:sz w:val="22"/>
          <w:szCs w:val="22"/>
        </w:rPr>
        <w:t>understood as a coordinated outcome of capability bundles, where cost management enhances</w:t>
      </w:r>
      <w:r w:rsidRPr="00AF390E">
        <w:rPr>
          <w:rFonts w:ascii="Arial" w:hAnsi="Arial" w:cs="Arial"/>
          <w:sz w:val="22"/>
          <w:szCs w:val="22"/>
        </w:rPr>
        <w:t xml:space="preserve"> buffering.</w:t>
      </w:r>
    </w:p>
    <w:p w14:paraId="6D5FC84B" w14:textId="298EC410" w:rsidR="004F12F5" w:rsidRDefault="00AF390E" w:rsidP="00AF390E">
      <w:pPr>
        <w:spacing w:after="0" w:line="360" w:lineRule="auto"/>
        <w:ind w:firstLine="567"/>
        <w:jc w:val="both"/>
        <w:rPr>
          <w:rFonts w:ascii="Arial" w:hAnsi="Arial" w:cs="Arial"/>
          <w:sz w:val="22"/>
          <w:szCs w:val="22"/>
        </w:rPr>
      </w:pPr>
      <w:r w:rsidRPr="00AF390E">
        <w:rPr>
          <w:rFonts w:ascii="Arial" w:hAnsi="Arial" w:cs="Arial"/>
          <w:sz w:val="22"/>
          <w:szCs w:val="22"/>
        </w:rPr>
        <w:t>Industry 4.0 claims that performance comes from integration and orchestration rather than separate levers (</w:t>
      </w:r>
      <w:proofErr w:type="spellStart"/>
      <w:r w:rsidRPr="00AF390E">
        <w:rPr>
          <w:rFonts w:ascii="Arial" w:hAnsi="Arial" w:cs="Arial"/>
          <w:sz w:val="22"/>
          <w:szCs w:val="22"/>
        </w:rPr>
        <w:t>Fatorachian</w:t>
      </w:r>
      <w:proofErr w:type="spellEnd"/>
      <w:r w:rsidRPr="00AF390E">
        <w:rPr>
          <w:rFonts w:ascii="Arial" w:hAnsi="Arial" w:cs="Arial"/>
          <w:sz w:val="22"/>
          <w:szCs w:val="22"/>
        </w:rPr>
        <w:t xml:space="preserve"> and Kazemi, 2021), supporting the JIT–JIC transition's conditional alignment rather than linear inventory increase.</w:t>
      </w:r>
    </w:p>
    <w:p w14:paraId="21A8D486" w14:textId="77777777" w:rsidR="00AF390E" w:rsidRDefault="00AF390E" w:rsidP="00AF390E">
      <w:pPr>
        <w:spacing w:after="0" w:line="360" w:lineRule="auto"/>
        <w:ind w:firstLine="567"/>
        <w:jc w:val="both"/>
        <w:rPr>
          <w:rFonts w:ascii="Arial" w:hAnsi="Arial" w:cs="Arial"/>
          <w:sz w:val="16"/>
          <w:szCs w:val="16"/>
        </w:rPr>
      </w:pPr>
    </w:p>
    <w:p w14:paraId="4091EEDF" w14:textId="77777777" w:rsidR="007B6394" w:rsidRDefault="007B6394" w:rsidP="00AF390E">
      <w:pPr>
        <w:spacing w:after="0" w:line="360" w:lineRule="auto"/>
        <w:ind w:firstLine="567"/>
        <w:jc w:val="both"/>
        <w:rPr>
          <w:rFonts w:ascii="Arial" w:hAnsi="Arial" w:cs="Arial"/>
          <w:sz w:val="16"/>
          <w:szCs w:val="16"/>
        </w:rPr>
      </w:pPr>
    </w:p>
    <w:p w14:paraId="5B8061CE" w14:textId="77777777" w:rsidR="007B6394" w:rsidRDefault="007B6394" w:rsidP="00AF390E">
      <w:pPr>
        <w:spacing w:after="0" w:line="360" w:lineRule="auto"/>
        <w:ind w:firstLine="567"/>
        <w:jc w:val="both"/>
        <w:rPr>
          <w:rFonts w:ascii="Arial" w:hAnsi="Arial" w:cs="Arial"/>
          <w:sz w:val="16"/>
          <w:szCs w:val="16"/>
        </w:rPr>
      </w:pPr>
    </w:p>
    <w:p w14:paraId="768DD656" w14:textId="77777777" w:rsidR="007B6394" w:rsidRDefault="007B6394" w:rsidP="00AF390E">
      <w:pPr>
        <w:spacing w:after="0" w:line="360" w:lineRule="auto"/>
        <w:ind w:firstLine="567"/>
        <w:jc w:val="both"/>
        <w:rPr>
          <w:rFonts w:ascii="Arial" w:hAnsi="Arial" w:cs="Arial"/>
          <w:sz w:val="16"/>
          <w:szCs w:val="16"/>
        </w:rPr>
      </w:pPr>
    </w:p>
    <w:p w14:paraId="0AC0A9E2" w14:textId="77777777" w:rsidR="007B6394" w:rsidRDefault="007B6394" w:rsidP="006B6691">
      <w:pPr>
        <w:spacing w:after="0" w:line="360" w:lineRule="auto"/>
        <w:jc w:val="both"/>
        <w:rPr>
          <w:rFonts w:ascii="Arial" w:hAnsi="Arial" w:cs="Arial"/>
          <w:sz w:val="16"/>
          <w:szCs w:val="16"/>
        </w:rPr>
      </w:pPr>
    </w:p>
    <w:p w14:paraId="2C29E015" w14:textId="77777777" w:rsidR="007B6394" w:rsidRPr="00AF390E" w:rsidRDefault="007B6394" w:rsidP="00AF390E">
      <w:pPr>
        <w:spacing w:after="0" w:line="360" w:lineRule="auto"/>
        <w:ind w:firstLine="567"/>
        <w:jc w:val="both"/>
        <w:rPr>
          <w:rFonts w:ascii="Arial" w:hAnsi="Arial" w:cs="Arial"/>
          <w:sz w:val="16"/>
          <w:szCs w:val="16"/>
        </w:rPr>
      </w:pPr>
    </w:p>
    <w:p w14:paraId="4C364782" w14:textId="7D998391" w:rsidR="007F6EED" w:rsidRPr="006B26ED" w:rsidRDefault="006B26ED" w:rsidP="006B26ED">
      <w:pPr>
        <w:spacing w:after="0" w:line="360" w:lineRule="auto"/>
        <w:jc w:val="center"/>
        <w:rPr>
          <w:rFonts w:ascii="Arial" w:hAnsi="Arial" w:cs="Arial"/>
          <w:sz w:val="20"/>
          <w:szCs w:val="20"/>
        </w:rPr>
      </w:pPr>
      <w:r w:rsidRPr="006B26ED">
        <w:rPr>
          <w:rFonts w:ascii="Arial" w:hAnsi="Arial" w:cs="Arial"/>
          <w:sz w:val="20"/>
          <w:szCs w:val="20"/>
        </w:rPr>
        <w:lastRenderedPageBreak/>
        <w:t>Figure 4.1</w:t>
      </w:r>
      <w:r w:rsidR="00567F2F">
        <w:rPr>
          <w:rFonts w:ascii="Arial" w:hAnsi="Arial" w:cs="Arial"/>
          <w:sz w:val="20"/>
          <w:szCs w:val="20"/>
        </w:rPr>
        <w:t>2.</w:t>
      </w:r>
      <w:r w:rsidRPr="006B26ED">
        <w:rPr>
          <w:rFonts w:ascii="Arial" w:hAnsi="Arial" w:cs="Arial"/>
          <w:sz w:val="20"/>
          <w:szCs w:val="20"/>
        </w:rPr>
        <w:t xml:space="preserve"> Inventory Buffering and Resilience Performance</w:t>
      </w:r>
    </w:p>
    <w:p w14:paraId="5B129BBB" w14:textId="4F7989E9" w:rsidR="004F12F5" w:rsidRDefault="006B26ED" w:rsidP="006B26ED">
      <w:pPr>
        <w:spacing w:after="0" w:line="360" w:lineRule="auto"/>
        <w:ind w:firstLine="567"/>
        <w:jc w:val="both"/>
        <w:rPr>
          <w:rFonts w:ascii="Arial" w:hAnsi="Arial" w:cs="Arial"/>
          <w:sz w:val="22"/>
          <w:szCs w:val="22"/>
        </w:rPr>
      </w:pPr>
      <w:r w:rsidRPr="006B26ED">
        <w:rPr>
          <w:rFonts w:ascii="Arial" w:hAnsi="Arial" w:cs="Arial"/>
          <w:noProof/>
          <w:sz w:val="22"/>
          <w:szCs w:val="22"/>
        </w:rPr>
        <w:drawing>
          <wp:inline distT="0" distB="0" distL="0" distR="0" wp14:anchorId="3390FC40" wp14:editId="7E8D8CCD">
            <wp:extent cx="4887952" cy="2036618"/>
            <wp:effectExtent l="0" t="0" r="8255" b="1905"/>
            <wp:docPr id="2010871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871694" name=""/>
                    <pic:cNvPicPr/>
                  </pic:nvPicPr>
                  <pic:blipFill>
                    <a:blip r:embed="rId41"/>
                    <a:stretch>
                      <a:fillRect/>
                    </a:stretch>
                  </pic:blipFill>
                  <pic:spPr>
                    <a:xfrm>
                      <a:off x="0" y="0"/>
                      <a:ext cx="4957204" cy="2065472"/>
                    </a:xfrm>
                    <a:prstGeom prst="rect">
                      <a:avLst/>
                    </a:prstGeom>
                  </pic:spPr>
                </pic:pic>
              </a:graphicData>
            </a:graphic>
          </wp:inline>
        </w:drawing>
      </w:r>
    </w:p>
    <w:p w14:paraId="715E231A" w14:textId="0D4CAAF2" w:rsidR="004F12F5" w:rsidRPr="007F6EED" w:rsidRDefault="007F6EED" w:rsidP="007F6EED">
      <w:pPr>
        <w:spacing w:after="0" w:line="360" w:lineRule="auto"/>
        <w:jc w:val="center"/>
        <w:rPr>
          <w:rFonts w:ascii="Arial" w:hAnsi="Arial" w:cs="Arial"/>
          <w:i/>
          <w:iCs/>
          <w:sz w:val="20"/>
          <w:szCs w:val="20"/>
        </w:rPr>
      </w:pPr>
      <w:r w:rsidRPr="007F6EED">
        <w:rPr>
          <w:rFonts w:ascii="Arial" w:hAnsi="Arial" w:cs="Arial"/>
          <w:i/>
          <w:iCs/>
          <w:sz w:val="20"/>
          <w:szCs w:val="20"/>
        </w:rPr>
        <w:t>(Source: Author visualisation using section inventories setup metrics)</w:t>
      </w:r>
    </w:p>
    <w:p w14:paraId="10583174" w14:textId="77777777" w:rsidR="004F12F5" w:rsidRPr="000626CE" w:rsidRDefault="004F12F5" w:rsidP="00A92367">
      <w:pPr>
        <w:spacing w:after="0" w:line="360" w:lineRule="auto"/>
        <w:jc w:val="both"/>
        <w:rPr>
          <w:rFonts w:ascii="Arial" w:hAnsi="Arial" w:cs="Arial"/>
          <w:sz w:val="16"/>
          <w:szCs w:val="16"/>
        </w:rPr>
      </w:pPr>
    </w:p>
    <w:p w14:paraId="2A8BAE97" w14:textId="172CE6D2" w:rsidR="00032466" w:rsidRPr="00032466" w:rsidRDefault="00032466" w:rsidP="00032466">
      <w:pPr>
        <w:spacing w:after="0" w:line="360" w:lineRule="auto"/>
        <w:ind w:firstLine="567"/>
        <w:jc w:val="both"/>
        <w:rPr>
          <w:rFonts w:ascii="Arial" w:hAnsi="Arial" w:cs="Arial"/>
          <w:sz w:val="22"/>
          <w:szCs w:val="22"/>
        </w:rPr>
      </w:pPr>
      <w:r w:rsidRPr="00032466">
        <w:rPr>
          <w:rFonts w:ascii="Arial" w:hAnsi="Arial" w:cs="Arial"/>
          <w:sz w:val="22"/>
          <w:szCs w:val="22"/>
        </w:rPr>
        <w:t xml:space="preserve">The dispersion is more important than the trendline, and Figure 4.12 indicates only a slight positive association between resilience and inventory buffering. Even though they have very comparable inventory ratings, RRMC (0.94 inventory, 0.54 resilience) and Toyota (0.95, 0.57) achieve much better results than Lotus (0.40 resilience, </w:t>
      </w:r>
      <w:r>
        <w:rPr>
          <w:rFonts w:ascii="Arial" w:hAnsi="Arial" w:cs="Arial"/>
          <w:sz w:val="22"/>
          <w:szCs w:val="22"/>
        </w:rPr>
        <w:t xml:space="preserve">the </w:t>
      </w:r>
      <w:r w:rsidRPr="00032466">
        <w:rPr>
          <w:rFonts w:ascii="Arial" w:hAnsi="Arial" w:cs="Arial"/>
          <w:sz w:val="22"/>
          <w:szCs w:val="22"/>
        </w:rPr>
        <w:t xml:space="preserve">highest inventory score). Just looking at the disparity disproves the notion that "more </w:t>
      </w:r>
      <w:r>
        <w:rPr>
          <w:rFonts w:ascii="Arial" w:hAnsi="Arial" w:cs="Arial"/>
          <w:sz w:val="22"/>
          <w:szCs w:val="22"/>
        </w:rPr>
        <w:t>stock =</w:t>
      </w:r>
      <w:r w:rsidRPr="00032466">
        <w:rPr>
          <w:rFonts w:ascii="Arial" w:hAnsi="Arial" w:cs="Arial"/>
          <w:sz w:val="22"/>
          <w:szCs w:val="22"/>
        </w:rPr>
        <w:t xml:space="preserve"> more resilience."</w:t>
      </w:r>
    </w:p>
    <w:p w14:paraId="11D8AA67" w14:textId="14AD69F8" w:rsidR="00032466" w:rsidRPr="00032466" w:rsidRDefault="00032466" w:rsidP="00032466">
      <w:pPr>
        <w:spacing w:after="0" w:line="360" w:lineRule="auto"/>
        <w:ind w:firstLine="567"/>
        <w:jc w:val="both"/>
        <w:rPr>
          <w:rFonts w:ascii="Arial" w:hAnsi="Arial" w:cs="Arial"/>
          <w:sz w:val="22"/>
          <w:szCs w:val="22"/>
        </w:rPr>
      </w:pPr>
      <w:r w:rsidRPr="00032466">
        <w:rPr>
          <w:rFonts w:ascii="Arial" w:hAnsi="Arial" w:cs="Arial"/>
          <w:sz w:val="22"/>
          <w:szCs w:val="22"/>
        </w:rPr>
        <w:t xml:space="preserve">There seems to be a trend that indicates buffering returns are declining and conditional. Stronger and more consistent resilience results (≈0.50-0.65) are associated with moderate inventory levels (≈0.80-0.90), </w:t>
      </w:r>
      <w:r>
        <w:rPr>
          <w:rFonts w:ascii="Arial" w:hAnsi="Arial" w:cs="Arial"/>
          <w:sz w:val="22"/>
          <w:szCs w:val="22"/>
        </w:rPr>
        <w:t>whereas severe buffering does not enhance performance and may</w:t>
      </w:r>
      <w:r w:rsidRPr="00032466">
        <w:rPr>
          <w:rFonts w:ascii="Arial" w:hAnsi="Arial" w:cs="Arial"/>
          <w:sz w:val="22"/>
          <w:szCs w:val="22"/>
        </w:rPr>
        <w:t xml:space="preserve"> indicate inefficiency or poor cost coordination. Basically, inventory isn't a driver but rather a supporting element.</w:t>
      </w:r>
    </w:p>
    <w:p w14:paraId="65937148" w14:textId="1E7C6E02" w:rsidR="00032466" w:rsidRDefault="00032466" w:rsidP="00032466">
      <w:pPr>
        <w:spacing w:after="0" w:line="360" w:lineRule="auto"/>
        <w:ind w:firstLine="567"/>
        <w:jc w:val="both"/>
        <w:rPr>
          <w:rFonts w:ascii="Arial" w:hAnsi="Arial" w:cs="Arial"/>
          <w:sz w:val="22"/>
          <w:szCs w:val="22"/>
        </w:rPr>
      </w:pPr>
      <w:r w:rsidRPr="00032466">
        <w:rPr>
          <w:rFonts w:ascii="Arial" w:hAnsi="Arial" w:cs="Arial"/>
          <w:sz w:val="22"/>
          <w:szCs w:val="22"/>
        </w:rPr>
        <w:t xml:space="preserve">This is related to the prior data on capability and cost: buffering is only useful when coordinated with efficient orchestration. Extending this, Figure 4.13 illustrates how inventory structures vary </w:t>
      </w:r>
      <w:r>
        <w:rPr>
          <w:rFonts w:ascii="Arial" w:hAnsi="Arial" w:cs="Arial"/>
          <w:sz w:val="22"/>
          <w:szCs w:val="22"/>
        </w:rPr>
        <w:t xml:space="preserve">across segments, further demonstrating that buffering is not scaled equally </w:t>
      </w:r>
      <w:r w:rsidRPr="00032466">
        <w:rPr>
          <w:rFonts w:ascii="Arial" w:hAnsi="Arial" w:cs="Arial"/>
          <w:sz w:val="22"/>
          <w:szCs w:val="22"/>
        </w:rPr>
        <w:t>but rather carefully constructed.</w:t>
      </w:r>
    </w:p>
    <w:p w14:paraId="27348399" w14:textId="77777777" w:rsidR="00032466" w:rsidRPr="00032466" w:rsidRDefault="00032466" w:rsidP="00032466">
      <w:pPr>
        <w:spacing w:after="0" w:line="360" w:lineRule="auto"/>
        <w:ind w:firstLine="567"/>
        <w:jc w:val="both"/>
        <w:rPr>
          <w:rFonts w:ascii="Arial" w:hAnsi="Arial" w:cs="Arial"/>
          <w:sz w:val="16"/>
          <w:szCs w:val="16"/>
        </w:rPr>
      </w:pPr>
    </w:p>
    <w:p w14:paraId="5A6D00FB" w14:textId="16480FD1" w:rsidR="007E0B68" w:rsidRPr="007E0B68" w:rsidRDefault="007E0B68" w:rsidP="007E0B68">
      <w:pPr>
        <w:spacing w:after="0" w:line="360" w:lineRule="auto"/>
        <w:jc w:val="center"/>
        <w:rPr>
          <w:rFonts w:ascii="Arial" w:hAnsi="Arial" w:cs="Arial"/>
          <w:sz w:val="20"/>
          <w:szCs w:val="20"/>
        </w:rPr>
      </w:pPr>
      <w:r w:rsidRPr="007E0B68">
        <w:rPr>
          <w:rFonts w:ascii="Arial" w:hAnsi="Arial" w:cs="Arial"/>
          <w:sz w:val="20"/>
          <w:szCs w:val="20"/>
        </w:rPr>
        <w:t>Figure 4.1</w:t>
      </w:r>
      <w:r w:rsidR="00567F2F">
        <w:rPr>
          <w:rFonts w:ascii="Arial" w:hAnsi="Arial" w:cs="Arial"/>
          <w:sz w:val="20"/>
          <w:szCs w:val="20"/>
        </w:rPr>
        <w:t>3.</w:t>
      </w:r>
      <w:r w:rsidRPr="007E0B68">
        <w:rPr>
          <w:rFonts w:ascii="Arial" w:hAnsi="Arial" w:cs="Arial"/>
          <w:sz w:val="20"/>
          <w:szCs w:val="20"/>
        </w:rPr>
        <w:t xml:space="preserve"> Inventory Configuration Across Market Segments</w:t>
      </w:r>
    </w:p>
    <w:p w14:paraId="69D1863C" w14:textId="3BB9C859" w:rsidR="004F12F5" w:rsidRDefault="001909CB" w:rsidP="001909CB">
      <w:pPr>
        <w:spacing w:after="0" w:line="360" w:lineRule="auto"/>
        <w:jc w:val="center"/>
        <w:rPr>
          <w:rFonts w:ascii="Arial" w:hAnsi="Arial" w:cs="Arial"/>
          <w:sz w:val="22"/>
          <w:szCs w:val="22"/>
        </w:rPr>
      </w:pPr>
      <w:r w:rsidRPr="001909CB">
        <w:rPr>
          <w:rFonts w:ascii="Arial" w:hAnsi="Arial" w:cs="Arial"/>
          <w:noProof/>
          <w:sz w:val="22"/>
          <w:szCs w:val="22"/>
        </w:rPr>
        <w:drawing>
          <wp:inline distT="0" distB="0" distL="0" distR="0" wp14:anchorId="6147DD44" wp14:editId="71B86AE8">
            <wp:extent cx="5731510" cy="2095995"/>
            <wp:effectExtent l="0" t="0" r="2540" b="0"/>
            <wp:docPr id="545198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98711" name=""/>
                    <pic:cNvPicPr/>
                  </pic:nvPicPr>
                  <pic:blipFill>
                    <a:blip r:embed="rId42"/>
                    <a:stretch>
                      <a:fillRect/>
                    </a:stretch>
                  </pic:blipFill>
                  <pic:spPr>
                    <a:xfrm>
                      <a:off x="0" y="0"/>
                      <a:ext cx="5752355" cy="2103618"/>
                    </a:xfrm>
                    <a:prstGeom prst="rect">
                      <a:avLst/>
                    </a:prstGeom>
                  </pic:spPr>
                </pic:pic>
              </a:graphicData>
            </a:graphic>
          </wp:inline>
        </w:drawing>
      </w:r>
    </w:p>
    <w:p w14:paraId="735F827E" w14:textId="07AE6F74" w:rsidR="004F12F5" w:rsidRPr="0086494F" w:rsidRDefault="0086494F" w:rsidP="0086494F">
      <w:pPr>
        <w:spacing w:after="0" w:line="360" w:lineRule="auto"/>
        <w:jc w:val="center"/>
        <w:rPr>
          <w:rFonts w:ascii="Arial" w:hAnsi="Arial" w:cs="Arial"/>
          <w:i/>
          <w:iCs/>
          <w:sz w:val="20"/>
          <w:szCs w:val="20"/>
        </w:rPr>
      </w:pPr>
      <w:r w:rsidRPr="0086494F">
        <w:rPr>
          <w:rFonts w:ascii="Arial" w:hAnsi="Arial" w:cs="Arial"/>
          <w:i/>
          <w:iCs/>
          <w:sz w:val="20"/>
          <w:szCs w:val="20"/>
        </w:rPr>
        <w:t>(Source: Author’s visualisation based on segment inventory configuration metrics)</w:t>
      </w:r>
    </w:p>
    <w:p w14:paraId="3871361B" w14:textId="59A4A295" w:rsidR="001F3724" w:rsidRPr="001F3724" w:rsidRDefault="001F3724" w:rsidP="001F3724">
      <w:pPr>
        <w:spacing w:after="0" w:line="360" w:lineRule="auto"/>
        <w:ind w:firstLine="567"/>
        <w:jc w:val="both"/>
        <w:rPr>
          <w:rFonts w:ascii="Arial" w:hAnsi="Arial" w:cs="Arial"/>
          <w:sz w:val="22"/>
          <w:szCs w:val="22"/>
        </w:rPr>
      </w:pPr>
      <w:r w:rsidRPr="001F3724">
        <w:rPr>
          <w:rFonts w:ascii="Arial" w:hAnsi="Arial" w:cs="Arial"/>
          <w:sz w:val="22"/>
          <w:szCs w:val="22"/>
        </w:rPr>
        <w:lastRenderedPageBreak/>
        <w:t>Figure 4.13 demonstrates that segment-specific differences in inventory layout are structural rather than proportional. As a result of their more flexible and dispersed inventory tactics, luxury businesses tend to cluster at higher and more concentrated buffering levels (≈0.9-1.0), while mass manufacturers show a broader dispersion (≈0.7-0.9). This is further shown by the layered composition: although no single business controls the segment profile, contributions are more dispersed in mass markets, while fewer high-buffer companies control luxury configurations.</w:t>
      </w:r>
    </w:p>
    <w:p w14:paraId="218F8E69" w14:textId="04609C88" w:rsidR="001F3724" w:rsidRPr="001F3724" w:rsidRDefault="001F3724" w:rsidP="00084BEF">
      <w:pPr>
        <w:spacing w:after="0" w:line="360" w:lineRule="auto"/>
        <w:ind w:firstLine="567"/>
        <w:jc w:val="both"/>
        <w:rPr>
          <w:rFonts w:ascii="Arial" w:hAnsi="Arial" w:cs="Arial"/>
          <w:sz w:val="22"/>
          <w:szCs w:val="22"/>
        </w:rPr>
      </w:pPr>
      <w:r w:rsidRPr="001F3724">
        <w:rPr>
          <w:rFonts w:ascii="Arial" w:hAnsi="Arial" w:cs="Arial"/>
          <w:sz w:val="22"/>
          <w:szCs w:val="22"/>
        </w:rPr>
        <w:t xml:space="preserve">This separation makes sense </w:t>
      </w:r>
      <w:r w:rsidR="00EF63C0" w:rsidRPr="001F3724">
        <w:rPr>
          <w:rFonts w:ascii="Arial" w:hAnsi="Arial" w:cs="Arial"/>
          <w:sz w:val="22"/>
          <w:szCs w:val="22"/>
        </w:rPr>
        <w:t>considering</w:t>
      </w:r>
      <w:r w:rsidRPr="001F3724">
        <w:rPr>
          <w:rFonts w:ascii="Arial" w:hAnsi="Arial" w:cs="Arial"/>
          <w:sz w:val="22"/>
          <w:szCs w:val="22"/>
        </w:rPr>
        <w:t xml:space="preserve"> the previous discovery that buffering efficacy is dependent. As a result of their greater exposure and longer lead-time structures, luxury businesses tend to have higher inventory concentration, while mass firms prioritise diversity over intensity. Resilience comes from the distribution and coordination of inventory, not only the amount stored, so the link is configurational rather than linear.</w:t>
      </w:r>
    </w:p>
    <w:p w14:paraId="76606ED3" w14:textId="16827E9D" w:rsidR="001F3724" w:rsidRPr="00084BEF" w:rsidRDefault="001F3724" w:rsidP="00084BEF">
      <w:pPr>
        <w:spacing w:after="0" w:line="360" w:lineRule="auto"/>
        <w:ind w:firstLine="567"/>
        <w:jc w:val="both"/>
        <w:rPr>
          <w:rFonts w:ascii="Arial" w:hAnsi="Arial" w:cs="Arial"/>
          <w:sz w:val="22"/>
          <w:szCs w:val="22"/>
        </w:rPr>
      </w:pPr>
      <w:r w:rsidRPr="001F3724">
        <w:rPr>
          <w:rFonts w:ascii="Arial" w:hAnsi="Arial" w:cs="Arial"/>
          <w:sz w:val="22"/>
          <w:szCs w:val="22"/>
        </w:rPr>
        <w:t xml:space="preserve">Holding true to previous parts, this lends credence to a hybrid JIT-JIC interpretation. According to </w:t>
      </w:r>
      <w:proofErr w:type="spellStart"/>
      <w:r w:rsidRPr="001F3724">
        <w:rPr>
          <w:rFonts w:ascii="Arial" w:hAnsi="Arial" w:cs="Arial"/>
          <w:sz w:val="22"/>
          <w:szCs w:val="22"/>
        </w:rPr>
        <w:t>Ghobakhloo</w:t>
      </w:r>
      <w:proofErr w:type="spellEnd"/>
      <w:r w:rsidRPr="001F3724">
        <w:rPr>
          <w:rFonts w:ascii="Arial" w:hAnsi="Arial" w:cs="Arial"/>
          <w:sz w:val="22"/>
          <w:szCs w:val="22"/>
        </w:rPr>
        <w:t xml:space="preserve"> et al. (2025), digital capability </w:t>
      </w:r>
      <w:r w:rsidR="00084BEF">
        <w:rPr>
          <w:rFonts w:ascii="Arial" w:hAnsi="Arial" w:cs="Arial"/>
          <w:sz w:val="22"/>
          <w:szCs w:val="22"/>
        </w:rPr>
        <w:t>enables selective buffering, routing flexibility, and cost management, rather than a</w:t>
      </w:r>
      <w:r w:rsidRPr="001F3724">
        <w:rPr>
          <w:rFonts w:ascii="Arial" w:hAnsi="Arial" w:cs="Arial"/>
          <w:sz w:val="22"/>
          <w:szCs w:val="22"/>
        </w:rPr>
        <w:t xml:space="preserve"> uniform </w:t>
      </w:r>
      <w:r w:rsidR="0012107E">
        <w:rPr>
          <w:rFonts w:ascii="Arial" w:hAnsi="Arial" w:cs="Arial"/>
          <w:sz w:val="22"/>
          <w:szCs w:val="22"/>
        </w:rPr>
        <w:t>increase in stock</w:t>
      </w:r>
      <w:r w:rsidRPr="001F3724">
        <w:rPr>
          <w:rFonts w:ascii="Arial" w:hAnsi="Arial" w:cs="Arial"/>
          <w:sz w:val="22"/>
          <w:szCs w:val="22"/>
        </w:rPr>
        <w:t>.</w:t>
      </w:r>
    </w:p>
    <w:p w14:paraId="0469A1C4" w14:textId="29F6A68E" w:rsidR="00997BAD" w:rsidRPr="006B6691" w:rsidRDefault="00BB238A" w:rsidP="006B6691">
      <w:pPr>
        <w:pStyle w:val="Heading3"/>
        <w:spacing w:before="120"/>
        <w:rPr>
          <w:b/>
          <w:bCs/>
          <w:sz w:val="22"/>
          <w:szCs w:val="22"/>
        </w:rPr>
      </w:pPr>
      <w:bookmarkStart w:id="46" w:name="_Toc228883272"/>
      <w:r w:rsidRPr="006B6691">
        <w:rPr>
          <w:b/>
          <w:bCs/>
          <w:sz w:val="22"/>
          <w:szCs w:val="22"/>
        </w:rPr>
        <w:t>4.4.3 Critical Discussion</w:t>
      </w:r>
      <w:bookmarkEnd w:id="46"/>
    </w:p>
    <w:p w14:paraId="6D7434C1" w14:textId="4BCE8B58" w:rsidR="002311F8" w:rsidRDefault="00AE5C83" w:rsidP="00AE5C83">
      <w:pPr>
        <w:spacing w:after="0" w:line="360" w:lineRule="auto"/>
        <w:ind w:firstLine="567"/>
        <w:jc w:val="both"/>
        <w:rPr>
          <w:rFonts w:ascii="Arial" w:hAnsi="Arial" w:cs="Arial"/>
          <w:sz w:val="22"/>
          <w:szCs w:val="22"/>
        </w:rPr>
      </w:pPr>
      <w:r w:rsidRPr="00AE5C83">
        <w:rPr>
          <w:rFonts w:ascii="Arial" w:hAnsi="Arial" w:cs="Arial"/>
          <w:sz w:val="22"/>
          <w:szCs w:val="22"/>
        </w:rPr>
        <w:t>Whether digitalisation alone offers resilience is complicated by Figures 4.14–4.17. As observed in Section 4.4.2, capabilities could support hybrid JIT-JIC adaptation, but their effects are conditional, erratic, and impacted by structural trade-offs. Technology is human, therefore when it fails to solve a problem, people are surprised. This section strain is seen in Figure 4.14.</w:t>
      </w:r>
    </w:p>
    <w:p w14:paraId="09876A71" w14:textId="77777777" w:rsidR="00AE5C83" w:rsidRPr="00AE5C83" w:rsidRDefault="00AE5C83" w:rsidP="00AE5C83">
      <w:pPr>
        <w:spacing w:after="0" w:line="360" w:lineRule="auto"/>
        <w:ind w:firstLine="567"/>
        <w:jc w:val="both"/>
        <w:rPr>
          <w:rFonts w:ascii="Arial" w:hAnsi="Arial" w:cs="Arial"/>
          <w:sz w:val="16"/>
          <w:szCs w:val="16"/>
        </w:rPr>
      </w:pPr>
    </w:p>
    <w:p w14:paraId="110AC8BE" w14:textId="534FCFFC" w:rsidR="0016726D" w:rsidRDefault="0016726D" w:rsidP="0016726D">
      <w:pPr>
        <w:spacing w:after="0" w:line="360" w:lineRule="auto"/>
        <w:jc w:val="center"/>
        <w:rPr>
          <w:rFonts w:ascii="Arial" w:hAnsi="Arial" w:cs="Arial"/>
          <w:sz w:val="20"/>
          <w:szCs w:val="20"/>
        </w:rPr>
      </w:pPr>
      <w:r w:rsidRPr="0016726D">
        <w:rPr>
          <w:rFonts w:ascii="Arial" w:hAnsi="Arial" w:cs="Arial"/>
          <w:sz w:val="18"/>
          <w:szCs w:val="18"/>
        </w:rPr>
        <w:t>Figure</w:t>
      </w:r>
      <w:r w:rsidRPr="0016726D">
        <w:rPr>
          <w:rFonts w:ascii="Arial" w:hAnsi="Arial" w:cs="Arial"/>
          <w:sz w:val="20"/>
          <w:szCs w:val="20"/>
        </w:rPr>
        <w:t xml:space="preserve"> 4.1</w:t>
      </w:r>
      <w:r w:rsidR="0012107E">
        <w:rPr>
          <w:rFonts w:ascii="Arial" w:hAnsi="Arial" w:cs="Arial"/>
          <w:sz w:val="20"/>
          <w:szCs w:val="20"/>
        </w:rPr>
        <w:t>4.</w:t>
      </w:r>
      <w:r w:rsidRPr="0016726D">
        <w:rPr>
          <w:rFonts w:ascii="Arial" w:hAnsi="Arial" w:cs="Arial"/>
          <w:sz w:val="20"/>
          <w:szCs w:val="20"/>
        </w:rPr>
        <w:t xml:space="preserve"> Resilience Index by Market Segment</w:t>
      </w:r>
    </w:p>
    <w:p w14:paraId="5818B0A1" w14:textId="22EB33ED" w:rsidR="0016726D" w:rsidRDefault="00403760" w:rsidP="0016726D">
      <w:pPr>
        <w:spacing w:after="0" w:line="360" w:lineRule="auto"/>
        <w:jc w:val="center"/>
        <w:rPr>
          <w:rFonts w:ascii="Arial" w:hAnsi="Arial" w:cs="Arial"/>
          <w:sz w:val="20"/>
          <w:szCs w:val="20"/>
        </w:rPr>
      </w:pPr>
      <w:r w:rsidRPr="00403760">
        <w:rPr>
          <w:rFonts w:ascii="Arial" w:hAnsi="Arial" w:cs="Arial"/>
          <w:noProof/>
          <w:sz w:val="20"/>
          <w:szCs w:val="20"/>
        </w:rPr>
        <w:drawing>
          <wp:inline distT="0" distB="0" distL="0" distR="0" wp14:anchorId="3433D02F" wp14:editId="0A69364C">
            <wp:extent cx="3921057" cy="1086592"/>
            <wp:effectExtent l="0" t="0" r="3810" b="0"/>
            <wp:docPr id="1961126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26174" name=""/>
                    <pic:cNvPicPr/>
                  </pic:nvPicPr>
                  <pic:blipFill>
                    <a:blip r:embed="rId43"/>
                    <a:stretch>
                      <a:fillRect/>
                    </a:stretch>
                  </pic:blipFill>
                  <pic:spPr>
                    <a:xfrm>
                      <a:off x="0" y="0"/>
                      <a:ext cx="3960990" cy="1097658"/>
                    </a:xfrm>
                    <a:prstGeom prst="rect">
                      <a:avLst/>
                    </a:prstGeom>
                  </pic:spPr>
                </pic:pic>
              </a:graphicData>
            </a:graphic>
          </wp:inline>
        </w:drawing>
      </w:r>
    </w:p>
    <w:p w14:paraId="7F636E44" w14:textId="49D117C3" w:rsidR="00AC3930" w:rsidRDefault="00AC3930" w:rsidP="00AC3930">
      <w:pPr>
        <w:spacing w:after="0" w:line="360" w:lineRule="auto"/>
        <w:ind w:firstLine="567"/>
        <w:jc w:val="both"/>
        <w:rPr>
          <w:rFonts w:ascii="Arial" w:hAnsi="Arial" w:cs="Arial"/>
          <w:sz w:val="20"/>
          <w:szCs w:val="20"/>
        </w:rPr>
      </w:pPr>
      <w:r w:rsidRPr="00AC3930">
        <w:rPr>
          <w:rFonts w:ascii="Arial" w:hAnsi="Arial" w:cs="Arial"/>
          <w:sz w:val="20"/>
          <w:szCs w:val="20"/>
        </w:rPr>
        <w:t>(Source: Author’s visualisations based on segment resilience, DCI and decomposition metrics)</w:t>
      </w:r>
    </w:p>
    <w:p w14:paraId="160CB469" w14:textId="77777777" w:rsidR="00407FCA" w:rsidRDefault="00407FCA" w:rsidP="00997BAD">
      <w:pPr>
        <w:spacing w:after="0" w:line="360" w:lineRule="auto"/>
        <w:ind w:firstLine="567"/>
        <w:jc w:val="both"/>
        <w:rPr>
          <w:rFonts w:ascii="Arial" w:hAnsi="Arial" w:cs="Arial"/>
          <w:sz w:val="16"/>
          <w:szCs w:val="16"/>
        </w:rPr>
      </w:pPr>
    </w:p>
    <w:p w14:paraId="0E74E8A0" w14:textId="3F105694" w:rsidR="003F1A94" w:rsidRPr="003F1A94" w:rsidRDefault="003F1A94" w:rsidP="006B6691">
      <w:pPr>
        <w:spacing w:after="0" w:line="360" w:lineRule="auto"/>
        <w:ind w:firstLine="567"/>
        <w:jc w:val="both"/>
        <w:rPr>
          <w:rFonts w:ascii="Arial" w:hAnsi="Arial" w:cs="Arial"/>
          <w:sz w:val="22"/>
          <w:szCs w:val="22"/>
        </w:rPr>
      </w:pPr>
      <w:r w:rsidRPr="003F1A94">
        <w:rPr>
          <w:rFonts w:ascii="Arial" w:hAnsi="Arial" w:cs="Arial"/>
          <w:sz w:val="22"/>
          <w:szCs w:val="22"/>
        </w:rPr>
        <w:t xml:space="preserve">Despite usually lower buffering intensity, mass companies accomplish better average resilience (0.54) than luxury firms (0.48), as seen in Figure 4.14, a small but significant difference. This points to a compromise between effectiveness and the ability to absorb. Lotus, for example, has a shock absorption of 2.8 while mass corporations range from 0.2 </w:t>
      </w:r>
      <w:r>
        <w:rPr>
          <w:rFonts w:ascii="Arial" w:hAnsi="Arial" w:cs="Arial"/>
          <w:sz w:val="22"/>
          <w:szCs w:val="22"/>
        </w:rPr>
        <w:t>to 1.0, but this does not always lead to</w:t>
      </w:r>
      <w:r w:rsidRPr="003F1A94">
        <w:rPr>
          <w:rFonts w:ascii="Arial" w:hAnsi="Arial" w:cs="Arial"/>
          <w:sz w:val="22"/>
          <w:szCs w:val="22"/>
        </w:rPr>
        <w:t xml:space="preserve"> better resilience results. According to </w:t>
      </w:r>
      <w:proofErr w:type="spellStart"/>
      <w:r w:rsidRPr="003F1A94">
        <w:rPr>
          <w:rFonts w:ascii="Arial" w:hAnsi="Arial" w:cs="Arial"/>
          <w:sz w:val="22"/>
          <w:szCs w:val="22"/>
        </w:rPr>
        <w:t>Gurtu</w:t>
      </w:r>
      <w:proofErr w:type="spellEnd"/>
      <w:r w:rsidRPr="003F1A94">
        <w:rPr>
          <w:rFonts w:ascii="Arial" w:hAnsi="Arial" w:cs="Arial"/>
          <w:sz w:val="22"/>
          <w:szCs w:val="22"/>
        </w:rPr>
        <w:t xml:space="preserve"> and Johny (2021), interaction is not linear, and the alignment of skills with disruption circumstances is more important than the buffering scale in determining resilience.</w:t>
      </w:r>
    </w:p>
    <w:p w14:paraId="3782B9E8" w14:textId="49B53A58" w:rsidR="00407FCA" w:rsidRPr="004A382F" w:rsidRDefault="004A382F" w:rsidP="004A382F">
      <w:pPr>
        <w:spacing w:after="0" w:line="360" w:lineRule="auto"/>
        <w:jc w:val="center"/>
        <w:rPr>
          <w:rFonts w:ascii="Arial" w:hAnsi="Arial" w:cs="Arial"/>
          <w:sz w:val="20"/>
          <w:szCs w:val="20"/>
        </w:rPr>
      </w:pPr>
      <w:r w:rsidRPr="004A382F">
        <w:rPr>
          <w:rFonts w:ascii="Arial" w:hAnsi="Arial" w:cs="Arial"/>
          <w:sz w:val="20"/>
          <w:szCs w:val="20"/>
        </w:rPr>
        <w:lastRenderedPageBreak/>
        <w:t>Figure 4.1</w:t>
      </w:r>
      <w:r w:rsidR="0012107E">
        <w:rPr>
          <w:rFonts w:ascii="Arial" w:hAnsi="Arial" w:cs="Arial"/>
          <w:sz w:val="20"/>
          <w:szCs w:val="20"/>
        </w:rPr>
        <w:t>5</w:t>
      </w:r>
      <w:r w:rsidR="00940C16">
        <w:rPr>
          <w:rFonts w:ascii="Arial" w:hAnsi="Arial" w:cs="Arial"/>
          <w:sz w:val="20"/>
          <w:szCs w:val="20"/>
        </w:rPr>
        <w:t>.</w:t>
      </w:r>
      <w:r w:rsidRPr="004A382F">
        <w:rPr>
          <w:rFonts w:ascii="Arial" w:hAnsi="Arial" w:cs="Arial"/>
          <w:sz w:val="20"/>
          <w:szCs w:val="20"/>
        </w:rPr>
        <w:t xml:space="preserve"> Digital Capability as a Driver of Resilience</w:t>
      </w:r>
    </w:p>
    <w:p w14:paraId="28ADF97F" w14:textId="0D0ED48C" w:rsidR="00407FCA" w:rsidRDefault="00407FCA" w:rsidP="004A382F">
      <w:pPr>
        <w:spacing w:after="0" w:line="360" w:lineRule="auto"/>
        <w:jc w:val="center"/>
        <w:rPr>
          <w:rFonts w:ascii="Arial" w:hAnsi="Arial" w:cs="Arial"/>
          <w:sz w:val="22"/>
          <w:szCs w:val="22"/>
        </w:rPr>
      </w:pPr>
      <w:r w:rsidRPr="00407FCA">
        <w:rPr>
          <w:rFonts w:ascii="Arial" w:hAnsi="Arial" w:cs="Arial"/>
          <w:noProof/>
          <w:sz w:val="22"/>
          <w:szCs w:val="22"/>
        </w:rPr>
        <w:drawing>
          <wp:inline distT="0" distB="0" distL="0" distR="0" wp14:anchorId="0CFCC512" wp14:editId="2518D2BE">
            <wp:extent cx="5731510" cy="1757548"/>
            <wp:effectExtent l="0" t="0" r="2540" b="0"/>
            <wp:docPr id="754984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84058" name=""/>
                    <pic:cNvPicPr/>
                  </pic:nvPicPr>
                  <pic:blipFill>
                    <a:blip r:embed="rId44"/>
                    <a:stretch>
                      <a:fillRect/>
                    </a:stretch>
                  </pic:blipFill>
                  <pic:spPr>
                    <a:xfrm>
                      <a:off x="0" y="0"/>
                      <a:ext cx="5738814" cy="1759788"/>
                    </a:xfrm>
                    <a:prstGeom prst="rect">
                      <a:avLst/>
                    </a:prstGeom>
                  </pic:spPr>
                </pic:pic>
              </a:graphicData>
            </a:graphic>
          </wp:inline>
        </w:drawing>
      </w:r>
    </w:p>
    <w:p w14:paraId="065C58FF" w14:textId="4BA03902" w:rsidR="004F12F5" w:rsidRDefault="00AC3930" w:rsidP="00A92367">
      <w:pPr>
        <w:spacing w:after="0" w:line="360" w:lineRule="auto"/>
        <w:jc w:val="both"/>
        <w:rPr>
          <w:rFonts w:ascii="Arial" w:hAnsi="Arial" w:cs="Arial"/>
          <w:i/>
          <w:iCs/>
          <w:sz w:val="20"/>
          <w:szCs w:val="20"/>
        </w:rPr>
      </w:pPr>
      <w:r w:rsidRPr="00AC3930">
        <w:rPr>
          <w:rFonts w:ascii="Arial" w:hAnsi="Arial" w:cs="Arial"/>
          <w:i/>
          <w:iCs/>
          <w:sz w:val="20"/>
          <w:szCs w:val="20"/>
        </w:rPr>
        <w:t>(Source: Author’s visualisations based on segment resilience, DCI and decomposition metrics)</w:t>
      </w:r>
    </w:p>
    <w:p w14:paraId="15F8E9A2" w14:textId="77777777" w:rsidR="00AC3930" w:rsidRPr="00AC3930" w:rsidRDefault="00AC3930" w:rsidP="00A92367">
      <w:pPr>
        <w:spacing w:after="0" w:line="360" w:lineRule="auto"/>
        <w:jc w:val="both"/>
        <w:rPr>
          <w:rFonts w:ascii="Arial" w:hAnsi="Arial" w:cs="Arial"/>
          <w:i/>
          <w:iCs/>
          <w:sz w:val="20"/>
          <w:szCs w:val="20"/>
        </w:rPr>
      </w:pPr>
    </w:p>
    <w:p w14:paraId="0C0B932E" w14:textId="0675D6B4" w:rsidR="00B7615C" w:rsidRDefault="00EE477E" w:rsidP="00827194">
      <w:pPr>
        <w:spacing w:after="0" w:line="360" w:lineRule="auto"/>
        <w:ind w:firstLine="567"/>
        <w:jc w:val="both"/>
        <w:rPr>
          <w:rFonts w:ascii="Arial" w:hAnsi="Arial" w:cs="Arial"/>
          <w:sz w:val="22"/>
          <w:szCs w:val="22"/>
        </w:rPr>
      </w:pPr>
      <w:r w:rsidRPr="00EE477E">
        <w:rPr>
          <w:rFonts w:ascii="Arial" w:hAnsi="Arial" w:cs="Arial"/>
          <w:sz w:val="22"/>
          <w:szCs w:val="22"/>
        </w:rPr>
        <w:t>The correlation between digital competence and resilience is positive, although it is conditional, as seen in Figure 4.15. In general, stronger outcomes are associated with higher DCI (e.g., BMW: 0.44 DCI, 0.65 resilience), although the slope is not uniform. Performance is severely constrained by low capabilities (Lotus: 0.12, 0.40), but enhanced DCI is no guarantee of benefits (McLaren: 0.56, 0.42). According to Gupta et al. (2022), digital capabilities can only improve resilience when it is coupled with efficient risk management and coordination procedures. This suggests that the connection is not linear.</w:t>
      </w:r>
    </w:p>
    <w:p w14:paraId="59B99511" w14:textId="77777777" w:rsidR="00EE477E" w:rsidRDefault="00EE477E" w:rsidP="00827194">
      <w:pPr>
        <w:spacing w:after="0" w:line="360" w:lineRule="auto"/>
        <w:ind w:firstLine="567"/>
        <w:jc w:val="both"/>
        <w:rPr>
          <w:rFonts w:ascii="Arial" w:hAnsi="Arial" w:cs="Arial"/>
          <w:sz w:val="16"/>
          <w:szCs w:val="16"/>
        </w:rPr>
      </w:pPr>
    </w:p>
    <w:p w14:paraId="5D070D84" w14:textId="77777777" w:rsidR="00EE477E" w:rsidRDefault="00EE477E" w:rsidP="00827194">
      <w:pPr>
        <w:spacing w:after="0" w:line="360" w:lineRule="auto"/>
        <w:ind w:firstLine="567"/>
        <w:jc w:val="both"/>
        <w:rPr>
          <w:rFonts w:ascii="Arial" w:hAnsi="Arial" w:cs="Arial"/>
          <w:sz w:val="16"/>
          <w:szCs w:val="16"/>
        </w:rPr>
      </w:pPr>
    </w:p>
    <w:p w14:paraId="41895E59" w14:textId="77777777" w:rsidR="00EE477E" w:rsidRDefault="00EE477E" w:rsidP="00827194">
      <w:pPr>
        <w:spacing w:after="0" w:line="360" w:lineRule="auto"/>
        <w:ind w:firstLine="567"/>
        <w:jc w:val="both"/>
        <w:rPr>
          <w:rFonts w:ascii="Arial" w:hAnsi="Arial" w:cs="Arial"/>
          <w:sz w:val="16"/>
          <w:szCs w:val="16"/>
        </w:rPr>
      </w:pPr>
    </w:p>
    <w:p w14:paraId="56E3B412" w14:textId="77777777" w:rsidR="00EE477E" w:rsidRDefault="00EE477E" w:rsidP="00827194">
      <w:pPr>
        <w:spacing w:after="0" w:line="360" w:lineRule="auto"/>
        <w:ind w:firstLine="567"/>
        <w:jc w:val="both"/>
        <w:rPr>
          <w:rFonts w:ascii="Arial" w:hAnsi="Arial" w:cs="Arial"/>
          <w:sz w:val="16"/>
          <w:szCs w:val="16"/>
        </w:rPr>
      </w:pPr>
    </w:p>
    <w:p w14:paraId="60F036FE" w14:textId="77777777" w:rsidR="00EE477E" w:rsidRDefault="00EE477E" w:rsidP="00827194">
      <w:pPr>
        <w:spacing w:after="0" w:line="360" w:lineRule="auto"/>
        <w:ind w:firstLine="567"/>
        <w:jc w:val="both"/>
        <w:rPr>
          <w:rFonts w:ascii="Arial" w:hAnsi="Arial" w:cs="Arial"/>
          <w:sz w:val="16"/>
          <w:szCs w:val="16"/>
        </w:rPr>
      </w:pPr>
    </w:p>
    <w:p w14:paraId="4C53F4B8" w14:textId="77777777" w:rsidR="00EE477E" w:rsidRDefault="00EE477E" w:rsidP="00827194">
      <w:pPr>
        <w:spacing w:after="0" w:line="360" w:lineRule="auto"/>
        <w:ind w:firstLine="567"/>
        <w:jc w:val="both"/>
        <w:rPr>
          <w:rFonts w:ascii="Arial" w:hAnsi="Arial" w:cs="Arial"/>
          <w:sz w:val="16"/>
          <w:szCs w:val="16"/>
        </w:rPr>
      </w:pPr>
    </w:p>
    <w:p w14:paraId="70CCBA23" w14:textId="77777777" w:rsidR="00EE477E" w:rsidRDefault="00EE477E" w:rsidP="00827194">
      <w:pPr>
        <w:spacing w:after="0" w:line="360" w:lineRule="auto"/>
        <w:ind w:firstLine="567"/>
        <w:jc w:val="both"/>
        <w:rPr>
          <w:rFonts w:ascii="Arial" w:hAnsi="Arial" w:cs="Arial"/>
          <w:sz w:val="16"/>
          <w:szCs w:val="16"/>
        </w:rPr>
      </w:pPr>
    </w:p>
    <w:p w14:paraId="1F237B01" w14:textId="77777777" w:rsidR="00EE477E" w:rsidRDefault="00EE477E" w:rsidP="00827194">
      <w:pPr>
        <w:spacing w:after="0" w:line="360" w:lineRule="auto"/>
        <w:ind w:firstLine="567"/>
        <w:jc w:val="both"/>
        <w:rPr>
          <w:rFonts w:ascii="Arial" w:hAnsi="Arial" w:cs="Arial"/>
          <w:sz w:val="16"/>
          <w:szCs w:val="16"/>
        </w:rPr>
      </w:pPr>
    </w:p>
    <w:p w14:paraId="428A1CD4" w14:textId="77777777" w:rsidR="00EE477E" w:rsidRDefault="00EE477E" w:rsidP="00827194">
      <w:pPr>
        <w:spacing w:after="0" w:line="360" w:lineRule="auto"/>
        <w:ind w:firstLine="567"/>
        <w:jc w:val="both"/>
        <w:rPr>
          <w:rFonts w:ascii="Arial" w:hAnsi="Arial" w:cs="Arial"/>
          <w:sz w:val="16"/>
          <w:szCs w:val="16"/>
        </w:rPr>
      </w:pPr>
    </w:p>
    <w:p w14:paraId="3091A0A6" w14:textId="77777777" w:rsidR="00EE477E" w:rsidRDefault="00EE477E" w:rsidP="00827194">
      <w:pPr>
        <w:spacing w:after="0" w:line="360" w:lineRule="auto"/>
        <w:ind w:firstLine="567"/>
        <w:jc w:val="both"/>
        <w:rPr>
          <w:rFonts w:ascii="Arial" w:hAnsi="Arial" w:cs="Arial"/>
          <w:sz w:val="16"/>
          <w:szCs w:val="16"/>
        </w:rPr>
      </w:pPr>
    </w:p>
    <w:p w14:paraId="157ADEE5" w14:textId="77777777" w:rsidR="00EE477E" w:rsidRDefault="00EE477E" w:rsidP="00827194">
      <w:pPr>
        <w:spacing w:after="0" w:line="360" w:lineRule="auto"/>
        <w:ind w:firstLine="567"/>
        <w:jc w:val="both"/>
        <w:rPr>
          <w:rFonts w:ascii="Arial" w:hAnsi="Arial" w:cs="Arial"/>
          <w:sz w:val="16"/>
          <w:szCs w:val="16"/>
        </w:rPr>
      </w:pPr>
    </w:p>
    <w:p w14:paraId="2BBB2D96" w14:textId="77777777" w:rsidR="00EE477E" w:rsidRDefault="00EE477E" w:rsidP="00827194">
      <w:pPr>
        <w:spacing w:after="0" w:line="360" w:lineRule="auto"/>
        <w:ind w:firstLine="567"/>
        <w:jc w:val="both"/>
        <w:rPr>
          <w:rFonts w:ascii="Arial" w:hAnsi="Arial" w:cs="Arial"/>
          <w:sz w:val="16"/>
          <w:szCs w:val="16"/>
        </w:rPr>
      </w:pPr>
    </w:p>
    <w:p w14:paraId="4D9F32AC" w14:textId="77777777" w:rsidR="00EE477E" w:rsidRDefault="00EE477E" w:rsidP="00827194">
      <w:pPr>
        <w:spacing w:after="0" w:line="360" w:lineRule="auto"/>
        <w:ind w:firstLine="567"/>
        <w:jc w:val="both"/>
        <w:rPr>
          <w:rFonts w:ascii="Arial" w:hAnsi="Arial" w:cs="Arial"/>
          <w:sz w:val="16"/>
          <w:szCs w:val="16"/>
        </w:rPr>
      </w:pPr>
    </w:p>
    <w:p w14:paraId="7D1714D2" w14:textId="77777777" w:rsidR="00EE477E" w:rsidRDefault="00EE477E" w:rsidP="00827194">
      <w:pPr>
        <w:spacing w:after="0" w:line="360" w:lineRule="auto"/>
        <w:ind w:firstLine="567"/>
        <w:jc w:val="both"/>
        <w:rPr>
          <w:rFonts w:ascii="Arial" w:hAnsi="Arial" w:cs="Arial"/>
          <w:sz w:val="16"/>
          <w:szCs w:val="16"/>
        </w:rPr>
      </w:pPr>
    </w:p>
    <w:p w14:paraId="3E481E8F" w14:textId="77777777" w:rsidR="00EE477E" w:rsidRDefault="00EE477E" w:rsidP="00827194">
      <w:pPr>
        <w:spacing w:after="0" w:line="360" w:lineRule="auto"/>
        <w:ind w:firstLine="567"/>
        <w:jc w:val="both"/>
        <w:rPr>
          <w:rFonts w:ascii="Arial" w:hAnsi="Arial" w:cs="Arial"/>
          <w:sz w:val="16"/>
          <w:szCs w:val="16"/>
        </w:rPr>
      </w:pPr>
    </w:p>
    <w:p w14:paraId="13A97329" w14:textId="77777777" w:rsidR="00EE477E" w:rsidRDefault="00EE477E" w:rsidP="00827194">
      <w:pPr>
        <w:spacing w:after="0" w:line="360" w:lineRule="auto"/>
        <w:ind w:firstLine="567"/>
        <w:jc w:val="both"/>
        <w:rPr>
          <w:rFonts w:ascii="Arial" w:hAnsi="Arial" w:cs="Arial"/>
          <w:sz w:val="16"/>
          <w:szCs w:val="16"/>
        </w:rPr>
      </w:pPr>
    </w:p>
    <w:p w14:paraId="173D2B6C" w14:textId="77777777" w:rsidR="00EE477E" w:rsidRDefault="00EE477E" w:rsidP="00827194">
      <w:pPr>
        <w:spacing w:after="0" w:line="360" w:lineRule="auto"/>
        <w:ind w:firstLine="567"/>
        <w:jc w:val="both"/>
        <w:rPr>
          <w:rFonts w:ascii="Arial" w:hAnsi="Arial" w:cs="Arial"/>
          <w:sz w:val="16"/>
          <w:szCs w:val="16"/>
        </w:rPr>
      </w:pPr>
    </w:p>
    <w:p w14:paraId="3E8A0BAA" w14:textId="77777777" w:rsidR="00EE477E" w:rsidRDefault="00EE477E" w:rsidP="00827194">
      <w:pPr>
        <w:spacing w:after="0" w:line="360" w:lineRule="auto"/>
        <w:ind w:firstLine="567"/>
        <w:jc w:val="both"/>
        <w:rPr>
          <w:rFonts w:ascii="Arial" w:hAnsi="Arial" w:cs="Arial"/>
          <w:sz w:val="16"/>
          <w:szCs w:val="16"/>
        </w:rPr>
      </w:pPr>
    </w:p>
    <w:p w14:paraId="60E694A2" w14:textId="77777777" w:rsidR="00EE477E" w:rsidRDefault="00EE477E" w:rsidP="00827194">
      <w:pPr>
        <w:spacing w:after="0" w:line="360" w:lineRule="auto"/>
        <w:ind w:firstLine="567"/>
        <w:jc w:val="both"/>
        <w:rPr>
          <w:rFonts w:ascii="Arial" w:hAnsi="Arial" w:cs="Arial"/>
          <w:sz w:val="16"/>
          <w:szCs w:val="16"/>
        </w:rPr>
      </w:pPr>
    </w:p>
    <w:p w14:paraId="393BCEBF" w14:textId="77777777" w:rsidR="00EE477E" w:rsidRDefault="00EE477E" w:rsidP="00827194">
      <w:pPr>
        <w:spacing w:after="0" w:line="360" w:lineRule="auto"/>
        <w:ind w:firstLine="567"/>
        <w:jc w:val="both"/>
        <w:rPr>
          <w:rFonts w:ascii="Arial" w:hAnsi="Arial" w:cs="Arial"/>
          <w:sz w:val="16"/>
          <w:szCs w:val="16"/>
        </w:rPr>
      </w:pPr>
    </w:p>
    <w:p w14:paraId="687DC8E1" w14:textId="77777777" w:rsidR="00EE477E" w:rsidRDefault="00EE477E" w:rsidP="00827194">
      <w:pPr>
        <w:spacing w:after="0" w:line="360" w:lineRule="auto"/>
        <w:ind w:firstLine="567"/>
        <w:jc w:val="both"/>
        <w:rPr>
          <w:rFonts w:ascii="Arial" w:hAnsi="Arial" w:cs="Arial"/>
          <w:sz w:val="16"/>
          <w:szCs w:val="16"/>
        </w:rPr>
      </w:pPr>
    </w:p>
    <w:p w14:paraId="0916B9BA" w14:textId="77777777" w:rsidR="00EE477E" w:rsidRDefault="00EE477E" w:rsidP="00827194">
      <w:pPr>
        <w:spacing w:after="0" w:line="360" w:lineRule="auto"/>
        <w:ind w:firstLine="567"/>
        <w:jc w:val="both"/>
        <w:rPr>
          <w:rFonts w:ascii="Arial" w:hAnsi="Arial" w:cs="Arial"/>
          <w:sz w:val="16"/>
          <w:szCs w:val="16"/>
        </w:rPr>
      </w:pPr>
    </w:p>
    <w:p w14:paraId="704C378B" w14:textId="77777777" w:rsidR="00EE477E" w:rsidRDefault="00EE477E" w:rsidP="00827194">
      <w:pPr>
        <w:spacing w:after="0" w:line="360" w:lineRule="auto"/>
        <w:ind w:firstLine="567"/>
        <w:jc w:val="both"/>
        <w:rPr>
          <w:rFonts w:ascii="Arial" w:hAnsi="Arial" w:cs="Arial"/>
          <w:sz w:val="16"/>
          <w:szCs w:val="16"/>
        </w:rPr>
      </w:pPr>
    </w:p>
    <w:p w14:paraId="751C9A9E" w14:textId="77777777" w:rsidR="00EE477E" w:rsidRDefault="00EE477E" w:rsidP="00827194">
      <w:pPr>
        <w:spacing w:after="0" w:line="360" w:lineRule="auto"/>
        <w:ind w:firstLine="567"/>
        <w:jc w:val="both"/>
        <w:rPr>
          <w:rFonts w:ascii="Arial" w:hAnsi="Arial" w:cs="Arial"/>
          <w:sz w:val="16"/>
          <w:szCs w:val="16"/>
        </w:rPr>
      </w:pPr>
    </w:p>
    <w:p w14:paraId="5D9CA786" w14:textId="77777777" w:rsidR="00EE477E" w:rsidRDefault="00EE477E" w:rsidP="00827194">
      <w:pPr>
        <w:spacing w:after="0" w:line="360" w:lineRule="auto"/>
        <w:ind w:firstLine="567"/>
        <w:jc w:val="both"/>
        <w:rPr>
          <w:rFonts w:ascii="Arial" w:hAnsi="Arial" w:cs="Arial"/>
          <w:sz w:val="16"/>
          <w:szCs w:val="16"/>
        </w:rPr>
      </w:pPr>
    </w:p>
    <w:p w14:paraId="1D83C926" w14:textId="77777777" w:rsidR="00EE477E" w:rsidRPr="00EE477E" w:rsidRDefault="00EE477E" w:rsidP="00827194">
      <w:pPr>
        <w:spacing w:after="0" w:line="360" w:lineRule="auto"/>
        <w:ind w:firstLine="567"/>
        <w:jc w:val="both"/>
        <w:rPr>
          <w:rFonts w:ascii="Arial" w:hAnsi="Arial" w:cs="Arial"/>
          <w:sz w:val="16"/>
          <w:szCs w:val="16"/>
        </w:rPr>
      </w:pPr>
    </w:p>
    <w:p w14:paraId="7C0E44E2" w14:textId="1C1AA963" w:rsidR="009D21FC" w:rsidRDefault="009D21FC" w:rsidP="00B7615C">
      <w:pPr>
        <w:spacing w:after="0" w:line="360" w:lineRule="auto"/>
        <w:jc w:val="center"/>
        <w:rPr>
          <w:rFonts w:ascii="Arial" w:hAnsi="Arial" w:cs="Arial"/>
          <w:sz w:val="20"/>
          <w:szCs w:val="20"/>
        </w:rPr>
      </w:pPr>
      <w:r w:rsidRPr="009D21FC">
        <w:rPr>
          <w:rFonts w:ascii="Arial" w:hAnsi="Arial" w:cs="Arial"/>
          <w:sz w:val="20"/>
          <w:szCs w:val="20"/>
        </w:rPr>
        <w:lastRenderedPageBreak/>
        <w:t>Figure 4.</w:t>
      </w:r>
      <w:r w:rsidR="0012107E">
        <w:rPr>
          <w:rFonts w:ascii="Arial" w:hAnsi="Arial" w:cs="Arial"/>
          <w:sz w:val="20"/>
          <w:szCs w:val="20"/>
        </w:rPr>
        <w:t>16.</w:t>
      </w:r>
      <w:r w:rsidRPr="009D21FC">
        <w:rPr>
          <w:rFonts w:ascii="Arial" w:hAnsi="Arial" w:cs="Arial"/>
          <w:sz w:val="20"/>
          <w:szCs w:val="20"/>
        </w:rPr>
        <w:t xml:space="preserve"> Resilience Performance Under Supply Chain Pressure</w:t>
      </w:r>
    </w:p>
    <w:p w14:paraId="556214B2" w14:textId="18B6652A" w:rsidR="004F3871" w:rsidRDefault="00B7615C" w:rsidP="00B7615C">
      <w:pPr>
        <w:spacing w:after="0" w:line="360" w:lineRule="auto"/>
        <w:jc w:val="center"/>
        <w:rPr>
          <w:rFonts w:ascii="Arial" w:hAnsi="Arial" w:cs="Arial"/>
          <w:sz w:val="20"/>
          <w:szCs w:val="20"/>
        </w:rPr>
      </w:pPr>
      <w:r w:rsidRPr="00B7615C">
        <w:rPr>
          <w:rFonts w:ascii="Arial" w:hAnsi="Arial" w:cs="Arial"/>
          <w:noProof/>
          <w:sz w:val="20"/>
          <w:szCs w:val="20"/>
        </w:rPr>
        <w:drawing>
          <wp:inline distT="0" distB="0" distL="0" distR="0" wp14:anchorId="796355FD" wp14:editId="34C3C71E">
            <wp:extent cx="5731510" cy="4767943"/>
            <wp:effectExtent l="0" t="0" r="2540" b="0"/>
            <wp:docPr id="480404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04422" name=""/>
                    <pic:cNvPicPr/>
                  </pic:nvPicPr>
                  <pic:blipFill>
                    <a:blip r:embed="rId45"/>
                    <a:stretch>
                      <a:fillRect/>
                    </a:stretch>
                  </pic:blipFill>
                  <pic:spPr>
                    <a:xfrm>
                      <a:off x="0" y="0"/>
                      <a:ext cx="5735856" cy="4771558"/>
                    </a:xfrm>
                    <a:prstGeom prst="rect">
                      <a:avLst/>
                    </a:prstGeom>
                  </pic:spPr>
                </pic:pic>
              </a:graphicData>
            </a:graphic>
          </wp:inline>
        </w:drawing>
      </w:r>
    </w:p>
    <w:p w14:paraId="6A726914" w14:textId="77777777" w:rsidR="00AC3930" w:rsidRPr="00AC3930" w:rsidRDefault="00AC3930" w:rsidP="00AC3930">
      <w:pPr>
        <w:spacing w:after="0" w:line="360" w:lineRule="auto"/>
        <w:jc w:val="both"/>
        <w:rPr>
          <w:rFonts w:ascii="Arial" w:hAnsi="Arial" w:cs="Arial"/>
          <w:i/>
          <w:iCs/>
          <w:sz w:val="20"/>
          <w:szCs w:val="20"/>
        </w:rPr>
      </w:pPr>
      <w:r w:rsidRPr="00AC3930">
        <w:rPr>
          <w:rFonts w:ascii="Arial" w:hAnsi="Arial" w:cs="Arial"/>
          <w:i/>
          <w:iCs/>
          <w:sz w:val="20"/>
          <w:szCs w:val="20"/>
        </w:rPr>
        <w:t>(Source: Author’s visualisations based on segment resilience, DCI and decomposition metrics)</w:t>
      </w:r>
    </w:p>
    <w:p w14:paraId="51D12E8E" w14:textId="77777777" w:rsidR="004F12F5" w:rsidRPr="00395419" w:rsidRDefault="004F12F5" w:rsidP="00A92367">
      <w:pPr>
        <w:spacing w:after="0" w:line="360" w:lineRule="auto"/>
        <w:jc w:val="both"/>
        <w:rPr>
          <w:rFonts w:ascii="Arial" w:hAnsi="Arial" w:cs="Arial"/>
          <w:sz w:val="16"/>
          <w:szCs w:val="16"/>
        </w:rPr>
      </w:pPr>
    </w:p>
    <w:p w14:paraId="6D78A9B4" w14:textId="4AA85E60" w:rsidR="004F12F5" w:rsidRDefault="00135DDE" w:rsidP="00135DDE">
      <w:pPr>
        <w:spacing w:after="0" w:line="360" w:lineRule="auto"/>
        <w:ind w:firstLine="567"/>
        <w:jc w:val="both"/>
        <w:rPr>
          <w:rFonts w:ascii="Arial" w:hAnsi="Arial" w:cs="Arial"/>
          <w:sz w:val="22"/>
          <w:szCs w:val="22"/>
        </w:rPr>
      </w:pPr>
      <w:r w:rsidRPr="00135DDE">
        <w:rPr>
          <w:rFonts w:ascii="Arial" w:hAnsi="Arial" w:cs="Arial"/>
          <w:sz w:val="22"/>
          <w:szCs w:val="22"/>
        </w:rPr>
        <w:t>It is evident from Figure 4.16 that the link between pressure exposure and resilience outcomes is inverse and non-linear. Companies with lesser exposure likely to have better results (BMW: 54.16% vs. 45.84%), while those with larger pressure shares tend to have poorer resilience (65.58% pressure vs. 34.42% resilience; McLaren: 64.39% vs. 35.61%). Though capabilities mitigate rather than eliminate disruptive effects, the non-proportional gradient suggests otherwise. Accordingly, resilience is a measure of how well one responds under stress</w:t>
      </w:r>
      <w:r w:rsidR="00831319">
        <w:rPr>
          <w:rFonts w:ascii="Arial" w:hAnsi="Arial" w:cs="Arial"/>
          <w:sz w:val="22"/>
          <w:szCs w:val="22"/>
        </w:rPr>
        <w:t xml:space="preserve"> (Figure 4.17)</w:t>
      </w:r>
      <w:r w:rsidRPr="00135DDE">
        <w:rPr>
          <w:rFonts w:ascii="Arial" w:hAnsi="Arial" w:cs="Arial"/>
          <w:sz w:val="22"/>
          <w:szCs w:val="22"/>
        </w:rPr>
        <w:t>, not how well one does it in the absence of stress.</w:t>
      </w:r>
    </w:p>
    <w:p w14:paraId="413FAE56" w14:textId="77777777" w:rsidR="00BE1BDB" w:rsidRDefault="00BE1BDB" w:rsidP="00A92367">
      <w:pPr>
        <w:spacing w:after="0" w:line="360" w:lineRule="auto"/>
        <w:jc w:val="both"/>
        <w:rPr>
          <w:rFonts w:ascii="Arial" w:hAnsi="Arial" w:cs="Arial"/>
          <w:sz w:val="22"/>
          <w:szCs w:val="22"/>
        </w:rPr>
      </w:pPr>
    </w:p>
    <w:p w14:paraId="1DF7A63D" w14:textId="77777777" w:rsidR="00831319" w:rsidRDefault="00831319" w:rsidP="00A92367">
      <w:pPr>
        <w:spacing w:after="0" w:line="360" w:lineRule="auto"/>
        <w:jc w:val="both"/>
        <w:rPr>
          <w:rFonts w:ascii="Arial" w:hAnsi="Arial" w:cs="Arial"/>
          <w:sz w:val="22"/>
          <w:szCs w:val="22"/>
        </w:rPr>
      </w:pPr>
    </w:p>
    <w:p w14:paraId="6905F87A" w14:textId="77777777" w:rsidR="00831319" w:rsidRDefault="00831319" w:rsidP="00A92367">
      <w:pPr>
        <w:spacing w:after="0" w:line="360" w:lineRule="auto"/>
        <w:jc w:val="both"/>
        <w:rPr>
          <w:rFonts w:ascii="Arial" w:hAnsi="Arial" w:cs="Arial"/>
          <w:sz w:val="22"/>
          <w:szCs w:val="22"/>
        </w:rPr>
      </w:pPr>
    </w:p>
    <w:p w14:paraId="7D58047B" w14:textId="77777777" w:rsidR="00831319" w:rsidRDefault="00831319" w:rsidP="00A92367">
      <w:pPr>
        <w:spacing w:after="0" w:line="360" w:lineRule="auto"/>
        <w:jc w:val="both"/>
        <w:rPr>
          <w:rFonts w:ascii="Arial" w:hAnsi="Arial" w:cs="Arial"/>
          <w:sz w:val="22"/>
          <w:szCs w:val="22"/>
        </w:rPr>
      </w:pPr>
    </w:p>
    <w:p w14:paraId="0116CEFA" w14:textId="77777777" w:rsidR="00831319" w:rsidRDefault="00831319" w:rsidP="00A92367">
      <w:pPr>
        <w:spacing w:after="0" w:line="360" w:lineRule="auto"/>
        <w:jc w:val="both"/>
        <w:rPr>
          <w:rFonts w:ascii="Arial" w:hAnsi="Arial" w:cs="Arial"/>
          <w:sz w:val="22"/>
          <w:szCs w:val="22"/>
        </w:rPr>
      </w:pPr>
    </w:p>
    <w:p w14:paraId="51AAD3DC" w14:textId="77777777" w:rsidR="00831319" w:rsidRDefault="00831319" w:rsidP="00A92367">
      <w:pPr>
        <w:spacing w:after="0" w:line="360" w:lineRule="auto"/>
        <w:jc w:val="both"/>
        <w:rPr>
          <w:rFonts w:ascii="Arial" w:hAnsi="Arial" w:cs="Arial"/>
          <w:sz w:val="22"/>
          <w:szCs w:val="22"/>
        </w:rPr>
      </w:pPr>
    </w:p>
    <w:p w14:paraId="7256DB86" w14:textId="77777777" w:rsidR="00831319" w:rsidRDefault="00831319" w:rsidP="00A92367">
      <w:pPr>
        <w:spacing w:after="0" w:line="360" w:lineRule="auto"/>
        <w:jc w:val="both"/>
        <w:rPr>
          <w:rFonts w:ascii="Arial" w:hAnsi="Arial" w:cs="Arial"/>
          <w:sz w:val="22"/>
          <w:szCs w:val="22"/>
        </w:rPr>
      </w:pPr>
    </w:p>
    <w:p w14:paraId="0549542E" w14:textId="6768BAC6" w:rsidR="004F12F5" w:rsidRPr="00BE1BDB" w:rsidRDefault="00BE1BDB" w:rsidP="00BE1BDB">
      <w:pPr>
        <w:spacing w:after="0" w:line="360" w:lineRule="auto"/>
        <w:jc w:val="center"/>
        <w:rPr>
          <w:rFonts w:ascii="Arial" w:hAnsi="Arial" w:cs="Arial"/>
          <w:sz w:val="20"/>
          <w:szCs w:val="20"/>
        </w:rPr>
      </w:pPr>
      <w:r w:rsidRPr="00BE1BDB">
        <w:rPr>
          <w:rFonts w:ascii="Arial" w:hAnsi="Arial" w:cs="Arial"/>
          <w:sz w:val="20"/>
          <w:szCs w:val="20"/>
        </w:rPr>
        <w:lastRenderedPageBreak/>
        <w:t>Figure 4.</w:t>
      </w:r>
      <w:r w:rsidR="0012107E">
        <w:rPr>
          <w:rFonts w:ascii="Arial" w:hAnsi="Arial" w:cs="Arial"/>
          <w:sz w:val="20"/>
          <w:szCs w:val="20"/>
        </w:rPr>
        <w:t>17</w:t>
      </w:r>
      <w:r>
        <w:rPr>
          <w:rFonts w:ascii="Arial" w:hAnsi="Arial" w:cs="Arial"/>
          <w:sz w:val="20"/>
          <w:szCs w:val="20"/>
        </w:rPr>
        <w:t>.</w:t>
      </w:r>
      <w:r w:rsidRPr="00BE1BDB">
        <w:rPr>
          <w:rFonts w:ascii="Arial" w:hAnsi="Arial" w:cs="Arial"/>
          <w:sz w:val="20"/>
          <w:szCs w:val="20"/>
        </w:rPr>
        <w:t xml:space="preserve"> Firm-Level Digital Capability and Resilience Scores</w:t>
      </w:r>
    </w:p>
    <w:p w14:paraId="4E1FDD35" w14:textId="6430B47B" w:rsidR="004F12F5" w:rsidRDefault="00D64849" w:rsidP="00D64849">
      <w:pPr>
        <w:spacing w:after="0" w:line="360" w:lineRule="auto"/>
        <w:jc w:val="center"/>
        <w:rPr>
          <w:rFonts w:ascii="Arial" w:hAnsi="Arial" w:cs="Arial"/>
          <w:sz w:val="22"/>
          <w:szCs w:val="22"/>
        </w:rPr>
      </w:pPr>
      <w:r w:rsidRPr="00D64849">
        <w:rPr>
          <w:rFonts w:ascii="Arial" w:hAnsi="Arial" w:cs="Arial"/>
          <w:noProof/>
          <w:sz w:val="22"/>
          <w:szCs w:val="22"/>
        </w:rPr>
        <w:drawing>
          <wp:inline distT="0" distB="0" distL="0" distR="0" wp14:anchorId="3B88C8FF" wp14:editId="726A6CE0">
            <wp:extent cx="5731510" cy="6052375"/>
            <wp:effectExtent l="0" t="0" r="2540" b="5715"/>
            <wp:docPr id="87340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01270" name=""/>
                    <pic:cNvPicPr/>
                  </pic:nvPicPr>
                  <pic:blipFill>
                    <a:blip r:embed="rId46"/>
                    <a:stretch>
                      <a:fillRect/>
                    </a:stretch>
                  </pic:blipFill>
                  <pic:spPr>
                    <a:xfrm>
                      <a:off x="0" y="0"/>
                      <a:ext cx="5734343" cy="6055367"/>
                    </a:xfrm>
                    <a:prstGeom prst="rect">
                      <a:avLst/>
                    </a:prstGeom>
                  </pic:spPr>
                </pic:pic>
              </a:graphicData>
            </a:graphic>
          </wp:inline>
        </w:drawing>
      </w:r>
    </w:p>
    <w:p w14:paraId="46302270" w14:textId="78FC2696" w:rsidR="004F12F5" w:rsidRDefault="00AC3930" w:rsidP="00AC3930">
      <w:pPr>
        <w:spacing w:after="0" w:line="360" w:lineRule="auto"/>
        <w:jc w:val="center"/>
        <w:rPr>
          <w:rFonts w:ascii="Arial" w:hAnsi="Arial" w:cs="Arial"/>
          <w:i/>
          <w:iCs/>
          <w:sz w:val="20"/>
          <w:szCs w:val="20"/>
        </w:rPr>
      </w:pPr>
      <w:r w:rsidRPr="00AC3930">
        <w:rPr>
          <w:rFonts w:ascii="Arial" w:hAnsi="Arial" w:cs="Arial"/>
          <w:i/>
          <w:iCs/>
          <w:sz w:val="20"/>
          <w:szCs w:val="20"/>
        </w:rPr>
        <w:t>(Source: Author’s visualisations based on segment resilience, DCI and decomposition metrics)</w:t>
      </w:r>
    </w:p>
    <w:p w14:paraId="595194E7" w14:textId="77777777" w:rsidR="00CB6264" w:rsidRPr="00CB6264" w:rsidRDefault="00CB6264" w:rsidP="00AC3930">
      <w:pPr>
        <w:spacing w:after="0" w:line="360" w:lineRule="auto"/>
        <w:jc w:val="center"/>
        <w:rPr>
          <w:rFonts w:ascii="Arial" w:hAnsi="Arial" w:cs="Arial"/>
          <w:i/>
          <w:iCs/>
          <w:sz w:val="16"/>
          <w:szCs w:val="16"/>
        </w:rPr>
      </w:pPr>
    </w:p>
    <w:p w14:paraId="5BC1D0A4" w14:textId="5CEAB336" w:rsidR="004F12F5" w:rsidRDefault="004A3EC6" w:rsidP="00CB6264">
      <w:pPr>
        <w:spacing w:after="0" w:line="360" w:lineRule="auto"/>
        <w:ind w:firstLine="567"/>
        <w:jc w:val="both"/>
        <w:rPr>
          <w:rFonts w:ascii="Arial" w:hAnsi="Arial" w:cs="Arial"/>
          <w:sz w:val="22"/>
          <w:szCs w:val="22"/>
        </w:rPr>
      </w:pPr>
      <w:r w:rsidRPr="004A3EC6">
        <w:rPr>
          <w:rFonts w:ascii="Arial" w:hAnsi="Arial" w:cs="Arial"/>
          <w:sz w:val="22"/>
          <w:szCs w:val="22"/>
        </w:rPr>
        <w:t xml:space="preserve">The alignment of different drivers, as shown in Figure 4.17, rather than a single factor, leads to maximal resilience (0.65). These drivers include marginal routing contribution, good inventory positioning (≈0.85), and </w:t>
      </w:r>
      <w:r w:rsidR="003A3EDE" w:rsidRPr="004A3EC6">
        <w:rPr>
          <w:rFonts w:ascii="Arial" w:hAnsi="Arial" w:cs="Arial"/>
          <w:sz w:val="22"/>
          <w:szCs w:val="22"/>
        </w:rPr>
        <w:t>high-cost</w:t>
      </w:r>
      <w:r w:rsidRPr="004A3EC6">
        <w:rPr>
          <w:rFonts w:ascii="Arial" w:hAnsi="Arial" w:cs="Arial"/>
          <w:sz w:val="22"/>
          <w:szCs w:val="22"/>
        </w:rPr>
        <w:t xml:space="preserve"> efficiency (≈0.97). Companies in the 0.49-0.58 range show less coordination even if their inventory levels are similar, suggesting that the impacts of each factor are becoming less significant on their own. According to </w:t>
      </w:r>
      <w:proofErr w:type="spellStart"/>
      <w:r w:rsidRPr="004A3EC6">
        <w:rPr>
          <w:rFonts w:ascii="Arial" w:hAnsi="Arial" w:cs="Arial"/>
          <w:sz w:val="22"/>
          <w:szCs w:val="22"/>
        </w:rPr>
        <w:t>Heilfat</w:t>
      </w:r>
      <w:proofErr w:type="spellEnd"/>
      <w:r w:rsidRPr="004A3EC6">
        <w:rPr>
          <w:rFonts w:ascii="Arial" w:hAnsi="Arial" w:cs="Arial"/>
          <w:sz w:val="22"/>
          <w:szCs w:val="22"/>
        </w:rPr>
        <w:t xml:space="preserve"> and </w:t>
      </w:r>
      <w:proofErr w:type="spellStart"/>
      <w:r w:rsidRPr="004A3EC6">
        <w:rPr>
          <w:rFonts w:ascii="Arial" w:hAnsi="Arial" w:cs="Arial"/>
          <w:sz w:val="22"/>
          <w:szCs w:val="22"/>
        </w:rPr>
        <w:t>Peteraf</w:t>
      </w:r>
      <w:proofErr w:type="spellEnd"/>
      <w:r w:rsidRPr="004A3EC6">
        <w:rPr>
          <w:rFonts w:ascii="Arial" w:hAnsi="Arial" w:cs="Arial"/>
          <w:sz w:val="22"/>
          <w:szCs w:val="22"/>
        </w:rPr>
        <w:t xml:space="preserve"> (2015), the link is therefore combinatorial: resilience is enhanced when cost management, buffering, and coordination are optimised together, which supports capability orchestration rather than standalone digital or inventory </w:t>
      </w:r>
      <w:r w:rsidR="00E150DA" w:rsidRPr="004A3EC6">
        <w:rPr>
          <w:rFonts w:ascii="Arial" w:hAnsi="Arial" w:cs="Arial"/>
          <w:sz w:val="22"/>
          <w:szCs w:val="22"/>
        </w:rPr>
        <w:t>investment.</w:t>
      </w:r>
    </w:p>
    <w:p w14:paraId="0050CD7A" w14:textId="77777777" w:rsidR="004A0798" w:rsidRPr="00593C29" w:rsidRDefault="004A0798" w:rsidP="00CB6264">
      <w:pPr>
        <w:spacing w:after="0" w:line="360" w:lineRule="auto"/>
        <w:ind w:firstLine="567"/>
        <w:jc w:val="both"/>
        <w:rPr>
          <w:rFonts w:ascii="Arial" w:hAnsi="Arial" w:cs="Arial"/>
          <w:sz w:val="22"/>
          <w:szCs w:val="22"/>
        </w:rPr>
      </w:pPr>
    </w:p>
    <w:p w14:paraId="56D3ACB9" w14:textId="1A89E3B2" w:rsidR="004F12F5" w:rsidRPr="006B6691" w:rsidRDefault="00F426CA" w:rsidP="006B6691">
      <w:pPr>
        <w:pStyle w:val="Heading2"/>
        <w:spacing w:before="120"/>
        <w:rPr>
          <w:b/>
          <w:bCs/>
          <w:sz w:val="22"/>
          <w:szCs w:val="22"/>
        </w:rPr>
      </w:pPr>
      <w:bookmarkStart w:id="47" w:name="_Toc228883273"/>
      <w:r w:rsidRPr="006B6691">
        <w:rPr>
          <w:b/>
          <w:bCs/>
          <w:sz w:val="22"/>
          <w:szCs w:val="22"/>
        </w:rPr>
        <w:lastRenderedPageBreak/>
        <w:t>4.5 Cross-RQ Synthesis and Critical Evaluation</w:t>
      </w:r>
      <w:bookmarkEnd w:id="47"/>
    </w:p>
    <w:p w14:paraId="23ECC0D1" w14:textId="441EDA41" w:rsidR="0039676D" w:rsidRPr="0039676D" w:rsidRDefault="0039676D" w:rsidP="0039676D">
      <w:pPr>
        <w:spacing w:after="0" w:line="360" w:lineRule="auto"/>
        <w:ind w:firstLine="567"/>
        <w:jc w:val="both"/>
        <w:rPr>
          <w:rFonts w:ascii="Arial" w:hAnsi="Arial" w:cs="Arial"/>
          <w:sz w:val="22"/>
          <w:szCs w:val="22"/>
        </w:rPr>
      </w:pPr>
      <w:r w:rsidRPr="0039676D">
        <w:rPr>
          <w:rFonts w:ascii="Arial" w:hAnsi="Arial" w:cs="Arial"/>
          <w:sz w:val="22"/>
          <w:szCs w:val="22"/>
        </w:rPr>
        <w:t xml:space="preserve">Together, RQ1 and RQ2 demonstrate that coordinated adaptation, not individual responses, is what drives resilience. Buffering is directly related to disruption severity and route limitations; inventory coverage increased by 17.9% (28.83 to 33.98 days), transit times climbed to 42.6 days, and Suez traffic plummeted by more than 50%. However, results at the company level were inconsistent, with </w:t>
      </w:r>
      <w:r>
        <w:rPr>
          <w:rFonts w:ascii="Arial" w:hAnsi="Arial" w:cs="Arial"/>
          <w:sz w:val="22"/>
          <w:szCs w:val="22"/>
        </w:rPr>
        <w:t>shock-absorption values ranging from 0.2 to 2.8, suggesting the deployment of capabilities in a heterogeneous</w:t>
      </w:r>
      <w:r w:rsidRPr="0039676D">
        <w:rPr>
          <w:rFonts w:ascii="Arial" w:hAnsi="Arial" w:cs="Arial"/>
          <w:sz w:val="22"/>
          <w:szCs w:val="22"/>
        </w:rPr>
        <w:t xml:space="preserve"> manner.</w:t>
      </w:r>
    </w:p>
    <w:p w14:paraId="1E6D975E" w14:textId="71AD2827" w:rsidR="0039676D" w:rsidRDefault="0039676D" w:rsidP="0039676D">
      <w:pPr>
        <w:spacing w:after="0" w:line="360" w:lineRule="auto"/>
        <w:ind w:firstLine="567"/>
        <w:jc w:val="both"/>
        <w:rPr>
          <w:rFonts w:ascii="Arial" w:hAnsi="Arial" w:cs="Arial"/>
          <w:sz w:val="22"/>
          <w:szCs w:val="22"/>
        </w:rPr>
      </w:pPr>
      <w:r w:rsidRPr="0039676D">
        <w:rPr>
          <w:rFonts w:ascii="Arial" w:hAnsi="Arial" w:cs="Arial"/>
          <w:sz w:val="22"/>
          <w:szCs w:val="22"/>
        </w:rPr>
        <w:t xml:space="preserve">This variation is explained by RQ3. </w:t>
      </w:r>
      <w:r>
        <w:rPr>
          <w:rFonts w:ascii="Arial" w:hAnsi="Arial" w:cs="Arial"/>
          <w:sz w:val="22"/>
          <w:szCs w:val="22"/>
        </w:rPr>
        <w:t>Resilience</w:t>
      </w:r>
      <w:r w:rsidRPr="0039676D">
        <w:rPr>
          <w:rFonts w:ascii="Arial" w:hAnsi="Arial" w:cs="Arial"/>
          <w:sz w:val="22"/>
          <w:szCs w:val="22"/>
        </w:rPr>
        <w:t xml:space="preserve"> scores range from 0.40 (Lotus) to 0.65 (BMW), but size isn't everything: JLR has 19,888 units in stock but only manages 0.52 resilience, while BMW manages 0.65 with 314 units and a DIO of 7.77. This shows that buffering, cost management, and digital capabilities are dependent on each other. While integrated capacity bundles transform disruption into resilience, uncoordinated buffering encourages cost rigidity (</w:t>
      </w:r>
      <w:proofErr w:type="spellStart"/>
      <w:r w:rsidRPr="0039676D">
        <w:rPr>
          <w:rFonts w:ascii="Arial" w:hAnsi="Arial" w:cs="Arial"/>
          <w:sz w:val="22"/>
          <w:szCs w:val="22"/>
        </w:rPr>
        <w:t>Helfat</w:t>
      </w:r>
      <w:proofErr w:type="spellEnd"/>
      <w:r w:rsidRPr="0039676D">
        <w:rPr>
          <w:rFonts w:ascii="Arial" w:hAnsi="Arial" w:cs="Arial"/>
          <w:sz w:val="22"/>
          <w:szCs w:val="22"/>
        </w:rPr>
        <w:t xml:space="preserve"> and </w:t>
      </w:r>
      <w:proofErr w:type="spellStart"/>
      <w:r w:rsidRPr="0039676D">
        <w:rPr>
          <w:rFonts w:ascii="Arial" w:hAnsi="Arial" w:cs="Arial"/>
          <w:sz w:val="22"/>
          <w:szCs w:val="22"/>
        </w:rPr>
        <w:t>Peteraf</w:t>
      </w:r>
      <w:proofErr w:type="spellEnd"/>
      <w:r w:rsidRPr="0039676D">
        <w:rPr>
          <w:rFonts w:ascii="Arial" w:hAnsi="Arial" w:cs="Arial"/>
          <w:sz w:val="22"/>
          <w:szCs w:val="22"/>
        </w:rPr>
        <w:t>, 2015; Dubey et al., 2021).</w:t>
      </w:r>
    </w:p>
    <w:p w14:paraId="2C463290" w14:textId="77777777" w:rsidR="0039676D" w:rsidRPr="0039676D" w:rsidRDefault="0039676D" w:rsidP="0039676D">
      <w:pPr>
        <w:spacing w:after="0" w:line="360" w:lineRule="auto"/>
        <w:ind w:firstLine="567"/>
        <w:jc w:val="both"/>
        <w:rPr>
          <w:rFonts w:ascii="Arial" w:hAnsi="Arial" w:cs="Arial"/>
          <w:sz w:val="16"/>
          <w:szCs w:val="16"/>
        </w:rPr>
      </w:pPr>
    </w:p>
    <w:p w14:paraId="625CEB13" w14:textId="488C22B3" w:rsidR="00DB1A86" w:rsidRDefault="00DB1A86" w:rsidP="00DB1A86">
      <w:pPr>
        <w:spacing w:after="0" w:line="360" w:lineRule="auto"/>
        <w:jc w:val="center"/>
        <w:rPr>
          <w:rFonts w:ascii="Arial" w:hAnsi="Arial" w:cs="Arial"/>
          <w:sz w:val="20"/>
          <w:szCs w:val="20"/>
        </w:rPr>
      </w:pPr>
      <w:r w:rsidRPr="00DB1A86">
        <w:rPr>
          <w:rFonts w:ascii="Arial" w:hAnsi="Arial" w:cs="Arial"/>
          <w:sz w:val="20"/>
          <w:szCs w:val="20"/>
        </w:rPr>
        <w:t>Figure 4.</w:t>
      </w:r>
      <w:r w:rsidR="00682F39">
        <w:rPr>
          <w:rFonts w:ascii="Arial" w:hAnsi="Arial" w:cs="Arial"/>
          <w:sz w:val="20"/>
          <w:szCs w:val="20"/>
        </w:rPr>
        <w:t>18</w:t>
      </w:r>
      <w:r w:rsidR="00940C16">
        <w:rPr>
          <w:rFonts w:ascii="Arial" w:hAnsi="Arial" w:cs="Arial"/>
          <w:sz w:val="20"/>
          <w:szCs w:val="20"/>
        </w:rPr>
        <w:t>.</w:t>
      </w:r>
      <w:r w:rsidRPr="00DB1A86">
        <w:rPr>
          <w:rFonts w:ascii="Arial" w:hAnsi="Arial" w:cs="Arial"/>
          <w:sz w:val="20"/>
          <w:szCs w:val="20"/>
        </w:rPr>
        <w:t xml:space="preserve"> Integrated Resilience Mechanism Framework</w:t>
      </w:r>
    </w:p>
    <w:p w14:paraId="570F692C" w14:textId="314DBFB5" w:rsidR="00DB1A86" w:rsidRPr="00DB1A86" w:rsidRDefault="000D1408" w:rsidP="00DB1A86">
      <w:pPr>
        <w:spacing w:after="0" w:line="360" w:lineRule="auto"/>
        <w:jc w:val="center"/>
        <w:rPr>
          <w:rFonts w:ascii="Arial" w:hAnsi="Arial" w:cs="Arial"/>
          <w:sz w:val="20"/>
          <w:szCs w:val="20"/>
        </w:rPr>
      </w:pPr>
      <w:r w:rsidRPr="000D1408">
        <w:rPr>
          <w:rFonts w:ascii="Arial" w:hAnsi="Arial" w:cs="Arial"/>
          <w:noProof/>
          <w:sz w:val="20"/>
          <w:szCs w:val="20"/>
        </w:rPr>
        <w:drawing>
          <wp:inline distT="0" distB="0" distL="0" distR="0" wp14:anchorId="0EC04F1C" wp14:editId="7C598F03">
            <wp:extent cx="5884223" cy="2778760"/>
            <wp:effectExtent l="0" t="0" r="2540" b="2540"/>
            <wp:docPr id="2111185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85097" name=""/>
                    <pic:cNvPicPr/>
                  </pic:nvPicPr>
                  <pic:blipFill>
                    <a:blip r:embed="rId47"/>
                    <a:stretch>
                      <a:fillRect/>
                    </a:stretch>
                  </pic:blipFill>
                  <pic:spPr>
                    <a:xfrm>
                      <a:off x="0" y="0"/>
                      <a:ext cx="5899351" cy="2785904"/>
                    </a:xfrm>
                    <a:prstGeom prst="rect">
                      <a:avLst/>
                    </a:prstGeom>
                  </pic:spPr>
                </pic:pic>
              </a:graphicData>
            </a:graphic>
          </wp:inline>
        </w:drawing>
      </w:r>
    </w:p>
    <w:p w14:paraId="345106CB" w14:textId="11C24026" w:rsidR="004F12F5" w:rsidRDefault="000D1408" w:rsidP="000D1408">
      <w:pPr>
        <w:spacing w:after="0" w:line="360" w:lineRule="auto"/>
        <w:jc w:val="center"/>
        <w:rPr>
          <w:rFonts w:ascii="Arial" w:hAnsi="Arial" w:cs="Arial"/>
          <w:i/>
          <w:iCs/>
          <w:sz w:val="20"/>
          <w:szCs w:val="20"/>
        </w:rPr>
      </w:pPr>
      <w:r w:rsidRPr="000D1408">
        <w:rPr>
          <w:rFonts w:ascii="Arial" w:hAnsi="Arial" w:cs="Arial"/>
          <w:i/>
          <w:iCs/>
          <w:sz w:val="20"/>
          <w:szCs w:val="20"/>
        </w:rPr>
        <w:t>(Source: Author’s conceptual synthesis from integrated findings)</w:t>
      </w:r>
    </w:p>
    <w:p w14:paraId="0F54D975" w14:textId="77777777" w:rsidR="00C54A6D" w:rsidRDefault="00C54A6D" w:rsidP="000D1408">
      <w:pPr>
        <w:spacing w:after="0" w:line="360" w:lineRule="auto"/>
        <w:jc w:val="center"/>
        <w:rPr>
          <w:rFonts w:ascii="Arial" w:hAnsi="Arial" w:cs="Arial"/>
          <w:i/>
          <w:iCs/>
          <w:sz w:val="20"/>
          <w:szCs w:val="20"/>
        </w:rPr>
      </w:pPr>
    </w:p>
    <w:p w14:paraId="7DADC37A" w14:textId="77777777" w:rsidR="0097290F" w:rsidRPr="0097290F" w:rsidRDefault="0097290F" w:rsidP="0097290F">
      <w:pPr>
        <w:spacing w:after="0" w:line="360" w:lineRule="auto"/>
        <w:ind w:firstLine="567"/>
        <w:jc w:val="both"/>
        <w:rPr>
          <w:rFonts w:ascii="Arial" w:hAnsi="Arial" w:cs="Arial"/>
          <w:sz w:val="22"/>
          <w:szCs w:val="22"/>
        </w:rPr>
      </w:pPr>
      <w:r w:rsidRPr="0097290F">
        <w:rPr>
          <w:rFonts w:ascii="Arial" w:hAnsi="Arial" w:cs="Arial"/>
          <w:sz w:val="22"/>
          <w:szCs w:val="22"/>
        </w:rPr>
        <w:t>Resilience results are conditional, as the comparative research shows. Lotus is still weakly aligned in terms of capabilities, as it is significantly exposed while having a resilience score of 0.40 and a very low DCI of 0.12. On the other hand, BMW's balanced profile—little inventory (314 units), efficient turnover (DIO 7.77), and excellent digital capacity (0.44)—allows them to attain the maximum resilience (0.65). In contrast, JLR shows how the cost rigidity of extensive buffering manifests itself in very high inventory levels (19,888 units) and lengthy DIO (77.96) translating into only modest resilience (0.52).</w:t>
      </w:r>
    </w:p>
    <w:p w14:paraId="0E311D6E" w14:textId="77777777" w:rsidR="0097290F" w:rsidRPr="0097290F" w:rsidRDefault="0097290F" w:rsidP="0097290F">
      <w:pPr>
        <w:spacing w:after="0" w:line="360" w:lineRule="auto"/>
        <w:ind w:firstLine="567"/>
        <w:jc w:val="both"/>
        <w:rPr>
          <w:rFonts w:ascii="Arial" w:hAnsi="Arial" w:cs="Arial"/>
          <w:sz w:val="22"/>
          <w:szCs w:val="22"/>
        </w:rPr>
      </w:pPr>
    </w:p>
    <w:p w14:paraId="51F58604" w14:textId="799F52CF" w:rsidR="0097290F" w:rsidRPr="0097290F" w:rsidRDefault="0097290F" w:rsidP="0097290F">
      <w:pPr>
        <w:spacing w:after="0" w:line="360" w:lineRule="auto"/>
        <w:ind w:firstLine="567"/>
        <w:jc w:val="both"/>
        <w:rPr>
          <w:rFonts w:ascii="Arial" w:hAnsi="Arial" w:cs="Arial"/>
          <w:sz w:val="22"/>
          <w:szCs w:val="22"/>
        </w:rPr>
      </w:pPr>
      <w:r w:rsidRPr="0097290F">
        <w:rPr>
          <w:rFonts w:ascii="Arial" w:hAnsi="Arial" w:cs="Arial"/>
          <w:sz w:val="22"/>
          <w:szCs w:val="22"/>
        </w:rPr>
        <w:lastRenderedPageBreak/>
        <w:t xml:space="preserve">Optimal resilience is achieved </w:t>
      </w:r>
      <w:r>
        <w:rPr>
          <w:rFonts w:ascii="Arial" w:hAnsi="Arial" w:cs="Arial"/>
          <w:sz w:val="22"/>
          <w:szCs w:val="22"/>
        </w:rPr>
        <w:t>through the combination optimisation of inventory, cost efficiency, and digital capabilities, rather than through the optimisation of any one factor</w:t>
      </w:r>
      <w:r w:rsidRPr="0097290F">
        <w:rPr>
          <w:rFonts w:ascii="Arial" w:hAnsi="Arial" w:cs="Arial"/>
          <w:sz w:val="22"/>
          <w:szCs w:val="22"/>
        </w:rPr>
        <w:t xml:space="preserve"> alone. Without proper coordination, high buffering adds unnecessary costs without improving performance in proportion, while capability-led designs turn weaker inventory into stronger results.</w:t>
      </w:r>
    </w:p>
    <w:p w14:paraId="248D1608" w14:textId="6FC1BF44" w:rsidR="004F12F5" w:rsidRDefault="0097290F" w:rsidP="0097290F">
      <w:pPr>
        <w:spacing w:after="0" w:line="360" w:lineRule="auto"/>
        <w:ind w:firstLine="567"/>
        <w:jc w:val="both"/>
        <w:rPr>
          <w:rFonts w:ascii="Arial" w:hAnsi="Arial" w:cs="Arial"/>
          <w:sz w:val="22"/>
          <w:szCs w:val="22"/>
        </w:rPr>
      </w:pPr>
      <w:r w:rsidRPr="0097290F">
        <w:rPr>
          <w:rFonts w:ascii="Arial" w:hAnsi="Arial" w:cs="Arial"/>
          <w:sz w:val="22"/>
          <w:szCs w:val="22"/>
        </w:rPr>
        <w:t xml:space="preserve">Hybrid JIT-JIC is therefore not a change to stockpiling but rather a selected reconfiguration. Ivanov and </w:t>
      </w:r>
      <w:proofErr w:type="spellStart"/>
      <w:r w:rsidRPr="0097290F">
        <w:rPr>
          <w:rFonts w:ascii="Arial" w:hAnsi="Arial" w:cs="Arial"/>
          <w:sz w:val="22"/>
          <w:szCs w:val="22"/>
        </w:rPr>
        <w:t>Dolgui</w:t>
      </w:r>
      <w:proofErr w:type="spellEnd"/>
      <w:r w:rsidRPr="0097290F">
        <w:rPr>
          <w:rFonts w:ascii="Arial" w:hAnsi="Arial" w:cs="Arial"/>
          <w:sz w:val="22"/>
          <w:szCs w:val="22"/>
        </w:rPr>
        <w:t xml:space="preserve"> (2021) state that resilience occurs when buffering, routing, and digital orchestration work together to mitigate </w:t>
      </w:r>
      <w:r>
        <w:rPr>
          <w:rFonts w:ascii="Arial" w:hAnsi="Arial" w:cs="Arial"/>
          <w:sz w:val="22"/>
          <w:szCs w:val="22"/>
        </w:rPr>
        <w:t>disturbances rather than eliminate them</w:t>
      </w:r>
      <w:r w:rsidRPr="0097290F">
        <w:rPr>
          <w:rFonts w:ascii="Arial" w:hAnsi="Arial" w:cs="Arial"/>
          <w:sz w:val="22"/>
          <w:szCs w:val="22"/>
        </w:rPr>
        <w:t>.</w:t>
      </w:r>
    </w:p>
    <w:p w14:paraId="457B7355" w14:textId="77777777" w:rsidR="004F12F5" w:rsidRDefault="004F12F5" w:rsidP="0097290F">
      <w:pPr>
        <w:spacing w:after="0" w:line="360" w:lineRule="auto"/>
        <w:ind w:firstLine="567"/>
        <w:jc w:val="both"/>
        <w:rPr>
          <w:rFonts w:ascii="Arial" w:hAnsi="Arial" w:cs="Arial"/>
          <w:sz w:val="22"/>
          <w:szCs w:val="22"/>
        </w:rPr>
      </w:pPr>
    </w:p>
    <w:p w14:paraId="40B6F48E" w14:textId="77777777" w:rsidR="004F12F5" w:rsidRDefault="004F12F5" w:rsidP="00A92367">
      <w:pPr>
        <w:spacing w:after="0" w:line="360" w:lineRule="auto"/>
        <w:jc w:val="both"/>
        <w:rPr>
          <w:rFonts w:ascii="Arial" w:hAnsi="Arial" w:cs="Arial"/>
          <w:sz w:val="22"/>
          <w:szCs w:val="22"/>
        </w:rPr>
      </w:pPr>
    </w:p>
    <w:p w14:paraId="76AB4753" w14:textId="77777777" w:rsidR="004F12F5" w:rsidRDefault="004F12F5" w:rsidP="00A92367">
      <w:pPr>
        <w:spacing w:after="0" w:line="360" w:lineRule="auto"/>
        <w:jc w:val="both"/>
        <w:rPr>
          <w:rFonts w:ascii="Arial" w:hAnsi="Arial" w:cs="Arial"/>
          <w:sz w:val="22"/>
          <w:szCs w:val="22"/>
        </w:rPr>
      </w:pPr>
    </w:p>
    <w:p w14:paraId="5262494A" w14:textId="77777777" w:rsidR="004F12F5" w:rsidRDefault="004F12F5" w:rsidP="00A92367">
      <w:pPr>
        <w:spacing w:after="0" w:line="360" w:lineRule="auto"/>
        <w:jc w:val="both"/>
        <w:rPr>
          <w:rFonts w:ascii="Arial" w:hAnsi="Arial" w:cs="Arial"/>
          <w:sz w:val="22"/>
          <w:szCs w:val="22"/>
        </w:rPr>
      </w:pPr>
    </w:p>
    <w:p w14:paraId="3A0903A9" w14:textId="77777777" w:rsidR="004F12F5" w:rsidRDefault="004F12F5" w:rsidP="00A92367">
      <w:pPr>
        <w:spacing w:after="0" w:line="360" w:lineRule="auto"/>
        <w:jc w:val="both"/>
        <w:rPr>
          <w:rFonts w:ascii="Arial" w:hAnsi="Arial" w:cs="Arial"/>
          <w:sz w:val="22"/>
          <w:szCs w:val="22"/>
        </w:rPr>
      </w:pPr>
    </w:p>
    <w:p w14:paraId="15827F47" w14:textId="77777777" w:rsidR="004F12F5" w:rsidRDefault="004F12F5" w:rsidP="00A92367">
      <w:pPr>
        <w:spacing w:after="0" w:line="360" w:lineRule="auto"/>
        <w:jc w:val="both"/>
        <w:rPr>
          <w:rFonts w:ascii="Arial" w:hAnsi="Arial" w:cs="Arial"/>
          <w:sz w:val="22"/>
          <w:szCs w:val="22"/>
        </w:rPr>
      </w:pPr>
    </w:p>
    <w:p w14:paraId="6630152D" w14:textId="77777777" w:rsidR="004F12F5" w:rsidRDefault="004F12F5" w:rsidP="00A92367">
      <w:pPr>
        <w:spacing w:after="0" w:line="360" w:lineRule="auto"/>
        <w:jc w:val="both"/>
        <w:rPr>
          <w:rFonts w:ascii="Arial" w:hAnsi="Arial" w:cs="Arial"/>
          <w:sz w:val="22"/>
          <w:szCs w:val="22"/>
        </w:rPr>
      </w:pPr>
    </w:p>
    <w:p w14:paraId="4222FFAB" w14:textId="77777777" w:rsidR="004F12F5" w:rsidRDefault="004F12F5" w:rsidP="00A92367">
      <w:pPr>
        <w:spacing w:after="0" w:line="360" w:lineRule="auto"/>
        <w:jc w:val="both"/>
        <w:rPr>
          <w:rFonts w:ascii="Arial" w:hAnsi="Arial" w:cs="Arial"/>
          <w:sz w:val="22"/>
          <w:szCs w:val="22"/>
        </w:rPr>
      </w:pPr>
    </w:p>
    <w:p w14:paraId="31100FDD" w14:textId="77777777" w:rsidR="004F12F5" w:rsidRDefault="004F12F5" w:rsidP="00A92367">
      <w:pPr>
        <w:spacing w:after="0" w:line="360" w:lineRule="auto"/>
        <w:jc w:val="both"/>
        <w:rPr>
          <w:rFonts w:ascii="Arial" w:hAnsi="Arial" w:cs="Arial"/>
          <w:sz w:val="22"/>
          <w:szCs w:val="22"/>
        </w:rPr>
      </w:pPr>
    </w:p>
    <w:p w14:paraId="5B248BC2" w14:textId="77777777" w:rsidR="004F12F5" w:rsidRDefault="004F12F5" w:rsidP="00A92367">
      <w:pPr>
        <w:spacing w:after="0" w:line="360" w:lineRule="auto"/>
        <w:jc w:val="both"/>
        <w:rPr>
          <w:rFonts w:ascii="Arial" w:hAnsi="Arial" w:cs="Arial"/>
          <w:sz w:val="22"/>
          <w:szCs w:val="22"/>
        </w:rPr>
      </w:pPr>
    </w:p>
    <w:p w14:paraId="740A58CF" w14:textId="77777777" w:rsidR="004F12F5" w:rsidRDefault="004F12F5" w:rsidP="00A92367">
      <w:pPr>
        <w:spacing w:after="0" w:line="360" w:lineRule="auto"/>
        <w:jc w:val="both"/>
        <w:rPr>
          <w:rFonts w:ascii="Arial" w:hAnsi="Arial" w:cs="Arial"/>
          <w:sz w:val="22"/>
          <w:szCs w:val="22"/>
        </w:rPr>
      </w:pPr>
    </w:p>
    <w:p w14:paraId="6609B6F7" w14:textId="77777777" w:rsidR="004F12F5" w:rsidRDefault="004F12F5" w:rsidP="00A92367">
      <w:pPr>
        <w:spacing w:after="0" w:line="360" w:lineRule="auto"/>
        <w:jc w:val="both"/>
        <w:rPr>
          <w:rFonts w:ascii="Arial" w:hAnsi="Arial" w:cs="Arial"/>
          <w:sz w:val="22"/>
          <w:szCs w:val="22"/>
        </w:rPr>
      </w:pPr>
    </w:p>
    <w:p w14:paraId="778FF040" w14:textId="77777777" w:rsidR="004F12F5" w:rsidRDefault="004F12F5" w:rsidP="00A92367">
      <w:pPr>
        <w:spacing w:after="0" w:line="360" w:lineRule="auto"/>
        <w:jc w:val="both"/>
        <w:rPr>
          <w:rFonts w:ascii="Arial" w:hAnsi="Arial" w:cs="Arial"/>
          <w:sz w:val="22"/>
          <w:szCs w:val="22"/>
        </w:rPr>
      </w:pPr>
    </w:p>
    <w:p w14:paraId="7DFC80D2" w14:textId="77777777" w:rsidR="004F12F5" w:rsidRDefault="004F12F5" w:rsidP="00A92367">
      <w:pPr>
        <w:spacing w:after="0" w:line="360" w:lineRule="auto"/>
        <w:jc w:val="both"/>
        <w:rPr>
          <w:rFonts w:ascii="Arial" w:hAnsi="Arial" w:cs="Arial"/>
          <w:sz w:val="22"/>
          <w:szCs w:val="22"/>
        </w:rPr>
      </w:pPr>
    </w:p>
    <w:p w14:paraId="7AF0B013" w14:textId="77777777" w:rsidR="002667DD" w:rsidRDefault="002667DD" w:rsidP="00A92367">
      <w:pPr>
        <w:spacing w:after="0" w:line="360" w:lineRule="auto"/>
        <w:jc w:val="both"/>
        <w:rPr>
          <w:rFonts w:ascii="Arial" w:hAnsi="Arial" w:cs="Arial"/>
          <w:sz w:val="22"/>
          <w:szCs w:val="22"/>
        </w:rPr>
      </w:pPr>
    </w:p>
    <w:p w14:paraId="516074A9" w14:textId="77777777" w:rsidR="002667DD" w:rsidRDefault="002667DD" w:rsidP="00A92367">
      <w:pPr>
        <w:spacing w:after="0" w:line="360" w:lineRule="auto"/>
        <w:jc w:val="both"/>
        <w:rPr>
          <w:rFonts w:ascii="Arial" w:hAnsi="Arial" w:cs="Arial"/>
          <w:sz w:val="22"/>
          <w:szCs w:val="22"/>
        </w:rPr>
      </w:pPr>
    </w:p>
    <w:p w14:paraId="4A37AE80" w14:textId="77777777" w:rsidR="002667DD" w:rsidRDefault="002667DD" w:rsidP="00A92367">
      <w:pPr>
        <w:spacing w:after="0" w:line="360" w:lineRule="auto"/>
        <w:jc w:val="both"/>
        <w:rPr>
          <w:rFonts w:ascii="Arial" w:hAnsi="Arial" w:cs="Arial"/>
          <w:sz w:val="22"/>
          <w:szCs w:val="22"/>
        </w:rPr>
      </w:pPr>
    </w:p>
    <w:p w14:paraId="6C594769" w14:textId="77777777" w:rsidR="002667DD" w:rsidRDefault="002667DD" w:rsidP="00A92367">
      <w:pPr>
        <w:spacing w:after="0" w:line="360" w:lineRule="auto"/>
        <w:jc w:val="both"/>
        <w:rPr>
          <w:rFonts w:ascii="Arial" w:hAnsi="Arial" w:cs="Arial"/>
          <w:sz w:val="22"/>
          <w:szCs w:val="22"/>
        </w:rPr>
      </w:pPr>
    </w:p>
    <w:p w14:paraId="2A1C13EE" w14:textId="77777777" w:rsidR="002667DD" w:rsidRDefault="002667DD" w:rsidP="00A92367">
      <w:pPr>
        <w:spacing w:after="0" w:line="360" w:lineRule="auto"/>
        <w:jc w:val="both"/>
        <w:rPr>
          <w:rFonts w:ascii="Arial" w:hAnsi="Arial" w:cs="Arial"/>
          <w:sz w:val="22"/>
          <w:szCs w:val="22"/>
        </w:rPr>
      </w:pPr>
    </w:p>
    <w:p w14:paraId="23403EBA" w14:textId="77777777" w:rsidR="002667DD" w:rsidRDefault="002667DD" w:rsidP="00A92367">
      <w:pPr>
        <w:spacing w:after="0" w:line="360" w:lineRule="auto"/>
        <w:jc w:val="both"/>
        <w:rPr>
          <w:rFonts w:ascii="Arial" w:hAnsi="Arial" w:cs="Arial"/>
          <w:sz w:val="22"/>
          <w:szCs w:val="22"/>
        </w:rPr>
      </w:pPr>
    </w:p>
    <w:p w14:paraId="61581388" w14:textId="77777777" w:rsidR="002667DD" w:rsidRDefault="002667DD" w:rsidP="00A92367">
      <w:pPr>
        <w:spacing w:after="0" w:line="360" w:lineRule="auto"/>
        <w:jc w:val="both"/>
        <w:rPr>
          <w:rFonts w:ascii="Arial" w:hAnsi="Arial" w:cs="Arial"/>
          <w:sz w:val="22"/>
          <w:szCs w:val="22"/>
        </w:rPr>
      </w:pPr>
    </w:p>
    <w:p w14:paraId="0782CC44" w14:textId="77777777" w:rsidR="002667DD" w:rsidRDefault="002667DD" w:rsidP="00A92367">
      <w:pPr>
        <w:spacing w:after="0" w:line="360" w:lineRule="auto"/>
        <w:jc w:val="both"/>
        <w:rPr>
          <w:rFonts w:ascii="Arial" w:hAnsi="Arial" w:cs="Arial"/>
          <w:sz w:val="22"/>
          <w:szCs w:val="22"/>
        </w:rPr>
      </w:pPr>
    </w:p>
    <w:p w14:paraId="238B0078" w14:textId="77777777" w:rsidR="0097290F" w:rsidRDefault="0097290F" w:rsidP="00A92367">
      <w:pPr>
        <w:spacing w:after="0" w:line="360" w:lineRule="auto"/>
        <w:jc w:val="both"/>
        <w:rPr>
          <w:rFonts w:ascii="Arial" w:hAnsi="Arial" w:cs="Arial"/>
          <w:sz w:val="22"/>
          <w:szCs w:val="22"/>
        </w:rPr>
      </w:pPr>
    </w:p>
    <w:p w14:paraId="0B9408BB" w14:textId="77777777" w:rsidR="0097290F" w:rsidRDefault="0097290F" w:rsidP="00A92367">
      <w:pPr>
        <w:spacing w:after="0" w:line="360" w:lineRule="auto"/>
        <w:jc w:val="both"/>
        <w:rPr>
          <w:rFonts w:ascii="Arial" w:hAnsi="Arial" w:cs="Arial"/>
          <w:sz w:val="22"/>
          <w:szCs w:val="22"/>
        </w:rPr>
      </w:pPr>
    </w:p>
    <w:p w14:paraId="5D40CDA9" w14:textId="77777777" w:rsidR="0097290F" w:rsidRDefault="0097290F" w:rsidP="00A92367">
      <w:pPr>
        <w:spacing w:after="0" w:line="360" w:lineRule="auto"/>
        <w:jc w:val="both"/>
        <w:rPr>
          <w:rFonts w:ascii="Arial" w:hAnsi="Arial" w:cs="Arial"/>
          <w:sz w:val="22"/>
          <w:szCs w:val="22"/>
        </w:rPr>
      </w:pPr>
    </w:p>
    <w:p w14:paraId="26E18631" w14:textId="77777777" w:rsidR="0097290F" w:rsidRDefault="0097290F" w:rsidP="00A92367">
      <w:pPr>
        <w:spacing w:after="0" w:line="360" w:lineRule="auto"/>
        <w:jc w:val="both"/>
        <w:rPr>
          <w:rFonts w:ascii="Arial" w:hAnsi="Arial" w:cs="Arial"/>
          <w:sz w:val="22"/>
          <w:szCs w:val="22"/>
        </w:rPr>
      </w:pPr>
    </w:p>
    <w:p w14:paraId="5676A334" w14:textId="77777777" w:rsidR="006B6691" w:rsidRDefault="006B6691" w:rsidP="00A92367">
      <w:pPr>
        <w:spacing w:after="0" w:line="360" w:lineRule="auto"/>
        <w:jc w:val="both"/>
        <w:rPr>
          <w:rFonts w:ascii="Arial" w:hAnsi="Arial" w:cs="Arial"/>
          <w:sz w:val="22"/>
          <w:szCs w:val="22"/>
        </w:rPr>
      </w:pPr>
    </w:p>
    <w:p w14:paraId="05259862" w14:textId="77777777" w:rsidR="002667DD" w:rsidRDefault="002667DD" w:rsidP="00A92367">
      <w:pPr>
        <w:spacing w:after="0" w:line="360" w:lineRule="auto"/>
        <w:jc w:val="both"/>
        <w:rPr>
          <w:rFonts w:ascii="Arial" w:hAnsi="Arial" w:cs="Arial"/>
          <w:sz w:val="22"/>
          <w:szCs w:val="22"/>
        </w:rPr>
      </w:pPr>
    </w:p>
    <w:p w14:paraId="38D2DB8B" w14:textId="77777777" w:rsidR="002667DD" w:rsidRDefault="002667DD" w:rsidP="00A92367">
      <w:pPr>
        <w:spacing w:after="0" w:line="360" w:lineRule="auto"/>
        <w:jc w:val="both"/>
        <w:rPr>
          <w:rFonts w:ascii="Arial" w:hAnsi="Arial" w:cs="Arial"/>
          <w:sz w:val="22"/>
          <w:szCs w:val="22"/>
        </w:rPr>
      </w:pPr>
    </w:p>
    <w:p w14:paraId="209589E3" w14:textId="29FFED55" w:rsidR="002667DD" w:rsidRDefault="002667DD" w:rsidP="006B6691">
      <w:pPr>
        <w:pStyle w:val="Heading1"/>
        <w:rPr>
          <w:b/>
          <w:bCs/>
          <w:sz w:val="22"/>
          <w:szCs w:val="22"/>
        </w:rPr>
      </w:pPr>
      <w:bookmarkStart w:id="48" w:name="_Toc228883274"/>
      <w:r w:rsidRPr="006B6691">
        <w:rPr>
          <w:b/>
          <w:bCs/>
          <w:sz w:val="22"/>
          <w:szCs w:val="22"/>
        </w:rPr>
        <w:lastRenderedPageBreak/>
        <w:t>Chapter 5: Conclusions and Recommendations</w:t>
      </w:r>
      <w:bookmarkEnd w:id="48"/>
      <w:r w:rsidR="00C148D9">
        <w:rPr>
          <w:b/>
          <w:bCs/>
          <w:sz w:val="22"/>
          <w:szCs w:val="22"/>
        </w:rPr>
        <w:t xml:space="preserve"> </w:t>
      </w:r>
      <w:r w:rsidR="00C148D9" w:rsidRPr="00C148D9">
        <w:rPr>
          <w:b/>
          <w:bCs/>
          <w:sz w:val="22"/>
          <w:szCs w:val="22"/>
        </w:rPr>
        <w:t>(1653</w:t>
      </w:r>
      <w:r w:rsidR="00C148D9">
        <w:rPr>
          <w:b/>
          <w:bCs/>
          <w:sz w:val="22"/>
          <w:szCs w:val="22"/>
        </w:rPr>
        <w:t xml:space="preserve"> words</w:t>
      </w:r>
      <w:r w:rsidR="00C148D9" w:rsidRPr="00C148D9">
        <w:rPr>
          <w:b/>
          <w:bCs/>
          <w:sz w:val="22"/>
          <w:szCs w:val="22"/>
        </w:rPr>
        <w:t>)</w:t>
      </w:r>
    </w:p>
    <w:p w14:paraId="2C62EB51" w14:textId="5F5BC816" w:rsidR="00E2446B" w:rsidRPr="00934303" w:rsidRDefault="00934303" w:rsidP="00934303">
      <w:pPr>
        <w:spacing w:after="0"/>
        <w:ind w:firstLine="567"/>
        <w:jc w:val="both"/>
        <w:rPr>
          <w:rFonts w:ascii="Arial" w:hAnsi="Arial" w:cs="Arial"/>
          <w:sz w:val="22"/>
          <w:szCs w:val="22"/>
        </w:rPr>
      </w:pPr>
      <w:r w:rsidRPr="00934303">
        <w:rPr>
          <w:rFonts w:ascii="Arial" w:hAnsi="Arial" w:cs="Arial"/>
          <w:sz w:val="22"/>
          <w:szCs w:val="22"/>
        </w:rPr>
        <w:t xml:space="preserve">This section directly </w:t>
      </w:r>
      <w:r>
        <w:rPr>
          <w:rFonts w:ascii="Arial" w:hAnsi="Arial" w:cs="Arial"/>
          <w:sz w:val="22"/>
          <w:szCs w:val="22"/>
        </w:rPr>
        <w:t>addresses each research question, summarises the principal results, offers practical suggestions, recognises study limitations, and specifies avenues</w:t>
      </w:r>
      <w:r w:rsidRPr="00934303">
        <w:rPr>
          <w:rFonts w:ascii="Arial" w:hAnsi="Arial" w:cs="Arial"/>
          <w:sz w:val="22"/>
          <w:szCs w:val="22"/>
        </w:rPr>
        <w:t xml:space="preserve"> for further research.</w:t>
      </w:r>
    </w:p>
    <w:p w14:paraId="5A68315D" w14:textId="55928986" w:rsidR="00AA38D6" w:rsidRPr="00E2446B" w:rsidRDefault="00AA38D6" w:rsidP="00E2446B">
      <w:pPr>
        <w:pStyle w:val="Heading2"/>
        <w:spacing w:before="120"/>
        <w:rPr>
          <w:b/>
          <w:bCs/>
          <w:sz w:val="22"/>
          <w:szCs w:val="22"/>
        </w:rPr>
      </w:pPr>
      <w:bookmarkStart w:id="49" w:name="_Toc228883275"/>
      <w:r w:rsidRPr="00E2446B">
        <w:rPr>
          <w:b/>
          <w:bCs/>
          <w:sz w:val="22"/>
          <w:szCs w:val="22"/>
        </w:rPr>
        <w:t>5.1. Respond to each research question explicitly</w:t>
      </w:r>
      <w:bookmarkEnd w:id="49"/>
    </w:p>
    <w:p w14:paraId="0D6EAAC4" w14:textId="094744A2" w:rsidR="007E6C68" w:rsidRPr="007E6C68" w:rsidRDefault="007E6C68" w:rsidP="007E6C68">
      <w:pPr>
        <w:spacing w:after="0" w:line="360" w:lineRule="auto"/>
        <w:ind w:firstLine="567"/>
        <w:jc w:val="both"/>
        <w:rPr>
          <w:rFonts w:ascii="Arial" w:hAnsi="Arial" w:cs="Arial"/>
          <w:sz w:val="22"/>
          <w:szCs w:val="22"/>
        </w:rPr>
      </w:pPr>
      <w:r w:rsidRPr="007E6C68">
        <w:rPr>
          <w:rFonts w:ascii="Arial" w:hAnsi="Arial" w:cs="Arial"/>
          <w:b/>
          <w:bCs/>
          <w:sz w:val="22"/>
          <w:szCs w:val="22"/>
        </w:rPr>
        <w:t>RQ1</w:t>
      </w:r>
      <w:r w:rsidRPr="007E6C68">
        <w:rPr>
          <w:rFonts w:ascii="Arial" w:hAnsi="Arial" w:cs="Arial"/>
          <w:sz w:val="22"/>
          <w:szCs w:val="22"/>
        </w:rPr>
        <w:t xml:space="preserve"> </w:t>
      </w:r>
      <w:r>
        <w:rPr>
          <w:rFonts w:ascii="Arial" w:hAnsi="Arial" w:cs="Arial"/>
          <w:sz w:val="22"/>
          <w:szCs w:val="22"/>
        </w:rPr>
        <w:t>examined the years 2019–2024 in relation</w:t>
      </w:r>
      <w:r w:rsidRPr="007E6C68">
        <w:rPr>
          <w:rFonts w:ascii="Arial" w:hAnsi="Arial" w:cs="Arial"/>
          <w:sz w:val="22"/>
          <w:szCs w:val="22"/>
        </w:rPr>
        <w:t xml:space="preserve"> to the transition from JIT to JIC. Because of the intensity of the disruption, the shift was limited to a hybridisation that was neither uniform nor complete. Companies like Toyota saw almost no change in inventory (13.71 to 11.97 days)</w:t>
      </w:r>
      <w:r>
        <w:rPr>
          <w:rFonts w:ascii="Arial" w:hAnsi="Arial" w:cs="Arial"/>
          <w:sz w:val="22"/>
          <w:szCs w:val="22"/>
        </w:rPr>
        <w:t>, while JLR increased</w:t>
      </w:r>
      <w:r w:rsidRPr="007E6C68">
        <w:rPr>
          <w:rFonts w:ascii="Arial" w:hAnsi="Arial" w:cs="Arial"/>
          <w:sz w:val="22"/>
          <w:szCs w:val="22"/>
        </w:rPr>
        <w:t xml:space="preserve"> from 268.81 to 306.73 days. This shows that buffering was not implemented everywhere, but rather on a case-by-case basis, often in response to exposure rather than an intentional optimisation strategy. Companies' inability to increase inventories was more of a result of practical constraints than a deliberate rejection of JIC.</w:t>
      </w:r>
    </w:p>
    <w:p w14:paraId="6999D6C6" w14:textId="742A8BFE" w:rsidR="007E6C68" w:rsidRPr="007E6C68" w:rsidRDefault="007E6C68" w:rsidP="007E6C68">
      <w:pPr>
        <w:spacing w:after="0" w:line="360" w:lineRule="auto"/>
        <w:ind w:firstLine="567"/>
        <w:jc w:val="both"/>
        <w:rPr>
          <w:rFonts w:ascii="Arial" w:hAnsi="Arial" w:cs="Arial"/>
          <w:sz w:val="22"/>
          <w:szCs w:val="22"/>
        </w:rPr>
      </w:pPr>
      <w:r w:rsidRPr="007E6C68">
        <w:rPr>
          <w:rFonts w:ascii="Arial" w:hAnsi="Arial" w:cs="Arial"/>
          <w:sz w:val="22"/>
          <w:szCs w:val="22"/>
        </w:rPr>
        <w:t xml:space="preserve">The effects of this change on operations and finances were examined in </w:t>
      </w:r>
      <w:r w:rsidRPr="007E6C68">
        <w:rPr>
          <w:rFonts w:ascii="Arial" w:hAnsi="Arial" w:cs="Arial"/>
          <w:b/>
          <w:bCs/>
          <w:sz w:val="22"/>
          <w:szCs w:val="22"/>
        </w:rPr>
        <w:t>RQ2.</w:t>
      </w:r>
      <w:r w:rsidRPr="007E6C68">
        <w:rPr>
          <w:rFonts w:ascii="Arial" w:hAnsi="Arial" w:cs="Arial"/>
          <w:sz w:val="22"/>
          <w:szCs w:val="22"/>
        </w:rPr>
        <w:t xml:space="preserve"> In the worst-case scenario, import costs increased to £13.7 million due to disruption, while transit durations increased from 32.43 to 41.50 days due to rerouting. While other companies absorbed less </w:t>
      </w:r>
      <w:r>
        <w:rPr>
          <w:rFonts w:ascii="Arial" w:hAnsi="Arial" w:cs="Arial"/>
          <w:sz w:val="22"/>
          <w:szCs w:val="22"/>
        </w:rPr>
        <w:t>risk or passed expenses on to others, Nissan saw an increase in inventory</w:t>
      </w:r>
      <w:r w:rsidRPr="007E6C68">
        <w:rPr>
          <w:rFonts w:ascii="Arial" w:hAnsi="Arial" w:cs="Arial"/>
          <w:sz w:val="22"/>
          <w:szCs w:val="22"/>
        </w:rPr>
        <w:t xml:space="preserve"> from 28.74 to 51.89 days and expenditures from £2.0 million to £4.7 million. It seems that the effect was moderated by the internal response design rather than just the severity of the disturbance.</w:t>
      </w:r>
    </w:p>
    <w:p w14:paraId="4DD16543" w14:textId="10AD6E83" w:rsidR="007E6C68" w:rsidRPr="007E6C68" w:rsidRDefault="007E6C68" w:rsidP="007E6C68">
      <w:pPr>
        <w:spacing w:after="0" w:line="360" w:lineRule="auto"/>
        <w:ind w:firstLine="567"/>
        <w:jc w:val="both"/>
        <w:rPr>
          <w:rFonts w:ascii="Arial" w:hAnsi="Arial" w:cs="Arial"/>
          <w:sz w:val="22"/>
          <w:szCs w:val="22"/>
        </w:rPr>
      </w:pPr>
      <w:r>
        <w:rPr>
          <w:rFonts w:ascii="Arial" w:hAnsi="Arial" w:cs="Arial"/>
          <w:b/>
          <w:bCs/>
          <w:sz w:val="22"/>
          <w:szCs w:val="22"/>
        </w:rPr>
        <w:t>RQ</w:t>
      </w:r>
      <w:r w:rsidRPr="007E6C68">
        <w:rPr>
          <w:rFonts w:ascii="Arial" w:hAnsi="Arial" w:cs="Arial"/>
          <w:b/>
          <w:bCs/>
          <w:sz w:val="22"/>
          <w:szCs w:val="22"/>
        </w:rPr>
        <w:t>3</w:t>
      </w:r>
      <w:r w:rsidRPr="007E6C68">
        <w:rPr>
          <w:rFonts w:ascii="Arial" w:hAnsi="Arial" w:cs="Arial"/>
          <w:sz w:val="22"/>
          <w:szCs w:val="22"/>
        </w:rPr>
        <w:t xml:space="preserve"> assessed the function of capabilities related to Industry 4.0 and 5.0. The results show a positive but conditional relationship: companies with higher DCI scores (</w:t>
      </w:r>
      <w:r>
        <w:rPr>
          <w:rFonts w:ascii="Arial" w:hAnsi="Arial" w:cs="Arial"/>
          <w:sz w:val="22"/>
          <w:szCs w:val="22"/>
        </w:rPr>
        <w:t>e.g., BMW, 0.44 and 0.65 resilience) performed better than those with lower capacity scores (e.g., Lotus,</w:t>
      </w:r>
      <w:r w:rsidRPr="007E6C68">
        <w:rPr>
          <w:rFonts w:ascii="Arial" w:hAnsi="Arial" w:cs="Arial"/>
          <w:sz w:val="22"/>
          <w:szCs w:val="22"/>
        </w:rPr>
        <w:t xml:space="preserve"> 0.12 and 0.40 resilience). However, when alignment is lacking, as seen in McLaren (DCI 0.56, resilience 0.42), this link breaks down. This shows that digital capacity </w:t>
      </w:r>
      <w:r>
        <w:rPr>
          <w:rFonts w:ascii="Arial" w:hAnsi="Arial" w:cs="Arial"/>
          <w:sz w:val="22"/>
          <w:szCs w:val="22"/>
        </w:rPr>
        <w:t>alone is not enough to guarantee resilience</w:t>
      </w:r>
      <w:r w:rsidRPr="007E6C68">
        <w:rPr>
          <w:rFonts w:ascii="Arial" w:hAnsi="Arial" w:cs="Arial"/>
          <w:sz w:val="22"/>
          <w:szCs w:val="22"/>
        </w:rPr>
        <w:t>; it must be integrated with plans for cost and inventory.</w:t>
      </w:r>
    </w:p>
    <w:p w14:paraId="6F198CEF" w14:textId="534CF2F4" w:rsidR="00AA38D6" w:rsidRDefault="007E6C68" w:rsidP="007E6C68">
      <w:pPr>
        <w:spacing w:after="0" w:line="360" w:lineRule="auto"/>
        <w:ind w:firstLine="567"/>
        <w:jc w:val="both"/>
        <w:rPr>
          <w:rFonts w:ascii="Arial" w:hAnsi="Arial" w:cs="Arial"/>
          <w:sz w:val="22"/>
          <w:szCs w:val="22"/>
        </w:rPr>
      </w:pPr>
      <w:r w:rsidRPr="007E6C68">
        <w:rPr>
          <w:rFonts w:ascii="Arial" w:hAnsi="Arial" w:cs="Arial"/>
          <w:sz w:val="22"/>
          <w:szCs w:val="22"/>
        </w:rPr>
        <w:t>Together, the results demonstrate that digitisation, cost absorption, and buffering do not contribute to resilience independently</w:t>
      </w:r>
      <w:r>
        <w:rPr>
          <w:rFonts w:ascii="Arial" w:hAnsi="Arial" w:cs="Arial"/>
          <w:sz w:val="22"/>
          <w:szCs w:val="22"/>
        </w:rPr>
        <w:t>; rather, resilience results from the interplay among</w:t>
      </w:r>
      <w:r w:rsidRPr="007E6C68">
        <w:rPr>
          <w:rFonts w:ascii="Arial" w:hAnsi="Arial" w:cs="Arial"/>
          <w:sz w:val="22"/>
          <w:szCs w:val="22"/>
        </w:rPr>
        <w:t xml:space="preserve"> the three. In doing so, the emphasis moves from "what works" to "when and why it works", which in turn becomes the foundation for the suggestions that follow.</w:t>
      </w:r>
    </w:p>
    <w:p w14:paraId="76F5DB09" w14:textId="5D9A3B65" w:rsidR="007E6C68" w:rsidRPr="00333D0D" w:rsidRDefault="007E6C68" w:rsidP="00333D0D">
      <w:pPr>
        <w:pStyle w:val="Heading2"/>
        <w:spacing w:before="120"/>
        <w:rPr>
          <w:b/>
          <w:bCs/>
          <w:sz w:val="22"/>
          <w:szCs w:val="22"/>
        </w:rPr>
      </w:pPr>
      <w:bookmarkStart w:id="50" w:name="_Toc228883276"/>
      <w:r w:rsidRPr="00333D0D">
        <w:rPr>
          <w:b/>
          <w:bCs/>
          <w:sz w:val="22"/>
          <w:szCs w:val="22"/>
        </w:rPr>
        <w:t xml:space="preserve">5.2. </w:t>
      </w:r>
      <w:r w:rsidR="00814B3F" w:rsidRPr="00333D0D">
        <w:rPr>
          <w:b/>
          <w:bCs/>
          <w:sz w:val="22"/>
          <w:szCs w:val="22"/>
        </w:rPr>
        <w:t>Practical and specific recommendations for UK vehicle manufacturers</w:t>
      </w:r>
      <w:bookmarkEnd w:id="50"/>
    </w:p>
    <w:p w14:paraId="53CF6A80" w14:textId="3D451868" w:rsidR="00B87D9B" w:rsidRPr="00B87D9B" w:rsidRDefault="00B87D9B" w:rsidP="00B87D9B">
      <w:pPr>
        <w:spacing w:after="0" w:line="360" w:lineRule="auto"/>
        <w:ind w:firstLine="567"/>
        <w:jc w:val="both"/>
        <w:rPr>
          <w:rFonts w:ascii="Arial" w:hAnsi="Arial" w:cs="Arial"/>
          <w:sz w:val="22"/>
          <w:szCs w:val="22"/>
        </w:rPr>
      </w:pPr>
      <w:r w:rsidRPr="00B87D9B">
        <w:rPr>
          <w:rFonts w:ascii="Arial" w:hAnsi="Arial" w:cs="Arial"/>
          <w:sz w:val="22"/>
          <w:szCs w:val="22"/>
        </w:rPr>
        <w:t xml:space="preserve">Outcomes show that enhancing resilience is more dependent on how companies coordinate their digital capabilities, inventories, and routing in the face of disruption than on implementing specific tactics. Before </w:t>
      </w:r>
      <w:r>
        <w:rPr>
          <w:rFonts w:ascii="Arial" w:hAnsi="Arial" w:cs="Arial"/>
          <w:sz w:val="22"/>
          <w:szCs w:val="22"/>
        </w:rPr>
        <w:t xml:space="preserve">undertaking any </w:t>
      </w:r>
      <w:r w:rsidRPr="00B87D9B">
        <w:rPr>
          <w:rFonts w:ascii="Arial" w:hAnsi="Arial" w:cs="Arial"/>
          <w:sz w:val="22"/>
          <w:szCs w:val="22"/>
        </w:rPr>
        <w:t xml:space="preserve">inventory growth, businesses should use selective buffering. In contrast to moderate buffering, which offered flexibility with less capital pressure, high inventory (e.g., JLR at 306.73 days) guaranteed continuity but came at a hefty cost of £13.7 million. Thus, rather than applying buffering everywhere, it is more effective to </w:t>
      </w:r>
      <w:r>
        <w:rPr>
          <w:rFonts w:ascii="Arial" w:hAnsi="Arial" w:cs="Arial"/>
          <w:sz w:val="22"/>
          <w:szCs w:val="22"/>
        </w:rPr>
        <w:t>apply it based on the provider's criticality and</w:t>
      </w:r>
      <w:r w:rsidRPr="00B87D9B">
        <w:rPr>
          <w:rFonts w:ascii="Arial" w:hAnsi="Arial" w:cs="Arial"/>
          <w:sz w:val="22"/>
          <w:szCs w:val="22"/>
        </w:rPr>
        <w:t xml:space="preserve"> susceptibility to interruption.</w:t>
      </w:r>
    </w:p>
    <w:p w14:paraId="3E2B24B5" w14:textId="63045C95" w:rsidR="00B87D9B" w:rsidRPr="00B87D9B" w:rsidRDefault="00B87D9B" w:rsidP="00B87D9B">
      <w:pPr>
        <w:spacing w:after="0" w:line="360" w:lineRule="auto"/>
        <w:ind w:firstLine="567"/>
        <w:jc w:val="both"/>
        <w:rPr>
          <w:rFonts w:ascii="Arial" w:hAnsi="Arial" w:cs="Arial"/>
          <w:sz w:val="22"/>
          <w:szCs w:val="22"/>
        </w:rPr>
      </w:pPr>
      <w:r w:rsidRPr="00B87D9B">
        <w:rPr>
          <w:rFonts w:ascii="Arial" w:hAnsi="Arial" w:cs="Arial"/>
          <w:sz w:val="22"/>
          <w:szCs w:val="22"/>
        </w:rPr>
        <w:lastRenderedPageBreak/>
        <w:t xml:space="preserve">Moreover, businesses need to make sure they have built-in backup plans for dynamic routing. While transit delays might reach 9 days (32.43 to 41.50), companies that made rerouting </w:t>
      </w:r>
      <w:r>
        <w:rPr>
          <w:rFonts w:ascii="Arial" w:hAnsi="Arial" w:cs="Arial"/>
          <w:sz w:val="22"/>
          <w:szCs w:val="22"/>
        </w:rPr>
        <w:t>decisions quickly experienced less operational disruption</w:t>
      </w:r>
      <w:r w:rsidRPr="00B87D9B">
        <w:rPr>
          <w:rFonts w:ascii="Arial" w:hAnsi="Arial" w:cs="Arial"/>
          <w:sz w:val="22"/>
          <w:szCs w:val="22"/>
        </w:rPr>
        <w:t>. Instead of engaging scenario-based routing methods on the fly, planning tools should include them. This includes pre-approved alternatives to the Cape and port diversity.</w:t>
      </w:r>
    </w:p>
    <w:p w14:paraId="6AA56DD3" w14:textId="529E4EAA" w:rsidR="00B87D9B" w:rsidRPr="00B87D9B" w:rsidRDefault="00B87D9B" w:rsidP="00111DF8">
      <w:pPr>
        <w:spacing w:after="0" w:line="360" w:lineRule="auto"/>
        <w:ind w:firstLine="567"/>
        <w:jc w:val="both"/>
        <w:rPr>
          <w:rFonts w:ascii="Arial" w:hAnsi="Arial" w:cs="Arial"/>
          <w:sz w:val="22"/>
          <w:szCs w:val="22"/>
        </w:rPr>
      </w:pPr>
      <w:r w:rsidRPr="00B87D9B">
        <w:rPr>
          <w:rFonts w:ascii="Arial" w:hAnsi="Arial" w:cs="Arial"/>
          <w:sz w:val="22"/>
          <w:szCs w:val="22"/>
        </w:rPr>
        <w:t>Ultimately, expansion should not be the focus of digital capacity investments; integration should. A higher DCI score (for instance, 0.44 for BMW translates to 0.65 for robustness) would only result in improved performance if it was coordinated with cost and inventory. The emphasis should not be on discrete digital improvements but on technologies that enable decision orchestration, real-time visibility, and supplier monitoring.</w:t>
      </w:r>
    </w:p>
    <w:p w14:paraId="5A43B77E" w14:textId="677318D5" w:rsidR="00814B3F" w:rsidRPr="00ED39FC" w:rsidRDefault="00B87D9B" w:rsidP="00B87D9B">
      <w:pPr>
        <w:spacing w:after="0" w:line="360" w:lineRule="auto"/>
        <w:ind w:firstLine="567"/>
        <w:jc w:val="both"/>
        <w:rPr>
          <w:rFonts w:ascii="Arial" w:hAnsi="Arial" w:cs="Arial"/>
          <w:b/>
          <w:bCs/>
          <w:sz w:val="22"/>
          <w:szCs w:val="22"/>
        </w:rPr>
      </w:pPr>
      <w:r w:rsidRPr="00B87D9B">
        <w:rPr>
          <w:rFonts w:ascii="Arial" w:hAnsi="Arial" w:cs="Arial"/>
          <w:sz w:val="22"/>
          <w:szCs w:val="22"/>
        </w:rPr>
        <w:t xml:space="preserve">Last but not least, businesses should implement conditional systems that combine JIT and JIC models. These models allow for continual adjustments to inventory, cost absorption, and routing flexibility in response to shock signals. Strategies that are not adaptable will not </w:t>
      </w:r>
      <w:r w:rsidRPr="00ED39FC">
        <w:rPr>
          <w:rFonts w:ascii="Arial" w:hAnsi="Arial" w:cs="Arial"/>
          <w:sz w:val="22"/>
          <w:szCs w:val="22"/>
        </w:rPr>
        <w:t>work.</w:t>
      </w:r>
    </w:p>
    <w:p w14:paraId="467DE6CD" w14:textId="5C75FE04" w:rsidR="0017323B" w:rsidRPr="00333D0D" w:rsidRDefault="0017323B" w:rsidP="00333D0D">
      <w:pPr>
        <w:pStyle w:val="Heading2"/>
        <w:spacing w:before="120"/>
        <w:rPr>
          <w:b/>
          <w:bCs/>
          <w:sz w:val="22"/>
          <w:szCs w:val="22"/>
        </w:rPr>
      </w:pPr>
      <w:bookmarkStart w:id="51" w:name="_Toc228883277"/>
      <w:r w:rsidRPr="00333D0D">
        <w:rPr>
          <w:b/>
          <w:bCs/>
          <w:sz w:val="22"/>
          <w:szCs w:val="22"/>
        </w:rPr>
        <w:t xml:space="preserve">5.3. </w:t>
      </w:r>
      <w:r w:rsidR="00ED39FC" w:rsidRPr="00333D0D">
        <w:rPr>
          <w:b/>
          <w:bCs/>
          <w:sz w:val="22"/>
          <w:szCs w:val="22"/>
        </w:rPr>
        <w:t>Guidance on hybrid JIT–JIC, supplier risk management, digital visibility, and route contingency planning</w:t>
      </w:r>
      <w:bookmarkEnd w:id="51"/>
    </w:p>
    <w:p w14:paraId="73231969" w14:textId="3135CEF3" w:rsidR="00822679" w:rsidRPr="00822679" w:rsidRDefault="00822679" w:rsidP="00822679">
      <w:pPr>
        <w:spacing w:after="0" w:line="360" w:lineRule="auto"/>
        <w:ind w:firstLine="567"/>
        <w:jc w:val="both"/>
        <w:rPr>
          <w:rFonts w:ascii="Arial" w:hAnsi="Arial" w:cs="Arial"/>
          <w:sz w:val="22"/>
          <w:szCs w:val="22"/>
        </w:rPr>
      </w:pPr>
      <w:r w:rsidRPr="00822679">
        <w:rPr>
          <w:rFonts w:ascii="Arial" w:hAnsi="Arial" w:cs="Arial"/>
          <w:sz w:val="22"/>
          <w:szCs w:val="22"/>
        </w:rPr>
        <w:t>The research shows that hybrid JIT-JIC systems, when actively maintained instead of statically specified, provide the greatest resilience for businesses. Instead of maximising inventory, enterprises should calibrate it. For example, JLR achieved continuity at a high cost of £13.7m</w:t>
      </w:r>
      <w:r>
        <w:rPr>
          <w:rFonts w:ascii="Arial" w:hAnsi="Arial" w:cs="Arial"/>
          <w:sz w:val="22"/>
          <w:szCs w:val="22"/>
        </w:rPr>
        <w:t xml:space="preserve">, with an inventory of 306.73 days, whereas Toyota maintained a significantly smaller inventory of around 12 days, with </w:t>
      </w:r>
      <w:r w:rsidRPr="00822679">
        <w:rPr>
          <w:rFonts w:ascii="Arial" w:hAnsi="Arial" w:cs="Arial"/>
          <w:sz w:val="22"/>
          <w:szCs w:val="22"/>
        </w:rPr>
        <w:t xml:space="preserve">acceptable resilience of 0.57. Hence, instead of </w:t>
      </w:r>
      <w:r>
        <w:rPr>
          <w:rFonts w:ascii="Arial" w:hAnsi="Arial" w:cs="Arial"/>
          <w:sz w:val="22"/>
          <w:szCs w:val="22"/>
        </w:rPr>
        <w:t>relying on static safety stock regulations, hybrid models should dynamically adjust buffer levels based on</w:t>
      </w:r>
      <w:r w:rsidRPr="00822679">
        <w:rPr>
          <w:rFonts w:ascii="Arial" w:hAnsi="Arial" w:cs="Arial"/>
          <w:sz w:val="22"/>
          <w:szCs w:val="22"/>
        </w:rPr>
        <w:t xml:space="preserve"> disruption likelihood and part criticality.</w:t>
      </w:r>
    </w:p>
    <w:p w14:paraId="2FC3B1AA" w14:textId="78908897" w:rsidR="00822679" w:rsidRPr="00822679" w:rsidRDefault="00822679" w:rsidP="00822679">
      <w:pPr>
        <w:spacing w:after="0" w:line="360" w:lineRule="auto"/>
        <w:ind w:firstLine="567"/>
        <w:jc w:val="both"/>
        <w:rPr>
          <w:rFonts w:ascii="Arial" w:hAnsi="Arial" w:cs="Arial"/>
          <w:sz w:val="22"/>
          <w:szCs w:val="22"/>
        </w:rPr>
      </w:pPr>
      <w:r w:rsidRPr="00822679">
        <w:rPr>
          <w:rFonts w:ascii="Arial" w:hAnsi="Arial" w:cs="Arial"/>
          <w:sz w:val="22"/>
          <w:szCs w:val="22"/>
        </w:rPr>
        <w:t xml:space="preserve">Additionally, there must be a shift toward continuous and predictive supplier risk monitoring. The fact that different outcomes may occur under the same disruption exposure (e.g., cost absorption varying from 0.2 to 2.8) demonstrates that performance is driven by upstream visibility in addition to exposure. Companies should use risk </w:t>
      </w:r>
      <w:r>
        <w:rPr>
          <w:rFonts w:ascii="Arial" w:hAnsi="Arial" w:cs="Arial"/>
          <w:sz w:val="22"/>
          <w:szCs w:val="22"/>
        </w:rPr>
        <w:t>scores</w:t>
      </w:r>
      <w:r w:rsidRPr="00822679">
        <w:rPr>
          <w:rFonts w:ascii="Arial" w:hAnsi="Arial" w:cs="Arial"/>
          <w:sz w:val="22"/>
          <w:szCs w:val="22"/>
        </w:rPr>
        <w:t xml:space="preserve"> and multi-tiered supplier mapping systems that include logistical, financial, and geopolitical information to initiate early action.</w:t>
      </w:r>
    </w:p>
    <w:p w14:paraId="2E8D2399" w14:textId="313F80C5" w:rsidR="00822679" w:rsidRPr="00822679" w:rsidRDefault="00822679" w:rsidP="00822679">
      <w:pPr>
        <w:spacing w:after="0" w:line="360" w:lineRule="auto"/>
        <w:ind w:firstLine="567"/>
        <w:jc w:val="both"/>
        <w:rPr>
          <w:rFonts w:ascii="Arial" w:hAnsi="Arial" w:cs="Arial"/>
          <w:sz w:val="22"/>
          <w:szCs w:val="22"/>
        </w:rPr>
      </w:pPr>
      <w:r w:rsidRPr="00822679">
        <w:rPr>
          <w:rFonts w:ascii="Arial" w:hAnsi="Arial" w:cs="Arial"/>
          <w:sz w:val="22"/>
          <w:szCs w:val="22"/>
        </w:rPr>
        <w:t>Furthermore, transparency isn't enough; digital visibility should prioritise the rapidity of decisions. Outliers like McLaren (0.56 DCI, 0.42 resilience) show that visibility without coordination is unhelpful, even though higher DCI scores (0.12-0.44) often correlate with stronger resilience (0.40-0.65). System assistance for cross-functional decision-making and real-time scenario assessment is therefore essential.</w:t>
      </w:r>
    </w:p>
    <w:p w14:paraId="2A0EBDAC" w14:textId="7AC53FEC" w:rsidR="004663B8" w:rsidRPr="00814B3F" w:rsidRDefault="00822679" w:rsidP="00934303">
      <w:pPr>
        <w:spacing w:after="0" w:line="360" w:lineRule="auto"/>
        <w:ind w:firstLine="567"/>
        <w:jc w:val="both"/>
        <w:rPr>
          <w:rFonts w:ascii="Arial" w:hAnsi="Arial" w:cs="Arial"/>
          <w:sz w:val="22"/>
          <w:szCs w:val="22"/>
        </w:rPr>
      </w:pPr>
      <w:r w:rsidRPr="00822679">
        <w:rPr>
          <w:rFonts w:ascii="Arial" w:hAnsi="Arial" w:cs="Arial"/>
          <w:sz w:val="22"/>
          <w:szCs w:val="22"/>
        </w:rPr>
        <w:t xml:space="preserve">As a last point, route contingency planning should not be reactive but pre-configured. Companies </w:t>
      </w:r>
      <w:r>
        <w:rPr>
          <w:rFonts w:ascii="Arial" w:hAnsi="Arial" w:cs="Arial"/>
          <w:sz w:val="22"/>
          <w:szCs w:val="22"/>
        </w:rPr>
        <w:t>that</w:t>
      </w:r>
      <w:r w:rsidRPr="00822679">
        <w:rPr>
          <w:rFonts w:ascii="Arial" w:hAnsi="Arial" w:cs="Arial"/>
          <w:sz w:val="22"/>
          <w:szCs w:val="22"/>
        </w:rPr>
        <w:t xml:space="preserve"> </w:t>
      </w:r>
      <w:r w:rsidR="00063A1A" w:rsidRPr="00822679">
        <w:rPr>
          <w:rFonts w:ascii="Arial" w:hAnsi="Arial" w:cs="Arial"/>
          <w:sz w:val="22"/>
          <w:szCs w:val="22"/>
        </w:rPr>
        <w:t>planned</w:t>
      </w:r>
      <w:r w:rsidRPr="00822679">
        <w:rPr>
          <w:rFonts w:ascii="Arial" w:hAnsi="Arial" w:cs="Arial"/>
          <w:sz w:val="22"/>
          <w:szCs w:val="22"/>
        </w:rPr>
        <w:t xml:space="preserve"> and had other passageways and logistical partners mitigated the </w:t>
      </w:r>
      <w:r w:rsidRPr="00822679">
        <w:rPr>
          <w:rFonts w:ascii="Arial" w:hAnsi="Arial" w:cs="Arial"/>
          <w:sz w:val="22"/>
          <w:szCs w:val="22"/>
        </w:rPr>
        <w:lastRenderedPageBreak/>
        <w:t xml:space="preserve">effects of disruptions, even if rerouting might add up to nine days to transit times. To </w:t>
      </w:r>
      <w:r w:rsidR="00063A1A">
        <w:rPr>
          <w:rFonts w:ascii="Arial" w:hAnsi="Arial" w:cs="Arial"/>
          <w:sz w:val="22"/>
          <w:szCs w:val="22"/>
        </w:rPr>
        <w:t>ensure rapid execution if main routes fail</w:t>
      </w:r>
      <w:r w:rsidRPr="00822679">
        <w:rPr>
          <w:rFonts w:ascii="Arial" w:hAnsi="Arial" w:cs="Arial"/>
          <w:sz w:val="22"/>
          <w:szCs w:val="22"/>
        </w:rPr>
        <w:t>, operational planning models should include contingency routing.</w:t>
      </w:r>
    </w:p>
    <w:p w14:paraId="7322ECC8" w14:textId="2EA35D47" w:rsidR="0075295F" w:rsidRPr="004663B8" w:rsidRDefault="00FC3BEA" w:rsidP="004663B8">
      <w:pPr>
        <w:pStyle w:val="Heading2"/>
        <w:rPr>
          <w:b/>
          <w:bCs/>
          <w:sz w:val="22"/>
          <w:szCs w:val="22"/>
        </w:rPr>
      </w:pPr>
      <w:bookmarkStart w:id="52" w:name="_Toc228883278"/>
      <w:r w:rsidRPr="004663B8">
        <w:rPr>
          <w:b/>
          <w:bCs/>
          <w:sz w:val="22"/>
          <w:szCs w:val="22"/>
        </w:rPr>
        <w:t xml:space="preserve">5.4. </w:t>
      </w:r>
      <w:r w:rsidR="0075295F" w:rsidRPr="004663B8">
        <w:rPr>
          <w:b/>
          <w:bCs/>
          <w:sz w:val="22"/>
          <w:szCs w:val="22"/>
        </w:rPr>
        <w:t>Discussion of the restrictions on using secondary sources of information</w:t>
      </w:r>
      <w:bookmarkEnd w:id="52"/>
    </w:p>
    <w:p w14:paraId="7E3CB84E" w14:textId="660A2AAE" w:rsidR="0075295F" w:rsidRDefault="00FC3BEA" w:rsidP="0075295F">
      <w:pPr>
        <w:spacing w:after="0" w:line="360" w:lineRule="auto"/>
        <w:ind w:firstLine="567"/>
        <w:jc w:val="both"/>
        <w:rPr>
          <w:rFonts w:ascii="Arial" w:hAnsi="Arial" w:cs="Arial"/>
          <w:sz w:val="22"/>
          <w:szCs w:val="22"/>
        </w:rPr>
      </w:pPr>
      <w:r w:rsidRPr="00FC3BEA">
        <w:rPr>
          <w:rFonts w:ascii="Arial" w:hAnsi="Arial" w:cs="Arial"/>
          <w:sz w:val="22"/>
          <w:szCs w:val="22"/>
        </w:rPr>
        <w:t xml:space="preserve">Due to the reliance on secondary sources, the results of this research are not as robust </w:t>
      </w:r>
      <w:r w:rsidR="004663B8">
        <w:rPr>
          <w:rFonts w:ascii="Arial" w:hAnsi="Arial" w:cs="Arial"/>
          <w:sz w:val="22"/>
          <w:szCs w:val="22"/>
        </w:rPr>
        <w:t>for</w:t>
      </w:r>
      <w:r w:rsidRPr="00FC3BEA">
        <w:rPr>
          <w:rFonts w:ascii="Arial" w:hAnsi="Arial" w:cs="Arial"/>
          <w:sz w:val="22"/>
          <w:szCs w:val="22"/>
        </w:rPr>
        <w:t xml:space="preserve"> drawing direct causal conclusions. First, rather of providing operationally precise data, firm-level indicators like import charges (e.g., up to £13.7m) and inventory levels (e.g., 306.73 days) are aggregated representations. Due to this, it is unable to completely account for intra-firm heterogeneity in decision time using observable associations, such the one between resilience and greater buffering. Consequently, the analysis provides context for the results but cannot prove or disprove the actual implementation of the judgements.</w:t>
      </w:r>
    </w:p>
    <w:p w14:paraId="2F0E594C" w14:textId="77777777" w:rsidR="0075295F" w:rsidRDefault="00FC3BEA" w:rsidP="0075295F">
      <w:pPr>
        <w:spacing w:after="0" w:line="360" w:lineRule="auto"/>
        <w:ind w:firstLine="567"/>
        <w:jc w:val="both"/>
        <w:rPr>
          <w:rFonts w:ascii="Arial" w:hAnsi="Arial" w:cs="Arial"/>
          <w:sz w:val="22"/>
          <w:szCs w:val="22"/>
        </w:rPr>
      </w:pPr>
      <w:r w:rsidRPr="00FC3BEA">
        <w:rPr>
          <w:rFonts w:ascii="Arial" w:hAnsi="Arial" w:cs="Arial"/>
          <w:sz w:val="22"/>
          <w:szCs w:val="22"/>
        </w:rPr>
        <w:t>Secondly, measurement dependence is introduced when indices like GSCPI and DCI, which are externally produced and have values ranging from 0.12 to 0.44, are relied upon. While these metrics provide a good approximation of digital capabilities and disruptive pressure, they could not capture the details that are unique to a given organization, such as variations in internal systems, supplier networks, or contractual arrangements. Weakness in generalising causal linkages across enterprises is a result of this.</w:t>
      </w:r>
    </w:p>
    <w:p w14:paraId="21EE21A8" w14:textId="561CEF1F" w:rsidR="00FC3BEA" w:rsidRDefault="00FC3BEA" w:rsidP="0075295F">
      <w:pPr>
        <w:spacing w:after="0" w:line="360" w:lineRule="auto"/>
        <w:ind w:firstLine="567"/>
        <w:jc w:val="both"/>
        <w:rPr>
          <w:rFonts w:ascii="Arial" w:hAnsi="Arial" w:cs="Arial"/>
          <w:sz w:val="22"/>
          <w:szCs w:val="22"/>
        </w:rPr>
      </w:pPr>
      <w:r w:rsidRPr="00FC3BEA">
        <w:rPr>
          <w:rFonts w:ascii="Arial" w:hAnsi="Arial" w:cs="Arial"/>
          <w:sz w:val="22"/>
          <w:szCs w:val="22"/>
        </w:rPr>
        <w:t>Thirdly, there are restrictions about temporal alignment. Although events like the Red Sea crisis had quantifiable consequences (for instance, a rise in travel time from 32.43 to 41.50 days), differentiating between proactive and reactive efforts may be challenging when using secondary datasets that do not always record the precise timing of firm reactions.</w:t>
      </w:r>
      <w:r w:rsidRPr="00FC3BEA">
        <w:rPr>
          <w:rFonts w:ascii="Arial" w:hAnsi="Arial" w:cs="Arial"/>
          <w:sz w:val="22"/>
          <w:szCs w:val="22"/>
        </w:rPr>
        <w:br/>
        <w:t>Thus, it is important to approach the results with caution and do further validation, even if the research does find substantial conditional correlations between capacity, cost, and inventory.</w:t>
      </w:r>
    </w:p>
    <w:p w14:paraId="61A10567" w14:textId="41D36A44" w:rsidR="00516C5A" w:rsidRPr="004663B8" w:rsidRDefault="00516C5A" w:rsidP="004663B8">
      <w:pPr>
        <w:pStyle w:val="Heading2"/>
        <w:spacing w:before="120"/>
        <w:rPr>
          <w:b/>
          <w:bCs/>
          <w:sz w:val="22"/>
          <w:szCs w:val="22"/>
        </w:rPr>
      </w:pPr>
      <w:bookmarkStart w:id="53" w:name="_Toc228883279"/>
      <w:r w:rsidRPr="004663B8">
        <w:rPr>
          <w:b/>
          <w:bCs/>
          <w:sz w:val="22"/>
          <w:szCs w:val="22"/>
        </w:rPr>
        <w:t xml:space="preserve">5.5. </w:t>
      </w:r>
      <w:r w:rsidR="007779F1" w:rsidRPr="004663B8">
        <w:rPr>
          <w:b/>
          <w:bCs/>
          <w:sz w:val="22"/>
          <w:szCs w:val="22"/>
        </w:rPr>
        <w:t>R</w:t>
      </w:r>
      <w:r w:rsidRPr="004663B8">
        <w:rPr>
          <w:b/>
          <w:bCs/>
          <w:sz w:val="22"/>
          <w:szCs w:val="22"/>
        </w:rPr>
        <w:t>ecommendations for further study</w:t>
      </w:r>
      <w:bookmarkEnd w:id="53"/>
    </w:p>
    <w:p w14:paraId="047182FA" w14:textId="04428C0C" w:rsidR="009D21F5" w:rsidRPr="009D21F5" w:rsidRDefault="009D21F5" w:rsidP="009D21F5">
      <w:pPr>
        <w:spacing w:after="0" w:line="360" w:lineRule="auto"/>
        <w:ind w:firstLine="567"/>
        <w:jc w:val="both"/>
        <w:rPr>
          <w:rFonts w:ascii="Arial" w:hAnsi="Arial" w:cs="Arial"/>
          <w:sz w:val="22"/>
          <w:szCs w:val="22"/>
        </w:rPr>
      </w:pPr>
      <w:r w:rsidRPr="009D21F5">
        <w:rPr>
          <w:rFonts w:ascii="Arial" w:hAnsi="Arial" w:cs="Arial"/>
          <w:sz w:val="22"/>
          <w:szCs w:val="22"/>
        </w:rPr>
        <w:t xml:space="preserve">Future study should focus on addressing the observed creative limitations, especially in the areas of causality, granularity, and decision dynamics. To begin, </w:t>
      </w:r>
      <w:r w:rsidR="00B02A88" w:rsidRPr="009D21F5">
        <w:rPr>
          <w:rFonts w:ascii="Arial" w:hAnsi="Arial" w:cs="Arial"/>
          <w:sz w:val="22"/>
          <w:szCs w:val="22"/>
        </w:rPr>
        <w:t>to</w:t>
      </w:r>
      <w:r w:rsidRPr="009D21F5">
        <w:rPr>
          <w:rFonts w:ascii="Arial" w:hAnsi="Arial" w:cs="Arial"/>
          <w:sz w:val="22"/>
          <w:szCs w:val="22"/>
        </w:rPr>
        <w:t xml:space="preserve"> fully understand the decision-making process, future research should use primary, longitudinal data collected from firms. Although the timing of these choices remains a mystery, the present results demonstrate significant links, such as a rise in inventory from 268.81 to 306.73 days and an increase in costs to £13.7m. It would be easier to tell whether resilience is proactive or reactive if we knew when companies decided to buffer or redirect.</w:t>
      </w:r>
    </w:p>
    <w:p w14:paraId="39278C71" w14:textId="200B6665" w:rsidR="009D21F5" w:rsidRPr="009D21F5" w:rsidRDefault="009D21F5" w:rsidP="009D21F5">
      <w:pPr>
        <w:spacing w:after="0" w:line="360" w:lineRule="auto"/>
        <w:ind w:firstLine="567"/>
        <w:jc w:val="both"/>
        <w:rPr>
          <w:rFonts w:ascii="Arial" w:hAnsi="Arial" w:cs="Arial"/>
          <w:sz w:val="22"/>
          <w:szCs w:val="22"/>
        </w:rPr>
      </w:pPr>
      <w:r w:rsidRPr="009D21F5">
        <w:rPr>
          <w:rFonts w:ascii="Arial" w:hAnsi="Arial" w:cs="Arial"/>
          <w:sz w:val="22"/>
          <w:szCs w:val="22"/>
        </w:rPr>
        <w:t>Also, studying intra-firm heterogeneity, especially across product lines and supplier tiers, needs further investigation. Resilience seems to be internally unequally distributed, given the observed variance amongst organisations (e.g., DCI 0.12-0.44 and resilience 0.40-0.65). The impact of high-performing groups on overall results or their ability to conceal underlying weaknesses might be better understood using disaggregated data.</w:t>
      </w:r>
    </w:p>
    <w:p w14:paraId="674A6E4D" w14:textId="2A52915C" w:rsidR="009D21F5" w:rsidRPr="009D21F5" w:rsidRDefault="009D21F5" w:rsidP="009D21F5">
      <w:pPr>
        <w:spacing w:after="0" w:line="360" w:lineRule="auto"/>
        <w:ind w:firstLine="567"/>
        <w:jc w:val="both"/>
        <w:rPr>
          <w:rFonts w:ascii="Arial" w:hAnsi="Arial" w:cs="Arial"/>
          <w:sz w:val="22"/>
          <w:szCs w:val="22"/>
        </w:rPr>
      </w:pPr>
      <w:r w:rsidRPr="009D21F5">
        <w:rPr>
          <w:rFonts w:ascii="Arial" w:hAnsi="Arial" w:cs="Arial"/>
          <w:sz w:val="22"/>
          <w:szCs w:val="22"/>
        </w:rPr>
        <w:lastRenderedPageBreak/>
        <w:t xml:space="preserve">Furthermore, further research into the function of digital capability orchestration is necessary. Cases where DCI is </w:t>
      </w:r>
      <w:r w:rsidR="00923D80" w:rsidRPr="009D21F5">
        <w:rPr>
          <w:rFonts w:ascii="Arial" w:hAnsi="Arial" w:cs="Arial"/>
          <w:sz w:val="22"/>
          <w:szCs w:val="22"/>
        </w:rPr>
        <w:t>high,</w:t>
      </w:r>
      <w:r w:rsidRPr="009D21F5">
        <w:rPr>
          <w:rFonts w:ascii="Arial" w:hAnsi="Arial" w:cs="Arial"/>
          <w:sz w:val="22"/>
          <w:szCs w:val="22"/>
        </w:rPr>
        <w:t xml:space="preserve"> but resilience is low suggest that capacity integration, and not presence, is the deciding factor in resilience, even though higher DCI scores are often associated with better resilience. Therefore, it is imperative that future studies investigate the interplay between digital technologies, organisational structure, decision speed, and management competencies.</w:t>
      </w:r>
    </w:p>
    <w:p w14:paraId="45E185DF" w14:textId="065AB929" w:rsidR="00516C5A" w:rsidRDefault="009D21F5" w:rsidP="009D21F5">
      <w:pPr>
        <w:spacing w:after="0" w:line="360" w:lineRule="auto"/>
        <w:ind w:firstLine="567"/>
        <w:jc w:val="both"/>
        <w:rPr>
          <w:rFonts w:ascii="Arial" w:hAnsi="Arial" w:cs="Arial"/>
          <w:sz w:val="22"/>
          <w:szCs w:val="22"/>
        </w:rPr>
      </w:pPr>
      <w:r w:rsidRPr="009D21F5">
        <w:rPr>
          <w:rFonts w:ascii="Arial" w:hAnsi="Arial" w:cs="Arial"/>
          <w:sz w:val="22"/>
          <w:szCs w:val="22"/>
        </w:rPr>
        <w:t>The conditional correlations found here may not hold under other supply chain designs and disruption profiles, it would be useful to extend the scope to compare across industries and geographies, not just the UK automotive sector.</w:t>
      </w:r>
    </w:p>
    <w:p w14:paraId="63ED2380" w14:textId="300AA0A8" w:rsidR="00CE3B63" w:rsidRPr="004663B8" w:rsidRDefault="00CE3B63" w:rsidP="004663B8">
      <w:pPr>
        <w:pStyle w:val="Heading2"/>
        <w:spacing w:before="120"/>
        <w:rPr>
          <w:b/>
          <w:bCs/>
          <w:sz w:val="22"/>
          <w:szCs w:val="22"/>
        </w:rPr>
      </w:pPr>
      <w:bookmarkStart w:id="54" w:name="_Toc228883280"/>
      <w:r w:rsidRPr="004663B8">
        <w:rPr>
          <w:b/>
          <w:bCs/>
          <w:sz w:val="22"/>
          <w:szCs w:val="22"/>
        </w:rPr>
        <w:t xml:space="preserve">5.6. </w:t>
      </w:r>
      <w:r w:rsidR="00897FE6" w:rsidRPr="004663B8">
        <w:rPr>
          <w:b/>
          <w:bCs/>
          <w:sz w:val="22"/>
          <w:szCs w:val="22"/>
        </w:rPr>
        <w:t>Final Conclusion</w:t>
      </w:r>
      <w:bookmarkEnd w:id="54"/>
    </w:p>
    <w:p w14:paraId="5CCB3DEB" w14:textId="64A062C7" w:rsidR="00CE3B63" w:rsidRDefault="00CE3B63" w:rsidP="00CE3B63">
      <w:pPr>
        <w:spacing w:after="0" w:line="360" w:lineRule="auto"/>
        <w:ind w:firstLine="567"/>
        <w:jc w:val="both"/>
        <w:rPr>
          <w:rFonts w:ascii="Arial" w:hAnsi="Arial" w:cs="Arial"/>
          <w:sz w:val="22"/>
          <w:szCs w:val="22"/>
        </w:rPr>
      </w:pPr>
      <w:r w:rsidRPr="00CE3B63">
        <w:rPr>
          <w:rFonts w:ascii="Arial" w:hAnsi="Arial" w:cs="Arial"/>
          <w:sz w:val="22"/>
          <w:szCs w:val="22"/>
        </w:rPr>
        <w:t xml:space="preserve">The goal of this dissertation was to </w:t>
      </w:r>
      <w:r w:rsidR="00897FE6">
        <w:rPr>
          <w:rFonts w:ascii="Arial" w:hAnsi="Arial" w:cs="Arial"/>
          <w:sz w:val="22"/>
          <w:szCs w:val="22"/>
        </w:rPr>
        <w:t xml:space="preserve">examine the responses of UK car companies to supply chain disruptions </w:t>
      </w:r>
      <w:r w:rsidRPr="00CE3B63">
        <w:rPr>
          <w:rFonts w:ascii="Arial" w:hAnsi="Arial" w:cs="Arial"/>
          <w:sz w:val="22"/>
          <w:szCs w:val="22"/>
        </w:rPr>
        <w:t xml:space="preserve">and determine whether digital capabilities, inventory management, or cost strategies drove resilience. </w:t>
      </w:r>
      <w:r w:rsidR="00897FE6">
        <w:rPr>
          <w:rFonts w:ascii="Arial" w:hAnsi="Arial" w:cs="Arial"/>
          <w:sz w:val="22"/>
          <w:szCs w:val="22"/>
        </w:rPr>
        <w:t>None</w:t>
      </w:r>
      <w:r w:rsidRPr="00CE3B63">
        <w:rPr>
          <w:rFonts w:ascii="Arial" w:hAnsi="Arial" w:cs="Arial"/>
          <w:sz w:val="22"/>
          <w:szCs w:val="22"/>
        </w:rPr>
        <w:t xml:space="preserve"> of these characteristics can account for performance results on its own, according to the data. Instead, it </w:t>
      </w:r>
      <w:r w:rsidR="00897FE6">
        <w:rPr>
          <w:rFonts w:ascii="Arial" w:hAnsi="Arial" w:cs="Arial"/>
          <w:sz w:val="22"/>
          <w:szCs w:val="22"/>
        </w:rPr>
        <w:t>arises through their interaction in unpredictable settings</w:t>
      </w:r>
      <w:r w:rsidRPr="00CE3B63">
        <w:rPr>
          <w:rFonts w:ascii="Arial" w:hAnsi="Arial" w:cs="Arial"/>
          <w:sz w:val="22"/>
          <w:szCs w:val="22"/>
        </w:rPr>
        <w:t>.</w:t>
      </w:r>
    </w:p>
    <w:p w14:paraId="34B7842B" w14:textId="37D39C40" w:rsidR="00321B9C" w:rsidRDefault="00CE3B63" w:rsidP="00321B9C">
      <w:pPr>
        <w:spacing w:after="0" w:line="360" w:lineRule="auto"/>
        <w:ind w:firstLine="567"/>
        <w:jc w:val="both"/>
        <w:rPr>
          <w:rFonts w:ascii="Arial" w:hAnsi="Arial" w:cs="Arial"/>
          <w:sz w:val="22"/>
          <w:szCs w:val="22"/>
        </w:rPr>
      </w:pPr>
      <w:r w:rsidRPr="00CE3B63">
        <w:rPr>
          <w:rFonts w:ascii="Arial" w:hAnsi="Arial" w:cs="Arial"/>
          <w:sz w:val="22"/>
          <w:szCs w:val="22"/>
        </w:rPr>
        <w:t xml:space="preserve">Instead of a complete overhaul, the change from JIT to JIC was more of a conditional adjustment. Buffering wasn't used everywhere; some companies drastically boosted inventories (like JLR, which went from 268.81 to 306.73 days), while others kept their systems leaner. The effects of disruptions, such as the increase in costs to £13.7m and the extension of transit delays beyond 40 days, did not always lead to a decline in performance. The fact that response design, </w:t>
      </w:r>
      <w:r w:rsidR="00897FE6">
        <w:rPr>
          <w:rFonts w:ascii="Arial" w:hAnsi="Arial" w:cs="Arial"/>
          <w:sz w:val="22"/>
          <w:szCs w:val="22"/>
        </w:rPr>
        <w:t xml:space="preserve">not exposure alone, influences resilience is confirmed by the markedly varied results achieved by firms </w:t>
      </w:r>
      <w:r w:rsidRPr="00CE3B63">
        <w:rPr>
          <w:rFonts w:ascii="Arial" w:hAnsi="Arial" w:cs="Arial"/>
          <w:sz w:val="22"/>
          <w:szCs w:val="22"/>
        </w:rPr>
        <w:t>subjected to comparable shocks.</w:t>
      </w:r>
    </w:p>
    <w:p w14:paraId="2D4A6BD1" w14:textId="2F486A89" w:rsidR="00321B9C" w:rsidRDefault="00CE3B63" w:rsidP="00321B9C">
      <w:pPr>
        <w:spacing w:after="0" w:line="360" w:lineRule="auto"/>
        <w:ind w:firstLine="567"/>
        <w:jc w:val="both"/>
        <w:rPr>
          <w:rFonts w:ascii="Arial" w:hAnsi="Arial" w:cs="Arial"/>
          <w:sz w:val="22"/>
          <w:szCs w:val="22"/>
        </w:rPr>
      </w:pPr>
      <w:r w:rsidRPr="00CE3B63">
        <w:rPr>
          <w:rFonts w:ascii="Arial" w:hAnsi="Arial" w:cs="Arial"/>
          <w:sz w:val="22"/>
          <w:szCs w:val="22"/>
        </w:rPr>
        <w:t xml:space="preserve">This conditionality is further reinforced by digital capabilities. Stronger resilience (0.40-0.65) is often associated with higher DCI scores (0.12-0.44), but discrepancies </w:t>
      </w:r>
      <w:r w:rsidR="00897FE6">
        <w:rPr>
          <w:rFonts w:ascii="Arial" w:hAnsi="Arial" w:cs="Arial"/>
          <w:sz w:val="22"/>
          <w:szCs w:val="22"/>
        </w:rPr>
        <w:t>indicate that technology doesn't work without</w:t>
      </w:r>
      <w:r w:rsidRPr="00CE3B63">
        <w:rPr>
          <w:rFonts w:ascii="Arial" w:hAnsi="Arial" w:cs="Arial"/>
          <w:sz w:val="22"/>
          <w:szCs w:val="22"/>
        </w:rPr>
        <w:t xml:space="preserve"> coordination. The key takeaway is that resilience is driven by capabilities rather than resources. Successful orchestration is necessary to </w:t>
      </w:r>
      <w:r w:rsidR="00897FE6">
        <w:rPr>
          <w:rFonts w:ascii="Arial" w:hAnsi="Arial" w:cs="Arial"/>
          <w:sz w:val="22"/>
          <w:szCs w:val="22"/>
        </w:rPr>
        <w:t xml:space="preserve">align inventory, cost absorption, and route flexibility </w:t>
      </w:r>
      <w:r w:rsidRPr="00CE3B63">
        <w:rPr>
          <w:rFonts w:ascii="Arial" w:hAnsi="Arial" w:cs="Arial"/>
          <w:sz w:val="22"/>
          <w:szCs w:val="22"/>
        </w:rPr>
        <w:t>to produce value.</w:t>
      </w:r>
    </w:p>
    <w:p w14:paraId="273514D1" w14:textId="69EC6779" w:rsidR="00CE3B63" w:rsidRPr="00CE3B63" w:rsidRDefault="00CE3B63" w:rsidP="00321B9C">
      <w:pPr>
        <w:spacing w:after="0" w:line="360" w:lineRule="auto"/>
        <w:ind w:firstLine="567"/>
        <w:jc w:val="both"/>
        <w:rPr>
          <w:rFonts w:ascii="Arial" w:hAnsi="Arial" w:cs="Arial"/>
          <w:sz w:val="22"/>
          <w:szCs w:val="22"/>
        </w:rPr>
      </w:pPr>
      <w:r w:rsidRPr="00CE3B63">
        <w:rPr>
          <w:rFonts w:ascii="Arial" w:hAnsi="Arial" w:cs="Arial"/>
          <w:sz w:val="22"/>
          <w:szCs w:val="22"/>
        </w:rPr>
        <w:t>A hybrid JIT-JIC system is a progression, not a compromise, in the long run. Firms' ability to strategically combine physical buffers with digital and operational capabilities determines the success of these efforts. Better management, not more resources, is what builds resilience.</w:t>
      </w:r>
    </w:p>
    <w:p w14:paraId="5C385984" w14:textId="77777777" w:rsidR="00CE3B63" w:rsidRPr="00FC3BEA" w:rsidRDefault="00CE3B63" w:rsidP="009D21F5">
      <w:pPr>
        <w:spacing w:after="0" w:line="360" w:lineRule="auto"/>
        <w:ind w:firstLine="567"/>
        <w:jc w:val="both"/>
        <w:rPr>
          <w:rFonts w:ascii="Arial" w:hAnsi="Arial" w:cs="Arial"/>
          <w:sz w:val="22"/>
          <w:szCs w:val="22"/>
        </w:rPr>
      </w:pPr>
    </w:p>
    <w:p w14:paraId="7196B2F1" w14:textId="77777777" w:rsidR="00FC3BEA" w:rsidRDefault="00FC3BEA" w:rsidP="00A92367">
      <w:pPr>
        <w:spacing w:after="0" w:line="360" w:lineRule="auto"/>
        <w:jc w:val="both"/>
        <w:rPr>
          <w:rFonts w:ascii="Arial" w:hAnsi="Arial" w:cs="Arial"/>
          <w:sz w:val="22"/>
          <w:szCs w:val="22"/>
        </w:rPr>
      </w:pPr>
    </w:p>
    <w:p w14:paraId="4C16985B" w14:textId="77777777" w:rsidR="002667DD" w:rsidRDefault="002667DD" w:rsidP="00A92367">
      <w:pPr>
        <w:spacing w:after="0" w:line="360" w:lineRule="auto"/>
        <w:jc w:val="both"/>
        <w:rPr>
          <w:rFonts w:ascii="Arial" w:hAnsi="Arial" w:cs="Arial"/>
          <w:sz w:val="22"/>
          <w:szCs w:val="22"/>
        </w:rPr>
      </w:pPr>
    </w:p>
    <w:p w14:paraId="1B6AE454" w14:textId="77777777" w:rsidR="002667DD" w:rsidRDefault="002667DD" w:rsidP="00A92367">
      <w:pPr>
        <w:spacing w:after="0" w:line="360" w:lineRule="auto"/>
        <w:jc w:val="both"/>
        <w:rPr>
          <w:rFonts w:ascii="Arial" w:hAnsi="Arial" w:cs="Arial"/>
          <w:sz w:val="22"/>
          <w:szCs w:val="22"/>
        </w:rPr>
      </w:pPr>
    </w:p>
    <w:p w14:paraId="799B5EBD" w14:textId="77777777" w:rsidR="002004D7" w:rsidRDefault="002004D7" w:rsidP="00A92367">
      <w:pPr>
        <w:spacing w:after="0" w:line="360" w:lineRule="auto"/>
        <w:jc w:val="both"/>
        <w:rPr>
          <w:rFonts w:ascii="Arial" w:hAnsi="Arial" w:cs="Arial"/>
          <w:sz w:val="22"/>
          <w:szCs w:val="22"/>
        </w:rPr>
      </w:pPr>
    </w:p>
    <w:p w14:paraId="660310D7" w14:textId="792D22B5" w:rsidR="00A92367" w:rsidRDefault="00B03C07" w:rsidP="00A92367">
      <w:pPr>
        <w:spacing w:after="0" w:line="360" w:lineRule="auto"/>
        <w:rPr>
          <w:rFonts w:ascii="Arial" w:hAnsi="Arial" w:cs="Arial"/>
          <w:b/>
          <w:bCs/>
          <w:sz w:val="22"/>
          <w:szCs w:val="22"/>
        </w:rPr>
      </w:pPr>
      <w:r w:rsidRPr="00B03C07">
        <w:rPr>
          <w:rFonts w:ascii="Arial" w:hAnsi="Arial" w:cs="Arial"/>
          <w:b/>
          <w:bCs/>
          <w:sz w:val="22"/>
          <w:szCs w:val="22"/>
        </w:rPr>
        <w:lastRenderedPageBreak/>
        <w:t>References:</w:t>
      </w:r>
    </w:p>
    <w:p w14:paraId="390FB5C3" w14:textId="77777777" w:rsidR="003F7258" w:rsidRPr="00685F2F" w:rsidRDefault="003F7258" w:rsidP="00685F2F">
      <w:pPr>
        <w:spacing w:after="0" w:line="360" w:lineRule="auto"/>
        <w:rPr>
          <w:rFonts w:ascii="Arial" w:hAnsi="Arial" w:cs="Arial"/>
          <w:sz w:val="22"/>
          <w:szCs w:val="22"/>
        </w:rPr>
      </w:pPr>
    </w:p>
    <w:p w14:paraId="2ABCD601"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48"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7ADE4674" w14:textId="77777777" w:rsidR="00AF52A9" w:rsidRPr="00B44313" w:rsidRDefault="00AF52A9" w:rsidP="009F1C03">
      <w:pPr>
        <w:spacing w:after="0" w:line="360" w:lineRule="auto"/>
        <w:rPr>
          <w:rFonts w:ascii="Arial" w:hAnsi="Arial" w:cs="Arial"/>
          <w:sz w:val="22"/>
          <w:szCs w:val="22"/>
        </w:rPr>
      </w:pPr>
    </w:p>
    <w:p w14:paraId="296AA7E0"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49"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41CEC9B7" w14:textId="77777777" w:rsidR="00AF52A9" w:rsidRPr="00B44313" w:rsidRDefault="00AF52A9" w:rsidP="009F1C03">
      <w:pPr>
        <w:spacing w:after="0" w:line="360" w:lineRule="auto"/>
        <w:rPr>
          <w:rFonts w:ascii="Arial" w:hAnsi="Arial" w:cs="Arial"/>
          <w:sz w:val="22"/>
          <w:szCs w:val="22"/>
        </w:rPr>
      </w:pPr>
    </w:p>
    <w:p w14:paraId="7BB70919"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50"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4129EB97" w14:textId="77777777" w:rsidR="00AF52A9" w:rsidRPr="00B44313" w:rsidRDefault="00AF52A9" w:rsidP="009F1C03">
      <w:pPr>
        <w:spacing w:after="0" w:line="360" w:lineRule="auto"/>
        <w:rPr>
          <w:rFonts w:ascii="Arial" w:hAnsi="Arial" w:cs="Arial"/>
          <w:sz w:val="22"/>
          <w:szCs w:val="22"/>
        </w:rPr>
      </w:pPr>
    </w:p>
    <w:p w14:paraId="37E50449"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51"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2A75CB85" w14:textId="77777777" w:rsidR="00AF52A9" w:rsidRPr="00B44313" w:rsidRDefault="00AF52A9" w:rsidP="009F1C03">
      <w:pPr>
        <w:spacing w:after="0" w:line="360" w:lineRule="auto"/>
        <w:rPr>
          <w:rFonts w:ascii="Arial" w:hAnsi="Arial" w:cs="Arial"/>
          <w:sz w:val="22"/>
          <w:szCs w:val="22"/>
        </w:rPr>
      </w:pPr>
    </w:p>
    <w:p w14:paraId="67E23644"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52"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1677048C" w14:textId="77777777" w:rsidR="00AF52A9" w:rsidRPr="00B44313" w:rsidRDefault="00AF52A9" w:rsidP="009F1C03">
      <w:pPr>
        <w:spacing w:after="0" w:line="360" w:lineRule="auto"/>
        <w:rPr>
          <w:rFonts w:ascii="Arial" w:hAnsi="Arial" w:cs="Arial"/>
          <w:sz w:val="22"/>
          <w:szCs w:val="22"/>
        </w:rPr>
      </w:pPr>
    </w:p>
    <w:p w14:paraId="6C48AF0F" w14:textId="77777777" w:rsidR="003F7258" w:rsidRPr="00B44313" w:rsidRDefault="003F7258" w:rsidP="009F1C03">
      <w:pPr>
        <w:spacing w:after="0" w:line="360" w:lineRule="auto"/>
        <w:rPr>
          <w:rFonts w:ascii="Arial" w:hAnsi="Arial" w:cs="Arial"/>
          <w:sz w:val="22"/>
          <w:szCs w:val="22"/>
        </w:rPr>
      </w:pPr>
      <w:r w:rsidRPr="00B44313">
        <w:rPr>
          <w:rFonts w:ascii="Arial" w:hAnsi="Arial" w:cs="Arial"/>
          <w:sz w:val="22"/>
          <w:szCs w:val="22"/>
        </w:rPr>
        <w:t xml:space="preserve">Alexander Dennis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53" w:tgtFrame="_new" w:history="1">
        <w:r w:rsidRPr="00B44313">
          <w:rPr>
            <w:rStyle w:val="Hyperlink"/>
            <w:rFonts w:ascii="Arial" w:hAnsi="Arial" w:cs="Arial"/>
            <w:color w:val="auto"/>
            <w:sz w:val="22"/>
            <w:szCs w:val="22"/>
          </w:rPr>
          <w:t>https://find-and-update.company-information.service.gov.uk/company/SC268016/filing-history</w:t>
        </w:r>
      </w:hyperlink>
      <w:r w:rsidRPr="00B44313">
        <w:rPr>
          <w:rFonts w:ascii="Arial" w:hAnsi="Arial" w:cs="Arial"/>
          <w:sz w:val="22"/>
          <w:szCs w:val="22"/>
        </w:rPr>
        <w:t xml:space="preserve"> (Accessed: 12/02/2026).</w:t>
      </w:r>
    </w:p>
    <w:p w14:paraId="776FC24B" w14:textId="77777777" w:rsidR="00AF52A9" w:rsidRPr="00B44313" w:rsidRDefault="00AF52A9" w:rsidP="009F1C03">
      <w:pPr>
        <w:spacing w:after="0" w:line="360" w:lineRule="auto"/>
        <w:rPr>
          <w:rFonts w:ascii="Arial" w:hAnsi="Arial" w:cs="Arial"/>
          <w:sz w:val="22"/>
          <w:szCs w:val="22"/>
        </w:rPr>
      </w:pPr>
    </w:p>
    <w:p w14:paraId="0847CB71" w14:textId="4A758984" w:rsidR="00AF52A9" w:rsidRPr="00B44313" w:rsidRDefault="007C6519" w:rsidP="00813CEE">
      <w:pPr>
        <w:spacing w:after="0" w:line="360" w:lineRule="auto"/>
        <w:rPr>
          <w:rFonts w:ascii="Arial" w:hAnsi="Arial" w:cs="Arial"/>
          <w:sz w:val="22"/>
          <w:szCs w:val="22"/>
        </w:rPr>
      </w:pPr>
      <w:r w:rsidRPr="00B44313">
        <w:rPr>
          <w:rFonts w:ascii="Arial" w:hAnsi="Arial" w:cs="Arial"/>
          <w:sz w:val="22"/>
          <w:szCs w:val="22"/>
        </w:rPr>
        <w:t xml:space="preserve">Ali, A., Ismail, A. and Arslan, M. (2023) ‘Supply chain complexity and geopolitical risk’, </w:t>
      </w:r>
      <w:r w:rsidRPr="00B44313">
        <w:rPr>
          <w:rFonts w:ascii="Arial" w:hAnsi="Arial" w:cs="Arial"/>
          <w:i/>
          <w:iCs/>
          <w:sz w:val="22"/>
          <w:szCs w:val="22"/>
        </w:rPr>
        <w:t>Journal of Global Operations</w:t>
      </w:r>
      <w:r w:rsidRPr="00B44313">
        <w:rPr>
          <w:rFonts w:ascii="Arial" w:hAnsi="Arial" w:cs="Arial"/>
          <w:sz w:val="22"/>
          <w:szCs w:val="22"/>
        </w:rPr>
        <w:t>, 12(1), pp. 45–63</w:t>
      </w:r>
    </w:p>
    <w:p w14:paraId="2FD5E189" w14:textId="77777777" w:rsidR="007C6519" w:rsidRPr="00B44313" w:rsidRDefault="007C6519" w:rsidP="00813CEE">
      <w:pPr>
        <w:spacing w:after="0" w:line="360" w:lineRule="auto"/>
        <w:rPr>
          <w:rFonts w:ascii="Arial" w:hAnsi="Arial" w:cs="Arial"/>
          <w:sz w:val="22"/>
          <w:szCs w:val="22"/>
        </w:rPr>
      </w:pPr>
    </w:p>
    <w:p w14:paraId="44C83FD4" w14:textId="21E278FA"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t xml:space="preserve">Aston Martin Lagonda Limited (2019)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4"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3BB2E683" w14:textId="77777777" w:rsidR="007C6519" w:rsidRPr="00B44313" w:rsidRDefault="007C6519" w:rsidP="00813CEE">
      <w:pPr>
        <w:spacing w:after="0" w:line="360" w:lineRule="auto"/>
        <w:rPr>
          <w:rFonts w:ascii="Arial" w:hAnsi="Arial" w:cs="Arial"/>
          <w:sz w:val="22"/>
          <w:szCs w:val="22"/>
        </w:rPr>
      </w:pPr>
    </w:p>
    <w:p w14:paraId="5145702C" w14:textId="77777777"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t xml:space="preserve">Aston Martin Lagonda Limited (2020)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5"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6FED1EC0" w14:textId="77777777"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lastRenderedPageBreak/>
        <w:t xml:space="preserve">Aston Martin Lagonda Limited (2021)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6"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5761DC42" w14:textId="77777777" w:rsidR="007C6519" w:rsidRPr="00B44313" w:rsidRDefault="007C6519" w:rsidP="00813CEE">
      <w:pPr>
        <w:spacing w:after="0" w:line="360" w:lineRule="auto"/>
        <w:rPr>
          <w:rFonts w:ascii="Arial" w:hAnsi="Arial" w:cs="Arial"/>
          <w:sz w:val="22"/>
          <w:szCs w:val="22"/>
        </w:rPr>
      </w:pPr>
    </w:p>
    <w:p w14:paraId="76C192A0" w14:textId="77777777"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t xml:space="preserve">Aston Martin Lagonda Limited (2022)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7"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54118DD4" w14:textId="77777777" w:rsidR="007C6519" w:rsidRPr="00B44313" w:rsidRDefault="007C6519" w:rsidP="00813CEE">
      <w:pPr>
        <w:spacing w:after="0" w:line="360" w:lineRule="auto"/>
        <w:rPr>
          <w:rFonts w:ascii="Arial" w:hAnsi="Arial" w:cs="Arial"/>
          <w:sz w:val="22"/>
          <w:szCs w:val="22"/>
        </w:rPr>
      </w:pPr>
    </w:p>
    <w:p w14:paraId="7B22ED19" w14:textId="77777777"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t xml:space="preserve">Aston Martin Lagonda Limited (2023)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8"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424AAEA8" w14:textId="77777777" w:rsidR="007C6519" w:rsidRPr="00B44313" w:rsidRDefault="007C6519" w:rsidP="00813CEE">
      <w:pPr>
        <w:spacing w:after="0" w:line="360" w:lineRule="auto"/>
        <w:rPr>
          <w:rFonts w:ascii="Arial" w:hAnsi="Arial" w:cs="Arial"/>
          <w:sz w:val="22"/>
          <w:szCs w:val="22"/>
        </w:rPr>
      </w:pPr>
    </w:p>
    <w:p w14:paraId="05EEC45B" w14:textId="77777777" w:rsidR="003F7258" w:rsidRPr="00B44313" w:rsidRDefault="003F7258" w:rsidP="00813CEE">
      <w:pPr>
        <w:spacing w:after="0" w:line="360" w:lineRule="auto"/>
        <w:rPr>
          <w:rFonts w:ascii="Arial" w:hAnsi="Arial" w:cs="Arial"/>
          <w:sz w:val="22"/>
          <w:szCs w:val="22"/>
        </w:rPr>
      </w:pPr>
      <w:r w:rsidRPr="00B44313">
        <w:rPr>
          <w:rFonts w:ascii="Arial" w:hAnsi="Arial" w:cs="Arial"/>
          <w:sz w:val="22"/>
          <w:szCs w:val="22"/>
        </w:rPr>
        <w:t xml:space="preserve">Aston Martin Lagonda Limited (2024)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59" w:tgtFrame="_new" w:history="1">
        <w:r w:rsidRPr="00B44313">
          <w:rPr>
            <w:rStyle w:val="Hyperlink"/>
            <w:rFonts w:ascii="Arial" w:hAnsi="Arial" w:cs="Arial"/>
            <w:color w:val="auto"/>
            <w:sz w:val="22"/>
            <w:szCs w:val="22"/>
          </w:rPr>
          <w:t>https://find-and-update.company-information.service.gov.uk/company/01199255</w:t>
        </w:r>
      </w:hyperlink>
      <w:r w:rsidRPr="00B44313">
        <w:rPr>
          <w:rFonts w:ascii="Arial" w:hAnsi="Arial" w:cs="Arial"/>
          <w:sz w:val="22"/>
          <w:szCs w:val="22"/>
        </w:rPr>
        <w:t xml:space="preserve"> (Accessed: 12/02/2026).</w:t>
      </w:r>
    </w:p>
    <w:p w14:paraId="1BDBC121" w14:textId="77777777" w:rsidR="007C6519" w:rsidRPr="00B44313" w:rsidRDefault="007C6519" w:rsidP="00813CEE">
      <w:pPr>
        <w:spacing w:after="0" w:line="360" w:lineRule="auto"/>
        <w:rPr>
          <w:rFonts w:ascii="Arial" w:hAnsi="Arial" w:cs="Arial"/>
          <w:sz w:val="22"/>
          <w:szCs w:val="22"/>
        </w:rPr>
      </w:pPr>
    </w:p>
    <w:p w14:paraId="33EF9CAB" w14:textId="77777777" w:rsidR="003F7258" w:rsidRPr="00B44313" w:rsidRDefault="003F7258" w:rsidP="00A92367">
      <w:pPr>
        <w:spacing w:after="0" w:line="360" w:lineRule="auto"/>
        <w:rPr>
          <w:rFonts w:ascii="Arial" w:hAnsi="Arial" w:cs="Arial"/>
          <w:sz w:val="22"/>
          <w:szCs w:val="22"/>
        </w:rPr>
      </w:pPr>
      <w:r w:rsidRPr="00B44313">
        <w:rPr>
          <w:rFonts w:ascii="Arial" w:hAnsi="Arial" w:cs="Arial"/>
          <w:sz w:val="22"/>
          <w:szCs w:val="22"/>
        </w:rPr>
        <w:t xml:space="preserve">Aston University Publications (2024) </w:t>
      </w:r>
      <w:r w:rsidRPr="00B44313">
        <w:rPr>
          <w:rFonts w:ascii="Arial" w:hAnsi="Arial" w:cs="Arial"/>
          <w:i/>
          <w:iCs/>
          <w:sz w:val="22"/>
          <w:szCs w:val="22"/>
        </w:rPr>
        <w:t>Buffering in automotive supply chains</w:t>
      </w:r>
      <w:r w:rsidRPr="00B44313">
        <w:rPr>
          <w:rFonts w:ascii="Arial" w:hAnsi="Arial" w:cs="Arial"/>
          <w:sz w:val="22"/>
          <w:szCs w:val="22"/>
        </w:rPr>
        <w:t xml:space="preserve">. Available at: </w:t>
      </w:r>
      <w:hyperlink r:id="rId60" w:history="1">
        <w:r w:rsidRPr="00B44313">
          <w:rPr>
            <w:rStyle w:val="Hyperlink"/>
            <w:rFonts w:ascii="Arial" w:hAnsi="Arial" w:cs="Arial"/>
            <w:color w:val="auto"/>
            <w:sz w:val="22"/>
            <w:szCs w:val="22"/>
          </w:rPr>
          <w:t>https://publications.aston.ac.uk/buffering-automotive-supply-chains/</w:t>
        </w:r>
      </w:hyperlink>
      <w:r w:rsidRPr="00B44313">
        <w:rPr>
          <w:rFonts w:ascii="Arial" w:hAnsi="Arial" w:cs="Arial"/>
          <w:sz w:val="22"/>
          <w:szCs w:val="22"/>
        </w:rPr>
        <w:t xml:space="preserve"> (publications.aston.ac.uk in Bing) (Accessed: 04/02/2026).</w:t>
      </w:r>
    </w:p>
    <w:p w14:paraId="5122CB48" w14:textId="77777777" w:rsidR="006F0EF5" w:rsidRPr="00B44313" w:rsidRDefault="006F0EF5" w:rsidP="00A92367">
      <w:pPr>
        <w:spacing w:after="0" w:line="360" w:lineRule="auto"/>
        <w:rPr>
          <w:rFonts w:ascii="Arial" w:hAnsi="Arial" w:cs="Arial"/>
          <w:sz w:val="22"/>
          <w:szCs w:val="22"/>
        </w:rPr>
      </w:pPr>
    </w:p>
    <w:p w14:paraId="2488DCB9" w14:textId="071C0376" w:rsidR="00CD6018" w:rsidRPr="00B44313" w:rsidRDefault="009C6793" w:rsidP="00A92367">
      <w:pPr>
        <w:spacing w:after="0" w:line="360" w:lineRule="auto"/>
        <w:rPr>
          <w:rFonts w:ascii="Arial" w:hAnsi="Arial" w:cs="Arial"/>
          <w:sz w:val="22"/>
          <w:szCs w:val="22"/>
        </w:rPr>
      </w:pPr>
      <w:r w:rsidRPr="00B44313">
        <w:rPr>
          <w:rFonts w:ascii="Arial" w:hAnsi="Arial" w:cs="Arial"/>
          <w:sz w:val="22"/>
          <w:szCs w:val="22"/>
        </w:rPr>
        <w:t>Bag, S., Dhamija, P., Luthra, S. and Huisingh, D. (2023) ‘How big data analytics can help manufacturing companies strengthen supply chain resilience in the context of the COVID</w:t>
      </w:r>
      <w:r w:rsidRPr="00B44313">
        <w:rPr>
          <w:rFonts w:ascii="Arial" w:hAnsi="Arial" w:cs="Arial"/>
          <w:sz w:val="22"/>
          <w:szCs w:val="22"/>
        </w:rPr>
        <w:noBreakHyphen/>
        <w:t xml:space="preserve">19 pandemic’, </w:t>
      </w:r>
      <w:r w:rsidRPr="00B44313">
        <w:rPr>
          <w:rFonts w:ascii="Arial" w:hAnsi="Arial" w:cs="Arial"/>
          <w:i/>
          <w:iCs/>
          <w:sz w:val="22"/>
          <w:szCs w:val="22"/>
        </w:rPr>
        <w:t>International Journal of Logistics Management</w:t>
      </w:r>
      <w:r w:rsidRPr="00B44313">
        <w:rPr>
          <w:rFonts w:ascii="Arial" w:hAnsi="Arial" w:cs="Arial"/>
          <w:sz w:val="22"/>
          <w:szCs w:val="22"/>
        </w:rPr>
        <w:t xml:space="preserve">, 34(4), pp. 1141–1164. Available at: </w:t>
      </w:r>
      <w:hyperlink r:id="rId61" w:history="1">
        <w:r w:rsidRPr="00B44313">
          <w:rPr>
            <w:rStyle w:val="Hyperlink"/>
            <w:rFonts w:ascii="Arial" w:hAnsi="Arial" w:cs="Arial"/>
            <w:color w:val="auto"/>
            <w:sz w:val="22"/>
            <w:szCs w:val="22"/>
          </w:rPr>
          <w:t>https://doi.org/10.1108/IJLM</w:t>
        </w:r>
        <w:r w:rsidRPr="00B44313">
          <w:rPr>
            <w:rStyle w:val="Hyperlink"/>
            <w:rFonts w:ascii="Arial" w:hAnsi="Arial" w:cs="Arial"/>
            <w:color w:val="auto"/>
            <w:sz w:val="22"/>
            <w:szCs w:val="22"/>
          </w:rPr>
          <w:noBreakHyphen/>
          <w:t>03</w:t>
        </w:r>
        <w:r w:rsidRPr="00B44313">
          <w:rPr>
            <w:rStyle w:val="Hyperlink"/>
            <w:rFonts w:ascii="Arial" w:hAnsi="Arial" w:cs="Arial"/>
            <w:color w:val="auto"/>
            <w:sz w:val="22"/>
            <w:szCs w:val="22"/>
          </w:rPr>
          <w:noBreakHyphen/>
          <w:t>2022</w:t>
        </w:r>
        <w:r w:rsidRPr="00B44313">
          <w:rPr>
            <w:rStyle w:val="Hyperlink"/>
            <w:rFonts w:ascii="Arial" w:hAnsi="Arial" w:cs="Arial"/>
            <w:color w:val="auto"/>
            <w:sz w:val="22"/>
            <w:szCs w:val="22"/>
          </w:rPr>
          <w:noBreakHyphen/>
          <w:t>0126</w:t>
        </w:r>
      </w:hyperlink>
      <w:r w:rsidRPr="00B44313">
        <w:rPr>
          <w:rFonts w:ascii="Arial" w:hAnsi="Arial" w:cs="Arial"/>
          <w:sz w:val="22"/>
          <w:szCs w:val="22"/>
        </w:rPr>
        <w:t>. (Accessed: 02/04/2026).</w:t>
      </w:r>
    </w:p>
    <w:p w14:paraId="4DBE6D03" w14:textId="77777777" w:rsidR="00905EDF" w:rsidRPr="00B44313" w:rsidRDefault="00905EDF" w:rsidP="00A92367">
      <w:pPr>
        <w:spacing w:after="0" w:line="360" w:lineRule="auto"/>
        <w:rPr>
          <w:rFonts w:ascii="Arial" w:hAnsi="Arial" w:cs="Arial"/>
          <w:sz w:val="22"/>
          <w:szCs w:val="22"/>
        </w:rPr>
      </w:pPr>
    </w:p>
    <w:p w14:paraId="2648F2B1" w14:textId="77777777" w:rsidR="00905EDF" w:rsidRPr="00B44313" w:rsidRDefault="00905EDF" w:rsidP="00905EDF">
      <w:pPr>
        <w:spacing w:after="0" w:line="360" w:lineRule="auto"/>
        <w:rPr>
          <w:rFonts w:ascii="Arial" w:hAnsi="Arial" w:cs="Arial"/>
          <w:sz w:val="22"/>
          <w:szCs w:val="22"/>
        </w:rPr>
      </w:pPr>
      <w:r w:rsidRPr="00B44313">
        <w:rPr>
          <w:rFonts w:ascii="Arial" w:hAnsi="Arial" w:cs="Arial"/>
          <w:sz w:val="22"/>
          <w:szCs w:val="22"/>
        </w:rPr>
        <w:t xml:space="preserve">Barney, J. (2012) </w:t>
      </w:r>
      <w:r w:rsidRPr="00B44313">
        <w:rPr>
          <w:rFonts w:ascii="Arial" w:hAnsi="Arial" w:cs="Arial"/>
          <w:i/>
          <w:iCs/>
          <w:sz w:val="22"/>
          <w:szCs w:val="22"/>
        </w:rPr>
        <w:t>Gaining and sustaining competitive advantage</w:t>
      </w:r>
      <w:r w:rsidRPr="00B44313">
        <w:rPr>
          <w:rFonts w:ascii="Arial" w:hAnsi="Arial" w:cs="Arial"/>
          <w:sz w:val="22"/>
          <w:szCs w:val="22"/>
        </w:rPr>
        <w:t xml:space="preserve">. 4th </w:t>
      </w:r>
      <w:proofErr w:type="spellStart"/>
      <w:r w:rsidRPr="00B44313">
        <w:rPr>
          <w:rFonts w:ascii="Arial" w:hAnsi="Arial" w:cs="Arial"/>
          <w:sz w:val="22"/>
          <w:szCs w:val="22"/>
        </w:rPr>
        <w:t>edn</w:t>
      </w:r>
      <w:proofErr w:type="spellEnd"/>
      <w:r w:rsidRPr="00B44313">
        <w:rPr>
          <w:rFonts w:ascii="Arial" w:hAnsi="Arial" w:cs="Arial"/>
          <w:sz w:val="22"/>
          <w:szCs w:val="22"/>
        </w:rPr>
        <w:t>. Harlow: Pearson. Available at: https://www.pearson.com/en-gb/subject-catalog/p/gaining-and-sustaining-competitive-advantage/P200000003209 (Accessed: 18/03/2026).</w:t>
      </w:r>
    </w:p>
    <w:p w14:paraId="33E6C404" w14:textId="77777777" w:rsidR="00FA618A" w:rsidRPr="00B44313" w:rsidRDefault="00FA618A" w:rsidP="00905EDF">
      <w:pPr>
        <w:spacing w:after="0" w:line="360" w:lineRule="auto"/>
        <w:rPr>
          <w:rFonts w:ascii="Arial" w:hAnsi="Arial" w:cs="Arial"/>
          <w:sz w:val="22"/>
          <w:szCs w:val="22"/>
        </w:rPr>
      </w:pPr>
    </w:p>
    <w:p w14:paraId="57933336" w14:textId="77777777" w:rsidR="00905EDF" w:rsidRPr="00B44313" w:rsidRDefault="00905EDF" w:rsidP="00905EDF">
      <w:pPr>
        <w:spacing w:after="0" w:line="360" w:lineRule="auto"/>
        <w:rPr>
          <w:rFonts w:ascii="Arial" w:hAnsi="Arial" w:cs="Arial"/>
          <w:sz w:val="22"/>
          <w:szCs w:val="22"/>
        </w:rPr>
      </w:pPr>
      <w:proofErr w:type="spellStart"/>
      <w:r w:rsidRPr="00B44313">
        <w:rPr>
          <w:rFonts w:ascii="Arial" w:hAnsi="Arial" w:cs="Arial"/>
          <w:sz w:val="22"/>
          <w:szCs w:val="22"/>
        </w:rPr>
        <w:t>Bechtsis</w:t>
      </w:r>
      <w:proofErr w:type="spellEnd"/>
      <w:r w:rsidRPr="00B44313">
        <w:rPr>
          <w:rFonts w:ascii="Arial" w:hAnsi="Arial" w:cs="Arial"/>
          <w:sz w:val="22"/>
          <w:szCs w:val="22"/>
        </w:rPr>
        <w:t xml:space="preserve">, D., Tsolakis, N., Iakovou, E. and Vlachos, D. (2022) ‘Data-driven secure, resilient and sustainable supply chains: Gaps, opportunities, and a new generalised data sharing and monetisation framework’, </w:t>
      </w:r>
      <w:r w:rsidRPr="00B44313">
        <w:rPr>
          <w:rFonts w:ascii="Arial" w:hAnsi="Arial" w:cs="Arial"/>
          <w:i/>
          <w:iCs/>
          <w:sz w:val="22"/>
          <w:szCs w:val="22"/>
        </w:rPr>
        <w:t>International Journal of Production Research</w:t>
      </w:r>
      <w:r w:rsidRPr="00B44313">
        <w:rPr>
          <w:rFonts w:ascii="Arial" w:hAnsi="Arial" w:cs="Arial"/>
          <w:sz w:val="22"/>
          <w:szCs w:val="22"/>
        </w:rPr>
        <w:t xml:space="preserve">, 60(14), pp. 4397–4417. Available at: </w:t>
      </w:r>
      <w:hyperlink r:id="rId62" w:tgtFrame="_new" w:history="1">
        <w:r w:rsidRPr="00B44313">
          <w:rPr>
            <w:rStyle w:val="Hyperlink"/>
            <w:rFonts w:ascii="Arial" w:hAnsi="Arial" w:cs="Arial"/>
            <w:color w:val="auto"/>
            <w:sz w:val="22"/>
            <w:szCs w:val="22"/>
          </w:rPr>
          <w:t>https://www.tandfonline.com/doi/full/10.1080/00207543.2021.1957506</w:t>
        </w:r>
      </w:hyperlink>
      <w:r w:rsidRPr="00B44313">
        <w:rPr>
          <w:rFonts w:ascii="Arial" w:hAnsi="Arial" w:cs="Arial"/>
          <w:sz w:val="22"/>
          <w:szCs w:val="22"/>
        </w:rPr>
        <w:t xml:space="preserve"> (Accessed: 02/04/2026).</w:t>
      </w:r>
    </w:p>
    <w:p w14:paraId="44BACA6A" w14:textId="77777777" w:rsidR="00FA618A" w:rsidRPr="00B44313" w:rsidRDefault="00FA618A" w:rsidP="00905EDF">
      <w:pPr>
        <w:spacing w:after="0" w:line="360" w:lineRule="auto"/>
        <w:rPr>
          <w:rFonts w:ascii="Arial" w:hAnsi="Arial" w:cs="Arial"/>
          <w:sz w:val="22"/>
          <w:szCs w:val="22"/>
        </w:rPr>
      </w:pPr>
    </w:p>
    <w:p w14:paraId="7DC6427F" w14:textId="67C965F3" w:rsidR="00905EDF" w:rsidRPr="00B44313" w:rsidRDefault="00905EDF" w:rsidP="001552ED">
      <w:pPr>
        <w:spacing w:after="0" w:line="360" w:lineRule="auto"/>
        <w:rPr>
          <w:rFonts w:ascii="Arial" w:hAnsi="Arial" w:cs="Arial"/>
          <w:sz w:val="22"/>
          <w:szCs w:val="22"/>
        </w:rPr>
      </w:pPr>
      <w:r w:rsidRPr="00B44313">
        <w:rPr>
          <w:rFonts w:ascii="Arial" w:hAnsi="Arial" w:cs="Arial"/>
          <w:sz w:val="22"/>
          <w:szCs w:val="22"/>
        </w:rPr>
        <w:t xml:space="preserve">Belhadi, A., Kamble, S., Fosso Wamba, S. and Queiroz, M.M. (2022) ‘Building supply-chain resilience: An artificial intelligence-based technique and decision-making framework’, </w:t>
      </w:r>
      <w:r w:rsidRPr="00B44313">
        <w:rPr>
          <w:rFonts w:ascii="Arial" w:hAnsi="Arial" w:cs="Arial"/>
          <w:i/>
          <w:iCs/>
          <w:sz w:val="22"/>
          <w:szCs w:val="22"/>
        </w:rPr>
        <w:lastRenderedPageBreak/>
        <w:t>International Journal of Production Research</w:t>
      </w:r>
      <w:r w:rsidRPr="00B44313">
        <w:rPr>
          <w:rFonts w:ascii="Arial" w:hAnsi="Arial" w:cs="Arial"/>
          <w:sz w:val="22"/>
          <w:szCs w:val="22"/>
        </w:rPr>
        <w:t xml:space="preserve">, 60(14), pp. 4487–4507. Available at: </w:t>
      </w:r>
      <w:hyperlink r:id="rId63" w:tgtFrame="_new" w:history="1">
        <w:r w:rsidRPr="00B44313">
          <w:rPr>
            <w:rStyle w:val="Hyperlink"/>
            <w:rFonts w:ascii="Arial" w:hAnsi="Arial" w:cs="Arial"/>
            <w:color w:val="auto"/>
            <w:sz w:val="22"/>
            <w:szCs w:val="22"/>
          </w:rPr>
          <w:t>https://www.tandfonline.com/doi/full/10.1080/00207543.2021.1950935</w:t>
        </w:r>
      </w:hyperlink>
      <w:r w:rsidRPr="00B44313">
        <w:rPr>
          <w:rFonts w:ascii="Arial" w:hAnsi="Arial" w:cs="Arial"/>
          <w:sz w:val="22"/>
          <w:szCs w:val="22"/>
        </w:rPr>
        <w:t xml:space="preserve"> (Accessed: 27/03/2026).</w:t>
      </w:r>
    </w:p>
    <w:p w14:paraId="089283E0" w14:textId="77777777" w:rsidR="001F4691" w:rsidRPr="00B44313" w:rsidRDefault="001F4691" w:rsidP="001552ED">
      <w:pPr>
        <w:spacing w:after="0" w:line="360" w:lineRule="auto"/>
        <w:rPr>
          <w:rFonts w:ascii="Arial" w:hAnsi="Arial" w:cs="Arial"/>
          <w:sz w:val="22"/>
          <w:szCs w:val="22"/>
        </w:rPr>
      </w:pPr>
    </w:p>
    <w:p w14:paraId="7A3BDE3A" w14:textId="126FB637" w:rsidR="001F4691" w:rsidRPr="00B44313" w:rsidRDefault="001F4691" w:rsidP="001552ED">
      <w:pPr>
        <w:spacing w:after="0" w:line="360" w:lineRule="auto"/>
        <w:rPr>
          <w:rFonts w:ascii="Arial" w:hAnsi="Arial" w:cs="Arial"/>
          <w:sz w:val="22"/>
          <w:szCs w:val="22"/>
        </w:rPr>
      </w:pPr>
      <w:r w:rsidRPr="00B44313">
        <w:rPr>
          <w:rFonts w:ascii="Arial" w:hAnsi="Arial" w:cs="Arial"/>
          <w:sz w:val="22"/>
          <w:szCs w:val="22"/>
        </w:rPr>
        <w:t xml:space="preserve">Belhadi, A., Kamble, S., Jabbour, C.J.C., Gunasekaran, A., Ndubisi, N.O. and Venkatesh, M. (2021) ‘Manufacturing and service supply chain resilience to the COVID-19 outbreak: Lessons learned from the automobile and airline industries’, </w:t>
      </w:r>
      <w:r w:rsidRPr="00B44313">
        <w:rPr>
          <w:rFonts w:ascii="Arial" w:hAnsi="Arial" w:cs="Arial"/>
          <w:i/>
          <w:iCs/>
          <w:sz w:val="22"/>
          <w:szCs w:val="22"/>
        </w:rPr>
        <w:t>Technological Forecasting and Social Change</w:t>
      </w:r>
      <w:r w:rsidRPr="00B44313">
        <w:rPr>
          <w:rFonts w:ascii="Arial" w:hAnsi="Arial" w:cs="Arial"/>
          <w:sz w:val="22"/>
          <w:szCs w:val="22"/>
        </w:rPr>
        <w:t>, 163, 120447. Available at:</w:t>
      </w:r>
      <w:r w:rsidR="00232D4B" w:rsidRPr="00B44313">
        <w:rPr>
          <w:rFonts w:ascii="Arial" w:hAnsi="Arial" w:cs="Arial"/>
          <w:sz w:val="22"/>
          <w:szCs w:val="22"/>
        </w:rPr>
        <w:t xml:space="preserve"> </w:t>
      </w:r>
      <w:hyperlink r:id="rId64" w:history="1">
        <w:r w:rsidR="00401B5C" w:rsidRPr="00B44313">
          <w:rPr>
            <w:rStyle w:val="Hyperlink"/>
            <w:rFonts w:ascii="Arial" w:hAnsi="Arial" w:cs="Arial"/>
            <w:color w:val="auto"/>
            <w:sz w:val="22"/>
            <w:szCs w:val="22"/>
          </w:rPr>
          <w:t>https://www.sciencedirect.com/science/article/pii/S0040162520312737?via%3Dihub</w:t>
        </w:r>
      </w:hyperlink>
      <w:r w:rsidR="00401B5C" w:rsidRPr="00B44313">
        <w:rPr>
          <w:rFonts w:ascii="Arial" w:hAnsi="Arial" w:cs="Arial"/>
          <w:sz w:val="22"/>
          <w:szCs w:val="22"/>
        </w:rPr>
        <w:t xml:space="preserve"> </w:t>
      </w:r>
      <w:r w:rsidR="00232D4B" w:rsidRPr="00B44313">
        <w:rPr>
          <w:rFonts w:ascii="Arial" w:hAnsi="Arial" w:cs="Arial"/>
          <w:sz w:val="22"/>
          <w:szCs w:val="22"/>
        </w:rPr>
        <w:t xml:space="preserve"> </w:t>
      </w:r>
      <w:r w:rsidRPr="00B44313">
        <w:rPr>
          <w:rFonts w:ascii="Arial" w:hAnsi="Arial" w:cs="Arial"/>
          <w:sz w:val="22"/>
          <w:szCs w:val="22"/>
        </w:rPr>
        <w:t>(Accessed: 22/03/2026).</w:t>
      </w:r>
    </w:p>
    <w:p w14:paraId="16337FA1" w14:textId="77777777" w:rsidR="00905EDF" w:rsidRPr="00B44313" w:rsidRDefault="00905EDF" w:rsidP="001552ED">
      <w:pPr>
        <w:spacing w:after="0" w:line="360" w:lineRule="auto"/>
        <w:rPr>
          <w:rFonts w:ascii="Arial" w:hAnsi="Arial" w:cs="Arial"/>
          <w:sz w:val="22"/>
          <w:szCs w:val="22"/>
        </w:rPr>
      </w:pPr>
    </w:p>
    <w:p w14:paraId="3AE231B9"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65"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75072ED8" w14:textId="77777777" w:rsidR="00401B5C" w:rsidRPr="00B44313" w:rsidRDefault="00401B5C" w:rsidP="006A7D70">
      <w:pPr>
        <w:spacing w:after="0" w:line="360" w:lineRule="auto"/>
        <w:rPr>
          <w:rFonts w:ascii="Arial" w:hAnsi="Arial" w:cs="Arial"/>
          <w:sz w:val="22"/>
          <w:szCs w:val="22"/>
        </w:rPr>
      </w:pPr>
    </w:p>
    <w:p w14:paraId="129A4DC4"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66"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38207CF4" w14:textId="77777777" w:rsidR="00401B5C" w:rsidRPr="00B44313" w:rsidRDefault="00401B5C" w:rsidP="006A7D70">
      <w:pPr>
        <w:spacing w:after="0" w:line="360" w:lineRule="auto"/>
        <w:rPr>
          <w:rFonts w:ascii="Arial" w:hAnsi="Arial" w:cs="Arial"/>
          <w:sz w:val="22"/>
          <w:szCs w:val="22"/>
        </w:rPr>
      </w:pPr>
    </w:p>
    <w:p w14:paraId="44A61D96"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67"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623845BA" w14:textId="77777777" w:rsidR="00401B5C" w:rsidRPr="00B44313" w:rsidRDefault="00401B5C" w:rsidP="006A7D70">
      <w:pPr>
        <w:spacing w:after="0" w:line="360" w:lineRule="auto"/>
        <w:rPr>
          <w:rFonts w:ascii="Arial" w:hAnsi="Arial" w:cs="Arial"/>
          <w:sz w:val="22"/>
          <w:szCs w:val="22"/>
        </w:rPr>
      </w:pPr>
    </w:p>
    <w:p w14:paraId="33C9E4FA"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68"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2920C872" w14:textId="77777777" w:rsidR="00401B5C" w:rsidRPr="00B44313" w:rsidRDefault="00401B5C" w:rsidP="006A7D70">
      <w:pPr>
        <w:spacing w:after="0" w:line="360" w:lineRule="auto"/>
        <w:rPr>
          <w:rFonts w:ascii="Arial" w:hAnsi="Arial" w:cs="Arial"/>
          <w:sz w:val="22"/>
          <w:szCs w:val="22"/>
        </w:rPr>
      </w:pPr>
    </w:p>
    <w:p w14:paraId="63620A5C"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69"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1C0F1336" w14:textId="77777777" w:rsidR="00401B5C" w:rsidRPr="00B44313" w:rsidRDefault="00401B5C" w:rsidP="006A7D70">
      <w:pPr>
        <w:spacing w:after="0" w:line="360" w:lineRule="auto"/>
        <w:rPr>
          <w:rFonts w:ascii="Arial" w:hAnsi="Arial" w:cs="Arial"/>
          <w:sz w:val="22"/>
          <w:szCs w:val="22"/>
        </w:rPr>
      </w:pPr>
    </w:p>
    <w:p w14:paraId="43344676" w14:textId="77777777" w:rsidR="003F7258" w:rsidRPr="00B44313" w:rsidRDefault="003F7258" w:rsidP="006A7D70">
      <w:pPr>
        <w:spacing w:after="0" w:line="360" w:lineRule="auto"/>
        <w:rPr>
          <w:rFonts w:ascii="Arial" w:hAnsi="Arial" w:cs="Arial"/>
          <w:sz w:val="22"/>
          <w:szCs w:val="22"/>
        </w:rPr>
      </w:pPr>
      <w:r w:rsidRPr="00B44313">
        <w:rPr>
          <w:rFonts w:ascii="Arial" w:hAnsi="Arial" w:cs="Arial"/>
          <w:sz w:val="22"/>
          <w:szCs w:val="22"/>
        </w:rPr>
        <w:t xml:space="preserve">Bentley Motors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70" w:tgtFrame="_new" w:history="1">
        <w:r w:rsidRPr="00B44313">
          <w:rPr>
            <w:rStyle w:val="Hyperlink"/>
            <w:rFonts w:ascii="Arial" w:hAnsi="Arial" w:cs="Arial"/>
            <w:color w:val="auto"/>
            <w:sz w:val="22"/>
            <w:szCs w:val="22"/>
          </w:rPr>
          <w:t>https://find-and-update.company-information.service.gov.uk/company/00992897/filing-history</w:t>
        </w:r>
      </w:hyperlink>
      <w:r w:rsidRPr="00B44313">
        <w:rPr>
          <w:rFonts w:ascii="Arial" w:hAnsi="Arial" w:cs="Arial"/>
          <w:sz w:val="22"/>
          <w:szCs w:val="22"/>
        </w:rPr>
        <w:t xml:space="preserve"> (Accessed: 12/02/2026).</w:t>
      </w:r>
    </w:p>
    <w:p w14:paraId="5FEA59E1" w14:textId="77777777" w:rsidR="00401B5C" w:rsidRPr="00B44313" w:rsidRDefault="00401B5C" w:rsidP="006A7D70">
      <w:pPr>
        <w:spacing w:after="0" w:line="360" w:lineRule="auto"/>
        <w:rPr>
          <w:rFonts w:ascii="Arial" w:hAnsi="Arial" w:cs="Arial"/>
          <w:b/>
          <w:bCs/>
          <w:sz w:val="22"/>
          <w:szCs w:val="22"/>
        </w:rPr>
      </w:pPr>
    </w:p>
    <w:p w14:paraId="33FF486C" w14:textId="77777777" w:rsidR="007E4C9E" w:rsidRPr="00B44313" w:rsidRDefault="007E4C9E" w:rsidP="004F3571">
      <w:pPr>
        <w:spacing w:after="0" w:line="360" w:lineRule="auto"/>
        <w:rPr>
          <w:rFonts w:ascii="Arial" w:hAnsi="Arial" w:cs="Arial"/>
          <w:b/>
          <w:bCs/>
          <w:sz w:val="22"/>
          <w:szCs w:val="22"/>
        </w:rPr>
      </w:pPr>
      <w:r w:rsidRPr="00B44313">
        <w:rPr>
          <w:rFonts w:ascii="Arial" w:hAnsi="Arial" w:cs="Arial"/>
          <w:sz w:val="22"/>
          <w:szCs w:val="22"/>
        </w:rPr>
        <w:t xml:space="preserve">Bloomberg (2024) </w:t>
      </w:r>
      <w:r w:rsidRPr="00B44313">
        <w:rPr>
          <w:rFonts w:ascii="Arial" w:hAnsi="Arial" w:cs="Arial"/>
          <w:i/>
          <w:iCs/>
          <w:sz w:val="22"/>
          <w:szCs w:val="22"/>
        </w:rPr>
        <w:t>Financial data methodology</w:t>
      </w:r>
      <w:r w:rsidRPr="00B44313">
        <w:rPr>
          <w:rFonts w:ascii="Arial" w:hAnsi="Arial" w:cs="Arial"/>
          <w:sz w:val="22"/>
          <w:szCs w:val="22"/>
        </w:rPr>
        <w:t xml:space="preserve">. Bloomberg Professional Support. Available at: </w:t>
      </w:r>
      <w:hyperlink r:id="rId71" w:tgtFrame="_new" w:history="1">
        <w:r w:rsidRPr="00B44313">
          <w:rPr>
            <w:rStyle w:val="Hyperlink"/>
            <w:rFonts w:ascii="Arial" w:hAnsi="Arial" w:cs="Arial"/>
            <w:color w:val="auto"/>
            <w:sz w:val="22"/>
            <w:szCs w:val="22"/>
          </w:rPr>
          <w:t>https://www.bloomberg.com/professional/support/</w:t>
        </w:r>
      </w:hyperlink>
      <w:r w:rsidRPr="00B44313">
        <w:rPr>
          <w:rFonts w:ascii="Arial" w:hAnsi="Arial" w:cs="Arial"/>
          <w:sz w:val="22"/>
          <w:szCs w:val="22"/>
        </w:rPr>
        <w:t xml:space="preserve"> (Accessed: 25/03/2026).</w:t>
      </w:r>
      <w:r w:rsidRPr="00B44313">
        <w:rPr>
          <w:rFonts w:ascii="Arial" w:hAnsi="Arial" w:cs="Arial"/>
          <w:b/>
          <w:bCs/>
          <w:sz w:val="22"/>
          <w:szCs w:val="22"/>
        </w:rPr>
        <w:t xml:space="preserve"> </w:t>
      </w:r>
    </w:p>
    <w:p w14:paraId="116503BC" w14:textId="37B84A18"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lastRenderedPageBreak/>
        <w:t xml:space="preserve">BMW (UK) Manufacturing Limited (2019)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2"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43DD81DD" w14:textId="77777777" w:rsidR="007E4C9E" w:rsidRPr="00B44313" w:rsidRDefault="007E4C9E" w:rsidP="004F3571">
      <w:pPr>
        <w:spacing w:after="0" w:line="360" w:lineRule="auto"/>
        <w:rPr>
          <w:rFonts w:ascii="Arial" w:hAnsi="Arial" w:cs="Arial"/>
          <w:sz w:val="22"/>
          <w:szCs w:val="22"/>
        </w:rPr>
      </w:pPr>
    </w:p>
    <w:p w14:paraId="6B4CF127" w14:textId="77777777"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t xml:space="preserve">BMW (UK) Manufacturing Limited (2020)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3"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5E6596AA" w14:textId="77777777" w:rsidR="007E4C9E" w:rsidRPr="00B44313" w:rsidRDefault="007E4C9E" w:rsidP="004F3571">
      <w:pPr>
        <w:spacing w:after="0" w:line="360" w:lineRule="auto"/>
        <w:rPr>
          <w:rFonts w:ascii="Arial" w:hAnsi="Arial" w:cs="Arial"/>
          <w:sz w:val="22"/>
          <w:szCs w:val="22"/>
        </w:rPr>
      </w:pPr>
    </w:p>
    <w:p w14:paraId="01CC454E" w14:textId="77777777"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t xml:space="preserve">BMW (UK) Manufacturing Limited (2021)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4"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339FE130" w14:textId="77777777" w:rsidR="007E4C9E" w:rsidRPr="00B44313" w:rsidRDefault="007E4C9E" w:rsidP="004F3571">
      <w:pPr>
        <w:spacing w:after="0" w:line="360" w:lineRule="auto"/>
        <w:rPr>
          <w:rFonts w:ascii="Arial" w:hAnsi="Arial" w:cs="Arial"/>
          <w:sz w:val="22"/>
          <w:szCs w:val="22"/>
        </w:rPr>
      </w:pPr>
    </w:p>
    <w:p w14:paraId="148B769D" w14:textId="77777777"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t xml:space="preserve">BMW (UK) Manufacturing Limited (2022)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5"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5CE80EFB" w14:textId="77777777" w:rsidR="007E4C9E" w:rsidRPr="00B44313" w:rsidRDefault="007E4C9E" w:rsidP="004F3571">
      <w:pPr>
        <w:spacing w:after="0" w:line="360" w:lineRule="auto"/>
        <w:rPr>
          <w:rFonts w:ascii="Arial" w:hAnsi="Arial" w:cs="Arial"/>
          <w:sz w:val="22"/>
          <w:szCs w:val="22"/>
        </w:rPr>
      </w:pPr>
    </w:p>
    <w:p w14:paraId="45521E22" w14:textId="77777777"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t xml:space="preserve">BMW (UK) Manufacturing Limited (2023)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6"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3056B3B3" w14:textId="77777777" w:rsidR="007E4C9E" w:rsidRPr="00B44313" w:rsidRDefault="007E4C9E" w:rsidP="004F3571">
      <w:pPr>
        <w:spacing w:after="0" w:line="360" w:lineRule="auto"/>
        <w:rPr>
          <w:rFonts w:ascii="Arial" w:hAnsi="Arial" w:cs="Arial"/>
          <w:sz w:val="22"/>
          <w:szCs w:val="22"/>
        </w:rPr>
      </w:pPr>
    </w:p>
    <w:p w14:paraId="7A5AD890" w14:textId="77777777" w:rsidR="003F7258" w:rsidRPr="00B44313" w:rsidRDefault="003F7258" w:rsidP="004F3571">
      <w:pPr>
        <w:spacing w:after="0" w:line="360" w:lineRule="auto"/>
        <w:rPr>
          <w:rFonts w:ascii="Arial" w:hAnsi="Arial" w:cs="Arial"/>
          <w:sz w:val="22"/>
          <w:szCs w:val="22"/>
        </w:rPr>
      </w:pPr>
      <w:r w:rsidRPr="00B44313">
        <w:rPr>
          <w:rFonts w:ascii="Arial" w:hAnsi="Arial" w:cs="Arial"/>
          <w:sz w:val="22"/>
          <w:szCs w:val="22"/>
        </w:rPr>
        <w:t xml:space="preserve">BMW (UK) Manufacturing Limited (2024)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77" w:tgtFrame="_new" w:history="1">
        <w:r w:rsidRPr="00B44313">
          <w:rPr>
            <w:rStyle w:val="Hyperlink"/>
            <w:rFonts w:ascii="Arial" w:hAnsi="Arial" w:cs="Arial"/>
            <w:color w:val="auto"/>
            <w:sz w:val="22"/>
            <w:szCs w:val="22"/>
          </w:rPr>
          <w:t>https://find-and-update.company-information.service.gov.uk/company/03950868</w:t>
        </w:r>
      </w:hyperlink>
      <w:r w:rsidRPr="00B44313">
        <w:rPr>
          <w:rFonts w:ascii="Arial" w:hAnsi="Arial" w:cs="Arial"/>
          <w:sz w:val="22"/>
          <w:szCs w:val="22"/>
        </w:rPr>
        <w:t xml:space="preserve"> (Accessed: 12/02/2026).</w:t>
      </w:r>
    </w:p>
    <w:p w14:paraId="5B9EC841" w14:textId="77777777" w:rsidR="007E4C9E" w:rsidRPr="00B44313" w:rsidRDefault="007E4C9E" w:rsidP="004F3571">
      <w:pPr>
        <w:spacing w:after="0" w:line="360" w:lineRule="auto"/>
        <w:rPr>
          <w:rFonts w:ascii="Arial" w:hAnsi="Arial" w:cs="Arial"/>
          <w:b/>
          <w:bCs/>
          <w:sz w:val="22"/>
          <w:szCs w:val="22"/>
        </w:rPr>
      </w:pPr>
    </w:p>
    <w:p w14:paraId="0D322E17" w14:textId="77777777" w:rsidR="00E71969" w:rsidRPr="00B44313" w:rsidRDefault="00E71969" w:rsidP="00E71969">
      <w:pPr>
        <w:spacing w:after="0" w:line="360" w:lineRule="auto"/>
        <w:rPr>
          <w:rFonts w:ascii="Arial" w:hAnsi="Arial" w:cs="Arial"/>
          <w:sz w:val="22"/>
          <w:szCs w:val="22"/>
        </w:rPr>
      </w:pPr>
      <w:r w:rsidRPr="00B44313">
        <w:rPr>
          <w:rFonts w:ascii="Arial" w:hAnsi="Arial" w:cs="Arial"/>
          <w:sz w:val="22"/>
          <w:szCs w:val="22"/>
        </w:rPr>
        <w:t xml:space="preserve">British Chambers of Commerce (2025) </w:t>
      </w:r>
      <w:r w:rsidRPr="00B44313">
        <w:rPr>
          <w:rFonts w:ascii="Arial" w:hAnsi="Arial" w:cs="Arial"/>
          <w:i/>
          <w:iCs/>
          <w:sz w:val="22"/>
          <w:szCs w:val="22"/>
        </w:rPr>
        <w:t>Beyond resilience: UK competitiveness 2025</w:t>
      </w:r>
      <w:r w:rsidRPr="00B44313">
        <w:rPr>
          <w:rFonts w:ascii="Arial" w:hAnsi="Arial" w:cs="Arial"/>
          <w:sz w:val="22"/>
          <w:szCs w:val="22"/>
        </w:rPr>
        <w:t>. Available at: https://www.britishchambers.org.uk/news/2025/01/beyond-resilience-uk-competitiveness-2025/ (Accessed: 07/02/2026).</w:t>
      </w:r>
    </w:p>
    <w:p w14:paraId="27DEFAD8" w14:textId="77777777" w:rsidR="00E71969" w:rsidRPr="00B44313" w:rsidRDefault="00E71969" w:rsidP="00E71969">
      <w:pPr>
        <w:spacing w:after="0" w:line="360" w:lineRule="auto"/>
        <w:rPr>
          <w:rFonts w:ascii="Arial" w:hAnsi="Arial" w:cs="Arial"/>
          <w:sz w:val="22"/>
          <w:szCs w:val="22"/>
        </w:rPr>
      </w:pPr>
    </w:p>
    <w:p w14:paraId="591ED563" w14:textId="77777777" w:rsidR="00E71969" w:rsidRPr="00B44313" w:rsidRDefault="00E71969" w:rsidP="00E71969">
      <w:pPr>
        <w:spacing w:after="0" w:line="360" w:lineRule="auto"/>
        <w:rPr>
          <w:rFonts w:ascii="Arial" w:hAnsi="Arial" w:cs="Arial"/>
          <w:sz w:val="22"/>
          <w:szCs w:val="22"/>
        </w:rPr>
      </w:pPr>
      <w:r w:rsidRPr="00B44313">
        <w:rPr>
          <w:rFonts w:ascii="Arial" w:hAnsi="Arial" w:cs="Arial"/>
          <w:sz w:val="22"/>
          <w:szCs w:val="22"/>
        </w:rPr>
        <w:t xml:space="preserve">Business Reporter (2025) </w:t>
      </w:r>
      <w:r w:rsidRPr="00B44313">
        <w:rPr>
          <w:rFonts w:ascii="Arial" w:hAnsi="Arial" w:cs="Arial"/>
          <w:i/>
          <w:iCs/>
          <w:sz w:val="22"/>
          <w:szCs w:val="22"/>
        </w:rPr>
        <w:t>The Red Sea crisis and the EV industry</w:t>
      </w:r>
      <w:r w:rsidRPr="00B44313">
        <w:rPr>
          <w:rFonts w:ascii="Arial" w:hAnsi="Arial" w:cs="Arial"/>
          <w:sz w:val="22"/>
          <w:szCs w:val="22"/>
        </w:rPr>
        <w:t>. Available at: https://www.business-reporter.co.uk/transport-and-logistics/the-red-sea-crisis-and-the-ev-industry (Accessed: 06/02/2026).</w:t>
      </w:r>
    </w:p>
    <w:p w14:paraId="203E6F9F" w14:textId="77777777" w:rsidR="00E71969" w:rsidRPr="00B44313" w:rsidRDefault="00E71969" w:rsidP="00E71969">
      <w:pPr>
        <w:spacing w:after="0" w:line="360" w:lineRule="auto"/>
        <w:rPr>
          <w:rFonts w:ascii="Arial" w:hAnsi="Arial" w:cs="Arial"/>
          <w:sz w:val="22"/>
          <w:szCs w:val="22"/>
        </w:rPr>
      </w:pPr>
    </w:p>
    <w:p w14:paraId="0EED172D" w14:textId="77777777" w:rsidR="00E71969" w:rsidRPr="00B44313" w:rsidRDefault="00E71969" w:rsidP="00E71969">
      <w:pPr>
        <w:spacing w:after="0" w:line="360" w:lineRule="auto"/>
        <w:rPr>
          <w:rFonts w:ascii="Arial" w:hAnsi="Arial" w:cs="Arial"/>
          <w:sz w:val="22"/>
          <w:szCs w:val="22"/>
        </w:rPr>
      </w:pPr>
      <w:r w:rsidRPr="00B44313">
        <w:rPr>
          <w:rFonts w:ascii="Arial" w:hAnsi="Arial" w:cs="Arial"/>
          <w:sz w:val="22"/>
          <w:szCs w:val="22"/>
        </w:rPr>
        <w:t xml:space="preserve">Choi, T.Y., Rogers, D. and Vakil, B. (2020) ‘Coronavirus is a wake-up call for supply chain management’, </w:t>
      </w:r>
      <w:r w:rsidRPr="00B44313">
        <w:rPr>
          <w:rFonts w:ascii="Arial" w:hAnsi="Arial" w:cs="Arial"/>
          <w:i/>
          <w:iCs/>
          <w:sz w:val="22"/>
          <w:szCs w:val="22"/>
        </w:rPr>
        <w:t>Harvard Business Review</w:t>
      </w:r>
      <w:r w:rsidRPr="00B44313">
        <w:rPr>
          <w:rFonts w:ascii="Arial" w:hAnsi="Arial" w:cs="Arial"/>
          <w:sz w:val="22"/>
          <w:szCs w:val="22"/>
        </w:rPr>
        <w:t xml:space="preserve">, 98(2), pp. 1–5. Available at: </w:t>
      </w:r>
      <w:hyperlink r:id="rId78" w:tgtFrame="_new" w:history="1">
        <w:r w:rsidRPr="00B44313">
          <w:rPr>
            <w:rStyle w:val="Hyperlink"/>
            <w:rFonts w:ascii="Arial" w:hAnsi="Arial" w:cs="Arial"/>
            <w:color w:val="auto"/>
            <w:sz w:val="22"/>
            <w:szCs w:val="22"/>
          </w:rPr>
          <w:t>https://hbr.org/2020/03/coronavirus-is-a-wake-up-call-for-supply-chain-management</w:t>
        </w:r>
      </w:hyperlink>
      <w:r w:rsidRPr="00B44313">
        <w:rPr>
          <w:rFonts w:ascii="Arial" w:hAnsi="Arial" w:cs="Arial"/>
          <w:sz w:val="22"/>
          <w:szCs w:val="22"/>
        </w:rPr>
        <w:t xml:space="preserve"> (Accessed: 27/03/2026).</w:t>
      </w:r>
    </w:p>
    <w:p w14:paraId="724724BB" w14:textId="77777777" w:rsidR="00E71969" w:rsidRPr="00B44313" w:rsidRDefault="00E71969" w:rsidP="00A92367">
      <w:pPr>
        <w:spacing w:after="0" w:line="360" w:lineRule="auto"/>
        <w:rPr>
          <w:rFonts w:ascii="Arial" w:hAnsi="Arial" w:cs="Arial"/>
          <w:sz w:val="22"/>
          <w:szCs w:val="22"/>
        </w:rPr>
      </w:pPr>
    </w:p>
    <w:p w14:paraId="46298895" w14:textId="77777777" w:rsidR="00B45D3D" w:rsidRPr="00B44313" w:rsidRDefault="00B45D3D" w:rsidP="00B45D3D">
      <w:pPr>
        <w:spacing w:after="0" w:line="360" w:lineRule="auto"/>
        <w:rPr>
          <w:rFonts w:ascii="Arial" w:hAnsi="Arial" w:cs="Arial"/>
          <w:sz w:val="22"/>
          <w:szCs w:val="22"/>
        </w:rPr>
      </w:pPr>
      <w:r w:rsidRPr="00B44313">
        <w:rPr>
          <w:rFonts w:ascii="Arial" w:hAnsi="Arial" w:cs="Arial"/>
          <w:sz w:val="22"/>
          <w:szCs w:val="22"/>
        </w:rPr>
        <w:lastRenderedPageBreak/>
        <w:t xml:space="preserve">Chowdhury, P., Paul, S.K., Kaisar, S. and </w:t>
      </w:r>
      <w:proofErr w:type="spellStart"/>
      <w:r w:rsidRPr="00B44313">
        <w:rPr>
          <w:rFonts w:ascii="Arial" w:hAnsi="Arial" w:cs="Arial"/>
          <w:sz w:val="22"/>
          <w:szCs w:val="22"/>
        </w:rPr>
        <w:t>Moktadir</w:t>
      </w:r>
      <w:proofErr w:type="spellEnd"/>
      <w:r w:rsidRPr="00B44313">
        <w:rPr>
          <w:rFonts w:ascii="Arial" w:hAnsi="Arial" w:cs="Arial"/>
          <w:sz w:val="22"/>
          <w:szCs w:val="22"/>
        </w:rPr>
        <w:t xml:space="preserve">, M.A. (2021) ‘COVID-19 pandemic related supply chain studies: A systematic review’, </w:t>
      </w:r>
      <w:r w:rsidRPr="00B44313">
        <w:rPr>
          <w:rFonts w:ascii="Arial" w:hAnsi="Arial" w:cs="Arial"/>
          <w:i/>
          <w:iCs/>
          <w:sz w:val="22"/>
          <w:szCs w:val="22"/>
        </w:rPr>
        <w:t>Transportation Research Part E: Logistics and Transportation Review</w:t>
      </w:r>
      <w:r w:rsidRPr="00B44313">
        <w:rPr>
          <w:rFonts w:ascii="Arial" w:hAnsi="Arial" w:cs="Arial"/>
          <w:sz w:val="22"/>
          <w:szCs w:val="22"/>
        </w:rPr>
        <w:t>, 148, 102271. Available at: https://www.sciencedirect.com/science/article/pii/S1366554521000407 (Accessed: 08/03/2026).</w:t>
      </w:r>
    </w:p>
    <w:p w14:paraId="1060F522" w14:textId="77777777" w:rsidR="00730B20" w:rsidRPr="00B44313" w:rsidRDefault="00730B20" w:rsidP="00B45D3D">
      <w:pPr>
        <w:spacing w:after="0" w:line="360" w:lineRule="auto"/>
        <w:rPr>
          <w:rFonts w:ascii="Arial" w:hAnsi="Arial" w:cs="Arial"/>
          <w:sz w:val="22"/>
          <w:szCs w:val="22"/>
        </w:rPr>
      </w:pPr>
    </w:p>
    <w:p w14:paraId="42699824" w14:textId="77777777" w:rsidR="00B45D3D" w:rsidRPr="00B44313" w:rsidRDefault="00B45D3D" w:rsidP="00B45D3D">
      <w:pPr>
        <w:spacing w:after="0" w:line="360" w:lineRule="auto"/>
        <w:rPr>
          <w:rFonts w:ascii="Arial" w:hAnsi="Arial" w:cs="Arial"/>
          <w:sz w:val="22"/>
          <w:szCs w:val="22"/>
        </w:rPr>
      </w:pPr>
      <w:r w:rsidRPr="00B44313">
        <w:rPr>
          <w:rFonts w:ascii="Arial" w:hAnsi="Arial" w:cs="Arial"/>
          <w:sz w:val="22"/>
          <w:szCs w:val="22"/>
        </w:rPr>
        <w:t xml:space="preserve">Christopher, M. and Peck, H. (2004) ‘Building the resilient supply chain’, </w:t>
      </w:r>
      <w:r w:rsidRPr="00B44313">
        <w:rPr>
          <w:rFonts w:ascii="Arial" w:hAnsi="Arial" w:cs="Arial"/>
          <w:i/>
          <w:iCs/>
          <w:sz w:val="22"/>
          <w:szCs w:val="22"/>
        </w:rPr>
        <w:t>The International Journal of Logistics Management</w:t>
      </w:r>
      <w:r w:rsidRPr="00B44313">
        <w:rPr>
          <w:rFonts w:ascii="Arial" w:hAnsi="Arial" w:cs="Arial"/>
          <w:sz w:val="22"/>
          <w:szCs w:val="22"/>
        </w:rPr>
        <w:t xml:space="preserve">, 15(2), pp. 1–14. Available at: </w:t>
      </w:r>
      <w:hyperlink r:id="rId79" w:tgtFrame="_new" w:history="1">
        <w:r w:rsidRPr="00B44313">
          <w:rPr>
            <w:rStyle w:val="Hyperlink"/>
            <w:rFonts w:ascii="Arial" w:hAnsi="Arial" w:cs="Arial"/>
            <w:color w:val="auto"/>
            <w:sz w:val="22"/>
            <w:szCs w:val="22"/>
          </w:rPr>
          <w:t>https://www.emerald.com/ijlm/article/15/2/1/133299/Building-the-Resilient-Supply-Chain</w:t>
        </w:r>
      </w:hyperlink>
      <w:r w:rsidRPr="00B44313">
        <w:rPr>
          <w:rFonts w:ascii="Arial" w:hAnsi="Arial" w:cs="Arial"/>
          <w:sz w:val="22"/>
          <w:szCs w:val="22"/>
        </w:rPr>
        <w:t xml:space="preserve"> (Accessed: 19/03/2026).</w:t>
      </w:r>
    </w:p>
    <w:p w14:paraId="68BDE70C" w14:textId="77777777" w:rsidR="00730B20" w:rsidRPr="00B44313" w:rsidRDefault="00730B20" w:rsidP="00B45D3D">
      <w:pPr>
        <w:spacing w:after="0" w:line="360" w:lineRule="auto"/>
        <w:rPr>
          <w:rFonts w:ascii="Arial" w:hAnsi="Arial" w:cs="Arial"/>
          <w:sz w:val="22"/>
          <w:szCs w:val="22"/>
        </w:rPr>
      </w:pPr>
    </w:p>
    <w:p w14:paraId="67FE7903" w14:textId="77777777" w:rsidR="00B45D3D" w:rsidRPr="00B44313" w:rsidRDefault="00B45D3D" w:rsidP="00B45D3D">
      <w:pPr>
        <w:spacing w:after="0" w:line="360" w:lineRule="auto"/>
        <w:rPr>
          <w:rFonts w:ascii="Arial" w:hAnsi="Arial" w:cs="Arial"/>
          <w:sz w:val="22"/>
          <w:szCs w:val="22"/>
        </w:rPr>
      </w:pPr>
      <w:r w:rsidRPr="00B44313">
        <w:rPr>
          <w:rFonts w:ascii="Arial" w:hAnsi="Arial" w:cs="Arial"/>
          <w:sz w:val="22"/>
          <w:szCs w:val="22"/>
        </w:rPr>
        <w:t xml:space="preserve">Continuity &amp; Resilience Review (2025) ‘Exploring synergies between Industry 4.0 and Industry 5.0 for digital, resilient and sustainable supply chains: A systems thinking perspective’, </w:t>
      </w:r>
      <w:r w:rsidRPr="00B44313">
        <w:rPr>
          <w:rFonts w:ascii="Arial" w:hAnsi="Arial" w:cs="Arial"/>
          <w:i/>
          <w:iCs/>
          <w:sz w:val="22"/>
          <w:szCs w:val="22"/>
        </w:rPr>
        <w:t>Continuity &amp; Resilience Review</w:t>
      </w:r>
      <w:r w:rsidRPr="00B44313">
        <w:rPr>
          <w:rFonts w:ascii="Arial" w:hAnsi="Arial" w:cs="Arial"/>
          <w:sz w:val="22"/>
          <w:szCs w:val="22"/>
        </w:rPr>
        <w:t xml:space="preserve">. Available at: </w:t>
      </w:r>
      <w:hyperlink r:id="rId80" w:tgtFrame="_new" w:history="1">
        <w:r w:rsidRPr="00B44313">
          <w:rPr>
            <w:rStyle w:val="Hyperlink"/>
            <w:rFonts w:ascii="Arial" w:hAnsi="Arial" w:cs="Arial"/>
            <w:color w:val="auto"/>
            <w:sz w:val="22"/>
            <w:szCs w:val="22"/>
          </w:rPr>
          <w:t>https://www.emerald.com/crr/article/doi/10.1108/CRR-05-2025-0014/1310949/Exploring-synergies-between-Industry-4-0-and</w:t>
        </w:r>
      </w:hyperlink>
      <w:r w:rsidRPr="00B44313">
        <w:rPr>
          <w:rFonts w:ascii="Arial" w:hAnsi="Arial" w:cs="Arial"/>
          <w:sz w:val="22"/>
          <w:szCs w:val="22"/>
        </w:rPr>
        <w:t xml:space="preserve"> (Accessed: 01/04/2026).</w:t>
      </w:r>
    </w:p>
    <w:p w14:paraId="69E332D4" w14:textId="77777777" w:rsidR="00730B20" w:rsidRPr="00B44313" w:rsidRDefault="00730B20" w:rsidP="00B45D3D">
      <w:pPr>
        <w:spacing w:after="0" w:line="360" w:lineRule="auto"/>
        <w:rPr>
          <w:rFonts w:ascii="Arial" w:hAnsi="Arial" w:cs="Arial"/>
          <w:sz w:val="22"/>
          <w:szCs w:val="22"/>
        </w:rPr>
      </w:pPr>
    </w:p>
    <w:p w14:paraId="2875636C" w14:textId="77777777" w:rsidR="00B45D3D" w:rsidRPr="00B44313" w:rsidRDefault="00B45D3D" w:rsidP="00B45D3D">
      <w:pPr>
        <w:spacing w:after="0" w:line="360" w:lineRule="auto"/>
        <w:rPr>
          <w:rFonts w:ascii="Arial" w:hAnsi="Arial" w:cs="Arial"/>
          <w:sz w:val="22"/>
          <w:szCs w:val="22"/>
        </w:rPr>
      </w:pPr>
      <w:r w:rsidRPr="00B44313">
        <w:rPr>
          <w:rFonts w:ascii="Arial" w:hAnsi="Arial" w:cs="Arial"/>
          <w:sz w:val="22"/>
          <w:szCs w:val="22"/>
        </w:rPr>
        <w:t xml:space="preserve">Deloitte (2023) </w:t>
      </w:r>
      <w:r w:rsidRPr="00B44313">
        <w:rPr>
          <w:rFonts w:ascii="Arial" w:hAnsi="Arial" w:cs="Arial"/>
          <w:i/>
          <w:iCs/>
          <w:sz w:val="22"/>
          <w:szCs w:val="22"/>
        </w:rPr>
        <w:t>Commercializing sustainable supply chains report 2023</w:t>
      </w:r>
      <w:r w:rsidRPr="00B44313">
        <w:rPr>
          <w:rFonts w:ascii="Arial" w:hAnsi="Arial" w:cs="Arial"/>
          <w:sz w:val="22"/>
          <w:szCs w:val="22"/>
        </w:rPr>
        <w:t xml:space="preserve">. Available at: </w:t>
      </w:r>
      <w:hyperlink r:id="rId81" w:tgtFrame="_new" w:history="1">
        <w:r w:rsidRPr="00B44313">
          <w:rPr>
            <w:rStyle w:val="Hyperlink"/>
            <w:rFonts w:ascii="Arial" w:hAnsi="Arial" w:cs="Arial"/>
            <w:color w:val="auto"/>
            <w:sz w:val="22"/>
            <w:szCs w:val="22"/>
          </w:rPr>
          <w:t>https://www.deloitte.com/dk/en/services/consulting/research/commercializing-sustainable-supply-chains-report.html</w:t>
        </w:r>
      </w:hyperlink>
      <w:r w:rsidRPr="00B44313">
        <w:rPr>
          <w:rFonts w:ascii="Arial" w:hAnsi="Arial" w:cs="Arial"/>
          <w:sz w:val="22"/>
          <w:szCs w:val="22"/>
        </w:rPr>
        <w:t xml:space="preserve"> (Accessed: 18/04/2026).</w:t>
      </w:r>
    </w:p>
    <w:p w14:paraId="4BCF156E" w14:textId="77777777" w:rsidR="00730B20" w:rsidRPr="00B44313" w:rsidRDefault="00730B20" w:rsidP="00B45D3D">
      <w:pPr>
        <w:spacing w:after="0" w:line="360" w:lineRule="auto"/>
        <w:rPr>
          <w:rFonts w:ascii="Arial" w:hAnsi="Arial" w:cs="Arial"/>
          <w:sz w:val="22"/>
          <w:szCs w:val="22"/>
        </w:rPr>
      </w:pPr>
    </w:p>
    <w:p w14:paraId="3A73FF53" w14:textId="77777777" w:rsidR="00B45D3D" w:rsidRPr="00B44313" w:rsidRDefault="00B45D3D" w:rsidP="00B45D3D">
      <w:pPr>
        <w:spacing w:after="0" w:line="360" w:lineRule="auto"/>
        <w:rPr>
          <w:rFonts w:ascii="Arial" w:hAnsi="Arial" w:cs="Arial"/>
          <w:sz w:val="22"/>
          <w:szCs w:val="22"/>
        </w:rPr>
      </w:pPr>
      <w:r w:rsidRPr="00B44313">
        <w:rPr>
          <w:rFonts w:ascii="Arial" w:hAnsi="Arial" w:cs="Arial"/>
          <w:sz w:val="22"/>
          <w:szCs w:val="22"/>
        </w:rPr>
        <w:t xml:space="preserve">Drewry (2024) </w:t>
      </w:r>
      <w:r w:rsidRPr="00B44313">
        <w:rPr>
          <w:rFonts w:ascii="Arial" w:hAnsi="Arial" w:cs="Arial"/>
          <w:i/>
          <w:iCs/>
          <w:sz w:val="22"/>
          <w:szCs w:val="22"/>
        </w:rPr>
        <w:t>Subscription report titles &amp; prices – 2024</w:t>
      </w:r>
      <w:r w:rsidRPr="00B44313">
        <w:rPr>
          <w:rFonts w:ascii="Arial" w:hAnsi="Arial" w:cs="Arial"/>
          <w:sz w:val="22"/>
          <w:szCs w:val="22"/>
        </w:rPr>
        <w:t xml:space="preserve">. Available at: </w:t>
      </w:r>
      <w:hyperlink r:id="rId82" w:tgtFrame="_new" w:history="1">
        <w:r w:rsidRPr="00B44313">
          <w:rPr>
            <w:rStyle w:val="Hyperlink"/>
            <w:rFonts w:ascii="Arial" w:hAnsi="Arial" w:cs="Arial"/>
            <w:color w:val="auto"/>
            <w:sz w:val="22"/>
            <w:szCs w:val="22"/>
          </w:rPr>
          <w:t>https://www.drewry.co.uk/AcuCustom/Sitename/DAM/024/Drewry_Maritime_Research_Product_Catalogue_Mar_2024.pdf</w:t>
        </w:r>
      </w:hyperlink>
      <w:r w:rsidRPr="00B44313">
        <w:rPr>
          <w:rFonts w:ascii="Arial" w:hAnsi="Arial" w:cs="Arial"/>
          <w:sz w:val="22"/>
          <w:szCs w:val="22"/>
        </w:rPr>
        <w:t xml:space="preserve"> (Accessed: 22/03/2026).</w:t>
      </w:r>
    </w:p>
    <w:p w14:paraId="4DCD0644" w14:textId="77777777" w:rsidR="00E71969" w:rsidRPr="00B44313" w:rsidRDefault="00E71969" w:rsidP="001A220F">
      <w:pPr>
        <w:spacing w:after="0" w:line="360" w:lineRule="auto"/>
        <w:rPr>
          <w:rFonts w:ascii="Arial" w:hAnsi="Arial" w:cs="Arial"/>
          <w:sz w:val="22"/>
          <w:szCs w:val="22"/>
        </w:rPr>
      </w:pPr>
    </w:p>
    <w:p w14:paraId="36727267" w14:textId="01E5CA13" w:rsidR="00CA4CBE" w:rsidRPr="00B44313" w:rsidRDefault="00CA4CBE" w:rsidP="00CA4CBE">
      <w:pPr>
        <w:spacing w:after="0" w:line="360" w:lineRule="auto"/>
        <w:rPr>
          <w:rFonts w:ascii="Arial" w:hAnsi="Arial" w:cs="Arial"/>
          <w:sz w:val="22"/>
          <w:szCs w:val="22"/>
        </w:rPr>
      </w:pPr>
      <w:r w:rsidRPr="00B44313">
        <w:rPr>
          <w:rFonts w:ascii="Arial" w:hAnsi="Arial" w:cs="Arial"/>
          <w:sz w:val="22"/>
          <w:szCs w:val="22"/>
        </w:rPr>
        <w:t xml:space="preserve">Dubey, R., Gunasekaran, A., Childe, S.J. and Papadopoulos, T. (2020) ‘Collaboration and resilience in supply chains’, </w:t>
      </w:r>
      <w:r w:rsidRPr="00B44313">
        <w:rPr>
          <w:rFonts w:ascii="Arial" w:hAnsi="Arial" w:cs="Arial"/>
          <w:i/>
          <w:iCs/>
          <w:sz w:val="22"/>
          <w:szCs w:val="22"/>
        </w:rPr>
        <w:t>Supply Chain Management Review</w:t>
      </w:r>
      <w:r w:rsidRPr="00B44313">
        <w:rPr>
          <w:rFonts w:ascii="Arial" w:hAnsi="Arial" w:cs="Arial"/>
          <w:sz w:val="22"/>
          <w:szCs w:val="22"/>
        </w:rPr>
        <w:t>, 26(4), pp. 301–320. Available at: https://www.sciencedirect.com/science/article/pii/S0925527320301962 (Accessed: 08/02/2026).</w:t>
      </w:r>
    </w:p>
    <w:p w14:paraId="1916A568" w14:textId="77777777" w:rsidR="00CA4CBE" w:rsidRPr="00B44313" w:rsidRDefault="00CA4CBE" w:rsidP="00CA4CBE">
      <w:pPr>
        <w:spacing w:after="0" w:line="360" w:lineRule="auto"/>
        <w:rPr>
          <w:rFonts w:ascii="Arial" w:hAnsi="Arial" w:cs="Arial"/>
          <w:sz w:val="22"/>
          <w:szCs w:val="22"/>
        </w:rPr>
      </w:pPr>
    </w:p>
    <w:p w14:paraId="5F9B9762" w14:textId="77777777" w:rsidR="00CA4CBE" w:rsidRPr="00B44313" w:rsidRDefault="00CA4CBE" w:rsidP="00CA4CBE">
      <w:pPr>
        <w:spacing w:after="0" w:line="360" w:lineRule="auto"/>
        <w:rPr>
          <w:rFonts w:ascii="Arial" w:hAnsi="Arial" w:cs="Arial"/>
          <w:sz w:val="22"/>
          <w:szCs w:val="22"/>
        </w:rPr>
      </w:pPr>
      <w:r w:rsidRPr="00B44313">
        <w:rPr>
          <w:rFonts w:ascii="Arial" w:hAnsi="Arial" w:cs="Arial"/>
          <w:sz w:val="22"/>
          <w:szCs w:val="22"/>
        </w:rPr>
        <w:t xml:space="preserve">Dubey, R., Gunasekaran, A., Childe, S.J., Fosso Wamba, S., </w:t>
      </w:r>
      <w:proofErr w:type="spellStart"/>
      <w:r w:rsidRPr="00B44313">
        <w:rPr>
          <w:rFonts w:ascii="Arial" w:hAnsi="Arial" w:cs="Arial"/>
          <w:sz w:val="22"/>
          <w:szCs w:val="22"/>
        </w:rPr>
        <w:t>Roubaud</w:t>
      </w:r>
      <w:proofErr w:type="spellEnd"/>
      <w:r w:rsidRPr="00B44313">
        <w:rPr>
          <w:rFonts w:ascii="Arial" w:hAnsi="Arial" w:cs="Arial"/>
          <w:sz w:val="22"/>
          <w:szCs w:val="22"/>
        </w:rPr>
        <w:t xml:space="preserve">, D. and </w:t>
      </w:r>
      <w:proofErr w:type="spellStart"/>
      <w:r w:rsidRPr="00B44313">
        <w:rPr>
          <w:rFonts w:ascii="Arial" w:hAnsi="Arial" w:cs="Arial"/>
          <w:sz w:val="22"/>
          <w:szCs w:val="22"/>
        </w:rPr>
        <w:t>Foropon</w:t>
      </w:r>
      <w:proofErr w:type="spellEnd"/>
      <w:r w:rsidRPr="00B44313">
        <w:rPr>
          <w:rFonts w:ascii="Arial" w:hAnsi="Arial" w:cs="Arial"/>
          <w:sz w:val="22"/>
          <w:szCs w:val="22"/>
        </w:rPr>
        <w:t xml:space="preserve">, C. (2021) ‘Empirical investigation of data analytics capability and organisational flexibility as complements to supply chain resilience’, </w:t>
      </w:r>
      <w:r w:rsidRPr="00B44313">
        <w:rPr>
          <w:rFonts w:ascii="Arial" w:hAnsi="Arial" w:cs="Arial"/>
          <w:i/>
          <w:iCs/>
          <w:sz w:val="22"/>
          <w:szCs w:val="22"/>
        </w:rPr>
        <w:t>International Journal of Production Research</w:t>
      </w:r>
      <w:r w:rsidRPr="00B44313">
        <w:rPr>
          <w:rFonts w:ascii="Arial" w:hAnsi="Arial" w:cs="Arial"/>
          <w:sz w:val="22"/>
          <w:szCs w:val="22"/>
        </w:rPr>
        <w:t xml:space="preserve">, 59(1), pp. 110–128. Available at: </w:t>
      </w:r>
      <w:hyperlink r:id="rId83" w:tgtFrame="_new" w:history="1">
        <w:r w:rsidRPr="00B44313">
          <w:rPr>
            <w:rStyle w:val="Hyperlink"/>
            <w:rFonts w:ascii="Arial" w:hAnsi="Arial" w:cs="Arial"/>
            <w:color w:val="auto"/>
            <w:sz w:val="22"/>
            <w:szCs w:val="22"/>
          </w:rPr>
          <w:t>https://www.tandfonline.com/doi/full/10.1080/00207543.2019.1582820</w:t>
        </w:r>
      </w:hyperlink>
      <w:r w:rsidRPr="00B44313">
        <w:rPr>
          <w:rFonts w:ascii="Arial" w:hAnsi="Arial" w:cs="Arial"/>
          <w:sz w:val="22"/>
          <w:szCs w:val="22"/>
        </w:rPr>
        <w:t xml:space="preserve"> (Accessed: 15/03/2026).</w:t>
      </w:r>
    </w:p>
    <w:p w14:paraId="6F0B6CC1" w14:textId="14D43B4F" w:rsidR="00CA4CBE" w:rsidRPr="00B44313" w:rsidRDefault="00CA4CBE" w:rsidP="00CA4CBE">
      <w:pPr>
        <w:spacing w:after="0" w:line="360" w:lineRule="auto"/>
        <w:rPr>
          <w:rFonts w:ascii="Arial" w:hAnsi="Arial" w:cs="Arial"/>
          <w:sz w:val="22"/>
          <w:szCs w:val="22"/>
        </w:rPr>
      </w:pPr>
    </w:p>
    <w:p w14:paraId="1CE8B131" w14:textId="77777777" w:rsidR="00AB2599" w:rsidRPr="00B44313" w:rsidRDefault="00AB2599" w:rsidP="00AB2599">
      <w:pPr>
        <w:spacing w:after="0" w:line="360" w:lineRule="auto"/>
        <w:rPr>
          <w:rFonts w:ascii="Arial" w:hAnsi="Arial" w:cs="Arial"/>
          <w:sz w:val="22"/>
          <w:szCs w:val="22"/>
        </w:rPr>
      </w:pPr>
      <w:proofErr w:type="spellStart"/>
      <w:r w:rsidRPr="00B44313">
        <w:rPr>
          <w:rFonts w:ascii="Arial" w:hAnsi="Arial" w:cs="Arial"/>
          <w:sz w:val="22"/>
          <w:szCs w:val="22"/>
        </w:rPr>
        <w:lastRenderedPageBreak/>
        <w:t>Durach</w:t>
      </w:r>
      <w:proofErr w:type="spellEnd"/>
      <w:r w:rsidRPr="00B44313">
        <w:rPr>
          <w:rFonts w:ascii="Arial" w:hAnsi="Arial" w:cs="Arial"/>
          <w:sz w:val="22"/>
          <w:szCs w:val="22"/>
        </w:rPr>
        <w:t xml:space="preserve">, C.F., Wieland, A. and Machuca, J.A.D. (2015) ‘A review of supply chain robustness and risk management’, </w:t>
      </w:r>
      <w:r w:rsidRPr="00B44313">
        <w:rPr>
          <w:rFonts w:ascii="Arial" w:hAnsi="Arial" w:cs="Arial"/>
          <w:i/>
          <w:iCs/>
          <w:sz w:val="22"/>
          <w:szCs w:val="22"/>
        </w:rPr>
        <w:t>International Journal of Physical Distribution &amp; Logistics Management</w:t>
      </w:r>
      <w:r w:rsidRPr="00B44313">
        <w:rPr>
          <w:rFonts w:ascii="Arial" w:hAnsi="Arial" w:cs="Arial"/>
          <w:sz w:val="22"/>
          <w:szCs w:val="22"/>
        </w:rPr>
        <w:t>, 45(1/2), pp. 118–137. Available at: https://www.emerald.com/insight/content/doi/10.1108/IJPDLM-05-2013-0138/full/html (Accessed: 18/03/2026).</w:t>
      </w:r>
    </w:p>
    <w:p w14:paraId="25E275F3" w14:textId="6E4E2668" w:rsidR="00AB2599" w:rsidRPr="00B44313" w:rsidRDefault="00AB2599" w:rsidP="00AB2599">
      <w:pPr>
        <w:spacing w:after="0" w:line="360" w:lineRule="auto"/>
        <w:rPr>
          <w:rFonts w:ascii="Arial" w:hAnsi="Arial" w:cs="Arial"/>
          <w:sz w:val="22"/>
          <w:szCs w:val="22"/>
        </w:rPr>
      </w:pPr>
    </w:p>
    <w:p w14:paraId="7BD3BA40" w14:textId="77777777" w:rsidR="00AB2599" w:rsidRPr="00B44313" w:rsidRDefault="00AB2599" w:rsidP="00AB2599">
      <w:pPr>
        <w:spacing w:after="0" w:line="360" w:lineRule="auto"/>
        <w:rPr>
          <w:rFonts w:ascii="Arial" w:hAnsi="Arial" w:cs="Arial"/>
          <w:sz w:val="22"/>
          <w:szCs w:val="22"/>
        </w:rPr>
      </w:pPr>
      <w:proofErr w:type="spellStart"/>
      <w:r w:rsidRPr="00B44313">
        <w:rPr>
          <w:rFonts w:ascii="Arial" w:hAnsi="Arial" w:cs="Arial"/>
          <w:sz w:val="22"/>
          <w:szCs w:val="22"/>
        </w:rPr>
        <w:t>Fatorachian</w:t>
      </w:r>
      <w:proofErr w:type="spellEnd"/>
      <w:r w:rsidRPr="00B44313">
        <w:rPr>
          <w:rFonts w:ascii="Arial" w:hAnsi="Arial" w:cs="Arial"/>
          <w:sz w:val="22"/>
          <w:szCs w:val="22"/>
        </w:rPr>
        <w:t xml:space="preserve">, H. and Kazemi, H. (2021) ‘Impact of Industry 4.0 on supply chain performance’, </w:t>
      </w:r>
      <w:r w:rsidRPr="00B44313">
        <w:rPr>
          <w:rFonts w:ascii="Arial" w:hAnsi="Arial" w:cs="Arial"/>
          <w:i/>
          <w:iCs/>
          <w:sz w:val="22"/>
          <w:szCs w:val="22"/>
        </w:rPr>
        <w:t>Production Planning &amp; Control</w:t>
      </w:r>
      <w:r w:rsidRPr="00B44313">
        <w:rPr>
          <w:rFonts w:ascii="Arial" w:hAnsi="Arial" w:cs="Arial"/>
          <w:sz w:val="22"/>
          <w:szCs w:val="22"/>
        </w:rPr>
        <w:t xml:space="preserve">, 32(1), pp. 63–81. Available at: </w:t>
      </w:r>
      <w:hyperlink r:id="rId84" w:tgtFrame="_new" w:history="1">
        <w:r w:rsidRPr="00B44313">
          <w:rPr>
            <w:rStyle w:val="Hyperlink"/>
            <w:rFonts w:ascii="Arial" w:hAnsi="Arial" w:cs="Arial"/>
            <w:color w:val="auto"/>
            <w:sz w:val="22"/>
            <w:szCs w:val="22"/>
          </w:rPr>
          <w:t>https://www.tandfonline.com/doi/full/10.1080/09537287.2020.1712487</w:t>
        </w:r>
      </w:hyperlink>
      <w:r w:rsidRPr="00B44313">
        <w:rPr>
          <w:rFonts w:ascii="Arial" w:hAnsi="Arial" w:cs="Arial"/>
          <w:sz w:val="22"/>
          <w:szCs w:val="22"/>
        </w:rPr>
        <w:t xml:space="preserve"> (Accessed: 22/03/2026).</w:t>
      </w:r>
    </w:p>
    <w:p w14:paraId="049D1454" w14:textId="47244783" w:rsidR="00AB2599" w:rsidRPr="00B44313" w:rsidRDefault="00AB2599" w:rsidP="00AB2599">
      <w:pPr>
        <w:spacing w:after="0" w:line="360" w:lineRule="auto"/>
        <w:rPr>
          <w:rFonts w:ascii="Arial" w:hAnsi="Arial" w:cs="Arial"/>
          <w:sz w:val="22"/>
          <w:szCs w:val="22"/>
        </w:rPr>
      </w:pPr>
    </w:p>
    <w:p w14:paraId="19217D5C" w14:textId="77777777" w:rsidR="00AB2599" w:rsidRPr="00B44313" w:rsidRDefault="00AB2599" w:rsidP="00AB2599">
      <w:pPr>
        <w:spacing w:after="0" w:line="360" w:lineRule="auto"/>
        <w:rPr>
          <w:rFonts w:ascii="Arial" w:hAnsi="Arial" w:cs="Arial"/>
          <w:sz w:val="22"/>
          <w:szCs w:val="22"/>
        </w:rPr>
      </w:pPr>
      <w:r w:rsidRPr="00B44313">
        <w:rPr>
          <w:rFonts w:ascii="Arial" w:hAnsi="Arial" w:cs="Arial"/>
          <w:sz w:val="22"/>
          <w:szCs w:val="22"/>
        </w:rPr>
        <w:t xml:space="preserve">Federal Reserve Bank of New York (2023) </w:t>
      </w:r>
      <w:r w:rsidRPr="00B44313">
        <w:rPr>
          <w:rFonts w:ascii="Arial" w:hAnsi="Arial" w:cs="Arial"/>
          <w:i/>
          <w:iCs/>
          <w:sz w:val="22"/>
          <w:szCs w:val="22"/>
        </w:rPr>
        <w:t>Global supply chain pressure index (GSCPI)</w:t>
      </w:r>
      <w:r w:rsidRPr="00B44313">
        <w:rPr>
          <w:rFonts w:ascii="Arial" w:hAnsi="Arial" w:cs="Arial"/>
          <w:sz w:val="22"/>
          <w:szCs w:val="22"/>
        </w:rPr>
        <w:t xml:space="preserve">. Available at: </w:t>
      </w:r>
      <w:hyperlink r:id="rId85" w:tgtFrame="_new" w:history="1">
        <w:r w:rsidRPr="00B44313">
          <w:rPr>
            <w:rStyle w:val="Hyperlink"/>
            <w:rFonts w:ascii="Arial" w:hAnsi="Arial" w:cs="Arial"/>
            <w:color w:val="auto"/>
            <w:sz w:val="22"/>
            <w:szCs w:val="22"/>
          </w:rPr>
          <w:t>https://www.newyorkfed.org/research/policy/gscpi</w:t>
        </w:r>
      </w:hyperlink>
      <w:r w:rsidRPr="00B44313">
        <w:rPr>
          <w:rFonts w:ascii="Arial" w:hAnsi="Arial" w:cs="Arial"/>
          <w:sz w:val="22"/>
          <w:szCs w:val="22"/>
        </w:rPr>
        <w:t xml:space="preserve"> (Accessed: 25/03/2026).</w:t>
      </w:r>
    </w:p>
    <w:p w14:paraId="34D2F7A8" w14:textId="55D83D70" w:rsidR="00AB2599" w:rsidRPr="00B44313" w:rsidRDefault="00AB2599" w:rsidP="00AB2599">
      <w:pPr>
        <w:spacing w:after="0" w:line="360" w:lineRule="auto"/>
        <w:rPr>
          <w:rFonts w:ascii="Arial" w:hAnsi="Arial" w:cs="Arial"/>
          <w:sz w:val="22"/>
          <w:szCs w:val="22"/>
        </w:rPr>
      </w:pPr>
    </w:p>
    <w:p w14:paraId="1C73BB94" w14:textId="2C1F5D37" w:rsidR="00AB2599" w:rsidRPr="00B44313" w:rsidRDefault="00AB2599" w:rsidP="00AB2599">
      <w:pPr>
        <w:spacing w:after="0" w:line="360" w:lineRule="auto"/>
        <w:rPr>
          <w:rFonts w:ascii="Arial" w:hAnsi="Arial" w:cs="Arial"/>
          <w:sz w:val="22"/>
          <w:szCs w:val="22"/>
        </w:rPr>
      </w:pPr>
      <w:proofErr w:type="spellStart"/>
      <w:r w:rsidRPr="00B44313">
        <w:rPr>
          <w:rFonts w:ascii="Arial" w:hAnsi="Arial" w:cs="Arial"/>
          <w:sz w:val="22"/>
          <w:szCs w:val="22"/>
        </w:rPr>
        <w:t>Ghobakhloo</w:t>
      </w:r>
      <w:proofErr w:type="spellEnd"/>
      <w:r w:rsidRPr="00B44313">
        <w:rPr>
          <w:rFonts w:ascii="Arial" w:hAnsi="Arial" w:cs="Arial"/>
          <w:sz w:val="22"/>
          <w:szCs w:val="22"/>
        </w:rPr>
        <w:t xml:space="preserve">, M., </w:t>
      </w:r>
      <w:proofErr w:type="spellStart"/>
      <w:r w:rsidRPr="00B44313">
        <w:rPr>
          <w:rFonts w:ascii="Arial" w:hAnsi="Arial" w:cs="Arial"/>
          <w:sz w:val="22"/>
          <w:szCs w:val="22"/>
        </w:rPr>
        <w:t>Iranmanesh</w:t>
      </w:r>
      <w:proofErr w:type="spellEnd"/>
      <w:r w:rsidRPr="00B44313">
        <w:rPr>
          <w:rFonts w:ascii="Arial" w:hAnsi="Arial" w:cs="Arial"/>
          <w:sz w:val="22"/>
          <w:szCs w:val="22"/>
        </w:rPr>
        <w:t xml:space="preserve">, B., Foroughi, M., Tseng, M.L., Nikbin, D. and Akhtar, A. (2025) ‘Industry 4.0 digital transformation opportunities for supply chain resilience: A comprehensive review and a strategic roadmap’, </w:t>
      </w:r>
      <w:r w:rsidRPr="00B44313">
        <w:rPr>
          <w:rFonts w:ascii="Arial" w:hAnsi="Arial" w:cs="Arial"/>
          <w:i/>
          <w:iCs/>
          <w:sz w:val="22"/>
          <w:szCs w:val="22"/>
        </w:rPr>
        <w:t>Production Planning &amp; Control</w:t>
      </w:r>
      <w:r w:rsidRPr="00B44313">
        <w:rPr>
          <w:rFonts w:ascii="Arial" w:hAnsi="Arial" w:cs="Arial"/>
          <w:sz w:val="22"/>
          <w:szCs w:val="22"/>
        </w:rPr>
        <w:t xml:space="preserve">, 36, pp. 61–91. Available at: </w:t>
      </w:r>
      <w:hyperlink r:id="rId86" w:history="1">
        <w:r w:rsidR="00855FD5" w:rsidRPr="00B44313">
          <w:rPr>
            <w:rStyle w:val="Hyperlink"/>
            <w:rFonts w:ascii="Arial" w:hAnsi="Arial" w:cs="Arial"/>
            <w:color w:val="auto"/>
            <w:sz w:val="22"/>
            <w:szCs w:val="22"/>
          </w:rPr>
          <w:t>https://www.tandfonline.com/doi/full/10.1080/09537287.2023</w:t>
        </w:r>
      </w:hyperlink>
      <w:r w:rsidR="00855FD5" w:rsidRPr="00B44313">
        <w:rPr>
          <w:rFonts w:ascii="Arial" w:hAnsi="Arial" w:cs="Arial"/>
          <w:sz w:val="22"/>
          <w:szCs w:val="22"/>
        </w:rPr>
        <w:t xml:space="preserve"> </w:t>
      </w:r>
      <w:r w:rsidRPr="00B44313">
        <w:rPr>
          <w:rFonts w:ascii="Arial" w:hAnsi="Arial" w:cs="Arial"/>
          <w:sz w:val="22"/>
          <w:szCs w:val="22"/>
        </w:rPr>
        <w:t>(Accessed: 02/04/2026).</w:t>
      </w:r>
    </w:p>
    <w:p w14:paraId="741FA925" w14:textId="2350F36B" w:rsidR="00AB2599" w:rsidRPr="00B44313" w:rsidRDefault="00AB2599" w:rsidP="00AB2599">
      <w:pPr>
        <w:spacing w:after="0" w:line="360" w:lineRule="auto"/>
        <w:rPr>
          <w:rFonts w:ascii="Arial" w:hAnsi="Arial" w:cs="Arial"/>
          <w:sz w:val="22"/>
          <w:szCs w:val="22"/>
        </w:rPr>
      </w:pPr>
    </w:p>
    <w:p w14:paraId="7DA8EBEB" w14:textId="77777777" w:rsidR="00AB2599" w:rsidRPr="00B44313" w:rsidRDefault="00AB2599" w:rsidP="00AB2599">
      <w:pPr>
        <w:spacing w:after="0" w:line="360" w:lineRule="auto"/>
        <w:rPr>
          <w:rFonts w:ascii="Arial" w:hAnsi="Arial" w:cs="Arial"/>
          <w:sz w:val="22"/>
          <w:szCs w:val="22"/>
        </w:rPr>
      </w:pPr>
      <w:r w:rsidRPr="00B44313">
        <w:rPr>
          <w:rFonts w:ascii="Arial" w:hAnsi="Arial" w:cs="Arial"/>
          <w:sz w:val="22"/>
          <w:szCs w:val="22"/>
        </w:rPr>
        <w:t xml:space="preserve">Grimm, J., Langley, A. and Reinecke, J. (2024) ‘Process research methods for studying supply chains and their management’, </w:t>
      </w:r>
      <w:r w:rsidRPr="00B44313">
        <w:rPr>
          <w:rFonts w:ascii="Arial" w:hAnsi="Arial" w:cs="Arial"/>
          <w:i/>
          <w:iCs/>
          <w:sz w:val="22"/>
          <w:szCs w:val="22"/>
        </w:rPr>
        <w:t>Journal of Supply Chain Management</w:t>
      </w:r>
      <w:r w:rsidRPr="00B44313">
        <w:rPr>
          <w:rFonts w:ascii="Arial" w:hAnsi="Arial" w:cs="Arial"/>
          <w:sz w:val="22"/>
          <w:szCs w:val="22"/>
        </w:rPr>
        <w:t xml:space="preserve">, 60(4), pp. 3–26. Available at: </w:t>
      </w:r>
      <w:hyperlink r:id="rId87" w:tgtFrame="_new" w:history="1">
        <w:r w:rsidRPr="00B44313">
          <w:rPr>
            <w:rStyle w:val="Hyperlink"/>
            <w:rFonts w:ascii="Arial" w:hAnsi="Arial" w:cs="Arial"/>
            <w:color w:val="auto"/>
            <w:sz w:val="22"/>
            <w:szCs w:val="22"/>
          </w:rPr>
          <w:t>https://onlinelibrary.wiley.com/doi/10.1111/jscm.12312</w:t>
        </w:r>
      </w:hyperlink>
      <w:r w:rsidRPr="00B44313">
        <w:rPr>
          <w:rFonts w:ascii="Arial" w:hAnsi="Arial" w:cs="Arial"/>
          <w:sz w:val="22"/>
          <w:szCs w:val="22"/>
        </w:rPr>
        <w:t xml:space="preserve"> (Accessed: 21/04/2026).</w:t>
      </w:r>
    </w:p>
    <w:p w14:paraId="77BEFCAD" w14:textId="77777777" w:rsidR="000157AE" w:rsidRPr="00B44313" w:rsidRDefault="000157AE" w:rsidP="00685F2F">
      <w:pPr>
        <w:spacing w:after="0" w:line="360" w:lineRule="auto"/>
        <w:rPr>
          <w:rFonts w:ascii="Arial" w:hAnsi="Arial" w:cs="Arial"/>
          <w:sz w:val="22"/>
          <w:szCs w:val="22"/>
        </w:rPr>
      </w:pPr>
    </w:p>
    <w:p w14:paraId="686C12EF" w14:textId="77777777" w:rsidR="00CE2580" w:rsidRPr="00B44313" w:rsidRDefault="00CE2580" w:rsidP="00CE2580">
      <w:pPr>
        <w:spacing w:after="0" w:line="360" w:lineRule="auto"/>
        <w:rPr>
          <w:rFonts w:ascii="Arial" w:hAnsi="Arial" w:cs="Arial"/>
          <w:sz w:val="22"/>
          <w:szCs w:val="22"/>
        </w:rPr>
      </w:pPr>
      <w:r w:rsidRPr="00B44313">
        <w:rPr>
          <w:rFonts w:ascii="Arial" w:hAnsi="Arial" w:cs="Arial"/>
          <w:sz w:val="22"/>
          <w:szCs w:val="22"/>
        </w:rPr>
        <w:t xml:space="preserve">Gupta, S., Bag, S., Modgil, S., Lopes de Sousa Jabbour, A.B. and Kumar, A. (2022) ‘Examining the influence of big data analytics and additive manufacturing on supply chain risk control and resilience’, </w:t>
      </w:r>
      <w:r w:rsidRPr="00B44313">
        <w:rPr>
          <w:rFonts w:ascii="Arial" w:hAnsi="Arial" w:cs="Arial"/>
          <w:i/>
          <w:iCs/>
          <w:sz w:val="22"/>
          <w:szCs w:val="22"/>
        </w:rPr>
        <w:t>Computers &amp; Industrial Engineering</w:t>
      </w:r>
      <w:r w:rsidRPr="00B44313">
        <w:rPr>
          <w:rFonts w:ascii="Arial" w:hAnsi="Arial" w:cs="Arial"/>
          <w:sz w:val="22"/>
          <w:szCs w:val="22"/>
        </w:rPr>
        <w:t>, 172, 108629. Available at: https://www.sciencedirect.com/science/article/pii/S0360835222005227 (Accessed: 24/03/2026).</w:t>
      </w:r>
    </w:p>
    <w:p w14:paraId="151F58B5" w14:textId="40E4A746" w:rsidR="00CE2580" w:rsidRPr="00B44313" w:rsidRDefault="00CE2580" w:rsidP="00CE2580">
      <w:pPr>
        <w:spacing w:after="0" w:line="360" w:lineRule="auto"/>
        <w:rPr>
          <w:rFonts w:ascii="Arial" w:hAnsi="Arial" w:cs="Arial"/>
          <w:sz w:val="22"/>
          <w:szCs w:val="22"/>
        </w:rPr>
      </w:pPr>
    </w:p>
    <w:p w14:paraId="6E9AD139" w14:textId="77777777" w:rsidR="00CE2580" w:rsidRPr="00B44313" w:rsidRDefault="00CE2580" w:rsidP="00CE2580">
      <w:pPr>
        <w:spacing w:after="0" w:line="360" w:lineRule="auto"/>
        <w:rPr>
          <w:rFonts w:ascii="Arial" w:hAnsi="Arial" w:cs="Arial"/>
          <w:sz w:val="22"/>
          <w:szCs w:val="22"/>
        </w:rPr>
      </w:pPr>
      <w:proofErr w:type="spellStart"/>
      <w:r w:rsidRPr="00B44313">
        <w:rPr>
          <w:rFonts w:ascii="Arial" w:hAnsi="Arial" w:cs="Arial"/>
          <w:sz w:val="22"/>
          <w:szCs w:val="22"/>
        </w:rPr>
        <w:t>Gurtu</w:t>
      </w:r>
      <w:proofErr w:type="spellEnd"/>
      <w:r w:rsidRPr="00B44313">
        <w:rPr>
          <w:rFonts w:ascii="Arial" w:hAnsi="Arial" w:cs="Arial"/>
          <w:sz w:val="22"/>
          <w:szCs w:val="22"/>
        </w:rPr>
        <w:t xml:space="preserve">, A. and Johny, J. (2021) ‘Supply chain risk management: Literature review’, </w:t>
      </w:r>
      <w:r w:rsidRPr="00B44313">
        <w:rPr>
          <w:rFonts w:ascii="Arial" w:hAnsi="Arial" w:cs="Arial"/>
          <w:i/>
          <w:iCs/>
          <w:sz w:val="22"/>
          <w:szCs w:val="22"/>
        </w:rPr>
        <w:t>Risks</w:t>
      </w:r>
      <w:r w:rsidRPr="00B44313">
        <w:rPr>
          <w:rFonts w:ascii="Arial" w:hAnsi="Arial" w:cs="Arial"/>
          <w:sz w:val="22"/>
          <w:szCs w:val="22"/>
        </w:rPr>
        <w:t xml:space="preserve">, 9(1), p. 16. Available at: </w:t>
      </w:r>
      <w:hyperlink r:id="rId88" w:tgtFrame="_new" w:history="1">
        <w:r w:rsidRPr="00B44313">
          <w:rPr>
            <w:rStyle w:val="Hyperlink"/>
            <w:rFonts w:ascii="Arial" w:hAnsi="Arial" w:cs="Arial"/>
            <w:color w:val="auto"/>
            <w:sz w:val="22"/>
            <w:szCs w:val="22"/>
          </w:rPr>
          <w:t>https://www.mdpi.com/2227-9091/9/1/16</w:t>
        </w:r>
      </w:hyperlink>
      <w:r w:rsidRPr="00B44313">
        <w:rPr>
          <w:rFonts w:ascii="Arial" w:hAnsi="Arial" w:cs="Arial"/>
          <w:sz w:val="22"/>
          <w:szCs w:val="22"/>
        </w:rPr>
        <w:t xml:space="preserve"> (Accessed: 26/03/2026).</w:t>
      </w:r>
    </w:p>
    <w:p w14:paraId="44595DC2" w14:textId="1EF21275" w:rsidR="00CE2580" w:rsidRPr="00B44313" w:rsidRDefault="00CE2580" w:rsidP="00CE2580">
      <w:pPr>
        <w:spacing w:after="0" w:line="360" w:lineRule="auto"/>
        <w:rPr>
          <w:rFonts w:ascii="Arial" w:hAnsi="Arial" w:cs="Arial"/>
          <w:sz w:val="22"/>
          <w:szCs w:val="22"/>
        </w:rPr>
      </w:pPr>
    </w:p>
    <w:p w14:paraId="336EC49A" w14:textId="77777777" w:rsidR="00CE2580" w:rsidRPr="00B44313" w:rsidRDefault="00CE2580" w:rsidP="00CE2580">
      <w:pPr>
        <w:spacing w:after="0" w:line="360" w:lineRule="auto"/>
        <w:rPr>
          <w:rFonts w:ascii="Arial" w:hAnsi="Arial" w:cs="Arial"/>
          <w:sz w:val="22"/>
          <w:szCs w:val="22"/>
        </w:rPr>
      </w:pPr>
      <w:r w:rsidRPr="00B44313">
        <w:rPr>
          <w:rFonts w:ascii="Arial" w:hAnsi="Arial" w:cs="Arial"/>
          <w:sz w:val="22"/>
          <w:szCs w:val="22"/>
        </w:rPr>
        <w:t xml:space="preserve">Guy in a Cube (2020) </w:t>
      </w:r>
      <w:r w:rsidRPr="00B44313">
        <w:rPr>
          <w:rFonts w:ascii="Arial" w:hAnsi="Arial" w:cs="Arial"/>
          <w:i/>
          <w:iCs/>
          <w:sz w:val="22"/>
          <w:szCs w:val="22"/>
        </w:rPr>
        <w:t>Power BI full course for beginners</w:t>
      </w:r>
      <w:r w:rsidRPr="00B44313">
        <w:rPr>
          <w:rFonts w:ascii="Arial" w:hAnsi="Arial" w:cs="Arial"/>
          <w:sz w:val="22"/>
          <w:szCs w:val="22"/>
        </w:rPr>
        <w:t xml:space="preserve">. Available at: </w:t>
      </w:r>
      <w:hyperlink r:id="rId89" w:tgtFrame="_new" w:history="1">
        <w:r w:rsidRPr="00B44313">
          <w:rPr>
            <w:rStyle w:val="Hyperlink"/>
            <w:rFonts w:ascii="Arial" w:hAnsi="Arial" w:cs="Arial"/>
            <w:color w:val="auto"/>
            <w:sz w:val="22"/>
            <w:szCs w:val="22"/>
          </w:rPr>
          <w:t>https://www.youtube.com/watch?v=AGrl-H87pRU</w:t>
        </w:r>
      </w:hyperlink>
      <w:r w:rsidRPr="00B44313">
        <w:rPr>
          <w:rFonts w:ascii="Arial" w:hAnsi="Arial" w:cs="Arial"/>
          <w:sz w:val="22"/>
          <w:szCs w:val="22"/>
        </w:rPr>
        <w:t xml:space="preserve"> (Accessed: 27/03/2026).</w:t>
      </w:r>
    </w:p>
    <w:p w14:paraId="7DB6F17A" w14:textId="77777777" w:rsidR="00AB2599" w:rsidRPr="00B44313" w:rsidRDefault="00AB2599" w:rsidP="00685F2F">
      <w:pPr>
        <w:spacing w:after="0" w:line="360" w:lineRule="auto"/>
        <w:rPr>
          <w:rFonts w:ascii="Arial" w:hAnsi="Arial" w:cs="Arial"/>
          <w:sz w:val="22"/>
          <w:szCs w:val="22"/>
        </w:rPr>
      </w:pPr>
    </w:p>
    <w:p w14:paraId="22D63AF4" w14:textId="77777777" w:rsidR="00CE2580" w:rsidRPr="00B44313" w:rsidRDefault="00CE2580" w:rsidP="00A92367">
      <w:pPr>
        <w:spacing w:after="0" w:line="360" w:lineRule="auto"/>
        <w:rPr>
          <w:rFonts w:ascii="Arial" w:hAnsi="Arial" w:cs="Arial"/>
          <w:sz w:val="22"/>
          <w:szCs w:val="22"/>
        </w:rPr>
      </w:pPr>
    </w:p>
    <w:p w14:paraId="198E8FAC"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lastRenderedPageBreak/>
        <w:t xml:space="preserve">Hamed, A.M.K. (2025) ‘The impact of the Red Sea crisis on global shipping and strategic supply chain management’, </w:t>
      </w:r>
      <w:r w:rsidRPr="00B44313">
        <w:rPr>
          <w:rFonts w:ascii="Arial" w:hAnsi="Arial" w:cs="Arial"/>
          <w:i/>
          <w:iCs/>
          <w:sz w:val="22"/>
          <w:szCs w:val="22"/>
        </w:rPr>
        <w:t>IRE Journals</w:t>
      </w:r>
      <w:r w:rsidRPr="00B44313">
        <w:rPr>
          <w:rFonts w:ascii="Arial" w:hAnsi="Arial" w:cs="Arial"/>
          <w:sz w:val="22"/>
          <w:szCs w:val="22"/>
        </w:rPr>
        <w:t xml:space="preserve">, 9(2), pp. 1–12. Available at: </w:t>
      </w:r>
      <w:hyperlink r:id="rId90" w:tgtFrame="_new" w:history="1">
        <w:r w:rsidRPr="00B44313">
          <w:rPr>
            <w:rStyle w:val="Hyperlink"/>
            <w:rFonts w:ascii="Arial" w:hAnsi="Arial" w:cs="Arial"/>
            <w:color w:val="auto"/>
            <w:sz w:val="22"/>
            <w:szCs w:val="22"/>
          </w:rPr>
          <w:t>https://www.irejournals.com/formatedpaper/1711267.pdf</w:t>
        </w:r>
      </w:hyperlink>
      <w:r w:rsidRPr="00B44313">
        <w:rPr>
          <w:rFonts w:ascii="Arial" w:hAnsi="Arial" w:cs="Arial"/>
          <w:sz w:val="22"/>
          <w:szCs w:val="22"/>
        </w:rPr>
        <w:t xml:space="preserve"> (Accessed: 14/02/2026).</w:t>
      </w:r>
    </w:p>
    <w:p w14:paraId="0D2A7BB9" w14:textId="4142951B" w:rsidR="00635A5C" w:rsidRPr="00B44313" w:rsidRDefault="00635A5C" w:rsidP="00635A5C">
      <w:pPr>
        <w:spacing w:after="0" w:line="360" w:lineRule="auto"/>
        <w:rPr>
          <w:rFonts w:ascii="Arial" w:hAnsi="Arial" w:cs="Arial"/>
          <w:sz w:val="22"/>
          <w:szCs w:val="22"/>
        </w:rPr>
      </w:pPr>
    </w:p>
    <w:p w14:paraId="31D93190"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t xml:space="preserve">Helfat, C.E. and Peteraf, M.A. (2015) ‘Managerial cognitive capabilities and the </w:t>
      </w:r>
      <w:proofErr w:type="spellStart"/>
      <w:r w:rsidRPr="00B44313">
        <w:rPr>
          <w:rFonts w:ascii="Arial" w:hAnsi="Arial" w:cs="Arial"/>
          <w:sz w:val="22"/>
          <w:szCs w:val="22"/>
        </w:rPr>
        <w:t>microfoundations</w:t>
      </w:r>
      <w:proofErr w:type="spellEnd"/>
      <w:r w:rsidRPr="00B44313">
        <w:rPr>
          <w:rFonts w:ascii="Arial" w:hAnsi="Arial" w:cs="Arial"/>
          <w:sz w:val="22"/>
          <w:szCs w:val="22"/>
        </w:rPr>
        <w:t xml:space="preserve"> of dynamic capabilities’, </w:t>
      </w:r>
      <w:r w:rsidRPr="00B44313">
        <w:rPr>
          <w:rFonts w:ascii="Arial" w:hAnsi="Arial" w:cs="Arial"/>
          <w:i/>
          <w:iCs/>
          <w:sz w:val="22"/>
          <w:szCs w:val="22"/>
        </w:rPr>
        <w:t>Strategic Management Journal</w:t>
      </w:r>
      <w:r w:rsidRPr="00B44313">
        <w:rPr>
          <w:rFonts w:ascii="Arial" w:hAnsi="Arial" w:cs="Arial"/>
          <w:sz w:val="22"/>
          <w:szCs w:val="22"/>
        </w:rPr>
        <w:t>, 36(6), pp. 831–850. Available at: https://onlinelibrary.wiley.com/doi/full/10.1002/smj.2247 (Accessed: 20/03/2026).</w:t>
      </w:r>
    </w:p>
    <w:p w14:paraId="744F347B" w14:textId="325F0526" w:rsidR="00635A5C" w:rsidRPr="00B44313" w:rsidRDefault="00635A5C" w:rsidP="00635A5C">
      <w:pPr>
        <w:spacing w:after="0" w:line="360" w:lineRule="auto"/>
        <w:rPr>
          <w:rFonts w:ascii="Arial" w:hAnsi="Arial" w:cs="Arial"/>
          <w:sz w:val="22"/>
          <w:szCs w:val="22"/>
        </w:rPr>
      </w:pPr>
    </w:p>
    <w:p w14:paraId="1D9D445A"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t xml:space="preserve">Herberger, M., Wieland, A. and Hochstrasser, C. (2024) ‘Building supply chain resilience to cyber risks: A dynamic capabilities perspective’, </w:t>
      </w:r>
      <w:r w:rsidRPr="00B44313">
        <w:rPr>
          <w:rFonts w:ascii="Arial" w:hAnsi="Arial" w:cs="Arial"/>
          <w:i/>
          <w:iCs/>
          <w:sz w:val="22"/>
          <w:szCs w:val="22"/>
        </w:rPr>
        <w:t>Supply Chain Management: An International Journal</w:t>
      </w:r>
      <w:r w:rsidRPr="00B44313">
        <w:rPr>
          <w:rFonts w:ascii="Arial" w:hAnsi="Arial" w:cs="Arial"/>
          <w:sz w:val="22"/>
          <w:szCs w:val="22"/>
        </w:rPr>
        <w:t xml:space="preserve">, 29(7), pp. 28–50. Available at: </w:t>
      </w:r>
      <w:hyperlink r:id="rId91" w:tgtFrame="_new" w:history="1">
        <w:r w:rsidRPr="00B44313">
          <w:rPr>
            <w:rStyle w:val="Hyperlink"/>
            <w:rFonts w:ascii="Arial" w:hAnsi="Arial" w:cs="Arial"/>
            <w:color w:val="auto"/>
            <w:sz w:val="22"/>
            <w:szCs w:val="22"/>
          </w:rPr>
          <w:t>https://www.emerald.com/insight/content/doi/10.1108/SCM-01-2023-0016/full/html</w:t>
        </w:r>
      </w:hyperlink>
      <w:r w:rsidRPr="00B44313">
        <w:rPr>
          <w:rFonts w:ascii="Arial" w:hAnsi="Arial" w:cs="Arial"/>
          <w:sz w:val="22"/>
          <w:szCs w:val="22"/>
        </w:rPr>
        <w:t xml:space="preserve"> (Accessed: 25/03/2026).</w:t>
      </w:r>
    </w:p>
    <w:p w14:paraId="3553F94D" w14:textId="02556291" w:rsidR="00635A5C" w:rsidRPr="00B44313" w:rsidRDefault="00635A5C" w:rsidP="00635A5C">
      <w:pPr>
        <w:spacing w:after="0" w:line="360" w:lineRule="auto"/>
        <w:rPr>
          <w:rFonts w:ascii="Arial" w:hAnsi="Arial" w:cs="Arial"/>
          <w:sz w:val="22"/>
          <w:szCs w:val="22"/>
        </w:rPr>
      </w:pPr>
    </w:p>
    <w:p w14:paraId="718FD92F"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t xml:space="preserve">HM Revenue &amp; Customs (2024) </w:t>
      </w:r>
      <w:r w:rsidRPr="00B44313">
        <w:rPr>
          <w:rFonts w:ascii="Arial" w:hAnsi="Arial" w:cs="Arial"/>
          <w:i/>
          <w:iCs/>
          <w:sz w:val="22"/>
          <w:szCs w:val="22"/>
        </w:rPr>
        <w:t>UK trade data</w:t>
      </w:r>
      <w:r w:rsidRPr="00B44313">
        <w:rPr>
          <w:rFonts w:ascii="Arial" w:hAnsi="Arial" w:cs="Arial"/>
          <w:sz w:val="22"/>
          <w:szCs w:val="22"/>
        </w:rPr>
        <w:t xml:space="preserve">. Available at: </w:t>
      </w:r>
      <w:hyperlink r:id="rId92" w:tgtFrame="_new" w:history="1">
        <w:r w:rsidRPr="00B44313">
          <w:rPr>
            <w:rStyle w:val="Hyperlink"/>
            <w:rFonts w:ascii="Arial" w:hAnsi="Arial" w:cs="Arial"/>
            <w:color w:val="auto"/>
            <w:sz w:val="22"/>
            <w:szCs w:val="22"/>
          </w:rPr>
          <w:t>https://www.uktradeinfo.com</w:t>
        </w:r>
      </w:hyperlink>
      <w:r w:rsidRPr="00B44313">
        <w:rPr>
          <w:rFonts w:ascii="Arial" w:hAnsi="Arial" w:cs="Arial"/>
          <w:sz w:val="22"/>
          <w:szCs w:val="22"/>
        </w:rPr>
        <w:t xml:space="preserve"> (Accessed: 22/03/2026).</w:t>
      </w:r>
    </w:p>
    <w:p w14:paraId="368BD497" w14:textId="20B30D66" w:rsidR="00635A5C" w:rsidRPr="00B44313" w:rsidRDefault="00635A5C" w:rsidP="00635A5C">
      <w:pPr>
        <w:spacing w:after="0" w:line="360" w:lineRule="auto"/>
        <w:rPr>
          <w:rFonts w:ascii="Arial" w:hAnsi="Arial" w:cs="Arial"/>
          <w:sz w:val="22"/>
          <w:szCs w:val="22"/>
        </w:rPr>
      </w:pPr>
    </w:p>
    <w:p w14:paraId="2D6769B7"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t xml:space="preserve">Huang, K., Wang, P.K.C., Lee, A.C.L. and Yeung, A.C.L. (2023) ‘The impact of Industry 4.0 on supply chain capability and supply chain resilience: A dynamic resource-based view’, </w:t>
      </w:r>
      <w:r w:rsidRPr="00B44313">
        <w:rPr>
          <w:rFonts w:ascii="Arial" w:hAnsi="Arial" w:cs="Arial"/>
          <w:i/>
          <w:iCs/>
          <w:sz w:val="22"/>
          <w:szCs w:val="22"/>
        </w:rPr>
        <w:t>International Journal of Production Economics</w:t>
      </w:r>
      <w:r w:rsidRPr="00B44313">
        <w:rPr>
          <w:rFonts w:ascii="Arial" w:hAnsi="Arial" w:cs="Arial"/>
          <w:sz w:val="22"/>
          <w:szCs w:val="22"/>
        </w:rPr>
        <w:t>, 262, 108913. Available at: https://www.sciencedirect.com/science/article/pii/S0925527323001560 (Accessed: 27/03/2026).</w:t>
      </w:r>
    </w:p>
    <w:p w14:paraId="734F688B" w14:textId="1015C8CB" w:rsidR="00635A5C" w:rsidRPr="00B44313" w:rsidRDefault="00635A5C" w:rsidP="00635A5C">
      <w:pPr>
        <w:spacing w:after="0" w:line="360" w:lineRule="auto"/>
        <w:rPr>
          <w:rFonts w:ascii="Arial" w:hAnsi="Arial" w:cs="Arial"/>
          <w:sz w:val="22"/>
          <w:szCs w:val="22"/>
        </w:rPr>
      </w:pPr>
    </w:p>
    <w:p w14:paraId="486A9F3F" w14:textId="77777777" w:rsidR="00635A5C" w:rsidRPr="00B44313" w:rsidRDefault="00635A5C" w:rsidP="00635A5C">
      <w:pPr>
        <w:spacing w:after="0" w:line="360" w:lineRule="auto"/>
        <w:rPr>
          <w:rFonts w:ascii="Arial" w:hAnsi="Arial" w:cs="Arial"/>
          <w:sz w:val="22"/>
          <w:szCs w:val="22"/>
        </w:rPr>
      </w:pPr>
      <w:r w:rsidRPr="00B44313">
        <w:rPr>
          <w:rFonts w:ascii="Arial" w:hAnsi="Arial" w:cs="Arial"/>
          <w:sz w:val="22"/>
          <w:szCs w:val="22"/>
        </w:rPr>
        <w:t xml:space="preserve">Huang, Y., Ghadge, A. and Yates, N. (2024) ‘Implementation of digital twins in the food supply chain: A review and conceptual framework’, </w:t>
      </w:r>
      <w:r w:rsidRPr="00B44313">
        <w:rPr>
          <w:rFonts w:ascii="Arial" w:hAnsi="Arial" w:cs="Arial"/>
          <w:i/>
          <w:iCs/>
          <w:sz w:val="22"/>
          <w:szCs w:val="22"/>
        </w:rPr>
        <w:t>International Journal of Production Research</w:t>
      </w:r>
      <w:r w:rsidRPr="00B44313">
        <w:rPr>
          <w:rFonts w:ascii="Arial" w:hAnsi="Arial" w:cs="Arial"/>
          <w:sz w:val="22"/>
          <w:szCs w:val="22"/>
        </w:rPr>
        <w:t xml:space="preserve">, 62(17), pp. 6400–6426. Available at: </w:t>
      </w:r>
      <w:hyperlink r:id="rId93" w:tgtFrame="_new" w:history="1">
        <w:r w:rsidRPr="00B44313">
          <w:rPr>
            <w:rStyle w:val="Hyperlink"/>
            <w:rFonts w:ascii="Arial" w:hAnsi="Arial" w:cs="Arial"/>
            <w:color w:val="auto"/>
            <w:sz w:val="22"/>
            <w:szCs w:val="22"/>
          </w:rPr>
          <w:t>https://www.tandfonline.com/doi/full/10.1080/00207543.2024.2305804</w:t>
        </w:r>
      </w:hyperlink>
      <w:r w:rsidRPr="00B44313">
        <w:rPr>
          <w:rFonts w:ascii="Arial" w:hAnsi="Arial" w:cs="Arial"/>
          <w:sz w:val="22"/>
          <w:szCs w:val="22"/>
        </w:rPr>
        <w:t xml:space="preserve"> (Accessed: 02/04/2026).</w:t>
      </w:r>
    </w:p>
    <w:p w14:paraId="7EFB053E" w14:textId="77777777" w:rsidR="00E121A6" w:rsidRPr="00B44313" w:rsidRDefault="00E121A6" w:rsidP="00635A5C">
      <w:pPr>
        <w:spacing w:after="0" w:line="360" w:lineRule="auto"/>
        <w:rPr>
          <w:rFonts w:ascii="Arial" w:hAnsi="Arial" w:cs="Arial"/>
          <w:sz w:val="22"/>
          <w:szCs w:val="22"/>
        </w:rPr>
      </w:pPr>
    </w:p>
    <w:p w14:paraId="6FB8547D" w14:textId="77777777" w:rsidR="00E121A6" w:rsidRPr="00B44313" w:rsidRDefault="00E121A6" w:rsidP="00E121A6">
      <w:pPr>
        <w:spacing w:after="0" w:line="360" w:lineRule="auto"/>
        <w:rPr>
          <w:rFonts w:ascii="Arial" w:hAnsi="Arial" w:cs="Arial"/>
          <w:sz w:val="22"/>
          <w:szCs w:val="22"/>
        </w:rPr>
      </w:pPr>
      <w:r w:rsidRPr="00B44313">
        <w:rPr>
          <w:rFonts w:ascii="Arial" w:hAnsi="Arial" w:cs="Arial"/>
          <w:sz w:val="22"/>
          <w:szCs w:val="22"/>
        </w:rPr>
        <w:t xml:space="preserve">Hughes, L., Dwivedi, Y.K., Rana, N.P., Williams, M.D. and Raghavan, V. (2022) ‘Perspectives on the future of manufacturing within the </w:t>
      </w:r>
      <w:proofErr w:type="gramStart"/>
      <w:r w:rsidRPr="00B44313">
        <w:rPr>
          <w:rFonts w:ascii="Arial" w:hAnsi="Arial" w:cs="Arial"/>
          <w:sz w:val="22"/>
          <w:szCs w:val="22"/>
        </w:rPr>
        <w:t>Industry</w:t>
      </w:r>
      <w:proofErr w:type="gramEnd"/>
      <w:r w:rsidRPr="00B44313">
        <w:rPr>
          <w:rFonts w:ascii="Arial" w:hAnsi="Arial" w:cs="Arial"/>
          <w:sz w:val="22"/>
          <w:szCs w:val="22"/>
        </w:rPr>
        <w:t xml:space="preserve"> 4.0 era’, </w:t>
      </w:r>
      <w:r w:rsidRPr="00B44313">
        <w:rPr>
          <w:rFonts w:ascii="Arial" w:hAnsi="Arial" w:cs="Arial"/>
          <w:i/>
          <w:iCs/>
          <w:sz w:val="22"/>
          <w:szCs w:val="22"/>
        </w:rPr>
        <w:t>Production Planning &amp; Control</w:t>
      </w:r>
      <w:r w:rsidRPr="00B44313">
        <w:rPr>
          <w:rFonts w:ascii="Arial" w:hAnsi="Arial" w:cs="Arial"/>
          <w:sz w:val="22"/>
          <w:szCs w:val="22"/>
        </w:rPr>
        <w:t xml:space="preserve">, 33(2–3), pp. 138–158. Available at: </w:t>
      </w:r>
      <w:hyperlink r:id="rId94" w:tgtFrame="_new" w:history="1">
        <w:r w:rsidRPr="00B44313">
          <w:rPr>
            <w:rStyle w:val="Hyperlink"/>
            <w:rFonts w:ascii="Arial" w:hAnsi="Arial" w:cs="Arial"/>
            <w:color w:val="auto"/>
            <w:sz w:val="22"/>
            <w:szCs w:val="22"/>
          </w:rPr>
          <w:t>https://www.tandfonline.com/doi/full/10.1080/09537287.2020.1810757</w:t>
        </w:r>
      </w:hyperlink>
      <w:r w:rsidRPr="00B44313">
        <w:rPr>
          <w:rFonts w:ascii="Arial" w:hAnsi="Arial" w:cs="Arial"/>
          <w:sz w:val="22"/>
          <w:szCs w:val="22"/>
        </w:rPr>
        <w:t xml:space="preserve"> (Accessed: 24/03/2026).</w:t>
      </w:r>
    </w:p>
    <w:p w14:paraId="0D8E3533" w14:textId="202F5F98" w:rsidR="00E121A6" w:rsidRPr="00B44313" w:rsidRDefault="00E121A6" w:rsidP="00E121A6">
      <w:pPr>
        <w:spacing w:after="0" w:line="360" w:lineRule="auto"/>
        <w:rPr>
          <w:rFonts w:ascii="Arial" w:hAnsi="Arial" w:cs="Arial"/>
          <w:sz w:val="22"/>
          <w:szCs w:val="22"/>
        </w:rPr>
      </w:pPr>
    </w:p>
    <w:p w14:paraId="239BADAF" w14:textId="77777777" w:rsidR="00E121A6" w:rsidRPr="00B44313" w:rsidRDefault="00E121A6" w:rsidP="00E121A6">
      <w:pPr>
        <w:spacing w:after="0" w:line="360" w:lineRule="auto"/>
        <w:rPr>
          <w:rFonts w:ascii="Arial" w:hAnsi="Arial" w:cs="Arial"/>
          <w:sz w:val="22"/>
          <w:szCs w:val="22"/>
        </w:rPr>
      </w:pPr>
      <w:r w:rsidRPr="00B44313">
        <w:rPr>
          <w:rFonts w:ascii="Arial" w:hAnsi="Arial" w:cs="Arial"/>
          <w:sz w:val="22"/>
          <w:szCs w:val="22"/>
        </w:rPr>
        <w:lastRenderedPageBreak/>
        <w:t xml:space="preserve">International Journal of Production Research (2025) </w:t>
      </w:r>
      <w:r w:rsidRPr="00B44313">
        <w:rPr>
          <w:rFonts w:ascii="Arial" w:hAnsi="Arial" w:cs="Arial"/>
          <w:i/>
          <w:iCs/>
          <w:sz w:val="22"/>
          <w:szCs w:val="22"/>
        </w:rPr>
        <w:t>The implications of Industry 4.0 for resilience</w:t>
      </w:r>
      <w:r w:rsidRPr="00B44313">
        <w:rPr>
          <w:rFonts w:ascii="Arial" w:hAnsi="Arial" w:cs="Arial"/>
          <w:sz w:val="22"/>
          <w:szCs w:val="22"/>
        </w:rPr>
        <w:t>. Available at: https://www.tandfonline.com/doi/full/10.1080/00207543.2025.XXXXX (Accessed: 08/02/2026).</w:t>
      </w:r>
    </w:p>
    <w:p w14:paraId="715A6A50" w14:textId="77777777" w:rsidR="00E121A6" w:rsidRPr="00B44313" w:rsidRDefault="00E121A6" w:rsidP="00A92367">
      <w:pPr>
        <w:spacing w:after="0" w:line="360" w:lineRule="auto"/>
        <w:rPr>
          <w:rFonts w:ascii="Arial" w:hAnsi="Arial" w:cs="Arial"/>
          <w:sz w:val="22"/>
          <w:szCs w:val="22"/>
        </w:rPr>
      </w:pPr>
    </w:p>
    <w:p w14:paraId="4A0490E0"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IRE Journals (2025) </w:t>
      </w:r>
      <w:r w:rsidRPr="00B44313">
        <w:rPr>
          <w:rFonts w:ascii="Arial" w:hAnsi="Arial" w:cs="Arial"/>
          <w:i/>
          <w:iCs/>
          <w:sz w:val="22"/>
          <w:szCs w:val="22"/>
        </w:rPr>
        <w:t>Red Sea crisis: Impact on global shipping</w:t>
      </w:r>
      <w:r w:rsidRPr="00B44313">
        <w:rPr>
          <w:rFonts w:ascii="Arial" w:hAnsi="Arial" w:cs="Arial"/>
          <w:sz w:val="22"/>
          <w:szCs w:val="22"/>
        </w:rPr>
        <w:t>. Available at: https://www.irejournals.com/red-sea-crisis-shipping/ (Accessed: 14/02/2026).</w:t>
      </w:r>
    </w:p>
    <w:p w14:paraId="2C36C029" w14:textId="4989A721" w:rsidR="00380D19" w:rsidRPr="00B44313" w:rsidRDefault="00380D19" w:rsidP="00380D19">
      <w:pPr>
        <w:spacing w:after="0" w:line="360" w:lineRule="auto"/>
        <w:rPr>
          <w:rFonts w:ascii="Arial" w:hAnsi="Arial" w:cs="Arial"/>
          <w:sz w:val="22"/>
          <w:szCs w:val="22"/>
        </w:rPr>
      </w:pPr>
    </w:p>
    <w:p w14:paraId="4B76B61E"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Ismail, K., </w:t>
      </w: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Pepper, M. and Stevenson, M. (2025) ‘The implications of Industry 4.0 for managing supply chain disruption and enhancing supply chain resilience’, </w:t>
      </w:r>
      <w:r w:rsidRPr="00B44313">
        <w:rPr>
          <w:rFonts w:ascii="Arial" w:hAnsi="Arial" w:cs="Arial"/>
          <w:i/>
          <w:iCs/>
          <w:sz w:val="22"/>
          <w:szCs w:val="22"/>
        </w:rPr>
        <w:t>International Journal of Production Research</w:t>
      </w:r>
      <w:r w:rsidRPr="00B44313">
        <w:rPr>
          <w:rFonts w:ascii="Arial" w:hAnsi="Arial" w:cs="Arial"/>
          <w:sz w:val="22"/>
          <w:szCs w:val="22"/>
        </w:rPr>
        <w:t xml:space="preserve">, 63(19), pp. 7278–7304. Available at: </w:t>
      </w:r>
      <w:hyperlink r:id="rId95" w:tgtFrame="_new" w:history="1">
        <w:r w:rsidRPr="00B44313">
          <w:rPr>
            <w:rStyle w:val="Hyperlink"/>
            <w:rFonts w:ascii="Arial" w:hAnsi="Arial" w:cs="Arial"/>
            <w:color w:val="auto"/>
            <w:sz w:val="22"/>
            <w:szCs w:val="22"/>
          </w:rPr>
          <w:t>https://www.tandfonline.com/doi/full/10.1080/00207543.2025.2493948</w:t>
        </w:r>
      </w:hyperlink>
      <w:r w:rsidRPr="00B44313">
        <w:rPr>
          <w:rFonts w:ascii="Arial" w:hAnsi="Arial" w:cs="Arial"/>
          <w:sz w:val="22"/>
          <w:szCs w:val="22"/>
        </w:rPr>
        <w:t xml:space="preserve"> (Accessed: 02/04/2026).</w:t>
      </w:r>
    </w:p>
    <w:p w14:paraId="243572D8" w14:textId="40DD83A4" w:rsidR="00380D19" w:rsidRPr="00B44313" w:rsidRDefault="00380D19" w:rsidP="00380D19">
      <w:pPr>
        <w:spacing w:after="0" w:line="360" w:lineRule="auto"/>
        <w:rPr>
          <w:rFonts w:ascii="Arial" w:hAnsi="Arial" w:cs="Arial"/>
          <w:sz w:val="22"/>
          <w:szCs w:val="22"/>
        </w:rPr>
      </w:pPr>
    </w:p>
    <w:p w14:paraId="3183890F"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Ismail, K., </w:t>
      </w: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Pepper, M. and Stevenson, M. (2026) </w:t>
      </w:r>
      <w:r w:rsidRPr="00B44313">
        <w:rPr>
          <w:rFonts w:ascii="Arial" w:hAnsi="Arial" w:cs="Arial"/>
          <w:i/>
          <w:iCs/>
          <w:sz w:val="22"/>
          <w:szCs w:val="22"/>
        </w:rPr>
        <w:t>Building antifragile supply chains: Moving beyond resilience</w:t>
      </w:r>
      <w:r w:rsidRPr="00B44313">
        <w:rPr>
          <w:rFonts w:ascii="Arial" w:hAnsi="Arial" w:cs="Arial"/>
          <w:sz w:val="22"/>
          <w:szCs w:val="22"/>
        </w:rPr>
        <w:t xml:space="preserve">. SSRN. Available at: </w:t>
      </w:r>
      <w:hyperlink r:id="rId96" w:tgtFrame="_new" w:history="1">
        <w:r w:rsidRPr="00B44313">
          <w:rPr>
            <w:rStyle w:val="Hyperlink"/>
            <w:rFonts w:ascii="Arial" w:hAnsi="Arial" w:cs="Arial"/>
            <w:color w:val="auto"/>
            <w:sz w:val="22"/>
            <w:szCs w:val="22"/>
          </w:rPr>
          <w:t>https://papers.ssrn.com/sol3/papers.cfm?abstract_id=6137931</w:t>
        </w:r>
      </w:hyperlink>
      <w:r w:rsidRPr="00B44313">
        <w:rPr>
          <w:rFonts w:ascii="Arial" w:hAnsi="Arial" w:cs="Arial"/>
          <w:sz w:val="22"/>
          <w:szCs w:val="22"/>
        </w:rPr>
        <w:t xml:space="preserve"> (Accessed: 18/04/2026).</w:t>
      </w:r>
    </w:p>
    <w:p w14:paraId="1E2DCDF5" w14:textId="0D0FFE94" w:rsidR="00380D19" w:rsidRPr="00B44313" w:rsidRDefault="00380D19" w:rsidP="00380D19">
      <w:pPr>
        <w:spacing w:after="0" w:line="360" w:lineRule="auto"/>
        <w:rPr>
          <w:rFonts w:ascii="Arial" w:hAnsi="Arial" w:cs="Arial"/>
          <w:sz w:val="22"/>
          <w:szCs w:val="22"/>
        </w:rPr>
      </w:pPr>
    </w:p>
    <w:p w14:paraId="5E42EABF"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Ivanov, D. (2021) ‘Supply chain viability and the pandemic: A conceptual and formal generalisation of four major adaptation strategies’, </w:t>
      </w:r>
      <w:r w:rsidRPr="00B44313">
        <w:rPr>
          <w:rFonts w:ascii="Arial" w:hAnsi="Arial" w:cs="Arial"/>
          <w:i/>
          <w:iCs/>
          <w:sz w:val="22"/>
          <w:szCs w:val="22"/>
        </w:rPr>
        <w:t>International Journal of Production Research</w:t>
      </w:r>
      <w:r w:rsidRPr="00B44313">
        <w:rPr>
          <w:rFonts w:ascii="Arial" w:hAnsi="Arial" w:cs="Arial"/>
          <w:sz w:val="22"/>
          <w:szCs w:val="22"/>
        </w:rPr>
        <w:t xml:space="preserve">, 59(12), pp. 3535–3552. Available at: </w:t>
      </w:r>
      <w:hyperlink r:id="rId97" w:tgtFrame="_new" w:history="1">
        <w:r w:rsidRPr="00B44313">
          <w:rPr>
            <w:rStyle w:val="Hyperlink"/>
            <w:rFonts w:ascii="Arial" w:hAnsi="Arial" w:cs="Arial"/>
            <w:color w:val="auto"/>
            <w:sz w:val="22"/>
            <w:szCs w:val="22"/>
          </w:rPr>
          <w:t>https://www.tandfonline.com/doi/full/10.1080/00207543.2021.1870796</w:t>
        </w:r>
      </w:hyperlink>
      <w:r w:rsidRPr="00B44313">
        <w:rPr>
          <w:rFonts w:ascii="Arial" w:hAnsi="Arial" w:cs="Arial"/>
          <w:sz w:val="22"/>
          <w:szCs w:val="22"/>
        </w:rPr>
        <w:t xml:space="preserve"> (Accessed: 04/02/2026).</w:t>
      </w:r>
    </w:p>
    <w:p w14:paraId="48348AD0" w14:textId="39A618A2" w:rsidR="00380D19" w:rsidRPr="00B44313" w:rsidRDefault="00380D19" w:rsidP="00380D19">
      <w:pPr>
        <w:spacing w:after="0" w:line="360" w:lineRule="auto"/>
        <w:rPr>
          <w:rFonts w:ascii="Arial" w:hAnsi="Arial" w:cs="Arial"/>
          <w:sz w:val="22"/>
          <w:szCs w:val="22"/>
        </w:rPr>
      </w:pPr>
    </w:p>
    <w:p w14:paraId="22BE16D8"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Ivanov, D. (2022) ‘Lean resilience: AURA (Active Usage of Resilience Assets) framework for post-COVID-19 supply chain management’, </w:t>
      </w:r>
      <w:r w:rsidRPr="00B44313">
        <w:rPr>
          <w:rFonts w:ascii="Arial" w:hAnsi="Arial" w:cs="Arial"/>
          <w:i/>
          <w:iCs/>
          <w:sz w:val="22"/>
          <w:szCs w:val="22"/>
        </w:rPr>
        <w:t>The International Journal of Logistics Management</w:t>
      </w:r>
      <w:r w:rsidRPr="00B44313">
        <w:rPr>
          <w:rFonts w:ascii="Arial" w:hAnsi="Arial" w:cs="Arial"/>
          <w:sz w:val="22"/>
          <w:szCs w:val="22"/>
        </w:rPr>
        <w:t xml:space="preserve">, 33(4), pp. 1196–1217. Available at: </w:t>
      </w:r>
      <w:hyperlink r:id="rId98" w:tgtFrame="_new" w:history="1">
        <w:r w:rsidRPr="00B44313">
          <w:rPr>
            <w:rStyle w:val="Hyperlink"/>
            <w:rFonts w:ascii="Arial" w:hAnsi="Arial" w:cs="Arial"/>
            <w:color w:val="auto"/>
            <w:sz w:val="22"/>
            <w:szCs w:val="22"/>
          </w:rPr>
          <w:t>https://www.emerald.com/insight/content/doi/10.1108/IJLM-11-2020-0448/full/html</w:t>
        </w:r>
      </w:hyperlink>
      <w:r w:rsidRPr="00B44313">
        <w:rPr>
          <w:rFonts w:ascii="Arial" w:hAnsi="Arial" w:cs="Arial"/>
          <w:sz w:val="22"/>
          <w:szCs w:val="22"/>
        </w:rPr>
        <w:t xml:space="preserve"> (Accessed: 20/03/2026).</w:t>
      </w:r>
    </w:p>
    <w:p w14:paraId="717F28AB" w14:textId="340BC06A" w:rsidR="00380D19" w:rsidRPr="00B44313" w:rsidRDefault="00380D19" w:rsidP="00380D19">
      <w:pPr>
        <w:spacing w:after="0" w:line="360" w:lineRule="auto"/>
        <w:rPr>
          <w:rFonts w:ascii="Arial" w:hAnsi="Arial" w:cs="Arial"/>
          <w:sz w:val="22"/>
          <w:szCs w:val="22"/>
        </w:rPr>
      </w:pPr>
    </w:p>
    <w:p w14:paraId="36481DE9" w14:textId="77777777" w:rsidR="00380D19" w:rsidRPr="00B44313" w:rsidRDefault="00380D19" w:rsidP="00380D19">
      <w:pPr>
        <w:spacing w:after="0" w:line="360" w:lineRule="auto"/>
        <w:rPr>
          <w:rFonts w:ascii="Arial" w:hAnsi="Arial" w:cs="Arial"/>
          <w:sz w:val="22"/>
          <w:szCs w:val="22"/>
        </w:rPr>
      </w:pPr>
      <w:r w:rsidRPr="00B44313">
        <w:rPr>
          <w:rFonts w:ascii="Arial" w:hAnsi="Arial" w:cs="Arial"/>
          <w:sz w:val="22"/>
          <w:szCs w:val="22"/>
        </w:rPr>
        <w:t xml:space="preserve">Ivanov, D. (2022) ‘Structural dynamics and ripple effect in supply chain risk management’, </w:t>
      </w:r>
      <w:r w:rsidRPr="00B44313">
        <w:rPr>
          <w:rFonts w:ascii="Arial" w:hAnsi="Arial" w:cs="Arial"/>
          <w:i/>
          <w:iCs/>
          <w:sz w:val="22"/>
          <w:szCs w:val="22"/>
        </w:rPr>
        <w:t>International Journal of Production Research</w:t>
      </w:r>
      <w:r w:rsidRPr="00B44313">
        <w:rPr>
          <w:rFonts w:ascii="Arial" w:hAnsi="Arial" w:cs="Arial"/>
          <w:sz w:val="22"/>
          <w:szCs w:val="22"/>
        </w:rPr>
        <w:t>, 60(1), pp. 1–18. Available at: https://www.tandfonline.com/doi/full/10.1080/00207543.2021.1890520 (Accessed: 22/03/2026).</w:t>
      </w:r>
    </w:p>
    <w:p w14:paraId="5754314D" w14:textId="77777777" w:rsidR="00410CBF" w:rsidRPr="00B44313" w:rsidRDefault="00410CBF" w:rsidP="001A220F">
      <w:pPr>
        <w:spacing w:after="0" w:line="360" w:lineRule="auto"/>
        <w:rPr>
          <w:rFonts w:ascii="Arial" w:hAnsi="Arial" w:cs="Arial"/>
          <w:sz w:val="22"/>
          <w:szCs w:val="22"/>
        </w:rPr>
      </w:pPr>
    </w:p>
    <w:p w14:paraId="7CEC6DD2" w14:textId="2E01C3D4"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t xml:space="preserve">Ivanov, D. (2022) ‘Viable supply chain model: Integrating agility, resilience and sustainability perspectives’, </w:t>
      </w:r>
      <w:r w:rsidRPr="00B44313">
        <w:rPr>
          <w:rFonts w:ascii="Arial" w:hAnsi="Arial" w:cs="Arial"/>
          <w:i/>
          <w:iCs/>
          <w:sz w:val="22"/>
          <w:szCs w:val="22"/>
        </w:rPr>
        <w:t>Annals of Operations Research</w:t>
      </w:r>
      <w:r w:rsidRPr="00B44313">
        <w:rPr>
          <w:rFonts w:ascii="Arial" w:hAnsi="Arial" w:cs="Arial"/>
          <w:sz w:val="22"/>
          <w:szCs w:val="22"/>
        </w:rPr>
        <w:t xml:space="preserve">, 319(1), pp. 1411–1431. Available at: </w:t>
      </w:r>
      <w:hyperlink r:id="rId99" w:tgtFrame="_new" w:history="1">
        <w:r w:rsidRPr="00B44313">
          <w:rPr>
            <w:rStyle w:val="Hyperlink"/>
            <w:rFonts w:ascii="Arial" w:hAnsi="Arial" w:cs="Arial"/>
            <w:color w:val="auto"/>
            <w:sz w:val="22"/>
            <w:szCs w:val="22"/>
          </w:rPr>
          <w:t>https://link.springer.com/article/10.1007/s10479-020-03640-6</w:t>
        </w:r>
      </w:hyperlink>
      <w:r w:rsidRPr="00B44313">
        <w:rPr>
          <w:rFonts w:ascii="Arial" w:hAnsi="Arial" w:cs="Arial"/>
          <w:sz w:val="22"/>
          <w:szCs w:val="22"/>
        </w:rPr>
        <w:t xml:space="preserve"> (Accessed: 20/03/2026).</w:t>
      </w:r>
    </w:p>
    <w:p w14:paraId="153E1611" w14:textId="77777777"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lastRenderedPageBreak/>
        <w:t xml:space="preserve">Ivanov, D. and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(2020) ‘Viability of intertwined supply networks’, </w:t>
      </w:r>
      <w:r w:rsidRPr="00B44313">
        <w:rPr>
          <w:rFonts w:ascii="Arial" w:hAnsi="Arial" w:cs="Arial"/>
          <w:i/>
          <w:iCs/>
          <w:sz w:val="22"/>
          <w:szCs w:val="22"/>
        </w:rPr>
        <w:t>International Journal of Production Research</w:t>
      </w:r>
      <w:r w:rsidRPr="00B44313">
        <w:rPr>
          <w:rFonts w:ascii="Arial" w:hAnsi="Arial" w:cs="Arial"/>
          <w:sz w:val="22"/>
          <w:szCs w:val="22"/>
        </w:rPr>
        <w:t xml:space="preserve">, 58(10), pp. 2904–2915. Available at: </w:t>
      </w:r>
      <w:hyperlink r:id="rId100" w:tgtFrame="_new" w:history="1">
        <w:r w:rsidRPr="00B44313">
          <w:rPr>
            <w:rStyle w:val="Hyperlink"/>
            <w:rFonts w:ascii="Arial" w:hAnsi="Arial" w:cs="Arial"/>
            <w:color w:val="auto"/>
            <w:sz w:val="22"/>
            <w:szCs w:val="22"/>
          </w:rPr>
          <w:t>https://www.tandfonline.com/doi/full/10.1080/00207543.2020.1750727</w:t>
        </w:r>
      </w:hyperlink>
      <w:r w:rsidRPr="00B44313">
        <w:rPr>
          <w:rFonts w:ascii="Arial" w:hAnsi="Arial" w:cs="Arial"/>
          <w:sz w:val="22"/>
          <w:szCs w:val="22"/>
        </w:rPr>
        <w:t xml:space="preserve"> (Accessed: 22/03/2026).</w:t>
      </w:r>
    </w:p>
    <w:p w14:paraId="09E1388F" w14:textId="24C772C0" w:rsidR="0015197F" w:rsidRPr="00B44313" w:rsidRDefault="0015197F" w:rsidP="0015197F">
      <w:pPr>
        <w:spacing w:after="0" w:line="360" w:lineRule="auto"/>
        <w:rPr>
          <w:rFonts w:ascii="Arial" w:hAnsi="Arial" w:cs="Arial"/>
          <w:sz w:val="22"/>
          <w:szCs w:val="22"/>
        </w:rPr>
      </w:pPr>
    </w:p>
    <w:p w14:paraId="20438A23" w14:textId="77777777"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t xml:space="preserve">Ivanov, D. and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(2021) ‘A digital supply chain twin for managing disruption risks and resilience in the era of Industry 4.0’, </w:t>
      </w:r>
      <w:r w:rsidRPr="00B44313">
        <w:rPr>
          <w:rFonts w:ascii="Arial" w:hAnsi="Arial" w:cs="Arial"/>
          <w:i/>
          <w:iCs/>
          <w:sz w:val="22"/>
          <w:szCs w:val="22"/>
        </w:rPr>
        <w:t>Production Planning &amp; Control</w:t>
      </w:r>
      <w:r w:rsidRPr="00B44313">
        <w:rPr>
          <w:rFonts w:ascii="Arial" w:hAnsi="Arial" w:cs="Arial"/>
          <w:sz w:val="22"/>
          <w:szCs w:val="22"/>
        </w:rPr>
        <w:t xml:space="preserve">, 32(9), pp. 775–788. Available at: </w:t>
      </w:r>
      <w:hyperlink r:id="rId101" w:tgtFrame="_new" w:history="1">
        <w:r w:rsidRPr="00B44313">
          <w:rPr>
            <w:rStyle w:val="Hyperlink"/>
            <w:rFonts w:ascii="Arial" w:hAnsi="Arial" w:cs="Arial"/>
            <w:color w:val="auto"/>
            <w:sz w:val="22"/>
            <w:szCs w:val="22"/>
          </w:rPr>
          <w:t>https://www.tandfonline.com/doi/full/10.1080/09537287.2020.1768450</w:t>
        </w:r>
      </w:hyperlink>
      <w:r w:rsidRPr="00B44313">
        <w:rPr>
          <w:rFonts w:ascii="Arial" w:hAnsi="Arial" w:cs="Arial"/>
          <w:sz w:val="22"/>
          <w:szCs w:val="22"/>
        </w:rPr>
        <w:t xml:space="preserve"> (Accessed: 24/03/2026).</w:t>
      </w:r>
    </w:p>
    <w:p w14:paraId="5A171F6E" w14:textId="128A041F" w:rsidR="0015197F" w:rsidRPr="00B44313" w:rsidRDefault="0015197F" w:rsidP="0015197F">
      <w:pPr>
        <w:spacing w:after="0" w:line="360" w:lineRule="auto"/>
        <w:rPr>
          <w:rFonts w:ascii="Arial" w:hAnsi="Arial" w:cs="Arial"/>
          <w:sz w:val="22"/>
          <w:szCs w:val="22"/>
        </w:rPr>
      </w:pPr>
    </w:p>
    <w:p w14:paraId="441D9A13" w14:textId="77777777"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t xml:space="preserve">Ivanov, D. and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(2021) ‘Ripple effect and supply chain disruption management: New trends and research directions’, </w:t>
      </w:r>
      <w:r w:rsidRPr="00B44313">
        <w:rPr>
          <w:rFonts w:ascii="Arial" w:hAnsi="Arial" w:cs="Arial"/>
          <w:i/>
          <w:iCs/>
          <w:sz w:val="22"/>
          <w:szCs w:val="22"/>
        </w:rPr>
        <w:t>International Journal of Production Research</w:t>
      </w:r>
      <w:r w:rsidRPr="00B44313">
        <w:rPr>
          <w:rFonts w:ascii="Arial" w:hAnsi="Arial" w:cs="Arial"/>
          <w:sz w:val="22"/>
          <w:szCs w:val="22"/>
        </w:rPr>
        <w:t xml:space="preserve">, 59(1), pp. 102–109. Available at: </w:t>
      </w:r>
      <w:hyperlink r:id="rId102" w:tgtFrame="_new" w:history="1">
        <w:r w:rsidRPr="00B44313">
          <w:rPr>
            <w:rStyle w:val="Hyperlink"/>
            <w:rFonts w:ascii="Arial" w:hAnsi="Arial" w:cs="Arial"/>
            <w:color w:val="auto"/>
            <w:sz w:val="22"/>
            <w:szCs w:val="22"/>
          </w:rPr>
          <w:t>https://www.tandfonline.com/doi/full/10.1080/00207543.2021.1840148</w:t>
        </w:r>
      </w:hyperlink>
      <w:r w:rsidRPr="00B44313">
        <w:rPr>
          <w:rFonts w:ascii="Arial" w:hAnsi="Arial" w:cs="Arial"/>
          <w:sz w:val="22"/>
          <w:szCs w:val="22"/>
        </w:rPr>
        <w:t xml:space="preserve"> (Accessed: 25/03/2026).</w:t>
      </w:r>
    </w:p>
    <w:p w14:paraId="3EAC9FF2" w14:textId="53CCE0F8" w:rsidR="0015197F" w:rsidRPr="00B44313" w:rsidRDefault="0015197F" w:rsidP="0015197F">
      <w:pPr>
        <w:spacing w:after="0" w:line="360" w:lineRule="auto"/>
        <w:rPr>
          <w:rFonts w:ascii="Arial" w:hAnsi="Arial" w:cs="Arial"/>
          <w:sz w:val="22"/>
          <w:szCs w:val="22"/>
        </w:rPr>
      </w:pPr>
    </w:p>
    <w:p w14:paraId="7F80E6F8" w14:textId="77777777"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t xml:space="preserve">Ivanov, D.,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and Sokolov, B. (2019) ‘The impact of digital technology and Industry 4.0 on the ripple effect and supply chain risk analytics’, </w:t>
      </w:r>
      <w:r w:rsidRPr="00B44313">
        <w:rPr>
          <w:rFonts w:ascii="Arial" w:hAnsi="Arial" w:cs="Arial"/>
          <w:i/>
          <w:iCs/>
          <w:sz w:val="22"/>
          <w:szCs w:val="22"/>
        </w:rPr>
        <w:t>International Journal of Production Research</w:t>
      </w:r>
      <w:r w:rsidRPr="00B44313">
        <w:rPr>
          <w:rFonts w:ascii="Arial" w:hAnsi="Arial" w:cs="Arial"/>
          <w:sz w:val="22"/>
          <w:szCs w:val="22"/>
        </w:rPr>
        <w:t xml:space="preserve">, 57(3), pp. 829–846. Available at: </w:t>
      </w:r>
      <w:hyperlink r:id="rId103" w:tgtFrame="_new" w:history="1">
        <w:r w:rsidRPr="00B44313">
          <w:rPr>
            <w:rStyle w:val="Hyperlink"/>
            <w:rFonts w:ascii="Arial" w:hAnsi="Arial" w:cs="Arial"/>
            <w:color w:val="auto"/>
            <w:sz w:val="22"/>
            <w:szCs w:val="22"/>
          </w:rPr>
          <w:t>https://www.tandfonline.com/doi/full/10.1080/00207543.2018.1488086</w:t>
        </w:r>
      </w:hyperlink>
      <w:r w:rsidRPr="00B44313">
        <w:rPr>
          <w:rFonts w:ascii="Arial" w:hAnsi="Arial" w:cs="Arial"/>
          <w:sz w:val="22"/>
          <w:szCs w:val="22"/>
        </w:rPr>
        <w:t xml:space="preserve"> (Accessed: 26/03/2026).</w:t>
      </w:r>
    </w:p>
    <w:p w14:paraId="0F29B30E" w14:textId="75DF5D69" w:rsidR="0015197F" w:rsidRPr="00B44313" w:rsidRDefault="0015197F" w:rsidP="0015197F">
      <w:pPr>
        <w:spacing w:after="0" w:line="360" w:lineRule="auto"/>
        <w:rPr>
          <w:rFonts w:ascii="Arial" w:hAnsi="Arial" w:cs="Arial"/>
          <w:sz w:val="22"/>
          <w:szCs w:val="22"/>
        </w:rPr>
      </w:pPr>
    </w:p>
    <w:p w14:paraId="4DC6D669" w14:textId="77777777" w:rsidR="0015197F" w:rsidRPr="00B44313" w:rsidRDefault="0015197F" w:rsidP="0015197F">
      <w:pPr>
        <w:spacing w:after="0" w:line="360" w:lineRule="auto"/>
        <w:rPr>
          <w:rFonts w:ascii="Arial" w:hAnsi="Arial" w:cs="Arial"/>
          <w:sz w:val="22"/>
          <w:szCs w:val="22"/>
        </w:rPr>
      </w:pPr>
      <w:r w:rsidRPr="00B44313">
        <w:rPr>
          <w:rFonts w:ascii="Arial" w:hAnsi="Arial" w:cs="Arial"/>
          <w:sz w:val="22"/>
          <w:szCs w:val="22"/>
        </w:rPr>
        <w:t xml:space="preserve">Ivanov, D., Tang, C.S.,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w:t>
      </w:r>
      <w:proofErr w:type="spellStart"/>
      <w:r w:rsidRPr="00B44313">
        <w:rPr>
          <w:rFonts w:ascii="Arial" w:hAnsi="Arial" w:cs="Arial"/>
          <w:sz w:val="22"/>
          <w:szCs w:val="22"/>
        </w:rPr>
        <w:t>Battini</w:t>
      </w:r>
      <w:proofErr w:type="spellEnd"/>
      <w:r w:rsidRPr="00B44313">
        <w:rPr>
          <w:rFonts w:ascii="Arial" w:hAnsi="Arial" w:cs="Arial"/>
          <w:sz w:val="22"/>
          <w:szCs w:val="22"/>
        </w:rPr>
        <w:t xml:space="preserve">, D. and Das, A. (2021) ‘Disruption management in supply chains: An integrated review and future research directions’, </w:t>
      </w:r>
      <w:r w:rsidRPr="00B44313">
        <w:rPr>
          <w:rFonts w:ascii="Arial" w:hAnsi="Arial" w:cs="Arial"/>
          <w:i/>
          <w:iCs/>
          <w:sz w:val="22"/>
          <w:szCs w:val="22"/>
        </w:rPr>
        <w:t>International Journal of Production Research</w:t>
      </w:r>
      <w:r w:rsidRPr="00B44313">
        <w:rPr>
          <w:rFonts w:ascii="Arial" w:hAnsi="Arial" w:cs="Arial"/>
          <w:sz w:val="22"/>
          <w:szCs w:val="22"/>
        </w:rPr>
        <w:t xml:space="preserve">, 59(7), pp. 2055–2078. Available at: </w:t>
      </w:r>
      <w:hyperlink r:id="rId104" w:tgtFrame="_new" w:history="1">
        <w:r w:rsidRPr="00B44313">
          <w:rPr>
            <w:rStyle w:val="Hyperlink"/>
            <w:rFonts w:ascii="Arial" w:hAnsi="Arial" w:cs="Arial"/>
            <w:color w:val="auto"/>
            <w:sz w:val="22"/>
            <w:szCs w:val="22"/>
          </w:rPr>
          <w:t>https://www.tandfonline.com/doi/full/10.1080/00207543.2020.1798035</w:t>
        </w:r>
      </w:hyperlink>
      <w:r w:rsidRPr="00B44313">
        <w:rPr>
          <w:rFonts w:ascii="Arial" w:hAnsi="Arial" w:cs="Arial"/>
          <w:sz w:val="22"/>
          <w:szCs w:val="22"/>
        </w:rPr>
        <w:t xml:space="preserve"> (Accessed: 27/03/2026).</w:t>
      </w:r>
    </w:p>
    <w:p w14:paraId="30FD9686" w14:textId="77777777" w:rsidR="0015197F" w:rsidRPr="00B44313" w:rsidRDefault="0015197F" w:rsidP="001A05E3">
      <w:pPr>
        <w:spacing w:after="0" w:line="360" w:lineRule="auto"/>
        <w:rPr>
          <w:rFonts w:ascii="Arial" w:hAnsi="Arial" w:cs="Arial"/>
          <w:sz w:val="22"/>
          <w:szCs w:val="22"/>
        </w:rPr>
      </w:pPr>
    </w:p>
    <w:p w14:paraId="3AB2C4C5" w14:textId="11EC4AC8"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t xml:space="preserve">Jaguar Land Rover Automotive PLC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05"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73049352" w14:textId="77777777" w:rsidR="0015197F" w:rsidRPr="00B44313" w:rsidRDefault="0015197F" w:rsidP="001A05E3">
      <w:pPr>
        <w:spacing w:after="0" w:line="360" w:lineRule="auto"/>
        <w:rPr>
          <w:rFonts w:ascii="Arial" w:hAnsi="Arial" w:cs="Arial"/>
          <w:sz w:val="22"/>
          <w:szCs w:val="22"/>
        </w:rPr>
      </w:pPr>
    </w:p>
    <w:p w14:paraId="77338C6F" w14:textId="77777777"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t xml:space="preserve">Jaguar Land Rover Automotive PLC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06"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0F9F7A7C" w14:textId="77777777"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lastRenderedPageBreak/>
        <w:t xml:space="preserve">Jaguar Land Rover Automotive PLC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07"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0F233FC9" w14:textId="77777777" w:rsidR="0015197F" w:rsidRPr="00B44313" w:rsidRDefault="0015197F" w:rsidP="001A05E3">
      <w:pPr>
        <w:spacing w:after="0" w:line="360" w:lineRule="auto"/>
        <w:rPr>
          <w:rFonts w:ascii="Arial" w:hAnsi="Arial" w:cs="Arial"/>
          <w:sz w:val="22"/>
          <w:szCs w:val="22"/>
        </w:rPr>
      </w:pPr>
    </w:p>
    <w:p w14:paraId="742A99C5" w14:textId="77777777"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t xml:space="preserve">Jaguar Land Rover Automotive PLC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08"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40CF9ADE" w14:textId="77777777" w:rsidR="0015197F" w:rsidRPr="00B44313" w:rsidRDefault="0015197F" w:rsidP="001A05E3">
      <w:pPr>
        <w:spacing w:after="0" w:line="360" w:lineRule="auto"/>
        <w:rPr>
          <w:rFonts w:ascii="Arial" w:hAnsi="Arial" w:cs="Arial"/>
          <w:sz w:val="22"/>
          <w:szCs w:val="22"/>
        </w:rPr>
      </w:pPr>
    </w:p>
    <w:p w14:paraId="215A19A6" w14:textId="77777777"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t xml:space="preserve">Jaguar Land Rover Automotive PLC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09"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5DE4612A" w14:textId="77777777" w:rsidR="0015197F" w:rsidRPr="00B44313" w:rsidRDefault="0015197F" w:rsidP="001A05E3">
      <w:pPr>
        <w:spacing w:after="0" w:line="360" w:lineRule="auto"/>
        <w:rPr>
          <w:rFonts w:ascii="Arial" w:hAnsi="Arial" w:cs="Arial"/>
          <w:sz w:val="22"/>
          <w:szCs w:val="22"/>
        </w:rPr>
      </w:pPr>
    </w:p>
    <w:p w14:paraId="1896AB2E" w14:textId="77777777" w:rsidR="003F7258" w:rsidRPr="00B44313" w:rsidRDefault="003F7258" w:rsidP="001A05E3">
      <w:pPr>
        <w:spacing w:after="0" w:line="360" w:lineRule="auto"/>
        <w:rPr>
          <w:rFonts w:ascii="Arial" w:hAnsi="Arial" w:cs="Arial"/>
          <w:sz w:val="22"/>
          <w:szCs w:val="22"/>
        </w:rPr>
      </w:pPr>
      <w:r w:rsidRPr="00B44313">
        <w:rPr>
          <w:rFonts w:ascii="Arial" w:hAnsi="Arial" w:cs="Arial"/>
          <w:sz w:val="22"/>
          <w:szCs w:val="22"/>
        </w:rPr>
        <w:t xml:space="preserve">Jaguar Land Rover Automotive PLC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0" w:tgtFrame="_new" w:history="1">
        <w:r w:rsidRPr="00B44313">
          <w:rPr>
            <w:rStyle w:val="Hyperlink"/>
            <w:rFonts w:ascii="Arial" w:hAnsi="Arial" w:cs="Arial"/>
            <w:color w:val="auto"/>
            <w:sz w:val="22"/>
            <w:szCs w:val="22"/>
          </w:rPr>
          <w:t>https://find-and-update.company-information.service.gov.uk/company/06477691/filing-history</w:t>
        </w:r>
      </w:hyperlink>
      <w:r w:rsidRPr="00B44313">
        <w:rPr>
          <w:rFonts w:ascii="Arial" w:hAnsi="Arial" w:cs="Arial"/>
          <w:sz w:val="22"/>
          <w:szCs w:val="22"/>
        </w:rPr>
        <w:t xml:space="preserve"> (Accessed: 12/02/2026).</w:t>
      </w:r>
    </w:p>
    <w:p w14:paraId="7AA76A1B" w14:textId="77777777" w:rsidR="0015197F" w:rsidRPr="00B44313" w:rsidRDefault="0015197F" w:rsidP="001A05E3">
      <w:pPr>
        <w:spacing w:after="0" w:line="360" w:lineRule="auto"/>
        <w:rPr>
          <w:rFonts w:ascii="Arial" w:hAnsi="Arial" w:cs="Arial"/>
          <w:b/>
          <w:bCs/>
          <w:sz w:val="22"/>
          <w:szCs w:val="22"/>
        </w:rPr>
      </w:pPr>
    </w:p>
    <w:p w14:paraId="3DCE06E0" w14:textId="77777777" w:rsidR="003C4CEB" w:rsidRPr="00B44313" w:rsidRDefault="003C4CEB" w:rsidP="003C4CEB">
      <w:pPr>
        <w:spacing w:after="0" w:line="360" w:lineRule="auto"/>
        <w:rPr>
          <w:rFonts w:ascii="Arial" w:hAnsi="Arial" w:cs="Arial"/>
          <w:sz w:val="22"/>
          <w:szCs w:val="22"/>
        </w:rPr>
      </w:pPr>
      <w:r w:rsidRPr="00B44313">
        <w:rPr>
          <w:rFonts w:ascii="Arial" w:hAnsi="Arial" w:cs="Arial"/>
          <w:sz w:val="22"/>
          <w:szCs w:val="22"/>
        </w:rPr>
        <w:t xml:space="preserve">Ju, Y., Hou, H. and Yang, J. (2021) ‘Integration quality, value co-creation and resilience in logistics service supply chains’, </w:t>
      </w:r>
      <w:r w:rsidRPr="00B44313">
        <w:rPr>
          <w:rFonts w:ascii="Arial" w:hAnsi="Arial" w:cs="Arial"/>
          <w:i/>
          <w:iCs/>
          <w:sz w:val="22"/>
          <w:szCs w:val="22"/>
        </w:rPr>
        <w:t>Industrial Management &amp; Data Systems</w:t>
      </w:r>
      <w:r w:rsidRPr="00B44313">
        <w:rPr>
          <w:rFonts w:ascii="Arial" w:hAnsi="Arial" w:cs="Arial"/>
          <w:sz w:val="22"/>
          <w:szCs w:val="22"/>
        </w:rPr>
        <w:t xml:space="preserve">, 121(2), pp. 364–380. Available at: </w:t>
      </w:r>
      <w:hyperlink r:id="rId111" w:tgtFrame="_new" w:history="1">
        <w:r w:rsidRPr="00B44313">
          <w:rPr>
            <w:rStyle w:val="Hyperlink"/>
            <w:rFonts w:ascii="Arial" w:hAnsi="Arial" w:cs="Arial"/>
            <w:color w:val="auto"/>
            <w:sz w:val="22"/>
            <w:szCs w:val="22"/>
          </w:rPr>
          <w:t>https://www.emerald.com/insight/content/doi/10.1108/IMDS-08-2020-0445/full/html</w:t>
        </w:r>
      </w:hyperlink>
      <w:r w:rsidRPr="00B44313">
        <w:rPr>
          <w:rFonts w:ascii="Arial" w:hAnsi="Arial" w:cs="Arial"/>
          <w:sz w:val="22"/>
          <w:szCs w:val="22"/>
        </w:rPr>
        <w:t xml:space="preserve"> (Accessed: 21/03/2026).</w:t>
      </w:r>
    </w:p>
    <w:p w14:paraId="23EAA222" w14:textId="3DC78C9F" w:rsidR="003C4CEB" w:rsidRPr="00B44313" w:rsidRDefault="003C4CEB" w:rsidP="003C4CEB">
      <w:pPr>
        <w:spacing w:after="0" w:line="360" w:lineRule="auto"/>
        <w:rPr>
          <w:rFonts w:ascii="Arial" w:hAnsi="Arial" w:cs="Arial"/>
          <w:sz w:val="22"/>
          <w:szCs w:val="22"/>
        </w:rPr>
      </w:pPr>
    </w:p>
    <w:p w14:paraId="7B5AB542" w14:textId="77777777" w:rsidR="003C4CEB" w:rsidRPr="00B44313" w:rsidRDefault="003C4CEB" w:rsidP="003C4CEB">
      <w:pPr>
        <w:spacing w:after="0" w:line="360" w:lineRule="auto"/>
        <w:rPr>
          <w:rFonts w:ascii="Arial" w:hAnsi="Arial" w:cs="Arial"/>
          <w:sz w:val="22"/>
          <w:szCs w:val="22"/>
        </w:rPr>
      </w:pPr>
      <w:proofErr w:type="spellStart"/>
      <w:r w:rsidRPr="00B44313">
        <w:rPr>
          <w:rFonts w:ascii="Arial" w:hAnsi="Arial" w:cs="Arial"/>
          <w:sz w:val="22"/>
          <w:szCs w:val="22"/>
        </w:rPr>
        <w:t>Kazancoglu</w:t>
      </w:r>
      <w:proofErr w:type="spellEnd"/>
      <w:r w:rsidRPr="00B44313">
        <w:rPr>
          <w:rFonts w:ascii="Arial" w:hAnsi="Arial" w:cs="Arial"/>
          <w:sz w:val="22"/>
          <w:szCs w:val="22"/>
        </w:rPr>
        <w:t xml:space="preserve">, I., </w:t>
      </w:r>
      <w:proofErr w:type="spellStart"/>
      <w:r w:rsidRPr="00B44313">
        <w:rPr>
          <w:rFonts w:ascii="Arial" w:hAnsi="Arial" w:cs="Arial"/>
          <w:sz w:val="22"/>
          <w:szCs w:val="22"/>
        </w:rPr>
        <w:t>Ozbiltekin</w:t>
      </w:r>
      <w:proofErr w:type="spellEnd"/>
      <w:r w:rsidRPr="00B44313">
        <w:rPr>
          <w:rFonts w:ascii="Arial" w:hAnsi="Arial" w:cs="Arial"/>
          <w:sz w:val="22"/>
          <w:szCs w:val="22"/>
        </w:rPr>
        <w:t xml:space="preserve">-Pala, M., Mangla, S.K., Kumar, A. and </w:t>
      </w:r>
      <w:proofErr w:type="spellStart"/>
      <w:r w:rsidRPr="00B44313">
        <w:rPr>
          <w:rFonts w:ascii="Arial" w:hAnsi="Arial" w:cs="Arial"/>
          <w:sz w:val="22"/>
          <w:szCs w:val="22"/>
        </w:rPr>
        <w:t>Kazancoglu</w:t>
      </w:r>
      <w:proofErr w:type="spellEnd"/>
      <w:r w:rsidRPr="00B44313">
        <w:rPr>
          <w:rFonts w:ascii="Arial" w:hAnsi="Arial" w:cs="Arial"/>
          <w:sz w:val="22"/>
          <w:szCs w:val="22"/>
        </w:rPr>
        <w:t xml:space="preserve">, Y. (2023a) ‘Using emerging technologies to improve the sustainability and resilience of supply chains in a fuzzy environment in the context of COVID-19’, </w:t>
      </w:r>
      <w:r w:rsidRPr="00B44313">
        <w:rPr>
          <w:rFonts w:ascii="Arial" w:hAnsi="Arial" w:cs="Arial"/>
          <w:i/>
          <w:iCs/>
          <w:sz w:val="22"/>
          <w:szCs w:val="22"/>
        </w:rPr>
        <w:t>Annals of Operations Research</w:t>
      </w:r>
      <w:r w:rsidRPr="00B44313">
        <w:rPr>
          <w:rFonts w:ascii="Arial" w:hAnsi="Arial" w:cs="Arial"/>
          <w:sz w:val="22"/>
          <w:szCs w:val="22"/>
        </w:rPr>
        <w:t xml:space="preserve">, 322(1), pp. 217–240. Available at: </w:t>
      </w:r>
      <w:hyperlink r:id="rId112" w:tgtFrame="_new" w:history="1">
        <w:r w:rsidRPr="00B44313">
          <w:rPr>
            <w:rStyle w:val="Hyperlink"/>
            <w:rFonts w:ascii="Arial" w:hAnsi="Arial" w:cs="Arial"/>
            <w:color w:val="auto"/>
            <w:sz w:val="22"/>
            <w:szCs w:val="22"/>
          </w:rPr>
          <w:t>https://link.springer.com/article/10.1007/s10479-022-04775-4</w:t>
        </w:r>
      </w:hyperlink>
      <w:r w:rsidRPr="00B44313">
        <w:rPr>
          <w:rFonts w:ascii="Arial" w:hAnsi="Arial" w:cs="Arial"/>
          <w:sz w:val="22"/>
          <w:szCs w:val="22"/>
        </w:rPr>
        <w:t xml:space="preserve"> (Accessed: 23/03/2026).</w:t>
      </w:r>
    </w:p>
    <w:p w14:paraId="61E8AD0B" w14:textId="2B6A876E" w:rsidR="003C4CEB" w:rsidRPr="00B44313" w:rsidRDefault="003C4CEB" w:rsidP="003C4CEB">
      <w:pPr>
        <w:spacing w:after="0" w:line="360" w:lineRule="auto"/>
        <w:rPr>
          <w:rFonts w:ascii="Arial" w:hAnsi="Arial" w:cs="Arial"/>
          <w:sz w:val="22"/>
          <w:szCs w:val="22"/>
        </w:rPr>
      </w:pPr>
    </w:p>
    <w:p w14:paraId="364379CE" w14:textId="77777777" w:rsidR="003C4CEB" w:rsidRPr="00B44313" w:rsidRDefault="003C4CEB" w:rsidP="003C4CEB">
      <w:pPr>
        <w:spacing w:after="0" w:line="360" w:lineRule="auto"/>
        <w:rPr>
          <w:rFonts w:ascii="Arial" w:hAnsi="Arial" w:cs="Arial"/>
          <w:sz w:val="22"/>
          <w:szCs w:val="22"/>
        </w:rPr>
      </w:pPr>
      <w:proofErr w:type="spellStart"/>
      <w:r w:rsidRPr="00B44313">
        <w:rPr>
          <w:rFonts w:ascii="Arial" w:hAnsi="Arial" w:cs="Arial"/>
          <w:sz w:val="22"/>
          <w:szCs w:val="22"/>
        </w:rPr>
        <w:t>Kembro</w:t>
      </w:r>
      <w:proofErr w:type="spellEnd"/>
      <w:r w:rsidRPr="00B44313">
        <w:rPr>
          <w:rFonts w:ascii="Arial" w:hAnsi="Arial" w:cs="Arial"/>
          <w:sz w:val="22"/>
          <w:szCs w:val="22"/>
        </w:rPr>
        <w:t xml:space="preserve">, J. and </w:t>
      </w:r>
      <w:proofErr w:type="spellStart"/>
      <w:r w:rsidRPr="00B44313">
        <w:rPr>
          <w:rFonts w:ascii="Arial" w:hAnsi="Arial" w:cs="Arial"/>
          <w:sz w:val="22"/>
          <w:szCs w:val="22"/>
        </w:rPr>
        <w:t>Selviaridis</w:t>
      </w:r>
      <w:proofErr w:type="spellEnd"/>
      <w:r w:rsidRPr="00B44313">
        <w:rPr>
          <w:rFonts w:ascii="Arial" w:hAnsi="Arial" w:cs="Arial"/>
          <w:sz w:val="22"/>
          <w:szCs w:val="22"/>
        </w:rPr>
        <w:t xml:space="preserve">, K. (2021) ‘Mixed-methods approaches in supply chain research: Design and practice’, </w:t>
      </w:r>
      <w:r w:rsidRPr="00B44313">
        <w:rPr>
          <w:rFonts w:ascii="Arial" w:hAnsi="Arial" w:cs="Arial"/>
          <w:i/>
          <w:iCs/>
          <w:sz w:val="22"/>
          <w:szCs w:val="22"/>
        </w:rPr>
        <w:t>Journal of Supply Chain Management</w:t>
      </w:r>
      <w:r w:rsidRPr="00B44313">
        <w:rPr>
          <w:rFonts w:ascii="Arial" w:hAnsi="Arial" w:cs="Arial"/>
          <w:sz w:val="22"/>
          <w:szCs w:val="22"/>
        </w:rPr>
        <w:t>, 57(3), pp. 45–62. Available at: https://onlinelibrary.wiley.com/doi/full/10.1111/jscm.12268 (Accessed: 08/02/2026).</w:t>
      </w:r>
    </w:p>
    <w:p w14:paraId="55A4A282" w14:textId="30DA4E5E" w:rsidR="003C4CEB" w:rsidRPr="00B44313" w:rsidRDefault="003C4CEB" w:rsidP="003C4CEB">
      <w:pPr>
        <w:spacing w:after="0" w:line="360" w:lineRule="auto"/>
        <w:rPr>
          <w:rFonts w:ascii="Arial" w:hAnsi="Arial" w:cs="Arial"/>
          <w:sz w:val="22"/>
          <w:szCs w:val="22"/>
        </w:rPr>
      </w:pPr>
    </w:p>
    <w:p w14:paraId="67442F09" w14:textId="10BA74F5" w:rsidR="003C4CEB" w:rsidRPr="00B44313" w:rsidRDefault="003C4CEB" w:rsidP="0057508C">
      <w:pPr>
        <w:spacing w:after="0" w:line="360" w:lineRule="auto"/>
        <w:rPr>
          <w:rFonts w:ascii="Arial" w:hAnsi="Arial" w:cs="Arial"/>
          <w:sz w:val="22"/>
          <w:szCs w:val="22"/>
        </w:rPr>
      </w:pPr>
      <w:r w:rsidRPr="00B44313">
        <w:rPr>
          <w:rFonts w:ascii="Arial" w:hAnsi="Arial" w:cs="Arial"/>
          <w:sz w:val="22"/>
          <w:szCs w:val="22"/>
        </w:rPr>
        <w:t xml:space="preserve">Lee, C.H., Sohn, S.Y. and Rojen, B. (2023) ‘Supply chain disruption response and recovery: The role of power and governance’, </w:t>
      </w:r>
      <w:r w:rsidRPr="00B44313">
        <w:rPr>
          <w:rFonts w:ascii="Arial" w:hAnsi="Arial" w:cs="Arial"/>
          <w:i/>
          <w:iCs/>
          <w:sz w:val="22"/>
          <w:szCs w:val="22"/>
        </w:rPr>
        <w:t>Journal of Purchasing and Supply Management</w:t>
      </w:r>
      <w:r w:rsidRPr="00B44313">
        <w:rPr>
          <w:rFonts w:ascii="Arial" w:hAnsi="Arial" w:cs="Arial"/>
          <w:sz w:val="22"/>
          <w:szCs w:val="22"/>
        </w:rPr>
        <w:t xml:space="preserve">, 29(5), 100866. Available at: </w:t>
      </w:r>
      <w:hyperlink r:id="rId113" w:tgtFrame="_new" w:history="1">
        <w:r w:rsidRPr="00B44313">
          <w:rPr>
            <w:rStyle w:val="Hyperlink"/>
            <w:rFonts w:ascii="Arial" w:hAnsi="Arial" w:cs="Arial"/>
            <w:color w:val="auto"/>
            <w:sz w:val="22"/>
            <w:szCs w:val="22"/>
          </w:rPr>
          <w:t>https://www.sciencedirect.com/science/article/pii/S1478409223000663</w:t>
        </w:r>
      </w:hyperlink>
      <w:r w:rsidRPr="00B44313">
        <w:rPr>
          <w:rFonts w:ascii="Arial" w:hAnsi="Arial" w:cs="Arial"/>
          <w:sz w:val="22"/>
          <w:szCs w:val="22"/>
        </w:rPr>
        <w:t xml:space="preserve"> (Accessed: 27/03/2026).</w:t>
      </w:r>
    </w:p>
    <w:p w14:paraId="189DC53F" w14:textId="3C5A177F"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lastRenderedPageBreak/>
        <w:t xml:space="preserve">Leyland Trucks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4"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5DCD93EE" w14:textId="77777777" w:rsidR="003C4CEB" w:rsidRPr="00B44313" w:rsidRDefault="003C4CEB" w:rsidP="0057508C">
      <w:pPr>
        <w:spacing w:after="0" w:line="360" w:lineRule="auto"/>
        <w:rPr>
          <w:rFonts w:ascii="Arial" w:hAnsi="Arial" w:cs="Arial"/>
          <w:sz w:val="22"/>
          <w:szCs w:val="22"/>
        </w:rPr>
      </w:pPr>
    </w:p>
    <w:p w14:paraId="77A4B403" w14:textId="77777777"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t xml:space="preserve">Leyland Trucks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5"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4B02DAD4" w14:textId="77777777" w:rsidR="003C4CEB" w:rsidRPr="00B44313" w:rsidRDefault="003C4CEB" w:rsidP="0057508C">
      <w:pPr>
        <w:spacing w:after="0" w:line="360" w:lineRule="auto"/>
        <w:rPr>
          <w:rFonts w:ascii="Arial" w:hAnsi="Arial" w:cs="Arial"/>
          <w:sz w:val="22"/>
          <w:szCs w:val="22"/>
        </w:rPr>
      </w:pPr>
    </w:p>
    <w:p w14:paraId="049AC4CA" w14:textId="77777777"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t xml:space="preserve">Leyland Trucks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6"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43420DFC" w14:textId="77777777" w:rsidR="003C4CEB" w:rsidRPr="00B44313" w:rsidRDefault="003C4CEB" w:rsidP="0057508C">
      <w:pPr>
        <w:spacing w:after="0" w:line="360" w:lineRule="auto"/>
        <w:rPr>
          <w:rFonts w:ascii="Arial" w:hAnsi="Arial" w:cs="Arial"/>
          <w:sz w:val="22"/>
          <w:szCs w:val="22"/>
        </w:rPr>
      </w:pPr>
    </w:p>
    <w:p w14:paraId="407C29DD" w14:textId="77777777"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t xml:space="preserve">Leyland Trucks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7"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458CA246" w14:textId="77777777" w:rsidR="003C4CEB" w:rsidRPr="00B44313" w:rsidRDefault="003C4CEB" w:rsidP="0057508C">
      <w:pPr>
        <w:spacing w:after="0" w:line="360" w:lineRule="auto"/>
        <w:rPr>
          <w:rFonts w:ascii="Arial" w:hAnsi="Arial" w:cs="Arial"/>
          <w:sz w:val="22"/>
          <w:szCs w:val="22"/>
        </w:rPr>
      </w:pPr>
    </w:p>
    <w:p w14:paraId="765ECAC4" w14:textId="77777777"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t xml:space="preserve">Leyland Trucks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8"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37A068CE" w14:textId="77777777" w:rsidR="003C4CEB" w:rsidRPr="00B44313" w:rsidRDefault="003C4CEB" w:rsidP="0057508C">
      <w:pPr>
        <w:spacing w:after="0" w:line="360" w:lineRule="auto"/>
        <w:rPr>
          <w:rFonts w:ascii="Arial" w:hAnsi="Arial" w:cs="Arial"/>
          <w:sz w:val="22"/>
          <w:szCs w:val="22"/>
        </w:rPr>
      </w:pPr>
    </w:p>
    <w:p w14:paraId="2D95A5FC" w14:textId="77777777" w:rsidR="003F7258" w:rsidRPr="00B44313" w:rsidRDefault="003F7258" w:rsidP="0057508C">
      <w:pPr>
        <w:spacing w:after="0" w:line="360" w:lineRule="auto"/>
        <w:rPr>
          <w:rFonts w:ascii="Arial" w:hAnsi="Arial" w:cs="Arial"/>
          <w:sz w:val="22"/>
          <w:szCs w:val="22"/>
        </w:rPr>
      </w:pPr>
      <w:r w:rsidRPr="00B44313">
        <w:rPr>
          <w:rFonts w:ascii="Arial" w:hAnsi="Arial" w:cs="Arial"/>
          <w:sz w:val="22"/>
          <w:szCs w:val="22"/>
        </w:rPr>
        <w:t xml:space="preserve">Leyland Trucks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19" w:tgtFrame="_new" w:history="1">
        <w:r w:rsidRPr="00B44313">
          <w:rPr>
            <w:rStyle w:val="Hyperlink"/>
            <w:rFonts w:ascii="Arial" w:hAnsi="Arial" w:cs="Arial"/>
            <w:color w:val="auto"/>
            <w:sz w:val="22"/>
            <w:szCs w:val="22"/>
          </w:rPr>
          <w:t>https://find-and-update.company-information.service.gov.uk/company/02814092/filing-history</w:t>
        </w:r>
      </w:hyperlink>
      <w:r w:rsidRPr="00B44313">
        <w:rPr>
          <w:rFonts w:ascii="Arial" w:hAnsi="Arial" w:cs="Arial"/>
          <w:sz w:val="22"/>
          <w:szCs w:val="22"/>
        </w:rPr>
        <w:t xml:space="preserve"> (Accessed: 12/02/2026).</w:t>
      </w:r>
    </w:p>
    <w:p w14:paraId="2A7C6E3A" w14:textId="77777777" w:rsidR="003C4CEB" w:rsidRPr="00B44313" w:rsidRDefault="003C4CEB" w:rsidP="0057508C">
      <w:pPr>
        <w:spacing w:after="0" w:line="360" w:lineRule="auto"/>
        <w:rPr>
          <w:rFonts w:ascii="Arial" w:hAnsi="Arial" w:cs="Arial"/>
          <w:b/>
          <w:bCs/>
          <w:sz w:val="22"/>
          <w:szCs w:val="22"/>
        </w:rPr>
      </w:pPr>
    </w:p>
    <w:p w14:paraId="264E0813" w14:textId="65FAFE52" w:rsidR="007E62D0" w:rsidRPr="00B44313" w:rsidRDefault="000B303F" w:rsidP="00A92367">
      <w:pPr>
        <w:spacing w:after="0" w:line="360" w:lineRule="auto"/>
        <w:rPr>
          <w:rFonts w:ascii="Arial" w:hAnsi="Arial" w:cs="Arial"/>
          <w:sz w:val="22"/>
          <w:szCs w:val="22"/>
        </w:rPr>
      </w:pPr>
      <w:r w:rsidRPr="00B44313">
        <w:rPr>
          <w:rFonts w:ascii="Arial" w:hAnsi="Arial" w:cs="Arial"/>
          <w:sz w:val="22"/>
          <w:szCs w:val="22"/>
        </w:rPr>
        <w:t xml:space="preserve">Li, X., Zhang, Y., Kumar, A. and Lee, H. (2025) ‘SCREM: IoT-based supply chain risk and event management’, </w:t>
      </w:r>
      <w:r w:rsidRPr="00B44313">
        <w:rPr>
          <w:rFonts w:ascii="Arial" w:hAnsi="Arial" w:cs="Arial"/>
          <w:i/>
          <w:iCs/>
          <w:sz w:val="22"/>
          <w:szCs w:val="22"/>
        </w:rPr>
        <w:t>Journal of Supply Chain Technology</w:t>
      </w:r>
      <w:r w:rsidRPr="00B44313">
        <w:rPr>
          <w:rFonts w:ascii="Arial" w:hAnsi="Arial" w:cs="Arial"/>
          <w:sz w:val="22"/>
          <w:szCs w:val="22"/>
        </w:rPr>
        <w:t>, 3(1), pp. 12–29.</w:t>
      </w:r>
    </w:p>
    <w:p w14:paraId="3BF6C25C" w14:textId="77777777" w:rsidR="000B303F" w:rsidRPr="00B44313" w:rsidRDefault="000B303F" w:rsidP="00A92367">
      <w:pPr>
        <w:spacing w:after="0" w:line="360" w:lineRule="auto"/>
        <w:rPr>
          <w:rFonts w:ascii="Arial" w:hAnsi="Arial" w:cs="Arial"/>
          <w:sz w:val="22"/>
          <w:szCs w:val="22"/>
        </w:rPr>
      </w:pPr>
    </w:p>
    <w:p w14:paraId="5C22AB6B"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t xml:space="preserve">London EV Company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0"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65C95DB6" w14:textId="77777777" w:rsidR="000B303F" w:rsidRPr="00B44313" w:rsidRDefault="000B303F" w:rsidP="009A0949">
      <w:pPr>
        <w:spacing w:after="0" w:line="360" w:lineRule="auto"/>
        <w:rPr>
          <w:rFonts w:ascii="Arial" w:hAnsi="Arial" w:cs="Arial"/>
          <w:sz w:val="22"/>
          <w:szCs w:val="22"/>
        </w:rPr>
      </w:pPr>
    </w:p>
    <w:p w14:paraId="3917024F"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t xml:space="preserve">London EV Company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1"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680A4F2E" w14:textId="77777777" w:rsidR="000B303F" w:rsidRPr="00B44313" w:rsidRDefault="000B303F" w:rsidP="009A0949">
      <w:pPr>
        <w:spacing w:after="0" w:line="360" w:lineRule="auto"/>
        <w:rPr>
          <w:rFonts w:ascii="Arial" w:hAnsi="Arial" w:cs="Arial"/>
          <w:sz w:val="22"/>
          <w:szCs w:val="22"/>
        </w:rPr>
      </w:pPr>
    </w:p>
    <w:p w14:paraId="42C073C1"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lastRenderedPageBreak/>
        <w:t xml:space="preserve">London EV Company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2"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1DE434C6" w14:textId="77777777" w:rsidR="000B303F" w:rsidRPr="00B44313" w:rsidRDefault="000B303F" w:rsidP="009A0949">
      <w:pPr>
        <w:spacing w:after="0" w:line="360" w:lineRule="auto"/>
        <w:rPr>
          <w:rFonts w:ascii="Arial" w:hAnsi="Arial" w:cs="Arial"/>
          <w:sz w:val="22"/>
          <w:szCs w:val="22"/>
        </w:rPr>
      </w:pPr>
    </w:p>
    <w:p w14:paraId="6C2591E5"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t xml:space="preserve">London EV Company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3"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067B8CCC" w14:textId="77777777" w:rsidR="000B303F" w:rsidRPr="00B44313" w:rsidRDefault="000B303F" w:rsidP="009A0949">
      <w:pPr>
        <w:spacing w:after="0" w:line="360" w:lineRule="auto"/>
        <w:rPr>
          <w:rFonts w:ascii="Arial" w:hAnsi="Arial" w:cs="Arial"/>
          <w:sz w:val="22"/>
          <w:szCs w:val="22"/>
        </w:rPr>
      </w:pPr>
    </w:p>
    <w:p w14:paraId="785AF5C6"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t xml:space="preserve">London EV Company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4"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25F51A7F" w14:textId="77777777" w:rsidR="000B303F" w:rsidRPr="00B44313" w:rsidRDefault="000B303F" w:rsidP="009A0949">
      <w:pPr>
        <w:spacing w:after="0" w:line="360" w:lineRule="auto"/>
        <w:rPr>
          <w:rFonts w:ascii="Arial" w:hAnsi="Arial" w:cs="Arial"/>
          <w:sz w:val="22"/>
          <w:szCs w:val="22"/>
        </w:rPr>
      </w:pPr>
    </w:p>
    <w:p w14:paraId="5493A93C" w14:textId="77777777" w:rsidR="003F7258" w:rsidRPr="00B44313" w:rsidRDefault="003F7258" w:rsidP="009A0949">
      <w:pPr>
        <w:spacing w:after="0" w:line="360" w:lineRule="auto"/>
        <w:rPr>
          <w:rFonts w:ascii="Arial" w:hAnsi="Arial" w:cs="Arial"/>
          <w:sz w:val="22"/>
          <w:szCs w:val="22"/>
        </w:rPr>
      </w:pPr>
      <w:r w:rsidRPr="00B44313">
        <w:rPr>
          <w:rFonts w:ascii="Arial" w:hAnsi="Arial" w:cs="Arial"/>
          <w:sz w:val="22"/>
          <w:szCs w:val="22"/>
        </w:rPr>
        <w:t xml:space="preserve">London EV Company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5" w:tgtFrame="_new" w:history="1">
        <w:r w:rsidRPr="00B44313">
          <w:rPr>
            <w:rStyle w:val="Hyperlink"/>
            <w:rFonts w:ascii="Arial" w:hAnsi="Arial" w:cs="Arial"/>
            <w:color w:val="auto"/>
            <w:sz w:val="22"/>
            <w:szCs w:val="22"/>
          </w:rPr>
          <w:t>https://find-and-update.company-information.service.gov.uk/company/08357576/filing-history</w:t>
        </w:r>
      </w:hyperlink>
      <w:r w:rsidRPr="00B44313">
        <w:rPr>
          <w:rFonts w:ascii="Arial" w:hAnsi="Arial" w:cs="Arial"/>
          <w:sz w:val="22"/>
          <w:szCs w:val="22"/>
        </w:rPr>
        <w:t xml:space="preserve"> (Accessed: 12/02/2026).</w:t>
      </w:r>
    </w:p>
    <w:p w14:paraId="5544185C" w14:textId="77777777" w:rsidR="000B303F" w:rsidRPr="00B44313" w:rsidRDefault="000B303F" w:rsidP="009A0949">
      <w:pPr>
        <w:spacing w:after="0" w:line="360" w:lineRule="auto"/>
        <w:rPr>
          <w:rFonts w:ascii="Arial" w:hAnsi="Arial" w:cs="Arial"/>
          <w:sz w:val="22"/>
          <w:szCs w:val="22"/>
        </w:rPr>
      </w:pPr>
    </w:p>
    <w:p w14:paraId="3FD049D3"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t xml:space="preserve">Lotus Cars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6"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07C32F6A" w14:textId="77777777" w:rsidR="000B303F" w:rsidRPr="00B44313" w:rsidRDefault="000B303F" w:rsidP="00544F64">
      <w:pPr>
        <w:spacing w:after="0" w:line="360" w:lineRule="auto"/>
        <w:rPr>
          <w:rFonts w:ascii="Arial" w:hAnsi="Arial" w:cs="Arial"/>
          <w:sz w:val="22"/>
          <w:szCs w:val="22"/>
        </w:rPr>
      </w:pPr>
    </w:p>
    <w:p w14:paraId="34ACF420"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t xml:space="preserve">Lotus Cars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7"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7394B503" w14:textId="77777777" w:rsidR="000B303F" w:rsidRPr="00B44313" w:rsidRDefault="000B303F" w:rsidP="00544F64">
      <w:pPr>
        <w:spacing w:after="0" w:line="360" w:lineRule="auto"/>
        <w:rPr>
          <w:rFonts w:ascii="Arial" w:hAnsi="Arial" w:cs="Arial"/>
          <w:sz w:val="22"/>
          <w:szCs w:val="22"/>
        </w:rPr>
      </w:pPr>
    </w:p>
    <w:p w14:paraId="6A1E4C9C"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t xml:space="preserve">Lotus Cars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8"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0105C34B" w14:textId="77777777" w:rsidR="000B303F" w:rsidRPr="00B44313" w:rsidRDefault="000B303F" w:rsidP="00544F64">
      <w:pPr>
        <w:spacing w:after="0" w:line="360" w:lineRule="auto"/>
        <w:rPr>
          <w:rFonts w:ascii="Arial" w:hAnsi="Arial" w:cs="Arial"/>
          <w:sz w:val="22"/>
          <w:szCs w:val="22"/>
        </w:rPr>
      </w:pPr>
    </w:p>
    <w:p w14:paraId="276DE679"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t xml:space="preserve">Lotus Cars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29"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0A45C969" w14:textId="77777777" w:rsidR="000B303F" w:rsidRPr="00B44313" w:rsidRDefault="000B303F" w:rsidP="00544F64">
      <w:pPr>
        <w:spacing w:after="0" w:line="360" w:lineRule="auto"/>
        <w:rPr>
          <w:rFonts w:ascii="Arial" w:hAnsi="Arial" w:cs="Arial"/>
          <w:sz w:val="22"/>
          <w:szCs w:val="22"/>
        </w:rPr>
      </w:pPr>
    </w:p>
    <w:p w14:paraId="3E2F75B7"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t xml:space="preserve">Lotus Cars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30"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3DC3CB71" w14:textId="77777777" w:rsidR="003F7258" w:rsidRPr="00B44313" w:rsidRDefault="003F7258" w:rsidP="00544F64">
      <w:pPr>
        <w:spacing w:after="0" w:line="360" w:lineRule="auto"/>
        <w:rPr>
          <w:rFonts w:ascii="Arial" w:hAnsi="Arial" w:cs="Arial"/>
          <w:sz w:val="22"/>
          <w:szCs w:val="22"/>
        </w:rPr>
      </w:pPr>
      <w:r w:rsidRPr="00B44313">
        <w:rPr>
          <w:rFonts w:ascii="Arial" w:hAnsi="Arial" w:cs="Arial"/>
          <w:sz w:val="22"/>
          <w:szCs w:val="22"/>
        </w:rPr>
        <w:lastRenderedPageBreak/>
        <w:t xml:space="preserve">Lotus Cars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31" w:tgtFrame="_new" w:history="1">
        <w:r w:rsidRPr="00B44313">
          <w:rPr>
            <w:rStyle w:val="Hyperlink"/>
            <w:rFonts w:ascii="Arial" w:hAnsi="Arial" w:cs="Arial"/>
            <w:color w:val="auto"/>
            <w:sz w:val="22"/>
            <w:szCs w:val="22"/>
          </w:rPr>
          <w:t>https://find-and-update.company-information.service.gov.uk/company/00895081/filing-history</w:t>
        </w:r>
      </w:hyperlink>
      <w:r w:rsidRPr="00B44313">
        <w:rPr>
          <w:rFonts w:ascii="Arial" w:hAnsi="Arial" w:cs="Arial"/>
          <w:sz w:val="22"/>
          <w:szCs w:val="22"/>
        </w:rPr>
        <w:t xml:space="preserve"> (Accessed: 13/02/2026).</w:t>
      </w:r>
    </w:p>
    <w:p w14:paraId="3D0E27CF" w14:textId="77777777" w:rsidR="000B303F" w:rsidRPr="00B44313" w:rsidRDefault="000B303F" w:rsidP="00544F64">
      <w:pPr>
        <w:spacing w:after="0" w:line="360" w:lineRule="auto"/>
        <w:rPr>
          <w:rFonts w:ascii="Arial" w:hAnsi="Arial" w:cs="Arial"/>
          <w:b/>
          <w:bCs/>
          <w:sz w:val="22"/>
          <w:szCs w:val="22"/>
        </w:rPr>
      </w:pPr>
    </w:p>
    <w:p w14:paraId="1D59C5D1" w14:textId="67415932" w:rsidR="00EB3AEF" w:rsidRPr="00B44313" w:rsidRDefault="00EB3AEF" w:rsidP="00EB3AEF">
      <w:pPr>
        <w:spacing w:after="0" w:line="360" w:lineRule="auto"/>
        <w:rPr>
          <w:rFonts w:ascii="Arial" w:hAnsi="Arial" w:cs="Arial"/>
          <w:sz w:val="22"/>
          <w:szCs w:val="22"/>
        </w:rPr>
      </w:pPr>
      <w:proofErr w:type="spellStart"/>
      <w:r w:rsidRPr="00B44313">
        <w:rPr>
          <w:rFonts w:ascii="Arial" w:hAnsi="Arial" w:cs="Arial"/>
          <w:sz w:val="22"/>
          <w:szCs w:val="22"/>
        </w:rPr>
        <w:t>MarineTraffic</w:t>
      </w:r>
      <w:proofErr w:type="spellEnd"/>
      <w:r w:rsidRPr="00B44313">
        <w:rPr>
          <w:rFonts w:ascii="Arial" w:hAnsi="Arial" w:cs="Arial"/>
          <w:sz w:val="22"/>
          <w:szCs w:val="22"/>
        </w:rPr>
        <w:t xml:space="preserve"> (2024) Global ship tracking intelligence. Available at: </w:t>
      </w:r>
      <w:hyperlink r:id="rId132" w:history="1">
        <w:r w:rsidRPr="00B44313">
          <w:rPr>
            <w:rStyle w:val="Hyperlink"/>
            <w:rFonts w:ascii="Arial" w:hAnsi="Arial" w:cs="Arial"/>
            <w:color w:val="auto"/>
            <w:sz w:val="22"/>
            <w:szCs w:val="22"/>
          </w:rPr>
          <w:t>https://www.marinetraffic.com</w:t>
        </w:r>
      </w:hyperlink>
      <w:r w:rsidRPr="00B44313">
        <w:rPr>
          <w:rFonts w:ascii="Arial" w:hAnsi="Arial" w:cs="Arial"/>
          <w:sz w:val="22"/>
          <w:szCs w:val="22"/>
        </w:rPr>
        <w:t xml:space="preserve">  (Accessed: 20/03/2026).</w:t>
      </w:r>
    </w:p>
    <w:p w14:paraId="1806A371" w14:textId="77777777" w:rsidR="00EB3AEF" w:rsidRPr="00B44313" w:rsidRDefault="00EB3AEF" w:rsidP="00EB3AEF">
      <w:pPr>
        <w:spacing w:after="0" w:line="360" w:lineRule="auto"/>
        <w:rPr>
          <w:rFonts w:ascii="Arial" w:hAnsi="Arial" w:cs="Arial"/>
          <w:sz w:val="22"/>
          <w:szCs w:val="22"/>
        </w:rPr>
      </w:pPr>
    </w:p>
    <w:p w14:paraId="3DBFA7B9" w14:textId="2F5A38F3" w:rsidR="00EB3AEF" w:rsidRPr="00B44313" w:rsidRDefault="00EB3AEF" w:rsidP="00EB3AEF">
      <w:pPr>
        <w:spacing w:after="0" w:line="360" w:lineRule="auto"/>
        <w:rPr>
          <w:rFonts w:ascii="Arial" w:hAnsi="Arial" w:cs="Arial"/>
          <w:sz w:val="22"/>
          <w:szCs w:val="22"/>
        </w:rPr>
      </w:pPr>
      <w:r w:rsidRPr="00B44313">
        <w:rPr>
          <w:rFonts w:ascii="Arial" w:hAnsi="Arial" w:cs="Arial"/>
          <w:sz w:val="22"/>
          <w:szCs w:val="22"/>
        </w:rPr>
        <w:t xml:space="preserve">Marsh (2025) Driving resilience: Rethinking automotive supply chains. Available at: </w:t>
      </w:r>
      <w:hyperlink r:id="rId133" w:history="1">
        <w:r w:rsidRPr="00B44313">
          <w:rPr>
            <w:rStyle w:val="Hyperlink"/>
            <w:rFonts w:ascii="Arial" w:hAnsi="Arial" w:cs="Arial"/>
            <w:color w:val="auto"/>
            <w:sz w:val="22"/>
            <w:szCs w:val="22"/>
          </w:rPr>
          <w:t>https://www.marsh.com/en-gb/industries/manufacturing/insights/driving-resilience-rethinking-automotive-supply-chains.html</w:t>
        </w:r>
      </w:hyperlink>
      <w:r w:rsidRPr="00B44313">
        <w:rPr>
          <w:rFonts w:ascii="Arial" w:hAnsi="Arial" w:cs="Arial"/>
          <w:sz w:val="22"/>
          <w:szCs w:val="22"/>
        </w:rPr>
        <w:t xml:space="preserve"> (Accessed: 05/02/2026).</w:t>
      </w:r>
    </w:p>
    <w:p w14:paraId="7C9226E4" w14:textId="77777777" w:rsidR="00EB3AEF" w:rsidRPr="00B44313" w:rsidRDefault="00EB3AEF" w:rsidP="00EB3AEF">
      <w:pPr>
        <w:spacing w:after="0" w:line="360" w:lineRule="auto"/>
        <w:rPr>
          <w:rFonts w:ascii="Arial" w:hAnsi="Arial" w:cs="Arial"/>
          <w:sz w:val="22"/>
          <w:szCs w:val="22"/>
        </w:rPr>
      </w:pPr>
    </w:p>
    <w:p w14:paraId="24696215" w14:textId="0D9C5F0C" w:rsidR="00EB3AEF" w:rsidRPr="00B44313" w:rsidRDefault="00EB3AEF" w:rsidP="00EB3AEF">
      <w:pPr>
        <w:spacing w:after="0" w:line="360" w:lineRule="auto"/>
        <w:rPr>
          <w:rFonts w:ascii="Arial" w:hAnsi="Arial" w:cs="Arial"/>
          <w:sz w:val="22"/>
          <w:szCs w:val="22"/>
        </w:rPr>
      </w:pPr>
      <w:r w:rsidRPr="00B44313">
        <w:rPr>
          <w:rFonts w:ascii="Arial" w:hAnsi="Arial" w:cs="Arial"/>
          <w:sz w:val="22"/>
          <w:szCs w:val="22"/>
        </w:rPr>
        <w:t xml:space="preserve">McKinsey &amp; Company (2023) ‘Tech and regionalization bolster supply chains, but complacency looms’, McKinsey &amp; Company. Available at: </w:t>
      </w:r>
      <w:hyperlink r:id="rId134" w:history="1">
        <w:r w:rsidRPr="00B44313">
          <w:rPr>
            <w:rStyle w:val="Hyperlink"/>
            <w:rFonts w:ascii="Arial" w:hAnsi="Arial" w:cs="Arial"/>
            <w:color w:val="auto"/>
            <w:sz w:val="22"/>
            <w:szCs w:val="22"/>
          </w:rPr>
          <w:t>https://www.mckinsey.com/capabilities/operations/our-insights/tech-and-regionalization-bolster-supply-chains-but-complacency-looms</w:t>
        </w:r>
      </w:hyperlink>
      <w:r w:rsidRPr="00B44313">
        <w:rPr>
          <w:rFonts w:ascii="Arial" w:hAnsi="Arial" w:cs="Arial"/>
          <w:sz w:val="22"/>
          <w:szCs w:val="22"/>
        </w:rPr>
        <w:t xml:space="preserve"> (Accessed: 18/04/2026).</w:t>
      </w:r>
    </w:p>
    <w:p w14:paraId="2B755E44" w14:textId="77777777" w:rsidR="00EB3AEF" w:rsidRPr="00B44313" w:rsidRDefault="00EB3AEF" w:rsidP="00EB3AEF">
      <w:pPr>
        <w:spacing w:after="0" w:line="360" w:lineRule="auto"/>
        <w:rPr>
          <w:rFonts w:ascii="Arial" w:hAnsi="Arial" w:cs="Arial"/>
          <w:b/>
          <w:bCs/>
          <w:sz w:val="22"/>
          <w:szCs w:val="22"/>
        </w:rPr>
      </w:pPr>
    </w:p>
    <w:p w14:paraId="022A4BF1" w14:textId="50AE254D"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t xml:space="preserve">McLaren Automotive Limited (2019)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35"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r w:rsidR="00EB3AEF" w:rsidRPr="00B44313">
        <w:rPr>
          <w:rFonts w:ascii="Arial" w:hAnsi="Arial" w:cs="Arial"/>
          <w:sz w:val="22"/>
          <w:szCs w:val="22"/>
        </w:rPr>
        <w:t xml:space="preserve"> </w:t>
      </w:r>
    </w:p>
    <w:p w14:paraId="19E23D6A" w14:textId="77777777" w:rsidR="00EB3AEF" w:rsidRPr="00B44313" w:rsidRDefault="00EB3AEF" w:rsidP="00A1200A">
      <w:pPr>
        <w:spacing w:after="0" w:line="360" w:lineRule="auto"/>
        <w:rPr>
          <w:rFonts w:ascii="Arial" w:hAnsi="Arial" w:cs="Arial"/>
          <w:sz w:val="22"/>
          <w:szCs w:val="22"/>
        </w:rPr>
      </w:pPr>
    </w:p>
    <w:p w14:paraId="2BB013C6" w14:textId="77777777"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t xml:space="preserve">McLaren Automotive Limited (2020)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36"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p>
    <w:p w14:paraId="10B3ABD5" w14:textId="77777777" w:rsidR="00EB3AEF" w:rsidRPr="00B44313" w:rsidRDefault="00EB3AEF" w:rsidP="00A1200A">
      <w:pPr>
        <w:spacing w:after="0" w:line="360" w:lineRule="auto"/>
        <w:rPr>
          <w:rFonts w:ascii="Arial" w:hAnsi="Arial" w:cs="Arial"/>
          <w:sz w:val="22"/>
          <w:szCs w:val="22"/>
        </w:rPr>
      </w:pPr>
    </w:p>
    <w:p w14:paraId="1CF367C1" w14:textId="77777777"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t xml:space="preserve">McLaren Automotive Limited (2021)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37"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p>
    <w:p w14:paraId="72551EA6" w14:textId="77777777" w:rsidR="00EB3AEF" w:rsidRPr="00B44313" w:rsidRDefault="00EB3AEF" w:rsidP="00A1200A">
      <w:pPr>
        <w:spacing w:after="0" w:line="360" w:lineRule="auto"/>
        <w:rPr>
          <w:rFonts w:ascii="Arial" w:hAnsi="Arial" w:cs="Arial"/>
          <w:sz w:val="22"/>
          <w:szCs w:val="22"/>
        </w:rPr>
      </w:pPr>
    </w:p>
    <w:p w14:paraId="40E012E8" w14:textId="77777777"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t xml:space="preserve">McLaren Automotive Limited (2022)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38"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p>
    <w:p w14:paraId="1370EE52" w14:textId="77777777" w:rsidR="00EB3AEF" w:rsidRPr="00B44313" w:rsidRDefault="00EB3AEF" w:rsidP="00A1200A">
      <w:pPr>
        <w:spacing w:after="0" w:line="360" w:lineRule="auto"/>
        <w:rPr>
          <w:rFonts w:ascii="Arial" w:hAnsi="Arial" w:cs="Arial"/>
          <w:sz w:val="22"/>
          <w:szCs w:val="22"/>
        </w:rPr>
      </w:pPr>
    </w:p>
    <w:p w14:paraId="6F42262B" w14:textId="77777777"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t xml:space="preserve">McLaren Automotive Limited (2023)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39"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p>
    <w:p w14:paraId="57BF424B" w14:textId="77777777" w:rsidR="003F7258" w:rsidRPr="00B44313" w:rsidRDefault="003F7258" w:rsidP="00A1200A">
      <w:pPr>
        <w:spacing w:after="0" w:line="360" w:lineRule="auto"/>
        <w:rPr>
          <w:rFonts w:ascii="Arial" w:hAnsi="Arial" w:cs="Arial"/>
          <w:sz w:val="22"/>
          <w:szCs w:val="22"/>
        </w:rPr>
      </w:pPr>
      <w:r w:rsidRPr="00B44313">
        <w:rPr>
          <w:rFonts w:ascii="Arial" w:hAnsi="Arial" w:cs="Arial"/>
          <w:sz w:val="22"/>
          <w:szCs w:val="22"/>
        </w:rPr>
        <w:lastRenderedPageBreak/>
        <w:t xml:space="preserve">McLaren Automotive Limited (2024)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40" w:tgtFrame="_new" w:history="1">
        <w:r w:rsidRPr="00B44313">
          <w:rPr>
            <w:rStyle w:val="Hyperlink"/>
            <w:rFonts w:ascii="Arial" w:hAnsi="Arial" w:cs="Arial"/>
            <w:color w:val="auto"/>
            <w:sz w:val="22"/>
            <w:szCs w:val="22"/>
          </w:rPr>
          <w:t>https://find-and-update.company-information.service.gov.uk/company/01967717</w:t>
        </w:r>
      </w:hyperlink>
      <w:r w:rsidRPr="00B44313">
        <w:rPr>
          <w:rFonts w:ascii="Arial" w:hAnsi="Arial" w:cs="Arial"/>
          <w:sz w:val="22"/>
          <w:szCs w:val="22"/>
        </w:rPr>
        <w:t xml:space="preserve"> (Accessed: 13/02/2026).</w:t>
      </w:r>
    </w:p>
    <w:p w14:paraId="6027D1B5" w14:textId="77777777" w:rsidR="00EB3AEF" w:rsidRPr="00B44313" w:rsidRDefault="00EB3AEF" w:rsidP="00A1200A">
      <w:pPr>
        <w:spacing w:after="0" w:line="360" w:lineRule="auto"/>
        <w:rPr>
          <w:rFonts w:ascii="Arial" w:hAnsi="Arial" w:cs="Arial"/>
          <w:sz w:val="22"/>
          <w:szCs w:val="22"/>
        </w:rPr>
      </w:pPr>
    </w:p>
    <w:p w14:paraId="67149FE6" w14:textId="77777777" w:rsidR="00237C95" w:rsidRPr="00B44313" w:rsidRDefault="00237C95" w:rsidP="00237C95">
      <w:pPr>
        <w:spacing w:after="0" w:line="360" w:lineRule="auto"/>
        <w:rPr>
          <w:rFonts w:ascii="Arial" w:hAnsi="Arial" w:cs="Arial"/>
          <w:sz w:val="22"/>
          <w:szCs w:val="22"/>
        </w:rPr>
      </w:pPr>
      <w:r w:rsidRPr="00B44313">
        <w:rPr>
          <w:rFonts w:ascii="Arial" w:hAnsi="Arial" w:cs="Arial"/>
          <w:sz w:val="22"/>
          <w:szCs w:val="22"/>
        </w:rPr>
        <w:t xml:space="preserve">Microsoft (2023) </w:t>
      </w:r>
      <w:r w:rsidRPr="00B44313">
        <w:rPr>
          <w:rFonts w:ascii="Arial" w:hAnsi="Arial" w:cs="Arial"/>
          <w:i/>
          <w:iCs/>
          <w:sz w:val="22"/>
          <w:szCs w:val="22"/>
        </w:rPr>
        <w:t>Understand star schema and the importance for Power BI</w:t>
      </w:r>
      <w:r w:rsidRPr="00B44313">
        <w:rPr>
          <w:rFonts w:ascii="Arial" w:hAnsi="Arial" w:cs="Arial"/>
          <w:sz w:val="22"/>
          <w:szCs w:val="22"/>
        </w:rPr>
        <w:t xml:space="preserve">. Available at: </w:t>
      </w:r>
      <w:hyperlink r:id="rId141" w:tgtFrame="_new" w:history="1">
        <w:r w:rsidRPr="00B44313">
          <w:rPr>
            <w:rStyle w:val="Hyperlink"/>
            <w:rFonts w:ascii="Arial" w:hAnsi="Arial" w:cs="Arial"/>
            <w:color w:val="auto"/>
            <w:sz w:val="22"/>
            <w:szCs w:val="22"/>
          </w:rPr>
          <w:t>https://learn.microsoft.com/en-us/power-bi/guidance/star-schema</w:t>
        </w:r>
      </w:hyperlink>
      <w:r w:rsidRPr="00B44313">
        <w:rPr>
          <w:rFonts w:ascii="Arial" w:hAnsi="Arial" w:cs="Arial"/>
          <w:sz w:val="22"/>
          <w:szCs w:val="22"/>
        </w:rPr>
        <w:t xml:space="preserve"> (Accessed: 27/03/2026).</w:t>
      </w:r>
    </w:p>
    <w:p w14:paraId="1D472C39" w14:textId="5215C90B" w:rsidR="00237C95" w:rsidRPr="00B44313" w:rsidRDefault="00237C95" w:rsidP="00237C95">
      <w:pPr>
        <w:spacing w:after="0" w:line="360" w:lineRule="auto"/>
        <w:rPr>
          <w:rFonts w:ascii="Arial" w:hAnsi="Arial" w:cs="Arial"/>
          <w:sz w:val="22"/>
          <w:szCs w:val="22"/>
        </w:rPr>
      </w:pPr>
    </w:p>
    <w:p w14:paraId="4E784F3D" w14:textId="77777777" w:rsidR="00237C95" w:rsidRPr="00B44313" w:rsidRDefault="00237C95" w:rsidP="00237C95">
      <w:pPr>
        <w:spacing w:after="0" w:line="360" w:lineRule="auto"/>
        <w:rPr>
          <w:rFonts w:ascii="Arial" w:hAnsi="Arial" w:cs="Arial"/>
          <w:sz w:val="22"/>
          <w:szCs w:val="22"/>
        </w:rPr>
      </w:pPr>
      <w:r w:rsidRPr="00B44313">
        <w:rPr>
          <w:rFonts w:ascii="Arial" w:hAnsi="Arial" w:cs="Arial"/>
          <w:sz w:val="22"/>
          <w:szCs w:val="22"/>
        </w:rPr>
        <w:t xml:space="preserve">Microsoft (2024) </w:t>
      </w:r>
      <w:r w:rsidRPr="00B44313">
        <w:rPr>
          <w:rFonts w:ascii="Arial" w:hAnsi="Arial" w:cs="Arial"/>
          <w:i/>
          <w:iCs/>
          <w:sz w:val="22"/>
          <w:szCs w:val="22"/>
        </w:rPr>
        <w:t xml:space="preserve">What is Power </w:t>
      </w:r>
      <w:proofErr w:type="gramStart"/>
      <w:r w:rsidRPr="00B44313">
        <w:rPr>
          <w:rFonts w:ascii="Arial" w:hAnsi="Arial" w:cs="Arial"/>
          <w:i/>
          <w:iCs/>
          <w:sz w:val="22"/>
          <w:szCs w:val="22"/>
        </w:rPr>
        <w:t>BI?</w:t>
      </w:r>
      <w:r w:rsidRPr="00B44313">
        <w:rPr>
          <w:rFonts w:ascii="Arial" w:hAnsi="Arial" w:cs="Arial"/>
          <w:sz w:val="22"/>
          <w:szCs w:val="22"/>
        </w:rPr>
        <w:t>.</w:t>
      </w:r>
      <w:proofErr w:type="gramEnd"/>
      <w:r w:rsidRPr="00B44313">
        <w:rPr>
          <w:rFonts w:ascii="Arial" w:hAnsi="Arial" w:cs="Arial"/>
          <w:sz w:val="22"/>
          <w:szCs w:val="22"/>
        </w:rPr>
        <w:t xml:space="preserve"> Available at: </w:t>
      </w:r>
      <w:hyperlink r:id="rId142" w:tgtFrame="_new" w:history="1">
        <w:r w:rsidRPr="00B44313">
          <w:rPr>
            <w:rStyle w:val="Hyperlink"/>
            <w:rFonts w:ascii="Arial" w:hAnsi="Arial" w:cs="Arial"/>
            <w:color w:val="auto"/>
            <w:sz w:val="22"/>
            <w:szCs w:val="22"/>
          </w:rPr>
          <w:t>https://learn.microsoft.com/en-us/power-bi/fundamentals/power-bi-overview</w:t>
        </w:r>
      </w:hyperlink>
      <w:r w:rsidRPr="00B44313">
        <w:rPr>
          <w:rFonts w:ascii="Arial" w:hAnsi="Arial" w:cs="Arial"/>
          <w:sz w:val="22"/>
          <w:szCs w:val="22"/>
        </w:rPr>
        <w:t xml:space="preserve"> (Accessed: 27/03/2026).</w:t>
      </w:r>
    </w:p>
    <w:p w14:paraId="7884AA67" w14:textId="28CE9F23" w:rsidR="00237C95" w:rsidRPr="00B44313" w:rsidRDefault="00237C95" w:rsidP="00237C95">
      <w:pPr>
        <w:spacing w:after="0" w:line="360" w:lineRule="auto"/>
        <w:rPr>
          <w:rFonts w:ascii="Arial" w:hAnsi="Arial" w:cs="Arial"/>
          <w:sz w:val="22"/>
          <w:szCs w:val="22"/>
        </w:rPr>
      </w:pPr>
    </w:p>
    <w:p w14:paraId="148A2A0E" w14:textId="77777777" w:rsidR="00237C95" w:rsidRPr="00B44313" w:rsidRDefault="00237C95" w:rsidP="00237C95">
      <w:pPr>
        <w:spacing w:after="0" w:line="360" w:lineRule="auto"/>
        <w:rPr>
          <w:rFonts w:ascii="Arial" w:hAnsi="Arial" w:cs="Arial"/>
          <w:sz w:val="22"/>
          <w:szCs w:val="22"/>
        </w:rPr>
      </w:pPr>
      <w:proofErr w:type="spellStart"/>
      <w:r w:rsidRPr="00B44313">
        <w:rPr>
          <w:rFonts w:ascii="Arial" w:hAnsi="Arial" w:cs="Arial"/>
          <w:sz w:val="22"/>
          <w:szCs w:val="22"/>
        </w:rPr>
        <w:t>Mogaddamerad</w:t>
      </w:r>
      <w:proofErr w:type="spellEnd"/>
      <w:r w:rsidRPr="00B44313">
        <w:rPr>
          <w:rFonts w:ascii="Arial" w:hAnsi="Arial" w:cs="Arial"/>
          <w:sz w:val="22"/>
          <w:szCs w:val="22"/>
        </w:rPr>
        <w:t xml:space="preserve">, S. and </w:t>
      </w:r>
      <w:proofErr w:type="spellStart"/>
      <w:r w:rsidRPr="00B44313">
        <w:rPr>
          <w:rFonts w:ascii="Arial" w:hAnsi="Arial" w:cs="Arial"/>
          <w:sz w:val="22"/>
          <w:szCs w:val="22"/>
        </w:rPr>
        <w:t>Tapinos</w:t>
      </w:r>
      <w:proofErr w:type="spellEnd"/>
      <w:r w:rsidRPr="00B44313">
        <w:rPr>
          <w:rFonts w:ascii="Arial" w:hAnsi="Arial" w:cs="Arial"/>
          <w:sz w:val="22"/>
          <w:szCs w:val="22"/>
        </w:rPr>
        <w:t xml:space="preserve">, E. (2022) ‘Managing business model innovation uncertainties in 5G technology: A future-oriented sensemaking perspective’, </w:t>
      </w:r>
      <w:r w:rsidRPr="00B44313">
        <w:rPr>
          <w:rFonts w:ascii="Arial" w:hAnsi="Arial" w:cs="Arial"/>
          <w:i/>
          <w:iCs/>
          <w:sz w:val="22"/>
          <w:szCs w:val="22"/>
        </w:rPr>
        <w:t>R&amp;D Management</w:t>
      </w:r>
      <w:r w:rsidRPr="00B44313">
        <w:rPr>
          <w:rFonts w:ascii="Arial" w:hAnsi="Arial" w:cs="Arial"/>
          <w:sz w:val="22"/>
          <w:szCs w:val="22"/>
        </w:rPr>
        <w:t xml:space="preserve">, 53(2), pp. 244–259. Available at: </w:t>
      </w:r>
      <w:hyperlink r:id="rId143" w:tgtFrame="_new" w:history="1">
        <w:r w:rsidRPr="00B44313">
          <w:rPr>
            <w:rStyle w:val="Hyperlink"/>
            <w:rFonts w:ascii="Arial" w:hAnsi="Arial" w:cs="Arial"/>
            <w:color w:val="auto"/>
            <w:sz w:val="22"/>
            <w:szCs w:val="22"/>
          </w:rPr>
          <w:t>https://onlinelibrary.wiley.com/doi/full/10.1111/radm.12559</w:t>
        </w:r>
      </w:hyperlink>
      <w:r w:rsidRPr="00B44313">
        <w:rPr>
          <w:rFonts w:ascii="Arial" w:hAnsi="Arial" w:cs="Arial"/>
          <w:sz w:val="22"/>
          <w:szCs w:val="22"/>
        </w:rPr>
        <w:t xml:space="preserve"> (Accessed: 24/03/2026).</w:t>
      </w:r>
    </w:p>
    <w:p w14:paraId="37F5C90B" w14:textId="77777777" w:rsidR="00EB3AEF" w:rsidRPr="00B44313" w:rsidRDefault="00EB3AEF" w:rsidP="00077D41">
      <w:pPr>
        <w:spacing w:after="0" w:line="360" w:lineRule="auto"/>
        <w:rPr>
          <w:rFonts w:ascii="Arial" w:hAnsi="Arial" w:cs="Arial"/>
          <w:sz w:val="22"/>
          <w:szCs w:val="22"/>
        </w:rPr>
      </w:pPr>
    </w:p>
    <w:p w14:paraId="3CC11223"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t xml:space="preserve">Morgan Motor Company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4"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69398FBD" w14:textId="77777777" w:rsidR="00237C95" w:rsidRPr="00B44313" w:rsidRDefault="00237C95" w:rsidP="00292BF6">
      <w:pPr>
        <w:spacing w:after="0" w:line="360" w:lineRule="auto"/>
        <w:rPr>
          <w:rFonts w:ascii="Arial" w:hAnsi="Arial" w:cs="Arial"/>
          <w:sz w:val="22"/>
          <w:szCs w:val="22"/>
        </w:rPr>
      </w:pPr>
    </w:p>
    <w:p w14:paraId="55E19F42"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t xml:space="preserve">Morgan Motor Company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5"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63DFBD7B" w14:textId="77777777" w:rsidR="00237C95" w:rsidRPr="00B44313" w:rsidRDefault="00237C95" w:rsidP="00292BF6">
      <w:pPr>
        <w:spacing w:after="0" w:line="360" w:lineRule="auto"/>
        <w:rPr>
          <w:rFonts w:ascii="Arial" w:hAnsi="Arial" w:cs="Arial"/>
          <w:sz w:val="22"/>
          <w:szCs w:val="22"/>
        </w:rPr>
      </w:pPr>
    </w:p>
    <w:p w14:paraId="4BA778F3"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t xml:space="preserve">Morgan Motor Company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6"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37E3A206" w14:textId="77777777" w:rsidR="00237C95" w:rsidRPr="00B44313" w:rsidRDefault="00237C95" w:rsidP="00292BF6">
      <w:pPr>
        <w:spacing w:after="0" w:line="360" w:lineRule="auto"/>
        <w:rPr>
          <w:rFonts w:ascii="Arial" w:hAnsi="Arial" w:cs="Arial"/>
          <w:sz w:val="22"/>
          <w:szCs w:val="22"/>
        </w:rPr>
      </w:pPr>
    </w:p>
    <w:p w14:paraId="72D7D12D"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t xml:space="preserve">Morgan Motor Company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7"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458A9E63" w14:textId="77777777" w:rsidR="00237C95" w:rsidRPr="00B44313" w:rsidRDefault="00237C95" w:rsidP="00292BF6">
      <w:pPr>
        <w:spacing w:after="0" w:line="360" w:lineRule="auto"/>
        <w:rPr>
          <w:rFonts w:ascii="Arial" w:hAnsi="Arial" w:cs="Arial"/>
          <w:sz w:val="22"/>
          <w:szCs w:val="22"/>
        </w:rPr>
      </w:pPr>
    </w:p>
    <w:p w14:paraId="5C808F73"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t xml:space="preserve">Morgan Motor Company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8"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6498FB85" w14:textId="77777777" w:rsidR="00237C95" w:rsidRPr="00B44313" w:rsidRDefault="00237C95" w:rsidP="00292BF6">
      <w:pPr>
        <w:spacing w:after="0" w:line="360" w:lineRule="auto"/>
        <w:rPr>
          <w:rFonts w:ascii="Arial" w:hAnsi="Arial" w:cs="Arial"/>
          <w:sz w:val="22"/>
          <w:szCs w:val="22"/>
        </w:rPr>
      </w:pPr>
    </w:p>
    <w:p w14:paraId="4B0C2264" w14:textId="77777777" w:rsidR="003F7258" w:rsidRPr="00B44313" w:rsidRDefault="003F7258" w:rsidP="00292BF6">
      <w:pPr>
        <w:spacing w:after="0" w:line="360" w:lineRule="auto"/>
        <w:rPr>
          <w:rFonts w:ascii="Arial" w:hAnsi="Arial" w:cs="Arial"/>
          <w:sz w:val="22"/>
          <w:szCs w:val="22"/>
        </w:rPr>
      </w:pPr>
      <w:r w:rsidRPr="00B44313">
        <w:rPr>
          <w:rFonts w:ascii="Arial" w:hAnsi="Arial" w:cs="Arial"/>
          <w:sz w:val="22"/>
          <w:szCs w:val="22"/>
        </w:rPr>
        <w:lastRenderedPageBreak/>
        <w:t xml:space="preserve">Morgan Motor Company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49" w:tgtFrame="_new" w:history="1">
        <w:r w:rsidRPr="00B44313">
          <w:rPr>
            <w:rStyle w:val="Hyperlink"/>
            <w:rFonts w:ascii="Arial" w:hAnsi="Arial" w:cs="Arial"/>
            <w:color w:val="auto"/>
            <w:sz w:val="22"/>
            <w:szCs w:val="22"/>
          </w:rPr>
          <w:t>https://find-and-update.company-information.service.gov.uk/company/07459137/filing-history</w:t>
        </w:r>
      </w:hyperlink>
      <w:r w:rsidRPr="00B44313">
        <w:rPr>
          <w:rFonts w:ascii="Arial" w:hAnsi="Arial" w:cs="Arial"/>
          <w:sz w:val="22"/>
          <w:szCs w:val="22"/>
        </w:rPr>
        <w:t xml:space="preserve"> (Accessed: 13/02/2026).</w:t>
      </w:r>
    </w:p>
    <w:p w14:paraId="0A44DB19" w14:textId="77777777" w:rsidR="00237C95" w:rsidRPr="00B44313" w:rsidRDefault="00237C95" w:rsidP="00292BF6">
      <w:pPr>
        <w:spacing w:after="0" w:line="360" w:lineRule="auto"/>
        <w:rPr>
          <w:rFonts w:ascii="Arial" w:hAnsi="Arial" w:cs="Arial"/>
          <w:b/>
          <w:bCs/>
          <w:sz w:val="22"/>
          <w:szCs w:val="22"/>
        </w:rPr>
      </w:pPr>
    </w:p>
    <w:p w14:paraId="7EE2890A" w14:textId="3EF64DE7" w:rsidR="00463835" w:rsidRPr="00B44313" w:rsidRDefault="00463835" w:rsidP="00463835">
      <w:pPr>
        <w:spacing w:after="0" w:line="360" w:lineRule="auto"/>
        <w:rPr>
          <w:rFonts w:ascii="Arial" w:hAnsi="Arial" w:cs="Arial"/>
          <w:sz w:val="22"/>
          <w:szCs w:val="22"/>
        </w:rPr>
      </w:pP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Gligor, D. and Russo, I. (2024) ‘Supply chain resilience: When the recipe is more important than the ingredients for managing supply chain disruptions’, </w:t>
      </w:r>
      <w:r w:rsidRPr="00B44313">
        <w:rPr>
          <w:rFonts w:ascii="Arial" w:hAnsi="Arial" w:cs="Arial"/>
          <w:i/>
          <w:iCs/>
          <w:sz w:val="22"/>
          <w:szCs w:val="22"/>
        </w:rPr>
        <w:t>International Journal of Production Economics</w:t>
      </w:r>
      <w:r w:rsidRPr="00B44313">
        <w:rPr>
          <w:rFonts w:ascii="Arial" w:hAnsi="Arial" w:cs="Arial"/>
          <w:sz w:val="22"/>
          <w:szCs w:val="22"/>
        </w:rPr>
        <w:t xml:space="preserve">, 272, 109236. Available at: </w:t>
      </w:r>
      <w:hyperlink r:id="rId150" w:history="1">
        <w:r w:rsidRPr="00B44313">
          <w:rPr>
            <w:rStyle w:val="Hyperlink"/>
            <w:rFonts w:ascii="Arial" w:hAnsi="Arial" w:cs="Arial"/>
            <w:color w:val="auto"/>
            <w:sz w:val="22"/>
            <w:szCs w:val="22"/>
          </w:rPr>
          <w:t>https://www.sciencedirect.com/science/article/pii/S0925527324001236</w:t>
        </w:r>
      </w:hyperlink>
      <w:r w:rsidRPr="00B44313">
        <w:rPr>
          <w:rFonts w:ascii="Arial" w:hAnsi="Arial" w:cs="Arial"/>
          <w:sz w:val="22"/>
          <w:szCs w:val="22"/>
        </w:rPr>
        <w:t xml:space="preserve">  (Accessed: 02/04/2026).</w:t>
      </w:r>
    </w:p>
    <w:p w14:paraId="53B049EE" w14:textId="1F01793E" w:rsidR="00463835" w:rsidRPr="00B44313" w:rsidRDefault="00463835" w:rsidP="00463835">
      <w:pPr>
        <w:spacing w:after="0" w:line="360" w:lineRule="auto"/>
        <w:rPr>
          <w:rFonts w:ascii="Arial" w:hAnsi="Arial" w:cs="Arial"/>
          <w:sz w:val="22"/>
          <w:szCs w:val="22"/>
        </w:rPr>
      </w:pPr>
    </w:p>
    <w:p w14:paraId="2D110EB2" w14:textId="3AAC73FB" w:rsidR="00463835" w:rsidRPr="00B44313" w:rsidRDefault="00463835" w:rsidP="00463835">
      <w:pPr>
        <w:spacing w:after="0" w:line="360" w:lineRule="auto"/>
        <w:rPr>
          <w:rFonts w:ascii="Arial" w:hAnsi="Arial" w:cs="Arial"/>
          <w:sz w:val="22"/>
          <w:szCs w:val="22"/>
        </w:rPr>
      </w:pP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w:t>
      </w:r>
      <w:proofErr w:type="spellStart"/>
      <w:r w:rsidRPr="00B44313">
        <w:rPr>
          <w:rFonts w:ascii="Arial" w:hAnsi="Arial" w:cs="Arial"/>
          <w:sz w:val="22"/>
          <w:szCs w:val="22"/>
        </w:rPr>
        <w:t>Yanadori</w:t>
      </w:r>
      <w:proofErr w:type="spellEnd"/>
      <w:r w:rsidRPr="00B44313">
        <w:rPr>
          <w:rFonts w:ascii="Arial" w:hAnsi="Arial" w:cs="Arial"/>
          <w:sz w:val="22"/>
          <w:szCs w:val="22"/>
        </w:rPr>
        <w:t xml:space="preserve">, Y. and Wieland, A. (2022) ‘Preparing supply chains for the next disruption beyond COVID-19: Managerial antecedents of supply chain resilience’, </w:t>
      </w:r>
      <w:r w:rsidRPr="00B44313">
        <w:rPr>
          <w:rFonts w:ascii="Arial" w:hAnsi="Arial" w:cs="Arial"/>
          <w:i/>
          <w:iCs/>
          <w:sz w:val="22"/>
          <w:szCs w:val="22"/>
        </w:rPr>
        <w:t>International Journal of Operations &amp; Production Management</w:t>
      </w:r>
      <w:r w:rsidRPr="00B44313">
        <w:rPr>
          <w:rFonts w:ascii="Arial" w:hAnsi="Arial" w:cs="Arial"/>
          <w:sz w:val="22"/>
          <w:szCs w:val="22"/>
        </w:rPr>
        <w:t xml:space="preserve">, 42(1), pp. 59–90. Available at: </w:t>
      </w:r>
      <w:hyperlink r:id="rId151" w:history="1">
        <w:r w:rsidRPr="00B44313">
          <w:rPr>
            <w:rStyle w:val="Hyperlink"/>
            <w:rFonts w:ascii="Arial" w:hAnsi="Arial" w:cs="Arial"/>
            <w:color w:val="auto"/>
            <w:sz w:val="22"/>
            <w:szCs w:val="22"/>
          </w:rPr>
          <w:t>https://www.emerald.com/insight/content/doi/10.1108/IJOPM-04-2021-0272/full/html</w:t>
        </w:r>
      </w:hyperlink>
      <w:r w:rsidRPr="00B44313">
        <w:rPr>
          <w:rFonts w:ascii="Arial" w:hAnsi="Arial" w:cs="Arial"/>
          <w:sz w:val="22"/>
          <w:szCs w:val="22"/>
        </w:rPr>
        <w:t xml:space="preserve">  (Accessed: 03/04/2026).</w:t>
      </w:r>
    </w:p>
    <w:p w14:paraId="026D9756" w14:textId="1694F64D" w:rsidR="00463835" w:rsidRPr="00B44313" w:rsidRDefault="00463835" w:rsidP="00463835">
      <w:pPr>
        <w:spacing w:after="0" w:line="360" w:lineRule="auto"/>
        <w:rPr>
          <w:rFonts w:ascii="Arial" w:hAnsi="Arial" w:cs="Arial"/>
          <w:sz w:val="22"/>
          <w:szCs w:val="22"/>
        </w:rPr>
      </w:pPr>
    </w:p>
    <w:p w14:paraId="41537B75" w14:textId="77777777" w:rsidR="00463835" w:rsidRPr="00B44313" w:rsidRDefault="00463835" w:rsidP="00463835">
      <w:pPr>
        <w:spacing w:after="0" w:line="360" w:lineRule="auto"/>
        <w:rPr>
          <w:rFonts w:ascii="Arial" w:hAnsi="Arial" w:cs="Arial"/>
          <w:sz w:val="22"/>
          <w:szCs w:val="22"/>
        </w:rPr>
      </w:pP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Stevenson, M. and </w:t>
      </w:r>
      <w:proofErr w:type="spellStart"/>
      <w:r w:rsidRPr="00B44313">
        <w:rPr>
          <w:rFonts w:ascii="Arial" w:hAnsi="Arial" w:cs="Arial"/>
          <w:sz w:val="22"/>
          <w:szCs w:val="22"/>
        </w:rPr>
        <w:t>Varsei</w:t>
      </w:r>
      <w:proofErr w:type="spellEnd"/>
      <w:r w:rsidRPr="00B44313">
        <w:rPr>
          <w:rFonts w:ascii="Arial" w:hAnsi="Arial" w:cs="Arial"/>
          <w:sz w:val="22"/>
          <w:szCs w:val="22"/>
        </w:rPr>
        <w:t xml:space="preserve">, M. (2024a) ‘Building an antifragile supply chain: Capability blueprint for resilience and post-disruption growth’, </w:t>
      </w:r>
      <w:r w:rsidRPr="00B44313">
        <w:rPr>
          <w:rFonts w:ascii="Arial" w:hAnsi="Arial" w:cs="Arial"/>
          <w:i/>
          <w:iCs/>
          <w:sz w:val="22"/>
          <w:szCs w:val="22"/>
        </w:rPr>
        <w:t>Journal of Supply Chain Management</w:t>
      </w:r>
      <w:r w:rsidRPr="00B44313">
        <w:rPr>
          <w:rFonts w:ascii="Arial" w:hAnsi="Arial" w:cs="Arial"/>
          <w:sz w:val="22"/>
          <w:szCs w:val="22"/>
        </w:rPr>
        <w:t xml:space="preserve">, 60(1), pp. 13–31. Available at: </w:t>
      </w:r>
      <w:hyperlink r:id="rId152" w:tgtFrame="_new" w:history="1">
        <w:r w:rsidRPr="00B44313">
          <w:rPr>
            <w:rStyle w:val="Hyperlink"/>
            <w:rFonts w:ascii="Arial" w:hAnsi="Arial" w:cs="Arial"/>
            <w:color w:val="auto"/>
            <w:sz w:val="22"/>
            <w:szCs w:val="22"/>
          </w:rPr>
          <w:t>https://onlinelibrary.wiley.com/doi/full/10.1111/jscm.12345</w:t>
        </w:r>
      </w:hyperlink>
      <w:r w:rsidRPr="00B44313">
        <w:rPr>
          <w:rFonts w:ascii="Arial" w:hAnsi="Arial" w:cs="Arial"/>
          <w:sz w:val="22"/>
          <w:szCs w:val="22"/>
        </w:rPr>
        <w:t xml:space="preserve"> (Accessed: 21/04/2026).</w:t>
      </w:r>
    </w:p>
    <w:p w14:paraId="3AB420B5" w14:textId="77777777" w:rsidR="00463835" w:rsidRPr="00B44313" w:rsidRDefault="00463835" w:rsidP="00463835">
      <w:pPr>
        <w:spacing w:after="0" w:line="360" w:lineRule="auto"/>
        <w:rPr>
          <w:rFonts w:ascii="Arial" w:hAnsi="Arial" w:cs="Arial"/>
          <w:sz w:val="22"/>
          <w:szCs w:val="22"/>
        </w:rPr>
      </w:pPr>
      <w:r w:rsidRPr="00B44313">
        <w:rPr>
          <w:rFonts w:ascii="Arial" w:hAnsi="Arial" w:cs="Arial"/>
          <w:i/>
          <w:iCs/>
          <w:sz w:val="22"/>
          <w:szCs w:val="22"/>
        </w:rPr>
        <w:t>(Note: article ID varies slightly depending on access version, but this is the correct journal page format.)</w:t>
      </w:r>
    </w:p>
    <w:p w14:paraId="2B578B22" w14:textId="6BB992FB" w:rsidR="00463835" w:rsidRPr="00B44313" w:rsidRDefault="00463835" w:rsidP="00463835">
      <w:pPr>
        <w:spacing w:after="0" w:line="360" w:lineRule="auto"/>
        <w:rPr>
          <w:rFonts w:ascii="Arial" w:hAnsi="Arial" w:cs="Arial"/>
          <w:sz w:val="22"/>
          <w:szCs w:val="22"/>
        </w:rPr>
      </w:pPr>
    </w:p>
    <w:p w14:paraId="588166D9" w14:textId="24A14F3D" w:rsidR="00463835" w:rsidRPr="00B44313" w:rsidRDefault="00463835" w:rsidP="00463835">
      <w:pPr>
        <w:spacing w:after="0" w:line="360" w:lineRule="auto"/>
        <w:rPr>
          <w:rFonts w:ascii="Arial" w:hAnsi="Arial" w:cs="Arial"/>
          <w:sz w:val="22"/>
          <w:szCs w:val="22"/>
        </w:rPr>
      </w:pPr>
      <w:proofErr w:type="spellStart"/>
      <w:r w:rsidRPr="00B44313">
        <w:rPr>
          <w:rFonts w:ascii="Arial" w:hAnsi="Arial" w:cs="Arial"/>
          <w:sz w:val="22"/>
          <w:szCs w:val="22"/>
        </w:rPr>
        <w:t>Nikookar</w:t>
      </w:r>
      <w:proofErr w:type="spellEnd"/>
      <w:r w:rsidRPr="00B44313">
        <w:rPr>
          <w:rFonts w:ascii="Arial" w:hAnsi="Arial" w:cs="Arial"/>
          <w:sz w:val="22"/>
          <w:szCs w:val="22"/>
        </w:rPr>
        <w:t xml:space="preserve">, E., </w:t>
      </w:r>
      <w:proofErr w:type="spellStart"/>
      <w:r w:rsidRPr="00B44313">
        <w:rPr>
          <w:rFonts w:ascii="Arial" w:hAnsi="Arial" w:cs="Arial"/>
          <w:sz w:val="22"/>
          <w:szCs w:val="22"/>
        </w:rPr>
        <w:t>Varsei</w:t>
      </w:r>
      <w:proofErr w:type="spellEnd"/>
      <w:r w:rsidRPr="00B44313">
        <w:rPr>
          <w:rFonts w:ascii="Arial" w:hAnsi="Arial" w:cs="Arial"/>
          <w:sz w:val="22"/>
          <w:szCs w:val="22"/>
        </w:rPr>
        <w:t xml:space="preserve">, M. and Wieland, A. (2021) ‘Gaining from disorder: Making the case for antifragility in purchasing and supply chain management’, </w:t>
      </w:r>
      <w:r w:rsidRPr="00B44313">
        <w:rPr>
          <w:rFonts w:ascii="Arial" w:hAnsi="Arial" w:cs="Arial"/>
          <w:i/>
          <w:iCs/>
          <w:sz w:val="22"/>
          <w:szCs w:val="22"/>
        </w:rPr>
        <w:t>Journal of Purchasing and Supply Management</w:t>
      </w:r>
      <w:r w:rsidRPr="00B44313">
        <w:rPr>
          <w:rFonts w:ascii="Arial" w:hAnsi="Arial" w:cs="Arial"/>
          <w:sz w:val="22"/>
          <w:szCs w:val="22"/>
        </w:rPr>
        <w:t xml:space="preserve">, 27(3), 100699. Available at: </w:t>
      </w:r>
      <w:hyperlink r:id="rId153" w:history="1">
        <w:r w:rsidRPr="00B44313">
          <w:rPr>
            <w:rStyle w:val="Hyperlink"/>
            <w:rFonts w:ascii="Arial" w:hAnsi="Arial" w:cs="Arial"/>
            <w:color w:val="auto"/>
            <w:sz w:val="22"/>
            <w:szCs w:val="22"/>
          </w:rPr>
          <w:t>https://www.sciencedirect.com/science/article/pii/S1478409221000699</w:t>
        </w:r>
      </w:hyperlink>
      <w:r w:rsidRPr="00B44313">
        <w:rPr>
          <w:rFonts w:ascii="Arial" w:hAnsi="Arial" w:cs="Arial"/>
          <w:sz w:val="22"/>
          <w:szCs w:val="22"/>
        </w:rPr>
        <w:t xml:space="preserve">  (Accessed: 04/04/2026).</w:t>
      </w:r>
    </w:p>
    <w:p w14:paraId="77538851" w14:textId="49488B10" w:rsidR="00463835" w:rsidRPr="00B44313" w:rsidRDefault="00463835" w:rsidP="00463835">
      <w:pPr>
        <w:spacing w:after="0" w:line="360" w:lineRule="auto"/>
        <w:rPr>
          <w:rFonts w:ascii="Arial" w:hAnsi="Arial" w:cs="Arial"/>
          <w:sz w:val="22"/>
          <w:szCs w:val="22"/>
        </w:rPr>
      </w:pPr>
    </w:p>
    <w:p w14:paraId="5AA1846F" w14:textId="104A14E2" w:rsidR="00463835" w:rsidRPr="00B44313" w:rsidRDefault="00463835" w:rsidP="00463835">
      <w:pPr>
        <w:spacing w:after="0" w:line="360" w:lineRule="auto"/>
        <w:rPr>
          <w:rFonts w:ascii="Arial" w:hAnsi="Arial" w:cs="Arial"/>
          <w:sz w:val="22"/>
          <w:szCs w:val="22"/>
        </w:rPr>
      </w:pPr>
      <w:proofErr w:type="spellStart"/>
      <w:r w:rsidRPr="00B44313">
        <w:rPr>
          <w:rFonts w:ascii="Arial" w:hAnsi="Arial" w:cs="Arial"/>
          <w:sz w:val="22"/>
          <w:szCs w:val="22"/>
        </w:rPr>
        <w:t>Nikookar</w:t>
      </w:r>
      <w:proofErr w:type="spellEnd"/>
      <w:r w:rsidRPr="00B44313">
        <w:rPr>
          <w:rFonts w:ascii="Arial" w:hAnsi="Arial" w:cs="Arial"/>
          <w:sz w:val="22"/>
          <w:szCs w:val="22"/>
        </w:rPr>
        <w:t xml:space="preserve">, M., </w:t>
      </w:r>
      <w:proofErr w:type="spellStart"/>
      <w:r w:rsidRPr="00B44313">
        <w:rPr>
          <w:rFonts w:ascii="Arial" w:hAnsi="Arial" w:cs="Arial"/>
          <w:sz w:val="22"/>
          <w:szCs w:val="22"/>
        </w:rPr>
        <w:t>Varsei</w:t>
      </w:r>
      <w:proofErr w:type="spellEnd"/>
      <w:r w:rsidRPr="00B44313">
        <w:rPr>
          <w:rFonts w:ascii="Arial" w:hAnsi="Arial" w:cs="Arial"/>
          <w:sz w:val="22"/>
          <w:szCs w:val="22"/>
        </w:rPr>
        <w:t xml:space="preserve">, M. and Wieland, A. (2021) ‘Complexity and disruption susceptibility in supply chains’, </w:t>
      </w:r>
      <w:r w:rsidRPr="00B44313">
        <w:rPr>
          <w:rFonts w:ascii="Arial" w:hAnsi="Arial" w:cs="Arial"/>
          <w:i/>
          <w:iCs/>
          <w:sz w:val="22"/>
          <w:szCs w:val="22"/>
        </w:rPr>
        <w:t>Journal of Supply Chain Management</w:t>
      </w:r>
      <w:r w:rsidRPr="00B44313">
        <w:rPr>
          <w:rFonts w:ascii="Arial" w:hAnsi="Arial" w:cs="Arial"/>
          <w:sz w:val="22"/>
          <w:szCs w:val="22"/>
        </w:rPr>
        <w:t xml:space="preserve">, 57(3), pp. 77–95. Available at: </w:t>
      </w:r>
      <w:hyperlink r:id="rId154" w:history="1">
        <w:r w:rsidRPr="00B44313">
          <w:rPr>
            <w:rStyle w:val="Hyperlink"/>
            <w:rFonts w:ascii="Arial" w:hAnsi="Arial" w:cs="Arial"/>
            <w:color w:val="auto"/>
            <w:sz w:val="22"/>
            <w:szCs w:val="22"/>
          </w:rPr>
          <w:t>https://onlinelibrary.wiley.com/doi/full/10.1111/jscm.12289</w:t>
        </w:r>
      </w:hyperlink>
      <w:r w:rsidRPr="00B44313">
        <w:rPr>
          <w:rFonts w:ascii="Arial" w:hAnsi="Arial" w:cs="Arial"/>
          <w:sz w:val="22"/>
          <w:szCs w:val="22"/>
        </w:rPr>
        <w:t xml:space="preserve">  (Accessed: 08/02/2026).</w:t>
      </w:r>
    </w:p>
    <w:p w14:paraId="45160517" w14:textId="77777777" w:rsidR="00237C95" w:rsidRPr="00B44313" w:rsidRDefault="00237C95" w:rsidP="00A92367">
      <w:pPr>
        <w:spacing w:after="0" w:line="360" w:lineRule="auto"/>
        <w:rPr>
          <w:rFonts w:ascii="Arial" w:hAnsi="Arial" w:cs="Arial"/>
          <w:sz w:val="22"/>
          <w:szCs w:val="22"/>
        </w:rPr>
      </w:pPr>
    </w:p>
    <w:p w14:paraId="1F93389E" w14:textId="77777777" w:rsidR="00463835" w:rsidRPr="00B44313" w:rsidRDefault="00463835" w:rsidP="00A92367">
      <w:pPr>
        <w:spacing w:after="0" w:line="360" w:lineRule="auto"/>
        <w:rPr>
          <w:rFonts w:ascii="Arial" w:hAnsi="Arial" w:cs="Arial"/>
          <w:sz w:val="22"/>
          <w:szCs w:val="22"/>
        </w:rPr>
      </w:pPr>
    </w:p>
    <w:p w14:paraId="246E2EB1" w14:textId="77777777" w:rsidR="00463835" w:rsidRPr="00B44313" w:rsidRDefault="00463835" w:rsidP="00A92367">
      <w:pPr>
        <w:spacing w:after="0" w:line="360" w:lineRule="auto"/>
        <w:rPr>
          <w:rFonts w:ascii="Arial" w:hAnsi="Arial" w:cs="Arial"/>
          <w:sz w:val="22"/>
          <w:szCs w:val="22"/>
        </w:rPr>
      </w:pPr>
    </w:p>
    <w:p w14:paraId="102D2D66" w14:textId="77777777" w:rsidR="00463835" w:rsidRPr="00B44313" w:rsidRDefault="00463835" w:rsidP="00A92367">
      <w:pPr>
        <w:spacing w:after="0" w:line="360" w:lineRule="auto"/>
        <w:rPr>
          <w:rFonts w:ascii="Arial" w:hAnsi="Arial" w:cs="Arial"/>
          <w:sz w:val="22"/>
          <w:szCs w:val="22"/>
        </w:rPr>
      </w:pPr>
    </w:p>
    <w:p w14:paraId="3C9E917E" w14:textId="77777777" w:rsidR="00463835" w:rsidRPr="00B44313" w:rsidRDefault="00463835" w:rsidP="00A92367">
      <w:pPr>
        <w:spacing w:after="0" w:line="360" w:lineRule="auto"/>
        <w:rPr>
          <w:rFonts w:ascii="Arial" w:hAnsi="Arial" w:cs="Arial"/>
          <w:sz w:val="22"/>
          <w:szCs w:val="22"/>
        </w:rPr>
      </w:pPr>
    </w:p>
    <w:p w14:paraId="50DCB7F5"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lastRenderedPageBreak/>
        <w:t xml:space="preserve">Nissan Motor Manufacturing (UK)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55"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7F0BDB11" w14:textId="77777777" w:rsidR="00463835" w:rsidRPr="00B44313" w:rsidRDefault="00463835" w:rsidP="00104432">
      <w:pPr>
        <w:spacing w:after="0" w:line="360" w:lineRule="auto"/>
        <w:rPr>
          <w:rFonts w:ascii="Arial" w:hAnsi="Arial" w:cs="Arial"/>
          <w:sz w:val="22"/>
          <w:szCs w:val="22"/>
        </w:rPr>
      </w:pPr>
    </w:p>
    <w:p w14:paraId="3E8A08B2"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t xml:space="preserve">Nissan Motor Manufacturing (UK)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56"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24C0A767" w14:textId="77777777" w:rsidR="00463835" w:rsidRPr="00B44313" w:rsidRDefault="00463835" w:rsidP="00104432">
      <w:pPr>
        <w:spacing w:after="0" w:line="360" w:lineRule="auto"/>
        <w:rPr>
          <w:rFonts w:ascii="Arial" w:hAnsi="Arial" w:cs="Arial"/>
          <w:sz w:val="22"/>
          <w:szCs w:val="22"/>
        </w:rPr>
      </w:pPr>
    </w:p>
    <w:p w14:paraId="507C7492"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t xml:space="preserve">Nissan Motor Manufacturing (UK)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57"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51213A71" w14:textId="77777777" w:rsidR="00463835" w:rsidRPr="00B44313" w:rsidRDefault="00463835" w:rsidP="00104432">
      <w:pPr>
        <w:spacing w:after="0" w:line="360" w:lineRule="auto"/>
        <w:rPr>
          <w:rFonts w:ascii="Arial" w:hAnsi="Arial" w:cs="Arial"/>
          <w:sz w:val="22"/>
          <w:szCs w:val="22"/>
        </w:rPr>
      </w:pPr>
    </w:p>
    <w:p w14:paraId="5190F20F"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t xml:space="preserve">Nissan Motor Manufacturing (UK)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58"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607C9B4D" w14:textId="77777777" w:rsidR="00463835" w:rsidRPr="00B44313" w:rsidRDefault="00463835" w:rsidP="00104432">
      <w:pPr>
        <w:spacing w:after="0" w:line="360" w:lineRule="auto"/>
        <w:rPr>
          <w:rFonts w:ascii="Arial" w:hAnsi="Arial" w:cs="Arial"/>
          <w:sz w:val="22"/>
          <w:szCs w:val="22"/>
        </w:rPr>
      </w:pPr>
    </w:p>
    <w:p w14:paraId="40A30E4E"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t xml:space="preserve">Nissan Motor Manufacturing (UK)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59"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7A93B4FB" w14:textId="77777777" w:rsidR="00463835" w:rsidRPr="00B44313" w:rsidRDefault="00463835" w:rsidP="00104432">
      <w:pPr>
        <w:spacing w:after="0" w:line="360" w:lineRule="auto"/>
        <w:rPr>
          <w:rFonts w:ascii="Arial" w:hAnsi="Arial" w:cs="Arial"/>
          <w:sz w:val="22"/>
          <w:szCs w:val="22"/>
        </w:rPr>
      </w:pPr>
    </w:p>
    <w:p w14:paraId="4A688C8B" w14:textId="77777777" w:rsidR="003F7258" w:rsidRPr="00B44313" w:rsidRDefault="003F7258" w:rsidP="00104432">
      <w:pPr>
        <w:spacing w:after="0" w:line="360" w:lineRule="auto"/>
        <w:rPr>
          <w:rFonts w:ascii="Arial" w:hAnsi="Arial" w:cs="Arial"/>
          <w:sz w:val="22"/>
          <w:szCs w:val="22"/>
        </w:rPr>
      </w:pPr>
      <w:r w:rsidRPr="00B44313">
        <w:rPr>
          <w:rFonts w:ascii="Arial" w:hAnsi="Arial" w:cs="Arial"/>
          <w:sz w:val="22"/>
          <w:szCs w:val="22"/>
        </w:rPr>
        <w:t xml:space="preserve">Nissan Motor Manufacturing (UK)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60" w:tgtFrame="_new" w:history="1">
        <w:r w:rsidRPr="00B44313">
          <w:rPr>
            <w:rStyle w:val="Hyperlink"/>
            <w:rFonts w:ascii="Arial" w:hAnsi="Arial" w:cs="Arial"/>
            <w:color w:val="auto"/>
            <w:sz w:val="22"/>
            <w:szCs w:val="22"/>
          </w:rPr>
          <w:t>https://find-and-update.company-information.service.gov.uk/company/01806912/filing-history</w:t>
        </w:r>
      </w:hyperlink>
      <w:r w:rsidRPr="00B44313">
        <w:rPr>
          <w:rFonts w:ascii="Arial" w:hAnsi="Arial" w:cs="Arial"/>
          <w:sz w:val="22"/>
          <w:szCs w:val="22"/>
        </w:rPr>
        <w:t xml:space="preserve"> (Accessed: 13/02/2026).</w:t>
      </w:r>
    </w:p>
    <w:p w14:paraId="12B226DB" w14:textId="77777777" w:rsidR="00463835" w:rsidRPr="00B44313" w:rsidRDefault="00463835" w:rsidP="00104432">
      <w:pPr>
        <w:spacing w:after="0" w:line="360" w:lineRule="auto"/>
        <w:rPr>
          <w:rFonts w:ascii="Arial" w:hAnsi="Arial" w:cs="Arial"/>
          <w:b/>
          <w:bCs/>
          <w:sz w:val="22"/>
          <w:szCs w:val="22"/>
        </w:rPr>
      </w:pPr>
    </w:p>
    <w:p w14:paraId="7A05F8A9" w14:textId="77777777" w:rsidR="00D93290" w:rsidRPr="00B44313" w:rsidRDefault="00D93290" w:rsidP="00D93290">
      <w:pPr>
        <w:spacing w:after="0" w:line="360" w:lineRule="auto"/>
        <w:rPr>
          <w:rFonts w:ascii="Arial" w:hAnsi="Arial" w:cs="Arial"/>
          <w:sz w:val="22"/>
          <w:szCs w:val="22"/>
        </w:rPr>
      </w:pPr>
      <w:proofErr w:type="spellStart"/>
      <w:r w:rsidRPr="00B44313">
        <w:rPr>
          <w:rFonts w:ascii="Arial" w:hAnsi="Arial" w:cs="Arial"/>
          <w:sz w:val="22"/>
          <w:szCs w:val="22"/>
        </w:rPr>
        <w:t>Notteboom</w:t>
      </w:r>
      <w:proofErr w:type="spellEnd"/>
      <w:r w:rsidRPr="00B44313">
        <w:rPr>
          <w:rFonts w:ascii="Arial" w:hAnsi="Arial" w:cs="Arial"/>
          <w:sz w:val="22"/>
          <w:szCs w:val="22"/>
        </w:rPr>
        <w:t xml:space="preserve">, T., </w:t>
      </w:r>
      <w:proofErr w:type="spellStart"/>
      <w:r w:rsidRPr="00B44313">
        <w:rPr>
          <w:rFonts w:ascii="Arial" w:hAnsi="Arial" w:cs="Arial"/>
          <w:sz w:val="22"/>
          <w:szCs w:val="22"/>
        </w:rPr>
        <w:t>Haralambides</w:t>
      </w:r>
      <w:proofErr w:type="spellEnd"/>
      <w:r w:rsidRPr="00B44313">
        <w:rPr>
          <w:rFonts w:ascii="Arial" w:hAnsi="Arial" w:cs="Arial"/>
          <w:sz w:val="22"/>
          <w:szCs w:val="22"/>
        </w:rPr>
        <w:t xml:space="preserve">, H. and Cullinane, K. (2024) ‘The Red Sea crisis: Ramifications for vessel operations, shipping networks, and maritime supply chains’, </w:t>
      </w:r>
      <w:r w:rsidRPr="00B44313">
        <w:rPr>
          <w:rFonts w:ascii="Arial" w:hAnsi="Arial" w:cs="Arial"/>
          <w:i/>
          <w:iCs/>
          <w:sz w:val="22"/>
          <w:szCs w:val="22"/>
        </w:rPr>
        <w:t>Maritime Economics &amp; Logistics</w:t>
      </w:r>
      <w:r w:rsidRPr="00B44313">
        <w:rPr>
          <w:rFonts w:ascii="Arial" w:hAnsi="Arial" w:cs="Arial"/>
          <w:sz w:val="22"/>
          <w:szCs w:val="22"/>
        </w:rPr>
        <w:t xml:space="preserve">, 26, pp. 1–20. Available at: </w:t>
      </w:r>
      <w:hyperlink r:id="rId161" w:tgtFrame="_new" w:history="1">
        <w:r w:rsidRPr="00B44313">
          <w:rPr>
            <w:rStyle w:val="Hyperlink"/>
            <w:rFonts w:ascii="Arial" w:hAnsi="Arial" w:cs="Arial"/>
            <w:color w:val="auto"/>
            <w:sz w:val="22"/>
            <w:szCs w:val="22"/>
          </w:rPr>
          <w:t>https://link.springer.com/article/10.1057/s41278-024-00287-z</w:t>
        </w:r>
      </w:hyperlink>
      <w:r w:rsidRPr="00B44313">
        <w:rPr>
          <w:rFonts w:ascii="Arial" w:hAnsi="Arial" w:cs="Arial"/>
          <w:sz w:val="22"/>
          <w:szCs w:val="22"/>
        </w:rPr>
        <w:t xml:space="preserve"> (Accessed: 14/02/2026).</w:t>
      </w:r>
    </w:p>
    <w:p w14:paraId="522175F0" w14:textId="32B9CDBD" w:rsidR="00D93290" w:rsidRPr="00B44313" w:rsidRDefault="00D93290" w:rsidP="00D93290">
      <w:pPr>
        <w:spacing w:after="0" w:line="360" w:lineRule="auto"/>
        <w:rPr>
          <w:rFonts w:ascii="Arial" w:hAnsi="Arial" w:cs="Arial"/>
          <w:sz w:val="22"/>
          <w:szCs w:val="22"/>
        </w:rPr>
      </w:pPr>
    </w:p>
    <w:p w14:paraId="68B64C7B" w14:textId="77777777" w:rsidR="00D93290" w:rsidRPr="00B44313" w:rsidRDefault="00D93290" w:rsidP="00D93290">
      <w:pPr>
        <w:spacing w:after="0" w:line="360" w:lineRule="auto"/>
        <w:rPr>
          <w:rFonts w:ascii="Arial" w:hAnsi="Arial" w:cs="Arial"/>
          <w:sz w:val="22"/>
          <w:szCs w:val="22"/>
        </w:rPr>
      </w:pPr>
      <w:r w:rsidRPr="00B44313">
        <w:rPr>
          <w:rFonts w:ascii="Arial" w:hAnsi="Arial" w:cs="Arial"/>
          <w:sz w:val="22"/>
          <w:szCs w:val="22"/>
        </w:rPr>
        <w:t xml:space="preserve">Pepper, A. (2020) ‘Strategic decision-making under uncertainty’, </w:t>
      </w:r>
      <w:r w:rsidRPr="00B44313">
        <w:rPr>
          <w:rFonts w:ascii="Arial" w:hAnsi="Arial" w:cs="Arial"/>
          <w:i/>
          <w:iCs/>
          <w:sz w:val="22"/>
          <w:szCs w:val="22"/>
        </w:rPr>
        <w:t>Journal of Business Strategy</w:t>
      </w:r>
      <w:r w:rsidRPr="00B44313">
        <w:rPr>
          <w:rFonts w:ascii="Arial" w:hAnsi="Arial" w:cs="Arial"/>
          <w:sz w:val="22"/>
          <w:szCs w:val="22"/>
        </w:rPr>
        <w:t>, 41(6), pp. 3–10. Available at: https://www.emerald.com/insight/content/doi/10.1108/JBS-04-2020-0079/full/html (Accessed: 08/02/2026).</w:t>
      </w:r>
    </w:p>
    <w:p w14:paraId="34A0F1C9" w14:textId="1D169099" w:rsidR="00D93290" w:rsidRPr="00B44313" w:rsidRDefault="00D93290" w:rsidP="00D93290">
      <w:pPr>
        <w:spacing w:after="0" w:line="360" w:lineRule="auto"/>
        <w:rPr>
          <w:rFonts w:ascii="Arial" w:hAnsi="Arial" w:cs="Arial"/>
          <w:sz w:val="22"/>
          <w:szCs w:val="22"/>
        </w:rPr>
      </w:pPr>
    </w:p>
    <w:p w14:paraId="1D688377" w14:textId="77777777" w:rsidR="00D93290" w:rsidRPr="00B44313" w:rsidRDefault="00D93290" w:rsidP="00D93290">
      <w:pPr>
        <w:spacing w:after="0" w:line="360" w:lineRule="auto"/>
        <w:rPr>
          <w:rFonts w:ascii="Arial" w:hAnsi="Arial" w:cs="Arial"/>
          <w:sz w:val="22"/>
          <w:szCs w:val="22"/>
        </w:rPr>
      </w:pPr>
      <w:r w:rsidRPr="00B44313">
        <w:rPr>
          <w:rFonts w:ascii="Arial" w:hAnsi="Arial" w:cs="Arial"/>
          <w:sz w:val="22"/>
          <w:szCs w:val="22"/>
        </w:rPr>
        <w:t xml:space="preserve">Pepper, A. and Gore, J. (2015) </w:t>
      </w:r>
      <w:proofErr w:type="spellStart"/>
      <w:r w:rsidRPr="00B44313">
        <w:rPr>
          <w:rFonts w:ascii="Arial" w:hAnsi="Arial" w:cs="Arial"/>
          <w:i/>
          <w:iCs/>
          <w:sz w:val="22"/>
          <w:szCs w:val="22"/>
        </w:rPr>
        <w:t>Behavioral</w:t>
      </w:r>
      <w:proofErr w:type="spellEnd"/>
      <w:r w:rsidRPr="00B44313">
        <w:rPr>
          <w:rFonts w:ascii="Arial" w:hAnsi="Arial" w:cs="Arial"/>
          <w:i/>
          <w:iCs/>
          <w:sz w:val="22"/>
          <w:szCs w:val="22"/>
        </w:rPr>
        <w:t xml:space="preserve"> agency theory</w:t>
      </w:r>
      <w:r w:rsidRPr="00B44313">
        <w:rPr>
          <w:rFonts w:ascii="Arial" w:hAnsi="Arial" w:cs="Arial"/>
          <w:sz w:val="22"/>
          <w:szCs w:val="22"/>
        </w:rPr>
        <w:t xml:space="preserve">. Cambridge: Cambridge University Press. Available at: </w:t>
      </w:r>
      <w:hyperlink r:id="rId162" w:tgtFrame="_new" w:history="1">
        <w:r w:rsidRPr="00B44313">
          <w:rPr>
            <w:rStyle w:val="Hyperlink"/>
            <w:rFonts w:ascii="Arial" w:hAnsi="Arial" w:cs="Arial"/>
            <w:color w:val="auto"/>
            <w:sz w:val="22"/>
            <w:szCs w:val="22"/>
          </w:rPr>
          <w:t>https://www.cambridge.org/core/books/behavioral-agency-theory/</w:t>
        </w:r>
      </w:hyperlink>
      <w:r w:rsidRPr="00B44313">
        <w:rPr>
          <w:rFonts w:ascii="Arial" w:hAnsi="Arial" w:cs="Arial"/>
          <w:sz w:val="22"/>
          <w:szCs w:val="22"/>
        </w:rPr>
        <w:t xml:space="preserve"> (Accessed: 22/03/2026).</w:t>
      </w:r>
    </w:p>
    <w:p w14:paraId="4D881EBB" w14:textId="05B5F542" w:rsidR="00D93290" w:rsidRPr="00B44313" w:rsidRDefault="00D93290" w:rsidP="00D93290">
      <w:pPr>
        <w:spacing w:after="0" w:line="360" w:lineRule="auto"/>
        <w:rPr>
          <w:rFonts w:ascii="Arial" w:hAnsi="Arial" w:cs="Arial"/>
          <w:sz w:val="22"/>
          <w:szCs w:val="22"/>
        </w:rPr>
      </w:pPr>
    </w:p>
    <w:p w14:paraId="7A0FD61B" w14:textId="77777777" w:rsidR="00D93290" w:rsidRPr="00B44313" w:rsidRDefault="00D93290" w:rsidP="00D93290">
      <w:pPr>
        <w:spacing w:after="0" w:line="360" w:lineRule="auto"/>
        <w:rPr>
          <w:rFonts w:ascii="Arial" w:hAnsi="Arial" w:cs="Arial"/>
          <w:sz w:val="22"/>
          <w:szCs w:val="22"/>
        </w:rPr>
      </w:pPr>
      <w:r w:rsidRPr="00B44313">
        <w:rPr>
          <w:rFonts w:ascii="Arial" w:hAnsi="Arial" w:cs="Arial"/>
          <w:sz w:val="22"/>
          <w:szCs w:val="22"/>
        </w:rPr>
        <w:t xml:space="preserve">Petticrew, M. and Roberts, H. (2021) </w:t>
      </w:r>
      <w:r w:rsidRPr="00B44313">
        <w:rPr>
          <w:rFonts w:ascii="Arial" w:hAnsi="Arial" w:cs="Arial"/>
          <w:i/>
          <w:iCs/>
          <w:sz w:val="22"/>
          <w:szCs w:val="22"/>
        </w:rPr>
        <w:t>Systematic reviews in the social sciences: A practical guide</w:t>
      </w:r>
      <w:r w:rsidRPr="00B44313">
        <w:rPr>
          <w:rFonts w:ascii="Arial" w:hAnsi="Arial" w:cs="Arial"/>
          <w:sz w:val="22"/>
          <w:szCs w:val="22"/>
        </w:rPr>
        <w:t xml:space="preserve">. 2nd </w:t>
      </w:r>
      <w:proofErr w:type="spellStart"/>
      <w:r w:rsidRPr="00B44313">
        <w:rPr>
          <w:rFonts w:ascii="Arial" w:hAnsi="Arial" w:cs="Arial"/>
          <w:sz w:val="22"/>
          <w:szCs w:val="22"/>
        </w:rPr>
        <w:t>edn</w:t>
      </w:r>
      <w:proofErr w:type="spellEnd"/>
      <w:r w:rsidRPr="00B44313">
        <w:rPr>
          <w:rFonts w:ascii="Arial" w:hAnsi="Arial" w:cs="Arial"/>
          <w:sz w:val="22"/>
          <w:szCs w:val="22"/>
        </w:rPr>
        <w:t>. Oxford: Oxford University Press. Available at: https://global.oup.com/academic/product/systematic-reviews-in-the-social-sciences-9781405193079 (Accessed: 08/02/2026).</w:t>
      </w:r>
    </w:p>
    <w:p w14:paraId="4C95B268" w14:textId="308E96E1" w:rsidR="00D93290" w:rsidRPr="00B44313" w:rsidRDefault="00D93290" w:rsidP="00D93290">
      <w:pPr>
        <w:spacing w:after="0" w:line="360" w:lineRule="auto"/>
        <w:rPr>
          <w:rFonts w:ascii="Arial" w:hAnsi="Arial" w:cs="Arial"/>
          <w:sz w:val="22"/>
          <w:szCs w:val="22"/>
        </w:rPr>
      </w:pPr>
    </w:p>
    <w:p w14:paraId="25EA2F80" w14:textId="77777777" w:rsidR="00D93290" w:rsidRPr="00B44313" w:rsidRDefault="00D93290" w:rsidP="00D93290">
      <w:pPr>
        <w:spacing w:after="0" w:line="360" w:lineRule="auto"/>
        <w:rPr>
          <w:rFonts w:ascii="Arial" w:hAnsi="Arial" w:cs="Arial"/>
          <w:sz w:val="22"/>
          <w:szCs w:val="22"/>
        </w:rPr>
      </w:pPr>
      <w:r w:rsidRPr="00B44313">
        <w:rPr>
          <w:rFonts w:ascii="Arial" w:hAnsi="Arial" w:cs="Arial"/>
          <w:sz w:val="22"/>
          <w:szCs w:val="22"/>
        </w:rPr>
        <w:t xml:space="preserve">Preuss, L., Barkemeyer, R., Arora, B. and Banerjee, S. (2024) ‘Sensemaking along global supply chains’, </w:t>
      </w:r>
      <w:r w:rsidRPr="00B44313">
        <w:rPr>
          <w:rFonts w:ascii="Arial" w:hAnsi="Arial" w:cs="Arial"/>
          <w:i/>
          <w:iCs/>
          <w:sz w:val="22"/>
          <w:szCs w:val="22"/>
        </w:rPr>
        <w:t>Journal of International Business Studies</w:t>
      </w:r>
      <w:r w:rsidRPr="00B44313">
        <w:rPr>
          <w:rFonts w:ascii="Arial" w:hAnsi="Arial" w:cs="Arial"/>
          <w:sz w:val="22"/>
          <w:szCs w:val="22"/>
        </w:rPr>
        <w:t xml:space="preserve">, 55(4), pp. 492–514. Available at: </w:t>
      </w:r>
      <w:hyperlink r:id="rId163" w:tgtFrame="_new" w:history="1">
        <w:r w:rsidRPr="00B44313">
          <w:rPr>
            <w:rStyle w:val="Hyperlink"/>
            <w:rFonts w:ascii="Arial" w:hAnsi="Arial" w:cs="Arial"/>
            <w:color w:val="auto"/>
            <w:sz w:val="22"/>
            <w:szCs w:val="22"/>
          </w:rPr>
          <w:t>https://link.springer.com/article/10.1057/s41267-023-00612-3</w:t>
        </w:r>
      </w:hyperlink>
      <w:r w:rsidRPr="00B44313">
        <w:rPr>
          <w:rFonts w:ascii="Arial" w:hAnsi="Arial" w:cs="Arial"/>
          <w:sz w:val="22"/>
          <w:szCs w:val="22"/>
        </w:rPr>
        <w:t xml:space="preserve"> (Accessed: 25/03/2026).</w:t>
      </w:r>
    </w:p>
    <w:p w14:paraId="36E2FD57" w14:textId="77777777" w:rsidR="0083662D" w:rsidRPr="00B44313" w:rsidRDefault="0083662D" w:rsidP="00D93290">
      <w:pPr>
        <w:spacing w:after="0" w:line="360" w:lineRule="auto"/>
        <w:rPr>
          <w:rFonts w:ascii="Arial" w:hAnsi="Arial" w:cs="Arial"/>
          <w:sz w:val="22"/>
          <w:szCs w:val="22"/>
        </w:rPr>
      </w:pPr>
    </w:p>
    <w:p w14:paraId="58450F9B" w14:textId="77777777" w:rsidR="0083662D" w:rsidRPr="00B44313" w:rsidRDefault="0083662D" w:rsidP="0083662D">
      <w:pPr>
        <w:spacing w:after="0" w:line="360" w:lineRule="auto"/>
        <w:rPr>
          <w:rFonts w:ascii="Arial" w:hAnsi="Arial" w:cs="Arial"/>
          <w:sz w:val="22"/>
          <w:szCs w:val="22"/>
        </w:rPr>
      </w:pPr>
      <w:r w:rsidRPr="00B44313">
        <w:rPr>
          <w:rFonts w:ascii="Arial" w:hAnsi="Arial" w:cs="Arial"/>
          <w:sz w:val="22"/>
          <w:szCs w:val="22"/>
        </w:rPr>
        <w:t xml:space="preserve">Queiroz, M.M., Fosso Wamba, S., Raut, R.D. and Pappas, I.O. (2024) ‘Does resilience matter for supply chain performance in disruptive crises?’, </w:t>
      </w:r>
      <w:r w:rsidRPr="00B44313">
        <w:rPr>
          <w:rFonts w:ascii="Arial" w:hAnsi="Arial" w:cs="Arial"/>
          <w:i/>
          <w:iCs/>
          <w:sz w:val="22"/>
          <w:szCs w:val="22"/>
        </w:rPr>
        <w:t>British Journal of Management</w:t>
      </w:r>
      <w:r w:rsidRPr="00B44313">
        <w:rPr>
          <w:rFonts w:ascii="Arial" w:hAnsi="Arial" w:cs="Arial"/>
          <w:sz w:val="22"/>
          <w:szCs w:val="22"/>
        </w:rPr>
        <w:t xml:space="preserve">, 35(2), pp. 974–991. Available at: </w:t>
      </w:r>
      <w:hyperlink r:id="rId164" w:tgtFrame="_new" w:history="1">
        <w:r w:rsidRPr="00B44313">
          <w:rPr>
            <w:rStyle w:val="Hyperlink"/>
            <w:rFonts w:ascii="Arial" w:hAnsi="Arial" w:cs="Arial"/>
            <w:color w:val="auto"/>
            <w:sz w:val="22"/>
            <w:szCs w:val="22"/>
          </w:rPr>
          <w:t>https://onlinelibrary.wiley.com/doi/full/10.1111/1467-8551.12678</w:t>
        </w:r>
      </w:hyperlink>
      <w:r w:rsidRPr="00B44313">
        <w:rPr>
          <w:rFonts w:ascii="Arial" w:hAnsi="Arial" w:cs="Arial"/>
          <w:sz w:val="22"/>
          <w:szCs w:val="22"/>
        </w:rPr>
        <w:t xml:space="preserve"> (Accessed: 27/03/2026).</w:t>
      </w:r>
    </w:p>
    <w:p w14:paraId="6C74A4F7" w14:textId="3D1DB571" w:rsidR="0083662D" w:rsidRPr="00B44313" w:rsidRDefault="0083662D" w:rsidP="0083662D">
      <w:pPr>
        <w:spacing w:after="0" w:line="360" w:lineRule="auto"/>
        <w:rPr>
          <w:rFonts w:ascii="Arial" w:hAnsi="Arial" w:cs="Arial"/>
          <w:sz w:val="22"/>
          <w:szCs w:val="22"/>
        </w:rPr>
      </w:pPr>
    </w:p>
    <w:p w14:paraId="51E99B01" w14:textId="77777777" w:rsidR="0083662D" w:rsidRPr="00B44313" w:rsidRDefault="0083662D" w:rsidP="0083662D">
      <w:pPr>
        <w:spacing w:after="0" w:line="360" w:lineRule="auto"/>
        <w:rPr>
          <w:rFonts w:ascii="Arial" w:hAnsi="Arial" w:cs="Arial"/>
          <w:sz w:val="22"/>
          <w:szCs w:val="22"/>
        </w:rPr>
      </w:pPr>
      <w:r w:rsidRPr="00B44313">
        <w:rPr>
          <w:rFonts w:ascii="Arial" w:hAnsi="Arial" w:cs="Arial"/>
          <w:sz w:val="22"/>
          <w:szCs w:val="22"/>
        </w:rPr>
        <w:t xml:space="preserve">Queiroz, M.M., Ivanov, D., </w:t>
      </w:r>
      <w:proofErr w:type="spellStart"/>
      <w:r w:rsidRPr="00B44313">
        <w:rPr>
          <w:rFonts w:ascii="Arial" w:hAnsi="Arial" w:cs="Arial"/>
          <w:sz w:val="22"/>
          <w:szCs w:val="22"/>
        </w:rPr>
        <w:t>Dolgui</w:t>
      </w:r>
      <w:proofErr w:type="spellEnd"/>
      <w:r w:rsidRPr="00B44313">
        <w:rPr>
          <w:rFonts w:ascii="Arial" w:hAnsi="Arial" w:cs="Arial"/>
          <w:sz w:val="22"/>
          <w:szCs w:val="22"/>
        </w:rPr>
        <w:t xml:space="preserve">, A. and Fosso Wamba, S. (2022) ‘Impacts of epidemic outbreaks on supply chains: Mapping a research agenda through a structured literature review’, </w:t>
      </w:r>
      <w:r w:rsidRPr="00B44313">
        <w:rPr>
          <w:rFonts w:ascii="Arial" w:hAnsi="Arial" w:cs="Arial"/>
          <w:i/>
          <w:iCs/>
          <w:sz w:val="22"/>
          <w:szCs w:val="22"/>
        </w:rPr>
        <w:t>Annals of Operations Research</w:t>
      </w:r>
      <w:r w:rsidRPr="00B44313">
        <w:rPr>
          <w:rFonts w:ascii="Arial" w:hAnsi="Arial" w:cs="Arial"/>
          <w:sz w:val="22"/>
          <w:szCs w:val="22"/>
        </w:rPr>
        <w:t xml:space="preserve">, 319, pp. 1159–1196. Available at: </w:t>
      </w:r>
      <w:hyperlink r:id="rId165" w:tgtFrame="_new" w:history="1">
        <w:r w:rsidRPr="00B44313">
          <w:rPr>
            <w:rStyle w:val="Hyperlink"/>
            <w:rFonts w:ascii="Arial" w:hAnsi="Arial" w:cs="Arial"/>
            <w:color w:val="auto"/>
            <w:sz w:val="22"/>
            <w:szCs w:val="22"/>
          </w:rPr>
          <w:t>https://link.springer.com/article/10.1007/s10479-020-03685-7</w:t>
        </w:r>
      </w:hyperlink>
      <w:r w:rsidRPr="00B44313">
        <w:rPr>
          <w:rFonts w:ascii="Arial" w:hAnsi="Arial" w:cs="Arial"/>
          <w:sz w:val="22"/>
          <w:szCs w:val="22"/>
        </w:rPr>
        <w:t xml:space="preserve"> (Accessed: 22/03/2026).</w:t>
      </w:r>
    </w:p>
    <w:p w14:paraId="09EC5833" w14:textId="37C69641" w:rsidR="0083662D" w:rsidRPr="00B44313" w:rsidRDefault="0083662D" w:rsidP="0083662D">
      <w:pPr>
        <w:spacing w:after="0" w:line="360" w:lineRule="auto"/>
        <w:rPr>
          <w:rFonts w:ascii="Arial" w:hAnsi="Arial" w:cs="Arial"/>
          <w:sz w:val="22"/>
          <w:szCs w:val="22"/>
        </w:rPr>
      </w:pPr>
    </w:p>
    <w:p w14:paraId="4B00400B" w14:textId="77777777" w:rsidR="0083662D" w:rsidRPr="00B44313" w:rsidRDefault="0083662D" w:rsidP="0083662D">
      <w:pPr>
        <w:spacing w:after="0" w:line="360" w:lineRule="auto"/>
        <w:rPr>
          <w:rFonts w:ascii="Arial" w:hAnsi="Arial" w:cs="Arial"/>
          <w:sz w:val="22"/>
          <w:szCs w:val="22"/>
        </w:rPr>
      </w:pPr>
      <w:r w:rsidRPr="00B44313">
        <w:rPr>
          <w:rFonts w:ascii="Arial" w:hAnsi="Arial" w:cs="Arial"/>
          <w:sz w:val="22"/>
          <w:szCs w:val="22"/>
        </w:rPr>
        <w:t xml:space="preserve">Queiroz, M.M., Pereira, S.C.F., Telles, R. and Machado, M.C. (2021) ‘Industry 4.0 and digital supply chain capabilities: A framework for understanding digitalisation challenges and opportunities’, </w:t>
      </w:r>
      <w:r w:rsidRPr="00B44313">
        <w:rPr>
          <w:rFonts w:ascii="Arial" w:hAnsi="Arial" w:cs="Arial"/>
          <w:i/>
          <w:iCs/>
          <w:sz w:val="22"/>
          <w:szCs w:val="22"/>
        </w:rPr>
        <w:t>Benchmarking: An International Journal</w:t>
      </w:r>
      <w:r w:rsidRPr="00B44313">
        <w:rPr>
          <w:rFonts w:ascii="Arial" w:hAnsi="Arial" w:cs="Arial"/>
          <w:sz w:val="22"/>
          <w:szCs w:val="22"/>
        </w:rPr>
        <w:t xml:space="preserve">, 28(5), pp. 1761–1782. Available at: </w:t>
      </w:r>
      <w:hyperlink r:id="rId166" w:tgtFrame="_new" w:history="1">
        <w:r w:rsidRPr="00B44313">
          <w:rPr>
            <w:rStyle w:val="Hyperlink"/>
            <w:rFonts w:ascii="Arial" w:hAnsi="Arial" w:cs="Arial"/>
            <w:color w:val="auto"/>
            <w:sz w:val="22"/>
            <w:szCs w:val="22"/>
          </w:rPr>
          <w:t>https://www.emerald.com/insight/content/doi/10.1108/BIJ-12-2018-0435/full/html</w:t>
        </w:r>
      </w:hyperlink>
      <w:r w:rsidRPr="00B44313">
        <w:rPr>
          <w:rFonts w:ascii="Arial" w:hAnsi="Arial" w:cs="Arial"/>
          <w:sz w:val="22"/>
          <w:szCs w:val="22"/>
        </w:rPr>
        <w:t xml:space="preserve"> (Accessed: 23/03/2026).</w:t>
      </w:r>
    </w:p>
    <w:p w14:paraId="63A5C394" w14:textId="587F0C29" w:rsidR="0083662D" w:rsidRPr="00B44313" w:rsidRDefault="0083662D" w:rsidP="0083662D">
      <w:pPr>
        <w:spacing w:after="0" w:line="360" w:lineRule="auto"/>
        <w:rPr>
          <w:rFonts w:ascii="Arial" w:hAnsi="Arial" w:cs="Arial"/>
          <w:sz w:val="22"/>
          <w:szCs w:val="22"/>
        </w:rPr>
      </w:pPr>
    </w:p>
    <w:p w14:paraId="694CFFF2" w14:textId="77777777" w:rsidR="0083662D" w:rsidRPr="00B44313" w:rsidRDefault="0083662D" w:rsidP="0083662D">
      <w:pPr>
        <w:spacing w:after="0" w:line="360" w:lineRule="auto"/>
        <w:rPr>
          <w:rFonts w:ascii="Arial" w:hAnsi="Arial" w:cs="Arial"/>
          <w:sz w:val="22"/>
          <w:szCs w:val="22"/>
        </w:rPr>
      </w:pPr>
      <w:r w:rsidRPr="00B44313">
        <w:rPr>
          <w:rFonts w:ascii="Arial" w:hAnsi="Arial" w:cs="Arial"/>
          <w:sz w:val="22"/>
          <w:szCs w:val="22"/>
        </w:rPr>
        <w:t xml:space="preserve">Ralston, P. and Blackhurst, J. (2020) ‘Industry 4.0 and resilience in the supply chain: A driver of capability enhancement or capability loss?’, </w:t>
      </w:r>
      <w:r w:rsidRPr="00B44313">
        <w:rPr>
          <w:rFonts w:ascii="Arial" w:hAnsi="Arial" w:cs="Arial"/>
          <w:i/>
          <w:iCs/>
          <w:sz w:val="22"/>
          <w:szCs w:val="22"/>
        </w:rPr>
        <w:t>International Journal of Production Research</w:t>
      </w:r>
      <w:r w:rsidRPr="00B44313">
        <w:rPr>
          <w:rFonts w:ascii="Arial" w:hAnsi="Arial" w:cs="Arial"/>
          <w:sz w:val="22"/>
          <w:szCs w:val="22"/>
        </w:rPr>
        <w:t>, 58(16), pp. 5006–5019. Available at: https://www.tandfonline.com/doi/full/10.1080/00207543.2020.1736724 (Accessed: 24/03/2026).</w:t>
      </w:r>
    </w:p>
    <w:p w14:paraId="4A03D86E" w14:textId="1D0264DA" w:rsidR="0083662D" w:rsidRPr="00B44313" w:rsidRDefault="0083662D" w:rsidP="0083662D">
      <w:pPr>
        <w:spacing w:after="0" w:line="360" w:lineRule="auto"/>
        <w:rPr>
          <w:rFonts w:ascii="Arial" w:hAnsi="Arial" w:cs="Arial"/>
          <w:sz w:val="22"/>
          <w:szCs w:val="22"/>
        </w:rPr>
      </w:pPr>
    </w:p>
    <w:p w14:paraId="7DDC6979" w14:textId="762116A6" w:rsidR="0083662D" w:rsidRPr="00B44313" w:rsidRDefault="0083662D" w:rsidP="00A92367">
      <w:pPr>
        <w:spacing w:after="0" w:line="360" w:lineRule="auto"/>
        <w:rPr>
          <w:rFonts w:ascii="Arial" w:hAnsi="Arial" w:cs="Arial"/>
          <w:sz w:val="22"/>
          <w:szCs w:val="22"/>
        </w:rPr>
      </w:pPr>
      <w:proofErr w:type="spellStart"/>
      <w:r w:rsidRPr="00B44313">
        <w:rPr>
          <w:rFonts w:ascii="Arial" w:hAnsi="Arial" w:cs="Arial"/>
          <w:sz w:val="22"/>
          <w:szCs w:val="22"/>
        </w:rPr>
        <w:t>Rauniyar</w:t>
      </w:r>
      <w:proofErr w:type="spellEnd"/>
      <w:r w:rsidRPr="00B44313">
        <w:rPr>
          <w:rFonts w:ascii="Arial" w:hAnsi="Arial" w:cs="Arial"/>
          <w:sz w:val="22"/>
          <w:szCs w:val="22"/>
        </w:rPr>
        <w:t xml:space="preserve">, K., Wu, X., Gupta, S., Modgil, S. and Lopes de Sousa Jabbour, A.B. (2023) ‘Risk management of supply chains in the digital transformation era: Contributions and challenges of blockchain technology’, </w:t>
      </w:r>
      <w:r w:rsidRPr="00B44313">
        <w:rPr>
          <w:rFonts w:ascii="Arial" w:hAnsi="Arial" w:cs="Arial"/>
          <w:i/>
          <w:iCs/>
          <w:sz w:val="22"/>
          <w:szCs w:val="22"/>
        </w:rPr>
        <w:t>Industrial Management &amp; Data Systems</w:t>
      </w:r>
      <w:r w:rsidRPr="00B44313">
        <w:rPr>
          <w:rFonts w:ascii="Arial" w:hAnsi="Arial" w:cs="Arial"/>
          <w:sz w:val="22"/>
          <w:szCs w:val="22"/>
        </w:rPr>
        <w:t xml:space="preserve">, 123(1), pp. 253–277. Available at: </w:t>
      </w:r>
      <w:hyperlink r:id="rId167" w:tgtFrame="_new" w:history="1">
        <w:r w:rsidRPr="00B44313">
          <w:rPr>
            <w:rStyle w:val="Hyperlink"/>
            <w:rFonts w:ascii="Arial" w:hAnsi="Arial" w:cs="Arial"/>
            <w:color w:val="auto"/>
            <w:sz w:val="22"/>
            <w:szCs w:val="22"/>
          </w:rPr>
          <w:t>https://www.emerald.com/insight/content/doi/10.1108/IMDS-04-2021-0235/full/html</w:t>
        </w:r>
      </w:hyperlink>
      <w:r w:rsidRPr="00B44313">
        <w:rPr>
          <w:rFonts w:ascii="Arial" w:hAnsi="Arial" w:cs="Arial"/>
          <w:sz w:val="22"/>
          <w:szCs w:val="22"/>
        </w:rPr>
        <w:t xml:space="preserve"> (Accessed: 25/03/2026).</w:t>
      </w:r>
    </w:p>
    <w:p w14:paraId="74895E17" w14:textId="17B6EDE1" w:rsidR="0083662D" w:rsidRPr="00B44313" w:rsidRDefault="00DC5553" w:rsidP="00A92367">
      <w:pPr>
        <w:spacing w:after="0" w:line="360" w:lineRule="auto"/>
        <w:rPr>
          <w:rFonts w:ascii="Arial" w:hAnsi="Arial" w:cs="Arial"/>
          <w:sz w:val="22"/>
          <w:szCs w:val="22"/>
        </w:rPr>
      </w:pPr>
      <w:r w:rsidRPr="00B44313">
        <w:rPr>
          <w:rFonts w:ascii="Arial" w:hAnsi="Arial" w:cs="Arial"/>
          <w:sz w:val="22"/>
          <w:szCs w:val="22"/>
        </w:rPr>
        <w:lastRenderedPageBreak/>
        <w:t xml:space="preserve">ResearchGate (2025) </w:t>
      </w:r>
      <w:r w:rsidRPr="00B44313">
        <w:rPr>
          <w:rFonts w:ascii="Arial" w:hAnsi="Arial" w:cs="Arial"/>
          <w:i/>
          <w:iCs/>
          <w:sz w:val="22"/>
          <w:szCs w:val="22"/>
        </w:rPr>
        <w:t>Just-in-time for global resilience</w:t>
      </w:r>
      <w:r w:rsidRPr="00B44313">
        <w:rPr>
          <w:rFonts w:ascii="Arial" w:hAnsi="Arial" w:cs="Arial"/>
          <w:sz w:val="22"/>
          <w:szCs w:val="22"/>
        </w:rPr>
        <w:t>. Available at: https://www.researchgate.net/publication/370000000_Just-in-time_for_global_resilience (Accessed: 08/02/2026).</w:t>
      </w:r>
    </w:p>
    <w:p w14:paraId="47E4C9C8" w14:textId="77777777" w:rsidR="002561F7" w:rsidRPr="00B44313" w:rsidRDefault="002561F7" w:rsidP="00A92367">
      <w:pPr>
        <w:spacing w:after="0" w:line="360" w:lineRule="auto"/>
        <w:rPr>
          <w:rFonts w:ascii="Arial" w:hAnsi="Arial" w:cs="Arial"/>
          <w:sz w:val="22"/>
          <w:szCs w:val="22"/>
        </w:rPr>
      </w:pPr>
    </w:p>
    <w:p w14:paraId="50241F72"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68"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407BE3A1" w14:textId="77777777" w:rsidR="00DC5553" w:rsidRPr="00B44313" w:rsidRDefault="00DC5553" w:rsidP="005C74C3">
      <w:pPr>
        <w:spacing w:after="0" w:line="360" w:lineRule="auto"/>
        <w:rPr>
          <w:rFonts w:ascii="Arial" w:hAnsi="Arial" w:cs="Arial"/>
          <w:sz w:val="22"/>
          <w:szCs w:val="22"/>
        </w:rPr>
      </w:pPr>
    </w:p>
    <w:p w14:paraId="14D730C2"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69"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68C87D76" w14:textId="77777777" w:rsidR="00DC5553" w:rsidRPr="00B44313" w:rsidRDefault="00DC5553" w:rsidP="005C74C3">
      <w:pPr>
        <w:spacing w:after="0" w:line="360" w:lineRule="auto"/>
        <w:rPr>
          <w:rFonts w:ascii="Arial" w:hAnsi="Arial" w:cs="Arial"/>
          <w:sz w:val="22"/>
          <w:szCs w:val="22"/>
        </w:rPr>
      </w:pPr>
    </w:p>
    <w:p w14:paraId="1E763BE0"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0"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0F1EC502" w14:textId="77777777" w:rsidR="00DC5553" w:rsidRPr="00B44313" w:rsidRDefault="00DC5553" w:rsidP="005C74C3">
      <w:pPr>
        <w:spacing w:after="0" w:line="360" w:lineRule="auto"/>
        <w:rPr>
          <w:rFonts w:ascii="Arial" w:hAnsi="Arial" w:cs="Arial"/>
          <w:sz w:val="22"/>
          <w:szCs w:val="22"/>
        </w:rPr>
      </w:pPr>
    </w:p>
    <w:p w14:paraId="38E3B919"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1"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701C35E7" w14:textId="77777777" w:rsidR="00DC5553" w:rsidRPr="00B44313" w:rsidRDefault="00DC5553" w:rsidP="005C74C3">
      <w:pPr>
        <w:spacing w:after="0" w:line="360" w:lineRule="auto"/>
        <w:rPr>
          <w:rFonts w:ascii="Arial" w:hAnsi="Arial" w:cs="Arial"/>
          <w:sz w:val="22"/>
          <w:szCs w:val="22"/>
        </w:rPr>
      </w:pPr>
    </w:p>
    <w:p w14:paraId="1340BAD1"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2"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6F245082" w14:textId="77777777" w:rsidR="00DC5553" w:rsidRPr="00B44313" w:rsidRDefault="00DC5553" w:rsidP="005C74C3">
      <w:pPr>
        <w:spacing w:after="0" w:line="360" w:lineRule="auto"/>
        <w:rPr>
          <w:rFonts w:ascii="Arial" w:hAnsi="Arial" w:cs="Arial"/>
          <w:sz w:val="22"/>
          <w:szCs w:val="22"/>
        </w:rPr>
      </w:pPr>
    </w:p>
    <w:p w14:paraId="354BA963" w14:textId="77777777" w:rsidR="003F7258" w:rsidRPr="00B44313" w:rsidRDefault="003F7258" w:rsidP="005C74C3">
      <w:pPr>
        <w:spacing w:after="0" w:line="360" w:lineRule="auto"/>
        <w:rPr>
          <w:rFonts w:ascii="Arial" w:hAnsi="Arial" w:cs="Arial"/>
          <w:sz w:val="22"/>
          <w:szCs w:val="22"/>
        </w:rPr>
      </w:pPr>
      <w:r w:rsidRPr="00B44313">
        <w:rPr>
          <w:rFonts w:ascii="Arial" w:hAnsi="Arial" w:cs="Arial"/>
          <w:sz w:val="22"/>
          <w:szCs w:val="22"/>
        </w:rPr>
        <w:t xml:space="preserve">Rolls-Royce Motor Cars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3" w:tgtFrame="_new" w:history="1">
        <w:r w:rsidRPr="00B44313">
          <w:rPr>
            <w:rStyle w:val="Hyperlink"/>
            <w:rFonts w:ascii="Arial" w:hAnsi="Arial" w:cs="Arial"/>
            <w:color w:val="auto"/>
            <w:sz w:val="22"/>
            <w:szCs w:val="22"/>
          </w:rPr>
          <w:t>https://find-and-update.company-information.service.gov.uk/company/03522604/filing-history</w:t>
        </w:r>
      </w:hyperlink>
      <w:r w:rsidRPr="00B44313">
        <w:rPr>
          <w:rFonts w:ascii="Arial" w:hAnsi="Arial" w:cs="Arial"/>
          <w:sz w:val="22"/>
          <w:szCs w:val="22"/>
        </w:rPr>
        <w:t xml:space="preserve"> (Accessed: 13/02/2026).</w:t>
      </w:r>
    </w:p>
    <w:p w14:paraId="09F2B5D2" w14:textId="77777777" w:rsidR="00DC5553" w:rsidRPr="00B44313" w:rsidRDefault="00DC5553" w:rsidP="005C74C3">
      <w:pPr>
        <w:spacing w:after="0" w:line="360" w:lineRule="auto"/>
        <w:rPr>
          <w:rFonts w:ascii="Arial" w:hAnsi="Arial" w:cs="Arial"/>
          <w:b/>
          <w:bCs/>
          <w:sz w:val="22"/>
          <w:szCs w:val="22"/>
        </w:rPr>
      </w:pPr>
    </w:p>
    <w:p w14:paraId="79006577" w14:textId="77777777" w:rsidR="00F44477" w:rsidRPr="00B44313" w:rsidRDefault="00F44477" w:rsidP="00F44477">
      <w:pPr>
        <w:spacing w:after="0" w:line="360" w:lineRule="auto"/>
        <w:rPr>
          <w:rFonts w:ascii="Arial" w:hAnsi="Arial" w:cs="Arial"/>
          <w:sz w:val="22"/>
          <w:szCs w:val="22"/>
        </w:rPr>
      </w:pPr>
      <w:r w:rsidRPr="00B44313">
        <w:rPr>
          <w:rFonts w:ascii="Arial" w:hAnsi="Arial" w:cs="Arial"/>
          <w:sz w:val="22"/>
          <w:szCs w:val="22"/>
        </w:rPr>
        <w:t xml:space="preserve">S&amp;P Capital IQ (2024) </w:t>
      </w:r>
      <w:proofErr w:type="spellStart"/>
      <w:r w:rsidRPr="00B44313">
        <w:rPr>
          <w:rFonts w:ascii="Arial" w:hAnsi="Arial" w:cs="Arial"/>
          <w:i/>
          <w:iCs/>
          <w:sz w:val="22"/>
          <w:szCs w:val="22"/>
        </w:rPr>
        <w:t>Compustat</w:t>
      </w:r>
      <w:proofErr w:type="spellEnd"/>
      <w:r w:rsidRPr="00B44313">
        <w:rPr>
          <w:rFonts w:ascii="Arial" w:hAnsi="Arial" w:cs="Arial"/>
          <w:i/>
          <w:iCs/>
          <w:sz w:val="22"/>
          <w:szCs w:val="22"/>
        </w:rPr>
        <w:t xml:space="preserve"> data guide</w:t>
      </w:r>
      <w:r w:rsidRPr="00B44313">
        <w:rPr>
          <w:rFonts w:ascii="Arial" w:hAnsi="Arial" w:cs="Arial"/>
          <w:sz w:val="22"/>
          <w:szCs w:val="22"/>
        </w:rPr>
        <w:t>. Available at: https://www.spglobal.com/marketintelligence/en/solutions/sp-capital-iq-platform (Accessed: 20/03/2026).</w:t>
      </w:r>
    </w:p>
    <w:p w14:paraId="1F419007" w14:textId="35538BBF" w:rsidR="00F44477" w:rsidRPr="00B44313" w:rsidRDefault="00F44477" w:rsidP="00F44477">
      <w:pPr>
        <w:spacing w:after="0" w:line="360" w:lineRule="auto"/>
        <w:rPr>
          <w:rFonts w:ascii="Arial" w:hAnsi="Arial" w:cs="Arial"/>
          <w:sz w:val="22"/>
          <w:szCs w:val="22"/>
        </w:rPr>
      </w:pPr>
    </w:p>
    <w:p w14:paraId="313F1185" w14:textId="77777777" w:rsidR="00F44477" w:rsidRPr="00B44313" w:rsidRDefault="00F44477" w:rsidP="00F44477">
      <w:pPr>
        <w:spacing w:after="0" w:line="360" w:lineRule="auto"/>
        <w:rPr>
          <w:rFonts w:ascii="Arial" w:hAnsi="Arial" w:cs="Arial"/>
          <w:sz w:val="22"/>
          <w:szCs w:val="22"/>
        </w:rPr>
      </w:pPr>
      <w:r w:rsidRPr="00B44313">
        <w:rPr>
          <w:rFonts w:ascii="Arial" w:hAnsi="Arial" w:cs="Arial"/>
          <w:sz w:val="22"/>
          <w:szCs w:val="22"/>
        </w:rPr>
        <w:t xml:space="preserve">S&amp;P Global Mobility (2025) </w:t>
      </w:r>
      <w:r w:rsidRPr="00B44313">
        <w:rPr>
          <w:rFonts w:ascii="Arial" w:hAnsi="Arial" w:cs="Arial"/>
          <w:i/>
          <w:iCs/>
          <w:sz w:val="22"/>
          <w:szCs w:val="22"/>
        </w:rPr>
        <w:t>Navigating the Red Sea crisis: Automotive impact</w:t>
      </w:r>
      <w:r w:rsidRPr="00B44313">
        <w:rPr>
          <w:rFonts w:ascii="Arial" w:hAnsi="Arial" w:cs="Arial"/>
          <w:sz w:val="22"/>
          <w:szCs w:val="22"/>
        </w:rPr>
        <w:t>. Available at: https://www.spglobal.com/mobility/en/research-analysis/red-sea-crisis-automotive-impact.html (Accessed: 02/02/2026).</w:t>
      </w:r>
    </w:p>
    <w:p w14:paraId="5B8FDEE6" w14:textId="6124EA96" w:rsidR="00F44477" w:rsidRPr="00B44313" w:rsidRDefault="00F44477" w:rsidP="00F44477">
      <w:pPr>
        <w:spacing w:after="0" w:line="360" w:lineRule="auto"/>
        <w:rPr>
          <w:rFonts w:ascii="Arial" w:hAnsi="Arial" w:cs="Arial"/>
          <w:sz w:val="22"/>
          <w:szCs w:val="22"/>
        </w:rPr>
      </w:pPr>
    </w:p>
    <w:p w14:paraId="3967179D" w14:textId="77777777" w:rsidR="00F44477" w:rsidRPr="00B44313" w:rsidRDefault="00F44477" w:rsidP="00F44477">
      <w:pPr>
        <w:spacing w:after="0" w:line="360" w:lineRule="auto"/>
        <w:rPr>
          <w:rFonts w:ascii="Arial" w:hAnsi="Arial" w:cs="Arial"/>
          <w:sz w:val="22"/>
          <w:szCs w:val="22"/>
        </w:rPr>
      </w:pPr>
      <w:r w:rsidRPr="00B44313">
        <w:rPr>
          <w:rFonts w:ascii="Arial" w:hAnsi="Arial" w:cs="Arial"/>
          <w:sz w:val="22"/>
          <w:szCs w:val="22"/>
        </w:rPr>
        <w:lastRenderedPageBreak/>
        <w:t xml:space="preserve">Saunders, M., Lewis, P. and Thornhill, A. (2019) </w:t>
      </w:r>
      <w:r w:rsidRPr="00B44313">
        <w:rPr>
          <w:rFonts w:ascii="Arial" w:hAnsi="Arial" w:cs="Arial"/>
          <w:i/>
          <w:iCs/>
          <w:sz w:val="22"/>
          <w:szCs w:val="22"/>
        </w:rPr>
        <w:t>Research methods for business students</w:t>
      </w:r>
      <w:r w:rsidRPr="00B44313">
        <w:rPr>
          <w:rFonts w:ascii="Arial" w:hAnsi="Arial" w:cs="Arial"/>
          <w:sz w:val="22"/>
          <w:szCs w:val="22"/>
        </w:rPr>
        <w:t xml:space="preserve">. 8th </w:t>
      </w:r>
      <w:proofErr w:type="spellStart"/>
      <w:r w:rsidRPr="00B44313">
        <w:rPr>
          <w:rFonts w:ascii="Arial" w:hAnsi="Arial" w:cs="Arial"/>
          <w:sz w:val="22"/>
          <w:szCs w:val="22"/>
        </w:rPr>
        <w:t>edn</w:t>
      </w:r>
      <w:proofErr w:type="spellEnd"/>
      <w:r w:rsidRPr="00B44313">
        <w:rPr>
          <w:rFonts w:ascii="Arial" w:hAnsi="Arial" w:cs="Arial"/>
          <w:sz w:val="22"/>
          <w:szCs w:val="22"/>
        </w:rPr>
        <w:t>. Harlow: Pearson. Available at: https://www.pearson.com/en-gb/subject-catalog/p/research-methods-for-business-students/P200000006788/9781292208787 (Accessed: 08/02/2026).</w:t>
      </w:r>
    </w:p>
    <w:p w14:paraId="4301B7C1" w14:textId="60487247" w:rsidR="00F44477" w:rsidRPr="00B44313" w:rsidRDefault="00F44477" w:rsidP="00F44477">
      <w:pPr>
        <w:spacing w:after="0" w:line="360" w:lineRule="auto"/>
        <w:rPr>
          <w:rFonts w:ascii="Arial" w:hAnsi="Arial" w:cs="Arial"/>
          <w:sz w:val="22"/>
          <w:szCs w:val="22"/>
        </w:rPr>
      </w:pPr>
    </w:p>
    <w:p w14:paraId="33F33929" w14:textId="77777777" w:rsidR="00F44477" w:rsidRPr="00B44313" w:rsidRDefault="00F44477" w:rsidP="00F44477">
      <w:pPr>
        <w:spacing w:after="0" w:line="360" w:lineRule="auto"/>
        <w:rPr>
          <w:rFonts w:ascii="Arial" w:hAnsi="Arial" w:cs="Arial"/>
          <w:sz w:val="22"/>
          <w:szCs w:val="22"/>
        </w:rPr>
      </w:pPr>
      <w:r w:rsidRPr="00B44313">
        <w:rPr>
          <w:rFonts w:ascii="Arial" w:hAnsi="Arial" w:cs="Arial"/>
          <w:sz w:val="22"/>
          <w:szCs w:val="22"/>
        </w:rPr>
        <w:t xml:space="preserve">Sheng, M.L. (2020) ‘A dynamic capabilities-based framework of organizational sensemaking through combinative capabilities towards exploratory and exploitative product innovation in turbulent environments’, </w:t>
      </w:r>
      <w:r w:rsidRPr="00B44313">
        <w:rPr>
          <w:rFonts w:ascii="Arial" w:hAnsi="Arial" w:cs="Arial"/>
          <w:i/>
          <w:iCs/>
          <w:sz w:val="22"/>
          <w:szCs w:val="22"/>
        </w:rPr>
        <w:t>Industrial Marketing Management</w:t>
      </w:r>
      <w:r w:rsidRPr="00B44313">
        <w:rPr>
          <w:rFonts w:ascii="Arial" w:hAnsi="Arial" w:cs="Arial"/>
          <w:sz w:val="22"/>
          <w:szCs w:val="22"/>
        </w:rPr>
        <w:t>, 88, pp. 1–13. Available at: https://www.sciencedirect.com/science/article/pii/S0019850118304684 (Accessed: 06/02/2026).</w:t>
      </w:r>
    </w:p>
    <w:p w14:paraId="769D8806" w14:textId="77777777" w:rsidR="00D55C7D" w:rsidRPr="00B44313" w:rsidRDefault="00D55C7D" w:rsidP="00F44477">
      <w:pPr>
        <w:spacing w:after="0" w:line="360" w:lineRule="auto"/>
        <w:rPr>
          <w:rFonts w:ascii="Arial" w:hAnsi="Arial" w:cs="Arial"/>
          <w:sz w:val="22"/>
          <w:szCs w:val="22"/>
        </w:rPr>
      </w:pPr>
    </w:p>
    <w:p w14:paraId="65A43038" w14:textId="77777777" w:rsidR="00D55C7D" w:rsidRPr="00B44313" w:rsidRDefault="00D55C7D" w:rsidP="00D55C7D">
      <w:pPr>
        <w:spacing w:after="0" w:line="360" w:lineRule="auto"/>
        <w:rPr>
          <w:rFonts w:ascii="Arial" w:hAnsi="Arial" w:cs="Arial"/>
          <w:sz w:val="22"/>
          <w:szCs w:val="22"/>
        </w:rPr>
      </w:pPr>
      <w:r w:rsidRPr="00B44313">
        <w:rPr>
          <w:rFonts w:ascii="Arial" w:hAnsi="Arial" w:cs="Arial"/>
          <w:sz w:val="22"/>
          <w:szCs w:val="22"/>
        </w:rPr>
        <w:t xml:space="preserve">SMMT (2025) </w:t>
      </w:r>
      <w:r w:rsidRPr="00B44313">
        <w:rPr>
          <w:rFonts w:ascii="Arial" w:hAnsi="Arial" w:cs="Arial"/>
          <w:i/>
          <w:iCs/>
          <w:sz w:val="22"/>
          <w:szCs w:val="22"/>
        </w:rPr>
        <w:t>Full throttle to full charge</w:t>
      </w:r>
      <w:r w:rsidRPr="00B44313">
        <w:rPr>
          <w:rFonts w:ascii="Arial" w:hAnsi="Arial" w:cs="Arial"/>
          <w:sz w:val="22"/>
          <w:szCs w:val="22"/>
        </w:rPr>
        <w:t>. Available at: https://www.smmt.co.uk/reports/full-throttle-to-full-charge/ (Accessed: 02/02/2026).</w:t>
      </w:r>
    </w:p>
    <w:p w14:paraId="66DAB380" w14:textId="14783895" w:rsidR="00D55C7D" w:rsidRPr="00B44313" w:rsidRDefault="00D55C7D" w:rsidP="00D55C7D">
      <w:pPr>
        <w:spacing w:after="0" w:line="360" w:lineRule="auto"/>
        <w:rPr>
          <w:rFonts w:ascii="Arial" w:hAnsi="Arial" w:cs="Arial"/>
          <w:sz w:val="22"/>
          <w:szCs w:val="22"/>
        </w:rPr>
      </w:pPr>
    </w:p>
    <w:p w14:paraId="6F252990" w14:textId="77777777" w:rsidR="00D55C7D" w:rsidRPr="00B44313" w:rsidRDefault="00D55C7D" w:rsidP="00D55C7D">
      <w:pPr>
        <w:spacing w:after="0" w:line="360" w:lineRule="auto"/>
        <w:rPr>
          <w:rFonts w:ascii="Arial" w:hAnsi="Arial" w:cs="Arial"/>
          <w:sz w:val="22"/>
          <w:szCs w:val="22"/>
        </w:rPr>
      </w:pPr>
      <w:proofErr w:type="spellStart"/>
      <w:r w:rsidRPr="00B44313">
        <w:rPr>
          <w:rFonts w:ascii="Arial" w:hAnsi="Arial" w:cs="Arial"/>
          <w:sz w:val="22"/>
          <w:szCs w:val="22"/>
        </w:rPr>
        <w:t>Spieske</w:t>
      </w:r>
      <w:proofErr w:type="spellEnd"/>
      <w:r w:rsidRPr="00B44313">
        <w:rPr>
          <w:rFonts w:ascii="Arial" w:hAnsi="Arial" w:cs="Arial"/>
          <w:sz w:val="22"/>
          <w:szCs w:val="22"/>
        </w:rPr>
        <w:t xml:space="preserve">, A. and Birkel, H. (2021) ‘Improving supply chain resilience through Industry 4.0: A systematic literature review under the impressions of the COVID-19 pandemic’, </w:t>
      </w:r>
      <w:r w:rsidRPr="00B44313">
        <w:rPr>
          <w:rFonts w:ascii="Arial" w:hAnsi="Arial" w:cs="Arial"/>
          <w:i/>
          <w:iCs/>
          <w:sz w:val="22"/>
          <w:szCs w:val="22"/>
        </w:rPr>
        <w:t>Computers &amp; Industrial Engineering</w:t>
      </w:r>
      <w:r w:rsidRPr="00B44313">
        <w:rPr>
          <w:rFonts w:ascii="Arial" w:hAnsi="Arial" w:cs="Arial"/>
          <w:sz w:val="22"/>
          <w:szCs w:val="22"/>
        </w:rPr>
        <w:t>, 158, 107452. Available at: https://www.sciencedirect.com/science/article/pii/S036083522100452X (Accessed: 24/03/2026).</w:t>
      </w:r>
    </w:p>
    <w:p w14:paraId="7FB86102" w14:textId="631F5CE8" w:rsidR="00D55C7D" w:rsidRPr="00B44313" w:rsidRDefault="00D55C7D" w:rsidP="00D55C7D">
      <w:pPr>
        <w:spacing w:after="0" w:line="360" w:lineRule="auto"/>
        <w:rPr>
          <w:rFonts w:ascii="Arial" w:hAnsi="Arial" w:cs="Arial"/>
          <w:sz w:val="22"/>
          <w:szCs w:val="22"/>
        </w:rPr>
      </w:pPr>
    </w:p>
    <w:p w14:paraId="5F6E98EA" w14:textId="77777777" w:rsidR="00D55C7D" w:rsidRPr="00B44313" w:rsidRDefault="00D55C7D" w:rsidP="00D55C7D">
      <w:pPr>
        <w:spacing w:after="0" w:line="360" w:lineRule="auto"/>
        <w:rPr>
          <w:rFonts w:ascii="Arial" w:hAnsi="Arial" w:cs="Arial"/>
          <w:sz w:val="22"/>
          <w:szCs w:val="22"/>
        </w:rPr>
      </w:pPr>
      <w:proofErr w:type="spellStart"/>
      <w:r w:rsidRPr="00B44313">
        <w:rPr>
          <w:rFonts w:ascii="Arial" w:hAnsi="Arial" w:cs="Arial"/>
          <w:sz w:val="22"/>
          <w:szCs w:val="22"/>
        </w:rPr>
        <w:t>Spieske</w:t>
      </w:r>
      <w:proofErr w:type="spellEnd"/>
      <w:r w:rsidRPr="00B44313">
        <w:rPr>
          <w:rFonts w:ascii="Arial" w:hAnsi="Arial" w:cs="Arial"/>
          <w:sz w:val="22"/>
          <w:szCs w:val="22"/>
        </w:rPr>
        <w:t xml:space="preserve">, A. and Birkel, H. (2021) ‘Industry 4.0 and resilience’, </w:t>
      </w:r>
      <w:r w:rsidRPr="00B44313">
        <w:rPr>
          <w:rFonts w:ascii="Arial" w:hAnsi="Arial" w:cs="Arial"/>
          <w:i/>
          <w:iCs/>
          <w:sz w:val="22"/>
          <w:szCs w:val="22"/>
        </w:rPr>
        <w:t>Production Planning &amp; Control</w:t>
      </w:r>
      <w:r w:rsidRPr="00B44313">
        <w:rPr>
          <w:rFonts w:ascii="Arial" w:hAnsi="Arial" w:cs="Arial"/>
          <w:sz w:val="22"/>
          <w:szCs w:val="22"/>
        </w:rPr>
        <w:t xml:space="preserve">, 32(10), pp. 829–846. Available at: </w:t>
      </w:r>
      <w:hyperlink r:id="rId174" w:tgtFrame="_new" w:history="1">
        <w:r w:rsidRPr="00B44313">
          <w:rPr>
            <w:rStyle w:val="Hyperlink"/>
            <w:rFonts w:ascii="Arial" w:hAnsi="Arial" w:cs="Arial"/>
            <w:color w:val="auto"/>
            <w:sz w:val="22"/>
            <w:szCs w:val="22"/>
          </w:rPr>
          <w:t>https://www.tandfonline.com/doi/full/10.1080/09537287.2020.1810764</w:t>
        </w:r>
      </w:hyperlink>
      <w:r w:rsidRPr="00B44313">
        <w:rPr>
          <w:rFonts w:ascii="Arial" w:hAnsi="Arial" w:cs="Arial"/>
          <w:sz w:val="22"/>
          <w:szCs w:val="22"/>
        </w:rPr>
        <w:t xml:space="preserve"> (Accessed: 02/02/2026).</w:t>
      </w:r>
    </w:p>
    <w:p w14:paraId="30ED2758" w14:textId="453C13A3" w:rsidR="00D55C7D" w:rsidRPr="00B44313" w:rsidRDefault="00D55C7D" w:rsidP="00D55C7D">
      <w:pPr>
        <w:spacing w:after="0" w:line="360" w:lineRule="auto"/>
        <w:rPr>
          <w:rFonts w:ascii="Arial" w:hAnsi="Arial" w:cs="Arial"/>
          <w:sz w:val="22"/>
          <w:szCs w:val="22"/>
        </w:rPr>
      </w:pPr>
    </w:p>
    <w:p w14:paraId="150B28BF" w14:textId="77777777" w:rsidR="00D55C7D" w:rsidRPr="00B44313" w:rsidRDefault="00D55C7D" w:rsidP="00D55C7D">
      <w:pPr>
        <w:spacing w:after="0" w:line="360" w:lineRule="auto"/>
        <w:rPr>
          <w:rFonts w:ascii="Arial" w:hAnsi="Arial" w:cs="Arial"/>
          <w:sz w:val="22"/>
          <w:szCs w:val="22"/>
        </w:rPr>
      </w:pPr>
      <w:proofErr w:type="spellStart"/>
      <w:r w:rsidRPr="00B44313">
        <w:rPr>
          <w:rFonts w:ascii="Arial" w:hAnsi="Arial" w:cs="Arial"/>
          <w:sz w:val="22"/>
          <w:szCs w:val="22"/>
        </w:rPr>
        <w:t>Spieske</w:t>
      </w:r>
      <w:proofErr w:type="spellEnd"/>
      <w:r w:rsidRPr="00B44313">
        <w:rPr>
          <w:rFonts w:ascii="Arial" w:hAnsi="Arial" w:cs="Arial"/>
          <w:sz w:val="22"/>
          <w:szCs w:val="22"/>
        </w:rPr>
        <w:t xml:space="preserve">, A., Gebhardt, M., Kopyto, H., Birkel, H. and Hartmann, E. (2023) ‘The future of Industry 4.0 and supply chain resilience after the COVID-19 pandemic: Empirical evidence from a Delphi study’, </w:t>
      </w:r>
      <w:r w:rsidRPr="00B44313">
        <w:rPr>
          <w:rFonts w:ascii="Arial" w:hAnsi="Arial" w:cs="Arial"/>
          <w:i/>
          <w:iCs/>
          <w:sz w:val="22"/>
          <w:szCs w:val="22"/>
        </w:rPr>
        <w:t>Computers &amp; Industrial Engineering</w:t>
      </w:r>
      <w:r w:rsidRPr="00B44313">
        <w:rPr>
          <w:rFonts w:ascii="Arial" w:hAnsi="Arial" w:cs="Arial"/>
          <w:sz w:val="22"/>
          <w:szCs w:val="22"/>
        </w:rPr>
        <w:t>, 181, 109344. Available at: https://www.sciencedirect.com/science/article/pii/S0360835223003448 (Accessed: 25/03/2026).</w:t>
      </w:r>
    </w:p>
    <w:p w14:paraId="6826EFB1" w14:textId="2CCA2883" w:rsidR="00D55C7D" w:rsidRPr="00B44313" w:rsidRDefault="00D55C7D" w:rsidP="00D55C7D">
      <w:pPr>
        <w:spacing w:after="0" w:line="360" w:lineRule="auto"/>
        <w:rPr>
          <w:rFonts w:ascii="Arial" w:hAnsi="Arial" w:cs="Arial"/>
          <w:sz w:val="22"/>
          <w:szCs w:val="22"/>
        </w:rPr>
      </w:pPr>
    </w:p>
    <w:p w14:paraId="38C63E01" w14:textId="77777777" w:rsidR="00D55C7D" w:rsidRPr="00B44313" w:rsidRDefault="00D55C7D" w:rsidP="00D55C7D">
      <w:pPr>
        <w:spacing w:after="0" w:line="360" w:lineRule="auto"/>
        <w:rPr>
          <w:rFonts w:ascii="Arial" w:hAnsi="Arial" w:cs="Arial"/>
          <w:sz w:val="22"/>
          <w:szCs w:val="22"/>
        </w:rPr>
      </w:pPr>
      <w:r w:rsidRPr="00B44313">
        <w:rPr>
          <w:rFonts w:ascii="Arial" w:hAnsi="Arial" w:cs="Arial"/>
          <w:sz w:val="22"/>
          <w:szCs w:val="22"/>
        </w:rPr>
        <w:t xml:space="preserve">Stackpole, B. (2022) ‘Transport network shocks and supply chain impacts’, </w:t>
      </w:r>
      <w:r w:rsidRPr="00B44313">
        <w:rPr>
          <w:rFonts w:ascii="Arial" w:hAnsi="Arial" w:cs="Arial"/>
          <w:i/>
          <w:iCs/>
          <w:sz w:val="22"/>
          <w:szCs w:val="22"/>
        </w:rPr>
        <w:t>Transport Economics Journal</w:t>
      </w:r>
      <w:r w:rsidRPr="00B44313">
        <w:rPr>
          <w:rFonts w:ascii="Arial" w:hAnsi="Arial" w:cs="Arial"/>
          <w:sz w:val="22"/>
          <w:szCs w:val="22"/>
        </w:rPr>
        <w:t>, 18(4), pp. 99–118. Available at: https://transport-econ-journal.org/article/transport-network-shocks-supply-chain-impacts (Accessed: 08/02/2026).</w:t>
      </w:r>
    </w:p>
    <w:p w14:paraId="28458B00" w14:textId="6280EA53" w:rsidR="00D55C7D" w:rsidRPr="00B44313" w:rsidRDefault="00D55C7D" w:rsidP="00D55C7D">
      <w:pPr>
        <w:spacing w:after="0" w:line="360" w:lineRule="auto"/>
        <w:rPr>
          <w:rFonts w:ascii="Arial" w:hAnsi="Arial" w:cs="Arial"/>
          <w:sz w:val="22"/>
          <w:szCs w:val="22"/>
        </w:rPr>
      </w:pPr>
    </w:p>
    <w:p w14:paraId="0EF2424A" w14:textId="77777777" w:rsidR="00D55C7D" w:rsidRPr="00B44313" w:rsidRDefault="00D55C7D" w:rsidP="00D55C7D">
      <w:pPr>
        <w:spacing w:after="0" w:line="360" w:lineRule="auto"/>
        <w:rPr>
          <w:rFonts w:ascii="Arial" w:hAnsi="Arial" w:cs="Arial"/>
          <w:sz w:val="22"/>
          <w:szCs w:val="22"/>
        </w:rPr>
      </w:pPr>
      <w:r w:rsidRPr="00B44313">
        <w:rPr>
          <w:rFonts w:ascii="Arial" w:hAnsi="Arial" w:cs="Arial"/>
          <w:sz w:val="22"/>
          <w:szCs w:val="22"/>
        </w:rPr>
        <w:lastRenderedPageBreak/>
        <w:t xml:space="preserve">Teece, D.J. (2007) ‘Dynamic capabilities’, </w:t>
      </w:r>
      <w:r w:rsidRPr="00B44313">
        <w:rPr>
          <w:rFonts w:ascii="Arial" w:hAnsi="Arial" w:cs="Arial"/>
          <w:i/>
          <w:iCs/>
          <w:sz w:val="22"/>
          <w:szCs w:val="22"/>
        </w:rPr>
        <w:t>Strategic Management Journal</w:t>
      </w:r>
      <w:r w:rsidRPr="00B44313">
        <w:rPr>
          <w:rFonts w:ascii="Arial" w:hAnsi="Arial" w:cs="Arial"/>
          <w:sz w:val="22"/>
          <w:szCs w:val="22"/>
        </w:rPr>
        <w:t>, 28(13), pp. 1319–1350. Available at: https://onlinelibrary.wiley.com/doi/full/10.1002/smj.640 (Accessed: 05/02/2026).</w:t>
      </w:r>
    </w:p>
    <w:p w14:paraId="7322F280" w14:textId="77777777" w:rsidR="00D55C7D" w:rsidRPr="00B44313" w:rsidRDefault="00D55C7D" w:rsidP="00A92367">
      <w:pPr>
        <w:spacing w:after="0" w:line="360" w:lineRule="auto"/>
        <w:rPr>
          <w:rFonts w:ascii="Arial" w:hAnsi="Arial" w:cs="Arial"/>
          <w:sz w:val="22"/>
          <w:szCs w:val="22"/>
        </w:rPr>
      </w:pPr>
    </w:p>
    <w:p w14:paraId="5AE406B5" w14:textId="77777777" w:rsidR="001D2D09" w:rsidRPr="00B44313" w:rsidRDefault="001D2D09" w:rsidP="001D2D09">
      <w:pPr>
        <w:spacing w:after="0" w:line="360" w:lineRule="auto"/>
        <w:rPr>
          <w:rFonts w:ascii="Arial" w:hAnsi="Arial" w:cs="Arial"/>
          <w:sz w:val="22"/>
          <w:szCs w:val="22"/>
        </w:rPr>
      </w:pPr>
      <w:r w:rsidRPr="00B44313">
        <w:rPr>
          <w:rFonts w:ascii="Arial" w:hAnsi="Arial" w:cs="Arial"/>
          <w:sz w:val="22"/>
          <w:szCs w:val="22"/>
        </w:rPr>
        <w:t xml:space="preserve">Teece, D.J. (2007) ‘Explicating dynamic capabilities: The nature and </w:t>
      </w:r>
      <w:proofErr w:type="spellStart"/>
      <w:r w:rsidRPr="00B44313">
        <w:rPr>
          <w:rFonts w:ascii="Arial" w:hAnsi="Arial" w:cs="Arial"/>
          <w:sz w:val="22"/>
          <w:szCs w:val="22"/>
        </w:rPr>
        <w:t>microfoundations</w:t>
      </w:r>
      <w:proofErr w:type="spellEnd"/>
      <w:r w:rsidRPr="00B44313">
        <w:rPr>
          <w:rFonts w:ascii="Arial" w:hAnsi="Arial" w:cs="Arial"/>
          <w:sz w:val="22"/>
          <w:szCs w:val="22"/>
        </w:rPr>
        <w:t xml:space="preserve"> of (sustainable) enterprise performance’, </w:t>
      </w:r>
      <w:r w:rsidRPr="00B44313">
        <w:rPr>
          <w:rFonts w:ascii="Arial" w:hAnsi="Arial" w:cs="Arial"/>
          <w:i/>
          <w:iCs/>
          <w:sz w:val="22"/>
          <w:szCs w:val="22"/>
        </w:rPr>
        <w:t>Strategic Management Journal</w:t>
      </w:r>
      <w:r w:rsidRPr="00B44313">
        <w:rPr>
          <w:rFonts w:ascii="Arial" w:hAnsi="Arial" w:cs="Arial"/>
          <w:sz w:val="22"/>
          <w:szCs w:val="22"/>
        </w:rPr>
        <w:t>, 28(13), pp. 1319–1350. Available at: https://onlinelibrary.wiley.com/doi/full/10.1002/smj.640 (Accessed: 08/02/2026).</w:t>
      </w:r>
    </w:p>
    <w:p w14:paraId="78E2384C" w14:textId="196A9D28" w:rsidR="001D2D09" w:rsidRPr="00B44313" w:rsidRDefault="001D2D09" w:rsidP="001D2D09">
      <w:pPr>
        <w:spacing w:after="0" w:line="360" w:lineRule="auto"/>
        <w:rPr>
          <w:rFonts w:ascii="Arial" w:hAnsi="Arial" w:cs="Arial"/>
          <w:sz w:val="22"/>
          <w:szCs w:val="22"/>
        </w:rPr>
      </w:pPr>
    </w:p>
    <w:p w14:paraId="1996C70E" w14:textId="77777777" w:rsidR="001D2D09" w:rsidRPr="00B44313" w:rsidRDefault="001D2D09" w:rsidP="001D2D09">
      <w:pPr>
        <w:spacing w:after="0" w:line="360" w:lineRule="auto"/>
        <w:rPr>
          <w:rFonts w:ascii="Arial" w:hAnsi="Arial" w:cs="Arial"/>
          <w:sz w:val="22"/>
          <w:szCs w:val="22"/>
        </w:rPr>
      </w:pPr>
      <w:r w:rsidRPr="00B44313">
        <w:rPr>
          <w:rFonts w:ascii="Arial" w:hAnsi="Arial" w:cs="Arial"/>
          <w:sz w:val="22"/>
          <w:szCs w:val="22"/>
        </w:rPr>
        <w:t xml:space="preserve">Tortorella, G.L., Fogliatto, F.S., Gao, S. and Chan, T.K. (2022) ‘Contributions of Industry 4.0 to supply chain resilience’, </w:t>
      </w:r>
      <w:r w:rsidRPr="00B44313">
        <w:rPr>
          <w:rFonts w:ascii="Arial" w:hAnsi="Arial" w:cs="Arial"/>
          <w:i/>
          <w:iCs/>
          <w:sz w:val="22"/>
          <w:szCs w:val="22"/>
        </w:rPr>
        <w:t>International Journal of Logistics Management</w:t>
      </w:r>
      <w:r w:rsidRPr="00B44313">
        <w:rPr>
          <w:rFonts w:ascii="Arial" w:hAnsi="Arial" w:cs="Arial"/>
          <w:sz w:val="22"/>
          <w:szCs w:val="22"/>
        </w:rPr>
        <w:t>, 33(2), pp. 547–566. Available at: https://www.emerald.com/insight/content/doi/10.1108/IJLM-02-2021-0128/full/html (Accessed: 22/03/2026).</w:t>
      </w:r>
    </w:p>
    <w:p w14:paraId="0432B54B" w14:textId="77777777" w:rsidR="001D2D09" w:rsidRPr="00B44313" w:rsidRDefault="001D2D09" w:rsidP="001D2D09">
      <w:pPr>
        <w:spacing w:after="0" w:line="360" w:lineRule="auto"/>
        <w:rPr>
          <w:rFonts w:ascii="Arial" w:hAnsi="Arial" w:cs="Arial"/>
          <w:sz w:val="22"/>
          <w:szCs w:val="22"/>
        </w:rPr>
      </w:pPr>
    </w:p>
    <w:p w14:paraId="622890CC"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(2019)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5"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43F1A848" w14:textId="77777777" w:rsidR="00003DF9" w:rsidRPr="00B44313" w:rsidRDefault="00003DF9" w:rsidP="00DF2A8B">
      <w:pPr>
        <w:spacing w:after="0" w:line="360" w:lineRule="auto"/>
        <w:rPr>
          <w:rFonts w:ascii="Arial" w:hAnsi="Arial" w:cs="Arial"/>
          <w:sz w:val="22"/>
          <w:szCs w:val="22"/>
        </w:rPr>
      </w:pPr>
    </w:p>
    <w:p w14:paraId="4947CEFB"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(2020)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6"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0C36848A" w14:textId="77777777" w:rsidR="00003DF9" w:rsidRPr="00B44313" w:rsidRDefault="00003DF9" w:rsidP="00DF2A8B">
      <w:pPr>
        <w:spacing w:after="0" w:line="360" w:lineRule="auto"/>
        <w:rPr>
          <w:rFonts w:ascii="Arial" w:hAnsi="Arial" w:cs="Arial"/>
          <w:sz w:val="22"/>
          <w:szCs w:val="22"/>
        </w:rPr>
      </w:pPr>
    </w:p>
    <w:p w14:paraId="62DC4A19"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(2021)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7"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3E7301C1" w14:textId="77777777" w:rsidR="00003DF9" w:rsidRPr="00B44313" w:rsidRDefault="00003DF9" w:rsidP="00DF2A8B">
      <w:pPr>
        <w:spacing w:after="0" w:line="360" w:lineRule="auto"/>
        <w:rPr>
          <w:rFonts w:ascii="Arial" w:hAnsi="Arial" w:cs="Arial"/>
          <w:sz w:val="22"/>
          <w:szCs w:val="22"/>
        </w:rPr>
      </w:pPr>
    </w:p>
    <w:p w14:paraId="381395E5"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(2022)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8"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5DD26339" w14:textId="77777777" w:rsidR="00003DF9" w:rsidRPr="00B44313" w:rsidRDefault="00003DF9" w:rsidP="00DF2A8B">
      <w:pPr>
        <w:spacing w:after="0" w:line="360" w:lineRule="auto"/>
        <w:rPr>
          <w:rFonts w:ascii="Arial" w:hAnsi="Arial" w:cs="Arial"/>
          <w:sz w:val="22"/>
          <w:szCs w:val="22"/>
        </w:rPr>
      </w:pPr>
    </w:p>
    <w:p w14:paraId="626A52D9"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(2023)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79"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79E051B3" w14:textId="77777777" w:rsidR="00003DF9" w:rsidRPr="00B44313" w:rsidRDefault="00003DF9" w:rsidP="00DF2A8B">
      <w:pPr>
        <w:spacing w:after="0" w:line="360" w:lineRule="auto"/>
        <w:rPr>
          <w:rFonts w:ascii="Arial" w:hAnsi="Arial" w:cs="Arial"/>
          <w:sz w:val="22"/>
          <w:szCs w:val="22"/>
        </w:rPr>
      </w:pPr>
    </w:p>
    <w:p w14:paraId="23F934D0" w14:textId="77777777" w:rsidR="003F7258" w:rsidRPr="00B44313" w:rsidRDefault="003F7258" w:rsidP="00DF2A8B">
      <w:pPr>
        <w:spacing w:after="0" w:line="360" w:lineRule="auto"/>
        <w:rPr>
          <w:rFonts w:ascii="Arial" w:hAnsi="Arial" w:cs="Arial"/>
          <w:sz w:val="22"/>
          <w:szCs w:val="22"/>
        </w:rPr>
      </w:pPr>
      <w:r w:rsidRPr="00B44313">
        <w:rPr>
          <w:rFonts w:ascii="Arial" w:hAnsi="Arial" w:cs="Arial"/>
          <w:sz w:val="22"/>
          <w:szCs w:val="22"/>
        </w:rPr>
        <w:t xml:space="preserve">Toyota Motor Manufacturing (UK) Limited (2024) </w:t>
      </w:r>
      <w:r w:rsidRPr="00B44313">
        <w:rPr>
          <w:rFonts w:ascii="Arial" w:hAnsi="Arial" w:cs="Arial"/>
          <w:i/>
          <w:iCs/>
          <w:sz w:val="22"/>
          <w:szCs w:val="22"/>
        </w:rPr>
        <w:t>Filing history - Find and update company information</w:t>
      </w:r>
      <w:r w:rsidRPr="00B44313">
        <w:rPr>
          <w:rFonts w:ascii="Arial" w:hAnsi="Arial" w:cs="Arial"/>
          <w:sz w:val="22"/>
          <w:szCs w:val="22"/>
        </w:rPr>
        <w:t xml:space="preserve">. GOV.UK. Available at: </w:t>
      </w:r>
      <w:hyperlink r:id="rId180" w:tgtFrame="_new" w:history="1">
        <w:r w:rsidRPr="00B44313">
          <w:rPr>
            <w:rStyle w:val="Hyperlink"/>
            <w:rFonts w:ascii="Arial" w:hAnsi="Arial" w:cs="Arial"/>
            <w:color w:val="auto"/>
            <w:sz w:val="22"/>
            <w:szCs w:val="22"/>
          </w:rPr>
          <w:t>https://find-and-update.company-information.service.gov.uk/company/02352348/filing-history</w:t>
        </w:r>
      </w:hyperlink>
      <w:r w:rsidRPr="00B44313">
        <w:rPr>
          <w:rFonts w:ascii="Arial" w:hAnsi="Arial" w:cs="Arial"/>
          <w:sz w:val="22"/>
          <w:szCs w:val="22"/>
        </w:rPr>
        <w:t xml:space="preserve"> (Accessed: 13/02/2026).</w:t>
      </w:r>
    </w:p>
    <w:p w14:paraId="4DF88D72" w14:textId="77777777" w:rsidR="007B467A" w:rsidRPr="00B44313" w:rsidRDefault="007B467A" w:rsidP="007B467A">
      <w:pPr>
        <w:spacing w:after="0" w:line="360" w:lineRule="auto"/>
        <w:rPr>
          <w:rFonts w:ascii="Arial" w:hAnsi="Arial" w:cs="Arial"/>
          <w:sz w:val="22"/>
          <w:szCs w:val="22"/>
        </w:rPr>
      </w:pPr>
      <w:r w:rsidRPr="00B44313">
        <w:rPr>
          <w:rFonts w:ascii="Arial" w:hAnsi="Arial" w:cs="Arial"/>
          <w:sz w:val="22"/>
          <w:szCs w:val="22"/>
        </w:rPr>
        <w:lastRenderedPageBreak/>
        <w:t xml:space="preserve">Tripathy, J.P. (2013) ‘Secondary data analysis: Ethical issues and challenges’, </w:t>
      </w:r>
      <w:r w:rsidRPr="00B44313">
        <w:rPr>
          <w:rFonts w:ascii="Arial" w:hAnsi="Arial" w:cs="Arial"/>
          <w:i/>
          <w:iCs/>
          <w:sz w:val="22"/>
          <w:szCs w:val="22"/>
        </w:rPr>
        <w:t>Iranian Journal of Public Health</w:t>
      </w:r>
      <w:r w:rsidRPr="00B44313">
        <w:rPr>
          <w:rFonts w:ascii="Arial" w:hAnsi="Arial" w:cs="Arial"/>
          <w:sz w:val="22"/>
          <w:szCs w:val="22"/>
        </w:rPr>
        <w:t xml:space="preserve">, 42(12), pp. 1478–1479. Available at: </w:t>
      </w:r>
      <w:hyperlink r:id="rId181" w:tgtFrame="_new" w:history="1">
        <w:r w:rsidRPr="00B44313">
          <w:rPr>
            <w:rStyle w:val="Hyperlink"/>
            <w:rFonts w:ascii="Arial" w:hAnsi="Arial" w:cs="Arial"/>
            <w:color w:val="auto"/>
            <w:sz w:val="22"/>
            <w:szCs w:val="22"/>
          </w:rPr>
          <w:t>https://www.ncbi.nlm.nih.gov/pmc/articles/PMC4441947/</w:t>
        </w:r>
      </w:hyperlink>
      <w:r w:rsidRPr="00B44313">
        <w:rPr>
          <w:rFonts w:ascii="Arial" w:hAnsi="Arial" w:cs="Arial"/>
          <w:sz w:val="22"/>
          <w:szCs w:val="22"/>
        </w:rPr>
        <w:t xml:space="preserve"> (Accessed: 27/03/2026).</w:t>
      </w:r>
    </w:p>
    <w:p w14:paraId="5357300B" w14:textId="6F61D150" w:rsidR="007B467A" w:rsidRPr="00B44313" w:rsidRDefault="007B467A" w:rsidP="007B467A">
      <w:pPr>
        <w:spacing w:after="0" w:line="360" w:lineRule="auto"/>
        <w:rPr>
          <w:rFonts w:ascii="Arial" w:hAnsi="Arial" w:cs="Arial"/>
          <w:sz w:val="22"/>
          <w:szCs w:val="22"/>
        </w:rPr>
      </w:pPr>
    </w:p>
    <w:p w14:paraId="52DB09D6" w14:textId="77777777" w:rsidR="007B467A" w:rsidRPr="00B44313" w:rsidRDefault="007B467A" w:rsidP="007B467A">
      <w:pPr>
        <w:spacing w:after="0" w:line="360" w:lineRule="auto"/>
        <w:rPr>
          <w:rFonts w:ascii="Arial" w:hAnsi="Arial" w:cs="Arial"/>
          <w:sz w:val="22"/>
          <w:szCs w:val="22"/>
        </w:rPr>
      </w:pPr>
      <w:r w:rsidRPr="00B44313">
        <w:rPr>
          <w:rFonts w:ascii="Arial" w:hAnsi="Arial" w:cs="Arial"/>
          <w:sz w:val="22"/>
          <w:szCs w:val="22"/>
        </w:rPr>
        <w:t xml:space="preserve">Turner, N., Aitken, J. and Bozarth, C. (2018) ‘A framework for understanding managerial responses to supply chain complexity’, </w:t>
      </w:r>
      <w:r w:rsidRPr="00B44313">
        <w:rPr>
          <w:rFonts w:ascii="Arial" w:hAnsi="Arial" w:cs="Arial"/>
          <w:i/>
          <w:iCs/>
          <w:sz w:val="22"/>
          <w:szCs w:val="22"/>
        </w:rPr>
        <w:t>International Journal of Operations &amp; Production Management</w:t>
      </w:r>
      <w:r w:rsidRPr="00B44313">
        <w:rPr>
          <w:rFonts w:ascii="Arial" w:hAnsi="Arial" w:cs="Arial"/>
          <w:sz w:val="22"/>
          <w:szCs w:val="22"/>
        </w:rPr>
        <w:t>, 38(6), pp. 1433–1466. Available at: https://www.emerald.com/insight/content/doi/10.1108/IJOPM-01-2017-0006/full/html (Accessed: 22/03/2026).</w:t>
      </w:r>
    </w:p>
    <w:p w14:paraId="3815298A" w14:textId="16A7D3CA" w:rsidR="007B467A" w:rsidRPr="00B44313" w:rsidRDefault="007B467A" w:rsidP="007B467A">
      <w:pPr>
        <w:spacing w:after="0" w:line="360" w:lineRule="auto"/>
        <w:rPr>
          <w:rFonts w:ascii="Arial" w:hAnsi="Arial" w:cs="Arial"/>
          <w:sz w:val="22"/>
          <w:szCs w:val="22"/>
        </w:rPr>
      </w:pPr>
    </w:p>
    <w:p w14:paraId="1EE761F6" w14:textId="77777777" w:rsidR="007B467A" w:rsidRPr="00B44313" w:rsidRDefault="007B467A" w:rsidP="007B467A">
      <w:pPr>
        <w:spacing w:after="0" w:line="360" w:lineRule="auto"/>
        <w:rPr>
          <w:rFonts w:ascii="Arial" w:hAnsi="Arial" w:cs="Arial"/>
          <w:sz w:val="22"/>
          <w:szCs w:val="22"/>
        </w:rPr>
      </w:pPr>
      <w:r w:rsidRPr="00B44313">
        <w:rPr>
          <w:rFonts w:ascii="Arial" w:hAnsi="Arial" w:cs="Arial"/>
          <w:sz w:val="22"/>
          <w:szCs w:val="22"/>
        </w:rPr>
        <w:t xml:space="preserve">UN Comtrade (2024) </w:t>
      </w:r>
      <w:r w:rsidRPr="00B44313">
        <w:rPr>
          <w:rFonts w:ascii="Arial" w:hAnsi="Arial" w:cs="Arial"/>
          <w:i/>
          <w:iCs/>
          <w:sz w:val="22"/>
          <w:szCs w:val="22"/>
        </w:rPr>
        <w:t>International trade database</w:t>
      </w:r>
      <w:r w:rsidRPr="00B44313">
        <w:rPr>
          <w:rFonts w:ascii="Arial" w:hAnsi="Arial" w:cs="Arial"/>
          <w:sz w:val="22"/>
          <w:szCs w:val="22"/>
        </w:rPr>
        <w:t xml:space="preserve">. Available at: </w:t>
      </w:r>
      <w:hyperlink r:id="rId182" w:tgtFrame="_new" w:history="1">
        <w:r w:rsidRPr="00B44313">
          <w:rPr>
            <w:rStyle w:val="Hyperlink"/>
            <w:rFonts w:ascii="Arial" w:hAnsi="Arial" w:cs="Arial"/>
            <w:color w:val="auto"/>
            <w:sz w:val="22"/>
            <w:szCs w:val="22"/>
          </w:rPr>
          <w:t>https://comtrade.un.org</w:t>
        </w:r>
      </w:hyperlink>
      <w:r w:rsidRPr="00B44313">
        <w:rPr>
          <w:rFonts w:ascii="Arial" w:hAnsi="Arial" w:cs="Arial"/>
          <w:sz w:val="22"/>
          <w:szCs w:val="22"/>
        </w:rPr>
        <w:t xml:space="preserve"> (Accessed: 20/03/2026).</w:t>
      </w:r>
    </w:p>
    <w:p w14:paraId="2DA5D124" w14:textId="3F74AB3F" w:rsidR="007B467A" w:rsidRPr="00B44313" w:rsidRDefault="007B467A" w:rsidP="007B467A">
      <w:pPr>
        <w:spacing w:after="0" w:line="360" w:lineRule="auto"/>
        <w:rPr>
          <w:rFonts w:ascii="Arial" w:hAnsi="Arial" w:cs="Arial"/>
          <w:sz w:val="22"/>
          <w:szCs w:val="22"/>
        </w:rPr>
      </w:pPr>
    </w:p>
    <w:p w14:paraId="7C5DD43F" w14:textId="303FA759" w:rsidR="007B467A" w:rsidRPr="00B44313" w:rsidRDefault="007B467A" w:rsidP="006F70F4">
      <w:pPr>
        <w:spacing w:after="0" w:line="360" w:lineRule="auto"/>
        <w:rPr>
          <w:rFonts w:ascii="Arial" w:hAnsi="Arial" w:cs="Arial"/>
          <w:sz w:val="22"/>
          <w:szCs w:val="22"/>
        </w:rPr>
      </w:pPr>
      <w:r w:rsidRPr="00B44313">
        <w:rPr>
          <w:rFonts w:ascii="Arial" w:hAnsi="Arial" w:cs="Arial"/>
          <w:sz w:val="22"/>
          <w:szCs w:val="22"/>
        </w:rPr>
        <w:t xml:space="preserve">UNCTAD (2024) </w:t>
      </w:r>
      <w:r w:rsidRPr="00B44313">
        <w:rPr>
          <w:rFonts w:ascii="Arial" w:hAnsi="Arial" w:cs="Arial"/>
          <w:i/>
          <w:iCs/>
          <w:sz w:val="22"/>
          <w:szCs w:val="22"/>
        </w:rPr>
        <w:t>UN trade and development statistics</w:t>
      </w:r>
      <w:r w:rsidRPr="00B44313">
        <w:rPr>
          <w:rFonts w:ascii="Arial" w:hAnsi="Arial" w:cs="Arial"/>
          <w:sz w:val="22"/>
          <w:szCs w:val="22"/>
        </w:rPr>
        <w:t xml:space="preserve">. Available at: </w:t>
      </w:r>
      <w:hyperlink r:id="rId183" w:tgtFrame="_new" w:history="1">
        <w:r w:rsidRPr="00B44313">
          <w:rPr>
            <w:rStyle w:val="Hyperlink"/>
            <w:rFonts w:ascii="Arial" w:hAnsi="Arial" w:cs="Arial"/>
            <w:color w:val="auto"/>
            <w:sz w:val="22"/>
            <w:szCs w:val="22"/>
          </w:rPr>
          <w:t>https://unctad.org</w:t>
        </w:r>
      </w:hyperlink>
      <w:r w:rsidRPr="00B44313">
        <w:rPr>
          <w:rFonts w:ascii="Arial" w:hAnsi="Arial" w:cs="Arial"/>
          <w:sz w:val="22"/>
          <w:szCs w:val="22"/>
        </w:rPr>
        <w:t xml:space="preserve"> (Accessed: 21/03/2026).</w:t>
      </w:r>
    </w:p>
    <w:p w14:paraId="5FD911C2" w14:textId="77777777" w:rsidR="007B467A" w:rsidRPr="00B44313" w:rsidRDefault="007B467A" w:rsidP="006F70F4">
      <w:pPr>
        <w:spacing w:after="0" w:line="360" w:lineRule="auto"/>
        <w:rPr>
          <w:rFonts w:ascii="Arial" w:hAnsi="Arial" w:cs="Arial"/>
          <w:b/>
          <w:bCs/>
          <w:sz w:val="22"/>
          <w:szCs w:val="22"/>
        </w:rPr>
      </w:pPr>
    </w:p>
    <w:p w14:paraId="46834315" w14:textId="36A48041"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t xml:space="preserve">Vauxhall Motors Limited (2019)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4"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6BD0EDF2" w14:textId="77777777" w:rsidR="00DE1A0B" w:rsidRPr="00B44313" w:rsidRDefault="00DE1A0B" w:rsidP="006F70F4">
      <w:pPr>
        <w:spacing w:after="0" w:line="360" w:lineRule="auto"/>
        <w:rPr>
          <w:rFonts w:ascii="Arial" w:hAnsi="Arial" w:cs="Arial"/>
          <w:sz w:val="22"/>
          <w:szCs w:val="22"/>
        </w:rPr>
      </w:pPr>
    </w:p>
    <w:p w14:paraId="34B15A11" w14:textId="77777777"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t xml:space="preserve">Vauxhall Motors Limited (2020)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5"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7FF63469" w14:textId="77777777" w:rsidR="00DE1A0B" w:rsidRPr="00B44313" w:rsidRDefault="00DE1A0B" w:rsidP="006F70F4">
      <w:pPr>
        <w:spacing w:after="0" w:line="360" w:lineRule="auto"/>
        <w:rPr>
          <w:rFonts w:ascii="Arial" w:hAnsi="Arial" w:cs="Arial"/>
          <w:sz w:val="22"/>
          <w:szCs w:val="22"/>
        </w:rPr>
      </w:pPr>
    </w:p>
    <w:p w14:paraId="12D90510" w14:textId="77777777"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t xml:space="preserve">Vauxhall Motors Limited (2021)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6"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405EF114" w14:textId="77777777" w:rsidR="00DE1A0B" w:rsidRPr="00B44313" w:rsidRDefault="00DE1A0B" w:rsidP="006F70F4">
      <w:pPr>
        <w:spacing w:after="0" w:line="360" w:lineRule="auto"/>
        <w:rPr>
          <w:rFonts w:ascii="Arial" w:hAnsi="Arial" w:cs="Arial"/>
          <w:sz w:val="22"/>
          <w:szCs w:val="22"/>
        </w:rPr>
      </w:pPr>
    </w:p>
    <w:p w14:paraId="2AA3E3D9" w14:textId="77777777"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t xml:space="preserve">Vauxhall Motors Limited (2022)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7"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3A251B21" w14:textId="77777777" w:rsidR="00DE1A0B" w:rsidRPr="00B44313" w:rsidRDefault="00DE1A0B" w:rsidP="006F70F4">
      <w:pPr>
        <w:spacing w:after="0" w:line="360" w:lineRule="auto"/>
        <w:rPr>
          <w:rFonts w:ascii="Arial" w:hAnsi="Arial" w:cs="Arial"/>
          <w:sz w:val="22"/>
          <w:szCs w:val="22"/>
        </w:rPr>
      </w:pPr>
    </w:p>
    <w:p w14:paraId="6C68B5AD" w14:textId="77777777"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t xml:space="preserve">Vauxhall Motors Limited (2023)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8"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45C26998" w14:textId="77777777" w:rsidR="00DE1A0B" w:rsidRPr="00B44313" w:rsidRDefault="00DE1A0B" w:rsidP="006F70F4">
      <w:pPr>
        <w:spacing w:after="0" w:line="360" w:lineRule="auto"/>
        <w:rPr>
          <w:rFonts w:ascii="Arial" w:hAnsi="Arial" w:cs="Arial"/>
          <w:sz w:val="22"/>
          <w:szCs w:val="22"/>
        </w:rPr>
      </w:pPr>
    </w:p>
    <w:p w14:paraId="080E9062" w14:textId="77777777" w:rsidR="003F7258" w:rsidRPr="00B44313" w:rsidRDefault="003F7258" w:rsidP="006F70F4">
      <w:pPr>
        <w:spacing w:after="0" w:line="360" w:lineRule="auto"/>
        <w:rPr>
          <w:rFonts w:ascii="Arial" w:hAnsi="Arial" w:cs="Arial"/>
          <w:sz w:val="22"/>
          <w:szCs w:val="22"/>
        </w:rPr>
      </w:pPr>
      <w:r w:rsidRPr="00B44313">
        <w:rPr>
          <w:rFonts w:ascii="Arial" w:hAnsi="Arial" w:cs="Arial"/>
          <w:sz w:val="22"/>
          <w:szCs w:val="22"/>
        </w:rPr>
        <w:lastRenderedPageBreak/>
        <w:t xml:space="preserve">Vauxhall Motors Limited (2024) </w:t>
      </w:r>
      <w:r w:rsidRPr="00B44313">
        <w:rPr>
          <w:rFonts w:ascii="Arial" w:hAnsi="Arial" w:cs="Arial"/>
          <w:i/>
          <w:iCs/>
          <w:sz w:val="22"/>
          <w:szCs w:val="22"/>
        </w:rPr>
        <w:t>Overview - Find and update company information</w:t>
      </w:r>
      <w:r w:rsidRPr="00B44313">
        <w:rPr>
          <w:rFonts w:ascii="Arial" w:hAnsi="Arial" w:cs="Arial"/>
          <w:sz w:val="22"/>
          <w:szCs w:val="22"/>
        </w:rPr>
        <w:t xml:space="preserve">. GOV.UK. Available at: </w:t>
      </w:r>
      <w:hyperlink r:id="rId189" w:tgtFrame="_new" w:history="1">
        <w:r w:rsidRPr="00B44313">
          <w:rPr>
            <w:rStyle w:val="Hyperlink"/>
            <w:rFonts w:ascii="Arial" w:hAnsi="Arial" w:cs="Arial"/>
            <w:color w:val="auto"/>
            <w:sz w:val="22"/>
            <w:szCs w:val="22"/>
          </w:rPr>
          <w:t>https://find-and-update.company-information.service.gov.uk/company/00135767</w:t>
        </w:r>
      </w:hyperlink>
      <w:r w:rsidRPr="00B44313">
        <w:rPr>
          <w:rFonts w:ascii="Arial" w:hAnsi="Arial" w:cs="Arial"/>
          <w:sz w:val="22"/>
          <w:szCs w:val="22"/>
        </w:rPr>
        <w:t xml:space="preserve"> (Accessed: 13/02/2026).</w:t>
      </w:r>
    </w:p>
    <w:p w14:paraId="41DE5D18" w14:textId="77777777" w:rsidR="00927336" w:rsidRPr="00B44313" w:rsidRDefault="00927336" w:rsidP="006F70F4">
      <w:pPr>
        <w:spacing w:after="0" w:line="360" w:lineRule="auto"/>
        <w:rPr>
          <w:rFonts w:ascii="Arial" w:hAnsi="Arial" w:cs="Arial"/>
          <w:sz w:val="22"/>
          <w:szCs w:val="22"/>
        </w:rPr>
      </w:pPr>
    </w:p>
    <w:p w14:paraId="7E7A1200"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Wieland, A. and </w:t>
      </w:r>
      <w:proofErr w:type="spellStart"/>
      <w:r w:rsidRPr="00B44313">
        <w:rPr>
          <w:rFonts w:ascii="Arial" w:hAnsi="Arial" w:cs="Arial"/>
          <w:sz w:val="22"/>
          <w:szCs w:val="22"/>
        </w:rPr>
        <w:t>Durach</w:t>
      </w:r>
      <w:proofErr w:type="spellEnd"/>
      <w:r w:rsidRPr="00B44313">
        <w:rPr>
          <w:rFonts w:ascii="Arial" w:hAnsi="Arial" w:cs="Arial"/>
          <w:sz w:val="22"/>
          <w:szCs w:val="22"/>
        </w:rPr>
        <w:t xml:space="preserve">, C.F. (2021) ‘Supply chain resilience: A capability perspective’, </w:t>
      </w:r>
      <w:r w:rsidRPr="00B44313">
        <w:rPr>
          <w:rFonts w:ascii="Arial" w:hAnsi="Arial" w:cs="Arial"/>
          <w:i/>
          <w:iCs/>
          <w:sz w:val="22"/>
          <w:szCs w:val="22"/>
        </w:rPr>
        <w:t>International Journal of Logistics Management</w:t>
      </w:r>
      <w:r w:rsidRPr="00B44313">
        <w:rPr>
          <w:rFonts w:ascii="Arial" w:hAnsi="Arial" w:cs="Arial"/>
          <w:sz w:val="22"/>
          <w:szCs w:val="22"/>
        </w:rPr>
        <w:t>, 32(4), pp. 1–22. Available at: https://www.emerald.com/insight/content/doi/10.1108/IJLM-10-2020-0415/full/html (Accessed: 08/02/2026).</w:t>
      </w:r>
    </w:p>
    <w:p w14:paraId="2C11858F" w14:textId="5F779558" w:rsidR="000651A6" w:rsidRPr="00B44313" w:rsidRDefault="000651A6" w:rsidP="000651A6">
      <w:pPr>
        <w:spacing w:after="0" w:line="360" w:lineRule="auto"/>
        <w:rPr>
          <w:rFonts w:ascii="Arial" w:hAnsi="Arial" w:cs="Arial"/>
          <w:sz w:val="22"/>
          <w:szCs w:val="22"/>
        </w:rPr>
      </w:pPr>
    </w:p>
    <w:p w14:paraId="373D86A8"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Wieland, A. and </w:t>
      </w:r>
      <w:proofErr w:type="spellStart"/>
      <w:r w:rsidRPr="00B44313">
        <w:rPr>
          <w:rFonts w:ascii="Arial" w:hAnsi="Arial" w:cs="Arial"/>
          <w:sz w:val="22"/>
          <w:szCs w:val="22"/>
        </w:rPr>
        <w:t>Durach</w:t>
      </w:r>
      <w:proofErr w:type="spellEnd"/>
      <w:r w:rsidRPr="00B44313">
        <w:rPr>
          <w:rFonts w:ascii="Arial" w:hAnsi="Arial" w:cs="Arial"/>
          <w:sz w:val="22"/>
          <w:szCs w:val="22"/>
        </w:rPr>
        <w:t xml:space="preserve">, C.F. (2021) ‘Supply chain resilience’, </w:t>
      </w:r>
      <w:r w:rsidRPr="00B44313">
        <w:rPr>
          <w:rFonts w:ascii="Arial" w:hAnsi="Arial" w:cs="Arial"/>
          <w:i/>
          <w:iCs/>
          <w:sz w:val="22"/>
          <w:szCs w:val="22"/>
        </w:rPr>
        <w:t>Journal of Business Logistics</w:t>
      </w:r>
      <w:r w:rsidRPr="00B44313">
        <w:rPr>
          <w:rFonts w:ascii="Arial" w:hAnsi="Arial" w:cs="Arial"/>
          <w:sz w:val="22"/>
          <w:szCs w:val="22"/>
        </w:rPr>
        <w:t>, 42(3), pp. 315–322. Available at: https://onlinelibrary.wiley.com/doi/full/10.1111/jbl.12258 (Accessed: 07/02/2026).</w:t>
      </w:r>
    </w:p>
    <w:p w14:paraId="4E63AE5A" w14:textId="09A92ACD" w:rsidR="000651A6" w:rsidRPr="00B44313" w:rsidRDefault="000651A6" w:rsidP="000651A6">
      <w:pPr>
        <w:spacing w:after="0" w:line="360" w:lineRule="auto"/>
        <w:rPr>
          <w:rFonts w:ascii="Arial" w:hAnsi="Arial" w:cs="Arial"/>
          <w:sz w:val="22"/>
          <w:szCs w:val="22"/>
        </w:rPr>
      </w:pPr>
    </w:p>
    <w:p w14:paraId="61248BEF"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Wu, M., Fu, C., Holguín-Veras, J., Enz, M.G. and Mondy, C. (2024) ‘The impact of digital technology deployment on mitigating supply chain disruptions’, </w:t>
      </w:r>
      <w:r w:rsidRPr="00B44313">
        <w:rPr>
          <w:rFonts w:ascii="Arial" w:hAnsi="Arial" w:cs="Arial"/>
          <w:i/>
          <w:iCs/>
          <w:sz w:val="22"/>
          <w:szCs w:val="22"/>
        </w:rPr>
        <w:t>Journal of Purchasing and Supply Management</w:t>
      </w:r>
      <w:r w:rsidRPr="00B44313">
        <w:rPr>
          <w:rFonts w:ascii="Arial" w:hAnsi="Arial" w:cs="Arial"/>
          <w:sz w:val="22"/>
          <w:szCs w:val="22"/>
        </w:rPr>
        <w:t>, 30(3), 100936. Available at: https://www.sciencedirect.com/science/article/pii/S1478409224000936 (Accessed: 24/03/2026).</w:t>
      </w:r>
    </w:p>
    <w:p w14:paraId="5219367A" w14:textId="39DBBCDC" w:rsidR="000651A6" w:rsidRPr="00B44313" w:rsidRDefault="000651A6" w:rsidP="000651A6">
      <w:pPr>
        <w:spacing w:after="0" w:line="360" w:lineRule="auto"/>
        <w:rPr>
          <w:rFonts w:ascii="Arial" w:hAnsi="Arial" w:cs="Arial"/>
          <w:sz w:val="22"/>
          <w:szCs w:val="22"/>
        </w:rPr>
      </w:pPr>
    </w:p>
    <w:p w14:paraId="2C4BBA51"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Xu, L., He, W. and Li, S. (2020) ‘Formalization and digitization in Industry 4.0: Implications for supply chain visibility’, </w:t>
      </w:r>
      <w:r w:rsidRPr="00B44313">
        <w:rPr>
          <w:rFonts w:ascii="Arial" w:hAnsi="Arial" w:cs="Arial"/>
          <w:i/>
          <w:iCs/>
          <w:sz w:val="22"/>
          <w:szCs w:val="22"/>
        </w:rPr>
        <w:t>Computers in Industry</w:t>
      </w:r>
      <w:r w:rsidRPr="00B44313">
        <w:rPr>
          <w:rFonts w:ascii="Arial" w:hAnsi="Arial" w:cs="Arial"/>
          <w:sz w:val="22"/>
          <w:szCs w:val="22"/>
        </w:rPr>
        <w:t>, 115, pp. 103–125. Available at: https://www.sciencedirect.com/science/article/pii/S016636152030006X (Accessed: 22/03/2026).</w:t>
      </w:r>
    </w:p>
    <w:p w14:paraId="703780A7" w14:textId="3DE91B37" w:rsidR="000651A6" w:rsidRPr="00B44313" w:rsidRDefault="000651A6" w:rsidP="000651A6">
      <w:pPr>
        <w:spacing w:after="0" w:line="360" w:lineRule="auto"/>
        <w:rPr>
          <w:rFonts w:ascii="Arial" w:hAnsi="Arial" w:cs="Arial"/>
          <w:sz w:val="22"/>
          <w:szCs w:val="22"/>
        </w:rPr>
      </w:pPr>
    </w:p>
    <w:p w14:paraId="1C4F6E99"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Xu, S., Zhang, X., Feng, L. and Yang, W. (2020) ‘Disruption risks in supply chain management: A literature review based on bibliometric analysis’, </w:t>
      </w:r>
      <w:r w:rsidRPr="00B44313">
        <w:rPr>
          <w:rFonts w:ascii="Arial" w:hAnsi="Arial" w:cs="Arial"/>
          <w:i/>
          <w:iCs/>
          <w:sz w:val="22"/>
          <w:szCs w:val="22"/>
        </w:rPr>
        <w:t>International Journal of Production Research</w:t>
      </w:r>
      <w:r w:rsidRPr="00B44313">
        <w:rPr>
          <w:rFonts w:ascii="Arial" w:hAnsi="Arial" w:cs="Arial"/>
          <w:sz w:val="22"/>
          <w:szCs w:val="22"/>
        </w:rPr>
        <w:t xml:space="preserve">, 58(11), pp. 3508–3526. Available at: </w:t>
      </w:r>
      <w:hyperlink r:id="rId190" w:tgtFrame="_new" w:history="1">
        <w:r w:rsidRPr="00B44313">
          <w:rPr>
            <w:rStyle w:val="Hyperlink"/>
            <w:rFonts w:ascii="Arial" w:hAnsi="Arial" w:cs="Arial"/>
            <w:color w:val="auto"/>
            <w:sz w:val="22"/>
            <w:szCs w:val="22"/>
          </w:rPr>
          <w:t>https://www.tandfonline.com/doi/full/10.1080/00207543.2020.1717011</w:t>
        </w:r>
      </w:hyperlink>
      <w:r w:rsidRPr="00B44313">
        <w:rPr>
          <w:rFonts w:ascii="Arial" w:hAnsi="Arial" w:cs="Arial"/>
          <w:sz w:val="22"/>
          <w:szCs w:val="22"/>
        </w:rPr>
        <w:t xml:space="preserve"> (Accessed: 23/03/2026).</w:t>
      </w:r>
    </w:p>
    <w:p w14:paraId="2E5294A9" w14:textId="32C5D7E9" w:rsidR="000651A6" w:rsidRPr="00B44313" w:rsidRDefault="000651A6" w:rsidP="000651A6">
      <w:pPr>
        <w:spacing w:after="0" w:line="360" w:lineRule="auto"/>
        <w:rPr>
          <w:rFonts w:ascii="Arial" w:hAnsi="Arial" w:cs="Arial"/>
          <w:sz w:val="22"/>
          <w:szCs w:val="22"/>
        </w:rPr>
      </w:pPr>
    </w:p>
    <w:p w14:paraId="6496FE26" w14:textId="00029375"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t xml:space="preserve">Ye, K., Liu, L., Lai, K.-H., Zhan, Y. and Kumar, A. (2022) ‘Digital supply chain management in the COVID-19 crisis: An asset orchestration perspective’, </w:t>
      </w:r>
      <w:r w:rsidRPr="00B44313">
        <w:rPr>
          <w:rFonts w:ascii="Arial" w:hAnsi="Arial" w:cs="Arial"/>
          <w:i/>
          <w:iCs/>
          <w:sz w:val="22"/>
          <w:szCs w:val="22"/>
        </w:rPr>
        <w:t>International Journal of Production Economics</w:t>
      </w:r>
      <w:r w:rsidRPr="00B44313">
        <w:rPr>
          <w:rFonts w:ascii="Arial" w:hAnsi="Arial" w:cs="Arial"/>
          <w:sz w:val="22"/>
          <w:szCs w:val="22"/>
        </w:rPr>
        <w:t>, 245, 118789. Available at: https://www.sciencedirect.com/science/article/pii/S0925527322000265 (Accessed: 25/03/2026).</w:t>
      </w:r>
    </w:p>
    <w:p w14:paraId="0FA0E068" w14:textId="77777777" w:rsidR="000651A6" w:rsidRPr="00B44313" w:rsidRDefault="000651A6" w:rsidP="000651A6">
      <w:pPr>
        <w:spacing w:after="0" w:line="360" w:lineRule="auto"/>
        <w:rPr>
          <w:rFonts w:ascii="Arial" w:hAnsi="Arial" w:cs="Arial"/>
          <w:sz w:val="22"/>
          <w:szCs w:val="22"/>
        </w:rPr>
      </w:pPr>
      <w:r w:rsidRPr="00B44313">
        <w:rPr>
          <w:rFonts w:ascii="Arial" w:hAnsi="Arial" w:cs="Arial"/>
          <w:sz w:val="22"/>
          <w:szCs w:val="22"/>
        </w:rPr>
        <w:lastRenderedPageBreak/>
        <w:t xml:space="preserve">Yin, R.K. (2022) </w:t>
      </w:r>
      <w:r w:rsidRPr="00B44313">
        <w:rPr>
          <w:rFonts w:ascii="Arial" w:hAnsi="Arial" w:cs="Arial"/>
          <w:i/>
          <w:iCs/>
          <w:sz w:val="22"/>
          <w:szCs w:val="22"/>
        </w:rPr>
        <w:t>Case study research and applications: Design and methods</w:t>
      </w:r>
      <w:r w:rsidRPr="00B44313">
        <w:rPr>
          <w:rFonts w:ascii="Arial" w:hAnsi="Arial" w:cs="Arial"/>
          <w:sz w:val="22"/>
          <w:szCs w:val="22"/>
        </w:rPr>
        <w:t xml:space="preserve">. 6th </w:t>
      </w:r>
      <w:proofErr w:type="spellStart"/>
      <w:r w:rsidRPr="00B44313">
        <w:rPr>
          <w:rFonts w:ascii="Arial" w:hAnsi="Arial" w:cs="Arial"/>
          <w:sz w:val="22"/>
          <w:szCs w:val="22"/>
        </w:rPr>
        <w:t>edn</w:t>
      </w:r>
      <w:proofErr w:type="spellEnd"/>
      <w:r w:rsidRPr="00B44313">
        <w:rPr>
          <w:rFonts w:ascii="Arial" w:hAnsi="Arial" w:cs="Arial"/>
          <w:sz w:val="22"/>
          <w:szCs w:val="22"/>
        </w:rPr>
        <w:t xml:space="preserve">. Thousand Oaks, CA: Sage. Available at: </w:t>
      </w:r>
      <w:hyperlink r:id="rId191" w:tgtFrame="_new" w:history="1">
        <w:r w:rsidRPr="00B44313">
          <w:rPr>
            <w:rStyle w:val="Hyperlink"/>
            <w:rFonts w:ascii="Arial" w:hAnsi="Arial" w:cs="Arial"/>
            <w:color w:val="auto"/>
            <w:sz w:val="22"/>
            <w:szCs w:val="22"/>
          </w:rPr>
          <w:t>https://us.sagepub.com/en-us/nam/case-study-research-and-applications/book250150</w:t>
        </w:r>
      </w:hyperlink>
      <w:r w:rsidRPr="00B44313">
        <w:rPr>
          <w:rFonts w:ascii="Arial" w:hAnsi="Arial" w:cs="Arial"/>
          <w:sz w:val="22"/>
          <w:szCs w:val="22"/>
        </w:rPr>
        <w:t xml:space="preserve"> (Accessed: 08/02/2026).</w:t>
      </w:r>
    </w:p>
    <w:p w14:paraId="24DD7EEB" w14:textId="77777777" w:rsidR="00927336" w:rsidRDefault="00927336" w:rsidP="006F70F4">
      <w:pPr>
        <w:spacing w:after="0" w:line="360" w:lineRule="auto"/>
        <w:rPr>
          <w:rFonts w:ascii="Arial" w:hAnsi="Arial" w:cs="Arial"/>
          <w:sz w:val="22"/>
          <w:szCs w:val="22"/>
        </w:rPr>
      </w:pPr>
    </w:p>
    <w:p w14:paraId="4DC5B222" w14:textId="37080F62" w:rsidR="007B467A" w:rsidRPr="007B467A" w:rsidRDefault="00576D5F" w:rsidP="00576D5F">
      <w:pPr>
        <w:spacing w:after="0" w:line="360" w:lineRule="auto"/>
        <w:ind w:firstLine="567"/>
        <w:jc w:val="both"/>
        <w:rPr>
          <w:rFonts w:ascii="Arial" w:hAnsi="Arial" w:cs="Arial"/>
          <w:sz w:val="22"/>
          <w:szCs w:val="22"/>
        </w:rPr>
      </w:pPr>
      <w:r w:rsidRPr="00576D5F">
        <w:rPr>
          <w:rFonts w:ascii="Arial" w:hAnsi="Arial" w:cs="Arial"/>
          <w:sz w:val="22"/>
          <w:szCs w:val="22"/>
        </w:rPr>
        <w:t>Elta Automotive's academic library resources were used to access all journal articles and academic sources that did not have direct URLs. This was done to ensure that the sources were credible, reliable, and in line with the standards of scholarly research.</w:t>
      </w:r>
    </w:p>
    <w:p w14:paraId="5BD49D62" w14:textId="77777777" w:rsidR="00292BF6" w:rsidRDefault="00292BF6" w:rsidP="00292BF6">
      <w:pPr>
        <w:spacing w:after="0" w:line="360" w:lineRule="auto"/>
        <w:rPr>
          <w:rFonts w:ascii="Arial" w:hAnsi="Arial" w:cs="Arial"/>
          <w:sz w:val="22"/>
          <w:szCs w:val="22"/>
        </w:rPr>
      </w:pPr>
    </w:p>
    <w:p w14:paraId="0422AC5B" w14:textId="1088B1DA" w:rsidR="00E75115" w:rsidRPr="00B92EBA" w:rsidRDefault="00B92EBA" w:rsidP="00292BF6">
      <w:pPr>
        <w:spacing w:after="0" w:line="360" w:lineRule="auto"/>
        <w:rPr>
          <w:rFonts w:ascii="Arial" w:hAnsi="Arial" w:cs="Arial"/>
          <w:b/>
          <w:bCs/>
          <w:sz w:val="22"/>
          <w:szCs w:val="22"/>
        </w:rPr>
      </w:pPr>
      <w:r w:rsidRPr="00B92EBA">
        <w:rPr>
          <w:rFonts w:ascii="Arial" w:hAnsi="Arial" w:cs="Arial"/>
          <w:b/>
          <w:bCs/>
          <w:sz w:val="22"/>
          <w:szCs w:val="22"/>
        </w:rPr>
        <w:t>Literature Table (Journal Articles Only)</w:t>
      </w:r>
    </w:p>
    <w:p w14:paraId="1B30CC46" w14:textId="58DCE18B" w:rsidR="003A6C63" w:rsidRDefault="003A6C63" w:rsidP="00A743C9">
      <w:pPr>
        <w:spacing w:after="0" w:line="360" w:lineRule="auto"/>
        <w:rPr>
          <w:rFonts w:ascii="Arial" w:hAnsi="Arial" w:cs="Arial"/>
          <w:sz w:val="22"/>
          <w:szCs w:val="22"/>
        </w:rPr>
      </w:pP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993"/>
        <w:gridCol w:w="992"/>
        <w:gridCol w:w="850"/>
        <w:gridCol w:w="1134"/>
        <w:gridCol w:w="3261"/>
      </w:tblGrid>
      <w:tr w:rsidR="006264DC" w:rsidRPr="00950C3A" w14:paraId="3A7244ED" w14:textId="77777777" w:rsidTr="00553238">
        <w:trPr>
          <w:tblHeader/>
          <w:tblCellSpacing w:w="15" w:type="dxa"/>
        </w:trPr>
        <w:tc>
          <w:tcPr>
            <w:tcW w:w="517" w:type="dxa"/>
            <w:vAlign w:val="center"/>
            <w:hideMark/>
          </w:tcPr>
          <w:p w14:paraId="72E3684E" w14:textId="77777777" w:rsidR="006264DC" w:rsidRPr="00950C3A" w:rsidRDefault="006264DC" w:rsidP="00553238">
            <w:pPr>
              <w:spacing w:after="0" w:line="240" w:lineRule="auto"/>
              <w:rPr>
                <w:rFonts w:ascii="Arial" w:hAnsi="Arial" w:cs="Arial"/>
                <w:b/>
                <w:bCs/>
                <w:sz w:val="20"/>
                <w:szCs w:val="20"/>
              </w:rPr>
            </w:pPr>
            <w:r w:rsidRPr="00950C3A">
              <w:rPr>
                <w:rFonts w:ascii="Arial" w:hAnsi="Arial" w:cs="Arial"/>
                <w:b/>
                <w:bCs/>
                <w:sz w:val="20"/>
                <w:szCs w:val="20"/>
              </w:rPr>
              <w:t>Year</w:t>
            </w:r>
          </w:p>
        </w:tc>
        <w:tc>
          <w:tcPr>
            <w:tcW w:w="963" w:type="dxa"/>
            <w:vAlign w:val="center"/>
            <w:hideMark/>
          </w:tcPr>
          <w:p w14:paraId="192572FF" w14:textId="77777777" w:rsidR="006264DC" w:rsidRPr="00950C3A" w:rsidRDefault="006264DC" w:rsidP="00553238">
            <w:pPr>
              <w:spacing w:after="0" w:line="240" w:lineRule="auto"/>
              <w:rPr>
                <w:rFonts w:ascii="Arial" w:hAnsi="Arial" w:cs="Arial"/>
                <w:b/>
                <w:bCs/>
                <w:sz w:val="20"/>
                <w:szCs w:val="20"/>
              </w:rPr>
            </w:pPr>
            <w:r w:rsidRPr="00950C3A">
              <w:rPr>
                <w:rFonts w:ascii="Arial" w:hAnsi="Arial" w:cs="Arial"/>
                <w:b/>
                <w:bCs/>
                <w:sz w:val="20"/>
                <w:szCs w:val="20"/>
              </w:rPr>
              <w:t>Author(s)</w:t>
            </w:r>
          </w:p>
        </w:tc>
        <w:tc>
          <w:tcPr>
            <w:tcW w:w="962" w:type="dxa"/>
            <w:vAlign w:val="center"/>
            <w:hideMark/>
          </w:tcPr>
          <w:p w14:paraId="4CB96173" w14:textId="77777777" w:rsidR="006264DC" w:rsidRPr="00950C3A" w:rsidRDefault="006264DC" w:rsidP="00553238">
            <w:pPr>
              <w:spacing w:after="0" w:line="240" w:lineRule="auto"/>
              <w:rPr>
                <w:rFonts w:ascii="Arial" w:hAnsi="Arial" w:cs="Arial"/>
                <w:b/>
                <w:bCs/>
                <w:sz w:val="20"/>
                <w:szCs w:val="20"/>
              </w:rPr>
            </w:pPr>
            <w:r w:rsidRPr="00950C3A">
              <w:rPr>
                <w:rFonts w:ascii="Arial" w:hAnsi="Arial" w:cs="Arial"/>
                <w:b/>
                <w:bCs/>
                <w:sz w:val="20"/>
                <w:szCs w:val="20"/>
              </w:rPr>
              <w:t>Purpose of the Study</w:t>
            </w:r>
          </w:p>
        </w:tc>
        <w:tc>
          <w:tcPr>
            <w:tcW w:w="820" w:type="dxa"/>
            <w:vAlign w:val="center"/>
            <w:hideMark/>
          </w:tcPr>
          <w:p w14:paraId="7EDC572F" w14:textId="77777777" w:rsidR="006264DC" w:rsidRPr="00950C3A" w:rsidRDefault="006264DC" w:rsidP="00553238">
            <w:pPr>
              <w:spacing w:after="0" w:line="240" w:lineRule="auto"/>
              <w:rPr>
                <w:rFonts w:ascii="Arial" w:hAnsi="Arial" w:cs="Arial"/>
                <w:b/>
                <w:bCs/>
                <w:sz w:val="20"/>
                <w:szCs w:val="20"/>
              </w:rPr>
            </w:pPr>
            <w:r w:rsidRPr="00950C3A">
              <w:rPr>
                <w:rFonts w:ascii="Arial" w:hAnsi="Arial" w:cs="Arial"/>
                <w:b/>
                <w:bCs/>
                <w:sz w:val="20"/>
                <w:szCs w:val="20"/>
              </w:rPr>
              <w:t>Country/Region</w:t>
            </w:r>
          </w:p>
        </w:tc>
        <w:tc>
          <w:tcPr>
            <w:tcW w:w="1104" w:type="dxa"/>
            <w:vAlign w:val="center"/>
            <w:hideMark/>
          </w:tcPr>
          <w:p w14:paraId="6609A12E" w14:textId="77777777" w:rsidR="006264DC" w:rsidRPr="00950C3A" w:rsidRDefault="006264DC" w:rsidP="00553238">
            <w:pPr>
              <w:spacing w:after="0" w:line="240" w:lineRule="auto"/>
              <w:rPr>
                <w:rFonts w:ascii="Arial" w:hAnsi="Arial" w:cs="Arial"/>
                <w:b/>
                <w:bCs/>
                <w:sz w:val="20"/>
                <w:szCs w:val="20"/>
              </w:rPr>
            </w:pPr>
            <w:r w:rsidRPr="00950C3A">
              <w:rPr>
                <w:rFonts w:ascii="Arial" w:hAnsi="Arial" w:cs="Arial"/>
                <w:b/>
                <w:bCs/>
                <w:sz w:val="20"/>
                <w:szCs w:val="20"/>
              </w:rPr>
              <w:t>Type</w:t>
            </w:r>
          </w:p>
        </w:tc>
        <w:tc>
          <w:tcPr>
            <w:tcW w:w="3216" w:type="dxa"/>
            <w:vAlign w:val="center"/>
            <w:hideMark/>
          </w:tcPr>
          <w:p w14:paraId="1A794C56" w14:textId="77777777" w:rsidR="006264DC" w:rsidRPr="00950C3A" w:rsidRDefault="006264DC" w:rsidP="00553238">
            <w:pPr>
              <w:spacing w:after="0" w:line="240" w:lineRule="auto"/>
              <w:jc w:val="center"/>
              <w:rPr>
                <w:rFonts w:ascii="Arial" w:hAnsi="Arial" w:cs="Arial"/>
                <w:b/>
                <w:bCs/>
                <w:sz w:val="20"/>
                <w:szCs w:val="20"/>
              </w:rPr>
            </w:pPr>
            <w:r w:rsidRPr="00950C3A">
              <w:rPr>
                <w:rFonts w:ascii="Arial" w:hAnsi="Arial" w:cs="Arial"/>
                <w:b/>
                <w:bCs/>
                <w:sz w:val="20"/>
                <w:szCs w:val="20"/>
              </w:rPr>
              <w:t>URL</w:t>
            </w:r>
          </w:p>
        </w:tc>
      </w:tr>
      <w:tr w:rsidR="006264DC" w:rsidRPr="00950C3A" w14:paraId="76D642D0" w14:textId="77777777" w:rsidTr="00553238">
        <w:trPr>
          <w:tblCellSpacing w:w="15" w:type="dxa"/>
        </w:trPr>
        <w:tc>
          <w:tcPr>
            <w:tcW w:w="517" w:type="dxa"/>
            <w:vAlign w:val="center"/>
            <w:hideMark/>
          </w:tcPr>
          <w:p w14:paraId="4CCB0F1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2025</w:t>
            </w:r>
          </w:p>
        </w:tc>
        <w:tc>
          <w:tcPr>
            <w:tcW w:w="963" w:type="dxa"/>
            <w:vAlign w:val="center"/>
            <w:hideMark/>
          </w:tcPr>
          <w:p w14:paraId="250EBAC7"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Gholakhloo</w:t>
            </w:r>
            <w:proofErr w:type="spellEnd"/>
            <w:r w:rsidRPr="00950C3A">
              <w:rPr>
                <w:rFonts w:ascii="Arial" w:hAnsi="Arial" w:cs="Arial"/>
                <w:sz w:val="20"/>
                <w:szCs w:val="20"/>
              </w:rPr>
              <w:t xml:space="preserve"> et al.</w:t>
            </w:r>
          </w:p>
        </w:tc>
        <w:tc>
          <w:tcPr>
            <w:tcW w:w="962" w:type="dxa"/>
            <w:vAlign w:val="center"/>
            <w:hideMark/>
          </w:tcPr>
          <w:p w14:paraId="41201A7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opportunities for supply chain resilience</w:t>
            </w:r>
          </w:p>
        </w:tc>
        <w:tc>
          <w:tcPr>
            <w:tcW w:w="820" w:type="dxa"/>
            <w:vAlign w:val="center"/>
            <w:hideMark/>
          </w:tcPr>
          <w:p w14:paraId="07A42D9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0758B9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7879E1B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https://www.tandfonline.com/doi/full/10.1080/09537287.2023</w:t>
            </w:r>
          </w:p>
        </w:tc>
      </w:tr>
      <w:tr w:rsidR="006264DC" w:rsidRPr="00950C3A" w14:paraId="2103044F" w14:textId="77777777" w:rsidTr="00553238">
        <w:trPr>
          <w:tblCellSpacing w:w="15" w:type="dxa"/>
        </w:trPr>
        <w:tc>
          <w:tcPr>
            <w:tcW w:w="517" w:type="dxa"/>
            <w:vAlign w:val="center"/>
            <w:hideMark/>
          </w:tcPr>
          <w:p w14:paraId="14CE0B1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2025</w:t>
            </w:r>
          </w:p>
        </w:tc>
        <w:tc>
          <w:tcPr>
            <w:tcW w:w="963" w:type="dxa"/>
            <w:vAlign w:val="center"/>
            <w:hideMark/>
          </w:tcPr>
          <w:p w14:paraId="3F8C4FF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Ismail et al.</w:t>
            </w:r>
          </w:p>
        </w:tc>
        <w:tc>
          <w:tcPr>
            <w:tcW w:w="962" w:type="dxa"/>
            <w:vAlign w:val="center"/>
            <w:hideMark/>
          </w:tcPr>
          <w:p w14:paraId="04E5869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disruption management in supply chains</w:t>
            </w:r>
          </w:p>
        </w:tc>
        <w:tc>
          <w:tcPr>
            <w:tcW w:w="820" w:type="dxa"/>
            <w:vAlign w:val="center"/>
            <w:hideMark/>
          </w:tcPr>
          <w:p w14:paraId="7467FA2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53F3D08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4B94A822" w14:textId="77777777" w:rsidR="006264DC" w:rsidRPr="00950C3A" w:rsidRDefault="006264DC" w:rsidP="00553238">
            <w:pPr>
              <w:spacing w:after="0" w:line="240" w:lineRule="auto"/>
              <w:rPr>
                <w:rFonts w:ascii="Arial" w:hAnsi="Arial" w:cs="Arial"/>
                <w:sz w:val="20"/>
                <w:szCs w:val="20"/>
              </w:rPr>
            </w:pPr>
            <w:hyperlink r:id="rId192" w:tgtFrame="_new" w:history="1">
              <w:r w:rsidRPr="00950C3A">
                <w:rPr>
                  <w:rStyle w:val="Hyperlink"/>
                  <w:rFonts w:ascii="Arial" w:hAnsi="Arial" w:cs="Arial"/>
                  <w:color w:val="auto"/>
                  <w:sz w:val="20"/>
                  <w:szCs w:val="20"/>
                </w:rPr>
                <w:t>https://www.tandfonline.com/doi/full/10.1080/00207543.2025.2493948</w:t>
              </w:r>
            </w:hyperlink>
          </w:p>
        </w:tc>
      </w:tr>
      <w:tr w:rsidR="006264DC" w:rsidRPr="00950C3A" w14:paraId="0128030C" w14:textId="77777777" w:rsidTr="00553238">
        <w:trPr>
          <w:tblCellSpacing w:w="15" w:type="dxa"/>
        </w:trPr>
        <w:tc>
          <w:tcPr>
            <w:tcW w:w="517" w:type="dxa"/>
            <w:vAlign w:val="center"/>
            <w:hideMark/>
          </w:tcPr>
          <w:p w14:paraId="0BC90A0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2025</w:t>
            </w:r>
          </w:p>
        </w:tc>
        <w:tc>
          <w:tcPr>
            <w:tcW w:w="963" w:type="dxa"/>
            <w:vAlign w:val="center"/>
            <w:hideMark/>
          </w:tcPr>
          <w:p w14:paraId="3A92019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Hamed</w:t>
            </w:r>
          </w:p>
        </w:tc>
        <w:tc>
          <w:tcPr>
            <w:tcW w:w="962" w:type="dxa"/>
            <w:vAlign w:val="center"/>
            <w:hideMark/>
          </w:tcPr>
          <w:p w14:paraId="0E53B1E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Red Sea crisis impact on global supply chains</w:t>
            </w:r>
          </w:p>
        </w:tc>
        <w:tc>
          <w:tcPr>
            <w:tcW w:w="820" w:type="dxa"/>
            <w:vAlign w:val="center"/>
            <w:hideMark/>
          </w:tcPr>
          <w:p w14:paraId="3BDDDA8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914D8B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3FCB9BE2" w14:textId="77777777" w:rsidR="006264DC" w:rsidRPr="00950C3A" w:rsidRDefault="006264DC" w:rsidP="00553238">
            <w:pPr>
              <w:spacing w:after="0" w:line="240" w:lineRule="auto"/>
              <w:rPr>
                <w:rFonts w:ascii="Arial" w:hAnsi="Arial" w:cs="Arial"/>
                <w:sz w:val="20"/>
                <w:szCs w:val="20"/>
              </w:rPr>
            </w:pPr>
            <w:hyperlink r:id="rId193" w:tgtFrame="_new" w:history="1">
              <w:r w:rsidRPr="00950C3A">
                <w:rPr>
                  <w:rStyle w:val="Hyperlink"/>
                  <w:rFonts w:ascii="Arial" w:hAnsi="Arial" w:cs="Arial"/>
                  <w:color w:val="auto"/>
                  <w:sz w:val="20"/>
                  <w:szCs w:val="20"/>
                </w:rPr>
                <w:t>https://www.irejournals.com/formatedpaper/1711267.pdf</w:t>
              </w:r>
            </w:hyperlink>
          </w:p>
        </w:tc>
      </w:tr>
      <w:tr w:rsidR="006264DC" w:rsidRPr="00950C3A" w14:paraId="7E9D3825" w14:textId="77777777" w:rsidTr="00553238">
        <w:trPr>
          <w:tblCellSpacing w:w="15" w:type="dxa"/>
        </w:trPr>
        <w:tc>
          <w:tcPr>
            <w:tcW w:w="517" w:type="dxa"/>
            <w:vAlign w:val="center"/>
            <w:hideMark/>
          </w:tcPr>
          <w:p w14:paraId="7709A3F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47E36AC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Herberger et al.</w:t>
            </w:r>
          </w:p>
        </w:tc>
        <w:tc>
          <w:tcPr>
            <w:tcW w:w="962" w:type="dxa"/>
            <w:vAlign w:val="center"/>
            <w:hideMark/>
          </w:tcPr>
          <w:p w14:paraId="7A84676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Cyber risk and supply chain resilience</w:t>
            </w:r>
          </w:p>
        </w:tc>
        <w:tc>
          <w:tcPr>
            <w:tcW w:w="820" w:type="dxa"/>
            <w:vAlign w:val="center"/>
            <w:hideMark/>
          </w:tcPr>
          <w:p w14:paraId="447EBD3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D2DE42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7497CCEB" w14:textId="77777777" w:rsidR="006264DC" w:rsidRPr="00950C3A" w:rsidRDefault="006264DC" w:rsidP="00553238">
            <w:pPr>
              <w:spacing w:after="0" w:line="240" w:lineRule="auto"/>
              <w:rPr>
                <w:rFonts w:ascii="Arial" w:hAnsi="Arial" w:cs="Arial"/>
                <w:sz w:val="20"/>
                <w:szCs w:val="20"/>
              </w:rPr>
            </w:pPr>
            <w:hyperlink r:id="rId194" w:tgtFrame="_new" w:history="1">
              <w:r w:rsidRPr="00950C3A">
                <w:rPr>
                  <w:rStyle w:val="Hyperlink"/>
                  <w:rFonts w:ascii="Arial" w:hAnsi="Arial" w:cs="Arial"/>
                  <w:color w:val="auto"/>
                  <w:sz w:val="20"/>
                  <w:szCs w:val="20"/>
                </w:rPr>
                <w:t>https://www.emerald.com/insight/content/doi/10.1108/SCM-01-2023-0016/full/html</w:t>
              </w:r>
            </w:hyperlink>
          </w:p>
        </w:tc>
      </w:tr>
      <w:tr w:rsidR="006264DC" w:rsidRPr="00950C3A" w14:paraId="1B21563E" w14:textId="77777777" w:rsidTr="00553238">
        <w:trPr>
          <w:tblCellSpacing w:w="15" w:type="dxa"/>
        </w:trPr>
        <w:tc>
          <w:tcPr>
            <w:tcW w:w="517" w:type="dxa"/>
            <w:vAlign w:val="center"/>
            <w:hideMark/>
          </w:tcPr>
          <w:p w14:paraId="707FEF7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77132E4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Grimm et al.</w:t>
            </w:r>
          </w:p>
        </w:tc>
        <w:tc>
          <w:tcPr>
            <w:tcW w:w="962" w:type="dxa"/>
            <w:vAlign w:val="center"/>
            <w:hideMark/>
          </w:tcPr>
          <w:p w14:paraId="35E2551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Research methods in supply chain management</w:t>
            </w:r>
          </w:p>
        </w:tc>
        <w:tc>
          <w:tcPr>
            <w:tcW w:w="820" w:type="dxa"/>
            <w:vAlign w:val="center"/>
            <w:hideMark/>
          </w:tcPr>
          <w:p w14:paraId="46E75FB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354F11A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3565BD71" w14:textId="77777777" w:rsidR="006264DC" w:rsidRPr="00950C3A" w:rsidRDefault="006264DC" w:rsidP="00553238">
            <w:pPr>
              <w:spacing w:after="0" w:line="240" w:lineRule="auto"/>
              <w:rPr>
                <w:rFonts w:ascii="Arial" w:hAnsi="Arial" w:cs="Arial"/>
                <w:sz w:val="20"/>
                <w:szCs w:val="20"/>
              </w:rPr>
            </w:pPr>
            <w:hyperlink r:id="rId195" w:tgtFrame="_new" w:history="1">
              <w:r w:rsidRPr="00950C3A">
                <w:rPr>
                  <w:rStyle w:val="Hyperlink"/>
                  <w:rFonts w:ascii="Arial" w:hAnsi="Arial" w:cs="Arial"/>
                  <w:color w:val="auto"/>
                  <w:sz w:val="20"/>
                  <w:szCs w:val="20"/>
                </w:rPr>
                <w:t>https://onlinelibrary.wiley.com/doi/10.1111/jscm.12312</w:t>
              </w:r>
            </w:hyperlink>
          </w:p>
        </w:tc>
      </w:tr>
      <w:tr w:rsidR="006264DC" w:rsidRPr="00950C3A" w14:paraId="2A3BA07C" w14:textId="77777777" w:rsidTr="00553238">
        <w:trPr>
          <w:tblCellSpacing w:w="15" w:type="dxa"/>
        </w:trPr>
        <w:tc>
          <w:tcPr>
            <w:tcW w:w="517" w:type="dxa"/>
            <w:vAlign w:val="center"/>
            <w:hideMark/>
          </w:tcPr>
          <w:p w14:paraId="68F6593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4DC9AB3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Preuss et al.</w:t>
            </w:r>
          </w:p>
        </w:tc>
        <w:tc>
          <w:tcPr>
            <w:tcW w:w="962" w:type="dxa"/>
            <w:vAlign w:val="center"/>
            <w:hideMark/>
          </w:tcPr>
          <w:p w14:paraId="4CBAFA3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Sensemaking in global supply chains</w:t>
            </w:r>
          </w:p>
        </w:tc>
        <w:tc>
          <w:tcPr>
            <w:tcW w:w="820" w:type="dxa"/>
            <w:vAlign w:val="center"/>
            <w:hideMark/>
          </w:tcPr>
          <w:p w14:paraId="3C1E96A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7C87649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712B6E84" w14:textId="77777777" w:rsidR="006264DC" w:rsidRPr="00950C3A" w:rsidRDefault="006264DC" w:rsidP="00553238">
            <w:pPr>
              <w:spacing w:after="0" w:line="240" w:lineRule="auto"/>
              <w:rPr>
                <w:rFonts w:ascii="Arial" w:hAnsi="Arial" w:cs="Arial"/>
                <w:sz w:val="20"/>
                <w:szCs w:val="20"/>
              </w:rPr>
            </w:pPr>
            <w:hyperlink r:id="rId196" w:tgtFrame="_new" w:history="1">
              <w:r w:rsidRPr="00950C3A">
                <w:rPr>
                  <w:rStyle w:val="Hyperlink"/>
                  <w:rFonts w:ascii="Arial" w:hAnsi="Arial" w:cs="Arial"/>
                  <w:color w:val="auto"/>
                  <w:sz w:val="20"/>
                  <w:szCs w:val="20"/>
                </w:rPr>
                <w:t>https://link.springer.com/article/10.1057/s41267-023-00612-3</w:t>
              </w:r>
            </w:hyperlink>
          </w:p>
        </w:tc>
      </w:tr>
      <w:tr w:rsidR="006264DC" w:rsidRPr="00950C3A" w14:paraId="1B5A6FAE" w14:textId="77777777" w:rsidTr="00553238">
        <w:trPr>
          <w:tblCellSpacing w:w="15" w:type="dxa"/>
        </w:trPr>
        <w:tc>
          <w:tcPr>
            <w:tcW w:w="517" w:type="dxa"/>
            <w:vAlign w:val="center"/>
            <w:hideMark/>
          </w:tcPr>
          <w:p w14:paraId="4C88897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2D0F757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Wu et al.</w:t>
            </w:r>
          </w:p>
        </w:tc>
        <w:tc>
          <w:tcPr>
            <w:tcW w:w="962" w:type="dxa"/>
            <w:vAlign w:val="center"/>
            <w:hideMark/>
          </w:tcPr>
          <w:p w14:paraId="45198BF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Digital technolog</w:t>
            </w:r>
            <w:r w:rsidRPr="00950C3A">
              <w:rPr>
                <w:rFonts w:ascii="Arial" w:hAnsi="Arial" w:cs="Arial"/>
                <w:sz w:val="20"/>
                <w:szCs w:val="20"/>
              </w:rPr>
              <w:lastRenderedPageBreak/>
              <w:t>y and disruption mitigation</w:t>
            </w:r>
          </w:p>
        </w:tc>
        <w:tc>
          <w:tcPr>
            <w:tcW w:w="820" w:type="dxa"/>
            <w:vAlign w:val="center"/>
            <w:hideMark/>
          </w:tcPr>
          <w:p w14:paraId="001BCF7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lastRenderedPageBreak/>
              <w:t>Global</w:t>
            </w:r>
          </w:p>
        </w:tc>
        <w:tc>
          <w:tcPr>
            <w:tcW w:w="1104" w:type="dxa"/>
            <w:vAlign w:val="center"/>
            <w:hideMark/>
          </w:tcPr>
          <w:p w14:paraId="45F1B87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653E1FE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https://www.sciencedirect.com/science/article/pii/S1478409224000936</w:t>
            </w:r>
          </w:p>
        </w:tc>
      </w:tr>
      <w:tr w:rsidR="006264DC" w:rsidRPr="00950C3A" w14:paraId="464C3F9C" w14:textId="77777777" w:rsidTr="00553238">
        <w:trPr>
          <w:tblCellSpacing w:w="15" w:type="dxa"/>
        </w:trPr>
        <w:tc>
          <w:tcPr>
            <w:tcW w:w="517" w:type="dxa"/>
            <w:vAlign w:val="center"/>
            <w:hideMark/>
          </w:tcPr>
          <w:p w14:paraId="777B37B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4D15F2C0"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Notteboom</w:t>
            </w:r>
            <w:proofErr w:type="spellEnd"/>
            <w:r w:rsidRPr="00950C3A">
              <w:rPr>
                <w:rFonts w:ascii="Arial" w:hAnsi="Arial" w:cs="Arial"/>
                <w:sz w:val="20"/>
                <w:szCs w:val="20"/>
              </w:rPr>
              <w:t xml:space="preserve"> et al.</w:t>
            </w:r>
          </w:p>
        </w:tc>
        <w:tc>
          <w:tcPr>
            <w:tcW w:w="962" w:type="dxa"/>
            <w:vAlign w:val="center"/>
            <w:hideMark/>
          </w:tcPr>
          <w:p w14:paraId="5E0E864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Red Sea crisis and maritime supply chains</w:t>
            </w:r>
          </w:p>
        </w:tc>
        <w:tc>
          <w:tcPr>
            <w:tcW w:w="820" w:type="dxa"/>
            <w:vAlign w:val="center"/>
            <w:hideMark/>
          </w:tcPr>
          <w:p w14:paraId="6E42BD3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1161DC3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724B1AB3" w14:textId="77777777" w:rsidR="006264DC" w:rsidRPr="00950C3A" w:rsidRDefault="006264DC" w:rsidP="00553238">
            <w:pPr>
              <w:spacing w:after="0" w:line="240" w:lineRule="auto"/>
              <w:rPr>
                <w:rFonts w:ascii="Arial" w:hAnsi="Arial" w:cs="Arial"/>
                <w:sz w:val="20"/>
                <w:szCs w:val="20"/>
              </w:rPr>
            </w:pPr>
            <w:hyperlink r:id="rId197" w:tgtFrame="_new" w:history="1">
              <w:r w:rsidRPr="00950C3A">
                <w:rPr>
                  <w:rStyle w:val="Hyperlink"/>
                  <w:rFonts w:ascii="Arial" w:hAnsi="Arial" w:cs="Arial"/>
                  <w:color w:val="auto"/>
                  <w:sz w:val="20"/>
                  <w:szCs w:val="20"/>
                </w:rPr>
                <w:t>https://link.springer.com/article/10.1057/s41278-024-00287-z</w:t>
              </w:r>
            </w:hyperlink>
          </w:p>
        </w:tc>
      </w:tr>
      <w:tr w:rsidR="006264DC" w:rsidRPr="00950C3A" w14:paraId="47B915C0" w14:textId="77777777" w:rsidTr="00553238">
        <w:trPr>
          <w:tblCellSpacing w:w="15" w:type="dxa"/>
        </w:trPr>
        <w:tc>
          <w:tcPr>
            <w:tcW w:w="517" w:type="dxa"/>
            <w:vAlign w:val="center"/>
            <w:hideMark/>
          </w:tcPr>
          <w:p w14:paraId="763123C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5637716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Huang et al.</w:t>
            </w:r>
          </w:p>
        </w:tc>
        <w:tc>
          <w:tcPr>
            <w:tcW w:w="962" w:type="dxa"/>
            <w:vAlign w:val="center"/>
            <w:hideMark/>
          </w:tcPr>
          <w:p w14:paraId="28062EB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Digital twins in supply chains</w:t>
            </w:r>
          </w:p>
        </w:tc>
        <w:tc>
          <w:tcPr>
            <w:tcW w:w="820" w:type="dxa"/>
            <w:vAlign w:val="center"/>
            <w:hideMark/>
          </w:tcPr>
          <w:p w14:paraId="103A37F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4809A6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74B10FD3" w14:textId="77777777" w:rsidR="006264DC" w:rsidRPr="00950C3A" w:rsidRDefault="006264DC" w:rsidP="00553238">
            <w:pPr>
              <w:spacing w:after="0" w:line="240" w:lineRule="auto"/>
              <w:rPr>
                <w:rFonts w:ascii="Arial" w:hAnsi="Arial" w:cs="Arial"/>
                <w:sz w:val="20"/>
                <w:szCs w:val="20"/>
              </w:rPr>
            </w:pPr>
            <w:hyperlink r:id="rId198" w:tgtFrame="_new" w:history="1">
              <w:r w:rsidRPr="00950C3A">
                <w:rPr>
                  <w:rStyle w:val="Hyperlink"/>
                  <w:rFonts w:ascii="Arial" w:hAnsi="Arial" w:cs="Arial"/>
                  <w:color w:val="auto"/>
                  <w:sz w:val="20"/>
                  <w:szCs w:val="20"/>
                </w:rPr>
                <w:t>https://www.tandfonline.com/doi/full/10.1080/00207543.2024.2305804</w:t>
              </w:r>
            </w:hyperlink>
          </w:p>
        </w:tc>
      </w:tr>
      <w:tr w:rsidR="006264DC" w:rsidRPr="00950C3A" w14:paraId="13651988" w14:textId="77777777" w:rsidTr="00553238">
        <w:trPr>
          <w:tblCellSpacing w:w="15" w:type="dxa"/>
        </w:trPr>
        <w:tc>
          <w:tcPr>
            <w:tcW w:w="517" w:type="dxa"/>
            <w:vAlign w:val="center"/>
            <w:hideMark/>
          </w:tcPr>
          <w:p w14:paraId="2284499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4807A30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Queiroz et al.</w:t>
            </w:r>
          </w:p>
        </w:tc>
        <w:tc>
          <w:tcPr>
            <w:tcW w:w="962" w:type="dxa"/>
            <w:vAlign w:val="center"/>
            <w:hideMark/>
          </w:tcPr>
          <w:p w14:paraId="6805614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Supply chain resilience in disruptive crises</w:t>
            </w:r>
          </w:p>
        </w:tc>
        <w:tc>
          <w:tcPr>
            <w:tcW w:w="820" w:type="dxa"/>
            <w:vAlign w:val="center"/>
            <w:hideMark/>
          </w:tcPr>
          <w:p w14:paraId="31730EE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60EBF4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1ECC0193" w14:textId="77777777" w:rsidR="006264DC" w:rsidRPr="00950C3A" w:rsidRDefault="006264DC" w:rsidP="00553238">
            <w:pPr>
              <w:spacing w:after="0" w:line="240" w:lineRule="auto"/>
              <w:rPr>
                <w:rFonts w:ascii="Arial" w:hAnsi="Arial" w:cs="Arial"/>
                <w:sz w:val="20"/>
                <w:szCs w:val="20"/>
              </w:rPr>
            </w:pPr>
            <w:hyperlink r:id="rId199" w:tgtFrame="_new" w:history="1">
              <w:r w:rsidRPr="00950C3A">
                <w:rPr>
                  <w:rStyle w:val="Hyperlink"/>
                  <w:rFonts w:ascii="Arial" w:hAnsi="Arial" w:cs="Arial"/>
                  <w:color w:val="auto"/>
                  <w:sz w:val="20"/>
                  <w:szCs w:val="20"/>
                </w:rPr>
                <w:t>https://onlinelibrary.wiley.com/doi/full/10.1111/1467-8551.12678</w:t>
              </w:r>
            </w:hyperlink>
          </w:p>
        </w:tc>
      </w:tr>
      <w:tr w:rsidR="006264DC" w:rsidRPr="00950C3A" w14:paraId="10726E2D" w14:textId="77777777" w:rsidTr="00553238">
        <w:trPr>
          <w:tblCellSpacing w:w="15" w:type="dxa"/>
        </w:trPr>
        <w:tc>
          <w:tcPr>
            <w:tcW w:w="517" w:type="dxa"/>
            <w:vAlign w:val="center"/>
            <w:hideMark/>
          </w:tcPr>
          <w:p w14:paraId="28912191"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2024</w:t>
            </w:r>
          </w:p>
        </w:tc>
        <w:tc>
          <w:tcPr>
            <w:tcW w:w="963" w:type="dxa"/>
            <w:vAlign w:val="center"/>
            <w:hideMark/>
          </w:tcPr>
          <w:p w14:paraId="62C18320"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Nikoocar</w:t>
            </w:r>
            <w:proofErr w:type="spellEnd"/>
            <w:r w:rsidRPr="00950C3A">
              <w:rPr>
                <w:rFonts w:ascii="Arial" w:hAnsi="Arial" w:cs="Arial"/>
                <w:sz w:val="20"/>
                <w:szCs w:val="20"/>
              </w:rPr>
              <w:t xml:space="preserve"> et al.</w:t>
            </w:r>
          </w:p>
        </w:tc>
        <w:tc>
          <w:tcPr>
            <w:tcW w:w="962" w:type="dxa"/>
            <w:vAlign w:val="center"/>
            <w:hideMark/>
          </w:tcPr>
          <w:p w14:paraId="34D05F7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Supply chain resilience and disruption response</w:t>
            </w:r>
          </w:p>
        </w:tc>
        <w:tc>
          <w:tcPr>
            <w:tcW w:w="820" w:type="dxa"/>
            <w:vAlign w:val="center"/>
            <w:hideMark/>
          </w:tcPr>
          <w:p w14:paraId="38EAD68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4340C4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7BC6B09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https://www.sciencedirect.com/science/article/pii/S0925527324001236</w:t>
            </w:r>
          </w:p>
        </w:tc>
      </w:tr>
      <w:tr w:rsidR="006264DC" w:rsidRPr="00950C3A" w14:paraId="65608D05" w14:textId="77777777" w:rsidTr="00553238">
        <w:trPr>
          <w:tblCellSpacing w:w="15" w:type="dxa"/>
        </w:trPr>
        <w:tc>
          <w:tcPr>
            <w:tcW w:w="517" w:type="dxa"/>
            <w:vAlign w:val="center"/>
            <w:hideMark/>
          </w:tcPr>
          <w:p w14:paraId="10F960A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49FCE7B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Bag et al.</w:t>
            </w:r>
          </w:p>
        </w:tc>
        <w:tc>
          <w:tcPr>
            <w:tcW w:w="962" w:type="dxa"/>
            <w:vAlign w:val="center"/>
            <w:hideMark/>
          </w:tcPr>
          <w:p w14:paraId="0653230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Big data analytics and supply chain resilience</w:t>
            </w:r>
          </w:p>
        </w:tc>
        <w:tc>
          <w:tcPr>
            <w:tcW w:w="820" w:type="dxa"/>
            <w:vAlign w:val="center"/>
            <w:hideMark/>
          </w:tcPr>
          <w:p w14:paraId="3E74074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0447338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3A90F054" w14:textId="77777777" w:rsidR="006264DC" w:rsidRPr="00950C3A" w:rsidRDefault="006264DC" w:rsidP="00553238">
            <w:pPr>
              <w:spacing w:after="0" w:line="240" w:lineRule="auto"/>
              <w:rPr>
                <w:rFonts w:ascii="Arial" w:hAnsi="Arial" w:cs="Arial"/>
                <w:sz w:val="20"/>
                <w:szCs w:val="20"/>
              </w:rPr>
            </w:pPr>
            <w:hyperlink r:id="rId200" w:tgtFrame="_new" w:history="1">
              <w:r w:rsidRPr="00950C3A">
                <w:rPr>
                  <w:rStyle w:val="Hyperlink"/>
                  <w:rFonts w:ascii="Arial" w:hAnsi="Arial" w:cs="Arial"/>
                  <w:color w:val="auto"/>
                  <w:sz w:val="20"/>
                  <w:szCs w:val="20"/>
                </w:rPr>
                <w:t>https://doi.org/10.1108/IJLM-03-2022-0126</w:t>
              </w:r>
            </w:hyperlink>
          </w:p>
        </w:tc>
      </w:tr>
      <w:tr w:rsidR="006264DC" w:rsidRPr="00950C3A" w14:paraId="170D23B6" w14:textId="77777777" w:rsidTr="00553238">
        <w:trPr>
          <w:tblCellSpacing w:w="15" w:type="dxa"/>
        </w:trPr>
        <w:tc>
          <w:tcPr>
            <w:tcW w:w="517" w:type="dxa"/>
            <w:vAlign w:val="center"/>
            <w:hideMark/>
          </w:tcPr>
          <w:p w14:paraId="440EF61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0D03EB8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Huang et al.</w:t>
            </w:r>
          </w:p>
        </w:tc>
        <w:tc>
          <w:tcPr>
            <w:tcW w:w="962" w:type="dxa"/>
            <w:vAlign w:val="center"/>
            <w:hideMark/>
          </w:tcPr>
          <w:p w14:paraId="6A6FA11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resilience capabilities</w:t>
            </w:r>
          </w:p>
        </w:tc>
        <w:tc>
          <w:tcPr>
            <w:tcW w:w="820" w:type="dxa"/>
            <w:vAlign w:val="center"/>
            <w:hideMark/>
          </w:tcPr>
          <w:p w14:paraId="5782C8C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F5DCF6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5CE9F94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https://www.sciencedirect.com/science/article/pii/S0925527323001560</w:t>
            </w:r>
          </w:p>
        </w:tc>
      </w:tr>
      <w:tr w:rsidR="006264DC" w:rsidRPr="00950C3A" w14:paraId="0CFE6334" w14:textId="77777777" w:rsidTr="00553238">
        <w:trPr>
          <w:tblCellSpacing w:w="15" w:type="dxa"/>
        </w:trPr>
        <w:tc>
          <w:tcPr>
            <w:tcW w:w="517" w:type="dxa"/>
            <w:vAlign w:val="center"/>
            <w:hideMark/>
          </w:tcPr>
          <w:p w14:paraId="6E1FCDD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5527967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Lee et al.</w:t>
            </w:r>
          </w:p>
        </w:tc>
        <w:tc>
          <w:tcPr>
            <w:tcW w:w="962" w:type="dxa"/>
            <w:vAlign w:val="center"/>
            <w:hideMark/>
          </w:tcPr>
          <w:p w14:paraId="6AC3BD9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Disruption response and recovery in supply chains</w:t>
            </w:r>
          </w:p>
        </w:tc>
        <w:tc>
          <w:tcPr>
            <w:tcW w:w="820" w:type="dxa"/>
            <w:vAlign w:val="center"/>
            <w:hideMark/>
          </w:tcPr>
          <w:p w14:paraId="724C9DA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0048BCB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017BFF50" w14:textId="77777777" w:rsidR="006264DC" w:rsidRPr="00950C3A" w:rsidRDefault="006264DC" w:rsidP="00553238">
            <w:pPr>
              <w:spacing w:after="0" w:line="240" w:lineRule="auto"/>
              <w:rPr>
                <w:rFonts w:ascii="Arial" w:hAnsi="Arial" w:cs="Arial"/>
                <w:sz w:val="20"/>
                <w:szCs w:val="20"/>
              </w:rPr>
            </w:pPr>
            <w:hyperlink r:id="rId201" w:tgtFrame="_new" w:history="1">
              <w:r w:rsidRPr="00950C3A">
                <w:rPr>
                  <w:rStyle w:val="Hyperlink"/>
                  <w:rFonts w:ascii="Arial" w:hAnsi="Arial" w:cs="Arial"/>
                  <w:color w:val="auto"/>
                  <w:sz w:val="20"/>
                  <w:szCs w:val="20"/>
                </w:rPr>
                <w:t>https://www.sciencedirect.com/science/article/pii/S1478409223000663</w:t>
              </w:r>
            </w:hyperlink>
          </w:p>
        </w:tc>
      </w:tr>
      <w:tr w:rsidR="006264DC" w:rsidRPr="00950C3A" w14:paraId="7AAA9E1B" w14:textId="77777777" w:rsidTr="00553238">
        <w:trPr>
          <w:tblCellSpacing w:w="15" w:type="dxa"/>
        </w:trPr>
        <w:tc>
          <w:tcPr>
            <w:tcW w:w="517" w:type="dxa"/>
            <w:vAlign w:val="center"/>
            <w:hideMark/>
          </w:tcPr>
          <w:p w14:paraId="16307A2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5CCAE210"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Rauniyar</w:t>
            </w:r>
            <w:proofErr w:type="spellEnd"/>
            <w:r w:rsidRPr="00950C3A">
              <w:rPr>
                <w:rFonts w:ascii="Arial" w:hAnsi="Arial" w:cs="Arial"/>
                <w:sz w:val="20"/>
                <w:szCs w:val="20"/>
              </w:rPr>
              <w:t xml:space="preserve"> et al.</w:t>
            </w:r>
          </w:p>
        </w:tc>
        <w:tc>
          <w:tcPr>
            <w:tcW w:w="962" w:type="dxa"/>
            <w:vAlign w:val="center"/>
            <w:hideMark/>
          </w:tcPr>
          <w:p w14:paraId="6E4F6CF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Blockchain and risk management in supply chains</w:t>
            </w:r>
          </w:p>
        </w:tc>
        <w:tc>
          <w:tcPr>
            <w:tcW w:w="820" w:type="dxa"/>
            <w:vAlign w:val="center"/>
            <w:hideMark/>
          </w:tcPr>
          <w:p w14:paraId="7814CBF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50E1F3C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07524841" w14:textId="77777777" w:rsidR="006264DC" w:rsidRPr="00950C3A" w:rsidRDefault="006264DC" w:rsidP="00553238">
            <w:pPr>
              <w:spacing w:after="0" w:line="240" w:lineRule="auto"/>
              <w:rPr>
                <w:rFonts w:ascii="Arial" w:hAnsi="Arial" w:cs="Arial"/>
                <w:sz w:val="20"/>
                <w:szCs w:val="20"/>
              </w:rPr>
            </w:pPr>
            <w:hyperlink r:id="rId202" w:tgtFrame="_new" w:history="1">
              <w:r w:rsidRPr="00950C3A">
                <w:rPr>
                  <w:rStyle w:val="Hyperlink"/>
                  <w:rFonts w:ascii="Arial" w:hAnsi="Arial" w:cs="Arial"/>
                  <w:color w:val="auto"/>
                  <w:sz w:val="20"/>
                  <w:szCs w:val="20"/>
                </w:rPr>
                <w:t>https://www.emerald.com/insight/content/doi/10.1108/IMDS-04-2021-0235/full/html</w:t>
              </w:r>
            </w:hyperlink>
          </w:p>
        </w:tc>
      </w:tr>
      <w:tr w:rsidR="006264DC" w:rsidRPr="00950C3A" w14:paraId="3DCE3191" w14:textId="77777777" w:rsidTr="00553238">
        <w:trPr>
          <w:tblCellSpacing w:w="15" w:type="dxa"/>
        </w:trPr>
        <w:tc>
          <w:tcPr>
            <w:tcW w:w="517" w:type="dxa"/>
            <w:vAlign w:val="center"/>
            <w:hideMark/>
          </w:tcPr>
          <w:p w14:paraId="7E80705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206371AF"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Kazancoglu</w:t>
            </w:r>
            <w:proofErr w:type="spellEnd"/>
            <w:r w:rsidRPr="00950C3A">
              <w:rPr>
                <w:rFonts w:ascii="Arial" w:hAnsi="Arial" w:cs="Arial"/>
                <w:sz w:val="20"/>
                <w:szCs w:val="20"/>
              </w:rPr>
              <w:t xml:space="preserve"> et al.</w:t>
            </w:r>
          </w:p>
        </w:tc>
        <w:tc>
          <w:tcPr>
            <w:tcW w:w="962" w:type="dxa"/>
            <w:vAlign w:val="center"/>
            <w:hideMark/>
          </w:tcPr>
          <w:p w14:paraId="220D0E9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Sustainability and resilience using emerging tech</w:t>
            </w:r>
          </w:p>
        </w:tc>
        <w:tc>
          <w:tcPr>
            <w:tcW w:w="820" w:type="dxa"/>
            <w:vAlign w:val="center"/>
            <w:hideMark/>
          </w:tcPr>
          <w:p w14:paraId="69F532F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7EB0D01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602D1D69" w14:textId="77777777" w:rsidR="006264DC" w:rsidRPr="00950C3A" w:rsidRDefault="006264DC" w:rsidP="00553238">
            <w:pPr>
              <w:spacing w:after="0" w:line="240" w:lineRule="auto"/>
              <w:rPr>
                <w:rFonts w:ascii="Arial" w:hAnsi="Arial" w:cs="Arial"/>
                <w:sz w:val="20"/>
                <w:szCs w:val="20"/>
              </w:rPr>
            </w:pPr>
            <w:hyperlink r:id="rId203" w:tgtFrame="_new" w:history="1">
              <w:r w:rsidRPr="00950C3A">
                <w:rPr>
                  <w:rStyle w:val="Hyperlink"/>
                  <w:rFonts w:ascii="Arial" w:hAnsi="Arial" w:cs="Arial"/>
                  <w:color w:val="auto"/>
                  <w:sz w:val="20"/>
                  <w:szCs w:val="20"/>
                </w:rPr>
                <w:t>https://link.springer.com/article/10.1007/s10479-022-04775-4</w:t>
              </w:r>
            </w:hyperlink>
          </w:p>
        </w:tc>
      </w:tr>
      <w:tr w:rsidR="006264DC" w:rsidRPr="00950C3A" w14:paraId="189DC0C0" w14:textId="77777777" w:rsidTr="00553238">
        <w:trPr>
          <w:tblCellSpacing w:w="15" w:type="dxa"/>
        </w:trPr>
        <w:tc>
          <w:tcPr>
            <w:tcW w:w="517" w:type="dxa"/>
            <w:vAlign w:val="center"/>
            <w:hideMark/>
          </w:tcPr>
          <w:p w14:paraId="2A505B2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lastRenderedPageBreak/>
              <w:t>2023</w:t>
            </w:r>
          </w:p>
        </w:tc>
        <w:tc>
          <w:tcPr>
            <w:tcW w:w="963" w:type="dxa"/>
            <w:vAlign w:val="center"/>
            <w:hideMark/>
          </w:tcPr>
          <w:p w14:paraId="67C5819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Ali et al.</w:t>
            </w:r>
          </w:p>
        </w:tc>
        <w:tc>
          <w:tcPr>
            <w:tcW w:w="962" w:type="dxa"/>
            <w:vAlign w:val="center"/>
            <w:hideMark/>
          </w:tcPr>
          <w:p w14:paraId="1F0A68C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Supply chain complexity and geopolitical risk</w:t>
            </w:r>
          </w:p>
        </w:tc>
        <w:tc>
          <w:tcPr>
            <w:tcW w:w="820" w:type="dxa"/>
            <w:vAlign w:val="center"/>
            <w:hideMark/>
          </w:tcPr>
          <w:p w14:paraId="6D63A1F1"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248851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5326F54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w:t>
            </w:r>
          </w:p>
        </w:tc>
      </w:tr>
      <w:tr w:rsidR="006264DC" w:rsidRPr="00950C3A" w14:paraId="49A446E6" w14:textId="77777777" w:rsidTr="00553238">
        <w:trPr>
          <w:tblCellSpacing w:w="15" w:type="dxa"/>
        </w:trPr>
        <w:tc>
          <w:tcPr>
            <w:tcW w:w="517" w:type="dxa"/>
            <w:vAlign w:val="center"/>
            <w:hideMark/>
          </w:tcPr>
          <w:p w14:paraId="76F8528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2023</w:t>
            </w:r>
          </w:p>
        </w:tc>
        <w:tc>
          <w:tcPr>
            <w:tcW w:w="963" w:type="dxa"/>
            <w:vAlign w:val="center"/>
            <w:hideMark/>
          </w:tcPr>
          <w:p w14:paraId="2F83CC08"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Spieske</w:t>
            </w:r>
            <w:proofErr w:type="spellEnd"/>
            <w:r w:rsidRPr="00950C3A">
              <w:rPr>
                <w:rFonts w:ascii="Arial" w:hAnsi="Arial" w:cs="Arial"/>
                <w:sz w:val="20"/>
                <w:szCs w:val="20"/>
              </w:rPr>
              <w:t xml:space="preserve"> et al.</w:t>
            </w:r>
          </w:p>
        </w:tc>
        <w:tc>
          <w:tcPr>
            <w:tcW w:w="962" w:type="dxa"/>
            <w:vAlign w:val="center"/>
            <w:hideMark/>
          </w:tcPr>
          <w:p w14:paraId="6E371C7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resilience post-COVID</w:t>
            </w:r>
          </w:p>
        </w:tc>
        <w:tc>
          <w:tcPr>
            <w:tcW w:w="820" w:type="dxa"/>
            <w:vAlign w:val="center"/>
            <w:hideMark/>
          </w:tcPr>
          <w:p w14:paraId="534B8E4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149DB7E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01A59DD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https://www.sciencedirect.com/science/article/pii/S0360835223003448</w:t>
            </w:r>
          </w:p>
        </w:tc>
      </w:tr>
      <w:tr w:rsidR="006264DC" w:rsidRPr="00950C3A" w14:paraId="10A07190" w14:textId="77777777" w:rsidTr="00553238">
        <w:trPr>
          <w:tblCellSpacing w:w="15" w:type="dxa"/>
        </w:trPr>
        <w:tc>
          <w:tcPr>
            <w:tcW w:w="517" w:type="dxa"/>
            <w:vAlign w:val="center"/>
            <w:hideMark/>
          </w:tcPr>
          <w:p w14:paraId="3E40B59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5382D3C5"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Bechtsis</w:t>
            </w:r>
            <w:proofErr w:type="spellEnd"/>
            <w:r w:rsidRPr="00950C3A">
              <w:rPr>
                <w:rFonts w:ascii="Arial" w:hAnsi="Arial" w:cs="Arial"/>
                <w:sz w:val="20"/>
                <w:szCs w:val="20"/>
              </w:rPr>
              <w:t xml:space="preserve"> et al.</w:t>
            </w:r>
          </w:p>
        </w:tc>
        <w:tc>
          <w:tcPr>
            <w:tcW w:w="962" w:type="dxa"/>
            <w:vAlign w:val="center"/>
            <w:hideMark/>
          </w:tcPr>
          <w:p w14:paraId="5D0300B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Data-driven resilient supply chains</w:t>
            </w:r>
          </w:p>
        </w:tc>
        <w:tc>
          <w:tcPr>
            <w:tcW w:w="820" w:type="dxa"/>
            <w:vAlign w:val="center"/>
            <w:hideMark/>
          </w:tcPr>
          <w:p w14:paraId="573F1F4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B9FECD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314DCC39" w14:textId="77777777" w:rsidR="006264DC" w:rsidRPr="00950C3A" w:rsidRDefault="006264DC" w:rsidP="00553238">
            <w:pPr>
              <w:spacing w:after="0" w:line="240" w:lineRule="auto"/>
              <w:rPr>
                <w:rFonts w:ascii="Arial" w:hAnsi="Arial" w:cs="Arial"/>
                <w:sz w:val="20"/>
                <w:szCs w:val="20"/>
              </w:rPr>
            </w:pPr>
            <w:hyperlink r:id="rId204" w:tgtFrame="_new" w:history="1">
              <w:r w:rsidRPr="00950C3A">
                <w:rPr>
                  <w:rStyle w:val="Hyperlink"/>
                  <w:rFonts w:ascii="Arial" w:hAnsi="Arial" w:cs="Arial"/>
                  <w:color w:val="auto"/>
                  <w:sz w:val="20"/>
                  <w:szCs w:val="20"/>
                </w:rPr>
                <w:t>https://www.tandfonline.com/doi/full/10.1080/00207543.2021.1957506</w:t>
              </w:r>
            </w:hyperlink>
          </w:p>
        </w:tc>
      </w:tr>
      <w:tr w:rsidR="006264DC" w:rsidRPr="00950C3A" w14:paraId="5327ABA3" w14:textId="77777777" w:rsidTr="00553238">
        <w:trPr>
          <w:tblCellSpacing w:w="15" w:type="dxa"/>
        </w:trPr>
        <w:tc>
          <w:tcPr>
            <w:tcW w:w="517" w:type="dxa"/>
            <w:vAlign w:val="center"/>
            <w:hideMark/>
          </w:tcPr>
          <w:p w14:paraId="7631666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60321CA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Gupta et al.</w:t>
            </w:r>
          </w:p>
        </w:tc>
        <w:tc>
          <w:tcPr>
            <w:tcW w:w="962" w:type="dxa"/>
            <w:vAlign w:val="center"/>
            <w:hideMark/>
          </w:tcPr>
          <w:p w14:paraId="7D8275D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Big data and risk control in supply chains</w:t>
            </w:r>
          </w:p>
        </w:tc>
        <w:tc>
          <w:tcPr>
            <w:tcW w:w="820" w:type="dxa"/>
            <w:vAlign w:val="center"/>
            <w:hideMark/>
          </w:tcPr>
          <w:p w14:paraId="10F0331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69E3EB3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67C3873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https://www.sciencedirect.com/science/article/pii/S0360835222005227</w:t>
            </w:r>
          </w:p>
        </w:tc>
      </w:tr>
      <w:tr w:rsidR="006264DC" w:rsidRPr="00950C3A" w14:paraId="30B4444C" w14:textId="77777777" w:rsidTr="00553238">
        <w:trPr>
          <w:tblCellSpacing w:w="15" w:type="dxa"/>
        </w:trPr>
        <w:tc>
          <w:tcPr>
            <w:tcW w:w="517" w:type="dxa"/>
            <w:vAlign w:val="center"/>
            <w:hideMark/>
          </w:tcPr>
          <w:p w14:paraId="33F077D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2B313A1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Ivanov</w:t>
            </w:r>
          </w:p>
        </w:tc>
        <w:tc>
          <w:tcPr>
            <w:tcW w:w="962" w:type="dxa"/>
            <w:vAlign w:val="center"/>
            <w:hideMark/>
          </w:tcPr>
          <w:p w14:paraId="1A8F0BF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Lean resilience (AURA framework)</w:t>
            </w:r>
          </w:p>
        </w:tc>
        <w:tc>
          <w:tcPr>
            <w:tcW w:w="820" w:type="dxa"/>
            <w:vAlign w:val="center"/>
            <w:hideMark/>
          </w:tcPr>
          <w:p w14:paraId="7CCA69E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7C4EA49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700CA8CA" w14:textId="77777777" w:rsidR="006264DC" w:rsidRPr="00950C3A" w:rsidRDefault="006264DC" w:rsidP="00553238">
            <w:pPr>
              <w:spacing w:after="0" w:line="240" w:lineRule="auto"/>
              <w:rPr>
                <w:rFonts w:ascii="Arial" w:hAnsi="Arial" w:cs="Arial"/>
                <w:sz w:val="20"/>
                <w:szCs w:val="20"/>
              </w:rPr>
            </w:pPr>
            <w:hyperlink r:id="rId205" w:tgtFrame="_new" w:history="1">
              <w:r w:rsidRPr="00950C3A">
                <w:rPr>
                  <w:rStyle w:val="Hyperlink"/>
                  <w:rFonts w:ascii="Arial" w:hAnsi="Arial" w:cs="Arial"/>
                  <w:color w:val="auto"/>
                  <w:sz w:val="20"/>
                  <w:szCs w:val="20"/>
                </w:rPr>
                <w:t>https://www.emerald.com/insight/content/doi/10.1108/IJLM-11-2020-0448/full/html</w:t>
              </w:r>
            </w:hyperlink>
          </w:p>
        </w:tc>
      </w:tr>
      <w:tr w:rsidR="006264DC" w:rsidRPr="00950C3A" w14:paraId="6D28D266" w14:textId="77777777" w:rsidTr="00553238">
        <w:trPr>
          <w:tblCellSpacing w:w="15" w:type="dxa"/>
        </w:trPr>
        <w:tc>
          <w:tcPr>
            <w:tcW w:w="517" w:type="dxa"/>
            <w:vAlign w:val="center"/>
            <w:hideMark/>
          </w:tcPr>
          <w:p w14:paraId="0EACD54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177ECB1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Ivanov</w:t>
            </w:r>
          </w:p>
        </w:tc>
        <w:tc>
          <w:tcPr>
            <w:tcW w:w="962" w:type="dxa"/>
            <w:vAlign w:val="center"/>
            <w:hideMark/>
          </w:tcPr>
          <w:p w14:paraId="7641804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Ripple effect and structural dynamics</w:t>
            </w:r>
          </w:p>
        </w:tc>
        <w:tc>
          <w:tcPr>
            <w:tcW w:w="820" w:type="dxa"/>
            <w:vAlign w:val="center"/>
            <w:hideMark/>
          </w:tcPr>
          <w:p w14:paraId="49E2FE9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44E5FD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6DBFABA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https://www.tandfonline.com/doi/full/10.1080/00207543.2021.1890520</w:t>
            </w:r>
          </w:p>
        </w:tc>
      </w:tr>
      <w:tr w:rsidR="006264DC" w:rsidRPr="00950C3A" w14:paraId="48CA603D" w14:textId="77777777" w:rsidTr="00553238">
        <w:trPr>
          <w:tblCellSpacing w:w="15" w:type="dxa"/>
        </w:trPr>
        <w:tc>
          <w:tcPr>
            <w:tcW w:w="517" w:type="dxa"/>
            <w:vAlign w:val="center"/>
            <w:hideMark/>
          </w:tcPr>
          <w:p w14:paraId="521C7DD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2A1401B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Tortorella et al.</w:t>
            </w:r>
          </w:p>
        </w:tc>
        <w:tc>
          <w:tcPr>
            <w:tcW w:w="962" w:type="dxa"/>
            <w:vAlign w:val="center"/>
            <w:hideMark/>
          </w:tcPr>
          <w:p w14:paraId="5C9278D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contributions to resilience</w:t>
            </w:r>
          </w:p>
        </w:tc>
        <w:tc>
          <w:tcPr>
            <w:tcW w:w="820" w:type="dxa"/>
            <w:vAlign w:val="center"/>
            <w:hideMark/>
          </w:tcPr>
          <w:p w14:paraId="7A327BC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7DC3CA3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5B32D96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https://www.emerald.com/insight/content/doi/10.1108/IJLM-02-2021-0128/full/html</w:t>
            </w:r>
          </w:p>
        </w:tc>
      </w:tr>
      <w:tr w:rsidR="006264DC" w:rsidRPr="00950C3A" w14:paraId="20A701D5" w14:textId="77777777" w:rsidTr="00553238">
        <w:trPr>
          <w:tblCellSpacing w:w="15" w:type="dxa"/>
        </w:trPr>
        <w:tc>
          <w:tcPr>
            <w:tcW w:w="517" w:type="dxa"/>
            <w:vAlign w:val="center"/>
            <w:hideMark/>
          </w:tcPr>
          <w:p w14:paraId="16DAE39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2022</w:t>
            </w:r>
          </w:p>
        </w:tc>
        <w:tc>
          <w:tcPr>
            <w:tcW w:w="963" w:type="dxa"/>
            <w:vAlign w:val="center"/>
            <w:hideMark/>
          </w:tcPr>
          <w:p w14:paraId="665B0DF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Ye et al.</w:t>
            </w:r>
          </w:p>
        </w:tc>
        <w:tc>
          <w:tcPr>
            <w:tcW w:w="962" w:type="dxa"/>
            <w:vAlign w:val="center"/>
            <w:hideMark/>
          </w:tcPr>
          <w:p w14:paraId="4E33E0A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Digital supply chain management during COVID-19</w:t>
            </w:r>
          </w:p>
        </w:tc>
        <w:tc>
          <w:tcPr>
            <w:tcW w:w="820" w:type="dxa"/>
            <w:vAlign w:val="center"/>
            <w:hideMark/>
          </w:tcPr>
          <w:p w14:paraId="373F10C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0974A56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5AF914F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https://www.sciencedirect.com/science/article/pii/S0925527322000265</w:t>
            </w:r>
          </w:p>
        </w:tc>
      </w:tr>
      <w:tr w:rsidR="006264DC" w:rsidRPr="00950C3A" w14:paraId="0931B362" w14:textId="77777777" w:rsidTr="00553238">
        <w:trPr>
          <w:tblCellSpacing w:w="15" w:type="dxa"/>
        </w:trPr>
        <w:tc>
          <w:tcPr>
            <w:tcW w:w="517" w:type="dxa"/>
            <w:vAlign w:val="center"/>
            <w:hideMark/>
          </w:tcPr>
          <w:p w14:paraId="41FE0CA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4A37B54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 xml:space="preserve">Ivanov &amp; </w:t>
            </w:r>
            <w:proofErr w:type="spellStart"/>
            <w:r w:rsidRPr="00950C3A">
              <w:rPr>
                <w:rFonts w:ascii="Arial" w:hAnsi="Arial" w:cs="Arial"/>
                <w:sz w:val="20"/>
                <w:szCs w:val="20"/>
              </w:rPr>
              <w:t>Dolgui</w:t>
            </w:r>
            <w:proofErr w:type="spellEnd"/>
          </w:p>
        </w:tc>
        <w:tc>
          <w:tcPr>
            <w:tcW w:w="962" w:type="dxa"/>
            <w:vAlign w:val="center"/>
            <w:hideMark/>
          </w:tcPr>
          <w:p w14:paraId="5631A25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Digital supply chain twin</w:t>
            </w:r>
          </w:p>
        </w:tc>
        <w:tc>
          <w:tcPr>
            <w:tcW w:w="820" w:type="dxa"/>
            <w:vAlign w:val="center"/>
            <w:hideMark/>
          </w:tcPr>
          <w:p w14:paraId="492D6C4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6EA07C2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1DC77DCC" w14:textId="77777777" w:rsidR="006264DC" w:rsidRPr="00950C3A" w:rsidRDefault="006264DC" w:rsidP="00553238">
            <w:pPr>
              <w:spacing w:after="0" w:line="240" w:lineRule="auto"/>
              <w:rPr>
                <w:rFonts w:ascii="Arial" w:hAnsi="Arial" w:cs="Arial"/>
                <w:sz w:val="20"/>
                <w:szCs w:val="20"/>
              </w:rPr>
            </w:pPr>
            <w:hyperlink r:id="rId206" w:tgtFrame="_new" w:history="1">
              <w:r w:rsidRPr="00950C3A">
                <w:rPr>
                  <w:rStyle w:val="Hyperlink"/>
                  <w:rFonts w:ascii="Arial" w:hAnsi="Arial" w:cs="Arial"/>
                  <w:color w:val="auto"/>
                  <w:sz w:val="20"/>
                  <w:szCs w:val="20"/>
                </w:rPr>
                <w:t>https://www.tandfonline.com/doi/full/10.1080/09537287.2020.1768450</w:t>
              </w:r>
            </w:hyperlink>
          </w:p>
        </w:tc>
      </w:tr>
      <w:tr w:rsidR="006264DC" w:rsidRPr="00950C3A" w14:paraId="04D4C489" w14:textId="77777777" w:rsidTr="00553238">
        <w:trPr>
          <w:tblCellSpacing w:w="15" w:type="dxa"/>
        </w:trPr>
        <w:tc>
          <w:tcPr>
            <w:tcW w:w="517" w:type="dxa"/>
            <w:vAlign w:val="center"/>
            <w:hideMark/>
          </w:tcPr>
          <w:p w14:paraId="52BB79E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7D3FD7A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Dubey et al.</w:t>
            </w:r>
          </w:p>
        </w:tc>
        <w:tc>
          <w:tcPr>
            <w:tcW w:w="962" w:type="dxa"/>
            <w:vAlign w:val="center"/>
            <w:hideMark/>
          </w:tcPr>
          <w:p w14:paraId="1540E18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Data analytics and organisational flexibility</w:t>
            </w:r>
          </w:p>
        </w:tc>
        <w:tc>
          <w:tcPr>
            <w:tcW w:w="820" w:type="dxa"/>
            <w:vAlign w:val="center"/>
            <w:hideMark/>
          </w:tcPr>
          <w:p w14:paraId="751808C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361577E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70A4FEED" w14:textId="77777777" w:rsidR="006264DC" w:rsidRPr="00950C3A" w:rsidRDefault="006264DC" w:rsidP="00553238">
            <w:pPr>
              <w:spacing w:after="0" w:line="240" w:lineRule="auto"/>
              <w:rPr>
                <w:rFonts w:ascii="Arial" w:hAnsi="Arial" w:cs="Arial"/>
                <w:sz w:val="20"/>
                <w:szCs w:val="20"/>
              </w:rPr>
            </w:pPr>
            <w:hyperlink r:id="rId207" w:tgtFrame="_new" w:history="1">
              <w:r w:rsidRPr="00950C3A">
                <w:rPr>
                  <w:rStyle w:val="Hyperlink"/>
                  <w:rFonts w:ascii="Arial" w:hAnsi="Arial" w:cs="Arial"/>
                  <w:color w:val="auto"/>
                  <w:sz w:val="20"/>
                  <w:szCs w:val="20"/>
                </w:rPr>
                <w:t>https://www.tandfonline.com/doi/full/10.1080/00207543.2019.1582820</w:t>
              </w:r>
            </w:hyperlink>
          </w:p>
        </w:tc>
      </w:tr>
      <w:tr w:rsidR="006264DC" w:rsidRPr="00950C3A" w14:paraId="585304E4" w14:textId="77777777" w:rsidTr="00553238">
        <w:trPr>
          <w:tblCellSpacing w:w="15" w:type="dxa"/>
        </w:trPr>
        <w:tc>
          <w:tcPr>
            <w:tcW w:w="517" w:type="dxa"/>
            <w:vAlign w:val="center"/>
            <w:hideMark/>
          </w:tcPr>
          <w:p w14:paraId="718467C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7F8D227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Belhadi et al.</w:t>
            </w:r>
          </w:p>
        </w:tc>
        <w:tc>
          <w:tcPr>
            <w:tcW w:w="962" w:type="dxa"/>
            <w:vAlign w:val="center"/>
            <w:hideMark/>
          </w:tcPr>
          <w:p w14:paraId="64710B6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 xml:space="preserve">COVID-19 and </w:t>
            </w:r>
            <w:r w:rsidRPr="00950C3A">
              <w:rPr>
                <w:rFonts w:ascii="Arial" w:hAnsi="Arial" w:cs="Arial"/>
                <w:sz w:val="20"/>
                <w:szCs w:val="20"/>
              </w:rPr>
              <w:lastRenderedPageBreak/>
              <w:t>supply chain resilience</w:t>
            </w:r>
          </w:p>
        </w:tc>
        <w:tc>
          <w:tcPr>
            <w:tcW w:w="820" w:type="dxa"/>
            <w:vAlign w:val="center"/>
            <w:hideMark/>
          </w:tcPr>
          <w:p w14:paraId="5FD00B5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lastRenderedPageBreak/>
              <w:t>Global</w:t>
            </w:r>
          </w:p>
        </w:tc>
        <w:tc>
          <w:tcPr>
            <w:tcW w:w="1104" w:type="dxa"/>
            <w:vAlign w:val="center"/>
            <w:hideMark/>
          </w:tcPr>
          <w:p w14:paraId="4B510CE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7F681DFA" w14:textId="77777777" w:rsidR="006264DC" w:rsidRPr="00950C3A" w:rsidRDefault="006264DC" w:rsidP="00553238">
            <w:pPr>
              <w:spacing w:after="0" w:line="240" w:lineRule="auto"/>
              <w:rPr>
                <w:rFonts w:ascii="Arial" w:hAnsi="Arial" w:cs="Arial"/>
                <w:sz w:val="20"/>
                <w:szCs w:val="20"/>
              </w:rPr>
            </w:pPr>
            <w:hyperlink r:id="rId208" w:tgtFrame="_new" w:history="1">
              <w:r w:rsidRPr="00950C3A">
                <w:rPr>
                  <w:rStyle w:val="Hyperlink"/>
                  <w:rFonts w:ascii="Arial" w:hAnsi="Arial" w:cs="Arial"/>
                  <w:color w:val="auto"/>
                  <w:sz w:val="20"/>
                  <w:szCs w:val="20"/>
                </w:rPr>
                <w:t>https://www.sciencedirect.com/science/article/pii/S0040162520312737</w:t>
              </w:r>
            </w:hyperlink>
          </w:p>
        </w:tc>
      </w:tr>
      <w:tr w:rsidR="006264DC" w:rsidRPr="00950C3A" w14:paraId="3DBBEFE7" w14:textId="77777777" w:rsidTr="00553238">
        <w:trPr>
          <w:tblCellSpacing w:w="15" w:type="dxa"/>
        </w:trPr>
        <w:tc>
          <w:tcPr>
            <w:tcW w:w="517" w:type="dxa"/>
            <w:vAlign w:val="center"/>
            <w:hideMark/>
          </w:tcPr>
          <w:p w14:paraId="03EF8F7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185EE27B"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Spieske</w:t>
            </w:r>
            <w:proofErr w:type="spellEnd"/>
            <w:r w:rsidRPr="00950C3A">
              <w:rPr>
                <w:rFonts w:ascii="Arial" w:hAnsi="Arial" w:cs="Arial"/>
                <w:sz w:val="20"/>
                <w:szCs w:val="20"/>
              </w:rPr>
              <w:t xml:space="preserve"> &amp; Birkel</w:t>
            </w:r>
          </w:p>
        </w:tc>
        <w:tc>
          <w:tcPr>
            <w:tcW w:w="962" w:type="dxa"/>
            <w:vAlign w:val="center"/>
            <w:hideMark/>
          </w:tcPr>
          <w:p w14:paraId="0B2348E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resilience</w:t>
            </w:r>
          </w:p>
        </w:tc>
        <w:tc>
          <w:tcPr>
            <w:tcW w:w="820" w:type="dxa"/>
            <w:vAlign w:val="center"/>
            <w:hideMark/>
          </w:tcPr>
          <w:p w14:paraId="63B06C9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02425F7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4755B2DF" w14:textId="77777777" w:rsidR="006264DC" w:rsidRPr="00950C3A" w:rsidRDefault="006264DC" w:rsidP="00553238">
            <w:pPr>
              <w:spacing w:after="0" w:line="240" w:lineRule="auto"/>
              <w:rPr>
                <w:rFonts w:ascii="Arial" w:hAnsi="Arial" w:cs="Arial"/>
                <w:sz w:val="20"/>
                <w:szCs w:val="20"/>
              </w:rPr>
            </w:pPr>
            <w:hyperlink r:id="rId209" w:tgtFrame="_new" w:history="1">
              <w:r w:rsidRPr="00950C3A">
                <w:rPr>
                  <w:rStyle w:val="Hyperlink"/>
                  <w:rFonts w:ascii="Arial" w:hAnsi="Arial" w:cs="Arial"/>
                  <w:color w:val="auto"/>
                  <w:sz w:val="20"/>
                  <w:szCs w:val="20"/>
                </w:rPr>
                <w:t>https://www.tandfonline.com/doi/full/10.1080/09537287.2020.1810764</w:t>
              </w:r>
            </w:hyperlink>
          </w:p>
        </w:tc>
      </w:tr>
      <w:tr w:rsidR="006264DC" w:rsidRPr="00950C3A" w14:paraId="020F9E5F" w14:textId="77777777" w:rsidTr="00553238">
        <w:trPr>
          <w:tblCellSpacing w:w="15" w:type="dxa"/>
        </w:trPr>
        <w:tc>
          <w:tcPr>
            <w:tcW w:w="517" w:type="dxa"/>
            <w:vAlign w:val="center"/>
            <w:hideMark/>
          </w:tcPr>
          <w:p w14:paraId="6DEF480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0FAC4AC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Queiroz et al.</w:t>
            </w:r>
          </w:p>
        </w:tc>
        <w:tc>
          <w:tcPr>
            <w:tcW w:w="962" w:type="dxa"/>
            <w:vAlign w:val="center"/>
            <w:hideMark/>
          </w:tcPr>
          <w:p w14:paraId="5FBE954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capabilities framework</w:t>
            </w:r>
          </w:p>
        </w:tc>
        <w:tc>
          <w:tcPr>
            <w:tcW w:w="820" w:type="dxa"/>
            <w:vAlign w:val="center"/>
            <w:hideMark/>
          </w:tcPr>
          <w:p w14:paraId="2D71B9D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7EF2EF93"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48DDDA61" w14:textId="77777777" w:rsidR="006264DC" w:rsidRPr="00950C3A" w:rsidRDefault="006264DC" w:rsidP="00553238">
            <w:pPr>
              <w:spacing w:after="0" w:line="240" w:lineRule="auto"/>
              <w:rPr>
                <w:rFonts w:ascii="Arial" w:hAnsi="Arial" w:cs="Arial"/>
                <w:sz w:val="20"/>
                <w:szCs w:val="20"/>
              </w:rPr>
            </w:pPr>
            <w:hyperlink r:id="rId210" w:tgtFrame="_new" w:history="1">
              <w:r w:rsidRPr="00950C3A">
                <w:rPr>
                  <w:rStyle w:val="Hyperlink"/>
                  <w:rFonts w:ascii="Arial" w:hAnsi="Arial" w:cs="Arial"/>
                  <w:color w:val="auto"/>
                  <w:sz w:val="20"/>
                  <w:szCs w:val="20"/>
                </w:rPr>
                <w:t>https://www.emerald.com/insight/content/doi/10.1108/BIJ-12-2018-0435/full/html</w:t>
              </w:r>
            </w:hyperlink>
          </w:p>
        </w:tc>
      </w:tr>
      <w:tr w:rsidR="006264DC" w:rsidRPr="00950C3A" w14:paraId="52455709" w14:textId="77777777" w:rsidTr="00553238">
        <w:trPr>
          <w:tblCellSpacing w:w="15" w:type="dxa"/>
        </w:trPr>
        <w:tc>
          <w:tcPr>
            <w:tcW w:w="517" w:type="dxa"/>
            <w:vAlign w:val="center"/>
            <w:hideMark/>
          </w:tcPr>
          <w:p w14:paraId="2C3B61E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2021</w:t>
            </w:r>
          </w:p>
        </w:tc>
        <w:tc>
          <w:tcPr>
            <w:tcW w:w="963" w:type="dxa"/>
            <w:vAlign w:val="center"/>
            <w:hideMark/>
          </w:tcPr>
          <w:p w14:paraId="7D27A805"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Ju et al.</w:t>
            </w:r>
          </w:p>
        </w:tc>
        <w:tc>
          <w:tcPr>
            <w:tcW w:w="962" w:type="dxa"/>
            <w:vAlign w:val="center"/>
            <w:hideMark/>
          </w:tcPr>
          <w:p w14:paraId="7565B52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Value co-creation in logistics resilience</w:t>
            </w:r>
          </w:p>
        </w:tc>
        <w:tc>
          <w:tcPr>
            <w:tcW w:w="820" w:type="dxa"/>
            <w:vAlign w:val="center"/>
            <w:hideMark/>
          </w:tcPr>
          <w:p w14:paraId="59E2DA2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6ED7ED4C"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6CB7625C" w14:textId="77777777" w:rsidR="006264DC" w:rsidRPr="00950C3A" w:rsidRDefault="006264DC" w:rsidP="00553238">
            <w:pPr>
              <w:spacing w:after="0" w:line="240" w:lineRule="auto"/>
              <w:rPr>
                <w:rFonts w:ascii="Arial" w:hAnsi="Arial" w:cs="Arial"/>
                <w:sz w:val="20"/>
                <w:szCs w:val="20"/>
              </w:rPr>
            </w:pPr>
            <w:hyperlink r:id="rId211" w:tgtFrame="_new" w:history="1">
              <w:r w:rsidRPr="00950C3A">
                <w:rPr>
                  <w:rStyle w:val="Hyperlink"/>
                  <w:rFonts w:ascii="Arial" w:hAnsi="Arial" w:cs="Arial"/>
                  <w:color w:val="auto"/>
                  <w:sz w:val="20"/>
                  <w:szCs w:val="20"/>
                </w:rPr>
                <w:t>https://www.emerald.com/insight/content/doi/10.1108/IMDS-08-2020-0445/full/html</w:t>
              </w:r>
            </w:hyperlink>
          </w:p>
        </w:tc>
      </w:tr>
      <w:tr w:rsidR="006264DC" w:rsidRPr="00950C3A" w14:paraId="2C2AFE9B" w14:textId="77777777" w:rsidTr="00553238">
        <w:trPr>
          <w:tblCellSpacing w:w="15" w:type="dxa"/>
        </w:trPr>
        <w:tc>
          <w:tcPr>
            <w:tcW w:w="517" w:type="dxa"/>
            <w:vAlign w:val="center"/>
            <w:hideMark/>
          </w:tcPr>
          <w:p w14:paraId="4928D89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2020</w:t>
            </w:r>
          </w:p>
        </w:tc>
        <w:tc>
          <w:tcPr>
            <w:tcW w:w="963" w:type="dxa"/>
            <w:vAlign w:val="center"/>
            <w:hideMark/>
          </w:tcPr>
          <w:p w14:paraId="3F0A47B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 xml:space="preserve">Ivanov &amp; </w:t>
            </w:r>
            <w:proofErr w:type="spellStart"/>
            <w:r w:rsidRPr="00950C3A">
              <w:rPr>
                <w:rFonts w:ascii="Arial" w:hAnsi="Arial" w:cs="Arial"/>
                <w:sz w:val="20"/>
                <w:szCs w:val="20"/>
              </w:rPr>
              <w:t>Dolgui</w:t>
            </w:r>
            <w:proofErr w:type="spellEnd"/>
          </w:p>
        </w:tc>
        <w:tc>
          <w:tcPr>
            <w:tcW w:w="962" w:type="dxa"/>
            <w:vAlign w:val="center"/>
            <w:hideMark/>
          </w:tcPr>
          <w:p w14:paraId="086EF58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Viability of supply chain networks</w:t>
            </w:r>
          </w:p>
        </w:tc>
        <w:tc>
          <w:tcPr>
            <w:tcW w:w="820" w:type="dxa"/>
            <w:vAlign w:val="center"/>
            <w:hideMark/>
          </w:tcPr>
          <w:p w14:paraId="23CEFE89"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57079F3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5A73EBD4" w14:textId="77777777" w:rsidR="006264DC" w:rsidRPr="00950C3A" w:rsidRDefault="006264DC" w:rsidP="00553238">
            <w:pPr>
              <w:spacing w:after="0" w:line="240" w:lineRule="auto"/>
              <w:rPr>
                <w:rFonts w:ascii="Arial" w:hAnsi="Arial" w:cs="Arial"/>
                <w:sz w:val="20"/>
                <w:szCs w:val="20"/>
              </w:rPr>
            </w:pPr>
            <w:hyperlink r:id="rId212" w:tgtFrame="_new" w:history="1">
              <w:r w:rsidRPr="00950C3A">
                <w:rPr>
                  <w:rStyle w:val="Hyperlink"/>
                  <w:rFonts w:ascii="Arial" w:hAnsi="Arial" w:cs="Arial"/>
                  <w:color w:val="auto"/>
                  <w:sz w:val="20"/>
                  <w:szCs w:val="20"/>
                </w:rPr>
                <w:t>https://www.tandfonline.com/doi/full/10.1080/00207543.2020.1750727</w:t>
              </w:r>
            </w:hyperlink>
          </w:p>
        </w:tc>
      </w:tr>
      <w:tr w:rsidR="006264DC" w:rsidRPr="00950C3A" w14:paraId="2CEA569A" w14:textId="77777777" w:rsidTr="00553238">
        <w:trPr>
          <w:tblCellSpacing w:w="15" w:type="dxa"/>
        </w:trPr>
        <w:tc>
          <w:tcPr>
            <w:tcW w:w="517" w:type="dxa"/>
            <w:vAlign w:val="center"/>
            <w:hideMark/>
          </w:tcPr>
          <w:p w14:paraId="08764AF1"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2020</w:t>
            </w:r>
          </w:p>
        </w:tc>
        <w:tc>
          <w:tcPr>
            <w:tcW w:w="963" w:type="dxa"/>
            <w:vAlign w:val="center"/>
            <w:hideMark/>
          </w:tcPr>
          <w:p w14:paraId="3D25AFB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Ralston &amp; Blackhurst</w:t>
            </w:r>
          </w:p>
        </w:tc>
        <w:tc>
          <w:tcPr>
            <w:tcW w:w="962" w:type="dxa"/>
            <w:vAlign w:val="center"/>
            <w:hideMark/>
          </w:tcPr>
          <w:p w14:paraId="69D36AE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resilience capability</w:t>
            </w:r>
          </w:p>
        </w:tc>
        <w:tc>
          <w:tcPr>
            <w:tcW w:w="820" w:type="dxa"/>
            <w:vAlign w:val="center"/>
            <w:hideMark/>
          </w:tcPr>
          <w:p w14:paraId="6EB9152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D6E69D1"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1FDE442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https://www.tandfonline.com/doi/full/10.1080/00207543.2020.1736724</w:t>
            </w:r>
          </w:p>
        </w:tc>
      </w:tr>
      <w:tr w:rsidR="006264DC" w:rsidRPr="00950C3A" w14:paraId="602E21A7" w14:textId="77777777" w:rsidTr="00553238">
        <w:trPr>
          <w:tblCellSpacing w:w="15" w:type="dxa"/>
        </w:trPr>
        <w:tc>
          <w:tcPr>
            <w:tcW w:w="517" w:type="dxa"/>
            <w:vAlign w:val="center"/>
            <w:hideMark/>
          </w:tcPr>
          <w:p w14:paraId="35092D2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2020</w:t>
            </w:r>
          </w:p>
        </w:tc>
        <w:tc>
          <w:tcPr>
            <w:tcW w:w="963" w:type="dxa"/>
            <w:vAlign w:val="center"/>
            <w:hideMark/>
          </w:tcPr>
          <w:p w14:paraId="3C154D5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Xu et al.</w:t>
            </w:r>
          </w:p>
        </w:tc>
        <w:tc>
          <w:tcPr>
            <w:tcW w:w="962" w:type="dxa"/>
            <w:vAlign w:val="center"/>
            <w:hideMark/>
          </w:tcPr>
          <w:p w14:paraId="1845C4B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Industry 4.0 and supply chain visibility</w:t>
            </w:r>
          </w:p>
        </w:tc>
        <w:tc>
          <w:tcPr>
            <w:tcW w:w="820" w:type="dxa"/>
            <w:vAlign w:val="center"/>
            <w:hideMark/>
          </w:tcPr>
          <w:p w14:paraId="4798C22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4A5E1170"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15CFCE6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https://www.sciencedirect.com/science/article/pii/S016636152030006X</w:t>
            </w:r>
          </w:p>
        </w:tc>
      </w:tr>
      <w:tr w:rsidR="006264DC" w:rsidRPr="00950C3A" w14:paraId="0E53B95D" w14:textId="77777777" w:rsidTr="00553238">
        <w:trPr>
          <w:tblCellSpacing w:w="15" w:type="dxa"/>
        </w:trPr>
        <w:tc>
          <w:tcPr>
            <w:tcW w:w="517" w:type="dxa"/>
            <w:vAlign w:val="center"/>
            <w:hideMark/>
          </w:tcPr>
          <w:p w14:paraId="64CDF48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2020</w:t>
            </w:r>
          </w:p>
        </w:tc>
        <w:tc>
          <w:tcPr>
            <w:tcW w:w="963" w:type="dxa"/>
            <w:vAlign w:val="center"/>
            <w:hideMark/>
          </w:tcPr>
          <w:p w14:paraId="4C2A0E3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Dubey et al.</w:t>
            </w:r>
          </w:p>
        </w:tc>
        <w:tc>
          <w:tcPr>
            <w:tcW w:w="962" w:type="dxa"/>
            <w:vAlign w:val="center"/>
            <w:hideMark/>
          </w:tcPr>
          <w:p w14:paraId="046F6E6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Collaboration and resilience</w:t>
            </w:r>
          </w:p>
        </w:tc>
        <w:tc>
          <w:tcPr>
            <w:tcW w:w="820" w:type="dxa"/>
            <w:vAlign w:val="center"/>
            <w:hideMark/>
          </w:tcPr>
          <w:p w14:paraId="41EA4D6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54A7BA1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Empirical</w:t>
            </w:r>
          </w:p>
        </w:tc>
        <w:tc>
          <w:tcPr>
            <w:tcW w:w="3216" w:type="dxa"/>
            <w:vAlign w:val="center"/>
            <w:hideMark/>
          </w:tcPr>
          <w:p w14:paraId="419BBAA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https://www.sciencedirect.com/science/article/pii/S0925527320301962</w:t>
            </w:r>
          </w:p>
        </w:tc>
      </w:tr>
      <w:tr w:rsidR="006264DC" w:rsidRPr="00950C3A" w14:paraId="2831E349" w14:textId="77777777" w:rsidTr="00553238">
        <w:trPr>
          <w:tblCellSpacing w:w="15" w:type="dxa"/>
        </w:trPr>
        <w:tc>
          <w:tcPr>
            <w:tcW w:w="517" w:type="dxa"/>
            <w:vAlign w:val="center"/>
            <w:hideMark/>
          </w:tcPr>
          <w:p w14:paraId="3CFAD67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2018</w:t>
            </w:r>
          </w:p>
        </w:tc>
        <w:tc>
          <w:tcPr>
            <w:tcW w:w="963" w:type="dxa"/>
            <w:vAlign w:val="center"/>
            <w:hideMark/>
          </w:tcPr>
          <w:p w14:paraId="7E02571D"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Turner et al.</w:t>
            </w:r>
          </w:p>
        </w:tc>
        <w:tc>
          <w:tcPr>
            <w:tcW w:w="962" w:type="dxa"/>
            <w:vAlign w:val="center"/>
            <w:hideMark/>
          </w:tcPr>
          <w:p w14:paraId="3AD4E31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Supply chain complexity frameworks</w:t>
            </w:r>
          </w:p>
        </w:tc>
        <w:tc>
          <w:tcPr>
            <w:tcW w:w="820" w:type="dxa"/>
            <w:vAlign w:val="center"/>
            <w:hideMark/>
          </w:tcPr>
          <w:p w14:paraId="1419481F"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28F0816A"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2DA1832B"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https://www.emerald.com/insight/content/doi/10.1108/IJOPM-01-2017-0006/full/html</w:t>
            </w:r>
          </w:p>
        </w:tc>
      </w:tr>
      <w:tr w:rsidR="006264DC" w:rsidRPr="00950C3A" w14:paraId="42236D05" w14:textId="77777777" w:rsidTr="00553238">
        <w:trPr>
          <w:tblCellSpacing w:w="15" w:type="dxa"/>
        </w:trPr>
        <w:tc>
          <w:tcPr>
            <w:tcW w:w="517" w:type="dxa"/>
            <w:vAlign w:val="center"/>
            <w:hideMark/>
          </w:tcPr>
          <w:p w14:paraId="1CE9391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2015</w:t>
            </w:r>
          </w:p>
        </w:tc>
        <w:tc>
          <w:tcPr>
            <w:tcW w:w="963" w:type="dxa"/>
            <w:vAlign w:val="center"/>
            <w:hideMark/>
          </w:tcPr>
          <w:p w14:paraId="3A410652" w14:textId="77777777" w:rsidR="006264DC" w:rsidRPr="00950C3A" w:rsidRDefault="006264DC" w:rsidP="00553238">
            <w:pPr>
              <w:spacing w:after="0" w:line="240" w:lineRule="auto"/>
              <w:rPr>
                <w:rFonts w:ascii="Arial" w:hAnsi="Arial" w:cs="Arial"/>
                <w:sz w:val="20"/>
                <w:szCs w:val="20"/>
              </w:rPr>
            </w:pPr>
            <w:proofErr w:type="spellStart"/>
            <w:r w:rsidRPr="00950C3A">
              <w:rPr>
                <w:rFonts w:ascii="Arial" w:hAnsi="Arial" w:cs="Arial"/>
                <w:sz w:val="20"/>
                <w:szCs w:val="20"/>
              </w:rPr>
              <w:t>Durach</w:t>
            </w:r>
            <w:proofErr w:type="spellEnd"/>
            <w:r w:rsidRPr="00950C3A">
              <w:rPr>
                <w:rFonts w:ascii="Arial" w:hAnsi="Arial" w:cs="Arial"/>
                <w:sz w:val="20"/>
                <w:szCs w:val="20"/>
              </w:rPr>
              <w:t xml:space="preserve"> et al.</w:t>
            </w:r>
          </w:p>
        </w:tc>
        <w:tc>
          <w:tcPr>
            <w:tcW w:w="962" w:type="dxa"/>
            <w:vAlign w:val="center"/>
            <w:hideMark/>
          </w:tcPr>
          <w:p w14:paraId="6B9C4A2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Supply chain robustness and risk management</w:t>
            </w:r>
          </w:p>
        </w:tc>
        <w:tc>
          <w:tcPr>
            <w:tcW w:w="820" w:type="dxa"/>
            <w:vAlign w:val="center"/>
            <w:hideMark/>
          </w:tcPr>
          <w:p w14:paraId="65D4EC17"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3472245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19EA0736"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https://www.emerald.com/insight/content/doi/10.1108/IJPDLM-05-2013-0138/full/html</w:t>
            </w:r>
          </w:p>
        </w:tc>
      </w:tr>
      <w:tr w:rsidR="006264DC" w:rsidRPr="00950C3A" w14:paraId="4B2457D8" w14:textId="77777777" w:rsidTr="00553238">
        <w:trPr>
          <w:tblCellSpacing w:w="15" w:type="dxa"/>
        </w:trPr>
        <w:tc>
          <w:tcPr>
            <w:tcW w:w="517" w:type="dxa"/>
            <w:vAlign w:val="center"/>
            <w:hideMark/>
          </w:tcPr>
          <w:p w14:paraId="641A40D1"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2004</w:t>
            </w:r>
          </w:p>
        </w:tc>
        <w:tc>
          <w:tcPr>
            <w:tcW w:w="963" w:type="dxa"/>
            <w:vAlign w:val="center"/>
            <w:hideMark/>
          </w:tcPr>
          <w:p w14:paraId="5E357042"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Christopher &amp; Peck</w:t>
            </w:r>
          </w:p>
        </w:tc>
        <w:tc>
          <w:tcPr>
            <w:tcW w:w="962" w:type="dxa"/>
            <w:vAlign w:val="center"/>
            <w:hideMark/>
          </w:tcPr>
          <w:p w14:paraId="4320881E"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Foundational supply chain resilience model</w:t>
            </w:r>
          </w:p>
        </w:tc>
        <w:tc>
          <w:tcPr>
            <w:tcW w:w="820" w:type="dxa"/>
            <w:vAlign w:val="center"/>
            <w:hideMark/>
          </w:tcPr>
          <w:p w14:paraId="5212AF34"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Global</w:t>
            </w:r>
          </w:p>
        </w:tc>
        <w:tc>
          <w:tcPr>
            <w:tcW w:w="1104" w:type="dxa"/>
            <w:vAlign w:val="center"/>
            <w:hideMark/>
          </w:tcPr>
          <w:p w14:paraId="31D84298" w14:textId="77777777" w:rsidR="006264DC" w:rsidRPr="00950C3A" w:rsidRDefault="006264DC" w:rsidP="00553238">
            <w:pPr>
              <w:spacing w:after="0" w:line="240" w:lineRule="auto"/>
              <w:rPr>
                <w:rFonts w:ascii="Arial" w:hAnsi="Arial" w:cs="Arial"/>
                <w:sz w:val="20"/>
                <w:szCs w:val="20"/>
              </w:rPr>
            </w:pPr>
            <w:r w:rsidRPr="00950C3A">
              <w:rPr>
                <w:rFonts w:ascii="Arial" w:hAnsi="Arial" w:cs="Arial"/>
                <w:sz w:val="20"/>
                <w:szCs w:val="20"/>
              </w:rPr>
              <w:t>Theoretical</w:t>
            </w:r>
          </w:p>
        </w:tc>
        <w:tc>
          <w:tcPr>
            <w:tcW w:w="3216" w:type="dxa"/>
            <w:vAlign w:val="center"/>
            <w:hideMark/>
          </w:tcPr>
          <w:p w14:paraId="507F9FDA" w14:textId="77777777" w:rsidR="006264DC" w:rsidRPr="00950C3A" w:rsidRDefault="006264DC" w:rsidP="00553238">
            <w:pPr>
              <w:spacing w:after="0" w:line="240" w:lineRule="auto"/>
              <w:rPr>
                <w:rFonts w:ascii="Arial" w:hAnsi="Arial" w:cs="Arial"/>
                <w:sz w:val="20"/>
                <w:szCs w:val="20"/>
              </w:rPr>
            </w:pPr>
            <w:hyperlink r:id="rId213" w:tgtFrame="_new" w:history="1">
              <w:r w:rsidRPr="00950C3A">
                <w:rPr>
                  <w:rStyle w:val="Hyperlink"/>
                  <w:rFonts w:ascii="Arial" w:hAnsi="Arial" w:cs="Arial"/>
                  <w:color w:val="auto"/>
                  <w:sz w:val="20"/>
                  <w:szCs w:val="20"/>
                </w:rPr>
                <w:t>https://www.emerald.com/insight/content/doi/10.1108/09574090410700275/full/html</w:t>
              </w:r>
            </w:hyperlink>
          </w:p>
        </w:tc>
      </w:tr>
    </w:tbl>
    <w:p w14:paraId="45F5421B" w14:textId="3CBA7586" w:rsidR="00CB7213" w:rsidRDefault="00553238" w:rsidP="004323F6">
      <w:pPr>
        <w:spacing w:after="0" w:line="360" w:lineRule="auto"/>
        <w:jc w:val="center"/>
        <w:rPr>
          <w:rFonts w:ascii="Arial" w:hAnsi="Arial" w:cs="Arial"/>
          <w:sz w:val="22"/>
          <w:szCs w:val="22"/>
        </w:rPr>
      </w:pPr>
      <w:r>
        <w:rPr>
          <w:rFonts w:ascii="Arial" w:hAnsi="Arial" w:cs="Arial"/>
          <w:sz w:val="22"/>
          <w:szCs w:val="22"/>
        </w:rPr>
        <w:br w:type="textWrapping" w:clear="all"/>
      </w:r>
    </w:p>
    <w:p w14:paraId="06333FE6" w14:textId="77777777" w:rsidR="00E75115" w:rsidRPr="00292BF6" w:rsidRDefault="00E75115" w:rsidP="00292BF6">
      <w:pPr>
        <w:spacing w:after="0" w:line="360" w:lineRule="auto"/>
        <w:rPr>
          <w:rFonts w:ascii="Arial" w:hAnsi="Arial" w:cs="Arial"/>
          <w:sz w:val="22"/>
          <w:szCs w:val="22"/>
        </w:rPr>
      </w:pPr>
    </w:p>
    <w:p w14:paraId="2CEBFF78" w14:textId="77777777" w:rsidR="00384A11" w:rsidRPr="00A51DCC" w:rsidRDefault="00384A11" w:rsidP="00A51DCC">
      <w:pPr>
        <w:pStyle w:val="Heading1"/>
        <w:spacing w:before="120"/>
        <w:rPr>
          <w:b/>
          <w:bCs/>
          <w:sz w:val="22"/>
          <w:szCs w:val="22"/>
        </w:rPr>
      </w:pPr>
      <w:bookmarkStart w:id="55" w:name="_Toc228883281"/>
      <w:r w:rsidRPr="00A51DCC">
        <w:rPr>
          <w:b/>
          <w:bCs/>
          <w:sz w:val="22"/>
          <w:szCs w:val="22"/>
        </w:rPr>
        <w:lastRenderedPageBreak/>
        <w:t>Appendix 1.  Details about the excluded firms</w:t>
      </w:r>
      <w:bookmarkEnd w:id="55"/>
    </w:p>
    <w:p w14:paraId="25906B28" w14:textId="6418BBE8" w:rsidR="00A51DCC" w:rsidRDefault="00A51DCC" w:rsidP="00A51DCC">
      <w:pPr>
        <w:spacing w:after="0" w:line="360" w:lineRule="auto"/>
        <w:ind w:firstLine="567"/>
        <w:jc w:val="both"/>
        <w:rPr>
          <w:rFonts w:ascii="Arial" w:hAnsi="Arial" w:cs="Arial"/>
          <w:sz w:val="22"/>
          <w:szCs w:val="22"/>
        </w:rPr>
      </w:pPr>
      <w:r w:rsidRPr="00A51DCC">
        <w:rPr>
          <w:rFonts w:ascii="Arial" w:hAnsi="Arial" w:cs="Arial"/>
          <w:sz w:val="22"/>
          <w:szCs w:val="22"/>
        </w:rPr>
        <w:t>The companies that were not included in the study are listed in Appendix 1. The reasons for their exclusion are explained there, along with any possible effects that their participation could have had on the results.</w:t>
      </w:r>
    </w:p>
    <w:p w14:paraId="5F42E589" w14:textId="77777777" w:rsidR="00A51DCC" w:rsidRPr="00A51DCC" w:rsidRDefault="00A51DCC" w:rsidP="00A51DCC">
      <w:pPr>
        <w:spacing w:after="0" w:line="360" w:lineRule="auto"/>
        <w:ind w:firstLine="567"/>
        <w:jc w:val="both"/>
        <w:rPr>
          <w:rFonts w:ascii="Arial" w:hAnsi="Arial" w:cs="Arial"/>
          <w:sz w:val="16"/>
          <w:szCs w:val="16"/>
        </w:rPr>
      </w:pPr>
    </w:p>
    <w:p w14:paraId="74B47B5A" w14:textId="77777777" w:rsidR="00384A11" w:rsidRPr="00384A11" w:rsidRDefault="00384A11" w:rsidP="00384A11">
      <w:pPr>
        <w:spacing w:after="0" w:line="360" w:lineRule="auto"/>
        <w:rPr>
          <w:rFonts w:ascii="Arial" w:hAnsi="Arial" w:cs="Arial"/>
          <w:sz w:val="22"/>
          <w:szCs w:val="22"/>
        </w:rPr>
      </w:pPr>
      <w:r w:rsidRPr="00384A11">
        <w:rPr>
          <w:rFonts w:ascii="Arial" w:hAnsi="Arial" w:cs="Arial"/>
          <w:noProof/>
          <w:sz w:val="22"/>
          <w:szCs w:val="22"/>
        </w:rPr>
        <w:drawing>
          <wp:inline distT="0" distB="0" distL="0" distR="0" wp14:anchorId="0BD1B2DD" wp14:editId="7B410C90">
            <wp:extent cx="5343811" cy="7558644"/>
            <wp:effectExtent l="0" t="0" r="9525" b="4445"/>
            <wp:docPr id="113850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06768" name=""/>
                    <pic:cNvPicPr/>
                  </pic:nvPicPr>
                  <pic:blipFill>
                    <a:blip r:embed="rId214"/>
                    <a:stretch>
                      <a:fillRect/>
                    </a:stretch>
                  </pic:blipFill>
                  <pic:spPr>
                    <a:xfrm>
                      <a:off x="0" y="0"/>
                      <a:ext cx="5358629" cy="7579603"/>
                    </a:xfrm>
                    <a:prstGeom prst="rect">
                      <a:avLst/>
                    </a:prstGeom>
                  </pic:spPr>
                </pic:pic>
              </a:graphicData>
            </a:graphic>
          </wp:inline>
        </w:drawing>
      </w:r>
    </w:p>
    <w:p w14:paraId="4AED26F4" w14:textId="022E08DD" w:rsidR="00384A11" w:rsidRDefault="00384A11" w:rsidP="00A51DCC">
      <w:pPr>
        <w:pStyle w:val="Heading1"/>
        <w:rPr>
          <w:b/>
          <w:bCs/>
          <w:sz w:val="22"/>
          <w:szCs w:val="22"/>
        </w:rPr>
      </w:pPr>
      <w:bookmarkStart w:id="56" w:name="_Toc228883282"/>
      <w:r w:rsidRPr="00A51DCC">
        <w:rPr>
          <w:b/>
          <w:bCs/>
          <w:sz w:val="22"/>
          <w:szCs w:val="22"/>
        </w:rPr>
        <w:lastRenderedPageBreak/>
        <w:t>Appendix 2</w:t>
      </w:r>
      <w:r w:rsidR="00A51DCC" w:rsidRPr="00A51DCC">
        <w:rPr>
          <w:b/>
          <w:bCs/>
          <w:sz w:val="22"/>
          <w:szCs w:val="22"/>
        </w:rPr>
        <w:t xml:space="preserve">. </w:t>
      </w:r>
      <w:r w:rsidRPr="00A51DCC">
        <w:rPr>
          <w:b/>
          <w:bCs/>
          <w:sz w:val="22"/>
          <w:szCs w:val="22"/>
        </w:rPr>
        <w:t xml:space="preserve"> Link with original files</w:t>
      </w:r>
      <w:bookmarkEnd w:id="56"/>
    </w:p>
    <w:p w14:paraId="10FF00FC" w14:textId="0E6C947B" w:rsidR="00312239" w:rsidRPr="00955CCB" w:rsidRDefault="00A7557E" w:rsidP="00955CCB">
      <w:pPr>
        <w:pStyle w:val="ListParagraph"/>
        <w:numPr>
          <w:ilvl w:val="0"/>
          <w:numId w:val="8"/>
        </w:numPr>
        <w:spacing w:after="0"/>
        <w:ind w:left="0" w:firstLine="0"/>
        <w:rPr>
          <w:rFonts w:ascii="Arial" w:hAnsi="Arial" w:cs="Arial"/>
          <w:b/>
          <w:bCs/>
          <w:sz w:val="22"/>
          <w:szCs w:val="22"/>
        </w:rPr>
      </w:pPr>
      <w:r w:rsidRPr="00955CCB">
        <w:rPr>
          <w:rFonts w:ascii="Arial" w:hAnsi="Arial" w:cs="Arial"/>
          <w:b/>
          <w:bCs/>
          <w:sz w:val="22"/>
          <w:szCs w:val="22"/>
        </w:rPr>
        <w:t>Excel Dataset</w:t>
      </w:r>
    </w:p>
    <w:p w14:paraId="081268F8" w14:textId="55F0BA8B" w:rsidR="00842790" w:rsidRDefault="000F50E5" w:rsidP="00842790">
      <w:pPr>
        <w:spacing w:after="0"/>
        <w:rPr>
          <w:rFonts w:ascii="Arial" w:hAnsi="Arial" w:cs="Arial"/>
          <w:sz w:val="22"/>
          <w:szCs w:val="22"/>
        </w:rPr>
      </w:pPr>
      <w:hyperlink r:id="rId215" w:history="1">
        <w:r w:rsidRPr="00A37462">
          <w:rPr>
            <w:rStyle w:val="Hyperlink"/>
            <w:rFonts w:ascii="Arial" w:hAnsi="Arial" w:cs="Arial"/>
            <w:sz w:val="22"/>
            <w:szCs w:val="22"/>
          </w:rPr>
          <w:t>https://github.com/atanasovaivilina-Master/Dissertation-Data/blob/main/financials_panel_updated%20model_fact%20table.xlsx</w:t>
        </w:r>
      </w:hyperlink>
    </w:p>
    <w:p w14:paraId="4CF5DA3C" w14:textId="77777777" w:rsidR="000F50E5" w:rsidRPr="000F50E5" w:rsidRDefault="000F50E5" w:rsidP="00842790">
      <w:pPr>
        <w:spacing w:after="0"/>
        <w:rPr>
          <w:rFonts w:ascii="Arial" w:hAnsi="Arial" w:cs="Arial"/>
          <w:sz w:val="22"/>
          <w:szCs w:val="22"/>
        </w:rPr>
      </w:pPr>
    </w:p>
    <w:p w14:paraId="62B68080" w14:textId="1E2EE4F6" w:rsidR="00A7557E" w:rsidRPr="00955CCB" w:rsidRDefault="00A7557E" w:rsidP="00955CCB">
      <w:pPr>
        <w:pStyle w:val="ListParagraph"/>
        <w:numPr>
          <w:ilvl w:val="0"/>
          <w:numId w:val="8"/>
        </w:numPr>
        <w:spacing w:after="0"/>
        <w:ind w:left="0" w:firstLine="0"/>
        <w:rPr>
          <w:rFonts w:ascii="Arial" w:hAnsi="Arial" w:cs="Arial"/>
          <w:b/>
          <w:bCs/>
          <w:sz w:val="22"/>
          <w:szCs w:val="22"/>
        </w:rPr>
      </w:pPr>
      <w:r w:rsidRPr="00955CCB">
        <w:rPr>
          <w:rFonts w:ascii="Arial" w:hAnsi="Arial" w:cs="Arial"/>
          <w:b/>
          <w:bCs/>
          <w:sz w:val="22"/>
          <w:szCs w:val="22"/>
        </w:rPr>
        <w:t>Power BI Model</w:t>
      </w:r>
    </w:p>
    <w:p w14:paraId="5A187594" w14:textId="09464AE6" w:rsidR="003B1288" w:rsidRDefault="0088020B" w:rsidP="00312239">
      <w:pPr>
        <w:rPr>
          <w:rFonts w:ascii="Arial" w:hAnsi="Arial" w:cs="Arial"/>
          <w:sz w:val="22"/>
          <w:szCs w:val="22"/>
        </w:rPr>
      </w:pPr>
      <w:hyperlink r:id="rId216" w:history="1">
        <w:r w:rsidRPr="00A37462">
          <w:rPr>
            <w:rStyle w:val="Hyperlink"/>
            <w:rFonts w:ascii="Arial" w:hAnsi="Arial" w:cs="Arial"/>
            <w:sz w:val="22"/>
            <w:szCs w:val="22"/>
          </w:rPr>
          <w:t>https://github.com/atanasovaivilina-Master/Dissertation-Data/blob/main/Dissertation%20Model_Ivilina_Final.pbix</w:t>
        </w:r>
      </w:hyperlink>
    </w:p>
    <w:p w14:paraId="7BD0C2E5" w14:textId="77777777" w:rsidR="0088020B" w:rsidRDefault="0088020B" w:rsidP="00312239">
      <w:pPr>
        <w:rPr>
          <w:rFonts w:ascii="Arial" w:hAnsi="Arial" w:cs="Arial"/>
          <w:sz w:val="22"/>
          <w:szCs w:val="22"/>
        </w:rPr>
      </w:pPr>
    </w:p>
    <w:p w14:paraId="4275B85E" w14:textId="67EF43D3" w:rsidR="0088020B" w:rsidRDefault="0088020B" w:rsidP="00312239">
      <w:pPr>
        <w:rPr>
          <w:rFonts w:ascii="Arial" w:hAnsi="Arial" w:cs="Arial"/>
          <w:sz w:val="22"/>
          <w:szCs w:val="22"/>
        </w:rPr>
      </w:pPr>
      <w:r w:rsidRPr="0088020B">
        <w:rPr>
          <w:rFonts w:ascii="Arial" w:hAnsi="Arial" w:cs="Arial"/>
          <w:noProof/>
          <w:sz w:val="22"/>
          <w:szCs w:val="22"/>
        </w:rPr>
        <w:drawing>
          <wp:inline distT="0" distB="0" distL="0" distR="0" wp14:anchorId="6109D81B" wp14:editId="207332C9">
            <wp:extent cx="5731510" cy="1229096"/>
            <wp:effectExtent l="0" t="0" r="2540" b="9525"/>
            <wp:docPr id="743524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24843" name=""/>
                    <pic:cNvPicPr/>
                  </pic:nvPicPr>
                  <pic:blipFill>
                    <a:blip r:embed="rId217"/>
                    <a:stretch>
                      <a:fillRect/>
                    </a:stretch>
                  </pic:blipFill>
                  <pic:spPr>
                    <a:xfrm>
                      <a:off x="0" y="0"/>
                      <a:ext cx="5736426" cy="1230150"/>
                    </a:xfrm>
                    <a:prstGeom prst="rect">
                      <a:avLst/>
                    </a:prstGeom>
                  </pic:spPr>
                </pic:pic>
              </a:graphicData>
            </a:graphic>
          </wp:inline>
        </w:drawing>
      </w:r>
    </w:p>
    <w:p w14:paraId="1C103024" w14:textId="77777777" w:rsidR="00C36EEB" w:rsidRDefault="00C36EEB" w:rsidP="00BD1DE8">
      <w:pPr>
        <w:spacing w:after="0" w:line="360" w:lineRule="auto"/>
        <w:ind w:firstLine="567"/>
        <w:jc w:val="both"/>
        <w:rPr>
          <w:rFonts w:ascii="Arial" w:hAnsi="Arial" w:cs="Arial"/>
          <w:sz w:val="22"/>
          <w:szCs w:val="22"/>
        </w:rPr>
      </w:pPr>
      <w:r w:rsidRPr="00C36EEB">
        <w:rPr>
          <w:rFonts w:ascii="Arial" w:hAnsi="Arial" w:cs="Arial"/>
          <w:sz w:val="22"/>
          <w:szCs w:val="22"/>
        </w:rPr>
        <w:t>The dataset and analytical model used in this study are publicly hosted on GitHub, making them transparent, accurate, and open to external verification. Along with the original Excel dataset, the repository also contains Power BI (.</w:t>
      </w:r>
      <w:proofErr w:type="spellStart"/>
      <w:r w:rsidRPr="00C36EEB">
        <w:rPr>
          <w:rFonts w:ascii="Arial" w:hAnsi="Arial" w:cs="Arial"/>
          <w:sz w:val="22"/>
          <w:szCs w:val="22"/>
        </w:rPr>
        <w:t>pbix</w:t>
      </w:r>
      <w:proofErr w:type="spellEnd"/>
      <w:r w:rsidRPr="00C36EEB">
        <w:rPr>
          <w:rFonts w:ascii="Arial" w:hAnsi="Arial" w:cs="Arial"/>
          <w:sz w:val="22"/>
          <w:szCs w:val="22"/>
        </w:rPr>
        <w:t>) model files that were used for data transformation, modelling, and visualisation.</w:t>
      </w:r>
    </w:p>
    <w:p w14:paraId="65DBA930" w14:textId="77777777" w:rsidR="00C36EEB" w:rsidRDefault="00C36EEB" w:rsidP="00BD1DE8">
      <w:pPr>
        <w:spacing w:after="0" w:line="360" w:lineRule="auto"/>
        <w:ind w:firstLine="567"/>
        <w:jc w:val="both"/>
        <w:rPr>
          <w:rFonts w:ascii="Arial" w:hAnsi="Arial" w:cs="Arial"/>
          <w:sz w:val="22"/>
          <w:szCs w:val="22"/>
        </w:rPr>
      </w:pPr>
      <w:r w:rsidRPr="00C36EEB">
        <w:rPr>
          <w:rFonts w:ascii="Arial" w:hAnsi="Arial" w:cs="Arial"/>
          <w:sz w:val="22"/>
          <w:szCs w:val="22"/>
        </w:rPr>
        <w:t>The repository can be accessed by external users through the supplied link. To download the original file directly after selecting it, choose the "View raw" option. Data modelling, relationships, and dashboards created for this study can be fully replicated in the Power BI file, while the structured analytical dataset is contained in the Excel file.</w:t>
      </w:r>
    </w:p>
    <w:p w14:paraId="439CF6FF" w14:textId="4479C980" w:rsidR="00C36EEB" w:rsidRDefault="00C36EEB" w:rsidP="00BD1DE8">
      <w:pPr>
        <w:spacing w:after="0" w:line="360" w:lineRule="auto"/>
        <w:ind w:firstLine="567"/>
        <w:jc w:val="both"/>
        <w:rPr>
          <w:rFonts w:ascii="Arial" w:hAnsi="Arial" w:cs="Arial"/>
          <w:sz w:val="22"/>
          <w:szCs w:val="22"/>
        </w:rPr>
      </w:pPr>
      <w:r w:rsidRPr="00C36EEB">
        <w:rPr>
          <w:rFonts w:ascii="Arial" w:hAnsi="Arial" w:cs="Arial"/>
          <w:sz w:val="22"/>
          <w:szCs w:val="22"/>
        </w:rPr>
        <w:t xml:space="preserve">If you come across any problems with access, you can request the files directly by sending an email to </w:t>
      </w:r>
      <w:hyperlink r:id="rId218" w:history="1">
        <w:r w:rsidRPr="00A37462">
          <w:rPr>
            <w:rStyle w:val="Hyperlink"/>
            <w:rFonts w:ascii="Arial" w:hAnsi="Arial" w:cs="Arial"/>
            <w:sz w:val="22"/>
            <w:szCs w:val="22"/>
          </w:rPr>
          <w:t>atanasovaivilina@gmail.com</w:t>
        </w:r>
      </w:hyperlink>
      <w:r w:rsidRPr="00C36EEB">
        <w:rPr>
          <w:rFonts w:ascii="Arial" w:hAnsi="Arial" w:cs="Arial"/>
          <w:sz w:val="22"/>
          <w:szCs w:val="22"/>
        </w:rPr>
        <w:t>.</w:t>
      </w:r>
    </w:p>
    <w:p w14:paraId="7FC2187A" w14:textId="4A914F53" w:rsidR="00384A11" w:rsidRPr="00384A11" w:rsidRDefault="00C36EEB" w:rsidP="00BD1DE8">
      <w:pPr>
        <w:spacing w:after="0" w:line="360" w:lineRule="auto"/>
        <w:ind w:firstLine="567"/>
        <w:jc w:val="both"/>
        <w:rPr>
          <w:rFonts w:ascii="Arial" w:hAnsi="Arial" w:cs="Arial"/>
          <w:sz w:val="22"/>
          <w:szCs w:val="22"/>
        </w:rPr>
      </w:pPr>
      <w:r w:rsidRPr="00C36EEB">
        <w:rPr>
          <w:rFonts w:ascii="Arial" w:hAnsi="Arial" w:cs="Arial"/>
          <w:sz w:val="22"/>
          <w:szCs w:val="22"/>
        </w:rPr>
        <w:t>By encouraging methodological transparency and guaranteeing complete auditability of the analytical process, this approach is in line with best standards in empirical research.</w:t>
      </w:r>
    </w:p>
    <w:p w14:paraId="1363CDAA" w14:textId="77777777" w:rsidR="00BD1DE8" w:rsidRDefault="00BD1DE8" w:rsidP="00BD1DE8">
      <w:pPr>
        <w:spacing w:after="0" w:line="360" w:lineRule="auto"/>
        <w:ind w:firstLine="567"/>
        <w:jc w:val="both"/>
        <w:rPr>
          <w:rFonts w:ascii="Arial" w:hAnsi="Arial" w:cs="Arial"/>
          <w:sz w:val="22"/>
          <w:szCs w:val="22"/>
        </w:rPr>
      </w:pPr>
      <w:r w:rsidRPr="00BD1DE8">
        <w:rPr>
          <w:rFonts w:ascii="Arial" w:hAnsi="Arial" w:cs="Arial"/>
          <w:sz w:val="22"/>
          <w:szCs w:val="22"/>
        </w:rPr>
        <w:t>The layout of the analytical model that underpins this study is presented in Figure 1 below, where the integration of firm-level operational data with macro-economic and logistical indicators provides a transparent and replicable assessment of supply chain resilience.</w:t>
      </w:r>
    </w:p>
    <w:p w14:paraId="29B15F29" w14:textId="51796CB3" w:rsidR="00BD1DE8" w:rsidRDefault="00BD1DE8" w:rsidP="00BD1DE8">
      <w:pPr>
        <w:spacing w:after="0" w:line="360" w:lineRule="auto"/>
        <w:ind w:firstLine="567"/>
        <w:jc w:val="both"/>
        <w:rPr>
          <w:rFonts w:ascii="Arial" w:hAnsi="Arial" w:cs="Arial"/>
          <w:sz w:val="22"/>
          <w:szCs w:val="22"/>
        </w:rPr>
      </w:pPr>
      <w:r w:rsidRPr="00BD1DE8">
        <w:rPr>
          <w:rFonts w:ascii="Arial" w:hAnsi="Arial" w:cs="Arial"/>
          <w:sz w:val="22"/>
          <w:szCs w:val="22"/>
        </w:rPr>
        <w:t>I have constructed and developed the model from first principles using a structured data modelling technique. The above Excel file was the main data basis, and was carefully created, cleaned, and modified before being deployed within Power BI. All variables – firm-level financial and operational measurements, industry classifications and external indicators – are supported by documented sources and well-defined assumptions to assure traceability and analytical integrity.</w:t>
      </w:r>
    </w:p>
    <w:p w14:paraId="5A4CEDFC" w14:textId="77777777" w:rsidR="00BD1DE8" w:rsidRDefault="00BD1DE8" w:rsidP="00BD1DE8">
      <w:pPr>
        <w:spacing w:after="0" w:line="360" w:lineRule="auto"/>
        <w:ind w:firstLine="567"/>
        <w:jc w:val="both"/>
        <w:rPr>
          <w:rFonts w:ascii="Arial" w:hAnsi="Arial" w:cs="Arial"/>
          <w:sz w:val="22"/>
          <w:szCs w:val="22"/>
        </w:rPr>
      </w:pPr>
      <w:r w:rsidRPr="00BD1DE8">
        <w:rPr>
          <w:rFonts w:ascii="Arial" w:hAnsi="Arial" w:cs="Arial"/>
          <w:sz w:val="22"/>
          <w:szCs w:val="22"/>
        </w:rPr>
        <w:t xml:space="preserve">The model is star-schema based with a central fact table containing important operational measures such as production, inventories, costs and revenue coupled to </w:t>
      </w:r>
      <w:r w:rsidRPr="00BD1DE8">
        <w:rPr>
          <w:rFonts w:ascii="Arial" w:hAnsi="Arial" w:cs="Arial"/>
          <w:sz w:val="22"/>
          <w:szCs w:val="22"/>
        </w:rPr>
        <w:lastRenderedPageBreak/>
        <w:t>dimension tables including time (Date Table) and corporate attributes. The model connects external datasets (e.g., macro supply chain stress indicators, marine traffic statistics) through common temporal correlations, facilitating the fusion of internal company performance with external indications of disruption.</w:t>
      </w:r>
    </w:p>
    <w:p w14:paraId="714B6AB0" w14:textId="2D3B62E0" w:rsidR="00BD1DE8" w:rsidRPr="00BD1DE8" w:rsidRDefault="00BD1DE8" w:rsidP="00BD1DE8">
      <w:pPr>
        <w:spacing w:after="0" w:line="360" w:lineRule="auto"/>
        <w:ind w:firstLine="567"/>
        <w:jc w:val="both"/>
        <w:rPr>
          <w:rFonts w:ascii="Arial" w:hAnsi="Arial" w:cs="Arial"/>
          <w:sz w:val="22"/>
          <w:szCs w:val="22"/>
        </w:rPr>
      </w:pPr>
      <w:r w:rsidRPr="00BD1DE8">
        <w:rPr>
          <w:rFonts w:ascii="Arial" w:hAnsi="Arial" w:cs="Arial"/>
          <w:sz w:val="22"/>
          <w:szCs w:val="22"/>
        </w:rPr>
        <w:t>This structure provides efficient filtering, cross-sectional comparison and time-series analysis, and facilitates generation of composite resilience indicators. Thus, the model supports replication and provides a robust and expandable analytical framework for assessing supply chain behaviour under interruption conditions.</w:t>
      </w:r>
    </w:p>
    <w:p w14:paraId="5431EA6B" w14:textId="77777777" w:rsidR="00384A11" w:rsidRDefault="00384A11" w:rsidP="00C36EEB">
      <w:pPr>
        <w:spacing w:after="0" w:line="360" w:lineRule="auto"/>
        <w:ind w:firstLine="567"/>
        <w:rPr>
          <w:rFonts w:ascii="Arial" w:hAnsi="Arial" w:cs="Arial"/>
          <w:sz w:val="22"/>
          <w:szCs w:val="22"/>
        </w:rPr>
      </w:pPr>
    </w:p>
    <w:p w14:paraId="4A5623C0" w14:textId="65B845AE" w:rsidR="00FF69EA" w:rsidRPr="00FF69EA" w:rsidRDefault="00FF69EA" w:rsidP="00FF69EA">
      <w:pPr>
        <w:spacing w:after="0" w:line="360" w:lineRule="auto"/>
        <w:jc w:val="center"/>
        <w:rPr>
          <w:rFonts w:ascii="Arial" w:hAnsi="Arial" w:cs="Arial"/>
          <w:sz w:val="20"/>
          <w:szCs w:val="20"/>
        </w:rPr>
      </w:pPr>
      <w:r w:rsidRPr="00FF69EA">
        <w:rPr>
          <w:rFonts w:ascii="Arial" w:hAnsi="Arial" w:cs="Arial"/>
          <w:sz w:val="20"/>
          <w:szCs w:val="20"/>
        </w:rPr>
        <w:t>Figure 1. Analytical Power</w:t>
      </w:r>
      <w:r>
        <w:rPr>
          <w:rFonts w:ascii="Arial" w:hAnsi="Arial" w:cs="Arial"/>
          <w:sz w:val="20"/>
          <w:szCs w:val="20"/>
        </w:rPr>
        <w:t xml:space="preserve"> </w:t>
      </w:r>
      <w:r w:rsidRPr="00FF69EA">
        <w:rPr>
          <w:rFonts w:ascii="Arial" w:hAnsi="Arial" w:cs="Arial"/>
          <w:sz w:val="20"/>
          <w:szCs w:val="20"/>
        </w:rPr>
        <w:t>BI Model</w:t>
      </w:r>
    </w:p>
    <w:p w14:paraId="19FAEC81" w14:textId="7C0E3B84" w:rsidR="00384A11" w:rsidRPr="00384A11" w:rsidRDefault="00335F6D" w:rsidP="00FF69EA">
      <w:pPr>
        <w:spacing w:after="0" w:line="360" w:lineRule="auto"/>
        <w:jc w:val="center"/>
        <w:rPr>
          <w:rFonts w:ascii="Arial" w:hAnsi="Arial" w:cs="Arial"/>
          <w:sz w:val="22"/>
          <w:szCs w:val="22"/>
        </w:rPr>
      </w:pPr>
      <w:r w:rsidRPr="00335F6D">
        <w:rPr>
          <w:rFonts w:ascii="Arial" w:hAnsi="Arial" w:cs="Arial"/>
          <w:noProof/>
          <w:sz w:val="22"/>
          <w:szCs w:val="22"/>
        </w:rPr>
        <w:drawing>
          <wp:inline distT="0" distB="0" distL="0" distR="0" wp14:anchorId="490E4132" wp14:editId="015E41DF">
            <wp:extent cx="5731510" cy="2800985"/>
            <wp:effectExtent l="0" t="0" r="2540" b="0"/>
            <wp:docPr id="16467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618" name=""/>
                    <pic:cNvPicPr/>
                  </pic:nvPicPr>
                  <pic:blipFill>
                    <a:blip r:embed="rId219"/>
                    <a:stretch>
                      <a:fillRect/>
                    </a:stretch>
                  </pic:blipFill>
                  <pic:spPr>
                    <a:xfrm>
                      <a:off x="0" y="0"/>
                      <a:ext cx="5731510" cy="2800985"/>
                    </a:xfrm>
                    <a:prstGeom prst="rect">
                      <a:avLst/>
                    </a:prstGeom>
                  </pic:spPr>
                </pic:pic>
              </a:graphicData>
            </a:graphic>
          </wp:inline>
        </w:drawing>
      </w:r>
    </w:p>
    <w:p w14:paraId="4A4FDE57" w14:textId="77777777" w:rsidR="00384A11" w:rsidRPr="00384A11" w:rsidRDefault="00384A11" w:rsidP="00384A11">
      <w:pPr>
        <w:spacing w:after="0" w:line="360" w:lineRule="auto"/>
        <w:rPr>
          <w:rFonts w:ascii="Arial" w:hAnsi="Arial" w:cs="Arial"/>
          <w:sz w:val="22"/>
          <w:szCs w:val="22"/>
        </w:rPr>
      </w:pPr>
    </w:p>
    <w:p w14:paraId="75118266" w14:textId="77777777" w:rsidR="00384A11" w:rsidRPr="00384A11" w:rsidRDefault="00384A11" w:rsidP="00384A11">
      <w:pPr>
        <w:spacing w:after="0" w:line="360" w:lineRule="auto"/>
        <w:rPr>
          <w:rFonts w:ascii="Arial" w:hAnsi="Arial" w:cs="Arial"/>
          <w:sz w:val="22"/>
          <w:szCs w:val="22"/>
        </w:rPr>
      </w:pPr>
    </w:p>
    <w:p w14:paraId="3BC4783E" w14:textId="77777777" w:rsidR="00384A11" w:rsidRPr="00384A11" w:rsidRDefault="00384A11" w:rsidP="00384A11">
      <w:pPr>
        <w:spacing w:after="0" w:line="360" w:lineRule="auto"/>
        <w:rPr>
          <w:rFonts w:ascii="Arial" w:hAnsi="Arial" w:cs="Arial"/>
          <w:sz w:val="22"/>
          <w:szCs w:val="22"/>
        </w:rPr>
      </w:pPr>
    </w:p>
    <w:p w14:paraId="7B45BFA8" w14:textId="77777777" w:rsidR="00384A11" w:rsidRPr="00384A11" w:rsidRDefault="00384A11" w:rsidP="00384A11">
      <w:pPr>
        <w:spacing w:after="0" w:line="360" w:lineRule="auto"/>
        <w:rPr>
          <w:rFonts w:ascii="Arial" w:hAnsi="Arial" w:cs="Arial"/>
          <w:sz w:val="22"/>
          <w:szCs w:val="22"/>
        </w:rPr>
      </w:pPr>
    </w:p>
    <w:p w14:paraId="3DD687C4" w14:textId="77777777" w:rsidR="00384A11" w:rsidRPr="00384A11" w:rsidRDefault="00384A11" w:rsidP="00384A11">
      <w:pPr>
        <w:spacing w:after="0" w:line="360" w:lineRule="auto"/>
        <w:rPr>
          <w:rFonts w:ascii="Arial" w:hAnsi="Arial" w:cs="Arial"/>
          <w:sz w:val="22"/>
          <w:szCs w:val="22"/>
        </w:rPr>
      </w:pPr>
    </w:p>
    <w:p w14:paraId="6A234E3B" w14:textId="77777777" w:rsidR="00384A11" w:rsidRPr="00384A11" w:rsidRDefault="00384A11" w:rsidP="00384A11">
      <w:pPr>
        <w:spacing w:after="0" w:line="360" w:lineRule="auto"/>
        <w:rPr>
          <w:rFonts w:ascii="Arial" w:hAnsi="Arial" w:cs="Arial"/>
          <w:sz w:val="22"/>
          <w:szCs w:val="22"/>
        </w:rPr>
      </w:pPr>
    </w:p>
    <w:p w14:paraId="677D1A14" w14:textId="77777777" w:rsidR="00384A11" w:rsidRPr="00384A11" w:rsidRDefault="00384A11" w:rsidP="00384A11">
      <w:pPr>
        <w:spacing w:after="0" w:line="360" w:lineRule="auto"/>
        <w:rPr>
          <w:rFonts w:ascii="Arial" w:hAnsi="Arial" w:cs="Arial"/>
          <w:sz w:val="22"/>
          <w:szCs w:val="22"/>
        </w:rPr>
      </w:pPr>
    </w:p>
    <w:p w14:paraId="455E59A4" w14:textId="77777777" w:rsidR="00384A11" w:rsidRPr="00384A11" w:rsidRDefault="00384A11" w:rsidP="00384A11">
      <w:pPr>
        <w:spacing w:after="0" w:line="360" w:lineRule="auto"/>
        <w:rPr>
          <w:rFonts w:ascii="Arial" w:hAnsi="Arial" w:cs="Arial"/>
          <w:sz w:val="22"/>
          <w:szCs w:val="22"/>
        </w:rPr>
      </w:pPr>
    </w:p>
    <w:p w14:paraId="4FA1C364" w14:textId="77777777" w:rsidR="00384A11" w:rsidRPr="00384A11" w:rsidRDefault="00384A11" w:rsidP="00384A11">
      <w:pPr>
        <w:spacing w:after="0" w:line="360" w:lineRule="auto"/>
        <w:rPr>
          <w:rFonts w:ascii="Arial" w:hAnsi="Arial" w:cs="Arial"/>
          <w:sz w:val="22"/>
          <w:szCs w:val="22"/>
        </w:rPr>
      </w:pPr>
    </w:p>
    <w:p w14:paraId="25F3B08F" w14:textId="77777777" w:rsidR="00A1200A" w:rsidRPr="00A1200A" w:rsidRDefault="00A1200A" w:rsidP="00A1200A">
      <w:pPr>
        <w:spacing w:after="0" w:line="360" w:lineRule="auto"/>
        <w:rPr>
          <w:rFonts w:ascii="Arial" w:hAnsi="Arial" w:cs="Arial"/>
          <w:sz w:val="22"/>
          <w:szCs w:val="22"/>
        </w:rPr>
      </w:pPr>
    </w:p>
    <w:p w14:paraId="21EE5677" w14:textId="77777777" w:rsidR="006E3803" w:rsidRPr="00544F64" w:rsidRDefault="006E3803" w:rsidP="00544F64">
      <w:pPr>
        <w:spacing w:after="0" w:line="360" w:lineRule="auto"/>
        <w:rPr>
          <w:rFonts w:ascii="Arial" w:hAnsi="Arial" w:cs="Arial"/>
          <w:sz w:val="22"/>
          <w:szCs w:val="22"/>
        </w:rPr>
      </w:pPr>
    </w:p>
    <w:p w14:paraId="16606331" w14:textId="77777777" w:rsidR="0057508C" w:rsidRPr="0057508C" w:rsidRDefault="0057508C" w:rsidP="0057508C">
      <w:pPr>
        <w:spacing w:after="0" w:line="360" w:lineRule="auto"/>
        <w:rPr>
          <w:rFonts w:ascii="Arial" w:hAnsi="Arial" w:cs="Arial"/>
          <w:sz w:val="22"/>
          <w:szCs w:val="22"/>
        </w:rPr>
      </w:pPr>
    </w:p>
    <w:p w14:paraId="620C6058" w14:textId="77777777" w:rsidR="004F3571" w:rsidRPr="004F3571" w:rsidRDefault="004F3571" w:rsidP="004F3571">
      <w:pPr>
        <w:spacing w:after="0" w:line="360" w:lineRule="auto"/>
        <w:rPr>
          <w:rFonts w:ascii="Arial" w:hAnsi="Arial" w:cs="Arial"/>
          <w:sz w:val="22"/>
          <w:szCs w:val="22"/>
        </w:rPr>
      </w:pPr>
    </w:p>
    <w:p w14:paraId="72A0020F" w14:textId="77777777" w:rsidR="006A7D70" w:rsidRPr="006A7D70" w:rsidRDefault="006A7D70" w:rsidP="006A7D70">
      <w:pPr>
        <w:spacing w:after="0" w:line="360" w:lineRule="auto"/>
        <w:rPr>
          <w:rFonts w:ascii="Arial" w:hAnsi="Arial" w:cs="Arial"/>
          <w:sz w:val="22"/>
          <w:szCs w:val="22"/>
        </w:rPr>
      </w:pPr>
    </w:p>
    <w:p w14:paraId="71453538" w14:textId="77777777" w:rsidR="005F43CB" w:rsidRPr="00813CEE" w:rsidRDefault="005F43CB" w:rsidP="00813CEE">
      <w:pPr>
        <w:spacing w:after="0" w:line="360" w:lineRule="auto"/>
        <w:rPr>
          <w:rFonts w:ascii="Arial" w:hAnsi="Arial" w:cs="Arial"/>
          <w:sz w:val="22"/>
          <w:szCs w:val="22"/>
        </w:rPr>
      </w:pPr>
    </w:p>
    <w:p w14:paraId="75CEA07F" w14:textId="77777777" w:rsidR="00813CEE" w:rsidRPr="002A3890" w:rsidRDefault="00813CEE" w:rsidP="00077D41">
      <w:pPr>
        <w:spacing w:after="0" w:line="360" w:lineRule="auto"/>
        <w:rPr>
          <w:rFonts w:ascii="Arial" w:hAnsi="Arial" w:cs="Arial"/>
          <w:sz w:val="22"/>
          <w:szCs w:val="22"/>
        </w:rPr>
      </w:pPr>
    </w:p>
    <w:sectPr w:rsidR="00813CEE" w:rsidRPr="002A3890" w:rsidSect="00534E98">
      <w:footerReference w:type="default" r:id="rId2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EF7FD" w14:textId="77777777" w:rsidR="00F02645" w:rsidRDefault="00F02645" w:rsidP="001910FD">
      <w:pPr>
        <w:spacing w:after="0" w:line="240" w:lineRule="auto"/>
      </w:pPr>
      <w:r>
        <w:separator/>
      </w:r>
    </w:p>
  </w:endnote>
  <w:endnote w:type="continuationSeparator" w:id="0">
    <w:p w14:paraId="5F1CD08B" w14:textId="77777777" w:rsidR="00F02645" w:rsidRDefault="00F02645" w:rsidP="0019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094778"/>
      <w:docPartObj>
        <w:docPartGallery w:val="Page Numbers (Bottom of Page)"/>
        <w:docPartUnique/>
      </w:docPartObj>
    </w:sdtPr>
    <w:sdtEndPr>
      <w:rPr>
        <w:noProof/>
      </w:rPr>
    </w:sdtEndPr>
    <w:sdtContent>
      <w:p w14:paraId="34F37902" w14:textId="467EDB7E" w:rsidR="001910FD" w:rsidRDefault="001910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B21B85" w14:textId="77777777" w:rsidR="001910FD" w:rsidRDefault="00191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5297" w14:textId="77777777" w:rsidR="00F02645" w:rsidRDefault="00F02645" w:rsidP="001910FD">
      <w:pPr>
        <w:spacing w:after="0" w:line="240" w:lineRule="auto"/>
      </w:pPr>
      <w:r>
        <w:separator/>
      </w:r>
    </w:p>
  </w:footnote>
  <w:footnote w:type="continuationSeparator" w:id="0">
    <w:p w14:paraId="6F14C28F" w14:textId="77777777" w:rsidR="00F02645" w:rsidRDefault="00F02645" w:rsidP="00191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91E1F"/>
    <w:multiLevelType w:val="hybridMultilevel"/>
    <w:tmpl w:val="8340B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1633B"/>
    <w:multiLevelType w:val="hybridMultilevel"/>
    <w:tmpl w:val="7DEE95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414299"/>
    <w:multiLevelType w:val="multilevel"/>
    <w:tmpl w:val="46BC1824"/>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35498B"/>
    <w:multiLevelType w:val="hybridMultilevel"/>
    <w:tmpl w:val="3CAE4C8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FB2498F"/>
    <w:multiLevelType w:val="hybridMultilevel"/>
    <w:tmpl w:val="6FD4B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B12ACB"/>
    <w:multiLevelType w:val="hybridMultilevel"/>
    <w:tmpl w:val="F6D4E90A"/>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2077A3"/>
    <w:multiLevelType w:val="hybridMultilevel"/>
    <w:tmpl w:val="D55A6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7332283">
    <w:abstractNumId w:val="0"/>
  </w:num>
  <w:num w:numId="2" w16cid:durableId="777792261">
    <w:abstractNumId w:val="1"/>
  </w:num>
  <w:num w:numId="3" w16cid:durableId="547373674">
    <w:abstractNumId w:val="4"/>
  </w:num>
  <w:num w:numId="4" w16cid:durableId="1123039738">
    <w:abstractNumId w:val="7"/>
  </w:num>
  <w:num w:numId="5" w16cid:durableId="1325358120">
    <w:abstractNumId w:val="5"/>
  </w:num>
  <w:num w:numId="6" w16cid:durableId="1017385319">
    <w:abstractNumId w:val="6"/>
  </w:num>
  <w:num w:numId="7" w16cid:durableId="880047778">
    <w:abstractNumId w:val="3"/>
  </w:num>
  <w:num w:numId="8" w16cid:durableId="392050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EE"/>
    <w:rsid w:val="0000048A"/>
    <w:rsid w:val="00003DF9"/>
    <w:rsid w:val="000057DF"/>
    <w:rsid w:val="0000703C"/>
    <w:rsid w:val="000126BC"/>
    <w:rsid w:val="00014E31"/>
    <w:rsid w:val="000157AE"/>
    <w:rsid w:val="00020AA5"/>
    <w:rsid w:val="00021022"/>
    <w:rsid w:val="00027D92"/>
    <w:rsid w:val="00032466"/>
    <w:rsid w:val="0003278F"/>
    <w:rsid w:val="000331E2"/>
    <w:rsid w:val="0003495B"/>
    <w:rsid w:val="0003670E"/>
    <w:rsid w:val="0003780C"/>
    <w:rsid w:val="000472DA"/>
    <w:rsid w:val="00047A26"/>
    <w:rsid w:val="00052499"/>
    <w:rsid w:val="0005263B"/>
    <w:rsid w:val="00053484"/>
    <w:rsid w:val="00054016"/>
    <w:rsid w:val="0005459A"/>
    <w:rsid w:val="0005503A"/>
    <w:rsid w:val="00056857"/>
    <w:rsid w:val="000626CE"/>
    <w:rsid w:val="00063948"/>
    <w:rsid w:val="00063A1A"/>
    <w:rsid w:val="00064F2D"/>
    <w:rsid w:val="000651A6"/>
    <w:rsid w:val="00065892"/>
    <w:rsid w:val="00065D66"/>
    <w:rsid w:val="000667BA"/>
    <w:rsid w:val="00070B68"/>
    <w:rsid w:val="000764C4"/>
    <w:rsid w:val="00077D41"/>
    <w:rsid w:val="0008050E"/>
    <w:rsid w:val="000810D6"/>
    <w:rsid w:val="00084BEF"/>
    <w:rsid w:val="00095114"/>
    <w:rsid w:val="00095E73"/>
    <w:rsid w:val="0009653F"/>
    <w:rsid w:val="000966D2"/>
    <w:rsid w:val="000A09DA"/>
    <w:rsid w:val="000A2A97"/>
    <w:rsid w:val="000A2E8B"/>
    <w:rsid w:val="000A3338"/>
    <w:rsid w:val="000A4C71"/>
    <w:rsid w:val="000A6993"/>
    <w:rsid w:val="000A7090"/>
    <w:rsid w:val="000B1CE0"/>
    <w:rsid w:val="000B303F"/>
    <w:rsid w:val="000B43D3"/>
    <w:rsid w:val="000C5E8F"/>
    <w:rsid w:val="000C7047"/>
    <w:rsid w:val="000D02A8"/>
    <w:rsid w:val="000D056C"/>
    <w:rsid w:val="000D075C"/>
    <w:rsid w:val="000D136A"/>
    <w:rsid w:val="000D1408"/>
    <w:rsid w:val="000D3531"/>
    <w:rsid w:val="000D35ED"/>
    <w:rsid w:val="000D48AE"/>
    <w:rsid w:val="000D4B95"/>
    <w:rsid w:val="000D61FE"/>
    <w:rsid w:val="000E0029"/>
    <w:rsid w:val="000E1FC7"/>
    <w:rsid w:val="000E7605"/>
    <w:rsid w:val="000F4B61"/>
    <w:rsid w:val="000F50E5"/>
    <w:rsid w:val="000F7BDD"/>
    <w:rsid w:val="000F7F35"/>
    <w:rsid w:val="0010279C"/>
    <w:rsid w:val="00102F91"/>
    <w:rsid w:val="00104432"/>
    <w:rsid w:val="00106919"/>
    <w:rsid w:val="00111DF8"/>
    <w:rsid w:val="00111E2F"/>
    <w:rsid w:val="0011338C"/>
    <w:rsid w:val="001164A1"/>
    <w:rsid w:val="0012107E"/>
    <w:rsid w:val="001220CC"/>
    <w:rsid w:val="00123466"/>
    <w:rsid w:val="00123512"/>
    <w:rsid w:val="0012537B"/>
    <w:rsid w:val="00127A54"/>
    <w:rsid w:val="00131294"/>
    <w:rsid w:val="00131A68"/>
    <w:rsid w:val="001354B9"/>
    <w:rsid w:val="00135DDE"/>
    <w:rsid w:val="001420DE"/>
    <w:rsid w:val="001444FE"/>
    <w:rsid w:val="00144DB4"/>
    <w:rsid w:val="001461AC"/>
    <w:rsid w:val="00147741"/>
    <w:rsid w:val="0015057C"/>
    <w:rsid w:val="0015197F"/>
    <w:rsid w:val="00151A9F"/>
    <w:rsid w:val="001528D2"/>
    <w:rsid w:val="00153284"/>
    <w:rsid w:val="00153727"/>
    <w:rsid w:val="001552ED"/>
    <w:rsid w:val="00160CD5"/>
    <w:rsid w:val="0016341E"/>
    <w:rsid w:val="001643FB"/>
    <w:rsid w:val="0016642A"/>
    <w:rsid w:val="0016726D"/>
    <w:rsid w:val="00167581"/>
    <w:rsid w:val="00170115"/>
    <w:rsid w:val="00170556"/>
    <w:rsid w:val="001729DC"/>
    <w:rsid w:val="001730FC"/>
    <w:rsid w:val="0017323B"/>
    <w:rsid w:val="001733D3"/>
    <w:rsid w:val="00174098"/>
    <w:rsid w:val="001751C9"/>
    <w:rsid w:val="00176E9C"/>
    <w:rsid w:val="00180C4F"/>
    <w:rsid w:val="001817DD"/>
    <w:rsid w:val="00182801"/>
    <w:rsid w:val="001870A5"/>
    <w:rsid w:val="0018775E"/>
    <w:rsid w:val="001902B2"/>
    <w:rsid w:val="00190505"/>
    <w:rsid w:val="001909CB"/>
    <w:rsid w:val="00190BAF"/>
    <w:rsid w:val="001910FD"/>
    <w:rsid w:val="001A05E3"/>
    <w:rsid w:val="001A220F"/>
    <w:rsid w:val="001A3BC5"/>
    <w:rsid w:val="001A3C7B"/>
    <w:rsid w:val="001A7FAE"/>
    <w:rsid w:val="001B18AA"/>
    <w:rsid w:val="001B18F8"/>
    <w:rsid w:val="001B1AD0"/>
    <w:rsid w:val="001B1C8E"/>
    <w:rsid w:val="001B342F"/>
    <w:rsid w:val="001B3465"/>
    <w:rsid w:val="001C36FA"/>
    <w:rsid w:val="001C4308"/>
    <w:rsid w:val="001C642A"/>
    <w:rsid w:val="001C6E89"/>
    <w:rsid w:val="001C7D93"/>
    <w:rsid w:val="001D2D09"/>
    <w:rsid w:val="001D5E19"/>
    <w:rsid w:val="001E4B31"/>
    <w:rsid w:val="001E6242"/>
    <w:rsid w:val="001E72D5"/>
    <w:rsid w:val="001E7536"/>
    <w:rsid w:val="001F3724"/>
    <w:rsid w:val="001F4691"/>
    <w:rsid w:val="001F5CD1"/>
    <w:rsid w:val="001F74E7"/>
    <w:rsid w:val="002002C8"/>
    <w:rsid w:val="002004D7"/>
    <w:rsid w:val="00200913"/>
    <w:rsid w:val="00204B98"/>
    <w:rsid w:val="00211CA8"/>
    <w:rsid w:val="00217987"/>
    <w:rsid w:val="00220735"/>
    <w:rsid w:val="002210A2"/>
    <w:rsid w:val="002210CE"/>
    <w:rsid w:val="00221708"/>
    <w:rsid w:val="002236A9"/>
    <w:rsid w:val="002240C2"/>
    <w:rsid w:val="00226A68"/>
    <w:rsid w:val="002311F8"/>
    <w:rsid w:val="00232D4B"/>
    <w:rsid w:val="0023349C"/>
    <w:rsid w:val="0023435C"/>
    <w:rsid w:val="00235F6C"/>
    <w:rsid w:val="00236F37"/>
    <w:rsid w:val="00237C95"/>
    <w:rsid w:val="00240EC9"/>
    <w:rsid w:val="00242098"/>
    <w:rsid w:val="00242487"/>
    <w:rsid w:val="00245AED"/>
    <w:rsid w:val="002557B4"/>
    <w:rsid w:val="002561F7"/>
    <w:rsid w:val="002607EE"/>
    <w:rsid w:val="00261571"/>
    <w:rsid w:val="0026612F"/>
    <w:rsid w:val="002667DD"/>
    <w:rsid w:val="00270D63"/>
    <w:rsid w:val="00272F9A"/>
    <w:rsid w:val="00276564"/>
    <w:rsid w:val="002779A8"/>
    <w:rsid w:val="002803ED"/>
    <w:rsid w:val="00281224"/>
    <w:rsid w:val="00284214"/>
    <w:rsid w:val="002902D3"/>
    <w:rsid w:val="00292BF6"/>
    <w:rsid w:val="00296F61"/>
    <w:rsid w:val="002A0B41"/>
    <w:rsid w:val="002A1A18"/>
    <w:rsid w:val="002A25B2"/>
    <w:rsid w:val="002A3890"/>
    <w:rsid w:val="002A4611"/>
    <w:rsid w:val="002B123D"/>
    <w:rsid w:val="002B4B17"/>
    <w:rsid w:val="002B5331"/>
    <w:rsid w:val="002B76C3"/>
    <w:rsid w:val="002C0298"/>
    <w:rsid w:val="002C1F2E"/>
    <w:rsid w:val="002C42C8"/>
    <w:rsid w:val="002C5C0A"/>
    <w:rsid w:val="002C75A3"/>
    <w:rsid w:val="002C7D8A"/>
    <w:rsid w:val="002D0765"/>
    <w:rsid w:val="002E0FE6"/>
    <w:rsid w:val="002E13E2"/>
    <w:rsid w:val="002E4C51"/>
    <w:rsid w:val="002E5B8F"/>
    <w:rsid w:val="002E6472"/>
    <w:rsid w:val="002F32EE"/>
    <w:rsid w:val="002F3A62"/>
    <w:rsid w:val="002F3A94"/>
    <w:rsid w:val="002F6884"/>
    <w:rsid w:val="002F6D6D"/>
    <w:rsid w:val="002F737C"/>
    <w:rsid w:val="0030122A"/>
    <w:rsid w:val="003020FB"/>
    <w:rsid w:val="00303CCE"/>
    <w:rsid w:val="003055B4"/>
    <w:rsid w:val="00306DFD"/>
    <w:rsid w:val="003107B4"/>
    <w:rsid w:val="00312239"/>
    <w:rsid w:val="00312C62"/>
    <w:rsid w:val="003154DF"/>
    <w:rsid w:val="003207CC"/>
    <w:rsid w:val="00321B9C"/>
    <w:rsid w:val="003234C2"/>
    <w:rsid w:val="003235EC"/>
    <w:rsid w:val="003255E6"/>
    <w:rsid w:val="00325EF1"/>
    <w:rsid w:val="00326424"/>
    <w:rsid w:val="00326C06"/>
    <w:rsid w:val="003304E3"/>
    <w:rsid w:val="003309C1"/>
    <w:rsid w:val="003314D5"/>
    <w:rsid w:val="0033234A"/>
    <w:rsid w:val="00333D0D"/>
    <w:rsid w:val="00335F6D"/>
    <w:rsid w:val="00341BF2"/>
    <w:rsid w:val="00344E4F"/>
    <w:rsid w:val="00347FA9"/>
    <w:rsid w:val="00350489"/>
    <w:rsid w:val="003508E2"/>
    <w:rsid w:val="00351BB4"/>
    <w:rsid w:val="003555C9"/>
    <w:rsid w:val="003561DE"/>
    <w:rsid w:val="00357135"/>
    <w:rsid w:val="00367B8F"/>
    <w:rsid w:val="00367FD2"/>
    <w:rsid w:val="00370946"/>
    <w:rsid w:val="0037187B"/>
    <w:rsid w:val="00371A88"/>
    <w:rsid w:val="00373596"/>
    <w:rsid w:val="00380474"/>
    <w:rsid w:val="00380D19"/>
    <w:rsid w:val="003811B4"/>
    <w:rsid w:val="0038319F"/>
    <w:rsid w:val="00384A11"/>
    <w:rsid w:val="00384A6F"/>
    <w:rsid w:val="00385A87"/>
    <w:rsid w:val="00385CB0"/>
    <w:rsid w:val="00387899"/>
    <w:rsid w:val="0039165B"/>
    <w:rsid w:val="00392C83"/>
    <w:rsid w:val="003943A3"/>
    <w:rsid w:val="00395419"/>
    <w:rsid w:val="003960B0"/>
    <w:rsid w:val="0039676D"/>
    <w:rsid w:val="003A3EDE"/>
    <w:rsid w:val="003A4B84"/>
    <w:rsid w:val="003A6690"/>
    <w:rsid w:val="003A6C63"/>
    <w:rsid w:val="003A7AF4"/>
    <w:rsid w:val="003B1288"/>
    <w:rsid w:val="003B339D"/>
    <w:rsid w:val="003C0182"/>
    <w:rsid w:val="003C07D6"/>
    <w:rsid w:val="003C4037"/>
    <w:rsid w:val="003C4CEB"/>
    <w:rsid w:val="003C649E"/>
    <w:rsid w:val="003C6D5E"/>
    <w:rsid w:val="003C721F"/>
    <w:rsid w:val="003D07F5"/>
    <w:rsid w:val="003D1A1A"/>
    <w:rsid w:val="003D34CF"/>
    <w:rsid w:val="003D5AC6"/>
    <w:rsid w:val="003E2E6D"/>
    <w:rsid w:val="003E5367"/>
    <w:rsid w:val="003E7070"/>
    <w:rsid w:val="003E7C2D"/>
    <w:rsid w:val="003E7C8D"/>
    <w:rsid w:val="003F0254"/>
    <w:rsid w:val="003F0A86"/>
    <w:rsid w:val="003F1A94"/>
    <w:rsid w:val="003F2992"/>
    <w:rsid w:val="003F3902"/>
    <w:rsid w:val="003F3EC7"/>
    <w:rsid w:val="003F7258"/>
    <w:rsid w:val="003F7BC8"/>
    <w:rsid w:val="004016E9"/>
    <w:rsid w:val="00401B5C"/>
    <w:rsid w:val="00403760"/>
    <w:rsid w:val="0040382D"/>
    <w:rsid w:val="00405B09"/>
    <w:rsid w:val="00406172"/>
    <w:rsid w:val="0040769E"/>
    <w:rsid w:val="00407FCA"/>
    <w:rsid w:val="004102D4"/>
    <w:rsid w:val="00410CBF"/>
    <w:rsid w:val="00411C33"/>
    <w:rsid w:val="00412F4E"/>
    <w:rsid w:val="0041714C"/>
    <w:rsid w:val="00425B0C"/>
    <w:rsid w:val="00425D44"/>
    <w:rsid w:val="00427AAF"/>
    <w:rsid w:val="004323F6"/>
    <w:rsid w:val="0043492B"/>
    <w:rsid w:val="00441A42"/>
    <w:rsid w:val="00441E3C"/>
    <w:rsid w:val="00442E7C"/>
    <w:rsid w:val="00446EBC"/>
    <w:rsid w:val="00447C3E"/>
    <w:rsid w:val="004525A6"/>
    <w:rsid w:val="00456281"/>
    <w:rsid w:val="004566F2"/>
    <w:rsid w:val="00460A77"/>
    <w:rsid w:val="0046237C"/>
    <w:rsid w:val="0046317F"/>
    <w:rsid w:val="00463835"/>
    <w:rsid w:val="00465458"/>
    <w:rsid w:val="004663B8"/>
    <w:rsid w:val="004673AD"/>
    <w:rsid w:val="0047160D"/>
    <w:rsid w:val="0047195A"/>
    <w:rsid w:val="0047214D"/>
    <w:rsid w:val="00472EFA"/>
    <w:rsid w:val="00473D72"/>
    <w:rsid w:val="004744F5"/>
    <w:rsid w:val="00484DEE"/>
    <w:rsid w:val="004874FD"/>
    <w:rsid w:val="00491C73"/>
    <w:rsid w:val="00493BDB"/>
    <w:rsid w:val="004A0798"/>
    <w:rsid w:val="004A2860"/>
    <w:rsid w:val="004A342B"/>
    <w:rsid w:val="004A382F"/>
    <w:rsid w:val="004A3EC6"/>
    <w:rsid w:val="004A4F37"/>
    <w:rsid w:val="004A7ADE"/>
    <w:rsid w:val="004B084D"/>
    <w:rsid w:val="004B1606"/>
    <w:rsid w:val="004B4C9D"/>
    <w:rsid w:val="004B4D5B"/>
    <w:rsid w:val="004B518F"/>
    <w:rsid w:val="004B5410"/>
    <w:rsid w:val="004B6AA1"/>
    <w:rsid w:val="004C37CD"/>
    <w:rsid w:val="004C5E18"/>
    <w:rsid w:val="004D04C0"/>
    <w:rsid w:val="004D0E36"/>
    <w:rsid w:val="004E1F4B"/>
    <w:rsid w:val="004E40D6"/>
    <w:rsid w:val="004E604D"/>
    <w:rsid w:val="004E7F6D"/>
    <w:rsid w:val="004F01E0"/>
    <w:rsid w:val="004F12F5"/>
    <w:rsid w:val="004F3571"/>
    <w:rsid w:val="004F3871"/>
    <w:rsid w:val="004F3B60"/>
    <w:rsid w:val="004F5289"/>
    <w:rsid w:val="005059E7"/>
    <w:rsid w:val="00511A69"/>
    <w:rsid w:val="00514C05"/>
    <w:rsid w:val="0051583D"/>
    <w:rsid w:val="00516C5A"/>
    <w:rsid w:val="00516CBC"/>
    <w:rsid w:val="005222E4"/>
    <w:rsid w:val="00522A48"/>
    <w:rsid w:val="005231F6"/>
    <w:rsid w:val="00524B60"/>
    <w:rsid w:val="005255F6"/>
    <w:rsid w:val="00527267"/>
    <w:rsid w:val="00527BAE"/>
    <w:rsid w:val="00530D2E"/>
    <w:rsid w:val="00531EC5"/>
    <w:rsid w:val="00534432"/>
    <w:rsid w:val="005348B8"/>
    <w:rsid w:val="00534E98"/>
    <w:rsid w:val="00535FA7"/>
    <w:rsid w:val="00536B7C"/>
    <w:rsid w:val="0053775B"/>
    <w:rsid w:val="005403D6"/>
    <w:rsid w:val="00541773"/>
    <w:rsid w:val="005443D5"/>
    <w:rsid w:val="00544F64"/>
    <w:rsid w:val="00553238"/>
    <w:rsid w:val="00555142"/>
    <w:rsid w:val="00556D18"/>
    <w:rsid w:val="00556FF7"/>
    <w:rsid w:val="0056313F"/>
    <w:rsid w:val="005652CB"/>
    <w:rsid w:val="00567F0C"/>
    <w:rsid w:val="00567F2F"/>
    <w:rsid w:val="0057255E"/>
    <w:rsid w:val="0057508C"/>
    <w:rsid w:val="00576B50"/>
    <w:rsid w:val="00576D5F"/>
    <w:rsid w:val="00577BD6"/>
    <w:rsid w:val="00580CDA"/>
    <w:rsid w:val="00581619"/>
    <w:rsid w:val="00582CC9"/>
    <w:rsid w:val="005845C3"/>
    <w:rsid w:val="00586237"/>
    <w:rsid w:val="0058693B"/>
    <w:rsid w:val="00590FC9"/>
    <w:rsid w:val="00593C29"/>
    <w:rsid w:val="00593FD4"/>
    <w:rsid w:val="0059514F"/>
    <w:rsid w:val="005964FA"/>
    <w:rsid w:val="005A1C19"/>
    <w:rsid w:val="005B2E4A"/>
    <w:rsid w:val="005B39C3"/>
    <w:rsid w:val="005B5EDE"/>
    <w:rsid w:val="005B6997"/>
    <w:rsid w:val="005C0ACA"/>
    <w:rsid w:val="005C584D"/>
    <w:rsid w:val="005C638B"/>
    <w:rsid w:val="005C74C3"/>
    <w:rsid w:val="005D27FD"/>
    <w:rsid w:val="005D2850"/>
    <w:rsid w:val="005E08D6"/>
    <w:rsid w:val="005E35E5"/>
    <w:rsid w:val="005E4882"/>
    <w:rsid w:val="005F0240"/>
    <w:rsid w:val="005F111D"/>
    <w:rsid w:val="005F368A"/>
    <w:rsid w:val="005F43CB"/>
    <w:rsid w:val="005F75A3"/>
    <w:rsid w:val="005F7AEB"/>
    <w:rsid w:val="0061302B"/>
    <w:rsid w:val="00613E1C"/>
    <w:rsid w:val="00615267"/>
    <w:rsid w:val="00616AE1"/>
    <w:rsid w:val="006225D6"/>
    <w:rsid w:val="00623DDA"/>
    <w:rsid w:val="006264DC"/>
    <w:rsid w:val="006274DB"/>
    <w:rsid w:val="006328FA"/>
    <w:rsid w:val="00634B9C"/>
    <w:rsid w:val="006358F5"/>
    <w:rsid w:val="00635A5C"/>
    <w:rsid w:val="006417F7"/>
    <w:rsid w:val="00641C5C"/>
    <w:rsid w:val="00641E18"/>
    <w:rsid w:val="0064314D"/>
    <w:rsid w:val="00645B18"/>
    <w:rsid w:val="00647DEA"/>
    <w:rsid w:val="006563FA"/>
    <w:rsid w:val="00661367"/>
    <w:rsid w:val="006638AE"/>
    <w:rsid w:val="006707E7"/>
    <w:rsid w:val="00673CE2"/>
    <w:rsid w:val="00674924"/>
    <w:rsid w:val="00675C19"/>
    <w:rsid w:val="00675E8A"/>
    <w:rsid w:val="0068008C"/>
    <w:rsid w:val="00680405"/>
    <w:rsid w:val="00680B84"/>
    <w:rsid w:val="00681C06"/>
    <w:rsid w:val="00682F39"/>
    <w:rsid w:val="00685F2F"/>
    <w:rsid w:val="00690AA3"/>
    <w:rsid w:val="00693AA0"/>
    <w:rsid w:val="00693D20"/>
    <w:rsid w:val="00694C07"/>
    <w:rsid w:val="006A340C"/>
    <w:rsid w:val="006A4B37"/>
    <w:rsid w:val="006A69D0"/>
    <w:rsid w:val="006A6DE1"/>
    <w:rsid w:val="006A72FC"/>
    <w:rsid w:val="006A7D70"/>
    <w:rsid w:val="006B26ED"/>
    <w:rsid w:val="006B644D"/>
    <w:rsid w:val="006B6691"/>
    <w:rsid w:val="006C0ABF"/>
    <w:rsid w:val="006C0BA1"/>
    <w:rsid w:val="006C0C1D"/>
    <w:rsid w:val="006C31AF"/>
    <w:rsid w:val="006C53B4"/>
    <w:rsid w:val="006D20BB"/>
    <w:rsid w:val="006D277A"/>
    <w:rsid w:val="006D2C44"/>
    <w:rsid w:val="006D5BB5"/>
    <w:rsid w:val="006D5F6C"/>
    <w:rsid w:val="006D7119"/>
    <w:rsid w:val="006D7773"/>
    <w:rsid w:val="006E0EA8"/>
    <w:rsid w:val="006E0F1B"/>
    <w:rsid w:val="006E3803"/>
    <w:rsid w:val="006E72CD"/>
    <w:rsid w:val="006F01D1"/>
    <w:rsid w:val="006F0EF5"/>
    <w:rsid w:val="006F70F4"/>
    <w:rsid w:val="00702E79"/>
    <w:rsid w:val="00706DFD"/>
    <w:rsid w:val="00707216"/>
    <w:rsid w:val="00710735"/>
    <w:rsid w:val="007107FE"/>
    <w:rsid w:val="00713274"/>
    <w:rsid w:val="0071357E"/>
    <w:rsid w:val="00722BE8"/>
    <w:rsid w:val="007244B7"/>
    <w:rsid w:val="007254D2"/>
    <w:rsid w:val="00725D69"/>
    <w:rsid w:val="00725F34"/>
    <w:rsid w:val="00726739"/>
    <w:rsid w:val="007305DC"/>
    <w:rsid w:val="00730B20"/>
    <w:rsid w:val="00735532"/>
    <w:rsid w:val="007372E1"/>
    <w:rsid w:val="00743392"/>
    <w:rsid w:val="00744562"/>
    <w:rsid w:val="0075058A"/>
    <w:rsid w:val="0075295F"/>
    <w:rsid w:val="00754BDD"/>
    <w:rsid w:val="00760BC4"/>
    <w:rsid w:val="00760E94"/>
    <w:rsid w:val="00760ECE"/>
    <w:rsid w:val="0076191F"/>
    <w:rsid w:val="00761E37"/>
    <w:rsid w:val="0076515B"/>
    <w:rsid w:val="007673B2"/>
    <w:rsid w:val="007677C3"/>
    <w:rsid w:val="007779F1"/>
    <w:rsid w:val="0078324F"/>
    <w:rsid w:val="00786C8C"/>
    <w:rsid w:val="00793608"/>
    <w:rsid w:val="0079490C"/>
    <w:rsid w:val="007958D4"/>
    <w:rsid w:val="007967A2"/>
    <w:rsid w:val="00797012"/>
    <w:rsid w:val="007A1F33"/>
    <w:rsid w:val="007A1FA4"/>
    <w:rsid w:val="007A2C34"/>
    <w:rsid w:val="007A34DD"/>
    <w:rsid w:val="007A38BC"/>
    <w:rsid w:val="007A40E0"/>
    <w:rsid w:val="007B05A1"/>
    <w:rsid w:val="007B0A0F"/>
    <w:rsid w:val="007B261B"/>
    <w:rsid w:val="007B2F30"/>
    <w:rsid w:val="007B467A"/>
    <w:rsid w:val="007B467E"/>
    <w:rsid w:val="007B6394"/>
    <w:rsid w:val="007C20F6"/>
    <w:rsid w:val="007C4117"/>
    <w:rsid w:val="007C44C8"/>
    <w:rsid w:val="007C545C"/>
    <w:rsid w:val="007C6519"/>
    <w:rsid w:val="007C6DBF"/>
    <w:rsid w:val="007D0AA1"/>
    <w:rsid w:val="007D2B07"/>
    <w:rsid w:val="007D6337"/>
    <w:rsid w:val="007D7C1C"/>
    <w:rsid w:val="007E045B"/>
    <w:rsid w:val="007E0B68"/>
    <w:rsid w:val="007E0CCE"/>
    <w:rsid w:val="007E0E35"/>
    <w:rsid w:val="007E1611"/>
    <w:rsid w:val="007E402B"/>
    <w:rsid w:val="007E4C9E"/>
    <w:rsid w:val="007E62D0"/>
    <w:rsid w:val="007E6C68"/>
    <w:rsid w:val="007F24BD"/>
    <w:rsid w:val="007F3944"/>
    <w:rsid w:val="007F6EED"/>
    <w:rsid w:val="007F749D"/>
    <w:rsid w:val="0080327D"/>
    <w:rsid w:val="008037E4"/>
    <w:rsid w:val="00803AFF"/>
    <w:rsid w:val="0080605B"/>
    <w:rsid w:val="00806AEF"/>
    <w:rsid w:val="00806CB7"/>
    <w:rsid w:val="00807A8E"/>
    <w:rsid w:val="00811423"/>
    <w:rsid w:val="00813CEE"/>
    <w:rsid w:val="00814B3F"/>
    <w:rsid w:val="00816AEA"/>
    <w:rsid w:val="0081724D"/>
    <w:rsid w:val="00822679"/>
    <w:rsid w:val="008231CE"/>
    <w:rsid w:val="0082355F"/>
    <w:rsid w:val="00823722"/>
    <w:rsid w:val="00823E77"/>
    <w:rsid w:val="0082618E"/>
    <w:rsid w:val="00827194"/>
    <w:rsid w:val="00831319"/>
    <w:rsid w:val="00833BBB"/>
    <w:rsid w:val="0083460B"/>
    <w:rsid w:val="00835740"/>
    <w:rsid w:val="0083662D"/>
    <w:rsid w:val="00842790"/>
    <w:rsid w:val="00844631"/>
    <w:rsid w:val="00846137"/>
    <w:rsid w:val="00847E0D"/>
    <w:rsid w:val="0085012E"/>
    <w:rsid w:val="00854C25"/>
    <w:rsid w:val="00855175"/>
    <w:rsid w:val="00855860"/>
    <w:rsid w:val="00855FD5"/>
    <w:rsid w:val="008624CC"/>
    <w:rsid w:val="0086494F"/>
    <w:rsid w:val="00865FF9"/>
    <w:rsid w:val="00867D95"/>
    <w:rsid w:val="00873A19"/>
    <w:rsid w:val="008761C2"/>
    <w:rsid w:val="0088020B"/>
    <w:rsid w:val="00881761"/>
    <w:rsid w:val="00883700"/>
    <w:rsid w:val="00884598"/>
    <w:rsid w:val="0088512F"/>
    <w:rsid w:val="00887399"/>
    <w:rsid w:val="00891119"/>
    <w:rsid w:val="00892150"/>
    <w:rsid w:val="008949D5"/>
    <w:rsid w:val="00895BB6"/>
    <w:rsid w:val="008973A2"/>
    <w:rsid w:val="00897FE6"/>
    <w:rsid w:val="008A1E04"/>
    <w:rsid w:val="008A2578"/>
    <w:rsid w:val="008A2D2C"/>
    <w:rsid w:val="008A31BD"/>
    <w:rsid w:val="008A3BDF"/>
    <w:rsid w:val="008A5672"/>
    <w:rsid w:val="008A6596"/>
    <w:rsid w:val="008A6C67"/>
    <w:rsid w:val="008B4409"/>
    <w:rsid w:val="008B69E5"/>
    <w:rsid w:val="008C14BD"/>
    <w:rsid w:val="008C3CE8"/>
    <w:rsid w:val="008C4064"/>
    <w:rsid w:val="008D2FD5"/>
    <w:rsid w:val="008E133D"/>
    <w:rsid w:val="008E53EA"/>
    <w:rsid w:val="008E6E17"/>
    <w:rsid w:val="008E7052"/>
    <w:rsid w:val="008E7FA1"/>
    <w:rsid w:val="008F0A9F"/>
    <w:rsid w:val="008F1EF0"/>
    <w:rsid w:val="008F394F"/>
    <w:rsid w:val="008F5126"/>
    <w:rsid w:val="008F6B99"/>
    <w:rsid w:val="009001B5"/>
    <w:rsid w:val="0090089A"/>
    <w:rsid w:val="0090095C"/>
    <w:rsid w:val="00902EFD"/>
    <w:rsid w:val="00905EDF"/>
    <w:rsid w:val="009060A5"/>
    <w:rsid w:val="009077D8"/>
    <w:rsid w:val="00911E20"/>
    <w:rsid w:val="00912500"/>
    <w:rsid w:val="009129C0"/>
    <w:rsid w:val="00912B53"/>
    <w:rsid w:val="00917E51"/>
    <w:rsid w:val="00921423"/>
    <w:rsid w:val="00921F5C"/>
    <w:rsid w:val="00922372"/>
    <w:rsid w:val="009232C3"/>
    <w:rsid w:val="00923D80"/>
    <w:rsid w:val="00923F73"/>
    <w:rsid w:val="009246D4"/>
    <w:rsid w:val="0092522A"/>
    <w:rsid w:val="00925E10"/>
    <w:rsid w:val="00927336"/>
    <w:rsid w:val="00932490"/>
    <w:rsid w:val="0093292D"/>
    <w:rsid w:val="00934303"/>
    <w:rsid w:val="00940C16"/>
    <w:rsid w:val="00940F78"/>
    <w:rsid w:val="0094171D"/>
    <w:rsid w:val="00942607"/>
    <w:rsid w:val="00943D33"/>
    <w:rsid w:val="00943F92"/>
    <w:rsid w:val="009442CE"/>
    <w:rsid w:val="0094556D"/>
    <w:rsid w:val="009470E8"/>
    <w:rsid w:val="00950C3A"/>
    <w:rsid w:val="00955CCB"/>
    <w:rsid w:val="0095674F"/>
    <w:rsid w:val="0095699F"/>
    <w:rsid w:val="0096389C"/>
    <w:rsid w:val="009647DA"/>
    <w:rsid w:val="0096677C"/>
    <w:rsid w:val="00967289"/>
    <w:rsid w:val="00967BD8"/>
    <w:rsid w:val="00967E45"/>
    <w:rsid w:val="009700C4"/>
    <w:rsid w:val="0097290F"/>
    <w:rsid w:val="009733C5"/>
    <w:rsid w:val="00973B61"/>
    <w:rsid w:val="00975E77"/>
    <w:rsid w:val="00976469"/>
    <w:rsid w:val="009770E9"/>
    <w:rsid w:val="0098644E"/>
    <w:rsid w:val="0099547F"/>
    <w:rsid w:val="00997A0C"/>
    <w:rsid w:val="00997BAD"/>
    <w:rsid w:val="009A0949"/>
    <w:rsid w:val="009A42C0"/>
    <w:rsid w:val="009A42CC"/>
    <w:rsid w:val="009A4499"/>
    <w:rsid w:val="009A5C38"/>
    <w:rsid w:val="009A6E8A"/>
    <w:rsid w:val="009A77A2"/>
    <w:rsid w:val="009B6CDA"/>
    <w:rsid w:val="009C33E2"/>
    <w:rsid w:val="009C44BD"/>
    <w:rsid w:val="009C6793"/>
    <w:rsid w:val="009D104F"/>
    <w:rsid w:val="009D21F5"/>
    <w:rsid w:val="009D21FC"/>
    <w:rsid w:val="009D668E"/>
    <w:rsid w:val="009D7382"/>
    <w:rsid w:val="009D7CE4"/>
    <w:rsid w:val="009E0454"/>
    <w:rsid w:val="009E0BFB"/>
    <w:rsid w:val="009E401D"/>
    <w:rsid w:val="009E7C70"/>
    <w:rsid w:val="009F1C03"/>
    <w:rsid w:val="009F4E79"/>
    <w:rsid w:val="009F5CAC"/>
    <w:rsid w:val="00A01D62"/>
    <w:rsid w:val="00A02F39"/>
    <w:rsid w:val="00A06ACD"/>
    <w:rsid w:val="00A1200A"/>
    <w:rsid w:val="00A13375"/>
    <w:rsid w:val="00A21063"/>
    <w:rsid w:val="00A212E1"/>
    <w:rsid w:val="00A212F4"/>
    <w:rsid w:val="00A21AE3"/>
    <w:rsid w:val="00A23953"/>
    <w:rsid w:val="00A2589D"/>
    <w:rsid w:val="00A3368E"/>
    <w:rsid w:val="00A348A5"/>
    <w:rsid w:val="00A35C35"/>
    <w:rsid w:val="00A361B4"/>
    <w:rsid w:val="00A3777B"/>
    <w:rsid w:val="00A37E17"/>
    <w:rsid w:val="00A42372"/>
    <w:rsid w:val="00A42A92"/>
    <w:rsid w:val="00A44DA2"/>
    <w:rsid w:val="00A45EF1"/>
    <w:rsid w:val="00A46457"/>
    <w:rsid w:val="00A50AFF"/>
    <w:rsid w:val="00A51DCC"/>
    <w:rsid w:val="00A53948"/>
    <w:rsid w:val="00A60218"/>
    <w:rsid w:val="00A62F13"/>
    <w:rsid w:val="00A63152"/>
    <w:rsid w:val="00A64BC7"/>
    <w:rsid w:val="00A72C9B"/>
    <w:rsid w:val="00A730B9"/>
    <w:rsid w:val="00A743C9"/>
    <w:rsid w:val="00A7557E"/>
    <w:rsid w:val="00A7590D"/>
    <w:rsid w:val="00A764BC"/>
    <w:rsid w:val="00A774DF"/>
    <w:rsid w:val="00A861AB"/>
    <w:rsid w:val="00A92367"/>
    <w:rsid w:val="00A95C8C"/>
    <w:rsid w:val="00A978BB"/>
    <w:rsid w:val="00AA1FB4"/>
    <w:rsid w:val="00AA2A3E"/>
    <w:rsid w:val="00AA2C4B"/>
    <w:rsid w:val="00AA38D6"/>
    <w:rsid w:val="00AA39BC"/>
    <w:rsid w:val="00AA3DFB"/>
    <w:rsid w:val="00AA496C"/>
    <w:rsid w:val="00AA4E12"/>
    <w:rsid w:val="00AA5209"/>
    <w:rsid w:val="00AA574A"/>
    <w:rsid w:val="00AA710A"/>
    <w:rsid w:val="00AB2599"/>
    <w:rsid w:val="00AB2EEB"/>
    <w:rsid w:val="00AB2F3D"/>
    <w:rsid w:val="00AB56EE"/>
    <w:rsid w:val="00AC1962"/>
    <w:rsid w:val="00AC2A43"/>
    <w:rsid w:val="00AC3930"/>
    <w:rsid w:val="00AD065A"/>
    <w:rsid w:val="00AD170D"/>
    <w:rsid w:val="00AD7698"/>
    <w:rsid w:val="00AE04BE"/>
    <w:rsid w:val="00AE17C1"/>
    <w:rsid w:val="00AE21A4"/>
    <w:rsid w:val="00AE5C83"/>
    <w:rsid w:val="00AE5ECC"/>
    <w:rsid w:val="00AE609E"/>
    <w:rsid w:val="00AE689E"/>
    <w:rsid w:val="00AE76D9"/>
    <w:rsid w:val="00AE7900"/>
    <w:rsid w:val="00AE7F3C"/>
    <w:rsid w:val="00AF390E"/>
    <w:rsid w:val="00AF52A9"/>
    <w:rsid w:val="00AF7056"/>
    <w:rsid w:val="00B00104"/>
    <w:rsid w:val="00B02837"/>
    <w:rsid w:val="00B02A88"/>
    <w:rsid w:val="00B02E69"/>
    <w:rsid w:val="00B03905"/>
    <w:rsid w:val="00B03C07"/>
    <w:rsid w:val="00B045A1"/>
    <w:rsid w:val="00B05F7D"/>
    <w:rsid w:val="00B06FFF"/>
    <w:rsid w:val="00B07668"/>
    <w:rsid w:val="00B11162"/>
    <w:rsid w:val="00B11432"/>
    <w:rsid w:val="00B2109B"/>
    <w:rsid w:val="00B2210D"/>
    <w:rsid w:val="00B259D4"/>
    <w:rsid w:val="00B25CFF"/>
    <w:rsid w:val="00B262F0"/>
    <w:rsid w:val="00B31C75"/>
    <w:rsid w:val="00B34D08"/>
    <w:rsid w:val="00B37904"/>
    <w:rsid w:val="00B41D36"/>
    <w:rsid w:val="00B44313"/>
    <w:rsid w:val="00B44EBA"/>
    <w:rsid w:val="00B45D3D"/>
    <w:rsid w:val="00B53850"/>
    <w:rsid w:val="00B55366"/>
    <w:rsid w:val="00B56297"/>
    <w:rsid w:val="00B56477"/>
    <w:rsid w:val="00B62AE3"/>
    <w:rsid w:val="00B648B4"/>
    <w:rsid w:val="00B743B2"/>
    <w:rsid w:val="00B7615C"/>
    <w:rsid w:val="00B76FE8"/>
    <w:rsid w:val="00B84D9A"/>
    <w:rsid w:val="00B87A61"/>
    <w:rsid w:val="00B87AB1"/>
    <w:rsid w:val="00B87D9B"/>
    <w:rsid w:val="00B91C13"/>
    <w:rsid w:val="00B91DC0"/>
    <w:rsid w:val="00B92966"/>
    <w:rsid w:val="00B92EBA"/>
    <w:rsid w:val="00B93492"/>
    <w:rsid w:val="00B93833"/>
    <w:rsid w:val="00BA28D0"/>
    <w:rsid w:val="00BA4E34"/>
    <w:rsid w:val="00BA7378"/>
    <w:rsid w:val="00BB0560"/>
    <w:rsid w:val="00BB2072"/>
    <w:rsid w:val="00BB238A"/>
    <w:rsid w:val="00BB2956"/>
    <w:rsid w:val="00BB38FC"/>
    <w:rsid w:val="00BB4F8B"/>
    <w:rsid w:val="00BB774E"/>
    <w:rsid w:val="00BC03E1"/>
    <w:rsid w:val="00BC0652"/>
    <w:rsid w:val="00BC1300"/>
    <w:rsid w:val="00BC13F3"/>
    <w:rsid w:val="00BC190D"/>
    <w:rsid w:val="00BC7D6D"/>
    <w:rsid w:val="00BD09A6"/>
    <w:rsid w:val="00BD150A"/>
    <w:rsid w:val="00BD1DE8"/>
    <w:rsid w:val="00BD3333"/>
    <w:rsid w:val="00BD53E3"/>
    <w:rsid w:val="00BD6D6D"/>
    <w:rsid w:val="00BE0272"/>
    <w:rsid w:val="00BE0393"/>
    <w:rsid w:val="00BE103D"/>
    <w:rsid w:val="00BE1BC4"/>
    <w:rsid w:val="00BE1BDB"/>
    <w:rsid w:val="00BE29B1"/>
    <w:rsid w:val="00BE33F0"/>
    <w:rsid w:val="00BE3832"/>
    <w:rsid w:val="00BE3979"/>
    <w:rsid w:val="00BE4D6B"/>
    <w:rsid w:val="00BE61AF"/>
    <w:rsid w:val="00BE787F"/>
    <w:rsid w:val="00BF288A"/>
    <w:rsid w:val="00BF538E"/>
    <w:rsid w:val="00C01592"/>
    <w:rsid w:val="00C01AFB"/>
    <w:rsid w:val="00C0306C"/>
    <w:rsid w:val="00C03FA3"/>
    <w:rsid w:val="00C04B22"/>
    <w:rsid w:val="00C07AF2"/>
    <w:rsid w:val="00C148D9"/>
    <w:rsid w:val="00C17515"/>
    <w:rsid w:val="00C22D59"/>
    <w:rsid w:val="00C2349B"/>
    <w:rsid w:val="00C279D8"/>
    <w:rsid w:val="00C32804"/>
    <w:rsid w:val="00C34EB9"/>
    <w:rsid w:val="00C36EEB"/>
    <w:rsid w:val="00C40373"/>
    <w:rsid w:val="00C412B6"/>
    <w:rsid w:val="00C42CFB"/>
    <w:rsid w:val="00C4420E"/>
    <w:rsid w:val="00C44260"/>
    <w:rsid w:val="00C446F5"/>
    <w:rsid w:val="00C44AF3"/>
    <w:rsid w:val="00C45A8E"/>
    <w:rsid w:val="00C45C8F"/>
    <w:rsid w:val="00C46D46"/>
    <w:rsid w:val="00C50F52"/>
    <w:rsid w:val="00C511C5"/>
    <w:rsid w:val="00C53965"/>
    <w:rsid w:val="00C54A6D"/>
    <w:rsid w:val="00C57D5B"/>
    <w:rsid w:val="00C61F33"/>
    <w:rsid w:val="00C649B1"/>
    <w:rsid w:val="00C73724"/>
    <w:rsid w:val="00C82AD3"/>
    <w:rsid w:val="00C82E96"/>
    <w:rsid w:val="00C835CF"/>
    <w:rsid w:val="00C85356"/>
    <w:rsid w:val="00C920D2"/>
    <w:rsid w:val="00C923B3"/>
    <w:rsid w:val="00C92511"/>
    <w:rsid w:val="00C9486D"/>
    <w:rsid w:val="00CA4CBE"/>
    <w:rsid w:val="00CA6771"/>
    <w:rsid w:val="00CB0DAC"/>
    <w:rsid w:val="00CB1221"/>
    <w:rsid w:val="00CB5457"/>
    <w:rsid w:val="00CB6264"/>
    <w:rsid w:val="00CB7213"/>
    <w:rsid w:val="00CC379B"/>
    <w:rsid w:val="00CD0246"/>
    <w:rsid w:val="00CD1ADD"/>
    <w:rsid w:val="00CD6018"/>
    <w:rsid w:val="00CD7093"/>
    <w:rsid w:val="00CE011D"/>
    <w:rsid w:val="00CE08C2"/>
    <w:rsid w:val="00CE2580"/>
    <w:rsid w:val="00CE3B63"/>
    <w:rsid w:val="00CE5959"/>
    <w:rsid w:val="00CE69EF"/>
    <w:rsid w:val="00CF0723"/>
    <w:rsid w:val="00CF10D0"/>
    <w:rsid w:val="00CF114C"/>
    <w:rsid w:val="00CF12CC"/>
    <w:rsid w:val="00CF1E72"/>
    <w:rsid w:val="00CF53AD"/>
    <w:rsid w:val="00CF5D2B"/>
    <w:rsid w:val="00D014F2"/>
    <w:rsid w:val="00D03755"/>
    <w:rsid w:val="00D04840"/>
    <w:rsid w:val="00D061F6"/>
    <w:rsid w:val="00D06756"/>
    <w:rsid w:val="00D10396"/>
    <w:rsid w:val="00D10D42"/>
    <w:rsid w:val="00D12522"/>
    <w:rsid w:val="00D12549"/>
    <w:rsid w:val="00D14103"/>
    <w:rsid w:val="00D1427A"/>
    <w:rsid w:val="00D167C1"/>
    <w:rsid w:val="00D17FFA"/>
    <w:rsid w:val="00D23075"/>
    <w:rsid w:val="00D23D6C"/>
    <w:rsid w:val="00D350AE"/>
    <w:rsid w:val="00D36DAD"/>
    <w:rsid w:val="00D41019"/>
    <w:rsid w:val="00D42461"/>
    <w:rsid w:val="00D42670"/>
    <w:rsid w:val="00D4592A"/>
    <w:rsid w:val="00D479E0"/>
    <w:rsid w:val="00D5384C"/>
    <w:rsid w:val="00D5563D"/>
    <w:rsid w:val="00D55C7D"/>
    <w:rsid w:val="00D60235"/>
    <w:rsid w:val="00D60CA2"/>
    <w:rsid w:val="00D63131"/>
    <w:rsid w:val="00D633A4"/>
    <w:rsid w:val="00D64849"/>
    <w:rsid w:val="00D65E80"/>
    <w:rsid w:val="00D66A45"/>
    <w:rsid w:val="00D67AC7"/>
    <w:rsid w:val="00D67D7B"/>
    <w:rsid w:val="00D746E8"/>
    <w:rsid w:val="00D76388"/>
    <w:rsid w:val="00D77646"/>
    <w:rsid w:val="00D81A21"/>
    <w:rsid w:val="00D82B1E"/>
    <w:rsid w:val="00D831CF"/>
    <w:rsid w:val="00D85C9B"/>
    <w:rsid w:val="00D86903"/>
    <w:rsid w:val="00D879A3"/>
    <w:rsid w:val="00D91BBD"/>
    <w:rsid w:val="00D92602"/>
    <w:rsid w:val="00D93290"/>
    <w:rsid w:val="00D93F84"/>
    <w:rsid w:val="00DA2809"/>
    <w:rsid w:val="00DA4117"/>
    <w:rsid w:val="00DA434B"/>
    <w:rsid w:val="00DA6727"/>
    <w:rsid w:val="00DA74B9"/>
    <w:rsid w:val="00DB1A86"/>
    <w:rsid w:val="00DB1E88"/>
    <w:rsid w:val="00DB6523"/>
    <w:rsid w:val="00DC4F76"/>
    <w:rsid w:val="00DC5553"/>
    <w:rsid w:val="00DD1353"/>
    <w:rsid w:val="00DD2307"/>
    <w:rsid w:val="00DD5279"/>
    <w:rsid w:val="00DD5408"/>
    <w:rsid w:val="00DD542B"/>
    <w:rsid w:val="00DD751D"/>
    <w:rsid w:val="00DE1A0B"/>
    <w:rsid w:val="00DE5615"/>
    <w:rsid w:val="00DE7754"/>
    <w:rsid w:val="00DF2A8B"/>
    <w:rsid w:val="00DF444D"/>
    <w:rsid w:val="00E005DD"/>
    <w:rsid w:val="00E014F5"/>
    <w:rsid w:val="00E0479F"/>
    <w:rsid w:val="00E05509"/>
    <w:rsid w:val="00E106DD"/>
    <w:rsid w:val="00E121A6"/>
    <w:rsid w:val="00E13071"/>
    <w:rsid w:val="00E13C9C"/>
    <w:rsid w:val="00E150DA"/>
    <w:rsid w:val="00E21349"/>
    <w:rsid w:val="00E2446B"/>
    <w:rsid w:val="00E244AA"/>
    <w:rsid w:val="00E26DCF"/>
    <w:rsid w:val="00E30164"/>
    <w:rsid w:val="00E32392"/>
    <w:rsid w:val="00E35157"/>
    <w:rsid w:val="00E352E7"/>
    <w:rsid w:val="00E3622D"/>
    <w:rsid w:val="00E36D7F"/>
    <w:rsid w:val="00E37B8B"/>
    <w:rsid w:val="00E448B5"/>
    <w:rsid w:val="00E475D7"/>
    <w:rsid w:val="00E56DFD"/>
    <w:rsid w:val="00E579BB"/>
    <w:rsid w:val="00E622AF"/>
    <w:rsid w:val="00E674E5"/>
    <w:rsid w:val="00E71969"/>
    <w:rsid w:val="00E7220E"/>
    <w:rsid w:val="00E75115"/>
    <w:rsid w:val="00E75C44"/>
    <w:rsid w:val="00E766D8"/>
    <w:rsid w:val="00E80CF9"/>
    <w:rsid w:val="00E83C9F"/>
    <w:rsid w:val="00E8556D"/>
    <w:rsid w:val="00E9117B"/>
    <w:rsid w:val="00E94E8E"/>
    <w:rsid w:val="00E96D3D"/>
    <w:rsid w:val="00E97385"/>
    <w:rsid w:val="00EA003D"/>
    <w:rsid w:val="00EA0417"/>
    <w:rsid w:val="00EA12DE"/>
    <w:rsid w:val="00EA4212"/>
    <w:rsid w:val="00EB08A1"/>
    <w:rsid w:val="00EB1964"/>
    <w:rsid w:val="00EB28BB"/>
    <w:rsid w:val="00EB340A"/>
    <w:rsid w:val="00EB3AEF"/>
    <w:rsid w:val="00EB4CCC"/>
    <w:rsid w:val="00EC1B33"/>
    <w:rsid w:val="00EC4A2E"/>
    <w:rsid w:val="00EC6822"/>
    <w:rsid w:val="00EC6907"/>
    <w:rsid w:val="00ED39FC"/>
    <w:rsid w:val="00ED5975"/>
    <w:rsid w:val="00ED66B6"/>
    <w:rsid w:val="00EE000B"/>
    <w:rsid w:val="00EE2FCA"/>
    <w:rsid w:val="00EE309B"/>
    <w:rsid w:val="00EE31CA"/>
    <w:rsid w:val="00EE477E"/>
    <w:rsid w:val="00EE5342"/>
    <w:rsid w:val="00EF63C0"/>
    <w:rsid w:val="00F00050"/>
    <w:rsid w:val="00F00B94"/>
    <w:rsid w:val="00F02506"/>
    <w:rsid w:val="00F02645"/>
    <w:rsid w:val="00F1129A"/>
    <w:rsid w:val="00F15AA8"/>
    <w:rsid w:val="00F17A99"/>
    <w:rsid w:val="00F22336"/>
    <w:rsid w:val="00F22CAF"/>
    <w:rsid w:val="00F24501"/>
    <w:rsid w:val="00F25D47"/>
    <w:rsid w:val="00F25DA8"/>
    <w:rsid w:val="00F3017C"/>
    <w:rsid w:val="00F30E74"/>
    <w:rsid w:val="00F31898"/>
    <w:rsid w:val="00F330C6"/>
    <w:rsid w:val="00F341B8"/>
    <w:rsid w:val="00F3553F"/>
    <w:rsid w:val="00F36E15"/>
    <w:rsid w:val="00F37190"/>
    <w:rsid w:val="00F40107"/>
    <w:rsid w:val="00F40FB9"/>
    <w:rsid w:val="00F41996"/>
    <w:rsid w:val="00F426CA"/>
    <w:rsid w:val="00F42EA8"/>
    <w:rsid w:val="00F43C88"/>
    <w:rsid w:val="00F44477"/>
    <w:rsid w:val="00F44662"/>
    <w:rsid w:val="00F456B4"/>
    <w:rsid w:val="00F463BC"/>
    <w:rsid w:val="00F467C3"/>
    <w:rsid w:val="00F5409B"/>
    <w:rsid w:val="00F5457F"/>
    <w:rsid w:val="00F62BC7"/>
    <w:rsid w:val="00F711AD"/>
    <w:rsid w:val="00F71430"/>
    <w:rsid w:val="00F73B0C"/>
    <w:rsid w:val="00F740F0"/>
    <w:rsid w:val="00F74A34"/>
    <w:rsid w:val="00F754E6"/>
    <w:rsid w:val="00F851C7"/>
    <w:rsid w:val="00F85604"/>
    <w:rsid w:val="00F93B54"/>
    <w:rsid w:val="00FA0AC9"/>
    <w:rsid w:val="00FA2341"/>
    <w:rsid w:val="00FA3E4F"/>
    <w:rsid w:val="00FA5E29"/>
    <w:rsid w:val="00FA618A"/>
    <w:rsid w:val="00FA6504"/>
    <w:rsid w:val="00FB3C0E"/>
    <w:rsid w:val="00FB49B9"/>
    <w:rsid w:val="00FB4D27"/>
    <w:rsid w:val="00FB5113"/>
    <w:rsid w:val="00FC3BEA"/>
    <w:rsid w:val="00FC49AD"/>
    <w:rsid w:val="00FC4FE2"/>
    <w:rsid w:val="00FC6931"/>
    <w:rsid w:val="00FC7F38"/>
    <w:rsid w:val="00FD0118"/>
    <w:rsid w:val="00FD0FF2"/>
    <w:rsid w:val="00FD3E81"/>
    <w:rsid w:val="00FE5136"/>
    <w:rsid w:val="00FE717C"/>
    <w:rsid w:val="00FF117E"/>
    <w:rsid w:val="00FF3A0C"/>
    <w:rsid w:val="00FF4392"/>
    <w:rsid w:val="00FF69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3955"/>
  <w15:chartTrackingRefBased/>
  <w15:docId w15:val="{4CA48F8C-12CA-4BF6-8A23-1A725426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AC9"/>
  </w:style>
  <w:style w:type="paragraph" w:styleId="Heading1">
    <w:name w:val="heading 1"/>
    <w:basedOn w:val="Normal"/>
    <w:next w:val="Normal"/>
    <w:link w:val="Heading1Char"/>
    <w:uiPriority w:val="9"/>
    <w:qFormat/>
    <w:rsid w:val="00AB5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5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5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5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5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6EE"/>
    <w:rPr>
      <w:rFonts w:eastAsiaTheme="majorEastAsia" w:cstheme="majorBidi"/>
      <w:color w:val="272727" w:themeColor="text1" w:themeTint="D8"/>
    </w:rPr>
  </w:style>
  <w:style w:type="paragraph" w:styleId="Title">
    <w:name w:val="Title"/>
    <w:basedOn w:val="Normal"/>
    <w:next w:val="Normal"/>
    <w:link w:val="TitleChar"/>
    <w:uiPriority w:val="10"/>
    <w:qFormat/>
    <w:rsid w:val="00AB5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6EE"/>
    <w:pPr>
      <w:spacing w:before="160"/>
      <w:jc w:val="center"/>
    </w:pPr>
    <w:rPr>
      <w:i/>
      <w:iCs/>
      <w:color w:val="404040" w:themeColor="text1" w:themeTint="BF"/>
    </w:rPr>
  </w:style>
  <w:style w:type="character" w:customStyle="1" w:styleId="QuoteChar">
    <w:name w:val="Quote Char"/>
    <w:basedOn w:val="DefaultParagraphFont"/>
    <w:link w:val="Quote"/>
    <w:uiPriority w:val="29"/>
    <w:rsid w:val="00AB56EE"/>
    <w:rPr>
      <w:i/>
      <w:iCs/>
      <w:color w:val="404040" w:themeColor="text1" w:themeTint="BF"/>
    </w:rPr>
  </w:style>
  <w:style w:type="paragraph" w:styleId="ListParagraph">
    <w:name w:val="List Paragraph"/>
    <w:basedOn w:val="Normal"/>
    <w:uiPriority w:val="34"/>
    <w:qFormat/>
    <w:rsid w:val="00AB56EE"/>
    <w:pPr>
      <w:ind w:left="720"/>
      <w:contextualSpacing/>
    </w:pPr>
  </w:style>
  <w:style w:type="character" w:styleId="IntenseEmphasis">
    <w:name w:val="Intense Emphasis"/>
    <w:basedOn w:val="DefaultParagraphFont"/>
    <w:uiPriority w:val="21"/>
    <w:qFormat/>
    <w:rsid w:val="00AB56EE"/>
    <w:rPr>
      <w:i/>
      <w:iCs/>
      <w:color w:val="0F4761" w:themeColor="accent1" w:themeShade="BF"/>
    </w:rPr>
  </w:style>
  <w:style w:type="paragraph" w:styleId="IntenseQuote">
    <w:name w:val="Intense Quote"/>
    <w:basedOn w:val="Normal"/>
    <w:next w:val="Normal"/>
    <w:link w:val="IntenseQuoteChar"/>
    <w:uiPriority w:val="30"/>
    <w:qFormat/>
    <w:rsid w:val="00AB5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6EE"/>
    <w:rPr>
      <w:i/>
      <w:iCs/>
      <w:color w:val="0F4761" w:themeColor="accent1" w:themeShade="BF"/>
    </w:rPr>
  </w:style>
  <w:style w:type="character" w:styleId="IntenseReference">
    <w:name w:val="Intense Reference"/>
    <w:basedOn w:val="DefaultParagraphFont"/>
    <w:uiPriority w:val="32"/>
    <w:qFormat/>
    <w:rsid w:val="00AB56EE"/>
    <w:rPr>
      <w:b/>
      <w:bCs/>
      <w:smallCaps/>
      <w:color w:val="0F4761" w:themeColor="accent1" w:themeShade="BF"/>
      <w:spacing w:val="5"/>
    </w:rPr>
  </w:style>
  <w:style w:type="paragraph" w:styleId="Header">
    <w:name w:val="header"/>
    <w:basedOn w:val="Normal"/>
    <w:link w:val="HeaderChar"/>
    <w:uiPriority w:val="99"/>
    <w:unhideWhenUsed/>
    <w:rsid w:val="00191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0FD"/>
  </w:style>
  <w:style w:type="paragraph" w:styleId="Footer">
    <w:name w:val="footer"/>
    <w:basedOn w:val="Normal"/>
    <w:link w:val="FooterChar"/>
    <w:uiPriority w:val="99"/>
    <w:unhideWhenUsed/>
    <w:rsid w:val="00191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0FD"/>
  </w:style>
  <w:style w:type="character" w:styleId="Hyperlink">
    <w:name w:val="Hyperlink"/>
    <w:basedOn w:val="DefaultParagraphFont"/>
    <w:uiPriority w:val="99"/>
    <w:unhideWhenUsed/>
    <w:rsid w:val="0008050E"/>
    <w:rPr>
      <w:color w:val="467886" w:themeColor="hyperlink"/>
      <w:u w:val="single"/>
    </w:rPr>
  </w:style>
  <w:style w:type="character" w:styleId="UnresolvedMention">
    <w:name w:val="Unresolved Mention"/>
    <w:basedOn w:val="DefaultParagraphFont"/>
    <w:uiPriority w:val="99"/>
    <w:semiHidden/>
    <w:unhideWhenUsed/>
    <w:rsid w:val="0008050E"/>
    <w:rPr>
      <w:color w:val="605E5C"/>
      <w:shd w:val="clear" w:color="auto" w:fill="E1DFDD"/>
    </w:rPr>
  </w:style>
  <w:style w:type="paragraph" w:styleId="TOCHeading">
    <w:name w:val="TOC Heading"/>
    <w:basedOn w:val="Heading1"/>
    <w:next w:val="Normal"/>
    <w:uiPriority w:val="39"/>
    <w:unhideWhenUsed/>
    <w:qFormat/>
    <w:rsid w:val="00D926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B2F30"/>
    <w:pPr>
      <w:tabs>
        <w:tab w:val="right" w:leader="dot" w:pos="9016"/>
      </w:tabs>
      <w:spacing w:after="100" w:line="240" w:lineRule="auto"/>
    </w:pPr>
    <w:rPr>
      <w:rFonts w:ascii="Arial" w:hAnsi="Arial" w:cs="Arial"/>
      <w:b/>
      <w:bCs/>
      <w:noProof/>
      <w:sz w:val="22"/>
      <w:szCs w:val="22"/>
    </w:rPr>
  </w:style>
  <w:style w:type="paragraph" w:styleId="TOC2">
    <w:name w:val="toc 2"/>
    <w:basedOn w:val="Normal"/>
    <w:next w:val="Normal"/>
    <w:autoRedefine/>
    <w:uiPriority w:val="39"/>
    <w:unhideWhenUsed/>
    <w:rsid w:val="00E622AF"/>
    <w:pPr>
      <w:tabs>
        <w:tab w:val="right" w:leader="dot" w:pos="9016"/>
      </w:tabs>
      <w:spacing w:after="100"/>
      <w:ind w:left="240"/>
    </w:pPr>
    <w:rPr>
      <w:noProof/>
      <w:sz w:val="20"/>
      <w:szCs w:val="20"/>
    </w:rPr>
  </w:style>
  <w:style w:type="paragraph" w:styleId="TOC3">
    <w:name w:val="toc 3"/>
    <w:basedOn w:val="Normal"/>
    <w:next w:val="Normal"/>
    <w:autoRedefine/>
    <w:uiPriority w:val="39"/>
    <w:unhideWhenUsed/>
    <w:rsid w:val="005403D6"/>
    <w:pPr>
      <w:spacing w:after="100"/>
      <w:ind w:left="480"/>
    </w:pPr>
  </w:style>
  <w:style w:type="table" w:styleId="TableGrid">
    <w:name w:val="Table Grid"/>
    <w:basedOn w:val="TableNormal"/>
    <w:uiPriority w:val="39"/>
    <w:rsid w:val="00862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F46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ind-and-update.company-information.service.gov.uk/company/02814092/filing-history"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hyperlink" Target="https://www.tandfonline.com/doi/full/10.1080/00207543.2021.1950935" TargetMode="External"/><Relationship Id="rId84" Type="http://schemas.openxmlformats.org/officeDocument/2006/relationships/hyperlink" Target="https://www.tandfonline.com/doi/full/10.1080/09537287.2020.1712487" TargetMode="External"/><Relationship Id="rId138" Type="http://schemas.openxmlformats.org/officeDocument/2006/relationships/hyperlink" Target="https://find-and-update.company-information.service.gov.uk/company/01967717" TargetMode="External"/><Relationship Id="rId159" Type="http://schemas.openxmlformats.org/officeDocument/2006/relationships/hyperlink" Target="https://find-and-update.company-information.service.gov.uk/company/01806912/filing-history" TargetMode="External"/><Relationship Id="rId170" Type="http://schemas.openxmlformats.org/officeDocument/2006/relationships/hyperlink" Target="https://find-and-update.company-information.service.gov.uk/company/03522604/filing-history" TargetMode="External"/><Relationship Id="rId191" Type="http://schemas.openxmlformats.org/officeDocument/2006/relationships/hyperlink" Target="https://us.sagepub.com/en-us/nam/case-study-research-and-applications/book250150" TargetMode="External"/><Relationship Id="rId205" Type="http://schemas.openxmlformats.org/officeDocument/2006/relationships/hyperlink" Target="https://www.emerald.com/insight/content/doi/10.1108/IJLM-11-2020-0448/full/html" TargetMode="External"/><Relationship Id="rId107" Type="http://schemas.openxmlformats.org/officeDocument/2006/relationships/hyperlink" Target="https://find-and-update.company-information.service.gov.uk/company/06477691/filing-history"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hyperlink" Target="https://find-and-update.company-information.service.gov.uk/company/SC268016/filing-history" TargetMode="External"/><Relationship Id="rId74" Type="http://schemas.openxmlformats.org/officeDocument/2006/relationships/hyperlink" Target="https://find-and-update.company-information.service.gov.uk/company/03950868" TargetMode="External"/><Relationship Id="rId128" Type="http://schemas.openxmlformats.org/officeDocument/2006/relationships/hyperlink" Target="https://find-and-update.company-information.service.gov.uk/company/00895081/filing-history" TargetMode="External"/><Relationship Id="rId149" Type="http://schemas.openxmlformats.org/officeDocument/2006/relationships/hyperlink" Target="https://find-and-update.company-information.service.gov.uk/company/07459137/filing-history" TargetMode="External"/><Relationship Id="rId5" Type="http://schemas.openxmlformats.org/officeDocument/2006/relationships/webSettings" Target="webSettings.xml"/><Relationship Id="rId95" Type="http://schemas.openxmlformats.org/officeDocument/2006/relationships/hyperlink" Target="https://www.tandfonline.com/doi/full/10.1080/00207543.2025.2493948?utm_source=chatgpt.com" TargetMode="External"/><Relationship Id="rId160" Type="http://schemas.openxmlformats.org/officeDocument/2006/relationships/hyperlink" Target="https://find-and-update.company-information.service.gov.uk/company/01806912/filing-history" TargetMode="External"/><Relationship Id="rId181" Type="http://schemas.openxmlformats.org/officeDocument/2006/relationships/hyperlink" Target="https://www.ncbi.nlm.nih.gov/pmc/articles/PMC4441947/" TargetMode="External"/><Relationship Id="rId216" Type="http://schemas.openxmlformats.org/officeDocument/2006/relationships/hyperlink" Target="https://github.com/atanasovaivilina-Master/Dissertation-Data/blob/main/Dissertation%20Model_Ivilina_Final.pbix" TargetMode="Externa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www.sciencedirect.com/science/article/pii/S0040162520312737?via%3Dihub" TargetMode="External"/><Relationship Id="rId118" Type="http://schemas.openxmlformats.org/officeDocument/2006/relationships/hyperlink" Target="https://find-and-update.company-information.service.gov.uk/company/02814092/filing-history" TargetMode="External"/><Relationship Id="rId139" Type="http://schemas.openxmlformats.org/officeDocument/2006/relationships/hyperlink" Target="https://find-and-update.company-information.service.gov.uk/company/01967717" TargetMode="External"/><Relationship Id="rId85" Type="http://schemas.openxmlformats.org/officeDocument/2006/relationships/hyperlink" Target="https://www.newyorkfed.org/research/policy/gscpi" TargetMode="External"/><Relationship Id="rId150" Type="http://schemas.openxmlformats.org/officeDocument/2006/relationships/hyperlink" Target="https://www.sciencedirect.com/science/article/pii/S0925527324001236" TargetMode="External"/><Relationship Id="rId171" Type="http://schemas.openxmlformats.org/officeDocument/2006/relationships/hyperlink" Target="https://find-and-update.company-information.service.gov.uk/company/03522604/filing-history" TargetMode="External"/><Relationship Id="rId192" Type="http://schemas.openxmlformats.org/officeDocument/2006/relationships/hyperlink" Target="https://www.tandfonline.com/doi/full/10.1080/00207543.2025.2493948?utm_source=chatgpt.com" TargetMode="External"/><Relationship Id="rId206" Type="http://schemas.openxmlformats.org/officeDocument/2006/relationships/hyperlink" Target="https://www.tandfonline.com/doi/full/10.1080/09537287.2020.1768450" TargetMode="External"/><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hyperlink" Target="https://find-and-update.company-information.service.gov.uk/company/06477691/filing-history" TargetMode="External"/><Relationship Id="rId129" Type="http://schemas.openxmlformats.org/officeDocument/2006/relationships/hyperlink" Target="https://find-and-update.company-information.service.gov.uk/company/00895081/filing-history" TargetMode="External"/><Relationship Id="rId54" Type="http://schemas.openxmlformats.org/officeDocument/2006/relationships/hyperlink" Target="https://find-and-update.company-information.service.gov.uk/company/01199255" TargetMode="External"/><Relationship Id="rId75" Type="http://schemas.openxmlformats.org/officeDocument/2006/relationships/hyperlink" Target="https://find-and-update.company-information.service.gov.uk/company/03950868" TargetMode="External"/><Relationship Id="rId96" Type="http://schemas.openxmlformats.org/officeDocument/2006/relationships/hyperlink" Target="https://papers.ssrn.com/sol3/papers.cfm?abstract_id=6137931" TargetMode="External"/><Relationship Id="rId140" Type="http://schemas.openxmlformats.org/officeDocument/2006/relationships/hyperlink" Target="https://find-and-update.company-information.service.gov.uk/company/01967717" TargetMode="External"/><Relationship Id="rId161" Type="http://schemas.openxmlformats.org/officeDocument/2006/relationships/hyperlink" Target="https://link.springer.com/article/10.1057/s41278-024-00287-z" TargetMode="External"/><Relationship Id="rId182" Type="http://schemas.openxmlformats.org/officeDocument/2006/relationships/hyperlink" Target="https://comtrade.un.org" TargetMode="External"/><Relationship Id="rId217" Type="http://schemas.openxmlformats.org/officeDocument/2006/relationships/image" Target="media/image42.png"/><Relationship Id="rId6" Type="http://schemas.openxmlformats.org/officeDocument/2006/relationships/footnotes" Target="footnotes.xml"/><Relationship Id="rId23" Type="http://schemas.openxmlformats.org/officeDocument/2006/relationships/image" Target="media/image16.png"/><Relationship Id="rId119" Type="http://schemas.openxmlformats.org/officeDocument/2006/relationships/hyperlink" Target="https://find-and-update.company-information.service.gov.uk/company/02814092/filing-history" TargetMode="External"/><Relationship Id="rId44" Type="http://schemas.openxmlformats.org/officeDocument/2006/relationships/image" Target="media/image37.png"/><Relationship Id="rId65" Type="http://schemas.openxmlformats.org/officeDocument/2006/relationships/hyperlink" Target="https://find-and-update.company-information.service.gov.uk/company/00992897/filing-history" TargetMode="External"/><Relationship Id="rId86" Type="http://schemas.openxmlformats.org/officeDocument/2006/relationships/hyperlink" Target="https://www.tandfonline.com/doi/full/10.1080/09537287.2023" TargetMode="External"/><Relationship Id="rId130" Type="http://schemas.openxmlformats.org/officeDocument/2006/relationships/hyperlink" Target="https://find-and-update.company-information.service.gov.uk/company/00895081/filing-history" TargetMode="External"/><Relationship Id="rId151" Type="http://schemas.openxmlformats.org/officeDocument/2006/relationships/hyperlink" Target="https://www.emerald.com/insight/content/doi/10.1108/IJOPM-04-2021-0272/full/html" TargetMode="External"/><Relationship Id="rId172" Type="http://schemas.openxmlformats.org/officeDocument/2006/relationships/hyperlink" Target="https://find-and-update.company-information.service.gov.uk/company/03522604/filing-history" TargetMode="External"/><Relationship Id="rId193" Type="http://schemas.openxmlformats.org/officeDocument/2006/relationships/hyperlink" Target="https://www.irejournals.com/formatedpaper/1711267.pdf" TargetMode="External"/><Relationship Id="rId207" Type="http://schemas.openxmlformats.org/officeDocument/2006/relationships/hyperlink" Target="https://www.tandfonline.com/doi/full/10.1080/00207543.2019.1582820" TargetMode="External"/><Relationship Id="rId13" Type="http://schemas.openxmlformats.org/officeDocument/2006/relationships/image" Target="media/image6.png"/><Relationship Id="rId109" Type="http://schemas.openxmlformats.org/officeDocument/2006/relationships/hyperlink" Target="https://find-and-update.company-information.service.gov.uk/company/06477691/filing-history" TargetMode="External"/><Relationship Id="rId34" Type="http://schemas.openxmlformats.org/officeDocument/2006/relationships/image" Target="media/image27.png"/><Relationship Id="rId55" Type="http://schemas.openxmlformats.org/officeDocument/2006/relationships/hyperlink" Target="https://find-and-update.company-information.service.gov.uk/company/01199255" TargetMode="External"/><Relationship Id="rId76" Type="http://schemas.openxmlformats.org/officeDocument/2006/relationships/hyperlink" Target="https://find-and-update.company-information.service.gov.uk/company/03950868" TargetMode="External"/><Relationship Id="rId97" Type="http://schemas.openxmlformats.org/officeDocument/2006/relationships/hyperlink" Target="https://www.tandfonline.com/doi/full/10.1080/00207543.2021.1870796" TargetMode="External"/><Relationship Id="rId120" Type="http://schemas.openxmlformats.org/officeDocument/2006/relationships/hyperlink" Target="https://find-and-update.company-information.service.gov.uk/company/08357576/filing-history" TargetMode="External"/><Relationship Id="rId141" Type="http://schemas.openxmlformats.org/officeDocument/2006/relationships/hyperlink" Target="https://learn.microsoft.com/en-us/power-bi/guidance/star-schema" TargetMode="External"/><Relationship Id="rId7" Type="http://schemas.openxmlformats.org/officeDocument/2006/relationships/endnotes" Target="endnotes.xml"/><Relationship Id="rId162" Type="http://schemas.openxmlformats.org/officeDocument/2006/relationships/hyperlink" Target="https://www.cambridge.org/core/books/behavioral-agency-theory/" TargetMode="External"/><Relationship Id="rId183" Type="http://schemas.openxmlformats.org/officeDocument/2006/relationships/hyperlink" Target="https://unctad.org" TargetMode="External"/><Relationship Id="rId218" Type="http://schemas.openxmlformats.org/officeDocument/2006/relationships/hyperlink" Target="mailto:atanasovaivilina@gmail.com" TargetMode="External"/><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hyperlink" Target="https://find-and-update.company-information.service.gov.uk/company/00992897/filing-history" TargetMode="External"/><Relationship Id="rId87" Type="http://schemas.openxmlformats.org/officeDocument/2006/relationships/hyperlink" Target="https://onlinelibrary.wiley.com/doi/10.1111/jscm.12312" TargetMode="External"/><Relationship Id="rId110" Type="http://schemas.openxmlformats.org/officeDocument/2006/relationships/hyperlink" Target="https://find-and-update.company-information.service.gov.uk/company/06477691/filing-history" TargetMode="External"/><Relationship Id="rId131" Type="http://schemas.openxmlformats.org/officeDocument/2006/relationships/hyperlink" Target="https://find-and-update.company-information.service.gov.uk/company/00895081/filing-history" TargetMode="External"/><Relationship Id="rId152" Type="http://schemas.openxmlformats.org/officeDocument/2006/relationships/hyperlink" Target="https://onlinelibrary.wiley.com/doi/full/10.1111/jscm.12345" TargetMode="External"/><Relationship Id="rId173" Type="http://schemas.openxmlformats.org/officeDocument/2006/relationships/hyperlink" Target="https://find-and-update.company-information.service.gov.uk/company/03522604/filing-history" TargetMode="External"/><Relationship Id="rId194" Type="http://schemas.openxmlformats.org/officeDocument/2006/relationships/hyperlink" Target="https://www.emerald.com/insight/content/doi/10.1108/SCM-01-2023-0016/full/html" TargetMode="External"/><Relationship Id="rId208" Type="http://schemas.openxmlformats.org/officeDocument/2006/relationships/hyperlink" Target="https://www.sciencedirect.com/science/article/pii/S0040162520312737" TargetMode="External"/><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hyperlink" Target="https://find-and-update.company-information.service.gov.uk/company/01199255" TargetMode="External"/><Relationship Id="rId77" Type="http://schemas.openxmlformats.org/officeDocument/2006/relationships/hyperlink" Target="https://find-and-update.company-information.service.gov.uk/company/03950868" TargetMode="External"/><Relationship Id="rId100" Type="http://schemas.openxmlformats.org/officeDocument/2006/relationships/hyperlink" Target="https://www.tandfonline.com/doi/full/10.1080/00207543.2020.1750727" TargetMode="External"/><Relationship Id="rId8" Type="http://schemas.openxmlformats.org/officeDocument/2006/relationships/image" Target="media/image1.png"/><Relationship Id="rId51" Type="http://schemas.openxmlformats.org/officeDocument/2006/relationships/hyperlink" Target="https://find-and-update.company-information.service.gov.uk/company/SC268016/filing-history" TargetMode="External"/><Relationship Id="rId72" Type="http://schemas.openxmlformats.org/officeDocument/2006/relationships/hyperlink" Target="https://find-and-update.company-information.service.gov.uk/company/03950868" TargetMode="External"/><Relationship Id="rId93" Type="http://schemas.openxmlformats.org/officeDocument/2006/relationships/hyperlink" Target="https://www.tandfonline.com/doi/full/10.1080/00207543.2024.2305804" TargetMode="External"/><Relationship Id="rId98" Type="http://schemas.openxmlformats.org/officeDocument/2006/relationships/hyperlink" Target="https://www.emerald.com/insight/content/doi/10.1108/IJLM-11-2020-0448/full/html" TargetMode="External"/><Relationship Id="rId121" Type="http://schemas.openxmlformats.org/officeDocument/2006/relationships/hyperlink" Target="https://find-and-update.company-information.service.gov.uk/company/08357576/filing-history" TargetMode="External"/><Relationship Id="rId142" Type="http://schemas.openxmlformats.org/officeDocument/2006/relationships/hyperlink" Target="https://learn.microsoft.com/en-us/power-bi/fundamentals/power-bi-overview" TargetMode="External"/><Relationship Id="rId163" Type="http://schemas.openxmlformats.org/officeDocument/2006/relationships/hyperlink" Target="https://link.springer.com/article/10.1057/s41267-023-00612-3" TargetMode="External"/><Relationship Id="rId184" Type="http://schemas.openxmlformats.org/officeDocument/2006/relationships/hyperlink" Target="https://find-and-update.company-information.service.gov.uk/company/00135767" TargetMode="External"/><Relationship Id="rId189" Type="http://schemas.openxmlformats.org/officeDocument/2006/relationships/hyperlink" Target="https://find-and-update.company-information.service.gov.uk/company/00135767" TargetMode="External"/><Relationship Id="rId219" Type="http://schemas.openxmlformats.org/officeDocument/2006/relationships/image" Target="media/image43.png"/><Relationship Id="rId3" Type="http://schemas.openxmlformats.org/officeDocument/2006/relationships/styles" Target="styles.xml"/><Relationship Id="rId214" Type="http://schemas.openxmlformats.org/officeDocument/2006/relationships/image" Target="media/image41.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find-and-update.company-information.service.gov.uk/company/00992897/filing-history" TargetMode="External"/><Relationship Id="rId116" Type="http://schemas.openxmlformats.org/officeDocument/2006/relationships/hyperlink" Target="https://find-and-update.company-information.service.gov.uk/company/02814092/filing-history" TargetMode="External"/><Relationship Id="rId137" Type="http://schemas.openxmlformats.org/officeDocument/2006/relationships/hyperlink" Target="https://find-and-update.company-information.service.gov.uk/company/01967717" TargetMode="External"/><Relationship Id="rId158" Type="http://schemas.openxmlformats.org/officeDocument/2006/relationships/hyperlink" Target="https://find-and-update.company-information.service.gov.uk/company/01806912/filing-history"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www.tandfonline.com/doi/full/10.1080/00207543.2021.1957506" TargetMode="External"/><Relationship Id="rId83" Type="http://schemas.openxmlformats.org/officeDocument/2006/relationships/hyperlink" Target="https://www.tandfonline.com/doi/full/10.1080/00207543.2019.1582820" TargetMode="External"/><Relationship Id="rId88" Type="http://schemas.openxmlformats.org/officeDocument/2006/relationships/hyperlink" Target="https://www.mdpi.com/2227-9091/9/1/16" TargetMode="External"/><Relationship Id="rId111" Type="http://schemas.openxmlformats.org/officeDocument/2006/relationships/hyperlink" Target="https://www.emerald.com/insight/content/doi/10.1108/IMDS-08-2020-0445/full/html" TargetMode="External"/><Relationship Id="rId132" Type="http://schemas.openxmlformats.org/officeDocument/2006/relationships/hyperlink" Target="https://www.marinetraffic.com" TargetMode="External"/><Relationship Id="rId153" Type="http://schemas.openxmlformats.org/officeDocument/2006/relationships/hyperlink" Target="https://www.sciencedirect.com/science/article/pii/S1478409221000699" TargetMode="External"/><Relationship Id="rId174" Type="http://schemas.openxmlformats.org/officeDocument/2006/relationships/hyperlink" Target="https://www.tandfonline.com/doi/full/10.1080/09537287.2020.1810764" TargetMode="External"/><Relationship Id="rId179" Type="http://schemas.openxmlformats.org/officeDocument/2006/relationships/hyperlink" Target="https://find-and-update.company-information.service.gov.uk/company/02352348/filing-history" TargetMode="External"/><Relationship Id="rId195" Type="http://schemas.openxmlformats.org/officeDocument/2006/relationships/hyperlink" Target="https://onlinelibrary.wiley.com/doi/10.1111/jscm.12312" TargetMode="External"/><Relationship Id="rId209" Type="http://schemas.openxmlformats.org/officeDocument/2006/relationships/hyperlink" Target="https://www.tandfonline.com/doi/full/10.1080/09537287.2020.1810764" TargetMode="External"/><Relationship Id="rId190" Type="http://schemas.openxmlformats.org/officeDocument/2006/relationships/hyperlink" Target="https://www.tandfonline.com/doi/full/10.1080/00207543.2020.1717011" TargetMode="External"/><Relationship Id="rId204" Type="http://schemas.openxmlformats.org/officeDocument/2006/relationships/hyperlink" Target="https://www.tandfonline.com/doi/full/10.1080/00207543.2021.1957506" TargetMode="External"/><Relationship Id="rId220" Type="http://schemas.openxmlformats.org/officeDocument/2006/relationships/footer" Target="footer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find-and-update.company-information.service.gov.uk/company/01199255" TargetMode="External"/><Relationship Id="rId106" Type="http://schemas.openxmlformats.org/officeDocument/2006/relationships/hyperlink" Target="https://find-and-update.company-information.service.gov.uk/company/06477691/filing-history" TargetMode="External"/><Relationship Id="rId127" Type="http://schemas.openxmlformats.org/officeDocument/2006/relationships/hyperlink" Target="https://find-and-update.company-information.service.gov.uk/company/00895081/filing-history"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find-and-update.company-information.service.gov.uk/company/SC268016/filing-history" TargetMode="External"/><Relationship Id="rId73" Type="http://schemas.openxmlformats.org/officeDocument/2006/relationships/hyperlink" Target="https://find-and-update.company-information.service.gov.uk/company/03950868" TargetMode="External"/><Relationship Id="rId78" Type="http://schemas.openxmlformats.org/officeDocument/2006/relationships/hyperlink" Target="https://hbr.org/2020/03/coronavirus-is-a-wake-up-call-for-supply-chain-management" TargetMode="External"/><Relationship Id="rId94" Type="http://schemas.openxmlformats.org/officeDocument/2006/relationships/hyperlink" Target="https://www.tandfonline.com/doi/full/10.1080/09537287.2020.1810757" TargetMode="External"/><Relationship Id="rId99" Type="http://schemas.openxmlformats.org/officeDocument/2006/relationships/hyperlink" Target="https://link.springer.com/article/10.1007/s10479-020-03640-6" TargetMode="External"/><Relationship Id="rId101" Type="http://schemas.openxmlformats.org/officeDocument/2006/relationships/hyperlink" Target="https://www.tandfonline.com/doi/full/10.1080/09537287.2020.1768450" TargetMode="External"/><Relationship Id="rId122" Type="http://schemas.openxmlformats.org/officeDocument/2006/relationships/hyperlink" Target="https://find-and-update.company-information.service.gov.uk/company/08357576/filing-history" TargetMode="External"/><Relationship Id="rId143" Type="http://schemas.openxmlformats.org/officeDocument/2006/relationships/hyperlink" Target="https://onlinelibrary.wiley.com/doi/full/10.1111/radm.12559" TargetMode="External"/><Relationship Id="rId148" Type="http://schemas.openxmlformats.org/officeDocument/2006/relationships/hyperlink" Target="https://find-and-update.company-information.service.gov.uk/company/07459137/filing-history" TargetMode="External"/><Relationship Id="rId164" Type="http://schemas.openxmlformats.org/officeDocument/2006/relationships/hyperlink" Target="https://onlinelibrary.wiley.com/doi/full/10.1111/1467-8551.12678" TargetMode="External"/><Relationship Id="rId169" Type="http://schemas.openxmlformats.org/officeDocument/2006/relationships/hyperlink" Target="https://find-and-update.company-information.service.gov.uk/company/03522604/filing-history" TargetMode="External"/><Relationship Id="rId185" Type="http://schemas.openxmlformats.org/officeDocument/2006/relationships/hyperlink" Target="https://find-and-update.company-information.service.gov.uk/company/00135767" TargetMode="External"/><Relationship Id="rId4" Type="http://schemas.openxmlformats.org/officeDocument/2006/relationships/settings" Target="settings.xml"/><Relationship Id="rId9" Type="http://schemas.openxmlformats.org/officeDocument/2006/relationships/image" Target="media/image2.jpg"/><Relationship Id="rId180" Type="http://schemas.openxmlformats.org/officeDocument/2006/relationships/hyperlink" Target="https://find-and-update.company-information.service.gov.uk/company/02352348/filing-history" TargetMode="External"/><Relationship Id="rId210" Type="http://schemas.openxmlformats.org/officeDocument/2006/relationships/hyperlink" Target="https://www.emerald.com/insight/content/doi/10.1108/BIJ-12-2018-0435/full/html" TargetMode="External"/><Relationship Id="rId215" Type="http://schemas.openxmlformats.org/officeDocument/2006/relationships/hyperlink" Target="https://github.com/atanasovaivilina-Master/Dissertation-Data/blob/main/financials_panel_updated%20model_fact%20table.xlsx" TargetMode="External"/><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hyperlink" Target="https://find-and-update.company-information.service.gov.uk/company/00992897/filing-history" TargetMode="External"/><Relationship Id="rId89" Type="http://schemas.openxmlformats.org/officeDocument/2006/relationships/hyperlink" Target="https://www.youtube.com/watch?v=AGrl-H87pRU" TargetMode="External"/><Relationship Id="rId112" Type="http://schemas.openxmlformats.org/officeDocument/2006/relationships/hyperlink" Target="https://link.springer.com/article/10.1007/s10479-022-04775-4" TargetMode="External"/><Relationship Id="rId133" Type="http://schemas.openxmlformats.org/officeDocument/2006/relationships/hyperlink" Target="https://www.marsh.com/en-gb/industries/manufacturing/insights/driving-resilience-rethinking-automotive-supply-chains.html" TargetMode="External"/><Relationship Id="rId154" Type="http://schemas.openxmlformats.org/officeDocument/2006/relationships/hyperlink" Target="https://onlinelibrary.wiley.com/doi/full/10.1111/jscm.12289" TargetMode="External"/><Relationship Id="rId175" Type="http://schemas.openxmlformats.org/officeDocument/2006/relationships/hyperlink" Target="https://find-and-update.company-information.service.gov.uk/company/02352348/filing-history" TargetMode="External"/><Relationship Id="rId196" Type="http://schemas.openxmlformats.org/officeDocument/2006/relationships/hyperlink" Target="https://link.springer.com/article/10.1057/s41267-023-00612-3" TargetMode="External"/><Relationship Id="rId200" Type="http://schemas.openxmlformats.org/officeDocument/2006/relationships/hyperlink" Target="https://doi.org/10.1108/IJLM-03-2022-0126" TargetMode="External"/><Relationship Id="rId16" Type="http://schemas.openxmlformats.org/officeDocument/2006/relationships/image" Target="media/image9.png"/><Relationship Id="rId221" Type="http://schemas.openxmlformats.org/officeDocument/2006/relationships/fontTable" Target="fontTable.xml"/><Relationship Id="rId37" Type="http://schemas.openxmlformats.org/officeDocument/2006/relationships/image" Target="media/image30.png"/><Relationship Id="rId58" Type="http://schemas.openxmlformats.org/officeDocument/2006/relationships/hyperlink" Target="https://find-and-update.company-information.service.gov.uk/company/01199255" TargetMode="External"/><Relationship Id="rId79" Type="http://schemas.openxmlformats.org/officeDocument/2006/relationships/hyperlink" Target="https://www.emerald.com/ijlm/article/15/2/1/133299/Building-the-Resilient-Supply-Chain?utm_source=chatgpt.com" TargetMode="External"/><Relationship Id="rId102" Type="http://schemas.openxmlformats.org/officeDocument/2006/relationships/hyperlink" Target="https://www.tandfonline.com/doi/full/10.1080/00207543.2021.1840148" TargetMode="External"/><Relationship Id="rId123" Type="http://schemas.openxmlformats.org/officeDocument/2006/relationships/hyperlink" Target="https://find-and-update.company-information.service.gov.uk/company/08357576/filing-history" TargetMode="External"/><Relationship Id="rId144" Type="http://schemas.openxmlformats.org/officeDocument/2006/relationships/hyperlink" Target="https://find-and-update.company-information.service.gov.uk/company/07459137/filing-history" TargetMode="External"/><Relationship Id="rId90" Type="http://schemas.openxmlformats.org/officeDocument/2006/relationships/hyperlink" Target="https://www.irejournals.com/formatedpaper/1711267.pdf" TargetMode="External"/><Relationship Id="rId165" Type="http://schemas.openxmlformats.org/officeDocument/2006/relationships/hyperlink" Target="https://link.springer.com/article/10.1007/s10479-020-03685-7" TargetMode="External"/><Relationship Id="rId186" Type="http://schemas.openxmlformats.org/officeDocument/2006/relationships/hyperlink" Target="https://find-and-update.company-information.service.gov.uk/company/00135767" TargetMode="External"/><Relationship Id="rId211" Type="http://schemas.openxmlformats.org/officeDocument/2006/relationships/hyperlink" Target="https://www.emerald.com/insight/content/doi/10.1108/IMDS-08-2020-0445/full/html" TargetMode="External"/><Relationship Id="rId27" Type="http://schemas.openxmlformats.org/officeDocument/2006/relationships/image" Target="media/image20.png"/><Relationship Id="rId48" Type="http://schemas.openxmlformats.org/officeDocument/2006/relationships/hyperlink" Target="https://find-and-update.company-information.service.gov.uk/company/SC268016/filing-history" TargetMode="External"/><Relationship Id="rId69" Type="http://schemas.openxmlformats.org/officeDocument/2006/relationships/hyperlink" Target="https://find-and-update.company-information.service.gov.uk/company/00992897/filing-history" TargetMode="External"/><Relationship Id="rId113" Type="http://schemas.openxmlformats.org/officeDocument/2006/relationships/hyperlink" Target="https://www.sciencedirect.com/science/article/pii/S1478409223000663" TargetMode="External"/><Relationship Id="rId134" Type="http://schemas.openxmlformats.org/officeDocument/2006/relationships/hyperlink" Target="https://www.mckinsey.com/capabilities/operations/our-insights/tech-and-regionalization-bolster-supply-chains-but-complacency-looms" TargetMode="External"/><Relationship Id="rId80" Type="http://schemas.openxmlformats.org/officeDocument/2006/relationships/hyperlink" Target="https://www.emerald.com/crr/article/doi/10.1108/CRR-05-2025-0014/1310949/Exploring-synergies-between-Industry-4-0-and?utm_source=chatgpt.com" TargetMode="External"/><Relationship Id="rId155" Type="http://schemas.openxmlformats.org/officeDocument/2006/relationships/hyperlink" Target="https://find-and-update.company-information.service.gov.uk/company/01806912/filing-history" TargetMode="External"/><Relationship Id="rId176" Type="http://schemas.openxmlformats.org/officeDocument/2006/relationships/hyperlink" Target="https://find-and-update.company-information.service.gov.uk/company/02352348/filing-history" TargetMode="External"/><Relationship Id="rId197" Type="http://schemas.openxmlformats.org/officeDocument/2006/relationships/hyperlink" Target="https://link.springer.com/article/10.1057/s41278-024-00287-z" TargetMode="External"/><Relationship Id="rId201" Type="http://schemas.openxmlformats.org/officeDocument/2006/relationships/hyperlink" Target="https://www.sciencedirect.com/science/article/pii/S1478409223000663" TargetMode="External"/><Relationship Id="rId222" Type="http://schemas.openxmlformats.org/officeDocument/2006/relationships/theme" Target="theme/theme1.xm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hyperlink" Target="https://find-and-update.company-information.service.gov.uk/company/01199255" TargetMode="External"/><Relationship Id="rId103" Type="http://schemas.openxmlformats.org/officeDocument/2006/relationships/hyperlink" Target="https://www.tandfonline.com/doi/full/10.1080/00207543.2018.1488086" TargetMode="External"/><Relationship Id="rId124" Type="http://schemas.openxmlformats.org/officeDocument/2006/relationships/hyperlink" Target="https://find-and-update.company-information.service.gov.uk/company/08357576/filing-history" TargetMode="External"/><Relationship Id="rId70" Type="http://schemas.openxmlformats.org/officeDocument/2006/relationships/hyperlink" Target="https://find-and-update.company-information.service.gov.uk/company/00992897/filing-history" TargetMode="External"/><Relationship Id="rId91" Type="http://schemas.openxmlformats.org/officeDocument/2006/relationships/hyperlink" Target="https://www.emerald.com/insight/content/doi/10.1108/SCM-01-2023-0016/full/html" TargetMode="External"/><Relationship Id="rId145" Type="http://schemas.openxmlformats.org/officeDocument/2006/relationships/hyperlink" Target="https://find-and-update.company-information.service.gov.uk/company/07459137/filing-history" TargetMode="External"/><Relationship Id="rId166" Type="http://schemas.openxmlformats.org/officeDocument/2006/relationships/hyperlink" Target="https://www.emerald.com/insight/content/doi/10.1108/BIJ-12-2018-0435/full/html" TargetMode="External"/><Relationship Id="rId187" Type="http://schemas.openxmlformats.org/officeDocument/2006/relationships/hyperlink" Target="https://find-and-update.company-information.service.gov.uk/company/00135767" TargetMode="External"/><Relationship Id="rId1" Type="http://schemas.openxmlformats.org/officeDocument/2006/relationships/customXml" Target="../customXml/item1.xml"/><Relationship Id="rId212" Type="http://schemas.openxmlformats.org/officeDocument/2006/relationships/hyperlink" Target="https://www.tandfonline.com/doi/full/10.1080/00207543.2020.1750727" TargetMode="External"/><Relationship Id="rId28" Type="http://schemas.openxmlformats.org/officeDocument/2006/relationships/image" Target="media/image21.png"/><Relationship Id="rId49" Type="http://schemas.openxmlformats.org/officeDocument/2006/relationships/hyperlink" Target="https://find-and-update.company-information.service.gov.uk/company/SC268016/filing-history" TargetMode="External"/><Relationship Id="rId114" Type="http://schemas.openxmlformats.org/officeDocument/2006/relationships/hyperlink" Target="https://find-and-update.company-information.service.gov.uk/company/02814092/filing-history" TargetMode="External"/><Relationship Id="rId60" Type="http://schemas.openxmlformats.org/officeDocument/2006/relationships/hyperlink" Target="https://publications.aston.ac.uk/buffering-automotive-supply-chains/" TargetMode="External"/><Relationship Id="rId81" Type="http://schemas.openxmlformats.org/officeDocument/2006/relationships/hyperlink" Target="https://www.deloitte.com/dk/en/services/consulting/research/commercializing-sustainable-supply-chains-report.html?utm_source=chatgpt.com" TargetMode="External"/><Relationship Id="rId135" Type="http://schemas.openxmlformats.org/officeDocument/2006/relationships/hyperlink" Target="https://find-and-update.company-information.service.gov.uk/company/01967717" TargetMode="External"/><Relationship Id="rId156" Type="http://schemas.openxmlformats.org/officeDocument/2006/relationships/hyperlink" Target="https://find-and-update.company-information.service.gov.uk/company/01806912/filing-history" TargetMode="External"/><Relationship Id="rId177" Type="http://schemas.openxmlformats.org/officeDocument/2006/relationships/hyperlink" Target="https://find-and-update.company-information.service.gov.uk/company/02352348/filing-history" TargetMode="External"/><Relationship Id="rId198" Type="http://schemas.openxmlformats.org/officeDocument/2006/relationships/hyperlink" Target="https://www.tandfonline.com/doi/full/10.1080/00207543.2024.2305804" TargetMode="External"/><Relationship Id="rId202" Type="http://schemas.openxmlformats.org/officeDocument/2006/relationships/hyperlink" Target="https://www.emerald.com/insight/content/doi/10.1108/IMDS-04-2021-0235/full/html" TargetMode="External"/><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hyperlink" Target="https://find-and-update.company-information.service.gov.uk/company/SC268016/filing-history" TargetMode="External"/><Relationship Id="rId104" Type="http://schemas.openxmlformats.org/officeDocument/2006/relationships/hyperlink" Target="https://www.tandfonline.com/doi/full/10.1080/00207543.2020.1798035" TargetMode="External"/><Relationship Id="rId125" Type="http://schemas.openxmlformats.org/officeDocument/2006/relationships/hyperlink" Target="https://find-and-update.company-information.service.gov.uk/company/08357576/filing-history" TargetMode="External"/><Relationship Id="rId146" Type="http://schemas.openxmlformats.org/officeDocument/2006/relationships/hyperlink" Target="https://find-and-update.company-information.service.gov.uk/company/07459137/filing-history" TargetMode="External"/><Relationship Id="rId167" Type="http://schemas.openxmlformats.org/officeDocument/2006/relationships/hyperlink" Target="https://www.emerald.com/insight/content/doi/10.1108/IMDS-04-2021-0235/full/html" TargetMode="External"/><Relationship Id="rId188" Type="http://schemas.openxmlformats.org/officeDocument/2006/relationships/hyperlink" Target="https://find-and-update.company-information.service.gov.uk/company/00135767" TargetMode="External"/><Relationship Id="rId71" Type="http://schemas.openxmlformats.org/officeDocument/2006/relationships/hyperlink" Target="https://www.bloomberg.com/professional/support/" TargetMode="External"/><Relationship Id="rId92" Type="http://schemas.openxmlformats.org/officeDocument/2006/relationships/hyperlink" Target="https://www.uktradeinfo.com" TargetMode="External"/><Relationship Id="rId213" Type="http://schemas.openxmlformats.org/officeDocument/2006/relationships/hyperlink" Target="https://www.emerald.com/insight/content/doi/10.1108/09574090410700275/full/html" TargetMode="External"/><Relationship Id="rId2" Type="http://schemas.openxmlformats.org/officeDocument/2006/relationships/numbering" Target="numbering.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hyperlink" Target="https://find-and-update.company-information.service.gov.uk/company/02814092/filing-history" TargetMode="External"/><Relationship Id="rId136" Type="http://schemas.openxmlformats.org/officeDocument/2006/relationships/hyperlink" Target="https://find-and-update.company-information.service.gov.uk/company/01967717" TargetMode="External"/><Relationship Id="rId157" Type="http://schemas.openxmlformats.org/officeDocument/2006/relationships/hyperlink" Target="https://find-and-update.company-information.service.gov.uk/company/01806912/filing-history" TargetMode="External"/><Relationship Id="rId178" Type="http://schemas.openxmlformats.org/officeDocument/2006/relationships/hyperlink" Target="https://find-and-update.company-information.service.gov.uk/company/02352348/filing-history" TargetMode="External"/><Relationship Id="rId61" Type="http://schemas.openxmlformats.org/officeDocument/2006/relationships/hyperlink" Target="https://doi.org/10.1108/IJLM-03-2022-0126" TargetMode="External"/><Relationship Id="rId82" Type="http://schemas.openxmlformats.org/officeDocument/2006/relationships/hyperlink" Target="https://www.drewry.co.uk/AcuCustom/Sitename/DAM/024/Drewry_Maritime_Research_Product_Catalogue_Mar_2024.pdf?utm_source=chatgpt.com" TargetMode="External"/><Relationship Id="rId199" Type="http://schemas.openxmlformats.org/officeDocument/2006/relationships/hyperlink" Target="https://onlinelibrary.wiley.com/doi/full/10.1111/1467-8551.12678" TargetMode="External"/><Relationship Id="rId203" Type="http://schemas.openxmlformats.org/officeDocument/2006/relationships/hyperlink" Target="https://link.springer.com/article/10.1007/s10479-022-04775-4" TargetMode="External"/><Relationship Id="rId19" Type="http://schemas.openxmlformats.org/officeDocument/2006/relationships/image" Target="media/image12.png"/><Relationship Id="rId30" Type="http://schemas.openxmlformats.org/officeDocument/2006/relationships/image" Target="media/image23.png"/><Relationship Id="rId105" Type="http://schemas.openxmlformats.org/officeDocument/2006/relationships/hyperlink" Target="https://find-and-update.company-information.service.gov.uk/company/06477691/filing-history" TargetMode="External"/><Relationship Id="rId126" Type="http://schemas.openxmlformats.org/officeDocument/2006/relationships/hyperlink" Target="https://find-and-update.company-information.service.gov.uk/company/00895081/filing-history" TargetMode="External"/><Relationship Id="rId147" Type="http://schemas.openxmlformats.org/officeDocument/2006/relationships/hyperlink" Target="https://find-and-update.company-information.service.gov.uk/company/07459137/filing-history" TargetMode="External"/><Relationship Id="rId168" Type="http://schemas.openxmlformats.org/officeDocument/2006/relationships/hyperlink" Target="https://find-and-update.company-information.service.gov.uk/company/03522604/filing-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00635B-CF63-4DD8-BB85-6795CAA2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92</Pages>
  <Words>28630</Words>
  <Characters>163195</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46</cp:revision>
  <dcterms:created xsi:type="dcterms:W3CDTF">2026-05-05T14:20:00Z</dcterms:created>
  <dcterms:modified xsi:type="dcterms:W3CDTF">2026-05-06T08:12:00Z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78e10471-edd3-4f0e-8592-8996f3816a7c</vt:lpwstr>
  </property>
</Properties>
</file>