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CD4F7" w14:textId="77777777" w:rsidR="00230F35" w:rsidRPr="004C2A2F" w:rsidRDefault="00D66FB4" w:rsidP="00230F35">
      <w:pPr>
        <w:pStyle w:val="NormalWeb"/>
        <w:spacing w:before="0" w:beforeAutospacing="0" w:after="0" w:afterAutospacing="0"/>
        <w:ind w:left="-180" w:right="-334"/>
        <w:rPr>
          <w:rFonts w:ascii="Arial" w:hAnsi="Arial" w:cs="Arial"/>
          <w:sz w:val="22"/>
          <w:szCs w:val="22"/>
        </w:rPr>
      </w:pPr>
      <w:r w:rsidRPr="004C2A2F">
        <w:rPr>
          <w:rFonts w:ascii="Arial" w:hAnsi="Arial" w:cs="Arial"/>
          <w:noProof/>
          <w:sz w:val="22"/>
          <w:szCs w:val="22"/>
        </w:rPr>
        <w:drawing>
          <wp:inline distT="0" distB="0" distL="0" distR="0" wp14:anchorId="25D5CC78" wp14:editId="545128C1">
            <wp:extent cx="1906270" cy="633730"/>
            <wp:effectExtent l="25400" t="25400" r="11430" b="1397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730"/>
                    </a:xfrm>
                    <a:prstGeom prst="rect">
                      <a:avLst/>
                    </a:prstGeom>
                    <a:noFill/>
                    <a:ln w="19050" cmpd="sng">
                      <a:solidFill>
                        <a:srgbClr val="F6F6F6"/>
                      </a:solidFill>
                      <a:miter lim="800000"/>
                      <a:headEnd/>
                      <a:tailEnd/>
                    </a:ln>
                    <a:effectLst/>
                  </pic:spPr>
                </pic:pic>
              </a:graphicData>
            </a:graphic>
          </wp:inline>
        </w:drawing>
      </w:r>
    </w:p>
    <w:p w14:paraId="4742F128" w14:textId="77777777" w:rsidR="00230F35" w:rsidRPr="004C2A2F" w:rsidRDefault="00230F35" w:rsidP="00230F35">
      <w:pPr>
        <w:pStyle w:val="NormalWeb"/>
        <w:spacing w:before="0" w:beforeAutospacing="0" w:after="0" w:afterAutospacing="0"/>
        <w:ind w:left="-180" w:right="-334"/>
        <w:rPr>
          <w:rFonts w:ascii="Arial" w:hAnsi="Arial" w:cs="Arial"/>
          <w:sz w:val="22"/>
          <w:szCs w:val="22"/>
        </w:rPr>
      </w:pPr>
    </w:p>
    <w:p w14:paraId="6E2A54CF" w14:textId="77777777" w:rsidR="00A745B6" w:rsidRPr="004C2A2F" w:rsidRDefault="00A745B6" w:rsidP="00230F35">
      <w:pPr>
        <w:pStyle w:val="NormalWeb"/>
        <w:spacing w:before="0" w:beforeAutospacing="0" w:after="0" w:afterAutospacing="0"/>
        <w:ind w:left="-180" w:right="-334"/>
        <w:rPr>
          <w:rFonts w:ascii="Arial" w:hAnsi="Arial" w:cs="Arial"/>
          <w:sz w:val="22"/>
          <w:szCs w:val="22"/>
        </w:rPr>
      </w:pPr>
    </w:p>
    <w:p w14:paraId="69047BC3" w14:textId="77777777" w:rsidR="00CB5E37" w:rsidRPr="004C2A2F" w:rsidRDefault="00901157" w:rsidP="00230F35">
      <w:pPr>
        <w:pStyle w:val="NormalWeb"/>
        <w:spacing w:before="0" w:beforeAutospacing="0" w:after="0" w:afterAutospacing="0"/>
        <w:ind w:left="-180" w:right="-334"/>
        <w:jc w:val="center"/>
        <w:rPr>
          <w:rFonts w:ascii="Arial" w:hAnsi="Arial" w:cs="Arial"/>
          <w:b/>
          <w:sz w:val="22"/>
          <w:szCs w:val="22"/>
          <w:lang w:val="cy-GB"/>
        </w:rPr>
      </w:pPr>
      <w:r w:rsidRPr="004C2A2F">
        <w:rPr>
          <w:rFonts w:ascii="Arial" w:hAnsi="Arial" w:cs="Arial"/>
          <w:b/>
          <w:sz w:val="22"/>
          <w:szCs w:val="22"/>
          <w:lang w:val="cy-GB"/>
        </w:rPr>
        <w:t>Postgraduate</w:t>
      </w:r>
      <w:r w:rsidR="00CB5E37" w:rsidRPr="004C2A2F">
        <w:rPr>
          <w:rFonts w:ascii="Arial" w:hAnsi="Arial" w:cs="Arial"/>
          <w:b/>
          <w:sz w:val="22"/>
          <w:szCs w:val="22"/>
          <w:lang w:val="cy-GB"/>
        </w:rPr>
        <w:t xml:space="preserve">/Distance Learning </w:t>
      </w:r>
    </w:p>
    <w:p w14:paraId="6C0CDDB3" w14:textId="77777777" w:rsidR="002E67CE" w:rsidRPr="004C2A2F" w:rsidRDefault="00CB5E37" w:rsidP="00230F35">
      <w:pPr>
        <w:pStyle w:val="NormalWeb"/>
        <w:spacing w:before="0" w:beforeAutospacing="0" w:after="0" w:afterAutospacing="0"/>
        <w:ind w:left="-180" w:right="-334"/>
        <w:jc w:val="center"/>
        <w:rPr>
          <w:rFonts w:ascii="Arial" w:hAnsi="Arial" w:cs="Arial"/>
          <w:b/>
          <w:sz w:val="22"/>
          <w:szCs w:val="22"/>
        </w:rPr>
      </w:pPr>
      <w:r w:rsidRPr="004C2A2F">
        <w:rPr>
          <w:rFonts w:ascii="Arial" w:hAnsi="Arial" w:cs="Arial"/>
          <w:b/>
          <w:sz w:val="22"/>
          <w:szCs w:val="22"/>
          <w:lang w:val="cy-GB"/>
        </w:rPr>
        <w:t>A</w:t>
      </w:r>
      <w:r w:rsidR="002E67CE" w:rsidRPr="004C2A2F">
        <w:rPr>
          <w:rFonts w:ascii="Arial" w:hAnsi="Arial" w:cs="Arial"/>
          <w:b/>
          <w:sz w:val="22"/>
          <w:szCs w:val="22"/>
          <w:lang w:val="cy-GB"/>
        </w:rPr>
        <w:t>ssignment coversheet &amp; feedback form</w:t>
      </w:r>
    </w:p>
    <w:p w14:paraId="44A21184" w14:textId="77777777" w:rsidR="002E67CE" w:rsidRPr="004C2A2F" w:rsidRDefault="002E67CE" w:rsidP="002E67CE">
      <w:pPr>
        <w:rPr>
          <w:rFonts w:ascii="Arial" w:hAnsi="Arial" w:cs="Arial"/>
          <w:sz w:val="22"/>
          <w:szCs w:val="22"/>
          <w:lang w:val="cy-GB"/>
        </w:rPr>
      </w:pPr>
    </w:p>
    <w:p w14:paraId="1886C79A" w14:textId="77777777" w:rsidR="002E67CE" w:rsidRPr="004C2A2F" w:rsidRDefault="002E67CE" w:rsidP="002E67CE">
      <w:pPr>
        <w:pStyle w:val="Heading3"/>
        <w:jc w:val="center"/>
        <w:rPr>
          <w:rFonts w:ascii="Arial" w:hAnsi="Arial" w:cs="Arial"/>
          <w:sz w:val="22"/>
          <w:szCs w:val="22"/>
          <w:lang w:val="cy-GB"/>
        </w:rPr>
      </w:pPr>
      <w:r w:rsidRPr="004C2A2F">
        <w:rPr>
          <w:rFonts w:ascii="Arial" w:hAnsi="Arial" w:cs="Arial"/>
          <w:sz w:val="22"/>
          <w:szCs w:val="22"/>
          <w:lang w:val="cy-GB"/>
        </w:rPr>
        <w:t>THIS SHEET MUST BE THE FIRST PAGE OF THE ASSIGNMENT YOU ARE SUBMITTING  (DO NOT SEND AS A SEPARATE FILE)</w:t>
      </w:r>
    </w:p>
    <w:p w14:paraId="05A41FD6" w14:textId="77777777" w:rsidR="00230F35" w:rsidRPr="004C2A2F" w:rsidRDefault="00230F35" w:rsidP="002E67CE">
      <w:pPr>
        <w:pStyle w:val="Heading3"/>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7"/>
        <w:gridCol w:w="423"/>
        <w:gridCol w:w="1507"/>
        <w:gridCol w:w="285"/>
        <w:gridCol w:w="1794"/>
      </w:tblGrid>
      <w:tr w:rsidR="00E57529" w:rsidRPr="004C2A2F" w14:paraId="5B10CA19" w14:textId="77777777" w:rsidTr="00A745B6">
        <w:trPr>
          <w:trHeight w:val="614"/>
        </w:trPr>
        <w:tc>
          <w:tcPr>
            <w:tcW w:w="8856" w:type="dxa"/>
            <w:gridSpan w:val="5"/>
          </w:tcPr>
          <w:p w14:paraId="046613C3" w14:textId="77777777" w:rsidR="0058726A" w:rsidRPr="004C2A2F" w:rsidRDefault="00E57529" w:rsidP="002F467C">
            <w:pPr>
              <w:pStyle w:val="NormalWeb"/>
              <w:spacing w:before="0" w:beforeAutospacing="0" w:after="0" w:afterAutospacing="0"/>
              <w:ind w:right="34"/>
              <w:rPr>
                <w:rFonts w:ascii="Arial" w:hAnsi="Arial" w:cs="Arial"/>
                <w:sz w:val="22"/>
                <w:szCs w:val="22"/>
              </w:rPr>
            </w:pPr>
            <w:r w:rsidRPr="004C2A2F">
              <w:rPr>
                <w:rFonts w:ascii="Arial" w:hAnsi="Arial" w:cs="Arial"/>
                <w:b/>
                <w:sz w:val="22"/>
                <w:szCs w:val="22"/>
              </w:rPr>
              <w:t xml:space="preserve">For completion by </w:t>
            </w:r>
            <w:r w:rsidR="00001C3B" w:rsidRPr="004C2A2F">
              <w:rPr>
                <w:rFonts w:ascii="Arial" w:hAnsi="Arial" w:cs="Arial"/>
                <w:b/>
                <w:sz w:val="22"/>
                <w:szCs w:val="22"/>
              </w:rPr>
              <w:t xml:space="preserve">the </w:t>
            </w:r>
            <w:r w:rsidRPr="004C2A2F">
              <w:rPr>
                <w:rFonts w:ascii="Arial" w:hAnsi="Arial" w:cs="Arial"/>
                <w:b/>
                <w:sz w:val="22"/>
                <w:szCs w:val="22"/>
              </w:rPr>
              <w:t>student</w:t>
            </w:r>
            <w:r w:rsidR="00001C3B" w:rsidRPr="004C2A2F">
              <w:rPr>
                <w:rFonts w:ascii="Arial" w:hAnsi="Arial" w:cs="Arial"/>
                <w:sz w:val="22"/>
                <w:szCs w:val="22"/>
              </w:rPr>
              <w:t>:</w:t>
            </w:r>
          </w:p>
        </w:tc>
      </w:tr>
      <w:tr w:rsidR="0065654E" w:rsidRPr="004C2A2F" w14:paraId="396EF071" w14:textId="77777777" w:rsidTr="00A745B6">
        <w:trPr>
          <w:trHeight w:val="718"/>
        </w:trPr>
        <w:tc>
          <w:tcPr>
            <w:tcW w:w="8856" w:type="dxa"/>
            <w:gridSpan w:val="5"/>
          </w:tcPr>
          <w:p w14:paraId="2E260C02" w14:textId="1F6FDBA0" w:rsidR="0065654E" w:rsidRPr="004C2A2F" w:rsidRDefault="0065654E"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Student Na</w:t>
            </w:r>
            <w:r w:rsidR="00CE3B79" w:rsidRPr="004C2A2F">
              <w:rPr>
                <w:rFonts w:ascii="Arial" w:hAnsi="Arial" w:cs="Arial"/>
                <w:sz w:val="22"/>
                <w:szCs w:val="22"/>
              </w:rPr>
              <w:t>me:</w:t>
            </w:r>
            <w:r w:rsidR="00301237" w:rsidRPr="004C2A2F">
              <w:rPr>
                <w:rFonts w:ascii="Arial" w:hAnsi="Arial" w:cs="Arial"/>
                <w:sz w:val="22"/>
                <w:szCs w:val="22"/>
              </w:rPr>
              <w:t xml:space="preserve"> Steve McDonald</w:t>
            </w:r>
          </w:p>
          <w:p w14:paraId="04A763ED" w14:textId="77777777" w:rsidR="00230F35" w:rsidRPr="004C2A2F" w:rsidRDefault="00230F35" w:rsidP="002F467C">
            <w:pPr>
              <w:pStyle w:val="NormalWeb"/>
              <w:spacing w:before="0" w:beforeAutospacing="0" w:after="0" w:afterAutospacing="0"/>
              <w:ind w:right="34"/>
              <w:rPr>
                <w:rFonts w:ascii="Arial" w:hAnsi="Arial" w:cs="Arial"/>
                <w:sz w:val="22"/>
                <w:szCs w:val="22"/>
              </w:rPr>
            </w:pPr>
          </w:p>
          <w:p w14:paraId="24B11B3E" w14:textId="7FFF6095" w:rsidR="00FA2A4C" w:rsidRPr="004C2A2F" w:rsidRDefault="00FA2A4C"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 xml:space="preserve">Student </w:t>
            </w:r>
            <w:r w:rsidRPr="004C2A2F">
              <w:rPr>
                <w:rFonts w:ascii="Arial" w:hAnsi="Arial" w:cs="Arial"/>
                <w:b/>
                <w:bCs/>
                <w:sz w:val="22"/>
                <w:szCs w:val="22"/>
                <w:u w:val="single"/>
              </w:rPr>
              <w:t>University</w:t>
            </w:r>
            <w:r w:rsidRPr="004C2A2F">
              <w:rPr>
                <w:rFonts w:ascii="Arial" w:hAnsi="Arial" w:cs="Arial"/>
                <w:sz w:val="22"/>
                <w:szCs w:val="22"/>
                <w:u w:val="single"/>
              </w:rPr>
              <w:t xml:space="preserve"> </w:t>
            </w:r>
            <w:r w:rsidRPr="004C2A2F">
              <w:rPr>
                <w:rFonts w:ascii="Arial" w:hAnsi="Arial" w:cs="Arial"/>
                <w:sz w:val="22"/>
                <w:szCs w:val="22"/>
              </w:rPr>
              <w:t xml:space="preserve">Email: </w:t>
            </w:r>
            <w:r w:rsidR="00301237" w:rsidRPr="004C2A2F">
              <w:rPr>
                <w:rFonts w:ascii="Arial" w:hAnsi="Arial" w:cs="Arial"/>
                <w:sz w:val="22"/>
                <w:szCs w:val="22"/>
              </w:rPr>
              <w:t>2325822@student.uwtsd.ac.uk</w:t>
            </w:r>
          </w:p>
        </w:tc>
      </w:tr>
      <w:tr w:rsidR="00CE3B79" w:rsidRPr="004C2A2F" w14:paraId="18359E2C" w14:textId="77777777" w:rsidTr="00A745B6">
        <w:trPr>
          <w:trHeight w:val="849"/>
        </w:trPr>
        <w:tc>
          <w:tcPr>
            <w:tcW w:w="4788" w:type="dxa"/>
          </w:tcPr>
          <w:p w14:paraId="700AED80" w14:textId="0CE215B0" w:rsidR="00D67BF8"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Module code:</w:t>
            </w:r>
            <w:r w:rsidR="00301237" w:rsidRPr="004C2A2F">
              <w:rPr>
                <w:rFonts w:ascii="Arial" w:hAnsi="Arial" w:cs="Arial"/>
                <w:sz w:val="22"/>
                <w:szCs w:val="22"/>
              </w:rPr>
              <w:t xml:space="preserve"> HPCA70</w:t>
            </w:r>
            <w:r w:rsidR="006F3EE3">
              <w:rPr>
                <w:rFonts w:ascii="Arial" w:hAnsi="Arial" w:cs="Arial"/>
                <w:sz w:val="22"/>
                <w:szCs w:val="22"/>
              </w:rPr>
              <w:t>28</w:t>
            </w:r>
          </w:p>
          <w:p w14:paraId="6E462828" w14:textId="77777777" w:rsidR="00D67BF8" w:rsidRPr="004C2A2F" w:rsidRDefault="00D67BF8" w:rsidP="002F467C">
            <w:pPr>
              <w:pStyle w:val="NormalWeb"/>
              <w:spacing w:before="0" w:beforeAutospacing="0" w:after="0" w:afterAutospacing="0"/>
              <w:ind w:right="34"/>
              <w:rPr>
                <w:rFonts w:ascii="Arial" w:hAnsi="Arial" w:cs="Arial"/>
                <w:sz w:val="22"/>
                <w:szCs w:val="22"/>
              </w:rPr>
            </w:pPr>
          </w:p>
          <w:p w14:paraId="147F6CA9" w14:textId="182E9F73"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Module title:</w:t>
            </w:r>
            <w:r w:rsidR="00301237" w:rsidRPr="004C2A2F">
              <w:rPr>
                <w:rFonts w:ascii="Arial" w:hAnsi="Arial" w:cs="Arial"/>
                <w:sz w:val="22"/>
                <w:szCs w:val="22"/>
              </w:rPr>
              <w:t xml:space="preserve"> </w:t>
            </w:r>
            <w:r w:rsidR="00255B12">
              <w:rPr>
                <w:rFonts w:ascii="Arial" w:hAnsi="Arial" w:cs="Arial"/>
                <w:sz w:val="22"/>
                <w:szCs w:val="22"/>
              </w:rPr>
              <w:t>Sacred Skies</w:t>
            </w:r>
          </w:p>
          <w:p w14:paraId="7778590C" w14:textId="77777777" w:rsidR="00A745B6" w:rsidRPr="004C2A2F" w:rsidRDefault="00A745B6" w:rsidP="002F467C">
            <w:pPr>
              <w:pStyle w:val="NormalWeb"/>
              <w:spacing w:before="0" w:beforeAutospacing="0" w:after="0" w:afterAutospacing="0"/>
              <w:ind w:right="34"/>
              <w:rPr>
                <w:rFonts w:ascii="Arial" w:hAnsi="Arial" w:cs="Arial"/>
                <w:sz w:val="22"/>
                <w:szCs w:val="22"/>
              </w:rPr>
            </w:pPr>
          </w:p>
          <w:p w14:paraId="5EFD1067" w14:textId="77777777" w:rsidR="00A745B6" w:rsidRPr="004C2A2F"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963D5E0" w14:textId="7777777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Student ID number:</w:t>
            </w:r>
          </w:p>
          <w:p w14:paraId="2D6B20C0" w14:textId="6610E2B1" w:rsidR="00301237" w:rsidRPr="004C2A2F" w:rsidRDefault="0030123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2325822</w:t>
            </w:r>
          </w:p>
        </w:tc>
        <w:tc>
          <w:tcPr>
            <w:tcW w:w="1802" w:type="dxa"/>
          </w:tcPr>
          <w:p w14:paraId="01D43DB8" w14:textId="7777777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Educational support needs:</w:t>
            </w:r>
          </w:p>
          <w:p w14:paraId="465078C3" w14:textId="30D584DB"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No</w:t>
            </w:r>
          </w:p>
        </w:tc>
      </w:tr>
      <w:tr w:rsidR="00CE3B79" w:rsidRPr="004C2A2F" w14:paraId="18D36100" w14:textId="77777777" w:rsidTr="00A745B6">
        <w:trPr>
          <w:trHeight w:val="1139"/>
        </w:trPr>
        <w:tc>
          <w:tcPr>
            <w:tcW w:w="8856" w:type="dxa"/>
            <w:gridSpan w:val="5"/>
          </w:tcPr>
          <w:p w14:paraId="5C01B37B" w14:textId="03F9B985"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Assignment title:</w:t>
            </w:r>
            <w:r w:rsidR="00301237" w:rsidRPr="004C2A2F">
              <w:rPr>
                <w:rFonts w:ascii="Arial" w:eastAsia="Times New Roman" w:hAnsi="Arial" w:cs="Arial"/>
                <w:b/>
                <w:bCs/>
                <w:color w:val="auto"/>
                <w:sz w:val="22"/>
                <w:szCs w:val="22"/>
                <w:lang w:eastAsia="en-GB"/>
              </w:rPr>
              <w:t xml:space="preserve"> </w:t>
            </w:r>
            <w:r w:rsidR="006F3EE3" w:rsidRPr="006F3EE3">
              <w:rPr>
                <w:rFonts w:ascii="Arial" w:hAnsi="Arial" w:cs="Arial"/>
                <w:b/>
                <w:bCs/>
                <w:sz w:val="22"/>
                <w:szCs w:val="22"/>
              </w:rPr>
              <w:t>Explore the cultural significance of the descent of Ishtar.</w:t>
            </w:r>
          </w:p>
          <w:p w14:paraId="29A42B92" w14:textId="77777777" w:rsidR="00230F35" w:rsidRPr="004C2A2F" w:rsidRDefault="00230F35" w:rsidP="002F467C">
            <w:pPr>
              <w:pStyle w:val="NormalWeb"/>
              <w:spacing w:before="0" w:beforeAutospacing="0" w:after="0" w:afterAutospacing="0"/>
              <w:ind w:right="34"/>
              <w:rPr>
                <w:rFonts w:ascii="Arial" w:hAnsi="Arial" w:cs="Arial"/>
                <w:sz w:val="22"/>
                <w:szCs w:val="22"/>
              </w:rPr>
            </w:pPr>
          </w:p>
          <w:p w14:paraId="1A285862" w14:textId="03C143A1" w:rsidR="00D67BF8" w:rsidRPr="004C2A2F" w:rsidRDefault="00B42501"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Assignment due date:</w:t>
            </w:r>
            <w:r w:rsidR="00301237" w:rsidRPr="004C2A2F">
              <w:rPr>
                <w:rFonts w:ascii="Arial" w:hAnsi="Arial" w:cs="Arial"/>
                <w:sz w:val="22"/>
                <w:szCs w:val="22"/>
              </w:rPr>
              <w:t xml:space="preserve"> </w:t>
            </w:r>
            <w:r w:rsidR="006F3EE3">
              <w:rPr>
                <w:rFonts w:ascii="Arial" w:hAnsi="Arial" w:cs="Arial"/>
                <w:sz w:val="22"/>
                <w:szCs w:val="22"/>
              </w:rPr>
              <w:t>3</w:t>
            </w:r>
            <w:r w:rsidR="00065B8F" w:rsidRPr="004C2A2F">
              <w:rPr>
                <w:rFonts w:ascii="Arial" w:hAnsi="Arial" w:cs="Arial"/>
                <w:sz w:val="22"/>
                <w:szCs w:val="22"/>
              </w:rPr>
              <w:t xml:space="preserve"> </w:t>
            </w:r>
            <w:r w:rsidR="006F3EE3">
              <w:rPr>
                <w:rFonts w:ascii="Arial" w:hAnsi="Arial" w:cs="Arial"/>
                <w:sz w:val="22"/>
                <w:szCs w:val="22"/>
              </w:rPr>
              <w:t>April</w:t>
            </w:r>
            <w:r w:rsidR="00301237" w:rsidRPr="004C2A2F">
              <w:rPr>
                <w:rFonts w:ascii="Arial" w:hAnsi="Arial" w:cs="Arial"/>
                <w:sz w:val="22"/>
                <w:szCs w:val="22"/>
              </w:rPr>
              <w:t xml:space="preserve"> 202</w:t>
            </w:r>
            <w:r w:rsidR="00350547">
              <w:rPr>
                <w:rFonts w:ascii="Arial" w:hAnsi="Arial" w:cs="Arial"/>
                <w:sz w:val="22"/>
                <w:szCs w:val="22"/>
              </w:rPr>
              <w:t>5</w:t>
            </w:r>
          </w:p>
        </w:tc>
      </w:tr>
      <w:tr w:rsidR="00230F35" w:rsidRPr="004C2A2F" w14:paraId="3DAB80F1" w14:textId="77777777" w:rsidTr="00A745B6">
        <w:trPr>
          <w:trHeight w:val="978"/>
        </w:trPr>
        <w:tc>
          <w:tcPr>
            <w:tcW w:w="8856" w:type="dxa"/>
            <w:gridSpan w:val="5"/>
            <w:tcBorders>
              <w:bottom w:val="single" w:sz="4" w:space="0" w:color="000000"/>
            </w:tcBorders>
          </w:tcPr>
          <w:p w14:paraId="003CF5BA" w14:textId="14C3EA32" w:rsidR="00230F35" w:rsidRPr="004C2A2F" w:rsidRDefault="00230F35" w:rsidP="00230F35">
            <w:pPr>
              <w:rPr>
                <w:rFonts w:ascii="Arial" w:hAnsi="Arial" w:cs="Arial"/>
                <w:sz w:val="22"/>
                <w:szCs w:val="22"/>
              </w:rPr>
            </w:pPr>
            <w:r w:rsidRPr="004C2A2F">
              <w:rPr>
                <w:rFonts w:ascii="Arial" w:hAnsi="Arial" w:cs="Arial"/>
                <w:sz w:val="22"/>
                <w:szCs w:val="22"/>
              </w:rPr>
              <w:t>This assignment is for the       1</w:t>
            </w:r>
            <w:r w:rsidRPr="004C2A2F">
              <w:rPr>
                <w:rFonts w:ascii="Arial" w:hAnsi="Arial" w:cs="Arial"/>
                <w:sz w:val="22"/>
                <w:szCs w:val="22"/>
                <w:vertAlign w:val="superscript"/>
              </w:rPr>
              <w:t xml:space="preserve">st </w:t>
            </w:r>
            <w:r w:rsidR="00065B8F" w:rsidRPr="004C2A2F">
              <w:rPr>
                <w:rFonts w:ascii="Arial" w:hAnsi="Arial" w:cs="Arial"/>
                <w:sz w:val="22"/>
                <w:szCs w:val="22"/>
              </w:rPr>
              <w:fldChar w:fldCharType="begin">
                <w:ffData>
                  <w:name w:val="Check13"/>
                  <w:enabled/>
                  <w:calcOnExit w:val="0"/>
                  <w:checkBox>
                    <w:sizeAuto/>
                    <w:default w:val="0"/>
                  </w:checkBox>
                </w:ffData>
              </w:fldChar>
            </w:r>
            <w:bookmarkStart w:id="0" w:name="Check13"/>
            <w:r w:rsidR="00065B8F"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065B8F" w:rsidRPr="004C2A2F">
              <w:rPr>
                <w:rFonts w:ascii="Arial" w:hAnsi="Arial" w:cs="Arial"/>
                <w:sz w:val="22"/>
                <w:szCs w:val="22"/>
              </w:rPr>
              <w:fldChar w:fldCharType="end"/>
            </w:r>
            <w:bookmarkEnd w:id="0"/>
            <w:r w:rsidRPr="004C2A2F">
              <w:rPr>
                <w:rFonts w:ascii="Arial" w:hAnsi="Arial" w:cs="Arial"/>
                <w:sz w:val="22"/>
                <w:szCs w:val="22"/>
              </w:rPr>
              <w:t xml:space="preserve">    2</w:t>
            </w:r>
            <w:r w:rsidRPr="004C2A2F">
              <w:rPr>
                <w:rFonts w:ascii="Arial" w:hAnsi="Arial" w:cs="Arial"/>
                <w:sz w:val="22"/>
                <w:szCs w:val="22"/>
                <w:vertAlign w:val="superscript"/>
              </w:rPr>
              <w:t>nd</w:t>
            </w:r>
            <w:r w:rsidRPr="004C2A2F">
              <w:rPr>
                <w:rFonts w:ascii="Arial" w:hAnsi="Arial" w:cs="Arial"/>
                <w:sz w:val="22"/>
                <w:szCs w:val="22"/>
              </w:rPr>
              <w:t xml:space="preserve">  </w:t>
            </w:r>
            <w:r w:rsidR="006F3EE3">
              <w:rPr>
                <w:rFonts w:ascii="Arial" w:hAnsi="Arial" w:cs="Arial"/>
                <w:sz w:val="22"/>
                <w:szCs w:val="22"/>
              </w:rPr>
              <w:fldChar w:fldCharType="begin">
                <w:ffData>
                  <w:name w:val="Check14"/>
                  <w:enabled/>
                  <w:calcOnExit w:val="0"/>
                  <w:checkBox>
                    <w:sizeAuto/>
                    <w:default w:val="0"/>
                  </w:checkBox>
                </w:ffData>
              </w:fldChar>
            </w:r>
            <w:bookmarkStart w:id="1" w:name="Check14"/>
            <w:r w:rsidR="006F3EE3">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6F3EE3">
              <w:rPr>
                <w:rFonts w:ascii="Arial" w:hAnsi="Arial" w:cs="Arial"/>
                <w:sz w:val="22"/>
                <w:szCs w:val="22"/>
              </w:rPr>
              <w:fldChar w:fldCharType="end"/>
            </w:r>
            <w:bookmarkEnd w:id="1"/>
            <w:r w:rsidRPr="004C2A2F">
              <w:rPr>
                <w:rFonts w:ascii="Arial" w:hAnsi="Arial" w:cs="Arial"/>
                <w:sz w:val="22"/>
                <w:szCs w:val="22"/>
              </w:rPr>
              <w:t xml:space="preserve">     3</w:t>
            </w:r>
            <w:r w:rsidRPr="004C2A2F">
              <w:rPr>
                <w:rFonts w:ascii="Arial" w:hAnsi="Arial" w:cs="Arial"/>
                <w:sz w:val="22"/>
                <w:szCs w:val="22"/>
                <w:vertAlign w:val="superscript"/>
              </w:rPr>
              <w:t>rd</w:t>
            </w:r>
            <w:r w:rsidRPr="004C2A2F">
              <w:rPr>
                <w:rFonts w:ascii="Arial" w:hAnsi="Arial" w:cs="Arial"/>
                <w:sz w:val="22"/>
                <w:szCs w:val="22"/>
              </w:rPr>
              <w:t xml:space="preserve">  </w:t>
            </w:r>
            <w:r w:rsidR="006F3EE3">
              <w:rPr>
                <w:rFonts w:ascii="Arial" w:hAnsi="Arial" w:cs="Arial"/>
                <w:sz w:val="22"/>
                <w:szCs w:val="22"/>
              </w:rPr>
              <w:fldChar w:fldCharType="begin">
                <w:ffData>
                  <w:name w:val="Check15"/>
                  <w:enabled/>
                  <w:calcOnExit w:val="0"/>
                  <w:checkBox>
                    <w:sizeAuto/>
                    <w:default w:val="1"/>
                  </w:checkBox>
                </w:ffData>
              </w:fldChar>
            </w:r>
            <w:bookmarkStart w:id="2" w:name="Check15"/>
            <w:r w:rsidR="006F3EE3">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6F3EE3">
              <w:rPr>
                <w:rFonts w:ascii="Arial" w:hAnsi="Arial" w:cs="Arial"/>
                <w:sz w:val="22"/>
                <w:szCs w:val="22"/>
              </w:rPr>
              <w:fldChar w:fldCharType="end"/>
            </w:r>
            <w:bookmarkEnd w:id="2"/>
            <w:r w:rsidRPr="004C2A2F">
              <w:rPr>
                <w:rFonts w:ascii="Arial" w:hAnsi="Arial" w:cs="Arial"/>
                <w:sz w:val="22"/>
                <w:szCs w:val="22"/>
              </w:rPr>
              <w:t xml:space="preserve">      4</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6"/>
                  <w:enabled/>
                  <w:calcOnExit w:val="0"/>
                  <w:checkBox>
                    <w:sizeAuto/>
                    <w:default w:val="0"/>
                  </w:checkBox>
                </w:ffData>
              </w:fldChar>
            </w:r>
            <w:bookmarkStart w:id="3" w:name="Check16"/>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3"/>
            <w:r w:rsidRPr="004C2A2F">
              <w:rPr>
                <w:rFonts w:ascii="Arial" w:hAnsi="Arial" w:cs="Arial"/>
                <w:sz w:val="22"/>
                <w:szCs w:val="22"/>
              </w:rPr>
              <w:t xml:space="preserve">      5</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7"/>
                  <w:enabled/>
                  <w:calcOnExit w:val="0"/>
                  <w:checkBox>
                    <w:sizeAuto/>
                    <w:default w:val="0"/>
                  </w:checkBox>
                </w:ffData>
              </w:fldChar>
            </w:r>
            <w:bookmarkStart w:id="4" w:name="Check17"/>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4"/>
            <w:r w:rsidRPr="004C2A2F">
              <w:rPr>
                <w:rFonts w:ascii="Arial" w:hAnsi="Arial" w:cs="Arial"/>
                <w:sz w:val="22"/>
                <w:szCs w:val="22"/>
              </w:rPr>
              <w:t xml:space="preserve">      6</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8"/>
                  <w:enabled/>
                  <w:calcOnExit w:val="0"/>
                  <w:checkBox>
                    <w:sizeAuto/>
                    <w:default w:val="0"/>
                  </w:checkBox>
                </w:ffData>
              </w:fldChar>
            </w:r>
            <w:bookmarkStart w:id="5" w:name="Check18"/>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5"/>
            <w:r w:rsidRPr="004C2A2F">
              <w:rPr>
                <w:rFonts w:ascii="Arial" w:hAnsi="Arial" w:cs="Arial"/>
                <w:b/>
                <w:sz w:val="22"/>
                <w:szCs w:val="22"/>
              </w:rPr>
              <w:t xml:space="preserve">   </w:t>
            </w:r>
            <w:r w:rsidRPr="004C2A2F">
              <w:rPr>
                <w:rFonts w:ascii="Arial" w:hAnsi="Arial" w:cs="Arial"/>
                <w:sz w:val="22"/>
                <w:szCs w:val="22"/>
              </w:rPr>
              <w:t>module of the degree</w:t>
            </w:r>
          </w:p>
        </w:tc>
      </w:tr>
      <w:tr w:rsidR="00901157" w:rsidRPr="004C2A2F" w14:paraId="5A0129AF" w14:textId="77777777" w:rsidTr="00A745B6">
        <w:trPr>
          <w:trHeight w:val="978"/>
        </w:trPr>
        <w:tc>
          <w:tcPr>
            <w:tcW w:w="8856" w:type="dxa"/>
            <w:gridSpan w:val="5"/>
            <w:shd w:val="clear" w:color="auto" w:fill="D9D9D9"/>
          </w:tcPr>
          <w:p w14:paraId="777E6302" w14:textId="77777777" w:rsidR="00901157" w:rsidRPr="004C2A2F" w:rsidRDefault="0090115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I confirm that this is my original work and that I have adhered to the University policy on plagiarism.</w:t>
            </w:r>
          </w:p>
          <w:p w14:paraId="46A93A90" w14:textId="77777777" w:rsidR="00901157" w:rsidRPr="004C2A2F" w:rsidRDefault="0090115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Signed ……………………………………………………</w:t>
            </w:r>
            <w:r w:rsidR="00AE3217" w:rsidRPr="004C2A2F">
              <w:rPr>
                <w:rFonts w:ascii="Arial" w:hAnsi="Arial" w:cs="Arial"/>
                <w:sz w:val="22"/>
                <w:szCs w:val="22"/>
              </w:rPr>
              <w:t>………</w:t>
            </w:r>
          </w:p>
          <w:p w14:paraId="65388372" w14:textId="0E5BB7F6" w:rsidR="00B462B1" w:rsidRPr="004C2A2F" w:rsidRDefault="00B462B1" w:rsidP="00B462B1">
            <w:pPr>
              <w:pStyle w:val="NormalWeb"/>
              <w:spacing w:before="0" w:beforeAutospacing="0" w:after="0" w:afterAutospacing="0"/>
              <w:ind w:right="34"/>
              <w:rPr>
                <w:rFonts w:ascii="Arial" w:hAnsi="Arial" w:cs="Arial"/>
                <w:b/>
                <w:sz w:val="22"/>
                <w:szCs w:val="22"/>
              </w:rPr>
            </w:pPr>
            <w:r w:rsidRPr="004C2A2F">
              <w:rPr>
                <w:rFonts w:ascii="Arial" w:hAnsi="Arial" w:cs="Arial"/>
                <w:b/>
                <w:sz w:val="22"/>
                <w:szCs w:val="22"/>
              </w:rPr>
              <w:t xml:space="preserve">Email </w:t>
            </w:r>
            <w:proofErr w:type="spellStart"/>
            <w:proofErr w:type="gramStart"/>
            <w:r w:rsidRPr="004C2A2F">
              <w:rPr>
                <w:rFonts w:ascii="Arial" w:hAnsi="Arial" w:cs="Arial"/>
                <w:b/>
                <w:sz w:val="22"/>
                <w:szCs w:val="22"/>
              </w:rPr>
              <w:t>submission:if</w:t>
            </w:r>
            <w:proofErr w:type="spellEnd"/>
            <w:proofErr w:type="gramEnd"/>
            <w:r w:rsidRPr="004C2A2F">
              <w:rPr>
                <w:rFonts w:ascii="Arial" w:hAnsi="Arial" w:cs="Arial"/>
                <w:b/>
                <w:sz w:val="22"/>
                <w:szCs w:val="22"/>
              </w:rPr>
              <w:t xml:space="preserve"> you are submitting this form via email, please tick this box </w:t>
            </w:r>
            <w:r w:rsidR="00301237" w:rsidRPr="004C2A2F">
              <w:rPr>
                <w:rFonts w:ascii="Arial" w:hAnsi="Arial" w:cs="Arial"/>
                <w:sz w:val="22"/>
                <w:szCs w:val="22"/>
              </w:rPr>
              <w:fldChar w:fldCharType="begin">
                <w:ffData>
                  <w:name w:val="Check13"/>
                  <w:enabled/>
                  <w:calcOnExit w:val="0"/>
                  <w:checkBox>
                    <w:sizeAuto/>
                    <w:default w:val="1"/>
                  </w:checkBox>
                </w:ffData>
              </w:fldChar>
            </w:r>
            <w:r w:rsidR="00301237"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301237" w:rsidRPr="004C2A2F">
              <w:rPr>
                <w:rFonts w:ascii="Arial" w:hAnsi="Arial" w:cs="Arial"/>
                <w:sz w:val="22"/>
                <w:szCs w:val="22"/>
              </w:rPr>
              <w:fldChar w:fldCharType="end"/>
            </w:r>
          </w:p>
          <w:p w14:paraId="4417A426" w14:textId="77777777" w:rsidR="00B462B1" w:rsidRPr="004C2A2F" w:rsidRDefault="00B462B1" w:rsidP="00B462B1">
            <w:pPr>
              <w:pStyle w:val="NormalWeb"/>
              <w:spacing w:before="0" w:beforeAutospacing="0" w:after="0" w:afterAutospacing="0"/>
              <w:ind w:right="34"/>
              <w:rPr>
                <w:rFonts w:ascii="Arial" w:hAnsi="Arial" w:cs="Arial"/>
                <w:sz w:val="22"/>
                <w:szCs w:val="22"/>
              </w:rPr>
            </w:pPr>
            <w:r w:rsidRPr="004C2A2F">
              <w:rPr>
                <w:rFonts w:ascii="Arial" w:hAnsi="Arial" w:cs="Arial"/>
                <w:b/>
                <w:sz w:val="22"/>
                <w:szCs w:val="22"/>
              </w:rPr>
              <w:t>(as a substitute for your signature) to confirm that you agree to the above declaration.</w:t>
            </w:r>
          </w:p>
        </w:tc>
      </w:tr>
      <w:tr w:rsidR="00590E9A" w:rsidRPr="004C2A2F" w14:paraId="249FCC4D" w14:textId="77777777" w:rsidTr="00A745B6">
        <w:trPr>
          <w:trHeight w:val="3972"/>
        </w:trPr>
        <w:tc>
          <w:tcPr>
            <w:tcW w:w="8856" w:type="dxa"/>
            <w:gridSpan w:val="5"/>
          </w:tcPr>
          <w:p w14:paraId="79A8FD48" w14:textId="77777777" w:rsidR="00A745B6" w:rsidRPr="004C2A2F" w:rsidRDefault="00A745B6" w:rsidP="00A745B6">
            <w:pPr>
              <w:rPr>
                <w:rFonts w:ascii="Arial" w:hAnsi="Arial" w:cs="Arial"/>
                <w:b/>
                <w:sz w:val="22"/>
                <w:szCs w:val="22"/>
              </w:rPr>
            </w:pPr>
          </w:p>
          <w:p w14:paraId="6309A3C6" w14:textId="77777777" w:rsidR="00A745B6" w:rsidRPr="004C2A2F" w:rsidRDefault="00A745B6" w:rsidP="00A745B6">
            <w:pPr>
              <w:rPr>
                <w:rFonts w:ascii="Arial" w:hAnsi="Arial" w:cs="Arial"/>
                <w:sz w:val="22"/>
                <w:szCs w:val="22"/>
              </w:rPr>
            </w:pPr>
            <w:r w:rsidRPr="004C2A2F">
              <w:rPr>
                <w:rFonts w:ascii="Arial" w:hAnsi="Arial" w:cs="Arial"/>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2"/>
              <w:gridCol w:w="1608"/>
            </w:tblGrid>
            <w:tr w:rsidR="00A745B6" w:rsidRPr="004C2A2F" w14:paraId="3C871442" w14:textId="77777777" w:rsidTr="00022345">
              <w:tc>
                <w:tcPr>
                  <w:tcW w:w="6970" w:type="dxa"/>
                </w:tcPr>
                <w:p w14:paraId="03DCBD13" w14:textId="77777777" w:rsidR="00A745B6" w:rsidRPr="004C2A2F" w:rsidRDefault="00A745B6" w:rsidP="009C1A08">
                  <w:pPr>
                    <w:rPr>
                      <w:rFonts w:ascii="Arial" w:hAnsi="Arial" w:cs="Arial"/>
                      <w:sz w:val="22"/>
                      <w:szCs w:val="22"/>
                    </w:rPr>
                  </w:pPr>
                </w:p>
                <w:p w14:paraId="464E22B9" w14:textId="77777777" w:rsidR="00A745B6" w:rsidRPr="004C2A2F" w:rsidRDefault="00A745B6" w:rsidP="009C1A08">
                  <w:pPr>
                    <w:rPr>
                      <w:rFonts w:ascii="Arial" w:hAnsi="Arial" w:cs="Arial"/>
                      <w:sz w:val="22"/>
                      <w:szCs w:val="22"/>
                    </w:rPr>
                  </w:pPr>
                  <w:r w:rsidRPr="004C2A2F">
                    <w:rPr>
                      <w:rFonts w:ascii="Arial" w:hAnsi="Arial" w:cs="Arial"/>
                      <w:sz w:val="22"/>
                      <w:szCs w:val="22"/>
                    </w:rPr>
                    <w:t>1</w:t>
                  </w:r>
                  <w:r w:rsidRPr="004C2A2F">
                    <w:rPr>
                      <w:rFonts w:ascii="Arial" w:hAnsi="Arial" w:cs="Arial"/>
                      <w:sz w:val="22"/>
                      <w:szCs w:val="22"/>
                      <w:vertAlign w:val="superscript"/>
                    </w:rPr>
                    <w:t>st</w:t>
                  </w:r>
                  <w:r w:rsidRPr="004C2A2F">
                    <w:rPr>
                      <w:rFonts w:ascii="Arial" w:hAnsi="Arial" w:cs="Arial"/>
                      <w:sz w:val="22"/>
                      <w:szCs w:val="22"/>
                    </w:rPr>
                    <w:t xml:space="preserve"> Marker’s Provisional mark</w:t>
                  </w:r>
                </w:p>
              </w:tc>
              <w:tc>
                <w:tcPr>
                  <w:tcW w:w="1660" w:type="dxa"/>
                </w:tcPr>
                <w:p w14:paraId="3E96DC1D" w14:textId="77777777" w:rsidR="00A745B6" w:rsidRPr="004C2A2F" w:rsidRDefault="00A745B6" w:rsidP="009C1A08">
                  <w:pPr>
                    <w:rPr>
                      <w:rFonts w:ascii="Arial" w:hAnsi="Arial" w:cs="Arial"/>
                      <w:sz w:val="22"/>
                      <w:szCs w:val="22"/>
                    </w:rPr>
                  </w:pPr>
                </w:p>
              </w:tc>
            </w:tr>
            <w:tr w:rsidR="00A745B6" w:rsidRPr="004C2A2F" w14:paraId="650B2855" w14:textId="77777777" w:rsidTr="00022345">
              <w:tc>
                <w:tcPr>
                  <w:tcW w:w="6970" w:type="dxa"/>
                </w:tcPr>
                <w:p w14:paraId="25210C02" w14:textId="77777777" w:rsidR="00A745B6" w:rsidRPr="004C2A2F" w:rsidRDefault="00A745B6" w:rsidP="009C1A08">
                  <w:pPr>
                    <w:rPr>
                      <w:rFonts w:ascii="Arial" w:hAnsi="Arial" w:cs="Arial"/>
                      <w:sz w:val="22"/>
                      <w:szCs w:val="22"/>
                    </w:rPr>
                  </w:pPr>
                </w:p>
                <w:p w14:paraId="7FD66F01" w14:textId="77777777" w:rsidR="00A745B6" w:rsidRPr="004C2A2F" w:rsidRDefault="00A745B6" w:rsidP="009C1A08">
                  <w:pPr>
                    <w:rPr>
                      <w:rFonts w:ascii="Arial" w:hAnsi="Arial" w:cs="Arial"/>
                      <w:sz w:val="22"/>
                      <w:szCs w:val="22"/>
                    </w:rPr>
                  </w:pPr>
                  <w:r w:rsidRPr="004C2A2F">
                    <w:rPr>
                      <w:rFonts w:ascii="Arial" w:hAnsi="Arial" w:cs="Arial"/>
                      <w:sz w:val="22"/>
                      <w:szCs w:val="22"/>
                    </w:rPr>
                    <w:t>2</w:t>
                  </w:r>
                  <w:r w:rsidRPr="004C2A2F">
                    <w:rPr>
                      <w:rFonts w:ascii="Arial" w:hAnsi="Arial" w:cs="Arial"/>
                      <w:sz w:val="22"/>
                      <w:szCs w:val="22"/>
                      <w:vertAlign w:val="superscript"/>
                    </w:rPr>
                    <w:t>nd</w:t>
                  </w:r>
                  <w:r w:rsidRPr="004C2A2F">
                    <w:rPr>
                      <w:rFonts w:ascii="Arial" w:hAnsi="Arial" w:cs="Arial"/>
                      <w:sz w:val="22"/>
                      <w:szCs w:val="22"/>
                    </w:rPr>
                    <w:t xml:space="preserve"> Marker</w:t>
                  </w:r>
                  <w:r w:rsidR="00022345" w:rsidRPr="004C2A2F">
                    <w:rPr>
                      <w:rFonts w:ascii="Arial" w:hAnsi="Arial" w:cs="Arial"/>
                      <w:sz w:val="22"/>
                      <w:szCs w:val="22"/>
                    </w:rPr>
                    <w:t>’s/Moderator’s</w:t>
                  </w:r>
                  <w:r w:rsidRPr="004C2A2F">
                    <w:rPr>
                      <w:rFonts w:ascii="Arial" w:hAnsi="Arial" w:cs="Arial"/>
                      <w:sz w:val="22"/>
                      <w:szCs w:val="22"/>
                    </w:rPr>
                    <w:t xml:space="preserve"> provisional mark</w:t>
                  </w:r>
                </w:p>
              </w:tc>
              <w:tc>
                <w:tcPr>
                  <w:tcW w:w="1660" w:type="dxa"/>
                </w:tcPr>
                <w:p w14:paraId="606D881A" w14:textId="77777777" w:rsidR="00A745B6" w:rsidRPr="004C2A2F" w:rsidRDefault="00A745B6" w:rsidP="009C1A08">
                  <w:pPr>
                    <w:rPr>
                      <w:rFonts w:ascii="Arial" w:hAnsi="Arial" w:cs="Arial"/>
                      <w:sz w:val="22"/>
                      <w:szCs w:val="22"/>
                    </w:rPr>
                  </w:pPr>
                </w:p>
              </w:tc>
            </w:tr>
            <w:tr w:rsidR="00A745B6" w:rsidRPr="004C2A2F" w14:paraId="5DAC6755" w14:textId="77777777" w:rsidTr="00022345">
              <w:tc>
                <w:tcPr>
                  <w:tcW w:w="6970" w:type="dxa"/>
                </w:tcPr>
                <w:p w14:paraId="78172B61" w14:textId="77777777" w:rsidR="00A745B6" w:rsidRPr="004C2A2F" w:rsidRDefault="00A745B6" w:rsidP="009C1A08">
                  <w:pPr>
                    <w:rPr>
                      <w:rFonts w:ascii="Arial" w:hAnsi="Arial" w:cs="Arial"/>
                      <w:sz w:val="22"/>
                      <w:szCs w:val="22"/>
                    </w:rPr>
                  </w:pPr>
                </w:p>
                <w:p w14:paraId="2BE814A9" w14:textId="77777777" w:rsidR="00A745B6" w:rsidRPr="004C2A2F" w:rsidRDefault="00A745B6" w:rsidP="009C1A08">
                  <w:pPr>
                    <w:rPr>
                      <w:rFonts w:ascii="Arial" w:hAnsi="Arial" w:cs="Arial"/>
                      <w:sz w:val="22"/>
                      <w:szCs w:val="22"/>
                    </w:rPr>
                  </w:pPr>
                  <w:r w:rsidRPr="004C2A2F">
                    <w:rPr>
                      <w:rFonts w:ascii="Arial" w:hAnsi="Arial" w:cs="Arial"/>
                      <w:sz w:val="22"/>
                      <w:szCs w:val="22"/>
                    </w:rPr>
                    <w:t>External Examiner’s mark (if relevant)</w:t>
                  </w:r>
                </w:p>
              </w:tc>
              <w:tc>
                <w:tcPr>
                  <w:tcW w:w="1660" w:type="dxa"/>
                </w:tcPr>
                <w:p w14:paraId="016D6AF2" w14:textId="77777777" w:rsidR="00A745B6" w:rsidRPr="004C2A2F" w:rsidRDefault="00A745B6" w:rsidP="009C1A08">
                  <w:pPr>
                    <w:rPr>
                      <w:rFonts w:ascii="Arial" w:hAnsi="Arial" w:cs="Arial"/>
                      <w:sz w:val="22"/>
                      <w:szCs w:val="22"/>
                    </w:rPr>
                  </w:pPr>
                </w:p>
              </w:tc>
            </w:tr>
            <w:tr w:rsidR="00A745B6" w:rsidRPr="004C2A2F" w14:paraId="757CB927" w14:textId="77777777" w:rsidTr="00022345">
              <w:tc>
                <w:tcPr>
                  <w:tcW w:w="6970" w:type="dxa"/>
                </w:tcPr>
                <w:p w14:paraId="3A05022B" w14:textId="77777777" w:rsidR="00A745B6" w:rsidRPr="004C2A2F" w:rsidRDefault="00A745B6" w:rsidP="009C1A08">
                  <w:pPr>
                    <w:rPr>
                      <w:rFonts w:ascii="Arial" w:hAnsi="Arial" w:cs="Arial"/>
                      <w:sz w:val="22"/>
                      <w:szCs w:val="22"/>
                    </w:rPr>
                  </w:pPr>
                </w:p>
                <w:p w14:paraId="6D310C34" w14:textId="77777777" w:rsidR="00A745B6" w:rsidRPr="004C2A2F" w:rsidRDefault="00A745B6" w:rsidP="009C1A08">
                  <w:pPr>
                    <w:rPr>
                      <w:rFonts w:ascii="Arial" w:hAnsi="Arial" w:cs="Arial"/>
                      <w:b/>
                      <w:sz w:val="22"/>
                      <w:szCs w:val="22"/>
                    </w:rPr>
                  </w:pPr>
                  <w:r w:rsidRPr="004C2A2F">
                    <w:rPr>
                      <w:rFonts w:ascii="Arial" w:hAnsi="Arial" w:cs="Arial"/>
                      <w:b/>
                      <w:sz w:val="22"/>
                      <w:szCs w:val="22"/>
                    </w:rPr>
                    <w:t>Final Mark</w:t>
                  </w:r>
                </w:p>
                <w:p w14:paraId="0DAE05E7" w14:textId="77777777" w:rsidR="00A745B6" w:rsidRPr="004C2A2F" w:rsidRDefault="00A745B6" w:rsidP="009C1A08">
                  <w:pPr>
                    <w:rPr>
                      <w:rFonts w:ascii="Arial" w:hAnsi="Arial" w:cs="Arial"/>
                      <w:sz w:val="22"/>
                      <w:szCs w:val="22"/>
                    </w:rPr>
                  </w:pPr>
                </w:p>
              </w:tc>
              <w:tc>
                <w:tcPr>
                  <w:tcW w:w="1660" w:type="dxa"/>
                </w:tcPr>
                <w:p w14:paraId="68252EAE" w14:textId="77777777" w:rsidR="00A745B6" w:rsidRPr="004C2A2F" w:rsidRDefault="00A745B6" w:rsidP="009C1A08">
                  <w:pPr>
                    <w:rPr>
                      <w:rFonts w:ascii="Arial" w:hAnsi="Arial" w:cs="Arial"/>
                      <w:sz w:val="22"/>
                      <w:szCs w:val="22"/>
                    </w:rPr>
                  </w:pPr>
                </w:p>
              </w:tc>
            </w:tr>
          </w:tbl>
          <w:p w14:paraId="4CD7F53E" w14:textId="77777777" w:rsidR="00022345" w:rsidRPr="004C2A2F" w:rsidRDefault="00022345" w:rsidP="00A745B6">
            <w:pPr>
              <w:pStyle w:val="NormalWeb"/>
              <w:spacing w:before="0" w:beforeAutospacing="0" w:after="0" w:afterAutospacing="0"/>
              <w:ind w:left="142" w:right="34"/>
              <w:rPr>
                <w:rFonts w:ascii="Arial" w:hAnsi="Arial" w:cs="Arial"/>
                <w:b/>
                <w:sz w:val="22"/>
                <w:szCs w:val="22"/>
              </w:rPr>
            </w:pPr>
          </w:p>
          <w:p w14:paraId="13E830E8" w14:textId="77777777" w:rsidR="00A745B6" w:rsidRPr="004C2A2F" w:rsidRDefault="00A745B6" w:rsidP="00A745B6">
            <w:pPr>
              <w:pStyle w:val="NormalWeb"/>
              <w:spacing w:before="0" w:beforeAutospacing="0" w:after="0" w:afterAutospacing="0"/>
              <w:ind w:left="142" w:right="34"/>
              <w:rPr>
                <w:rFonts w:ascii="Arial" w:hAnsi="Arial" w:cs="Arial"/>
                <w:sz w:val="22"/>
                <w:szCs w:val="22"/>
              </w:rPr>
            </w:pPr>
            <w:r w:rsidRPr="004C2A2F">
              <w:rPr>
                <w:rFonts w:ascii="Arial" w:hAnsi="Arial" w:cs="Arial"/>
                <w:b/>
                <w:sz w:val="22"/>
                <w:szCs w:val="22"/>
              </w:rPr>
              <w:t>NB.</w:t>
            </w:r>
            <w:r w:rsidRPr="004C2A2F">
              <w:rPr>
                <w:rFonts w:ascii="Arial" w:hAnsi="Arial" w:cs="Arial"/>
                <w:sz w:val="22"/>
                <w:szCs w:val="22"/>
              </w:rPr>
              <w:t xml:space="preserve">  All marks are provisional until confirmed by the Final Examination Board.</w:t>
            </w:r>
          </w:p>
          <w:p w14:paraId="4DA8DE8A" w14:textId="77777777" w:rsidR="00A745B6" w:rsidRPr="004C2A2F" w:rsidRDefault="00A745B6" w:rsidP="002F467C">
            <w:pPr>
              <w:pStyle w:val="NormalWeb"/>
              <w:spacing w:before="0" w:beforeAutospacing="0" w:after="0" w:afterAutospacing="0"/>
              <w:rPr>
                <w:rFonts w:ascii="Arial" w:hAnsi="Arial" w:cs="Arial"/>
                <w:b/>
                <w:sz w:val="22"/>
                <w:szCs w:val="22"/>
              </w:rPr>
            </w:pPr>
          </w:p>
          <w:p w14:paraId="626E3F0E" w14:textId="77777777" w:rsidR="00B462B1" w:rsidRPr="004C2A2F" w:rsidRDefault="00B462B1" w:rsidP="002F467C">
            <w:pPr>
              <w:pStyle w:val="NormalWeb"/>
              <w:spacing w:before="0" w:beforeAutospacing="0" w:after="0" w:afterAutospacing="0"/>
              <w:rPr>
                <w:rFonts w:ascii="Arial" w:hAnsi="Arial" w:cs="Arial"/>
                <w:b/>
                <w:sz w:val="22"/>
                <w:szCs w:val="22"/>
              </w:rPr>
            </w:pPr>
          </w:p>
          <w:p w14:paraId="3A75DDA5" w14:textId="77777777" w:rsidR="00B462B1" w:rsidRPr="004C2A2F" w:rsidRDefault="00B462B1" w:rsidP="002F467C">
            <w:pPr>
              <w:pStyle w:val="NormalWeb"/>
              <w:spacing w:before="0" w:beforeAutospacing="0" w:after="0" w:afterAutospacing="0"/>
              <w:rPr>
                <w:rFonts w:ascii="Arial" w:hAnsi="Arial" w:cs="Arial"/>
                <w:b/>
                <w:sz w:val="22"/>
                <w:szCs w:val="22"/>
              </w:rPr>
            </w:pPr>
          </w:p>
          <w:p w14:paraId="56C4C973" w14:textId="77777777" w:rsidR="00B462B1" w:rsidRPr="004C2A2F" w:rsidRDefault="00B462B1" w:rsidP="002F467C">
            <w:pPr>
              <w:pStyle w:val="NormalWeb"/>
              <w:spacing w:before="0" w:beforeAutospacing="0" w:after="0" w:afterAutospacing="0"/>
              <w:rPr>
                <w:rFonts w:ascii="Arial" w:hAnsi="Arial" w:cs="Arial"/>
                <w:b/>
                <w:sz w:val="22"/>
                <w:szCs w:val="22"/>
              </w:rPr>
            </w:pPr>
          </w:p>
          <w:p w14:paraId="567117B1" w14:textId="77777777" w:rsidR="00B462B1" w:rsidRPr="004C2A2F" w:rsidRDefault="00B462B1" w:rsidP="002F467C">
            <w:pPr>
              <w:pStyle w:val="NormalWeb"/>
              <w:spacing w:before="0" w:beforeAutospacing="0" w:after="0" w:afterAutospacing="0"/>
              <w:rPr>
                <w:rFonts w:ascii="Arial" w:hAnsi="Arial" w:cs="Arial"/>
                <w:b/>
                <w:sz w:val="22"/>
                <w:szCs w:val="22"/>
              </w:rPr>
            </w:pPr>
          </w:p>
          <w:p w14:paraId="4BA6D61D" w14:textId="77777777" w:rsidR="00590E9A" w:rsidRPr="004C2A2F" w:rsidRDefault="00E67719" w:rsidP="002F467C">
            <w:pPr>
              <w:pStyle w:val="NormalWeb"/>
              <w:spacing w:before="0" w:beforeAutospacing="0" w:after="0" w:afterAutospacing="0"/>
              <w:rPr>
                <w:rFonts w:ascii="Arial" w:hAnsi="Arial" w:cs="Arial"/>
                <w:b/>
                <w:sz w:val="22"/>
                <w:szCs w:val="22"/>
              </w:rPr>
            </w:pPr>
            <w:r w:rsidRPr="004C2A2F">
              <w:rPr>
                <w:rFonts w:ascii="Arial" w:hAnsi="Arial" w:cs="Arial"/>
                <w:b/>
                <w:sz w:val="22"/>
                <w:szCs w:val="22"/>
              </w:rPr>
              <w:lastRenderedPageBreak/>
              <w:t>For completion by M</w:t>
            </w:r>
            <w:r w:rsidR="00590E9A" w:rsidRPr="004C2A2F">
              <w:rPr>
                <w:rFonts w:ascii="Arial" w:hAnsi="Arial" w:cs="Arial"/>
                <w:b/>
                <w:sz w:val="22"/>
                <w:szCs w:val="22"/>
              </w:rPr>
              <w:t>arker</w:t>
            </w:r>
            <w:r w:rsidR="00D67BF8" w:rsidRPr="004C2A2F">
              <w:rPr>
                <w:rFonts w:ascii="Arial" w:hAnsi="Arial" w:cs="Arial"/>
                <w:b/>
                <w:sz w:val="22"/>
                <w:szCs w:val="22"/>
              </w:rPr>
              <w:t xml:space="preserve"> </w:t>
            </w:r>
            <w:proofErr w:type="gramStart"/>
            <w:r w:rsidR="00D67BF8" w:rsidRPr="004C2A2F">
              <w:rPr>
                <w:rFonts w:ascii="Arial" w:hAnsi="Arial" w:cs="Arial"/>
                <w:b/>
                <w:sz w:val="22"/>
                <w:szCs w:val="22"/>
              </w:rPr>
              <w:t xml:space="preserve">1 </w:t>
            </w:r>
            <w:r w:rsidR="00590E9A" w:rsidRPr="004C2A2F">
              <w:rPr>
                <w:rFonts w:ascii="Arial" w:hAnsi="Arial" w:cs="Arial"/>
                <w:b/>
                <w:sz w:val="22"/>
                <w:szCs w:val="22"/>
              </w:rPr>
              <w:t>:</w:t>
            </w:r>
            <w:proofErr w:type="gramEnd"/>
          </w:p>
          <w:p w14:paraId="5A70F731" w14:textId="77777777" w:rsidR="00230F35" w:rsidRPr="004C2A2F" w:rsidRDefault="00590E9A" w:rsidP="00043549">
            <w:pPr>
              <w:pStyle w:val="NormalWeb"/>
              <w:rPr>
                <w:rFonts w:ascii="Arial" w:hAnsi="Arial" w:cs="Arial"/>
                <w:sz w:val="22"/>
                <w:szCs w:val="22"/>
              </w:rPr>
            </w:pPr>
            <w:r w:rsidRPr="004C2A2F">
              <w:rPr>
                <w:rFonts w:ascii="Arial" w:hAnsi="Arial" w:cs="Arial"/>
                <w:sz w:val="22"/>
                <w:szCs w:val="22"/>
              </w:rPr>
              <w:t>Comments</w:t>
            </w:r>
            <w:r w:rsidR="00001C3B" w:rsidRPr="004C2A2F">
              <w:rPr>
                <w:rFonts w:ascii="Arial" w:hAnsi="Arial" w:cs="Arial"/>
                <w:sz w:val="22"/>
                <w:szCs w:val="22"/>
              </w:rPr>
              <w:t>:</w:t>
            </w:r>
          </w:p>
          <w:p w14:paraId="3AC7F8C7" w14:textId="77777777" w:rsidR="00B56E7B" w:rsidRPr="004C2A2F" w:rsidRDefault="00B56E7B" w:rsidP="00043549">
            <w:pPr>
              <w:pStyle w:val="NormalWeb"/>
              <w:rPr>
                <w:rFonts w:ascii="Arial" w:hAnsi="Arial" w:cs="Arial"/>
                <w:sz w:val="22"/>
                <w:szCs w:val="22"/>
              </w:rPr>
            </w:pPr>
          </w:p>
        </w:tc>
      </w:tr>
      <w:tr w:rsidR="00EC7546" w:rsidRPr="004C2A2F" w14:paraId="060AC65F" w14:textId="77777777" w:rsidTr="00A745B6">
        <w:trPr>
          <w:trHeight w:val="492"/>
        </w:trPr>
        <w:tc>
          <w:tcPr>
            <w:tcW w:w="6768" w:type="dxa"/>
            <w:gridSpan w:val="3"/>
          </w:tcPr>
          <w:p w14:paraId="216D6FEE" w14:textId="77777777" w:rsidR="00230F35" w:rsidRPr="004C2A2F" w:rsidRDefault="00E3766D" w:rsidP="00230F35">
            <w:pPr>
              <w:pStyle w:val="NormalWeb"/>
              <w:ind w:left="142" w:right="34"/>
              <w:rPr>
                <w:rFonts w:ascii="Arial" w:hAnsi="Arial" w:cs="Arial"/>
                <w:sz w:val="22"/>
                <w:szCs w:val="22"/>
              </w:rPr>
            </w:pPr>
            <w:r w:rsidRPr="004C2A2F">
              <w:rPr>
                <w:rFonts w:ascii="Arial" w:hAnsi="Arial" w:cs="Arial"/>
                <w:sz w:val="22"/>
                <w:szCs w:val="22"/>
              </w:rPr>
              <w:lastRenderedPageBreak/>
              <w:t>M</w:t>
            </w:r>
            <w:r w:rsidR="00EC7546" w:rsidRPr="004C2A2F">
              <w:rPr>
                <w:rFonts w:ascii="Arial" w:hAnsi="Arial" w:cs="Arial"/>
                <w:sz w:val="22"/>
                <w:szCs w:val="22"/>
              </w:rPr>
              <w:t>arker</w:t>
            </w:r>
            <w:r w:rsidR="00CE3B79" w:rsidRPr="004C2A2F">
              <w:rPr>
                <w:rFonts w:ascii="Arial" w:hAnsi="Arial" w:cs="Arial"/>
                <w:sz w:val="22"/>
                <w:szCs w:val="22"/>
              </w:rPr>
              <w:t xml:space="preserve">’s </w:t>
            </w:r>
            <w:r w:rsidR="00EC7546" w:rsidRPr="004C2A2F">
              <w:rPr>
                <w:rFonts w:ascii="Arial" w:hAnsi="Arial" w:cs="Arial"/>
                <w:sz w:val="22"/>
                <w:szCs w:val="22"/>
              </w:rPr>
              <w:t>signatur</w:t>
            </w:r>
            <w:r w:rsidR="00230F35" w:rsidRPr="004C2A2F">
              <w:rPr>
                <w:rFonts w:ascii="Arial" w:hAnsi="Arial" w:cs="Arial"/>
                <w:sz w:val="22"/>
                <w:szCs w:val="22"/>
              </w:rPr>
              <w:t>e:</w:t>
            </w:r>
          </w:p>
        </w:tc>
        <w:tc>
          <w:tcPr>
            <w:tcW w:w="2088" w:type="dxa"/>
            <w:gridSpan w:val="2"/>
          </w:tcPr>
          <w:p w14:paraId="7E6BBBA6" w14:textId="77777777" w:rsidR="00EC7546" w:rsidRPr="004C2A2F" w:rsidRDefault="0065654E" w:rsidP="002F467C">
            <w:pPr>
              <w:pStyle w:val="NormalWeb"/>
              <w:spacing w:after="0"/>
              <w:ind w:left="142" w:right="34"/>
              <w:rPr>
                <w:rFonts w:ascii="Arial" w:hAnsi="Arial" w:cs="Arial"/>
                <w:sz w:val="22"/>
                <w:szCs w:val="22"/>
              </w:rPr>
            </w:pPr>
            <w:r w:rsidRPr="004C2A2F">
              <w:rPr>
                <w:rFonts w:ascii="Arial" w:hAnsi="Arial" w:cs="Arial"/>
                <w:sz w:val="22"/>
                <w:szCs w:val="22"/>
              </w:rPr>
              <w:t>D</w:t>
            </w:r>
            <w:r w:rsidR="00EC7546" w:rsidRPr="004C2A2F">
              <w:rPr>
                <w:rFonts w:ascii="Arial" w:hAnsi="Arial" w:cs="Arial"/>
                <w:sz w:val="22"/>
                <w:szCs w:val="22"/>
              </w:rPr>
              <w:t>ate</w:t>
            </w:r>
            <w:r w:rsidRPr="004C2A2F">
              <w:rPr>
                <w:rFonts w:ascii="Arial" w:hAnsi="Arial" w:cs="Arial"/>
                <w:sz w:val="22"/>
                <w:szCs w:val="22"/>
              </w:rPr>
              <w:t>:</w:t>
            </w:r>
          </w:p>
        </w:tc>
      </w:tr>
      <w:tr w:rsidR="00D67BF8" w:rsidRPr="004C2A2F" w14:paraId="75A01063" w14:textId="77777777" w:rsidTr="002F467C">
        <w:tc>
          <w:tcPr>
            <w:tcW w:w="8856" w:type="dxa"/>
            <w:gridSpan w:val="5"/>
          </w:tcPr>
          <w:p w14:paraId="6668CFC0" w14:textId="77777777" w:rsidR="00D67BF8" w:rsidRPr="004C2A2F" w:rsidRDefault="00D67BF8" w:rsidP="002F467C">
            <w:pPr>
              <w:pStyle w:val="NormalWeb"/>
              <w:spacing w:before="0" w:beforeAutospacing="0" w:after="0" w:afterAutospacing="0"/>
              <w:ind w:right="-334"/>
              <w:rPr>
                <w:rFonts w:ascii="Arial" w:hAnsi="Arial" w:cs="Arial"/>
                <w:bCs/>
                <w:i/>
                <w:sz w:val="22"/>
                <w:szCs w:val="22"/>
              </w:rPr>
            </w:pPr>
          </w:p>
          <w:p w14:paraId="5DF6DD27" w14:textId="77777777" w:rsidR="00D67BF8" w:rsidRPr="004C2A2F" w:rsidRDefault="00E67719" w:rsidP="002F467C">
            <w:pPr>
              <w:pStyle w:val="NormalWeb"/>
              <w:spacing w:before="0" w:beforeAutospacing="0" w:after="0" w:afterAutospacing="0"/>
              <w:ind w:right="-334"/>
              <w:rPr>
                <w:rFonts w:ascii="Arial" w:hAnsi="Arial" w:cs="Arial"/>
                <w:b/>
                <w:bCs/>
                <w:sz w:val="22"/>
                <w:szCs w:val="22"/>
              </w:rPr>
            </w:pPr>
            <w:r w:rsidRPr="004C2A2F">
              <w:rPr>
                <w:rFonts w:ascii="Arial" w:hAnsi="Arial" w:cs="Arial"/>
                <w:b/>
                <w:bCs/>
                <w:sz w:val="22"/>
                <w:szCs w:val="22"/>
              </w:rPr>
              <w:t>For completion by M</w:t>
            </w:r>
            <w:r w:rsidR="00D67BF8" w:rsidRPr="004C2A2F">
              <w:rPr>
                <w:rFonts w:ascii="Arial" w:hAnsi="Arial" w:cs="Arial"/>
                <w:b/>
                <w:bCs/>
                <w:sz w:val="22"/>
                <w:szCs w:val="22"/>
              </w:rPr>
              <w:t>arker 2</w:t>
            </w:r>
            <w:r w:rsidRPr="004C2A2F">
              <w:rPr>
                <w:rFonts w:ascii="Arial" w:hAnsi="Arial" w:cs="Arial"/>
                <w:b/>
                <w:bCs/>
                <w:sz w:val="22"/>
                <w:szCs w:val="22"/>
              </w:rPr>
              <w:t>/M</w:t>
            </w:r>
            <w:r w:rsidR="00230F35" w:rsidRPr="004C2A2F">
              <w:rPr>
                <w:rFonts w:ascii="Arial" w:hAnsi="Arial" w:cs="Arial"/>
                <w:b/>
                <w:bCs/>
                <w:sz w:val="22"/>
                <w:szCs w:val="22"/>
              </w:rPr>
              <w:t>oderator</w:t>
            </w:r>
            <w:r w:rsidR="00D67BF8" w:rsidRPr="004C2A2F">
              <w:rPr>
                <w:rFonts w:ascii="Arial" w:hAnsi="Arial" w:cs="Arial"/>
                <w:b/>
                <w:bCs/>
                <w:sz w:val="22"/>
                <w:szCs w:val="22"/>
              </w:rPr>
              <w:t>:</w:t>
            </w:r>
          </w:p>
          <w:p w14:paraId="628F0A4A" w14:textId="77777777" w:rsidR="00D67BF8" w:rsidRPr="004C2A2F" w:rsidRDefault="00D67BF8" w:rsidP="002F467C">
            <w:pPr>
              <w:pStyle w:val="NormalWeb"/>
              <w:spacing w:before="0" w:beforeAutospacing="0" w:after="0" w:afterAutospacing="0"/>
              <w:ind w:right="-334"/>
              <w:rPr>
                <w:rFonts w:ascii="Arial" w:hAnsi="Arial" w:cs="Arial"/>
                <w:b/>
                <w:bCs/>
                <w:sz w:val="22"/>
                <w:szCs w:val="22"/>
              </w:rPr>
            </w:pPr>
          </w:p>
          <w:p w14:paraId="248AB305"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Comments:</w:t>
            </w:r>
          </w:p>
          <w:p w14:paraId="78027D2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12879C02"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7778A89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6AE91EC5"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0C4E4B1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32A3EEB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56092317"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37940FEF"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463410D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56774A8B" w14:textId="77777777" w:rsidR="00B56E7B" w:rsidRPr="004C2A2F" w:rsidRDefault="00B56E7B" w:rsidP="002F467C">
            <w:pPr>
              <w:pStyle w:val="NormalWeb"/>
              <w:spacing w:before="0" w:beforeAutospacing="0" w:after="0" w:afterAutospacing="0"/>
              <w:ind w:right="-334"/>
              <w:rPr>
                <w:rFonts w:ascii="Arial" w:hAnsi="Arial" w:cs="Arial"/>
                <w:bCs/>
                <w:sz w:val="22"/>
                <w:szCs w:val="22"/>
              </w:rPr>
            </w:pPr>
          </w:p>
          <w:p w14:paraId="39739E0C"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23830D40"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tc>
      </w:tr>
      <w:tr w:rsidR="00D67BF8" w:rsidRPr="004C2A2F" w14:paraId="1CE87060" w14:textId="77777777" w:rsidTr="008D674F">
        <w:trPr>
          <w:trHeight w:val="720"/>
        </w:trPr>
        <w:tc>
          <w:tcPr>
            <w:tcW w:w="5211" w:type="dxa"/>
            <w:gridSpan w:val="2"/>
          </w:tcPr>
          <w:p w14:paraId="18A19264" w14:textId="77777777" w:rsidR="00B56E7B"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Marker’s Signature</w:t>
            </w:r>
            <w:r w:rsidR="00B56E7B" w:rsidRPr="004C2A2F">
              <w:rPr>
                <w:rFonts w:ascii="Arial" w:hAnsi="Arial" w:cs="Arial"/>
                <w:bCs/>
                <w:sz w:val="22"/>
                <w:szCs w:val="22"/>
              </w:rPr>
              <w:t>:</w:t>
            </w:r>
          </w:p>
        </w:tc>
        <w:tc>
          <w:tcPr>
            <w:tcW w:w="3645" w:type="dxa"/>
            <w:gridSpan w:val="3"/>
          </w:tcPr>
          <w:p w14:paraId="0979B38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Date:</w:t>
            </w:r>
          </w:p>
        </w:tc>
      </w:tr>
      <w:tr w:rsidR="00230F35" w:rsidRPr="004C2A2F" w14:paraId="6B0DEB25" w14:textId="77777777" w:rsidTr="009C1A08">
        <w:trPr>
          <w:trHeight w:val="720"/>
        </w:trPr>
        <w:tc>
          <w:tcPr>
            <w:tcW w:w="8856" w:type="dxa"/>
            <w:gridSpan w:val="5"/>
          </w:tcPr>
          <w:p w14:paraId="1C2BC6CE" w14:textId="77777777" w:rsidR="00230F35" w:rsidRPr="004C2A2F" w:rsidRDefault="00230F35" w:rsidP="00230F35">
            <w:pPr>
              <w:rPr>
                <w:rFonts w:ascii="Arial" w:hAnsi="Arial" w:cs="Arial"/>
                <w:b/>
                <w:sz w:val="22"/>
                <w:szCs w:val="22"/>
              </w:rPr>
            </w:pPr>
            <w:r w:rsidRPr="004C2A2F">
              <w:rPr>
                <w:rFonts w:ascii="Arial" w:hAnsi="Arial" w:cs="Arial"/>
                <w:b/>
                <w:sz w:val="22"/>
                <w:szCs w:val="22"/>
              </w:rPr>
              <w:t>External Examiner’s comments (if relevant)</w:t>
            </w:r>
          </w:p>
          <w:p w14:paraId="56767B97"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1A7036E2"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5DF64C9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4CE4806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751E3FC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248107F7"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51B4668"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268B5B0"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60ED35E"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1CF79FF" w14:textId="77777777" w:rsidR="00B56E7B" w:rsidRPr="004C2A2F" w:rsidRDefault="00B56E7B" w:rsidP="002F467C">
            <w:pPr>
              <w:pStyle w:val="NormalWeb"/>
              <w:spacing w:before="0" w:beforeAutospacing="0" w:after="0" w:afterAutospacing="0"/>
              <w:ind w:right="-334"/>
              <w:rPr>
                <w:rFonts w:ascii="Arial" w:hAnsi="Arial" w:cs="Arial"/>
                <w:bCs/>
                <w:sz w:val="22"/>
                <w:szCs w:val="22"/>
              </w:rPr>
            </w:pPr>
          </w:p>
          <w:p w14:paraId="0F87E2A1"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tc>
      </w:tr>
      <w:tr w:rsidR="00230F35" w:rsidRPr="004C2A2F" w14:paraId="2A8556D5" w14:textId="77777777" w:rsidTr="00230F35">
        <w:trPr>
          <w:trHeight w:val="720"/>
        </w:trPr>
        <w:tc>
          <w:tcPr>
            <w:tcW w:w="5211" w:type="dxa"/>
            <w:gridSpan w:val="2"/>
          </w:tcPr>
          <w:p w14:paraId="1002DE44" w14:textId="77777777" w:rsidR="00230F35" w:rsidRPr="004C2A2F" w:rsidRDefault="00230F35" w:rsidP="00230F35">
            <w:pPr>
              <w:rPr>
                <w:rFonts w:ascii="Arial" w:hAnsi="Arial" w:cs="Arial"/>
                <w:sz w:val="22"/>
                <w:szCs w:val="22"/>
              </w:rPr>
            </w:pPr>
            <w:r w:rsidRPr="004C2A2F">
              <w:rPr>
                <w:rFonts w:ascii="Arial" w:hAnsi="Arial" w:cs="Arial"/>
                <w:sz w:val="22"/>
                <w:szCs w:val="22"/>
              </w:rPr>
              <w:t>External Examiner’s Signature:</w:t>
            </w:r>
          </w:p>
        </w:tc>
        <w:tc>
          <w:tcPr>
            <w:tcW w:w="3645" w:type="dxa"/>
            <w:gridSpan w:val="3"/>
          </w:tcPr>
          <w:p w14:paraId="59158B14" w14:textId="77777777" w:rsidR="00230F35" w:rsidRPr="004C2A2F" w:rsidRDefault="00230F35" w:rsidP="00230F35">
            <w:pPr>
              <w:rPr>
                <w:rFonts w:ascii="Arial" w:hAnsi="Arial" w:cs="Arial"/>
                <w:sz w:val="22"/>
                <w:szCs w:val="22"/>
              </w:rPr>
            </w:pPr>
            <w:r w:rsidRPr="004C2A2F">
              <w:rPr>
                <w:rFonts w:ascii="Arial" w:hAnsi="Arial" w:cs="Arial"/>
                <w:sz w:val="22"/>
                <w:szCs w:val="22"/>
              </w:rPr>
              <w:t>Date:</w:t>
            </w:r>
          </w:p>
        </w:tc>
      </w:tr>
    </w:tbl>
    <w:p w14:paraId="5860F7AE" w14:textId="77777777" w:rsidR="00CC76CE" w:rsidRPr="004C2A2F" w:rsidRDefault="00CC76CE" w:rsidP="00FA07E9">
      <w:pPr>
        <w:pStyle w:val="NormalWeb"/>
        <w:spacing w:before="0" w:beforeAutospacing="0" w:after="0" w:afterAutospacing="0"/>
        <w:ind w:right="-334"/>
        <w:rPr>
          <w:rFonts w:ascii="Arial" w:hAnsi="Arial" w:cs="Arial"/>
          <w:bCs/>
          <w:sz w:val="22"/>
          <w:szCs w:val="22"/>
        </w:rPr>
        <w:sectPr w:rsidR="00CC76CE" w:rsidRPr="004C2A2F" w:rsidSect="00F512C3">
          <w:footerReference w:type="even" r:id="rId9"/>
          <w:footerReference w:type="default" r:id="rId10"/>
          <w:pgSz w:w="12240" w:h="15840"/>
          <w:pgMar w:top="567" w:right="1797" w:bottom="567" w:left="1797" w:header="567" w:footer="720" w:gutter="0"/>
          <w:pgNumType w:start="1"/>
          <w:cols w:space="720"/>
        </w:sectPr>
      </w:pPr>
    </w:p>
    <w:p w14:paraId="74AE3C00" w14:textId="77777777" w:rsidR="006F3EE3" w:rsidRDefault="006F3EE3" w:rsidP="00942CBD">
      <w:pPr>
        <w:pStyle w:val="NormalWeb"/>
        <w:shd w:val="clear" w:color="auto" w:fill="FFFFFF"/>
        <w:rPr>
          <w:rFonts w:ascii="Arial" w:hAnsi="Arial" w:cs="Arial"/>
          <w:b/>
          <w:bCs/>
          <w:sz w:val="22"/>
          <w:szCs w:val="22"/>
        </w:rPr>
      </w:pPr>
      <w:r w:rsidRPr="006F3EE3">
        <w:rPr>
          <w:rFonts w:ascii="Arial" w:hAnsi="Arial" w:cs="Arial"/>
          <w:b/>
          <w:bCs/>
          <w:sz w:val="22"/>
          <w:szCs w:val="22"/>
        </w:rPr>
        <w:lastRenderedPageBreak/>
        <w:t xml:space="preserve">Explore the cultural significance of the descent of Ishtar. </w:t>
      </w:r>
    </w:p>
    <w:p w14:paraId="1AD35F84" w14:textId="5B40BF2A" w:rsidR="001020AD" w:rsidRPr="004C2A2F" w:rsidRDefault="00D05C1B" w:rsidP="00942CBD">
      <w:pPr>
        <w:pStyle w:val="NormalWeb"/>
        <w:shd w:val="clear" w:color="auto" w:fill="FFFFFF"/>
        <w:rPr>
          <w:rFonts w:ascii="Arial" w:hAnsi="Arial" w:cs="Arial"/>
          <w:b/>
          <w:bCs/>
          <w:sz w:val="22"/>
          <w:szCs w:val="22"/>
        </w:rPr>
      </w:pPr>
      <w:r w:rsidRPr="004C2A2F">
        <w:rPr>
          <w:rFonts w:ascii="Arial" w:hAnsi="Arial" w:cs="Arial"/>
          <w:b/>
          <w:bCs/>
          <w:sz w:val="22"/>
          <w:szCs w:val="22"/>
        </w:rPr>
        <w:t>INTRODUCTION</w:t>
      </w:r>
    </w:p>
    <w:p w14:paraId="1D64F086" w14:textId="61B88ACC" w:rsidR="00E05E7B" w:rsidRDefault="006F3EE3" w:rsidP="00742627">
      <w:pPr>
        <w:rPr>
          <w:rFonts w:ascii="Arial" w:eastAsia="Times New Roman" w:hAnsi="Arial" w:cs="Arial"/>
          <w:sz w:val="22"/>
          <w:szCs w:val="22"/>
          <w:lang w:eastAsia="en-GB"/>
        </w:rPr>
      </w:pPr>
      <w:r>
        <w:rPr>
          <w:rFonts w:ascii="Arial" w:eastAsia="Times New Roman" w:hAnsi="Arial" w:cs="Arial"/>
          <w:sz w:val="22"/>
          <w:szCs w:val="22"/>
          <w:lang w:eastAsia="en-GB"/>
        </w:rPr>
        <w:t>Th</w:t>
      </w:r>
      <w:r w:rsidR="00E05E7B">
        <w:rPr>
          <w:rFonts w:ascii="Arial" w:eastAsia="Times New Roman" w:hAnsi="Arial" w:cs="Arial"/>
          <w:sz w:val="22"/>
          <w:szCs w:val="22"/>
          <w:lang w:eastAsia="en-GB"/>
        </w:rPr>
        <w:t xml:space="preserve">e aim of this </w:t>
      </w:r>
      <w:r w:rsidR="0038146A">
        <w:rPr>
          <w:rFonts w:ascii="Arial" w:eastAsia="Times New Roman" w:hAnsi="Arial" w:cs="Arial"/>
          <w:sz w:val="22"/>
          <w:szCs w:val="22"/>
          <w:lang w:eastAsia="en-GB"/>
        </w:rPr>
        <w:t xml:space="preserve">essay </w:t>
      </w:r>
      <w:r w:rsidR="00E05E7B">
        <w:rPr>
          <w:rFonts w:ascii="Arial" w:eastAsia="Times New Roman" w:hAnsi="Arial" w:cs="Arial"/>
          <w:sz w:val="22"/>
          <w:szCs w:val="22"/>
          <w:lang w:eastAsia="en-GB"/>
        </w:rPr>
        <w:t>is to consider the descent of Ishtar and examine its cultural significance in contemporary society</w:t>
      </w:r>
      <w:r w:rsidR="00DA41A2">
        <w:rPr>
          <w:rFonts w:ascii="Arial" w:eastAsia="Times New Roman" w:hAnsi="Arial" w:cs="Arial"/>
          <w:sz w:val="22"/>
          <w:szCs w:val="22"/>
          <w:lang w:eastAsia="en-GB"/>
        </w:rPr>
        <w:t xml:space="preserve"> by </w:t>
      </w:r>
      <w:r w:rsidR="00E05E7B">
        <w:rPr>
          <w:rFonts w:ascii="Arial" w:eastAsia="Times New Roman" w:hAnsi="Arial" w:cs="Arial"/>
          <w:sz w:val="22"/>
          <w:szCs w:val="22"/>
          <w:lang w:eastAsia="en-GB"/>
        </w:rPr>
        <w:t>look</w:t>
      </w:r>
      <w:r w:rsidR="00DA41A2">
        <w:rPr>
          <w:rFonts w:ascii="Arial" w:eastAsia="Times New Roman" w:hAnsi="Arial" w:cs="Arial"/>
          <w:sz w:val="22"/>
          <w:szCs w:val="22"/>
          <w:lang w:eastAsia="en-GB"/>
        </w:rPr>
        <w:t>ing</w:t>
      </w:r>
      <w:r w:rsidR="00E05E7B">
        <w:rPr>
          <w:rFonts w:ascii="Arial" w:eastAsia="Times New Roman" w:hAnsi="Arial" w:cs="Arial"/>
          <w:sz w:val="22"/>
          <w:szCs w:val="22"/>
          <w:lang w:eastAsia="en-GB"/>
        </w:rPr>
        <w:t xml:space="preserve"> at the influence of the myth on the twentieth century writings of </w:t>
      </w:r>
      <w:r w:rsidR="005A39BD">
        <w:rPr>
          <w:rFonts w:ascii="Arial" w:eastAsia="Times New Roman" w:hAnsi="Arial" w:cs="Arial"/>
          <w:sz w:val="22"/>
          <w:szCs w:val="22"/>
          <w:lang w:eastAsia="en-GB"/>
        </w:rPr>
        <w:t xml:space="preserve">English </w:t>
      </w:r>
      <w:r w:rsidR="004017AF">
        <w:rPr>
          <w:rFonts w:ascii="Arial" w:eastAsia="Times New Roman" w:hAnsi="Arial" w:cs="Arial"/>
          <w:sz w:val="22"/>
          <w:szCs w:val="22"/>
          <w:lang w:eastAsia="en-GB"/>
        </w:rPr>
        <w:t xml:space="preserve">author and </w:t>
      </w:r>
      <w:r w:rsidR="008C0622">
        <w:rPr>
          <w:rFonts w:ascii="Arial" w:eastAsia="Times New Roman" w:hAnsi="Arial" w:cs="Arial"/>
          <w:sz w:val="22"/>
          <w:szCs w:val="22"/>
          <w:lang w:eastAsia="en-GB"/>
        </w:rPr>
        <w:t>philologist</w:t>
      </w:r>
      <w:r w:rsidR="004017AF">
        <w:rPr>
          <w:rFonts w:ascii="Arial" w:eastAsia="Times New Roman" w:hAnsi="Arial" w:cs="Arial"/>
          <w:sz w:val="22"/>
          <w:szCs w:val="22"/>
          <w:lang w:eastAsia="en-GB"/>
        </w:rPr>
        <w:t xml:space="preserve"> </w:t>
      </w:r>
      <w:r w:rsidR="00E05E7B">
        <w:rPr>
          <w:rFonts w:ascii="Arial" w:eastAsia="Times New Roman" w:hAnsi="Arial" w:cs="Arial"/>
          <w:sz w:val="22"/>
          <w:szCs w:val="22"/>
          <w:lang w:eastAsia="en-GB"/>
        </w:rPr>
        <w:t xml:space="preserve">J. R. R. Tolkien in his </w:t>
      </w:r>
      <w:r w:rsidR="00072563">
        <w:rPr>
          <w:rFonts w:ascii="Arial" w:eastAsia="Times New Roman" w:hAnsi="Arial" w:cs="Arial"/>
          <w:sz w:val="22"/>
          <w:szCs w:val="22"/>
          <w:lang w:eastAsia="en-GB"/>
        </w:rPr>
        <w:t xml:space="preserve">trilogy of </w:t>
      </w:r>
      <w:r w:rsidR="00E05E7B">
        <w:rPr>
          <w:rFonts w:ascii="Arial" w:eastAsia="Times New Roman" w:hAnsi="Arial" w:cs="Arial"/>
          <w:sz w:val="22"/>
          <w:szCs w:val="22"/>
          <w:lang w:eastAsia="en-GB"/>
        </w:rPr>
        <w:t xml:space="preserve">fantasy adventure novels, </w:t>
      </w:r>
      <w:r w:rsidR="00E05E7B" w:rsidRPr="00AC585F">
        <w:rPr>
          <w:rFonts w:ascii="Arial" w:eastAsia="Times New Roman" w:hAnsi="Arial" w:cs="Arial"/>
          <w:i/>
          <w:iCs/>
          <w:sz w:val="22"/>
          <w:szCs w:val="22"/>
          <w:lang w:eastAsia="en-GB"/>
        </w:rPr>
        <w:t>The Lord of the Rings</w:t>
      </w:r>
      <w:r w:rsidR="00DA41A2">
        <w:rPr>
          <w:rFonts w:ascii="Arial" w:eastAsia="Times New Roman" w:hAnsi="Arial" w:cs="Arial"/>
          <w:sz w:val="22"/>
          <w:szCs w:val="22"/>
          <w:lang w:eastAsia="en-GB"/>
        </w:rPr>
        <w:t>.</w:t>
      </w:r>
      <w:r w:rsidR="00DB716E">
        <w:rPr>
          <w:rStyle w:val="FootnoteReference"/>
          <w:rFonts w:eastAsia="Times New Roman" w:cs="Arial"/>
          <w:szCs w:val="22"/>
          <w:lang w:eastAsia="en-GB"/>
        </w:rPr>
        <w:footnoteReference w:id="1"/>
      </w:r>
      <w:r w:rsidR="00AC585F">
        <w:rPr>
          <w:rFonts w:ascii="Arial" w:eastAsia="Times New Roman" w:hAnsi="Arial" w:cs="Arial"/>
          <w:sz w:val="22"/>
          <w:szCs w:val="22"/>
          <w:lang w:eastAsia="en-GB"/>
        </w:rPr>
        <w:t xml:space="preserve"> </w:t>
      </w:r>
      <w:r w:rsidR="00AC585F">
        <w:rPr>
          <w:rStyle w:val="FootnoteReference"/>
          <w:rFonts w:eastAsia="Times New Roman" w:cs="Arial"/>
          <w:szCs w:val="22"/>
          <w:lang w:eastAsia="en-GB"/>
        </w:rPr>
        <w:footnoteReference w:id="2"/>
      </w:r>
      <w:r w:rsidR="00AC585F">
        <w:rPr>
          <w:rFonts w:ascii="Arial" w:eastAsia="Times New Roman" w:hAnsi="Arial" w:cs="Arial"/>
          <w:sz w:val="22"/>
          <w:szCs w:val="22"/>
          <w:lang w:eastAsia="en-GB"/>
        </w:rPr>
        <w:t xml:space="preserve"> </w:t>
      </w:r>
      <w:r w:rsidR="00AC585F">
        <w:rPr>
          <w:rStyle w:val="FootnoteReference"/>
          <w:rFonts w:eastAsia="Times New Roman" w:cs="Arial"/>
          <w:szCs w:val="22"/>
          <w:lang w:eastAsia="en-GB"/>
        </w:rPr>
        <w:footnoteReference w:id="3"/>
      </w:r>
      <w:r w:rsidR="00DA41A2">
        <w:rPr>
          <w:rFonts w:ascii="Arial" w:eastAsia="Times New Roman" w:hAnsi="Arial" w:cs="Arial"/>
          <w:sz w:val="22"/>
          <w:szCs w:val="22"/>
          <w:lang w:eastAsia="en-GB"/>
        </w:rPr>
        <w:t xml:space="preserve"> </w:t>
      </w:r>
      <w:r w:rsidR="00DB716E">
        <w:rPr>
          <w:rFonts w:ascii="Arial" w:eastAsia="Times New Roman" w:hAnsi="Arial" w:cs="Arial"/>
          <w:sz w:val="22"/>
          <w:szCs w:val="22"/>
          <w:lang w:eastAsia="en-GB"/>
        </w:rPr>
        <w:t>Specifically t</w:t>
      </w:r>
      <w:r w:rsidR="00DA41A2">
        <w:rPr>
          <w:rFonts w:ascii="Arial" w:eastAsia="Times New Roman" w:hAnsi="Arial" w:cs="Arial"/>
          <w:sz w:val="22"/>
          <w:szCs w:val="22"/>
          <w:lang w:eastAsia="en-GB"/>
        </w:rPr>
        <w:t xml:space="preserve">he essay will make a comparison between the myth and the passages </w:t>
      </w:r>
      <w:r w:rsidR="00A37E47">
        <w:rPr>
          <w:rFonts w:ascii="Arial" w:eastAsia="Times New Roman" w:hAnsi="Arial" w:cs="Arial"/>
          <w:sz w:val="22"/>
          <w:szCs w:val="22"/>
          <w:lang w:eastAsia="en-GB"/>
        </w:rPr>
        <w:t xml:space="preserve">in the novels </w:t>
      </w:r>
      <w:r w:rsidR="00DA41A2">
        <w:rPr>
          <w:rFonts w:ascii="Arial" w:eastAsia="Times New Roman" w:hAnsi="Arial" w:cs="Arial"/>
          <w:sz w:val="22"/>
          <w:szCs w:val="22"/>
          <w:lang w:eastAsia="en-GB"/>
        </w:rPr>
        <w:t xml:space="preserve">that describe the fall of one of the chief protagonists, </w:t>
      </w:r>
      <w:r w:rsidR="00DB716E">
        <w:rPr>
          <w:rFonts w:ascii="Arial" w:eastAsia="Times New Roman" w:hAnsi="Arial" w:cs="Arial"/>
          <w:sz w:val="22"/>
          <w:szCs w:val="22"/>
          <w:lang w:eastAsia="en-GB"/>
        </w:rPr>
        <w:t>that of the</w:t>
      </w:r>
      <w:r w:rsidR="00DA41A2">
        <w:rPr>
          <w:rFonts w:ascii="Arial" w:eastAsia="Times New Roman" w:hAnsi="Arial" w:cs="Arial"/>
          <w:sz w:val="22"/>
          <w:szCs w:val="22"/>
          <w:lang w:eastAsia="en-GB"/>
        </w:rPr>
        <w:t xml:space="preserve"> character known as Gandalf.</w:t>
      </w:r>
    </w:p>
    <w:p w14:paraId="000466B6" w14:textId="77777777" w:rsidR="00E05E7B" w:rsidRDefault="00E05E7B" w:rsidP="00742627">
      <w:pPr>
        <w:rPr>
          <w:rFonts w:ascii="Arial" w:eastAsia="Times New Roman" w:hAnsi="Arial" w:cs="Arial"/>
          <w:sz w:val="22"/>
          <w:szCs w:val="22"/>
          <w:lang w:eastAsia="en-GB"/>
        </w:rPr>
      </w:pPr>
    </w:p>
    <w:p w14:paraId="78854C9D" w14:textId="77777777" w:rsidR="007C5D51" w:rsidRDefault="007C5D51" w:rsidP="00742627">
      <w:pPr>
        <w:rPr>
          <w:rFonts w:ascii="Arial" w:eastAsia="Times New Roman" w:hAnsi="Arial" w:cs="Arial"/>
          <w:sz w:val="22"/>
          <w:szCs w:val="22"/>
          <w:lang w:eastAsia="en-GB"/>
        </w:rPr>
      </w:pPr>
    </w:p>
    <w:p w14:paraId="3EC68ECB" w14:textId="338B1E9F" w:rsidR="006F3EE3" w:rsidRPr="00961D77" w:rsidRDefault="007C5D51" w:rsidP="00742627">
      <w:pPr>
        <w:rPr>
          <w:rFonts w:ascii="Arial" w:eastAsia="Times New Roman" w:hAnsi="Arial" w:cs="Arial"/>
          <w:b/>
          <w:bCs/>
          <w:sz w:val="22"/>
          <w:szCs w:val="22"/>
          <w:lang w:eastAsia="en-GB"/>
        </w:rPr>
      </w:pPr>
      <w:r>
        <w:rPr>
          <w:rFonts w:ascii="Arial" w:eastAsia="Times New Roman" w:hAnsi="Arial" w:cs="Arial"/>
          <w:b/>
          <w:bCs/>
          <w:sz w:val="22"/>
          <w:szCs w:val="22"/>
          <w:lang w:eastAsia="en-GB"/>
        </w:rPr>
        <w:t>METHODOLOGY</w:t>
      </w:r>
    </w:p>
    <w:p w14:paraId="488C9464" w14:textId="77777777" w:rsidR="00CD0628" w:rsidRDefault="00CD0628" w:rsidP="00742627">
      <w:pPr>
        <w:rPr>
          <w:rFonts w:ascii="Arial" w:eastAsia="Times New Roman" w:hAnsi="Arial" w:cs="Arial"/>
          <w:sz w:val="22"/>
          <w:szCs w:val="22"/>
          <w:lang w:eastAsia="en-GB"/>
        </w:rPr>
      </w:pPr>
    </w:p>
    <w:p w14:paraId="4F8CCBD7" w14:textId="4DF29696" w:rsidR="00C72B7A" w:rsidRDefault="003E61ED" w:rsidP="00742627">
      <w:pPr>
        <w:rPr>
          <w:rFonts w:ascii="Arial" w:eastAsia="Times New Roman" w:hAnsi="Arial" w:cs="Arial"/>
          <w:sz w:val="22"/>
          <w:szCs w:val="22"/>
          <w:lang w:eastAsia="en-GB"/>
        </w:rPr>
      </w:pPr>
      <w:r>
        <w:rPr>
          <w:rFonts w:ascii="Arial" w:eastAsia="Times New Roman" w:hAnsi="Arial" w:cs="Arial"/>
          <w:sz w:val="22"/>
          <w:szCs w:val="22"/>
          <w:lang w:eastAsia="en-GB"/>
        </w:rPr>
        <w:t xml:space="preserve">Geertz </w:t>
      </w:r>
      <w:r w:rsidR="00CC2174">
        <w:rPr>
          <w:rFonts w:ascii="Arial" w:eastAsia="Times New Roman" w:hAnsi="Arial" w:cs="Arial"/>
          <w:sz w:val="22"/>
          <w:szCs w:val="22"/>
          <w:lang w:eastAsia="en-GB"/>
        </w:rPr>
        <w:t>argues that</w:t>
      </w:r>
      <w:r>
        <w:rPr>
          <w:rFonts w:ascii="Arial" w:eastAsia="Times New Roman" w:hAnsi="Arial" w:cs="Arial"/>
          <w:sz w:val="22"/>
          <w:szCs w:val="22"/>
          <w:lang w:eastAsia="en-GB"/>
        </w:rPr>
        <w:t xml:space="preserve"> c</w:t>
      </w:r>
      <w:r w:rsidRPr="00CB5415">
        <w:rPr>
          <w:rFonts w:ascii="Arial" w:eastAsia="Times New Roman" w:hAnsi="Arial" w:cs="Arial"/>
          <w:sz w:val="22"/>
          <w:szCs w:val="22"/>
          <w:lang w:eastAsia="en-GB"/>
        </w:rPr>
        <w:t xml:space="preserve">ulture </w:t>
      </w:r>
      <w:r w:rsidR="00CC2174">
        <w:rPr>
          <w:rFonts w:ascii="Arial" w:eastAsia="Times New Roman" w:hAnsi="Arial" w:cs="Arial"/>
          <w:sz w:val="22"/>
          <w:szCs w:val="22"/>
          <w:lang w:eastAsia="en-GB"/>
        </w:rPr>
        <w:t>i</w:t>
      </w:r>
      <w:r w:rsidR="00A37E47">
        <w:rPr>
          <w:rFonts w:ascii="Arial" w:eastAsia="Times New Roman" w:hAnsi="Arial" w:cs="Arial"/>
          <w:sz w:val="22"/>
          <w:szCs w:val="22"/>
          <w:lang w:eastAsia="en-GB"/>
        </w:rPr>
        <w:t>s</w:t>
      </w:r>
      <w:r w:rsidRPr="00CB5415">
        <w:rPr>
          <w:rFonts w:ascii="Arial" w:eastAsia="Times New Roman" w:hAnsi="Arial" w:cs="Arial"/>
          <w:sz w:val="22"/>
          <w:szCs w:val="22"/>
          <w:lang w:eastAsia="en-GB"/>
        </w:rPr>
        <w:t xml:space="preserve"> ‘an historically transmitted pattern of meanings embodied in</w:t>
      </w:r>
      <w:r>
        <w:rPr>
          <w:rFonts w:ascii="Arial" w:eastAsia="Times New Roman" w:hAnsi="Arial" w:cs="Arial"/>
          <w:sz w:val="22"/>
          <w:szCs w:val="22"/>
          <w:lang w:eastAsia="en-GB"/>
        </w:rPr>
        <w:t xml:space="preserve"> </w:t>
      </w:r>
      <w:r w:rsidRPr="00CB5415">
        <w:rPr>
          <w:rFonts w:ascii="Arial" w:eastAsia="Times New Roman" w:hAnsi="Arial" w:cs="Arial"/>
          <w:sz w:val="22"/>
          <w:szCs w:val="22"/>
          <w:lang w:eastAsia="en-GB"/>
        </w:rPr>
        <w:t>symbols</w:t>
      </w:r>
      <w:r>
        <w:rPr>
          <w:rFonts w:ascii="Arial" w:eastAsia="Times New Roman" w:hAnsi="Arial" w:cs="Arial"/>
          <w:sz w:val="22"/>
          <w:szCs w:val="22"/>
          <w:lang w:eastAsia="en-GB"/>
        </w:rPr>
        <w:t>’</w:t>
      </w:r>
      <w:r w:rsidR="00A37E47">
        <w:rPr>
          <w:rStyle w:val="FootnoteReference"/>
          <w:rFonts w:eastAsia="Times New Roman" w:cs="Arial"/>
          <w:szCs w:val="22"/>
          <w:lang w:eastAsia="en-GB"/>
        </w:rPr>
        <w:footnoteReference w:id="4"/>
      </w:r>
      <w:r w:rsidR="00A37E47">
        <w:rPr>
          <w:rFonts w:ascii="Arial" w:eastAsia="Times New Roman" w:hAnsi="Arial" w:cs="Arial"/>
          <w:sz w:val="22"/>
          <w:szCs w:val="22"/>
          <w:lang w:eastAsia="en-GB"/>
        </w:rPr>
        <w:t xml:space="preserve"> and </w:t>
      </w:r>
      <w:proofErr w:type="gramStart"/>
      <w:r w:rsidR="00A37E47">
        <w:rPr>
          <w:rFonts w:ascii="Arial" w:eastAsia="Times New Roman" w:hAnsi="Arial" w:cs="Arial"/>
          <w:sz w:val="22"/>
          <w:szCs w:val="22"/>
          <w:lang w:eastAsia="en-GB"/>
        </w:rPr>
        <w:t>Foster</w:t>
      </w:r>
      <w:proofErr w:type="gramEnd"/>
      <w:r w:rsidR="00A37E47">
        <w:rPr>
          <w:rFonts w:ascii="Arial" w:eastAsia="Times New Roman" w:hAnsi="Arial" w:cs="Arial"/>
          <w:sz w:val="22"/>
          <w:szCs w:val="22"/>
          <w:lang w:eastAsia="en-GB"/>
        </w:rPr>
        <w:t xml:space="preserve"> states that ‘without symbolism there could be no culture.’</w:t>
      </w:r>
      <w:r w:rsidR="00ED2C08">
        <w:rPr>
          <w:rStyle w:val="FootnoteReference"/>
          <w:rFonts w:eastAsia="Times New Roman" w:cs="Arial"/>
          <w:szCs w:val="22"/>
          <w:lang w:eastAsia="en-GB"/>
        </w:rPr>
        <w:footnoteReference w:id="5"/>
      </w:r>
      <w:r w:rsidR="00A37E47">
        <w:rPr>
          <w:rFonts w:ascii="Arial" w:eastAsia="Times New Roman" w:hAnsi="Arial" w:cs="Arial"/>
          <w:sz w:val="22"/>
          <w:szCs w:val="22"/>
          <w:lang w:eastAsia="en-GB"/>
        </w:rPr>
        <w:t xml:space="preserve"> </w:t>
      </w:r>
      <w:r w:rsidR="00961D77">
        <w:rPr>
          <w:rFonts w:ascii="Arial" w:eastAsia="Times New Roman" w:hAnsi="Arial" w:cs="Arial"/>
          <w:sz w:val="22"/>
          <w:szCs w:val="22"/>
          <w:lang w:eastAsia="en-GB"/>
        </w:rPr>
        <w:t>This</w:t>
      </w:r>
      <w:r w:rsidR="00A37E47">
        <w:rPr>
          <w:rFonts w:ascii="Arial" w:eastAsia="Times New Roman" w:hAnsi="Arial" w:cs="Arial"/>
          <w:sz w:val="22"/>
          <w:szCs w:val="22"/>
          <w:lang w:eastAsia="en-GB"/>
        </w:rPr>
        <w:t xml:space="preserve"> interdependence between </w:t>
      </w:r>
      <w:r w:rsidR="00961D77">
        <w:rPr>
          <w:rFonts w:ascii="Arial" w:eastAsia="Times New Roman" w:hAnsi="Arial" w:cs="Arial"/>
          <w:sz w:val="22"/>
          <w:szCs w:val="22"/>
          <w:lang w:eastAsia="en-GB"/>
        </w:rPr>
        <w:t xml:space="preserve">culture and symbol mean </w:t>
      </w:r>
      <w:r w:rsidR="00A37E47">
        <w:rPr>
          <w:rFonts w:ascii="Arial" w:eastAsia="Times New Roman" w:hAnsi="Arial" w:cs="Arial"/>
          <w:sz w:val="22"/>
          <w:szCs w:val="22"/>
          <w:lang w:eastAsia="en-GB"/>
        </w:rPr>
        <w:t xml:space="preserve">that any exploration of cultural significance </w:t>
      </w:r>
      <w:r w:rsidR="00ED2C08">
        <w:rPr>
          <w:rFonts w:ascii="Arial" w:eastAsia="Times New Roman" w:hAnsi="Arial" w:cs="Arial"/>
          <w:sz w:val="22"/>
          <w:szCs w:val="22"/>
          <w:lang w:eastAsia="en-GB"/>
        </w:rPr>
        <w:t>require</w:t>
      </w:r>
      <w:r w:rsidR="00961D77">
        <w:rPr>
          <w:rFonts w:ascii="Arial" w:eastAsia="Times New Roman" w:hAnsi="Arial" w:cs="Arial"/>
          <w:sz w:val="22"/>
          <w:szCs w:val="22"/>
          <w:lang w:eastAsia="en-GB"/>
        </w:rPr>
        <w:t>s</w:t>
      </w:r>
      <w:r w:rsidR="00ED2C08">
        <w:rPr>
          <w:rFonts w:ascii="Arial" w:eastAsia="Times New Roman" w:hAnsi="Arial" w:cs="Arial"/>
          <w:sz w:val="22"/>
          <w:szCs w:val="22"/>
          <w:lang w:eastAsia="en-GB"/>
        </w:rPr>
        <w:t xml:space="preserve"> an understanding of </w:t>
      </w:r>
      <w:r w:rsidR="008E17B7">
        <w:rPr>
          <w:rFonts w:ascii="Arial" w:eastAsia="Times New Roman" w:hAnsi="Arial" w:cs="Arial"/>
          <w:sz w:val="22"/>
          <w:szCs w:val="22"/>
          <w:lang w:eastAsia="en-GB"/>
        </w:rPr>
        <w:t>the meanings embodied in the symbols used by that culture</w:t>
      </w:r>
      <w:r w:rsidR="00E07DAE">
        <w:rPr>
          <w:rFonts w:ascii="Arial" w:eastAsia="Times New Roman" w:hAnsi="Arial" w:cs="Arial"/>
          <w:sz w:val="22"/>
          <w:szCs w:val="22"/>
          <w:lang w:eastAsia="en-GB"/>
        </w:rPr>
        <w:t>.</w:t>
      </w:r>
      <w:r w:rsidR="008E17B7">
        <w:rPr>
          <w:rFonts w:ascii="Arial" w:eastAsia="Times New Roman" w:hAnsi="Arial" w:cs="Arial"/>
          <w:sz w:val="22"/>
          <w:szCs w:val="22"/>
          <w:lang w:eastAsia="en-GB"/>
        </w:rPr>
        <w:t xml:space="preserve"> </w:t>
      </w:r>
      <w:r w:rsidR="00E07DAE">
        <w:rPr>
          <w:rFonts w:ascii="Arial" w:eastAsia="Times New Roman" w:hAnsi="Arial" w:cs="Arial"/>
          <w:sz w:val="22"/>
          <w:szCs w:val="22"/>
          <w:lang w:eastAsia="en-GB"/>
        </w:rPr>
        <w:t>Symbol here</w:t>
      </w:r>
      <w:r w:rsidR="00CC2174">
        <w:rPr>
          <w:rFonts w:ascii="Arial" w:eastAsia="Times New Roman" w:hAnsi="Arial" w:cs="Arial"/>
          <w:sz w:val="22"/>
          <w:szCs w:val="22"/>
          <w:lang w:eastAsia="en-GB"/>
        </w:rPr>
        <w:t xml:space="preserve"> </w:t>
      </w:r>
      <w:r w:rsidR="00A70A9D">
        <w:rPr>
          <w:rFonts w:ascii="Arial" w:eastAsia="Times New Roman" w:hAnsi="Arial" w:cs="Arial"/>
          <w:sz w:val="22"/>
          <w:szCs w:val="22"/>
          <w:lang w:eastAsia="en-GB"/>
        </w:rPr>
        <w:t>can</w:t>
      </w:r>
      <w:r w:rsidR="00CC2174">
        <w:rPr>
          <w:rFonts w:ascii="Arial" w:eastAsia="Times New Roman" w:hAnsi="Arial" w:cs="Arial"/>
          <w:sz w:val="22"/>
          <w:szCs w:val="22"/>
          <w:lang w:eastAsia="en-GB"/>
        </w:rPr>
        <w:t xml:space="preserve"> be understood as </w:t>
      </w:r>
      <w:r w:rsidR="00961D77">
        <w:rPr>
          <w:rFonts w:ascii="Arial" w:eastAsia="Times New Roman" w:hAnsi="Arial" w:cs="Arial"/>
          <w:sz w:val="22"/>
          <w:szCs w:val="22"/>
          <w:lang w:eastAsia="en-GB"/>
        </w:rPr>
        <w:t>‘a representation that has an intimate, ontological connection with its referent’ as defined by Struck.</w:t>
      </w:r>
      <w:r w:rsidR="00961D77">
        <w:rPr>
          <w:rStyle w:val="FootnoteReference"/>
          <w:rFonts w:eastAsia="Times New Roman" w:cs="Arial"/>
          <w:szCs w:val="22"/>
          <w:lang w:eastAsia="en-GB"/>
        </w:rPr>
        <w:footnoteReference w:id="6"/>
      </w:r>
      <w:r w:rsidR="00961D77">
        <w:rPr>
          <w:rFonts w:ascii="Arial" w:eastAsia="Times New Roman" w:hAnsi="Arial" w:cs="Arial"/>
          <w:sz w:val="22"/>
          <w:szCs w:val="22"/>
          <w:lang w:eastAsia="en-GB"/>
        </w:rPr>
        <w:t xml:space="preserve"> </w:t>
      </w:r>
      <w:r w:rsidR="00A70A9D">
        <w:rPr>
          <w:rFonts w:ascii="Arial" w:eastAsia="Times New Roman" w:hAnsi="Arial" w:cs="Arial"/>
          <w:sz w:val="22"/>
          <w:szCs w:val="22"/>
          <w:lang w:eastAsia="en-GB"/>
        </w:rPr>
        <w:t xml:space="preserve">The transmission of symbol can take many forms, </w:t>
      </w:r>
      <w:r w:rsidR="00B6050E">
        <w:rPr>
          <w:rFonts w:ascii="Arial" w:eastAsia="Times New Roman" w:hAnsi="Arial" w:cs="Arial"/>
          <w:sz w:val="22"/>
          <w:szCs w:val="22"/>
          <w:lang w:eastAsia="en-GB"/>
        </w:rPr>
        <w:t xml:space="preserve">in the example of the decent of Ishtar it takes the form of myth. </w:t>
      </w:r>
      <w:r w:rsidR="0035324B">
        <w:rPr>
          <w:rFonts w:ascii="Arial" w:eastAsia="Times New Roman" w:hAnsi="Arial" w:cs="Arial"/>
          <w:sz w:val="22"/>
          <w:szCs w:val="22"/>
          <w:lang w:eastAsia="en-GB"/>
        </w:rPr>
        <w:t>A notoriously difficult term to define, m</w:t>
      </w:r>
      <w:r w:rsidR="00B6050E">
        <w:rPr>
          <w:rFonts w:ascii="Arial" w:eastAsia="Times New Roman" w:hAnsi="Arial" w:cs="Arial"/>
          <w:sz w:val="22"/>
          <w:szCs w:val="22"/>
          <w:lang w:eastAsia="en-GB"/>
        </w:rPr>
        <w:t xml:space="preserve">yth is perhaps best </w:t>
      </w:r>
      <w:r w:rsidR="0035324B">
        <w:rPr>
          <w:rFonts w:ascii="Arial" w:eastAsia="Times New Roman" w:hAnsi="Arial" w:cs="Arial"/>
          <w:sz w:val="22"/>
          <w:szCs w:val="22"/>
          <w:lang w:eastAsia="en-GB"/>
        </w:rPr>
        <w:t>identified</w:t>
      </w:r>
      <w:r w:rsidR="00B6050E">
        <w:rPr>
          <w:rFonts w:ascii="Arial" w:eastAsia="Times New Roman" w:hAnsi="Arial" w:cs="Arial"/>
          <w:sz w:val="22"/>
          <w:szCs w:val="22"/>
          <w:lang w:eastAsia="en-GB"/>
        </w:rPr>
        <w:t xml:space="preserve"> by its </w:t>
      </w:r>
      <w:r w:rsidR="00A84095">
        <w:rPr>
          <w:rFonts w:ascii="Arial" w:eastAsia="Times New Roman" w:hAnsi="Arial" w:cs="Arial"/>
          <w:sz w:val="22"/>
          <w:szCs w:val="22"/>
          <w:lang w:eastAsia="en-GB"/>
        </w:rPr>
        <w:t>features</w:t>
      </w:r>
      <w:r w:rsidR="00B6050E">
        <w:rPr>
          <w:rFonts w:ascii="Arial" w:eastAsia="Times New Roman" w:hAnsi="Arial" w:cs="Arial"/>
          <w:sz w:val="22"/>
          <w:szCs w:val="22"/>
          <w:lang w:eastAsia="en-GB"/>
        </w:rPr>
        <w:t xml:space="preserve"> which are put forward by Burkert as being ‘it’s suitability for telling and re-telling,’ </w:t>
      </w:r>
      <w:r w:rsidR="0035324B">
        <w:rPr>
          <w:rFonts w:ascii="Arial" w:eastAsia="Times New Roman" w:hAnsi="Arial" w:cs="Arial"/>
          <w:sz w:val="22"/>
          <w:szCs w:val="22"/>
          <w:lang w:eastAsia="en-GB"/>
        </w:rPr>
        <w:t>‘fantastic and paradoxical motifs which return again and again’</w:t>
      </w:r>
      <w:r w:rsidR="00A84095">
        <w:rPr>
          <w:rFonts w:ascii="Arial" w:eastAsia="Times New Roman" w:hAnsi="Arial" w:cs="Arial"/>
          <w:sz w:val="22"/>
          <w:szCs w:val="22"/>
          <w:lang w:eastAsia="en-GB"/>
        </w:rPr>
        <w:t xml:space="preserve"> and its connection to ritual</w:t>
      </w:r>
      <w:r w:rsidR="005F6504">
        <w:rPr>
          <w:rFonts w:ascii="Arial" w:eastAsia="Times New Roman" w:hAnsi="Arial" w:cs="Arial"/>
          <w:sz w:val="22"/>
          <w:szCs w:val="22"/>
          <w:lang w:eastAsia="en-GB"/>
        </w:rPr>
        <w:t>.</w:t>
      </w:r>
      <w:r w:rsidR="0035324B">
        <w:rPr>
          <w:rStyle w:val="FootnoteReference"/>
          <w:rFonts w:eastAsia="Times New Roman" w:cs="Arial"/>
          <w:szCs w:val="22"/>
          <w:lang w:eastAsia="en-GB"/>
        </w:rPr>
        <w:footnoteReference w:id="7"/>
      </w:r>
      <w:r w:rsidR="005F6504">
        <w:rPr>
          <w:rFonts w:ascii="Arial" w:eastAsia="Times New Roman" w:hAnsi="Arial" w:cs="Arial"/>
          <w:sz w:val="22"/>
          <w:szCs w:val="22"/>
          <w:lang w:eastAsia="en-GB"/>
        </w:rPr>
        <w:t xml:space="preserve"> </w:t>
      </w:r>
      <w:r w:rsidR="0035324B">
        <w:rPr>
          <w:rFonts w:ascii="Arial" w:eastAsia="Times New Roman" w:hAnsi="Arial" w:cs="Arial"/>
          <w:sz w:val="22"/>
          <w:szCs w:val="22"/>
          <w:lang w:eastAsia="en-GB"/>
        </w:rPr>
        <w:t xml:space="preserve">This essay will </w:t>
      </w:r>
      <w:r w:rsidR="00FF09CF">
        <w:rPr>
          <w:rFonts w:ascii="Arial" w:eastAsia="Times New Roman" w:hAnsi="Arial" w:cs="Arial"/>
          <w:sz w:val="22"/>
          <w:szCs w:val="22"/>
          <w:lang w:eastAsia="en-GB"/>
        </w:rPr>
        <w:t>therefore</w:t>
      </w:r>
      <w:r w:rsidR="00E330AD">
        <w:rPr>
          <w:rFonts w:ascii="Arial" w:eastAsia="Times New Roman" w:hAnsi="Arial" w:cs="Arial"/>
          <w:sz w:val="22"/>
          <w:szCs w:val="22"/>
          <w:lang w:eastAsia="en-GB"/>
        </w:rPr>
        <w:t xml:space="preserve"> </w:t>
      </w:r>
      <w:r w:rsidR="0035324B">
        <w:rPr>
          <w:rFonts w:ascii="Arial" w:eastAsia="Times New Roman" w:hAnsi="Arial" w:cs="Arial"/>
          <w:sz w:val="22"/>
          <w:szCs w:val="22"/>
          <w:lang w:eastAsia="en-GB"/>
        </w:rPr>
        <w:t xml:space="preserve">analyse </w:t>
      </w:r>
      <w:r w:rsidR="00C217DD">
        <w:rPr>
          <w:rFonts w:ascii="Arial" w:eastAsia="Times New Roman" w:hAnsi="Arial" w:cs="Arial"/>
          <w:sz w:val="22"/>
          <w:szCs w:val="22"/>
          <w:lang w:eastAsia="en-GB"/>
        </w:rPr>
        <w:t xml:space="preserve">and compare </w:t>
      </w:r>
      <w:r w:rsidR="0035324B">
        <w:rPr>
          <w:rFonts w:ascii="Arial" w:eastAsia="Times New Roman" w:hAnsi="Arial" w:cs="Arial"/>
          <w:sz w:val="22"/>
          <w:szCs w:val="22"/>
          <w:lang w:eastAsia="en-GB"/>
        </w:rPr>
        <w:t xml:space="preserve">the myth of the decent of Ishtar </w:t>
      </w:r>
      <w:r w:rsidR="00C217DD">
        <w:rPr>
          <w:rFonts w:ascii="Arial" w:eastAsia="Times New Roman" w:hAnsi="Arial" w:cs="Arial"/>
          <w:sz w:val="22"/>
          <w:szCs w:val="22"/>
          <w:lang w:eastAsia="en-GB"/>
        </w:rPr>
        <w:t xml:space="preserve">with the fall of Gandalf from the </w:t>
      </w:r>
      <w:r w:rsidR="00C217DD" w:rsidRPr="00F95F70">
        <w:rPr>
          <w:rFonts w:ascii="Arial" w:eastAsia="Times New Roman" w:hAnsi="Arial" w:cs="Arial"/>
          <w:i/>
          <w:iCs/>
          <w:sz w:val="22"/>
          <w:szCs w:val="22"/>
          <w:lang w:eastAsia="en-GB"/>
        </w:rPr>
        <w:t>Lord of the Rings</w:t>
      </w:r>
      <w:r w:rsidR="00C217DD">
        <w:rPr>
          <w:rFonts w:ascii="Arial" w:eastAsia="Times New Roman" w:hAnsi="Arial" w:cs="Arial"/>
          <w:sz w:val="22"/>
          <w:szCs w:val="22"/>
          <w:lang w:eastAsia="en-GB"/>
        </w:rPr>
        <w:t xml:space="preserve"> </w:t>
      </w:r>
      <w:r w:rsidR="0035324B">
        <w:rPr>
          <w:rFonts w:ascii="Arial" w:eastAsia="Times New Roman" w:hAnsi="Arial" w:cs="Arial"/>
          <w:sz w:val="22"/>
          <w:szCs w:val="22"/>
          <w:lang w:eastAsia="en-GB"/>
        </w:rPr>
        <w:t xml:space="preserve">within </w:t>
      </w:r>
      <w:r w:rsidR="00C217DD">
        <w:rPr>
          <w:rFonts w:ascii="Arial" w:eastAsia="Times New Roman" w:hAnsi="Arial" w:cs="Arial"/>
          <w:sz w:val="22"/>
          <w:szCs w:val="22"/>
          <w:lang w:eastAsia="en-GB"/>
        </w:rPr>
        <w:t>their respective</w:t>
      </w:r>
      <w:r w:rsidR="0035324B">
        <w:rPr>
          <w:rFonts w:ascii="Arial" w:eastAsia="Times New Roman" w:hAnsi="Arial" w:cs="Arial"/>
          <w:sz w:val="22"/>
          <w:szCs w:val="22"/>
          <w:lang w:eastAsia="en-GB"/>
        </w:rPr>
        <w:t xml:space="preserve"> cultural context</w:t>
      </w:r>
      <w:r w:rsidR="00C217DD">
        <w:rPr>
          <w:rFonts w:ascii="Arial" w:eastAsia="Times New Roman" w:hAnsi="Arial" w:cs="Arial"/>
          <w:sz w:val="22"/>
          <w:szCs w:val="22"/>
          <w:lang w:eastAsia="en-GB"/>
        </w:rPr>
        <w:t>s</w:t>
      </w:r>
      <w:r w:rsidR="0035324B">
        <w:rPr>
          <w:rFonts w:ascii="Arial" w:eastAsia="Times New Roman" w:hAnsi="Arial" w:cs="Arial"/>
          <w:sz w:val="22"/>
          <w:szCs w:val="22"/>
          <w:lang w:eastAsia="en-GB"/>
        </w:rPr>
        <w:t xml:space="preserve">, </w:t>
      </w:r>
      <w:r w:rsidR="00A60814">
        <w:rPr>
          <w:rFonts w:ascii="Arial" w:eastAsia="Times New Roman" w:hAnsi="Arial" w:cs="Arial"/>
          <w:sz w:val="22"/>
          <w:szCs w:val="22"/>
          <w:lang w:eastAsia="en-GB"/>
        </w:rPr>
        <w:t>seeking to understand</w:t>
      </w:r>
      <w:r w:rsidR="0035324B">
        <w:rPr>
          <w:rFonts w:ascii="Arial" w:eastAsia="Times New Roman" w:hAnsi="Arial" w:cs="Arial"/>
          <w:sz w:val="22"/>
          <w:szCs w:val="22"/>
          <w:lang w:eastAsia="en-GB"/>
        </w:rPr>
        <w:t xml:space="preserve"> </w:t>
      </w:r>
      <w:r w:rsidR="00A60814">
        <w:rPr>
          <w:rFonts w:ascii="Arial" w:eastAsia="Times New Roman" w:hAnsi="Arial" w:cs="Arial"/>
          <w:sz w:val="22"/>
          <w:szCs w:val="22"/>
          <w:lang w:eastAsia="en-GB"/>
        </w:rPr>
        <w:t xml:space="preserve">the </w:t>
      </w:r>
      <w:r w:rsidR="00F95F70">
        <w:rPr>
          <w:rFonts w:ascii="Arial" w:eastAsia="Times New Roman" w:hAnsi="Arial" w:cs="Arial"/>
          <w:sz w:val="22"/>
          <w:szCs w:val="22"/>
          <w:lang w:eastAsia="en-GB"/>
        </w:rPr>
        <w:t xml:space="preserve">ontological </w:t>
      </w:r>
      <w:r w:rsidR="00A60814">
        <w:rPr>
          <w:rFonts w:ascii="Arial" w:eastAsia="Times New Roman" w:hAnsi="Arial" w:cs="Arial"/>
          <w:sz w:val="22"/>
          <w:szCs w:val="22"/>
          <w:lang w:eastAsia="en-GB"/>
        </w:rPr>
        <w:t xml:space="preserve">meaning of symbols contained within </w:t>
      </w:r>
      <w:r w:rsidR="00C217DD">
        <w:rPr>
          <w:rFonts w:ascii="Arial" w:eastAsia="Times New Roman" w:hAnsi="Arial" w:cs="Arial"/>
          <w:sz w:val="22"/>
          <w:szCs w:val="22"/>
          <w:lang w:eastAsia="en-GB"/>
        </w:rPr>
        <w:t>them</w:t>
      </w:r>
      <w:r w:rsidR="00F95F70">
        <w:rPr>
          <w:rFonts w:ascii="Arial" w:eastAsia="Times New Roman" w:hAnsi="Arial" w:cs="Arial"/>
          <w:sz w:val="22"/>
          <w:szCs w:val="22"/>
          <w:lang w:eastAsia="en-GB"/>
        </w:rPr>
        <w:t xml:space="preserve">. Should </w:t>
      </w:r>
      <w:proofErr w:type="gramStart"/>
      <w:r w:rsidR="00F95F70">
        <w:rPr>
          <w:rFonts w:ascii="Arial" w:eastAsia="Times New Roman" w:hAnsi="Arial" w:cs="Arial"/>
          <w:sz w:val="22"/>
          <w:szCs w:val="22"/>
          <w:lang w:eastAsia="en-GB"/>
        </w:rPr>
        <w:t>consistent</w:t>
      </w:r>
      <w:proofErr w:type="gramEnd"/>
      <w:r w:rsidR="00F95F70">
        <w:rPr>
          <w:rFonts w:ascii="Arial" w:eastAsia="Times New Roman" w:hAnsi="Arial" w:cs="Arial"/>
          <w:sz w:val="22"/>
          <w:szCs w:val="22"/>
          <w:lang w:eastAsia="en-GB"/>
        </w:rPr>
        <w:t xml:space="preserve"> themes </w:t>
      </w:r>
      <w:r w:rsidR="00E46659">
        <w:rPr>
          <w:rFonts w:ascii="Arial" w:eastAsia="Times New Roman" w:hAnsi="Arial" w:cs="Arial"/>
          <w:sz w:val="22"/>
          <w:szCs w:val="22"/>
          <w:lang w:eastAsia="en-GB"/>
        </w:rPr>
        <w:t xml:space="preserve">and motifs </w:t>
      </w:r>
      <w:r w:rsidR="00F95F70">
        <w:rPr>
          <w:rFonts w:ascii="Arial" w:eastAsia="Times New Roman" w:hAnsi="Arial" w:cs="Arial"/>
          <w:sz w:val="22"/>
          <w:szCs w:val="22"/>
          <w:lang w:eastAsia="en-GB"/>
        </w:rPr>
        <w:t>be identified it would</w:t>
      </w:r>
      <w:r w:rsidR="00932BD3">
        <w:rPr>
          <w:rFonts w:ascii="Arial" w:eastAsia="Times New Roman" w:hAnsi="Arial" w:cs="Arial"/>
          <w:sz w:val="22"/>
          <w:szCs w:val="22"/>
          <w:lang w:eastAsia="en-GB"/>
        </w:rPr>
        <w:t xml:space="preserve"> </w:t>
      </w:r>
      <w:r w:rsidR="00FF09CF">
        <w:rPr>
          <w:rFonts w:ascii="Arial" w:eastAsia="Times New Roman" w:hAnsi="Arial" w:cs="Arial"/>
          <w:sz w:val="22"/>
          <w:szCs w:val="22"/>
          <w:lang w:eastAsia="en-GB"/>
        </w:rPr>
        <w:t xml:space="preserve">enable an understanding of the influence of the </w:t>
      </w:r>
      <w:r w:rsidR="00E94A8E">
        <w:rPr>
          <w:rFonts w:ascii="Arial" w:eastAsia="Times New Roman" w:hAnsi="Arial" w:cs="Arial"/>
          <w:sz w:val="22"/>
          <w:szCs w:val="22"/>
          <w:lang w:eastAsia="en-GB"/>
        </w:rPr>
        <w:t xml:space="preserve">Ishtar </w:t>
      </w:r>
      <w:r w:rsidR="00FF09CF">
        <w:rPr>
          <w:rFonts w:ascii="Arial" w:eastAsia="Times New Roman" w:hAnsi="Arial" w:cs="Arial"/>
          <w:sz w:val="22"/>
          <w:szCs w:val="22"/>
          <w:lang w:eastAsia="en-GB"/>
        </w:rPr>
        <w:t xml:space="preserve">myth </w:t>
      </w:r>
      <w:r w:rsidR="00E07DAE">
        <w:rPr>
          <w:rFonts w:ascii="Arial" w:eastAsia="Times New Roman" w:hAnsi="Arial" w:cs="Arial"/>
          <w:sz w:val="22"/>
          <w:szCs w:val="22"/>
          <w:lang w:eastAsia="en-GB"/>
        </w:rPr>
        <w:t xml:space="preserve">in </w:t>
      </w:r>
      <w:r w:rsidR="00C217DD">
        <w:rPr>
          <w:rFonts w:ascii="Arial" w:eastAsia="Times New Roman" w:hAnsi="Arial" w:cs="Arial"/>
          <w:sz w:val="22"/>
          <w:szCs w:val="22"/>
          <w:lang w:eastAsia="en-GB"/>
        </w:rPr>
        <w:t>Tolkien’s</w:t>
      </w:r>
      <w:r w:rsidR="00FF09CF">
        <w:rPr>
          <w:rFonts w:ascii="Arial" w:eastAsia="Times New Roman" w:hAnsi="Arial" w:cs="Arial"/>
          <w:sz w:val="22"/>
          <w:szCs w:val="22"/>
          <w:lang w:eastAsia="en-GB"/>
        </w:rPr>
        <w:t xml:space="preserve"> writing, and </w:t>
      </w:r>
      <w:r w:rsidR="008B0DDB">
        <w:rPr>
          <w:rFonts w:ascii="Arial" w:eastAsia="Times New Roman" w:hAnsi="Arial" w:cs="Arial"/>
          <w:sz w:val="22"/>
          <w:szCs w:val="22"/>
          <w:lang w:eastAsia="en-GB"/>
        </w:rPr>
        <w:t xml:space="preserve">allow </w:t>
      </w:r>
      <w:r w:rsidR="00FF09CF">
        <w:rPr>
          <w:rFonts w:ascii="Arial" w:eastAsia="Times New Roman" w:hAnsi="Arial" w:cs="Arial"/>
          <w:sz w:val="22"/>
          <w:szCs w:val="22"/>
          <w:lang w:eastAsia="en-GB"/>
        </w:rPr>
        <w:t xml:space="preserve">an assessment to be made </w:t>
      </w:r>
      <w:r w:rsidR="00A24A8B">
        <w:rPr>
          <w:rFonts w:ascii="Arial" w:eastAsia="Times New Roman" w:hAnsi="Arial" w:cs="Arial"/>
          <w:sz w:val="22"/>
          <w:szCs w:val="22"/>
          <w:lang w:eastAsia="en-GB"/>
        </w:rPr>
        <w:t>as to</w:t>
      </w:r>
      <w:r w:rsidR="00FF09CF">
        <w:rPr>
          <w:rFonts w:ascii="Arial" w:eastAsia="Times New Roman" w:hAnsi="Arial" w:cs="Arial"/>
          <w:sz w:val="22"/>
          <w:szCs w:val="22"/>
          <w:lang w:eastAsia="en-GB"/>
        </w:rPr>
        <w:t xml:space="preserve"> the cultural significance of the myth </w:t>
      </w:r>
      <w:r w:rsidR="00072563">
        <w:rPr>
          <w:rFonts w:ascii="Arial" w:eastAsia="Times New Roman" w:hAnsi="Arial" w:cs="Arial"/>
          <w:sz w:val="22"/>
          <w:szCs w:val="22"/>
          <w:lang w:eastAsia="en-GB"/>
        </w:rPr>
        <w:t>with</w:t>
      </w:r>
      <w:r w:rsidR="00FF09CF">
        <w:rPr>
          <w:rFonts w:ascii="Arial" w:eastAsia="Times New Roman" w:hAnsi="Arial" w:cs="Arial"/>
          <w:sz w:val="22"/>
          <w:szCs w:val="22"/>
          <w:lang w:eastAsia="en-GB"/>
        </w:rPr>
        <w:t>in contemporary society.</w:t>
      </w:r>
    </w:p>
    <w:p w14:paraId="63AE0ACB" w14:textId="77777777" w:rsidR="00A24A8B" w:rsidRDefault="00A24A8B" w:rsidP="00742627">
      <w:pPr>
        <w:rPr>
          <w:rFonts w:ascii="Arial" w:eastAsia="Times New Roman" w:hAnsi="Arial" w:cs="Arial"/>
          <w:sz w:val="22"/>
          <w:szCs w:val="22"/>
          <w:lang w:eastAsia="en-GB"/>
        </w:rPr>
      </w:pPr>
    </w:p>
    <w:p w14:paraId="05D178FD" w14:textId="77777777" w:rsidR="00C72B7A" w:rsidRDefault="00C72B7A" w:rsidP="00742627">
      <w:pPr>
        <w:rPr>
          <w:rFonts w:ascii="Arial" w:eastAsia="Times New Roman" w:hAnsi="Arial" w:cs="Arial"/>
          <w:sz w:val="22"/>
          <w:szCs w:val="22"/>
          <w:lang w:eastAsia="en-GB"/>
        </w:rPr>
      </w:pPr>
    </w:p>
    <w:p w14:paraId="61CF4DFF" w14:textId="2A5F59A8" w:rsidR="003047E2" w:rsidRPr="003047E2" w:rsidRDefault="003047E2" w:rsidP="00742627">
      <w:pPr>
        <w:rPr>
          <w:rFonts w:ascii="Arial" w:eastAsia="Times New Roman" w:hAnsi="Arial" w:cs="Arial"/>
          <w:b/>
          <w:bCs/>
          <w:sz w:val="22"/>
          <w:szCs w:val="22"/>
          <w:lang w:eastAsia="en-GB"/>
        </w:rPr>
      </w:pPr>
      <w:r w:rsidRPr="003047E2">
        <w:rPr>
          <w:rFonts w:ascii="Arial" w:eastAsia="Times New Roman" w:hAnsi="Arial" w:cs="Arial"/>
          <w:b/>
          <w:bCs/>
          <w:sz w:val="22"/>
          <w:szCs w:val="22"/>
          <w:lang w:eastAsia="en-GB"/>
        </w:rPr>
        <w:t>CONTEXT AND NARRATIVE</w:t>
      </w:r>
    </w:p>
    <w:p w14:paraId="57D6BF5B" w14:textId="77777777" w:rsidR="003047E2" w:rsidRDefault="003047E2" w:rsidP="00742627">
      <w:pPr>
        <w:rPr>
          <w:rFonts w:ascii="Arial" w:eastAsia="Times New Roman" w:hAnsi="Arial" w:cs="Arial"/>
          <w:sz w:val="22"/>
          <w:szCs w:val="22"/>
          <w:lang w:eastAsia="en-GB"/>
        </w:rPr>
      </w:pPr>
    </w:p>
    <w:p w14:paraId="64DE1759" w14:textId="50DDEA24" w:rsidR="003047E2" w:rsidRPr="003047E2" w:rsidRDefault="00852C9A" w:rsidP="00742627">
      <w:pPr>
        <w:rPr>
          <w:rFonts w:ascii="Arial" w:eastAsia="Times New Roman" w:hAnsi="Arial" w:cs="Arial"/>
          <w:b/>
          <w:bCs/>
          <w:sz w:val="22"/>
          <w:szCs w:val="22"/>
          <w:lang w:eastAsia="en-GB"/>
        </w:rPr>
      </w:pPr>
      <w:r>
        <w:rPr>
          <w:rFonts w:ascii="Arial" w:eastAsia="Times New Roman" w:hAnsi="Arial" w:cs="Arial"/>
          <w:b/>
          <w:bCs/>
          <w:sz w:val="22"/>
          <w:szCs w:val="22"/>
          <w:lang w:eastAsia="en-GB"/>
        </w:rPr>
        <w:t>The Decent of Ishtar</w:t>
      </w:r>
    </w:p>
    <w:p w14:paraId="0B3CD3B7" w14:textId="77777777" w:rsidR="003047E2" w:rsidRDefault="003047E2" w:rsidP="00742627">
      <w:pPr>
        <w:rPr>
          <w:rFonts w:ascii="Arial" w:eastAsia="Times New Roman" w:hAnsi="Arial" w:cs="Arial"/>
          <w:sz w:val="22"/>
          <w:szCs w:val="22"/>
          <w:lang w:eastAsia="en-GB"/>
        </w:rPr>
      </w:pPr>
    </w:p>
    <w:p w14:paraId="73FD12FA" w14:textId="35895B12" w:rsidR="00570B57" w:rsidRDefault="002E2C10" w:rsidP="00742627">
      <w:pPr>
        <w:rPr>
          <w:rFonts w:ascii="Arial" w:eastAsia="Times New Roman" w:hAnsi="Arial" w:cs="Arial"/>
          <w:sz w:val="22"/>
          <w:szCs w:val="22"/>
          <w:lang w:eastAsia="en-GB"/>
        </w:rPr>
      </w:pPr>
      <w:r>
        <w:rPr>
          <w:rFonts w:ascii="Arial" w:eastAsia="Times New Roman" w:hAnsi="Arial" w:cs="Arial"/>
          <w:sz w:val="22"/>
          <w:szCs w:val="22"/>
          <w:lang w:eastAsia="en-GB"/>
        </w:rPr>
        <w:t xml:space="preserve">The Akkadian </w:t>
      </w:r>
      <w:r w:rsidR="004814AE">
        <w:rPr>
          <w:rFonts w:ascii="Arial" w:eastAsia="Times New Roman" w:hAnsi="Arial" w:cs="Arial"/>
          <w:sz w:val="22"/>
          <w:szCs w:val="22"/>
          <w:lang w:eastAsia="en-GB"/>
        </w:rPr>
        <w:t xml:space="preserve">Ishtar is </w:t>
      </w:r>
      <w:r>
        <w:rPr>
          <w:rFonts w:ascii="Arial" w:eastAsia="Times New Roman" w:hAnsi="Arial" w:cs="Arial"/>
          <w:sz w:val="22"/>
          <w:szCs w:val="22"/>
          <w:lang w:eastAsia="en-GB"/>
        </w:rPr>
        <w:t>a complex character but on simple terms is described by Harris as ‘</w:t>
      </w:r>
      <w:r w:rsidRPr="002E2C10">
        <w:rPr>
          <w:rFonts w:ascii="Arial" w:eastAsia="Times New Roman" w:hAnsi="Arial" w:cs="Arial"/>
          <w:sz w:val="22"/>
          <w:szCs w:val="22"/>
          <w:lang w:eastAsia="en-GB"/>
        </w:rPr>
        <w:t>the goddess of fertility, of love and war, and the Venus star.</w:t>
      </w:r>
      <w:r>
        <w:rPr>
          <w:rFonts w:ascii="Arial" w:eastAsia="Times New Roman" w:hAnsi="Arial" w:cs="Arial"/>
          <w:sz w:val="22"/>
          <w:szCs w:val="22"/>
          <w:lang w:eastAsia="en-GB"/>
        </w:rPr>
        <w:t>’</w:t>
      </w:r>
      <w:r w:rsidRPr="002E2C10">
        <w:rPr>
          <w:rStyle w:val="FootnoteReference"/>
          <w:rFonts w:eastAsia="Times New Roman" w:cs="Arial"/>
          <w:szCs w:val="22"/>
          <w:lang w:eastAsia="en-GB"/>
        </w:rPr>
        <w:t xml:space="preserve"> </w:t>
      </w:r>
      <w:r>
        <w:rPr>
          <w:rStyle w:val="FootnoteReference"/>
          <w:rFonts w:eastAsia="Times New Roman" w:cs="Arial"/>
          <w:szCs w:val="22"/>
          <w:lang w:eastAsia="en-GB"/>
        </w:rPr>
        <w:footnoteReference w:id="8"/>
      </w:r>
      <w:r>
        <w:rPr>
          <w:rFonts w:ascii="Arial" w:eastAsia="Times New Roman" w:hAnsi="Arial" w:cs="Arial"/>
          <w:sz w:val="22"/>
          <w:szCs w:val="22"/>
          <w:lang w:eastAsia="en-GB"/>
        </w:rPr>
        <w:t xml:space="preserve"> </w:t>
      </w:r>
      <w:r w:rsidR="00A614D2">
        <w:rPr>
          <w:rFonts w:ascii="Arial" w:eastAsia="Times New Roman" w:hAnsi="Arial" w:cs="Arial"/>
          <w:sz w:val="22"/>
          <w:szCs w:val="22"/>
          <w:lang w:eastAsia="en-GB"/>
        </w:rPr>
        <w:t xml:space="preserve">The myth </w:t>
      </w:r>
      <w:r w:rsidR="008E15F1">
        <w:rPr>
          <w:rFonts w:ascii="Arial" w:eastAsia="Times New Roman" w:hAnsi="Arial" w:cs="Arial"/>
          <w:sz w:val="22"/>
          <w:szCs w:val="22"/>
          <w:lang w:eastAsia="en-GB"/>
        </w:rPr>
        <w:t xml:space="preserve">of </w:t>
      </w:r>
      <w:r w:rsidR="00433A09">
        <w:rPr>
          <w:rFonts w:ascii="Arial" w:eastAsia="Times New Roman" w:hAnsi="Arial" w:cs="Arial"/>
          <w:sz w:val="22"/>
          <w:szCs w:val="22"/>
          <w:lang w:eastAsia="en-GB"/>
        </w:rPr>
        <w:t>her</w:t>
      </w:r>
      <w:r w:rsidR="008E15F1">
        <w:rPr>
          <w:rFonts w:ascii="Arial" w:eastAsia="Times New Roman" w:hAnsi="Arial" w:cs="Arial"/>
          <w:sz w:val="22"/>
          <w:szCs w:val="22"/>
          <w:lang w:eastAsia="en-GB"/>
        </w:rPr>
        <w:t xml:space="preserve"> decent </w:t>
      </w:r>
      <w:r w:rsidR="00A614D2">
        <w:rPr>
          <w:rFonts w:ascii="Arial" w:eastAsia="Times New Roman" w:hAnsi="Arial" w:cs="Arial"/>
          <w:sz w:val="22"/>
          <w:szCs w:val="22"/>
          <w:lang w:eastAsia="en-GB"/>
        </w:rPr>
        <w:t xml:space="preserve">comes from </w:t>
      </w:r>
      <w:r w:rsidR="00213263">
        <w:rPr>
          <w:rFonts w:ascii="Arial" w:eastAsia="Times New Roman" w:hAnsi="Arial" w:cs="Arial"/>
          <w:sz w:val="22"/>
          <w:szCs w:val="22"/>
          <w:lang w:eastAsia="en-GB"/>
        </w:rPr>
        <w:lastRenderedPageBreak/>
        <w:t>clay tablets found in Nineveh and Assur in the 1860s</w:t>
      </w:r>
      <w:r w:rsidR="0088141A">
        <w:rPr>
          <w:rFonts w:ascii="Arial" w:eastAsia="Times New Roman" w:hAnsi="Arial" w:cs="Arial"/>
          <w:sz w:val="22"/>
          <w:szCs w:val="22"/>
          <w:lang w:eastAsia="en-GB"/>
        </w:rPr>
        <w:t xml:space="preserve"> and dated to </w:t>
      </w:r>
      <w:r w:rsidR="00213263">
        <w:rPr>
          <w:rFonts w:ascii="Arial" w:eastAsia="Times New Roman" w:hAnsi="Arial" w:cs="Arial"/>
          <w:sz w:val="22"/>
          <w:szCs w:val="22"/>
          <w:lang w:eastAsia="en-GB"/>
        </w:rPr>
        <w:t>as early as 1600BCE.</w:t>
      </w:r>
      <w:r w:rsidR="004D1D78">
        <w:rPr>
          <w:rStyle w:val="FootnoteReference"/>
          <w:rFonts w:eastAsia="Times New Roman" w:cs="Arial"/>
          <w:szCs w:val="22"/>
          <w:lang w:eastAsia="en-GB"/>
        </w:rPr>
        <w:footnoteReference w:id="9"/>
      </w:r>
      <w:r w:rsidR="00053453">
        <w:rPr>
          <w:rFonts w:ascii="Arial" w:eastAsia="Times New Roman" w:hAnsi="Arial" w:cs="Arial"/>
          <w:sz w:val="22"/>
          <w:szCs w:val="22"/>
          <w:lang w:eastAsia="en-GB"/>
        </w:rPr>
        <w:t xml:space="preserve"> </w:t>
      </w:r>
      <w:r w:rsidR="008950C8">
        <w:rPr>
          <w:rFonts w:ascii="Arial" w:eastAsia="Times New Roman" w:hAnsi="Arial" w:cs="Arial"/>
          <w:sz w:val="22"/>
          <w:szCs w:val="22"/>
          <w:lang w:eastAsia="en-GB"/>
        </w:rPr>
        <w:t xml:space="preserve">This essay will consider the </w:t>
      </w:r>
      <w:proofErr w:type="spellStart"/>
      <w:r w:rsidR="008950C8">
        <w:rPr>
          <w:rFonts w:ascii="Arial" w:eastAsia="Times New Roman" w:hAnsi="Arial" w:cs="Arial"/>
          <w:sz w:val="22"/>
          <w:szCs w:val="22"/>
          <w:lang w:eastAsia="en-GB"/>
        </w:rPr>
        <w:t>Speiser</w:t>
      </w:r>
      <w:proofErr w:type="spellEnd"/>
      <w:r w:rsidR="008950C8">
        <w:rPr>
          <w:rFonts w:ascii="Arial" w:eastAsia="Times New Roman" w:hAnsi="Arial" w:cs="Arial"/>
          <w:sz w:val="22"/>
          <w:szCs w:val="22"/>
          <w:lang w:eastAsia="en-GB"/>
        </w:rPr>
        <w:t xml:space="preserve"> translation of </w:t>
      </w:r>
      <w:r>
        <w:rPr>
          <w:rFonts w:ascii="Arial" w:eastAsia="Times New Roman" w:hAnsi="Arial" w:cs="Arial"/>
          <w:sz w:val="22"/>
          <w:szCs w:val="22"/>
          <w:lang w:eastAsia="en-GB"/>
        </w:rPr>
        <w:t>this text</w:t>
      </w:r>
      <w:r w:rsidR="006D54FF">
        <w:rPr>
          <w:rStyle w:val="FootnoteReference"/>
          <w:rFonts w:eastAsia="Times New Roman" w:cs="Arial"/>
          <w:szCs w:val="22"/>
          <w:lang w:eastAsia="en-GB"/>
        </w:rPr>
        <w:footnoteReference w:id="10"/>
      </w:r>
      <w:r w:rsidR="00C54A29">
        <w:rPr>
          <w:rFonts w:ascii="Arial" w:eastAsia="Times New Roman" w:hAnsi="Arial" w:cs="Arial"/>
          <w:sz w:val="22"/>
          <w:szCs w:val="22"/>
          <w:lang w:eastAsia="en-GB"/>
        </w:rPr>
        <w:t xml:space="preserve"> </w:t>
      </w:r>
      <w:r w:rsidR="00433A09">
        <w:rPr>
          <w:rFonts w:ascii="Arial" w:eastAsia="Times New Roman" w:hAnsi="Arial" w:cs="Arial"/>
          <w:sz w:val="22"/>
          <w:szCs w:val="22"/>
          <w:lang w:eastAsia="en-GB"/>
        </w:rPr>
        <w:t>which</w:t>
      </w:r>
      <w:r w:rsidR="003633F1">
        <w:rPr>
          <w:rFonts w:ascii="Arial" w:eastAsia="Times New Roman" w:hAnsi="Arial" w:cs="Arial"/>
          <w:sz w:val="22"/>
          <w:szCs w:val="22"/>
          <w:lang w:eastAsia="en-GB"/>
        </w:rPr>
        <w:t xml:space="preserve"> opens with a description of the </w:t>
      </w:r>
      <w:r w:rsidR="000079BA">
        <w:rPr>
          <w:rFonts w:ascii="Arial" w:eastAsia="Times New Roman" w:hAnsi="Arial" w:cs="Arial"/>
          <w:sz w:val="22"/>
          <w:szCs w:val="22"/>
          <w:lang w:eastAsia="en-GB"/>
        </w:rPr>
        <w:t>N</w:t>
      </w:r>
      <w:r w:rsidR="003633F1">
        <w:rPr>
          <w:rFonts w:ascii="Arial" w:eastAsia="Times New Roman" w:hAnsi="Arial" w:cs="Arial"/>
          <w:sz w:val="22"/>
          <w:szCs w:val="22"/>
          <w:lang w:eastAsia="en-GB"/>
        </w:rPr>
        <w:t xml:space="preserve">ether </w:t>
      </w:r>
      <w:r w:rsidR="000079BA">
        <w:rPr>
          <w:rFonts w:ascii="Arial" w:eastAsia="Times New Roman" w:hAnsi="Arial" w:cs="Arial"/>
          <w:sz w:val="22"/>
          <w:szCs w:val="22"/>
          <w:lang w:eastAsia="en-GB"/>
        </w:rPr>
        <w:t>W</w:t>
      </w:r>
      <w:r w:rsidR="003633F1">
        <w:rPr>
          <w:rFonts w:ascii="Arial" w:eastAsia="Times New Roman" w:hAnsi="Arial" w:cs="Arial"/>
          <w:sz w:val="22"/>
          <w:szCs w:val="22"/>
          <w:lang w:eastAsia="en-GB"/>
        </w:rPr>
        <w:t xml:space="preserve">orld before </w:t>
      </w:r>
      <w:r w:rsidR="007A37B8">
        <w:rPr>
          <w:rFonts w:ascii="Arial" w:eastAsia="Times New Roman" w:hAnsi="Arial" w:cs="Arial"/>
          <w:sz w:val="22"/>
          <w:szCs w:val="22"/>
          <w:lang w:eastAsia="en-GB"/>
        </w:rPr>
        <w:t xml:space="preserve">the arrival of </w:t>
      </w:r>
      <w:r w:rsidR="003633F1">
        <w:rPr>
          <w:rFonts w:ascii="Arial" w:eastAsia="Times New Roman" w:hAnsi="Arial" w:cs="Arial"/>
          <w:sz w:val="22"/>
          <w:szCs w:val="22"/>
          <w:lang w:eastAsia="en-GB"/>
        </w:rPr>
        <w:t xml:space="preserve">Ishtar at its gates </w:t>
      </w:r>
      <w:r w:rsidR="004A01CD">
        <w:rPr>
          <w:rFonts w:ascii="Arial" w:eastAsia="Times New Roman" w:hAnsi="Arial" w:cs="Arial"/>
          <w:sz w:val="22"/>
          <w:szCs w:val="22"/>
          <w:lang w:eastAsia="en-GB"/>
        </w:rPr>
        <w:t>requesting entry. Ereshkigal,</w:t>
      </w:r>
      <w:r w:rsidR="003633F1">
        <w:rPr>
          <w:rFonts w:ascii="Arial" w:eastAsia="Times New Roman" w:hAnsi="Arial" w:cs="Arial"/>
          <w:sz w:val="22"/>
          <w:szCs w:val="22"/>
          <w:lang w:eastAsia="en-GB"/>
        </w:rPr>
        <w:t xml:space="preserve"> </w:t>
      </w:r>
      <w:r w:rsidR="00CE7457">
        <w:rPr>
          <w:rFonts w:ascii="Arial" w:eastAsia="Times New Roman" w:hAnsi="Arial" w:cs="Arial"/>
          <w:sz w:val="22"/>
          <w:szCs w:val="22"/>
          <w:lang w:eastAsia="en-GB"/>
        </w:rPr>
        <w:t xml:space="preserve">Queen </w:t>
      </w:r>
      <w:r w:rsidR="004A01CD">
        <w:rPr>
          <w:rFonts w:ascii="Arial" w:eastAsia="Times New Roman" w:hAnsi="Arial" w:cs="Arial"/>
          <w:sz w:val="22"/>
          <w:szCs w:val="22"/>
          <w:lang w:eastAsia="en-GB"/>
        </w:rPr>
        <w:t>of the underworld</w:t>
      </w:r>
      <w:r w:rsidR="004167F7">
        <w:rPr>
          <w:rFonts w:ascii="Arial" w:eastAsia="Times New Roman" w:hAnsi="Arial" w:cs="Arial"/>
          <w:sz w:val="22"/>
          <w:szCs w:val="22"/>
          <w:lang w:eastAsia="en-GB"/>
        </w:rPr>
        <w:t>,</w:t>
      </w:r>
      <w:r w:rsidR="004A01CD">
        <w:rPr>
          <w:rFonts w:ascii="Arial" w:eastAsia="Times New Roman" w:hAnsi="Arial" w:cs="Arial"/>
          <w:sz w:val="22"/>
          <w:szCs w:val="22"/>
          <w:lang w:eastAsia="en-GB"/>
        </w:rPr>
        <w:t xml:space="preserve"> fears that </w:t>
      </w:r>
      <w:r w:rsidR="00CE7457">
        <w:rPr>
          <w:rFonts w:ascii="Arial" w:eastAsia="Times New Roman" w:hAnsi="Arial" w:cs="Arial"/>
          <w:sz w:val="22"/>
          <w:szCs w:val="22"/>
          <w:lang w:eastAsia="en-GB"/>
        </w:rPr>
        <w:t xml:space="preserve">Ishtar will liberate </w:t>
      </w:r>
      <w:r w:rsidR="000079BA">
        <w:rPr>
          <w:rFonts w:ascii="Arial" w:eastAsia="Times New Roman" w:hAnsi="Arial" w:cs="Arial"/>
          <w:sz w:val="22"/>
          <w:szCs w:val="22"/>
          <w:lang w:eastAsia="en-GB"/>
        </w:rPr>
        <w:t>its</w:t>
      </w:r>
      <w:r w:rsidR="00CE7457">
        <w:rPr>
          <w:rFonts w:ascii="Arial" w:eastAsia="Times New Roman" w:hAnsi="Arial" w:cs="Arial"/>
          <w:sz w:val="22"/>
          <w:szCs w:val="22"/>
          <w:lang w:eastAsia="en-GB"/>
        </w:rPr>
        <w:t xml:space="preserve"> occupants</w:t>
      </w:r>
      <w:r w:rsidR="004A01CD">
        <w:rPr>
          <w:rFonts w:ascii="Arial" w:eastAsia="Times New Roman" w:hAnsi="Arial" w:cs="Arial"/>
          <w:sz w:val="22"/>
          <w:szCs w:val="22"/>
          <w:lang w:eastAsia="en-GB"/>
        </w:rPr>
        <w:t xml:space="preserve"> but </w:t>
      </w:r>
      <w:r w:rsidR="00CE7457">
        <w:rPr>
          <w:rFonts w:ascii="Arial" w:eastAsia="Times New Roman" w:hAnsi="Arial" w:cs="Arial"/>
          <w:sz w:val="22"/>
          <w:szCs w:val="22"/>
          <w:lang w:eastAsia="en-GB"/>
        </w:rPr>
        <w:t>give</w:t>
      </w:r>
      <w:r w:rsidR="0031767C">
        <w:rPr>
          <w:rFonts w:ascii="Arial" w:eastAsia="Times New Roman" w:hAnsi="Arial" w:cs="Arial"/>
          <w:sz w:val="22"/>
          <w:szCs w:val="22"/>
          <w:lang w:eastAsia="en-GB"/>
        </w:rPr>
        <w:t>s</w:t>
      </w:r>
      <w:r w:rsidR="00CE7457">
        <w:rPr>
          <w:rFonts w:ascii="Arial" w:eastAsia="Times New Roman" w:hAnsi="Arial" w:cs="Arial"/>
          <w:sz w:val="22"/>
          <w:szCs w:val="22"/>
          <w:lang w:eastAsia="en-GB"/>
        </w:rPr>
        <w:t xml:space="preserve"> permission </w:t>
      </w:r>
      <w:r w:rsidR="0031767C">
        <w:rPr>
          <w:rFonts w:ascii="Arial" w:eastAsia="Times New Roman" w:hAnsi="Arial" w:cs="Arial"/>
          <w:sz w:val="22"/>
          <w:szCs w:val="22"/>
          <w:lang w:eastAsia="en-GB"/>
        </w:rPr>
        <w:t xml:space="preserve">for </w:t>
      </w:r>
      <w:r w:rsidR="004A01CD">
        <w:rPr>
          <w:rFonts w:ascii="Arial" w:eastAsia="Times New Roman" w:hAnsi="Arial" w:cs="Arial"/>
          <w:sz w:val="22"/>
          <w:szCs w:val="22"/>
          <w:lang w:eastAsia="en-GB"/>
        </w:rPr>
        <w:t xml:space="preserve">her to enter </w:t>
      </w:r>
      <w:r w:rsidR="00CE7457">
        <w:rPr>
          <w:rFonts w:ascii="Arial" w:eastAsia="Times New Roman" w:hAnsi="Arial" w:cs="Arial"/>
          <w:sz w:val="22"/>
          <w:szCs w:val="22"/>
          <w:lang w:eastAsia="en-GB"/>
        </w:rPr>
        <w:t>through seven gates</w:t>
      </w:r>
      <w:r w:rsidR="007A37B8">
        <w:rPr>
          <w:rFonts w:ascii="Arial" w:eastAsia="Times New Roman" w:hAnsi="Arial" w:cs="Arial"/>
          <w:sz w:val="22"/>
          <w:szCs w:val="22"/>
          <w:lang w:eastAsia="en-GB"/>
        </w:rPr>
        <w:t>.</w:t>
      </w:r>
      <w:r w:rsidR="00CE7457">
        <w:rPr>
          <w:rFonts w:ascii="Arial" w:eastAsia="Times New Roman" w:hAnsi="Arial" w:cs="Arial"/>
          <w:sz w:val="22"/>
          <w:szCs w:val="22"/>
          <w:lang w:eastAsia="en-GB"/>
        </w:rPr>
        <w:t xml:space="preserve"> </w:t>
      </w:r>
      <w:r w:rsidR="007A37B8">
        <w:rPr>
          <w:rFonts w:ascii="Arial" w:eastAsia="Times New Roman" w:hAnsi="Arial" w:cs="Arial"/>
          <w:sz w:val="22"/>
          <w:szCs w:val="22"/>
          <w:lang w:eastAsia="en-GB"/>
        </w:rPr>
        <w:t>A</w:t>
      </w:r>
      <w:r w:rsidR="00CE7457">
        <w:rPr>
          <w:rFonts w:ascii="Arial" w:eastAsia="Times New Roman" w:hAnsi="Arial" w:cs="Arial"/>
          <w:sz w:val="22"/>
          <w:szCs w:val="22"/>
          <w:lang w:eastAsia="en-GB"/>
        </w:rPr>
        <w:t xml:space="preserve">t each </w:t>
      </w:r>
      <w:r w:rsidR="007A37B8">
        <w:rPr>
          <w:rFonts w:ascii="Arial" w:eastAsia="Times New Roman" w:hAnsi="Arial" w:cs="Arial"/>
          <w:sz w:val="22"/>
          <w:szCs w:val="22"/>
          <w:lang w:eastAsia="en-GB"/>
        </w:rPr>
        <w:t xml:space="preserve">gate </w:t>
      </w:r>
      <w:r w:rsidR="00CE7457">
        <w:rPr>
          <w:rFonts w:ascii="Arial" w:eastAsia="Times New Roman" w:hAnsi="Arial" w:cs="Arial"/>
          <w:sz w:val="22"/>
          <w:szCs w:val="22"/>
          <w:lang w:eastAsia="en-GB"/>
        </w:rPr>
        <w:t xml:space="preserve">she is stripped of one of her adornments before finally </w:t>
      </w:r>
      <w:r w:rsidR="004167F7">
        <w:rPr>
          <w:rFonts w:ascii="Arial" w:eastAsia="Times New Roman" w:hAnsi="Arial" w:cs="Arial"/>
          <w:sz w:val="22"/>
          <w:szCs w:val="22"/>
          <w:lang w:eastAsia="en-GB"/>
        </w:rPr>
        <w:t>entering</w:t>
      </w:r>
      <w:r w:rsidR="008659C5">
        <w:rPr>
          <w:rFonts w:ascii="Arial" w:eastAsia="Times New Roman" w:hAnsi="Arial" w:cs="Arial"/>
          <w:sz w:val="22"/>
          <w:szCs w:val="22"/>
          <w:lang w:eastAsia="en-GB"/>
        </w:rPr>
        <w:t>,</w:t>
      </w:r>
      <w:r w:rsidR="004167F7">
        <w:rPr>
          <w:rFonts w:ascii="Arial" w:eastAsia="Times New Roman" w:hAnsi="Arial" w:cs="Arial"/>
          <w:sz w:val="22"/>
          <w:szCs w:val="22"/>
          <w:lang w:eastAsia="en-GB"/>
        </w:rPr>
        <w:t xml:space="preserve"> seemingly naked</w:t>
      </w:r>
      <w:r w:rsidR="008659C5">
        <w:rPr>
          <w:rFonts w:ascii="Arial" w:eastAsia="Times New Roman" w:hAnsi="Arial" w:cs="Arial"/>
          <w:sz w:val="22"/>
          <w:szCs w:val="22"/>
          <w:lang w:eastAsia="en-GB"/>
        </w:rPr>
        <w:t>,</w:t>
      </w:r>
      <w:r w:rsidR="004167F7">
        <w:rPr>
          <w:rFonts w:ascii="Arial" w:eastAsia="Times New Roman" w:hAnsi="Arial" w:cs="Arial"/>
          <w:sz w:val="22"/>
          <w:szCs w:val="22"/>
          <w:lang w:eastAsia="en-GB"/>
        </w:rPr>
        <w:t xml:space="preserve"> </w:t>
      </w:r>
      <w:r w:rsidR="00CE7457">
        <w:rPr>
          <w:rFonts w:ascii="Arial" w:eastAsia="Times New Roman" w:hAnsi="Arial" w:cs="Arial"/>
          <w:sz w:val="22"/>
          <w:szCs w:val="22"/>
          <w:lang w:eastAsia="en-GB"/>
        </w:rPr>
        <w:t>at the seventh</w:t>
      </w:r>
      <w:r w:rsidR="008659C5">
        <w:rPr>
          <w:rFonts w:ascii="Arial" w:eastAsia="Times New Roman" w:hAnsi="Arial" w:cs="Arial"/>
          <w:sz w:val="22"/>
          <w:szCs w:val="22"/>
          <w:lang w:eastAsia="en-GB"/>
        </w:rPr>
        <w:t>;</w:t>
      </w:r>
      <w:r w:rsidR="004167F7">
        <w:rPr>
          <w:rFonts w:ascii="Arial" w:eastAsia="Times New Roman" w:hAnsi="Arial" w:cs="Arial"/>
          <w:sz w:val="22"/>
          <w:szCs w:val="22"/>
          <w:lang w:eastAsia="en-GB"/>
        </w:rPr>
        <w:t xml:space="preserve"> </w:t>
      </w:r>
      <w:r w:rsidR="008659C5">
        <w:rPr>
          <w:rFonts w:ascii="Arial" w:eastAsia="Times New Roman" w:hAnsi="Arial" w:cs="Arial"/>
          <w:sz w:val="22"/>
          <w:szCs w:val="22"/>
          <w:lang w:eastAsia="en-GB"/>
        </w:rPr>
        <w:t>here</w:t>
      </w:r>
      <w:r w:rsidR="004167F7">
        <w:rPr>
          <w:rFonts w:ascii="Arial" w:eastAsia="Times New Roman" w:hAnsi="Arial" w:cs="Arial"/>
          <w:sz w:val="22"/>
          <w:szCs w:val="22"/>
          <w:lang w:eastAsia="en-GB"/>
        </w:rPr>
        <w:t xml:space="preserve"> </w:t>
      </w:r>
      <w:r w:rsidR="000079BA">
        <w:rPr>
          <w:rFonts w:ascii="Arial" w:eastAsia="Times New Roman" w:hAnsi="Arial" w:cs="Arial"/>
          <w:sz w:val="22"/>
          <w:szCs w:val="22"/>
          <w:lang w:eastAsia="en-GB"/>
        </w:rPr>
        <w:t xml:space="preserve">she is </w:t>
      </w:r>
      <w:r w:rsidR="004167F7">
        <w:rPr>
          <w:rFonts w:ascii="Arial" w:eastAsia="Times New Roman" w:hAnsi="Arial" w:cs="Arial"/>
          <w:sz w:val="22"/>
          <w:szCs w:val="22"/>
          <w:lang w:eastAsia="en-GB"/>
        </w:rPr>
        <w:t>set upon</w:t>
      </w:r>
      <w:r w:rsidR="008659C5">
        <w:rPr>
          <w:rFonts w:ascii="Arial" w:eastAsia="Times New Roman" w:hAnsi="Arial" w:cs="Arial"/>
          <w:sz w:val="22"/>
          <w:szCs w:val="22"/>
          <w:lang w:eastAsia="en-GB"/>
        </w:rPr>
        <w:t xml:space="preserve"> by Ereshkigal</w:t>
      </w:r>
      <w:r w:rsidR="00A53480">
        <w:rPr>
          <w:rFonts w:ascii="Arial" w:eastAsia="Times New Roman" w:hAnsi="Arial" w:cs="Arial"/>
          <w:sz w:val="22"/>
          <w:szCs w:val="22"/>
          <w:lang w:eastAsia="en-GB"/>
        </w:rPr>
        <w:t>,</w:t>
      </w:r>
      <w:r w:rsidR="004167F7">
        <w:rPr>
          <w:rFonts w:ascii="Arial" w:eastAsia="Times New Roman" w:hAnsi="Arial" w:cs="Arial"/>
          <w:sz w:val="22"/>
          <w:szCs w:val="22"/>
          <w:lang w:eastAsia="en-GB"/>
        </w:rPr>
        <w:t xml:space="preserve"> </w:t>
      </w:r>
      <w:r w:rsidR="000079BA">
        <w:rPr>
          <w:rFonts w:ascii="Arial" w:eastAsia="Times New Roman" w:hAnsi="Arial" w:cs="Arial"/>
          <w:sz w:val="22"/>
          <w:szCs w:val="22"/>
          <w:lang w:eastAsia="en-GB"/>
        </w:rPr>
        <w:t>imprisoned</w:t>
      </w:r>
      <w:r w:rsidR="00A53480">
        <w:rPr>
          <w:rFonts w:ascii="Arial" w:eastAsia="Times New Roman" w:hAnsi="Arial" w:cs="Arial"/>
          <w:sz w:val="22"/>
          <w:szCs w:val="22"/>
          <w:lang w:eastAsia="en-GB"/>
        </w:rPr>
        <w:t xml:space="preserve"> and subjected to </w:t>
      </w:r>
      <w:r w:rsidR="00CF75DB">
        <w:rPr>
          <w:rFonts w:ascii="Arial" w:eastAsia="Times New Roman" w:hAnsi="Arial" w:cs="Arial"/>
          <w:sz w:val="22"/>
          <w:szCs w:val="22"/>
          <w:lang w:eastAsia="en-GB"/>
        </w:rPr>
        <w:t>‘sixty miseries.’</w:t>
      </w:r>
      <w:r w:rsidR="00CF75DB">
        <w:rPr>
          <w:rStyle w:val="FootnoteReference"/>
          <w:rFonts w:eastAsia="Times New Roman" w:cs="Arial"/>
          <w:szCs w:val="22"/>
          <w:lang w:eastAsia="en-GB"/>
        </w:rPr>
        <w:footnoteReference w:id="11"/>
      </w:r>
      <w:r w:rsidR="004167F7">
        <w:rPr>
          <w:rFonts w:ascii="Arial" w:eastAsia="Times New Roman" w:hAnsi="Arial" w:cs="Arial"/>
          <w:sz w:val="22"/>
          <w:szCs w:val="22"/>
          <w:lang w:eastAsia="en-GB"/>
        </w:rPr>
        <w:t xml:space="preserve"> </w:t>
      </w:r>
      <w:r w:rsidR="008E15F1">
        <w:rPr>
          <w:rFonts w:ascii="Arial" w:eastAsia="Times New Roman" w:hAnsi="Arial" w:cs="Arial"/>
          <w:sz w:val="22"/>
          <w:szCs w:val="22"/>
          <w:lang w:eastAsia="en-GB"/>
        </w:rPr>
        <w:t xml:space="preserve">King </w:t>
      </w:r>
      <w:proofErr w:type="spellStart"/>
      <w:r w:rsidR="008E15F1">
        <w:rPr>
          <w:rFonts w:ascii="Arial" w:eastAsia="Times New Roman" w:hAnsi="Arial" w:cs="Arial"/>
          <w:sz w:val="22"/>
          <w:szCs w:val="22"/>
          <w:lang w:eastAsia="en-GB"/>
        </w:rPr>
        <w:t>Ea</w:t>
      </w:r>
      <w:proofErr w:type="spellEnd"/>
      <w:r w:rsidR="00826615">
        <w:rPr>
          <w:rFonts w:ascii="Arial" w:eastAsia="Times New Roman" w:hAnsi="Arial" w:cs="Arial"/>
          <w:sz w:val="22"/>
          <w:szCs w:val="22"/>
          <w:lang w:eastAsia="en-GB"/>
        </w:rPr>
        <w:t xml:space="preserve"> creates a eunuch to </w:t>
      </w:r>
      <w:r w:rsidR="00AB3153">
        <w:rPr>
          <w:rFonts w:ascii="Arial" w:eastAsia="Times New Roman" w:hAnsi="Arial" w:cs="Arial"/>
          <w:sz w:val="22"/>
          <w:szCs w:val="22"/>
          <w:lang w:eastAsia="en-GB"/>
        </w:rPr>
        <w:t xml:space="preserve">distract Ereshkigal and </w:t>
      </w:r>
      <w:r w:rsidR="00826615">
        <w:rPr>
          <w:rFonts w:ascii="Arial" w:eastAsia="Times New Roman" w:hAnsi="Arial" w:cs="Arial"/>
          <w:sz w:val="22"/>
          <w:szCs w:val="22"/>
          <w:lang w:eastAsia="en-GB"/>
        </w:rPr>
        <w:t>free Ishtar</w:t>
      </w:r>
      <w:r w:rsidR="004E016F">
        <w:rPr>
          <w:rFonts w:ascii="Arial" w:eastAsia="Times New Roman" w:hAnsi="Arial" w:cs="Arial"/>
          <w:sz w:val="22"/>
          <w:szCs w:val="22"/>
          <w:lang w:eastAsia="en-GB"/>
        </w:rPr>
        <w:t xml:space="preserve">. Ishtar </w:t>
      </w:r>
      <w:r w:rsidR="0031767C">
        <w:rPr>
          <w:rFonts w:ascii="Arial" w:eastAsia="Times New Roman" w:hAnsi="Arial" w:cs="Arial"/>
          <w:sz w:val="22"/>
          <w:szCs w:val="22"/>
          <w:lang w:eastAsia="en-GB"/>
        </w:rPr>
        <w:t xml:space="preserve">returns through the seven gates and at each the adornments that were stripped from her are restored. </w:t>
      </w:r>
    </w:p>
    <w:p w14:paraId="1E87A992" w14:textId="77777777" w:rsidR="00186630" w:rsidRDefault="00186630" w:rsidP="00742627">
      <w:pPr>
        <w:rPr>
          <w:rFonts w:ascii="Arial" w:eastAsia="Times New Roman" w:hAnsi="Arial" w:cs="Arial"/>
          <w:sz w:val="22"/>
          <w:szCs w:val="22"/>
          <w:lang w:eastAsia="en-GB"/>
        </w:rPr>
      </w:pPr>
    </w:p>
    <w:p w14:paraId="51BA1A10" w14:textId="179FCF93" w:rsidR="00186630" w:rsidRDefault="00186630" w:rsidP="00742627">
      <w:pPr>
        <w:rPr>
          <w:rFonts w:ascii="Arial" w:eastAsia="Times New Roman" w:hAnsi="Arial" w:cs="Arial"/>
          <w:sz w:val="22"/>
          <w:szCs w:val="22"/>
          <w:lang w:eastAsia="en-GB"/>
        </w:rPr>
      </w:pPr>
      <w:r>
        <w:rPr>
          <w:rFonts w:ascii="Arial" w:eastAsia="Times New Roman" w:hAnsi="Arial" w:cs="Arial"/>
          <w:sz w:val="22"/>
          <w:szCs w:val="22"/>
          <w:lang w:eastAsia="en-GB"/>
        </w:rPr>
        <w:t>It should be noted that there is a Sumerian version of this myth known as the decent of Inanna that predates that of Ishtar. Harris draws attention to the complex history of the syncretism between Inanna and Ishtar but recognises that they are similar enough to be treated as one</w:t>
      </w:r>
      <w:r w:rsidR="00893D24">
        <w:rPr>
          <w:rFonts w:ascii="Arial" w:eastAsia="Times New Roman" w:hAnsi="Arial" w:cs="Arial"/>
          <w:sz w:val="22"/>
          <w:szCs w:val="22"/>
          <w:lang w:eastAsia="en-GB"/>
        </w:rPr>
        <w:t>.</w:t>
      </w:r>
      <w:r w:rsidR="00DA7A49">
        <w:rPr>
          <w:rStyle w:val="FootnoteReference"/>
          <w:rFonts w:eastAsia="Times New Roman" w:cs="Arial"/>
          <w:szCs w:val="22"/>
          <w:lang w:eastAsia="en-GB"/>
        </w:rPr>
        <w:footnoteReference w:id="12"/>
      </w:r>
      <w:r>
        <w:rPr>
          <w:rFonts w:ascii="Arial" w:eastAsia="Times New Roman" w:hAnsi="Arial" w:cs="Arial"/>
          <w:sz w:val="22"/>
          <w:szCs w:val="22"/>
          <w:lang w:eastAsia="en-GB"/>
        </w:rPr>
        <w:t xml:space="preserve"> </w:t>
      </w:r>
      <w:r w:rsidR="00893D24">
        <w:rPr>
          <w:rFonts w:ascii="Arial" w:eastAsia="Times New Roman" w:hAnsi="Arial" w:cs="Arial"/>
          <w:sz w:val="22"/>
          <w:szCs w:val="22"/>
          <w:lang w:eastAsia="en-GB"/>
        </w:rPr>
        <w:t>F</w:t>
      </w:r>
      <w:r>
        <w:rPr>
          <w:rFonts w:ascii="Arial" w:eastAsia="Times New Roman" w:hAnsi="Arial" w:cs="Arial"/>
          <w:sz w:val="22"/>
          <w:szCs w:val="22"/>
          <w:lang w:eastAsia="en-GB"/>
        </w:rPr>
        <w:t>or the purposes of this essay I will adopt the same approach</w:t>
      </w:r>
      <w:r w:rsidR="00DA7A49">
        <w:rPr>
          <w:rFonts w:ascii="Arial" w:eastAsia="Times New Roman" w:hAnsi="Arial" w:cs="Arial"/>
          <w:sz w:val="22"/>
          <w:szCs w:val="22"/>
          <w:lang w:eastAsia="en-GB"/>
        </w:rPr>
        <w:t>.</w:t>
      </w:r>
    </w:p>
    <w:p w14:paraId="2FFA816E" w14:textId="77777777" w:rsidR="002031D0" w:rsidRDefault="002031D0" w:rsidP="00742627">
      <w:pPr>
        <w:rPr>
          <w:rFonts w:ascii="Arial" w:eastAsia="Times New Roman" w:hAnsi="Arial" w:cs="Arial"/>
          <w:sz w:val="22"/>
          <w:szCs w:val="22"/>
          <w:lang w:eastAsia="en-GB"/>
        </w:rPr>
      </w:pPr>
    </w:p>
    <w:p w14:paraId="4D15E313" w14:textId="31536669" w:rsidR="00B3432A" w:rsidRPr="00570B57" w:rsidRDefault="00570B57" w:rsidP="00742627">
      <w:pPr>
        <w:rPr>
          <w:rFonts w:ascii="Arial" w:eastAsia="Times New Roman" w:hAnsi="Arial" w:cs="Arial"/>
          <w:b/>
          <w:bCs/>
          <w:sz w:val="22"/>
          <w:szCs w:val="22"/>
          <w:lang w:eastAsia="en-GB"/>
        </w:rPr>
      </w:pPr>
      <w:r w:rsidRPr="00570B57">
        <w:rPr>
          <w:rFonts w:ascii="Arial" w:eastAsia="Times New Roman" w:hAnsi="Arial" w:cs="Arial"/>
          <w:b/>
          <w:bCs/>
          <w:sz w:val="22"/>
          <w:szCs w:val="22"/>
          <w:lang w:eastAsia="en-GB"/>
        </w:rPr>
        <w:t>The Fall of Gandalf</w:t>
      </w:r>
    </w:p>
    <w:p w14:paraId="0E634194" w14:textId="77777777" w:rsidR="00146DD1" w:rsidRDefault="00146DD1" w:rsidP="00742627">
      <w:pPr>
        <w:rPr>
          <w:rFonts w:ascii="Arial" w:eastAsia="Times New Roman" w:hAnsi="Arial" w:cs="Arial"/>
          <w:sz w:val="22"/>
          <w:szCs w:val="22"/>
          <w:lang w:eastAsia="en-GB"/>
        </w:rPr>
      </w:pPr>
    </w:p>
    <w:p w14:paraId="394573FF" w14:textId="7C80BD32" w:rsidR="008B0DDB" w:rsidRDefault="000F00C2" w:rsidP="00577368">
      <w:pPr>
        <w:rPr>
          <w:rFonts w:ascii="Arial" w:eastAsia="Times New Roman" w:hAnsi="Arial" w:cs="Arial"/>
          <w:sz w:val="22"/>
          <w:szCs w:val="22"/>
          <w:lang w:eastAsia="en-GB"/>
        </w:rPr>
      </w:pPr>
      <w:r>
        <w:rPr>
          <w:rFonts w:ascii="Arial" w:eastAsia="Times New Roman" w:hAnsi="Arial" w:cs="Arial"/>
          <w:sz w:val="22"/>
          <w:szCs w:val="22"/>
          <w:lang w:eastAsia="en-GB"/>
        </w:rPr>
        <w:t>Tolkien lived from 1892-1973 and often spoke of his desire ‘</w:t>
      </w:r>
      <w:r w:rsidRPr="000F00C2">
        <w:rPr>
          <w:rFonts w:ascii="Arial" w:eastAsia="Times New Roman" w:hAnsi="Arial" w:cs="Arial"/>
          <w:sz w:val="22"/>
          <w:szCs w:val="22"/>
          <w:lang w:eastAsia="en-GB"/>
        </w:rPr>
        <w:t>to restore to the English an epic tradition and present them with a mythology of their</w:t>
      </w:r>
      <w:r>
        <w:rPr>
          <w:rFonts w:ascii="Arial" w:eastAsia="Times New Roman" w:hAnsi="Arial" w:cs="Arial"/>
          <w:sz w:val="22"/>
          <w:szCs w:val="22"/>
          <w:lang w:eastAsia="en-GB"/>
        </w:rPr>
        <w:t xml:space="preserve"> own.’</w:t>
      </w:r>
      <w:r>
        <w:rPr>
          <w:rStyle w:val="FootnoteReference"/>
          <w:rFonts w:eastAsia="Times New Roman" w:cs="Arial"/>
          <w:szCs w:val="22"/>
          <w:lang w:eastAsia="en-GB"/>
        </w:rPr>
        <w:footnoteReference w:id="13"/>
      </w:r>
      <w:r>
        <w:rPr>
          <w:rFonts w:ascii="Arial" w:eastAsia="Times New Roman" w:hAnsi="Arial" w:cs="Arial"/>
          <w:sz w:val="22"/>
          <w:szCs w:val="22"/>
          <w:lang w:eastAsia="en-GB"/>
        </w:rPr>
        <w:t xml:space="preserve"> The mythological nature of his writing is therefore well established and </w:t>
      </w:r>
      <w:proofErr w:type="spellStart"/>
      <w:r w:rsidR="00AE5A5A">
        <w:rPr>
          <w:rFonts w:ascii="Arial" w:eastAsia="Times New Roman" w:hAnsi="Arial" w:cs="Arial"/>
          <w:sz w:val="22"/>
          <w:szCs w:val="22"/>
          <w:lang w:eastAsia="en-GB"/>
        </w:rPr>
        <w:t>Hiley</w:t>
      </w:r>
      <w:proofErr w:type="spellEnd"/>
      <w:r w:rsidR="00AE5A5A">
        <w:rPr>
          <w:rFonts w:ascii="Arial" w:eastAsia="Times New Roman" w:hAnsi="Arial" w:cs="Arial"/>
          <w:sz w:val="22"/>
          <w:szCs w:val="22"/>
          <w:lang w:eastAsia="en-GB"/>
        </w:rPr>
        <w:t xml:space="preserve"> points out that </w:t>
      </w:r>
      <w:r>
        <w:rPr>
          <w:rFonts w:ascii="Arial" w:eastAsia="Times New Roman" w:hAnsi="Arial" w:cs="Arial"/>
          <w:sz w:val="22"/>
          <w:szCs w:val="22"/>
          <w:lang w:eastAsia="en-GB"/>
        </w:rPr>
        <w:t xml:space="preserve">scholars have written extensively on the </w:t>
      </w:r>
      <w:r w:rsidR="00AE5A5A">
        <w:rPr>
          <w:rFonts w:ascii="Arial" w:eastAsia="Times New Roman" w:hAnsi="Arial" w:cs="Arial"/>
          <w:sz w:val="22"/>
          <w:szCs w:val="22"/>
          <w:lang w:eastAsia="en-GB"/>
        </w:rPr>
        <w:t>similarities in his work with major mythologies</w:t>
      </w:r>
      <w:r w:rsidR="008111EA">
        <w:rPr>
          <w:rFonts w:ascii="Arial" w:eastAsia="Times New Roman" w:hAnsi="Arial" w:cs="Arial"/>
          <w:sz w:val="22"/>
          <w:szCs w:val="22"/>
          <w:lang w:eastAsia="en-GB"/>
        </w:rPr>
        <w:t xml:space="preserve"> of the world</w:t>
      </w:r>
      <w:r w:rsidR="00AE5A5A">
        <w:rPr>
          <w:rFonts w:ascii="Arial" w:eastAsia="Times New Roman" w:hAnsi="Arial" w:cs="Arial"/>
          <w:sz w:val="22"/>
          <w:szCs w:val="22"/>
          <w:lang w:eastAsia="en-GB"/>
        </w:rPr>
        <w:t>.</w:t>
      </w:r>
      <w:r w:rsidR="00AE5A5A">
        <w:rPr>
          <w:rStyle w:val="FootnoteReference"/>
          <w:rFonts w:eastAsia="Times New Roman" w:cs="Arial"/>
          <w:szCs w:val="22"/>
          <w:lang w:eastAsia="en-GB"/>
        </w:rPr>
        <w:footnoteReference w:id="14"/>
      </w:r>
      <w:r w:rsidR="00FD0769">
        <w:rPr>
          <w:rFonts w:ascii="Arial" w:eastAsia="Times New Roman" w:hAnsi="Arial" w:cs="Arial"/>
          <w:sz w:val="22"/>
          <w:szCs w:val="22"/>
          <w:lang w:eastAsia="en-GB"/>
        </w:rPr>
        <w:t xml:space="preserve"> </w:t>
      </w:r>
      <w:r w:rsidR="00E13C0E">
        <w:rPr>
          <w:rFonts w:ascii="Arial" w:eastAsia="Times New Roman" w:hAnsi="Arial" w:cs="Arial"/>
          <w:sz w:val="22"/>
          <w:szCs w:val="22"/>
          <w:lang w:eastAsia="en-GB"/>
        </w:rPr>
        <w:t xml:space="preserve">Tolkien also </w:t>
      </w:r>
      <w:r w:rsidR="00BB4D10">
        <w:rPr>
          <w:rFonts w:ascii="Arial" w:eastAsia="Times New Roman" w:hAnsi="Arial" w:cs="Arial"/>
          <w:sz w:val="22"/>
          <w:szCs w:val="22"/>
          <w:lang w:eastAsia="en-GB"/>
        </w:rPr>
        <w:t>used his writing to process his experiences of fighting in the trenches of W</w:t>
      </w:r>
      <w:r w:rsidR="00072563">
        <w:rPr>
          <w:rFonts w:ascii="Arial" w:eastAsia="Times New Roman" w:hAnsi="Arial" w:cs="Arial"/>
          <w:sz w:val="22"/>
          <w:szCs w:val="22"/>
          <w:lang w:eastAsia="en-GB"/>
        </w:rPr>
        <w:t>orld War One.</w:t>
      </w:r>
      <w:r w:rsidR="00FD0769">
        <w:rPr>
          <w:rFonts w:ascii="Arial" w:eastAsia="Times New Roman" w:hAnsi="Arial" w:cs="Arial"/>
          <w:sz w:val="22"/>
          <w:szCs w:val="22"/>
          <w:lang w:eastAsia="en-GB"/>
        </w:rPr>
        <w:t xml:space="preserve"> </w:t>
      </w:r>
      <w:r w:rsidR="00F9789F">
        <w:rPr>
          <w:rFonts w:ascii="Arial" w:eastAsia="Times New Roman" w:hAnsi="Arial" w:cs="Arial"/>
          <w:sz w:val="22"/>
          <w:szCs w:val="22"/>
          <w:lang w:eastAsia="en-GB"/>
        </w:rPr>
        <w:t xml:space="preserve">In a </w:t>
      </w:r>
      <w:r w:rsidR="00FD0769">
        <w:rPr>
          <w:rFonts w:ascii="Arial" w:eastAsia="Times New Roman" w:hAnsi="Arial" w:cs="Arial"/>
          <w:sz w:val="22"/>
          <w:szCs w:val="22"/>
          <w:lang w:eastAsia="en-GB"/>
        </w:rPr>
        <w:t xml:space="preserve">1968 interview </w:t>
      </w:r>
      <w:r w:rsidR="00F9789F">
        <w:rPr>
          <w:rFonts w:ascii="Arial" w:eastAsia="Times New Roman" w:hAnsi="Arial" w:cs="Arial"/>
          <w:sz w:val="22"/>
          <w:szCs w:val="22"/>
          <w:lang w:eastAsia="en-GB"/>
        </w:rPr>
        <w:t>he</w:t>
      </w:r>
      <w:r w:rsidR="00FD0769">
        <w:rPr>
          <w:rFonts w:ascii="Arial" w:eastAsia="Times New Roman" w:hAnsi="Arial" w:cs="Arial"/>
          <w:sz w:val="22"/>
          <w:szCs w:val="22"/>
          <w:lang w:eastAsia="en-GB"/>
        </w:rPr>
        <w:t xml:space="preserve"> speaks of </w:t>
      </w:r>
      <w:r w:rsidR="00015DF5">
        <w:rPr>
          <w:rFonts w:ascii="Arial" w:eastAsia="Times New Roman" w:hAnsi="Arial" w:cs="Arial"/>
          <w:sz w:val="22"/>
          <w:szCs w:val="22"/>
          <w:lang w:eastAsia="en-GB"/>
        </w:rPr>
        <w:t xml:space="preserve">the </w:t>
      </w:r>
      <w:r w:rsidR="00FD0769">
        <w:rPr>
          <w:rFonts w:ascii="Arial" w:eastAsia="Times New Roman" w:hAnsi="Arial" w:cs="Arial"/>
          <w:sz w:val="22"/>
          <w:szCs w:val="22"/>
          <w:lang w:eastAsia="en-GB"/>
        </w:rPr>
        <w:t>profound effect</w:t>
      </w:r>
      <w:r w:rsidR="00015DF5">
        <w:rPr>
          <w:rFonts w:ascii="Arial" w:eastAsia="Times New Roman" w:hAnsi="Arial" w:cs="Arial"/>
          <w:sz w:val="22"/>
          <w:szCs w:val="22"/>
          <w:lang w:eastAsia="en-GB"/>
        </w:rPr>
        <w:t xml:space="preserve"> </w:t>
      </w:r>
      <w:r w:rsidR="00F9789F">
        <w:rPr>
          <w:rFonts w:ascii="Arial" w:eastAsia="Times New Roman" w:hAnsi="Arial" w:cs="Arial"/>
          <w:sz w:val="22"/>
          <w:szCs w:val="22"/>
          <w:lang w:eastAsia="en-GB"/>
        </w:rPr>
        <w:t>the war</w:t>
      </w:r>
      <w:r w:rsidR="00015DF5">
        <w:rPr>
          <w:rFonts w:ascii="Arial" w:eastAsia="Times New Roman" w:hAnsi="Arial" w:cs="Arial"/>
          <w:sz w:val="22"/>
          <w:szCs w:val="22"/>
          <w:lang w:eastAsia="en-GB"/>
        </w:rPr>
        <w:t xml:space="preserve"> had on his writin</w:t>
      </w:r>
      <w:r w:rsidR="00F9789F">
        <w:rPr>
          <w:rFonts w:ascii="Arial" w:eastAsia="Times New Roman" w:hAnsi="Arial" w:cs="Arial"/>
          <w:sz w:val="22"/>
          <w:szCs w:val="22"/>
          <w:lang w:eastAsia="en-GB"/>
        </w:rPr>
        <w:t xml:space="preserve">g, and </w:t>
      </w:r>
      <w:r w:rsidR="00577368">
        <w:rPr>
          <w:rFonts w:ascii="Arial" w:eastAsia="Times New Roman" w:hAnsi="Arial" w:cs="Arial"/>
          <w:sz w:val="22"/>
          <w:szCs w:val="22"/>
          <w:lang w:eastAsia="en-GB"/>
        </w:rPr>
        <w:t xml:space="preserve">appropriately </w:t>
      </w:r>
      <w:r w:rsidR="00642C71">
        <w:rPr>
          <w:rFonts w:ascii="Arial" w:eastAsia="Times New Roman" w:hAnsi="Arial" w:cs="Arial"/>
          <w:sz w:val="22"/>
          <w:szCs w:val="22"/>
          <w:lang w:eastAsia="en-GB"/>
        </w:rPr>
        <w:t>in the context of</w:t>
      </w:r>
      <w:r w:rsidR="00577368">
        <w:rPr>
          <w:rFonts w:ascii="Arial" w:eastAsia="Times New Roman" w:hAnsi="Arial" w:cs="Arial"/>
          <w:sz w:val="22"/>
          <w:szCs w:val="22"/>
          <w:lang w:eastAsia="en-GB"/>
        </w:rPr>
        <w:t xml:space="preserve"> this essay </w:t>
      </w:r>
      <w:r w:rsidR="00F9789F">
        <w:rPr>
          <w:rFonts w:ascii="Arial" w:eastAsia="Times New Roman" w:hAnsi="Arial" w:cs="Arial"/>
          <w:sz w:val="22"/>
          <w:szCs w:val="22"/>
          <w:lang w:eastAsia="en-GB"/>
        </w:rPr>
        <w:t>is quoted as saying</w:t>
      </w:r>
      <w:r w:rsidR="00577368">
        <w:rPr>
          <w:rFonts w:ascii="Arial" w:eastAsia="Times New Roman" w:hAnsi="Arial" w:cs="Arial"/>
          <w:sz w:val="22"/>
          <w:szCs w:val="22"/>
          <w:lang w:eastAsia="en-GB"/>
        </w:rPr>
        <w:t xml:space="preserve"> </w:t>
      </w:r>
      <w:r w:rsidR="00015DF5">
        <w:rPr>
          <w:rFonts w:ascii="Arial" w:eastAsia="Times New Roman" w:hAnsi="Arial" w:cs="Arial"/>
          <w:sz w:val="22"/>
          <w:szCs w:val="22"/>
          <w:lang w:eastAsia="en-GB"/>
        </w:rPr>
        <w:t>‘s</w:t>
      </w:r>
      <w:r w:rsidR="00015DF5" w:rsidRPr="00015DF5">
        <w:rPr>
          <w:rFonts w:ascii="Arial" w:eastAsia="Times New Roman" w:hAnsi="Arial" w:cs="Arial"/>
          <w:sz w:val="22"/>
          <w:szCs w:val="22"/>
          <w:lang w:eastAsia="en-GB"/>
        </w:rPr>
        <w:t>tories – frankly, human stories are always about one thing – death.</w:t>
      </w:r>
      <w:r w:rsidR="00015DF5">
        <w:rPr>
          <w:rFonts w:ascii="Arial" w:eastAsia="Times New Roman" w:hAnsi="Arial" w:cs="Arial"/>
          <w:sz w:val="22"/>
          <w:szCs w:val="22"/>
          <w:lang w:eastAsia="en-GB"/>
        </w:rPr>
        <w:t>’</w:t>
      </w:r>
      <w:r w:rsidR="00015DF5">
        <w:rPr>
          <w:rStyle w:val="FootnoteReference"/>
          <w:rFonts w:eastAsia="Times New Roman" w:cs="Arial"/>
          <w:szCs w:val="22"/>
          <w:lang w:eastAsia="en-GB"/>
        </w:rPr>
        <w:footnoteReference w:id="15"/>
      </w:r>
      <w:r w:rsidR="00015DF5">
        <w:rPr>
          <w:rFonts w:ascii="Arial" w:eastAsia="Times New Roman" w:hAnsi="Arial" w:cs="Arial"/>
          <w:sz w:val="22"/>
          <w:szCs w:val="22"/>
          <w:lang w:eastAsia="en-GB"/>
        </w:rPr>
        <w:t xml:space="preserve"> </w:t>
      </w:r>
      <w:r w:rsidR="003D6701">
        <w:rPr>
          <w:rFonts w:ascii="Arial" w:eastAsia="Times New Roman" w:hAnsi="Arial" w:cs="Arial"/>
          <w:sz w:val="22"/>
          <w:szCs w:val="22"/>
          <w:lang w:eastAsia="en-GB"/>
        </w:rPr>
        <w:t xml:space="preserve">The </w:t>
      </w:r>
      <w:r w:rsidR="003D6701" w:rsidRPr="003D6701">
        <w:rPr>
          <w:rFonts w:ascii="Arial" w:eastAsia="Times New Roman" w:hAnsi="Arial" w:cs="Arial"/>
          <w:i/>
          <w:iCs/>
          <w:sz w:val="22"/>
          <w:szCs w:val="22"/>
          <w:lang w:eastAsia="en-GB"/>
        </w:rPr>
        <w:t>Lord of the Rings</w:t>
      </w:r>
      <w:r w:rsidR="003D6701">
        <w:rPr>
          <w:rFonts w:ascii="Arial" w:eastAsia="Times New Roman" w:hAnsi="Arial" w:cs="Arial"/>
          <w:sz w:val="22"/>
          <w:szCs w:val="22"/>
          <w:lang w:eastAsia="en-GB"/>
        </w:rPr>
        <w:t xml:space="preserve"> topped a 1997 book of the century poll by Waterstones</w:t>
      </w:r>
      <w:r w:rsidR="0087325C">
        <w:rPr>
          <w:rFonts w:ascii="Arial" w:eastAsia="Times New Roman" w:hAnsi="Arial" w:cs="Arial"/>
          <w:sz w:val="22"/>
          <w:szCs w:val="22"/>
          <w:lang w:eastAsia="en-GB"/>
        </w:rPr>
        <w:t>,</w:t>
      </w:r>
      <w:r w:rsidR="003D6701">
        <w:rPr>
          <w:rStyle w:val="FootnoteReference"/>
          <w:rFonts w:eastAsia="Times New Roman" w:cs="Arial"/>
          <w:szCs w:val="22"/>
          <w:lang w:eastAsia="en-GB"/>
        </w:rPr>
        <w:footnoteReference w:id="16"/>
      </w:r>
      <w:r w:rsidR="0087325C">
        <w:rPr>
          <w:rFonts w:ascii="Arial" w:eastAsia="Times New Roman" w:hAnsi="Arial" w:cs="Arial"/>
          <w:sz w:val="22"/>
          <w:szCs w:val="22"/>
          <w:lang w:eastAsia="en-GB"/>
        </w:rPr>
        <w:t xml:space="preserve"> and </w:t>
      </w:r>
      <w:r w:rsidR="002843D9">
        <w:rPr>
          <w:rFonts w:ascii="Arial" w:eastAsia="Times New Roman" w:hAnsi="Arial" w:cs="Arial"/>
          <w:sz w:val="22"/>
          <w:szCs w:val="22"/>
          <w:lang w:eastAsia="en-GB"/>
        </w:rPr>
        <w:t xml:space="preserve">according to the Internet Movie Database </w:t>
      </w:r>
      <w:r w:rsidR="0087325C">
        <w:rPr>
          <w:rFonts w:ascii="Arial" w:eastAsia="Times New Roman" w:hAnsi="Arial" w:cs="Arial"/>
          <w:sz w:val="22"/>
          <w:szCs w:val="22"/>
          <w:lang w:eastAsia="en-GB"/>
        </w:rPr>
        <w:t>the</w:t>
      </w:r>
      <w:r w:rsidR="001C50EF">
        <w:rPr>
          <w:rFonts w:ascii="Arial" w:eastAsia="Times New Roman" w:hAnsi="Arial" w:cs="Arial"/>
          <w:sz w:val="22"/>
          <w:szCs w:val="22"/>
          <w:lang w:eastAsia="en-GB"/>
        </w:rPr>
        <w:t xml:space="preserve"> film series released at the beginning of the twenty first century </w:t>
      </w:r>
      <w:r w:rsidR="0087325C">
        <w:rPr>
          <w:rFonts w:ascii="Arial" w:eastAsia="Times New Roman" w:hAnsi="Arial" w:cs="Arial"/>
          <w:sz w:val="22"/>
          <w:szCs w:val="22"/>
          <w:lang w:eastAsia="en-GB"/>
        </w:rPr>
        <w:t>has</w:t>
      </w:r>
      <w:r w:rsidR="001C50EF">
        <w:rPr>
          <w:rFonts w:ascii="Arial" w:eastAsia="Times New Roman" w:hAnsi="Arial" w:cs="Arial"/>
          <w:sz w:val="22"/>
          <w:szCs w:val="22"/>
          <w:lang w:eastAsia="en-GB"/>
        </w:rPr>
        <w:t xml:space="preserve"> become among the highest grossing in history.</w:t>
      </w:r>
      <w:r w:rsidR="001C50EF">
        <w:rPr>
          <w:rStyle w:val="FootnoteReference"/>
          <w:rFonts w:eastAsia="Times New Roman" w:cs="Arial"/>
          <w:szCs w:val="22"/>
          <w:lang w:eastAsia="en-GB"/>
        </w:rPr>
        <w:footnoteReference w:id="17"/>
      </w:r>
      <w:r w:rsidR="001C50EF">
        <w:rPr>
          <w:rFonts w:ascii="Arial" w:eastAsia="Times New Roman" w:hAnsi="Arial" w:cs="Arial"/>
          <w:sz w:val="22"/>
          <w:szCs w:val="22"/>
          <w:lang w:eastAsia="en-GB"/>
        </w:rPr>
        <w:t xml:space="preserve"> </w:t>
      </w:r>
      <w:r w:rsidR="00F9789F">
        <w:rPr>
          <w:rFonts w:ascii="Arial" w:eastAsia="Times New Roman" w:hAnsi="Arial" w:cs="Arial"/>
          <w:sz w:val="22"/>
          <w:szCs w:val="22"/>
          <w:lang w:eastAsia="en-GB"/>
        </w:rPr>
        <w:t xml:space="preserve">The ambition to create a new mythology, that the books deal with </w:t>
      </w:r>
      <w:r w:rsidR="001C50EF">
        <w:rPr>
          <w:rFonts w:ascii="Arial" w:eastAsia="Times New Roman" w:hAnsi="Arial" w:cs="Arial"/>
          <w:sz w:val="22"/>
          <w:szCs w:val="22"/>
          <w:lang w:eastAsia="en-GB"/>
        </w:rPr>
        <w:t>major issues facing humanity, and the</w:t>
      </w:r>
      <w:r w:rsidR="0087325C">
        <w:rPr>
          <w:rFonts w:ascii="Arial" w:eastAsia="Times New Roman" w:hAnsi="Arial" w:cs="Arial"/>
          <w:sz w:val="22"/>
          <w:szCs w:val="22"/>
          <w:lang w:eastAsia="en-GB"/>
        </w:rPr>
        <w:t>ir</w:t>
      </w:r>
      <w:r w:rsidR="001C50EF">
        <w:rPr>
          <w:rFonts w:ascii="Arial" w:eastAsia="Times New Roman" w:hAnsi="Arial" w:cs="Arial"/>
          <w:sz w:val="22"/>
          <w:szCs w:val="22"/>
          <w:lang w:eastAsia="en-GB"/>
        </w:rPr>
        <w:t xml:space="preserve"> continued </w:t>
      </w:r>
      <w:r w:rsidR="0087325C">
        <w:rPr>
          <w:rFonts w:ascii="Arial" w:eastAsia="Times New Roman" w:hAnsi="Arial" w:cs="Arial"/>
          <w:sz w:val="22"/>
          <w:szCs w:val="22"/>
          <w:lang w:eastAsia="en-GB"/>
        </w:rPr>
        <w:t>popularity</w:t>
      </w:r>
      <w:r w:rsidR="001C50EF">
        <w:rPr>
          <w:rFonts w:ascii="Arial" w:eastAsia="Times New Roman" w:hAnsi="Arial" w:cs="Arial"/>
          <w:sz w:val="22"/>
          <w:szCs w:val="22"/>
          <w:lang w:eastAsia="en-GB"/>
        </w:rPr>
        <w:t xml:space="preserve"> all serve to highlight the </w:t>
      </w:r>
      <w:r w:rsidR="00B30837">
        <w:rPr>
          <w:rFonts w:ascii="Arial" w:eastAsia="Times New Roman" w:hAnsi="Arial" w:cs="Arial"/>
          <w:sz w:val="22"/>
          <w:szCs w:val="22"/>
          <w:lang w:eastAsia="en-GB"/>
        </w:rPr>
        <w:t xml:space="preserve">importance of </w:t>
      </w:r>
      <w:r w:rsidR="0087325C">
        <w:rPr>
          <w:rFonts w:ascii="Arial" w:eastAsia="Times New Roman" w:hAnsi="Arial" w:cs="Arial"/>
          <w:sz w:val="22"/>
          <w:szCs w:val="22"/>
          <w:lang w:eastAsia="en-GB"/>
        </w:rPr>
        <w:t>Tolkien’s</w:t>
      </w:r>
      <w:r w:rsidR="00B30837">
        <w:rPr>
          <w:rFonts w:ascii="Arial" w:eastAsia="Times New Roman" w:hAnsi="Arial" w:cs="Arial"/>
          <w:sz w:val="22"/>
          <w:szCs w:val="22"/>
          <w:lang w:eastAsia="en-GB"/>
        </w:rPr>
        <w:t xml:space="preserve"> work in contemporary society</w:t>
      </w:r>
      <w:r w:rsidR="00F9789F">
        <w:rPr>
          <w:rFonts w:ascii="Arial" w:eastAsia="Times New Roman" w:hAnsi="Arial" w:cs="Arial"/>
          <w:sz w:val="22"/>
          <w:szCs w:val="22"/>
          <w:lang w:eastAsia="en-GB"/>
        </w:rPr>
        <w:t xml:space="preserve">. </w:t>
      </w:r>
      <w:r w:rsidR="0087325C">
        <w:rPr>
          <w:rFonts w:ascii="Arial" w:eastAsia="Times New Roman" w:hAnsi="Arial" w:cs="Arial"/>
          <w:sz w:val="22"/>
          <w:szCs w:val="22"/>
          <w:lang w:eastAsia="en-GB"/>
        </w:rPr>
        <w:t>Indeed</w:t>
      </w:r>
      <w:r w:rsidR="003D6701">
        <w:rPr>
          <w:rFonts w:ascii="Arial" w:eastAsia="Times New Roman" w:hAnsi="Arial" w:cs="Arial"/>
          <w:sz w:val="22"/>
          <w:szCs w:val="22"/>
          <w:lang w:eastAsia="en-GB"/>
        </w:rPr>
        <w:t>,</w:t>
      </w:r>
      <w:r w:rsidR="00B30837">
        <w:rPr>
          <w:rFonts w:ascii="Arial" w:eastAsia="Times New Roman" w:hAnsi="Arial" w:cs="Arial"/>
          <w:sz w:val="22"/>
          <w:szCs w:val="22"/>
          <w:lang w:eastAsia="en-GB"/>
        </w:rPr>
        <w:t xml:space="preserve"> </w:t>
      </w:r>
      <w:proofErr w:type="spellStart"/>
      <w:r w:rsidR="00577368">
        <w:rPr>
          <w:rFonts w:ascii="Arial" w:eastAsia="Times New Roman" w:hAnsi="Arial" w:cs="Arial"/>
          <w:sz w:val="22"/>
          <w:szCs w:val="22"/>
          <w:lang w:eastAsia="en-GB"/>
        </w:rPr>
        <w:t>Shippey</w:t>
      </w:r>
      <w:proofErr w:type="spellEnd"/>
      <w:r w:rsidR="00577368">
        <w:rPr>
          <w:rFonts w:ascii="Arial" w:eastAsia="Times New Roman" w:hAnsi="Arial" w:cs="Arial"/>
          <w:sz w:val="22"/>
          <w:szCs w:val="22"/>
          <w:lang w:eastAsia="en-GB"/>
        </w:rPr>
        <w:t xml:space="preserve"> </w:t>
      </w:r>
      <w:r w:rsidR="0087325C">
        <w:rPr>
          <w:rFonts w:ascii="Arial" w:eastAsia="Times New Roman" w:hAnsi="Arial" w:cs="Arial"/>
          <w:sz w:val="22"/>
          <w:szCs w:val="22"/>
          <w:lang w:eastAsia="en-GB"/>
        </w:rPr>
        <w:t xml:space="preserve">provocatively </w:t>
      </w:r>
      <w:r w:rsidR="00577368">
        <w:rPr>
          <w:rFonts w:ascii="Arial" w:eastAsia="Times New Roman" w:hAnsi="Arial" w:cs="Arial"/>
          <w:sz w:val="22"/>
          <w:szCs w:val="22"/>
          <w:lang w:eastAsia="en-GB"/>
        </w:rPr>
        <w:t>writes that Tolkien is ‘</w:t>
      </w:r>
      <w:r w:rsidR="00577368" w:rsidRPr="00577368">
        <w:rPr>
          <w:rFonts w:ascii="Arial" w:eastAsia="Times New Roman" w:hAnsi="Arial" w:cs="Arial"/>
          <w:sz w:val="22"/>
          <w:szCs w:val="22"/>
          <w:lang w:eastAsia="en-GB"/>
        </w:rPr>
        <w:t>author of the century</w:t>
      </w:r>
      <w:r w:rsidR="00893D24">
        <w:rPr>
          <w:rFonts w:ascii="Arial" w:eastAsia="Times New Roman" w:hAnsi="Arial" w:cs="Arial"/>
          <w:sz w:val="22"/>
          <w:szCs w:val="22"/>
          <w:lang w:eastAsia="en-GB"/>
        </w:rPr>
        <w:t>…</w:t>
      </w:r>
      <w:r w:rsidR="00577368" w:rsidRPr="00577368">
        <w:rPr>
          <w:rFonts w:ascii="Arial" w:eastAsia="Times New Roman" w:hAnsi="Arial" w:cs="Arial"/>
          <w:sz w:val="22"/>
          <w:szCs w:val="22"/>
          <w:lang w:eastAsia="en-GB"/>
        </w:rPr>
        <w:t xml:space="preserve"> responding to</w:t>
      </w:r>
      <w:r w:rsidR="001C50EF">
        <w:rPr>
          <w:rFonts w:ascii="Arial" w:eastAsia="Times New Roman" w:hAnsi="Arial" w:cs="Arial"/>
          <w:sz w:val="22"/>
          <w:szCs w:val="22"/>
          <w:lang w:eastAsia="en-GB"/>
        </w:rPr>
        <w:t xml:space="preserve"> </w:t>
      </w:r>
      <w:r w:rsidR="00577368" w:rsidRPr="00577368">
        <w:rPr>
          <w:rFonts w:ascii="Arial" w:eastAsia="Times New Roman" w:hAnsi="Arial" w:cs="Arial"/>
          <w:sz w:val="22"/>
          <w:szCs w:val="22"/>
          <w:lang w:eastAsia="en-GB"/>
        </w:rPr>
        <w:t>the issues and anxieties of that century</w:t>
      </w:r>
      <w:r w:rsidR="00577368">
        <w:rPr>
          <w:rFonts w:ascii="Arial" w:eastAsia="Times New Roman" w:hAnsi="Arial" w:cs="Arial"/>
          <w:sz w:val="22"/>
          <w:szCs w:val="22"/>
          <w:lang w:eastAsia="en-GB"/>
        </w:rPr>
        <w:t>.’</w:t>
      </w:r>
      <w:r w:rsidR="00577368">
        <w:rPr>
          <w:rStyle w:val="FootnoteReference"/>
          <w:rFonts w:eastAsia="Times New Roman" w:cs="Arial"/>
          <w:szCs w:val="22"/>
          <w:lang w:eastAsia="en-GB"/>
        </w:rPr>
        <w:footnoteReference w:id="18"/>
      </w:r>
    </w:p>
    <w:p w14:paraId="17D6DEE6" w14:textId="77777777" w:rsidR="008B0DDB" w:rsidRDefault="008B0DDB" w:rsidP="00742627">
      <w:pPr>
        <w:rPr>
          <w:rFonts w:ascii="Arial" w:eastAsia="Times New Roman" w:hAnsi="Arial" w:cs="Arial"/>
          <w:sz w:val="22"/>
          <w:szCs w:val="22"/>
          <w:lang w:eastAsia="en-GB"/>
        </w:rPr>
      </w:pPr>
    </w:p>
    <w:p w14:paraId="5EAC07A8" w14:textId="4573ECEF" w:rsidR="00570B57" w:rsidRDefault="008111EA" w:rsidP="00742627">
      <w:pPr>
        <w:rPr>
          <w:rFonts w:ascii="Arial" w:eastAsia="Times New Roman" w:hAnsi="Arial" w:cs="Arial"/>
          <w:sz w:val="22"/>
          <w:szCs w:val="22"/>
          <w:lang w:eastAsia="en-GB"/>
        </w:rPr>
      </w:pPr>
      <w:r>
        <w:rPr>
          <w:rFonts w:ascii="Arial" w:eastAsia="Times New Roman" w:hAnsi="Arial" w:cs="Arial"/>
          <w:sz w:val="22"/>
          <w:szCs w:val="22"/>
          <w:lang w:eastAsia="en-GB"/>
        </w:rPr>
        <w:lastRenderedPageBreak/>
        <w:t xml:space="preserve">First published in </w:t>
      </w:r>
      <w:r w:rsidR="00FD0769">
        <w:rPr>
          <w:rFonts w:ascii="Arial" w:eastAsia="Times New Roman" w:hAnsi="Arial" w:cs="Arial"/>
          <w:sz w:val="22"/>
          <w:szCs w:val="22"/>
          <w:lang w:eastAsia="en-GB"/>
        </w:rPr>
        <w:t>1954</w:t>
      </w:r>
      <w:r w:rsidR="00986671">
        <w:rPr>
          <w:rFonts w:ascii="Arial" w:eastAsia="Times New Roman" w:hAnsi="Arial" w:cs="Arial"/>
          <w:sz w:val="22"/>
          <w:szCs w:val="22"/>
          <w:lang w:eastAsia="en-GB"/>
        </w:rPr>
        <w:t xml:space="preserve"> </w:t>
      </w:r>
      <w:r w:rsidR="00986671" w:rsidRPr="00986671">
        <w:rPr>
          <w:rFonts w:ascii="Arial" w:eastAsia="Times New Roman" w:hAnsi="Arial" w:cs="Arial"/>
          <w:i/>
          <w:iCs/>
          <w:sz w:val="22"/>
          <w:szCs w:val="22"/>
          <w:lang w:eastAsia="en-GB"/>
        </w:rPr>
        <w:t>T</w:t>
      </w:r>
      <w:r w:rsidR="00CB14CF" w:rsidRPr="00986671">
        <w:rPr>
          <w:rFonts w:ascii="Arial" w:eastAsia="Times New Roman" w:hAnsi="Arial" w:cs="Arial"/>
          <w:i/>
          <w:iCs/>
          <w:sz w:val="22"/>
          <w:szCs w:val="22"/>
          <w:lang w:eastAsia="en-GB"/>
        </w:rPr>
        <w:t>he Lord of the Rings</w:t>
      </w:r>
      <w:r w:rsidR="00CB14CF">
        <w:rPr>
          <w:rFonts w:ascii="Arial" w:eastAsia="Times New Roman" w:hAnsi="Arial" w:cs="Arial"/>
          <w:sz w:val="22"/>
          <w:szCs w:val="22"/>
          <w:lang w:eastAsia="en-GB"/>
        </w:rPr>
        <w:t xml:space="preserve"> </w:t>
      </w:r>
      <w:r w:rsidR="00986671">
        <w:rPr>
          <w:rFonts w:ascii="Arial" w:eastAsia="Times New Roman" w:hAnsi="Arial" w:cs="Arial"/>
          <w:sz w:val="22"/>
          <w:szCs w:val="22"/>
          <w:lang w:eastAsia="en-GB"/>
        </w:rPr>
        <w:t xml:space="preserve">describes the </w:t>
      </w:r>
      <w:r w:rsidR="00CE0B8C">
        <w:rPr>
          <w:rFonts w:ascii="Arial" w:eastAsia="Times New Roman" w:hAnsi="Arial" w:cs="Arial"/>
          <w:sz w:val="22"/>
          <w:szCs w:val="22"/>
          <w:lang w:eastAsia="en-GB"/>
        </w:rPr>
        <w:t>fantastical</w:t>
      </w:r>
      <w:r w:rsidR="00CB14CF">
        <w:rPr>
          <w:rFonts w:ascii="Arial" w:eastAsia="Times New Roman" w:hAnsi="Arial" w:cs="Arial"/>
          <w:sz w:val="22"/>
          <w:szCs w:val="22"/>
          <w:lang w:eastAsia="en-GB"/>
        </w:rPr>
        <w:t xml:space="preserve"> world </w:t>
      </w:r>
      <w:r w:rsidR="004E2E51">
        <w:rPr>
          <w:rFonts w:ascii="Arial" w:eastAsia="Times New Roman" w:hAnsi="Arial" w:cs="Arial"/>
          <w:sz w:val="22"/>
          <w:szCs w:val="22"/>
          <w:lang w:eastAsia="en-GB"/>
        </w:rPr>
        <w:t xml:space="preserve">of Middle Earth inhabited by people, </w:t>
      </w:r>
      <w:r w:rsidR="00BB4D10">
        <w:rPr>
          <w:rFonts w:ascii="Arial" w:eastAsia="Times New Roman" w:hAnsi="Arial" w:cs="Arial"/>
          <w:sz w:val="22"/>
          <w:szCs w:val="22"/>
          <w:lang w:eastAsia="en-GB"/>
        </w:rPr>
        <w:t xml:space="preserve">hobbits, </w:t>
      </w:r>
      <w:r w:rsidR="004E2E51">
        <w:rPr>
          <w:rFonts w:ascii="Arial" w:eastAsia="Times New Roman" w:hAnsi="Arial" w:cs="Arial"/>
          <w:sz w:val="22"/>
          <w:szCs w:val="22"/>
          <w:lang w:eastAsia="en-GB"/>
        </w:rPr>
        <w:t>elves</w:t>
      </w:r>
      <w:r w:rsidR="00007912">
        <w:rPr>
          <w:rFonts w:ascii="Arial" w:eastAsia="Times New Roman" w:hAnsi="Arial" w:cs="Arial"/>
          <w:sz w:val="22"/>
          <w:szCs w:val="22"/>
          <w:lang w:eastAsia="en-GB"/>
        </w:rPr>
        <w:t>, and dwarves</w:t>
      </w:r>
      <w:r w:rsidR="004E2E51">
        <w:rPr>
          <w:rFonts w:ascii="Arial" w:eastAsia="Times New Roman" w:hAnsi="Arial" w:cs="Arial"/>
          <w:sz w:val="22"/>
          <w:szCs w:val="22"/>
          <w:lang w:eastAsia="en-GB"/>
        </w:rPr>
        <w:t>.</w:t>
      </w:r>
      <w:r w:rsidR="00AC585F">
        <w:rPr>
          <w:rFonts w:ascii="Arial" w:eastAsia="Times New Roman" w:hAnsi="Arial" w:cs="Arial"/>
          <w:sz w:val="22"/>
          <w:szCs w:val="22"/>
          <w:lang w:eastAsia="en-GB"/>
        </w:rPr>
        <w:t xml:space="preserve"> </w:t>
      </w:r>
      <w:r w:rsidR="004E2E51">
        <w:rPr>
          <w:rFonts w:ascii="Arial" w:eastAsia="Times New Roman" w:hAnsi="Arial" w:cs="Arial"/>
          <w:sz w:val="22"/>
          <w:szCs w:val="22"/>
          <w:lang w:eastAsia="en-GB"/>
        </w:rPr>
        <w:t xml:space="preserve">Among </w:t>
      </w:r>
      <w:proofErr w:type="gramStart"/>
      <w:r w:rsidR="004E2E51">
        <w:rPr>
          <w:rFonts w:ascii="Arial" w:eastAsia="Times New Roman" w:hAnsi="Arial" w:cs="Arial"/>
          <w:sz w:val="22"/>
          <w:szCs w:val="22"/>
          <w:lang w:eastAsia="en-GB"/>
        </w:rPr>
        <w:t>these dwell</w:t>
      </w:r>
      <w:proofErr w:type="gramEnd"/>
      <w:r w:rsidR="004E2E51">
        <w:rPr>
          <w:rFonts w:ascii="Arial" w:eastAsia="Times New Roman" w:hAnsi="Arial" w:cs="Arial"/>
          <w:sz w:val="22"/>
          <w:szCs w:val="22"/>
          <w:lang w:eastAsia="en-GB"/>
        </w:rPr>
        <w:t xml:space="preserve"> an order of wizards known as the </w:t>
      </w:r>
      <w:proofErr w:type="spellStart"/>
      <w:r w:rsidR="004E2E51">
        <w:rPr>
          <w:rFonts w:ascii="Arial" w:eastAsia="Times New Roman" w:hAnsi="Arial" w:cs="Arial"/>
          <w:sz w:val="22"/>
          <w:szCs w:val="22"/>
          <w:lang w:eastAsia="en-GB"/>
        </w:rPr>
        <w:t>Istar</w:t>
      </w:r>
      <w:proofErr w:type="spellEnd"/>
      <w:r w:rsidR="00000B55">
        <w:rPr>
          <w:rFonts w:ascii="Arial" w:eastAsia="Times New Roman" w:hAnsi="Arial" w:cs="Arial"/>
          <w:sz w:val="22"/>
          <w:szCs w:val="22"/>
          <w:lang w:eastAsia="en-GB"/>
        </w:rPr>
        <w:t>, immortal beings</w:t>
      </w:r>
      <w:r w:rsidR="004E2E51">
        <w:rPr>
          <w:rFonts w:ascii="Arial" w:eastAsia="Times New Roman" w:hAnsi="Arial" w:cs="Arial"/>
          <w:sz w:val="22"/>
          <w:szCs w:val="22"/>
          <w:lang w:eastAsia="en-GB"/>
        </w:rPr>
        <w:t xml:space="preserve"> sent as emissaries to Middle Earth by the </w:t>
      </w:r>
      <w:r w:rsidR="00007912">
        <w:rPr>
          <w:rFonts w:ascii="Arial" w:eastAsia="Times New Roman" w:hAnsi="Arial" w:cs="Arial"/>
          <w:sz w:val="22"/>
          <w:szCs w:val="22"/>
          <w:lang w:eastAsia="en-GB"/>
        </w:rPr>
        <w:t>‘</w:t>
      </w:r>
      <w:proofErr w:type="spellStart"/>
      <w:r w:rsidR="004E2E51">
        <w:rPr>
          <w:rFonts w:ascii="Arial" w:eastAsia="Times New Roman" w:hAnsi="Arial" w:cs="Arial"/>
          <w:sz w:val="22"/>
          <w:szCs w:val="22"/>
          <w:lang w:eastAsia="en-GB"/>
        </w:rPr>
        <w:t>Valar</w:t>
      </w:r>
      <w:proofErr w:type="spellEnd"/>
      <w:r w:rsidR="00007912">
        <w:rPr>
          <w:rFonts w:ascii="Arial" w:eastAsia="Times New Roman" w:hAnsi="Arial" w:cs="Arial"/>
          <w:sz w:val="22"/>
          <w:szCs w:val="22"/>
          <w:lang w:eastAsia="en-GB"/>
        </w:rPr>
        <w:t>’</w:t>
      </w:r>
      <w:r w:rsidR="004E2E51">
        <w:rPr>
          <w:rFonts w:ascii="Arial" w:eastAsia="Times New Roman" w:hAnsi="Arial" w:cs="Arial"/>
          <w:sz w:val="22"/>
          <w:szCs w:val="22"/>
          <w:lang w:eastAsia="en-GB"/>
        </w:rPr>
        <w:t xml:space="preserve"> </w:t>
      </w:r>
      <w:r w:rsidR="00007912">
        <w:rPr>
          <w:rFonts w:ascii="Arial" w:eastAsia="Times New Roman" w:hAnsi="Arial" w:cs="Arial"/>
          <w:sz w:val="22"/>
          <w:szCs w:val="22"/>
          <w:lang w:eastAsia="en-GB"/>
        </w:rPr>
        <w:t>(gods)</w:t>
      </w:r>
      <w:r w:rsidR="004E2E51">
        <w:rPr>
          <w:rFonts w:ascii="Arial" w:eastAsia="Times New Roman" w:hAnsi="Arial" w:cs="Arial"/>
          <w:sz w:val="22"/>
          <w:szCs w:val="22"/>
          <w:lang w:eastAsia="en-GB"/>
        </w:rPr>
        <w:t xml:space="preserve"> to </w:t>
      </w:r>
      <w:r w:rsidR="00986671">
        <w:rPr>
          <w:rFonts w:ascii="Arial" w:eastAsia="Times New Roman" w:hAnsi="Arial" w:cs="Arial"/>
          <w:sz w:val="22"/>
          <w:szCs w:val="22"/>
          <w:lang w:eastAsia="en-GB"/>
        </w:rPr>
        <w:t xml:space="preserve">unite </w:t>
      </w:r>
      <w:r w:rsidR="00000B55">
        <w:rPr>
          <w:rFonts w:ascii="Arial" w:eastAsia="Times New Roman" w:hAnsi="Arial" w:cs="Arial"/>
          <w:sz w:val="22"/>
          <w:szCs w:val="22"/>
          <w:lang w:eastAsia="en-GB"/>
        </w:rPr>
        <w:t>its</w:t>
      </w:r>
      <w:r w:rsidR="00986671">
        <w:rPr>
          <w:rFonts w:ascii="Arial" w:eastAsia="Times New Roman" w:hAnsi="Arial" w:cs="Arial"/>
          <w:sz w:val="22"/>
          <w:szCs w:val="22"/>
          <w:lang w:eastAsia="en-GB"/>
        </w:rPr>
        <w:t xml:space="preserve"> inhabitants in love and understanding against forces of evil.</w:t>
      </w:r>
      <w:r w:rsidR="00007912">
        <w:rPr>
          <w:rFonts w:ascii="Arial" w:eastAsia="Times New Roman" w:hAnsi="Arial" w:cs="Arial"/>
          <w:sz w:val="22"/>
          <w:szCs w:val="22"/>
          <w:lang w:eastAsia="en-GB"/>
        </w:rPr>
        <w:t xml:space="preserve"> The most noble of the </w:t>
      </w:r>
      <w:proofErr w:type="spellStart"/>
      <w:r w:rsidR="00007912">
        <w:rPr>
          <w:rFonts w:ascii="Arial" w:eastAsia="Times New Roman" w:hAnsi="Arial" w:cs="Arial"/>
          <w:sz w:val="22"/>
          <w:szCs w:val="22"/>
          <w:lang w:eastAsia="en-GB"/>
        </w:rPr>
        <w:t>Istar</w:t>
      </w:r>
      <w:proofErr w:type="spellEnd"/>
      <w:r w:rsidR="00007912">
        <w:rPr>
          <w:rFonts w:ascii="Arial" w:eastAsia="Times New Roman" w:hAnsi="Arial" w:cs="Arial"/>
          <w:sz w:val="22"/>
          <w:szCs w:val="22"/>
          <w:lang w:eastAsia="en-GB"/>
        </w:rPr>
        <w:t xml:space="preserve"> is Saruman the White, and the seemingly least among them is Gandalf the Grey.</w:t>
      </w:r>
      <w:r w:rsidR="00007912">
        <w:rPr>
          <w:rStyle w:val="FootnoteReference"/>
          <w:rFonts w:eastAsia="Times New Roman" w:cs="Arial"/>
          <w:szCs w:val="22"/>
          <w:lang w:eastAsia="en-GB"/>
        </w:rPr>
        <w:footnoteReference w:id="19"/>
      </w:r>
      <w:r w:rsidR="00E94A8E">
        <w:rPr>
          <w:rFonts w:ascii="Arial" w:eastAsia="Times New Roman" w:hAnsi="Arial" w:cs="Arial"/>
          <w:sz w:val="22"/>
          <w:szCs w:val="22"/>
          <w:lang w:eastAsia="en-GB"/>
        </w:rPr>
        <w:t xml:space="preserve"> </w:t>
      </w:r>
      <w:r w:rsidR="00BE52C2">
        <w:rPr>
          <w:rFonts w:ascii="Arial" w:eastAsia="Times New Roman" w:hAnsi="Arial" w:cs="Arial"/>
          <w:sz w:val="22"/>
          <w:szCs w:val="22"/>
          <w:lang w:eastAsia="en-GB"/>
        </w:rPr>
        <w:t>In the first book of the trilogy, Gandalf leads a party who are tasked with destroying the ‘Ring of Power’ and thereby eliminating evil from Middle-Earth. It is at the end of this book that Gandalf encounters a creature of flame called a ‘Balrog,’ in the ensuing battle they both fall into an abyss.</w:t>
      </w:r>
      <w:r w:rsidR="00AC585F">
        <w:rPr>
          <w:rStyle w:val="FootnoteReference"/>
          <w:rFonts w:eastAsia="Times New Roman" w:cs="Arial"/>
          <w:szCs w:val="22"/>
          <w:lang w:eastAsia="en-GB"/>
        </w:rPr>
        <w:footnoteReference w:id="20"/>
      </w:r>
      <w:r w:rsidR="00FC1790">
        <w:rPr>
          <w:rFonts w:ascii="Arial" w:eastAsia="Times New Roman" w:hAnsi="Arial" w:cs="Arial"/>
          <w:sz w:val="22"/>
          <w:szCs w:val="22"/>
          <w:lang w:eastAsia="en-GB"/>
        </w:rPr>
        <w:t xml:space="preserve"> In the second book a few survivors from the original party meet Gandalf </w:t>
      </w:r>
      <w:r w:rsidR="002778DB">
        <w:rPr>
          <w:rFonts w:ascii="Arial" w:eastAsia="Times New Roman" w:hAnsi="Arial" w:cs="Arial"/>
          <w:sz w:val="22"/>
          <w:szCs w:val="22"/>
          <w:lang w:eastAsia="en-GB"/>
        </w:rPr>
        <w:t>again</w:t>
      </w:r>
      <w:r w:rsidR="00FC1790">
        <w:rPr>
          <w:rFonts w:ascii="Arial" w:eastAsia="Times New Roman" w:hAnsi="Arial" w:cs="Arial"/>
          <w:sz w:val="22"/>
          <w:szCs w:val="22"/>
          <w:lang w:eastAsia="en-GB"/>
        </w:rPr>
        <w:t xml:space="preserve"> but do not immediately recognise him. They attack him out of fear before he reveals himself, but not as Gandalf the </w:t>
      </w:r>
      <w:r w:rsidR="002843D9">
        <w:rPr>
          <w:rFonts w:ascii="Arial" w:eastAsia="Times New Roman" w:hAnsi="Arial" w:cs="Arial"/>
          <w:sz w:val="22"/>
          <w:szCs w:val="22"/>
          <w:lang w:eastAsia="en-GB"/>
        </w:rPr>
        <w:t>G</w:t>
      </w:r>
      <w:r w:rsidR="00FC1790">
        <w:rPr>
          <w:rFonts w:ascii="Arial" w:eastAsia="Times New Roman" w:hAnsi="Arial" w:cs="Arial"/>
          <w:sz w:val="22"/>
          <w:szCs w:val="22"/>
          <w:lang w:eastAsia="en-GB"/>
        </w:rPr>
        <w:t xml:space="preserve">rey, </w:t>
      </w:r>
      <w:r w:rsidR="00CB43B0">
        <w:rPr>
          <w:rFonts w:ascii="Arial" w:eastAsia="Times New Roman" w:hAnsi="Arial" w:cs="Arial"/>
          <w:sz w:val="22"/>
          <w:szCs w:val="22"/>
          <w:lang w:eastAsia="en-GB"/>
        </w:rPr>
        <w:t>supplanting</w:t>
      </w:r>
      <w:r w:rsidR="00FC1790">
        <w:rPr>
          <w:rFonts w:ascii="Arial" w:eastAsia="Times New Roman" w:hAnsi="Arial" w:cs="Arial"/>
          <w:sz w:val="22"/>
          <w:szCs w:val="22"/>
          <w:lang w:eastAsia="en-GB"/>
        </w:rPr>
        <w:t xml:space="preserve"> Saruman </w:t>
      </w:r>
      <w:r w:rsidR="00CB43B0">
        <w:rPr>
          <w:rFonts w:ascii="Arial" w:eastAsia="Times New Roman" w:hAnsi="Arial" w:cs="Arial"/>
          <w:sz w:val="22"/>
          <w:szCs w:val="22"/>
          <w:lang w:eastAsia="en-GB"/>
        </w:rPr>
        <w:t>he</w:t>
      </w:r>
      <w:r w:rsidR="00FC1790">
        <w:rPr>
          <w:rFonts w:ascii="Arial" w:eastAsia="Times New Roman" w:hAnsi="Arial" w:cs="Arial"/>
          <w:sz w:val="22"/>
          <w:szCs w:val="22"/>
          <w:lang w:eastAsia="en-GB"/>
        </w:rPr>
        <w:t xml:space="preserve"> </w:t>
      </w:r>
      <w:r w:rsidR="00194681">
        <w:rPr>
          <w:rFonts w:ascii="Arial" w:eastAsia="Times New Roman" w:hAnsi="Arial" w:cs="Arial"/>
          <w:sz w:val="22"/>
          <w:szCs w:val="22"/>
          <w:lang w:eastAsia="en-GB"/>
        </w:rPr>
        <w:t xml:space="preserve">has become </w:t>
      </w:r>
      <w:r w:rsidR="00FC1790">
        <w:rPr>
          <w:rFonts w:ascii="Arial" w:eastAsia="Times New Roman" w:hAnsi="Arial" w:cs="Arial"/>
          <w:sz w:val="22"/>
          <w:szCs w:val="22"/>
          <w:lang w:eastAsia="en-GB"/>
        </w:rPr>
        <w:t>Gandalf the White.</w:t>
      </w:r>
      <w:r w:rsidR="00000B55" w:rsidRPr="00000B55">
        <w:rPr>
          <w:rStyle w:val="FootnoteReference"/>
          <w:rFonts w:eastAsia="Times New Roman" w:cs="Arial"/>
          <w:szCs w:val="22"/>
          <w:lang w:eastAsia="en-GB"/>
        </w:rPr>
        <w:t xml:space="preserve"> </w:t>
      </w:r>
      <w:r w:rsidR="00000B55">
        <w:rPr>
          <w:rStyle w:val="FootnoteReference"/>
          <w:rFonts w:eastAsia="Times New Roman" w:cs="Arial"/>
          <w:szCs w:val="22"/>
          <w:lang w:eastAsia="en-GB"/>
        </w:rPr>
        <w:footnoteReference w:id="21"/>
      </w:r>
      <w:r w:rsidR="00FC1790">
        <w:rPr>
          <w:rFonts w:ascii="Arial" w:eastAsia="Times New Roman" w:hAnsi="Arial" w:cs="Arial"/>
          <w:sz w:val="22"/>
          <w:szCs w:val="22"/>
          <w:lang w:eastAsia="en-GB"/>
        </w:rPr>
        <w:t xml:space="preserve"> In the following conversation Gandalf </w:t>
      </w:r>
      <w:r w:rsidR="00194681">
        <w:rPr>
          <w:rFonts w:ascii="Arial" w:eastAsia="Times New Roman" w:hAnsi="Arial" w:cs="Arial"/>
          <w:sz w:val="22"/>
          <w:szCs w:val="22"/>
          <w:lang w:eastAsia="en-GB"/>
        </w:rPr>
        <w:t>recounts</w:t>
      </w:r>
      <w:r w:rsidR="00FC1790">
        <w:rPr>
          <w:rFonts w:ascii="Arial" w:eastAsia="Times New Roman" w:hAnsi="Arial" w:cs="Arial"/>
          <w:sz w:val="22"/>
          <w:szCs w:val="22"/>
          <w:lang w:eastAsia="en-GB"/>
        </w:rPr>
        <w:t xml:space="preserve"> the continuing </w:t>
      </w:r>
      <w:r w:rsidR="00194681">
        <w:rPr>
          <w:rFonts w:ascii="Arial" w:eastAsia="Times New Roman" w:hAnsi="Arial" w:cs="Arial"/>
          <w:sz w:val="22"/>
          <w:szCs w:val="22"/>
          <w:lang w:eastAsia="en-GB"/>
        </w:rPr>
        <w:t xml:space="preserve">battle with the </w:t>
      </w:r>
      <w:r w:rsidR="00D66585">
        <w:rPr>
          <w:rFonts w:ascii="Arial" w:eastAsia="Times New Roman" w:hAnsi="Arial" w:cs="Arial"/>
          <w:sz w:val="22"/>
          <w:szCs w:val="22"/>
          <w:lang w:eastAsia="en-GB"/>
        </w:rPr>
        <w:t>‘</w:t>
      </w:r>
      <w:r w:rsidR="00194681">
        <w:rPr>
          <w:rFonts w:ascii="Arial" w:eastAsia="Times New Roman" w:hAnsi="Arial" w:cs="Arial"/>
          <w:sz w:val="22"/>
          <w:szCs w:val="22"/>
          <w:lang w:eastAsia="en-GB"/>
        </w:rPr>
        <w:t>Balrog</w:t>
      </w:r>
      <w:r w:rsidR="00D66585">
        <w:rPr>
          <w:rFonts w:ascii="Arial" w:eastAsia="Times New Roman" w:hAnsi="Arial" w:cs="Arial"/>
          <w:sz w:val="22"/>
          <w:szCs w:val="22"/>
          <w:lang w:eastAsia="en-GB"/>
        </w:rPr>
        <w:t>’</w:t>
      </w:r>
      <w:r w:rsidR="00194681">
        <w:rPr>
          <w:rFonts w:ascii="Arial" w:eastAsia="Times New Roman" w:hAnsi="Arial" w:cs="Arial"/>
          <w:sz w:val="22"/>
          <w:szCs w:val="22"/>
          <w:lang w:eastAsia="en-GB"/>
        </w:rPr>
        <w:t xml:space="preserve"> after falling</w:t>
      </w:r>
      <w:r w:rsidR="00CB43B0">
        <w:rPr>
          <w:rFonts w:ascii="Arial" w:eastAsia="Times New Roman" w:hAnsi="Arial" w:cs="Arial"/>
          <w:sz w:val="22"/>
          <w:szCs w:val="22"/>
          <w:lang w:eastAsia="en-GB"/>
        </w:rPr>
        <w:t xml:space="preserve"> into the abyss</w:t>
      </w:r>
      <w:r w:rsidR="00194681">
        <w:rPr>
          <w:rFonts w:ascii="Arial" w:eastAsia="Times New Roman" w:hAnsi="Arial" w:cs="Arial"/>
          <w:sz w:val="22"/>
          <w:szCs w:val="22"/>
          <w:lang w:eastAsia="en-GB"/>
        </w:rPr>
        <w:t xml:space="preserve">. He </w:t>
      </w:r>
      <w:r w:rsidR="00000B55">
        <w:rPr>
          <w:rFonts w:ascii="Arial" w:eastAsia="Times New Roman" w:hAnsi="Arial" w:cs="Arial"/>
          <w:sz w:val="22"/>
          <w:szCs w:val="22"/>
          <w:lang w:eastAsia="en-GB"/>
        </w:rPr>
        <w:t>tells of how</w:t>
      </w:r>
      <w:r w:rsidR="00194681">
        <w:rPr>
          <w:rFonts w:ascii="Arial" w:eastAsia="Times New Roman" w:hAnsi="Arial" w:cs="Arial"/>
          <w:sz w:val="22"/>
          <w:szCs w:val="22"/>
          <w:lang w:eastAsia="en-GB"/>
        </w:rPr>
        <w:t xml:space="preserve"> they fell deep below the earth to a place ‘</w:t>
      </w:r>
      <w:r w:rsidR="004F3B54">
        <w:rPr>
          <w:rFonts w:ascii="Arial" w:eastAsia="Times New Roman" w:hAnsi="Arial" w:cs="Arial"/>
          <w:sz w:val="22"/>
          <w:szCs w:val="22"/>
          <w:lang w:eastAsia="en-GB"/>
        </w:rPr>
        <w:t>beyond light and knowledge,’</w:t>
      </w:r>
      <w:r w:rsidR="00000B55">
        <w:rPr>
          <w:rStyle w:val="FootnoteReference"/>
          <w:rFonts w:eastAsia="Times New Roman" w:cs="Arial"/>
          <w:szCs w:val="22"/>
          <w:lang w:eastAsia="en-GB"/>
        </w:rPr>
        <w:footnoteReference w:id="22"/>
      </w:r>
      <w:r w:rsidR="004F3B54">
        <w:rPr>
          <w:rFonts w:ascii="Arial" w:eastAsia="Times New Roman" w:hAnsi="Arial" w:cs="Arial"/>
          <w:sz w:val="22"/>
          <w:szCs w:val="22"/>
          <w:lang w:eastAsia="en-GB"/>
        </w:rPr>
        <w:t xml:space="preserve"> before the Balrog escape</w:t>
      </w:r>
      <w:r w:rsidR="00AC2F0A">
        <w:rPr>
          <w:rFonts w:ascii="Arial" w:eastAsia="Times New Roman" w:hAnsi="Arial" w:cs="Arial"/>
          <w:sz w:val="22"/>
          <w:szCs w:val="22"/>
          <w:lang w:eastAsia="en-GB"/>
        </w:rPr>
        <w:t>s</w:t>
      </w:r>
      <w:r w:rsidR="004F3B54">
        <w:rPr>
          <w:rFonts w:ascii="Arial" w:eastAsia="Times New Roman" w:hAnsi="Arial" w:cs="Arial"/>
          <w:sz w:val="22"/>
          <w:szCs w:val="22"/>
          <w:lang w:eastAsia="en-GB"/>
        </w:rPr>
        <w:t xml:space="preserve"> to the peak of the highest mountain. Here Gandalf finally prevails, but darkness takes him, and he strays ‘out of thought and time.’</w:t>
      </w:r>
      <w:r w:rsidR="00000B55">
        <w:rPr>
          <w:rStyle w:val="FootnoteReference"/>
          <w:rFonts w:eastAsia="Times New Roman" w:cs="Arial"/>
          <w:szCs w:val="22"/>
          <w:lang w:eastAsia="en-GB"/>
        </w:rPr>
        <w:footnoteReference w:id="23"/>
      </w:r>
      <w:r w:rsidR="004F3B54">
        <w:rPr>
          <w:rFonts w:ascii="Arial" w:eastAsia="Times New Roman" w:hAnsi="Arial" w:cs="Arial"/>
          <w:sz w:val="22"/>
          <w:szCs w:val="22"/>
          <w:lang w:eastAsia="en-GB"/>
        </w:rPr>
        <w:t xml:space="preserve"> He is </w:t>
      </w:r>
      <w:r w:rsidR="008014CB">
        <w:rPr>
          <w:rFonts w:ascii="Arial" w:eastAsia="Times New Roman" w:hAnsi="Arial" w:cs="Arial"/>
          <w:sz w:val="22"/>
          <w:szCs w:val="22"/>
          <w:lang w:eastAsia="en-GB"/>
        </w:rPr>
        <w:t xml:space="preserve">then </w:t>
      </w:r>
      <w:r w:rsidR="004F3B54">
        <w:rPr>
          <w:rFonts w:ascii="Arial" w:eastAsia="Times New Roman" w:hAnsi="Arial" w:cs="Arial"/>
          <w:sz w:val="22"/>
          <w:szCs w:val="22"/>
          <w:lang w:eastAsia="en-GB"/>
        </w:rPr>
        <w:t xml:space="preserve">sent back </w:t>
      </w:r>
      <w:r w:rsidR="00AC2F0A">
        <w:rPr>
          <w:rFonts w:ascii="Arial" w:eastAsia="Times New Roman" w:hAnsi="Arial" w:cs="Arial"/>
          <w:sz w:val="22"/>
          <w:szCs w:val="22"/>
          <w:lang w:eastAsia="en-GB"/>
        </w:rPr>
        <w:t xml:space="preserve">Middle-Earth </w:t>
      </w:r>
      <w:r w:rsidR="004F3B54">
        <w:rPr>
          <w:rFonts w:ascii="Arial" w:eastAsia="Times New Roman" w:hAnsi="Arial" w:cs="Arial"/>
          <w:sz w:val="22"/>
          <w:szCs w:val="22"/>
          <w:lang w:eastAsia="en-GB"/>
        </w:rPr>
        <w:t>naked</w:t>
      </w:r>
      <w:r w:rsidR="00000B55">
        <w:rPr>
          <w:rFonts w:ascii="Arial" w:eastAsia="Times New Roman" w:hAnsi="Arial" w:cs="Arial"/>
          <w:sz w:val="22"/>
          <w:szCs w:val="22"/>
          <w:lang w:eastAsia="en-GB"/>
        </w:rPr>
        <w:t xml:space="preserve"> </w:t>
      </w:r>
      <w:proofErr w:type="gramStart"/>
      <w:r w:rsidR="002843D9">
        <w:rPr>
          <w:rFonts w:ascii="Arial" w:eastAsia="Times New Roman" w:hAnsi="Arial" w:cs="Arial"/>
          <w:sz w:val="22"/>
          <w:szCs w:val="22"/>
          <w:lang w:eastAsia="en-GB"/>
        </w:rPr>
        <w:t xml:space="preserve">in order </w:t>
      </w:r>
      <w:r w:rsidR="00000B55">
        <w:rPr>
          <w:rFonts w:ascii="Arial" w:eastAsia="Times New Roman" w:hAnsi="Arial" w:cs="Arial"/>
          <w:sz w:val="22"/>
          <w:szCs w:val="22"/>
          <w:lang w:eastAsia="en-GB"/>
        </w:rPr>
        <w:t>to</w:t>
      </w:r>
      <w:proofErr w:type="gramEnd"/>
      <w:r w:rsidR="00000B55">
        <w:rPr>
          <w:rFonts w:ascii="Arial" w:eastAsia="Times New Roman" w:hAnsi="Arial" w:cs="Arial"/>
          <w:sz w:val="22"/>
          <w:szCs w:val="22"/>
          <w:lang w:eastAsia="en-GB"/>
        </w:rPr>
        <w:t xml:space="preserve"> complete a task</w:t>
      </w:r>
      <w:r w:rsidR="002843D9">
        <w:rPr>
          <w:rFonts w:ascii="Arial" w:eastAsia="Times New Roman" w:hAnsi="Arial" w:cs="Arial"/>
          <w:sz w:val="22"/>
          <w:szCs w:val="22"/>
          <w:lang w:eastAsia="en-GB"/>
        </w:rPr>
        <w:t>;</w:t>
      </w:r>
      <w:r w:rsidR="004F3B54">
        <w:rPr>
          <w:rFonts w:ascii="Arial" w:eastAsia="Times New Roman" w:hAnsi="Arial" w:cs="Arial"/>
          <w:sz w:val="22"/>
          <w:szCs w:val="22"/>
          <w:lang w:eastAsia="en-GB"/>
        </w:rPr>
        <w:t xml:space="preserve"> he is healed</w:t>
      </w:r>
      <w:r w:rsidR="00F17ED0">
        <w:rPr>
          <w:rFonts w:ascii="Arial" w:eastAsia="Times New Roman" w:hAnsi="Arial" w:cs="Arial"/>
          <w:sz w:val="22"/>
          <w:szCs w:val="22"/>
          <w:lang w:eastAsia="en-GB"/>
        </w:rPr>
        <w:t xml:space="preserve">, </w:t>
      </w:r>
      <w:r w:rsidR="004F3B54">
        <w:rPr>
          <w:rFonts w:ascii="Arial" w:eastAsia="Times New Roman" w:hAnsi="Arial" w:cs="Arial"/>
          <w:sz w:val="22"/>
          <w:szCs w:val="22"/>
          <w:lang w:eastAsia="en-GB"/>
        </w:rPr>
        <w:t xml:space="preserve">clothed in white, </w:t>
      </w:r>
      <w:r w:rsidR="00F17ED0">
        <w:rPr>
          <w:rFonts w:ascii="Arial" w:eastAsia="Times New Roman" w:hAnsi="Arial" w:cs="Arial"/>
          <w:sz w:val="22"/>
          <w:szCs w:val="22"/>
          <w:lang w:eastAsia="en-GB"/>
        </w:rPr>
        <w:t>then</w:t>
      </w:r>
      <w:r w:rsidR="004F3B54">
        <w:rPr>
          <w:rFonts w:ascii="Arial" w:eastAsia="Times New Roman" w:hAnsi="Arial" w:cs="Arial"/>
          <w:sz w:val="22"/>
          <w:szCs w:val="22"/>
          <w:lang w:eastAsia="en-GB"/>
        </w:rPr>
        <w:t xml:space="preserve"> return</w:t>
      </w:r>
      <w:r w:rsidR="00F17ED0">
        <w:rPr>
          <w:rFonts w:ascii="Arial" w:eastAsia="Times New Roman" w:hAnsi="Arial" w:cs="Arial"/>
          <w:sz w:val="22"/>
          <w:szCs w:val="22"/>
          <w:lang w:eastAsia="en-GB"/>
        </w:rPr>
        <w:t>s</w:t>
      </w:r>
      <w:r w:rsidR="004F3B54">
        <w:rPr>
          <w:rFonts w:ascii="Arial" w:eastAsia="Times New Roman" w:hAnsi="Arial" w:cs="Arial"/>
          <w:sz w:val="22"/>
          <w:szCs w:val="22"/>
          <w:lang w:eastAsia="en-GB"/>
        </w:rPr>
        <w:t xml:space="preserve"> to his companions.</w:t>
      </w:r>
    </w:p>
    <w:p w14:paraId="2710A299" w14:textId="77777777" w:rsidR="003E2531" w:rsidRDefault="003E2531" w:rsidP="003E2531">
      <w:pPr>
        <w:pStyle w:val="NormalWeb"/>
        <w:spacing w:before="0" w:beforeAutospacing="0" w:after="0" w:afterAutospacing="0"/>
        <w:ind w:right="-334"/>
        <w:rPr>
          <w:rFonts w:ascii="Arial" w:hAnsi="Arial" w:cs="Arial"/>
          <w:bCs/>
          <w:sz w:val="22"/>
          <w:szCs w:val="22"/>
        </w:rPr>
      </w:pPr>
    </w:p>
    <w:p w14:paraId="24B18B63" w14:textId="77777777" w:rsidR="009D0F1C" w:rsidRDefault="009D0F1C" w:rsidP="003E2531">
      <w:pPr>
        <w:pStyle w:val="NormalWeb"/>
        <w:spacing w:before="0" w:beforeAutospacing="0" w:after="0" w:afterAutospacing="0"/>
        <w:ind w:right="-334"/>
        <w:rPr>
          <w:rFonts w:ascii="Arial" w:hAnsi="Arial" w:cs="Arial"/>
          <w:bCs/>
          <w:sz w:val="22"/>
          <w:szCs w:val="22"/>
        </w:rPr>
      </w:pPr>
    </w:p>
    <w:p w14:paraId="23EF57EA" w14:textId="1367E8FD" w:rsidR="009D0F1C" w:rsidRPr="009D0F1C" w:rsidRDefault="001B1738" w:rsidP="003E2531">
      <w:pPr>
        <w:pStyle w:val="NormalWeb"/>
        <w:spacing w:before="0" w:beforeAutospacing="0" w:after="0" w:afterAutospacing="0"/>
        <w:ind w:right="-334"/>
        <w:rPr>
          <w:rFonts w:ascii="Arial" w:hAnsi="Arial" w:cs="Arial"/>
          <w:b/>
          <w:sz w:val="22"/>
          <w:szCs w:val="22"/>
        </w:rPr>
      </w:pPr>
      <w:r>
        <w:rPr>
          <w:rFonts w:ascii="Arial" w:hAnsi="Arial" w:cs="Arial"/>
          <w:b/>
          <w:sz w:val="22"/>
          <w:szCs w:val="22"/>
        </w:rPr>
        <w:t xml:space="preserve">A </w:t>
      </w:r>
      <w:r w:rsidR="009D0F1C" w:rsidRPr="009D0F1C">
        <w:rPr>
          <w:rFonts w:ascii="Arial" w:hAnsi="Arial" w:cs="Arial"/>
          <w:b/>
          <w:sz w:val="22"/>
          <w:szCs w:val="22"/>
        </w:rPr>
        <w:t>COMPARISON</w:t>
      </w:r>
    </w:p>
    <w:p w14:paraId="4DCA69E4" w14:textId="77777777" w:rsidR="009D0F1C" w:rsidRPr="009D0F1C" w:rsidRDefault="009D0F1C" w:rsidP="003E2531">
      <w:pPr>
        <w:pStyle w:val="NormalWeb"/>
        <w:spacing w:before="0" w:beforeAutospacing="0" w:after="0" w:afterAutospacing="0"/>
        <w:ind w:right="-334"/>
        <w:rPr>
          <w:rFonts w:ascii="Arial" w:hAnsi="Arial" w:cs="Arial"/>
          <w:b/>
          <w:sz w:val="22"/>
          <w:szCs w:val="22"/>
        </w:rPr>
      </w:pPr>
    </w:p>
    <w:p w14:paraId="5340F464" w14:textId="46E751F8" w:rsidR="009D0F1C" w:rsidRPr="009D0F1C" w:rsidRDefault="009D0F1C" w:rsidP="003E2531">
      <w:pPr>
        <w:pStyle w:val="NormalWeb"/>
        <w:spacing w:before="0" w:beforeAutospacing="0" w:after="0" w:afterAutospacing="0"/>
        <w:ind w:right="-334"/>
        <w:rPr>
          <w:rFonts w:ascii="Arial" w:hAnsi="Arial" w:cs="Arial"/>
          <w:b/>
          <w:sz w:val="22"/>
          <w:szCs w:val="22"/>
        </w:rPr>
      </w:pPr>
      <w:r w:rsidRPr="009D0F1C">
        <w:rPr>
          <w:rFonts w:ascii="Arial" w:hAnsi="Arial" w:cs="Arial"/>
          <w:b/>
          <w:sz w:val="22"/>
          <w:szCs w:val="22"/>
        </w:rPr>
        <w:t>Etymology</w:t>
      </w:r>
    </w:p>
    <w:p w14:paraId="4AD48B83" w14:textId="77777777" w:rsidR="009D0F1C" w:rsidRDefault="009D0F1C" w:rsidP="003E2531">
      <w:pPr>
        <w:pStyle w:val="NormalWeb"/>
        <w:spacing w:before="0" w:beforeAutospacing="0" w:after="0" w:afterAutospacing="0"/>
        <w:ind w:right="-334"/>
        <w:rPr>
          <w:rFonts w:ascii="Arial" w:hAnsi="Arial" w:cs="Arial"/>
          <w:bCs/>
          <w:sz w:val="22"/>
          <w:szCs w:val="22"/>
        </w:rPr>
      </w:pPr>
    </w:p>
    <w:p w14:paraId="29C01338" w14:textId="6CB803CF" w:rsidR="009D0F1C" w:rsidRDefault="009D0F1C" w:rsidP="003E2531">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first </w:t>
      </w:r>
      <w:r w:rsidR="00DF7986">
        <w:rPr>
          <w:rFonts w:ascii="Arial" w:hAnsi="Arial" w:cs="Arial"/>
          <w:bCs/>
          <w:sz w:val="22"/>
          <w:szCs w:val="22"/>
        </w:rPr>
        <w:t xml:space="preserve">thing to notice is the similarity in the name of the Akkadian goddess Ishtar, and the order of wizards to which Gandalf belongs called the </w:t>
      </w:r>
      <w:proofErr w:type="spellStart"/>
      <w:r w:rsidR="00DF7986">
        <w:rPr>
          <w:rFonts w:ascii="Arial" w:hAnsi="Arial" w:cs="Arial"/>
          <w:bCs/>
          <w:sz w:val="22"/>
          <w:szCs w:val="22"/>
        </w:rPr>
        <w:t>Istar</w:t>
      </w:r>
      <w:proofErr w:type="spellEnd"/>
      <w:r w:rsidR="00DF7986">
        <w:rPr>
          <w:rFonts w:ascii="Arial" w:hAnsi="Arial" w:cs="Arial"/>
          <w:bCs/>
          <w:sz w:val="22"/>
          <w:szCs w:val="22"/>
        </w:rPr>
        <w:t>.</w:t>
      </w:r>
      <w:r w:rsidR="002C194D">
        <w:rPr>
          <w:rFonts w:ascii="Arial" w:hAnsi="Arial" w:cs="Arial"/>
          <w:bCs/>
          <w:sz w:val="22"/>
          <w:szCs w:val="22"/>
        </w:rPr>
        <w:t xml:space="preserve"> In creating the fully immersive worl</w:t>
      </w:r>
      <w:r w:rsidR="004565D4">
        <w:rPr>
          <w:rFonts w:ascii="Arial" w:hAnsi="Arial" w:cs="Arial"/>
          <w:bCs/>
          <w:sz w:val="22"/>
          <w:szCs w:val="22"/>
        </w:rPr>
        <w:t xml:space="preserve">d of Middle-Earth Tolkien developed </w:t>
      </w:r>
      <w:r w:rsidR="00121B4E">
        <w:rPr>
          <w:rFonts w:ascii="Arial" w:hAnsi="Arial" w:cs="Arial"/>
          <w:bCs/>
          <w:sz w:val="22"/>
          <w:szCs w:val="22"/>
        </w:rPr>
        <w:t>several</w:t>
      </w:r>
      <w:r w:rsidR="004565D4">
        <w:rPr>
          <w:rFonts w:ascii="Arial" w:hAnsi="Arial" w:cs="Arial"/>
          <w:bCs/>
          <w:sz w:val="22"/>
          <w:szCs w:val="22"/>
        </w:rPr>
        <w:t xml:space="preserve"> languages, within these the word </w:t>
      </w:r>
      <w:proofErr w:type="spellStart"/>
      <w:r w:rsidR="004565D4">
        <w:rPr>
          <w:rFonts w:ascii="Arial" w:hAnsi="Arial" w:cs="Arial"/>
          <w:bCs/>
          <w:sz w:val="22"/>
          <w:szCs w:val="22"/>
        </w:rPr>
        <w:t>Istar</w:t>
      </w:r>
      <w:proofErr w:type="spellEnd"/>
      <w:r w:rsidR="004565D4">
        <w:rPr>
          <w:rFonts w:ascii="Arial" w:hAnsi="Arial" w:cs="Arial"/>
          <w:bCs/>
          <w:sz w:val="22"/>
          <w:szCs w:val="22"/>
        </w:rPr>
        <w:t xml:space="preserve"> is translated as ‘wise,’</w:t>
      </w:r>
      <w:r w:rsidR="005A521A">
        <w:rPr>
          <w:rStyle w:val="FootnoteReference"/>
          <w:rFonts w:cs="Arial"/>
          <w:bCs/>
          <w:szCs w:val="22"/>
        </w:rPr>
        <w:footnoteReference w:id="24"/>
      </w:r>
      <w:r w:rsidR="004565D4">
        <w:rPr>
          <w:rFonts w:ascii="Arial" w:hAnsi="Arial" w:cs="Arial"/>
          <w:bCs/>
          <w:sz w:val="22"/>
          <w:szCs w:val="22"/>
        </w:rPr>
        <w:t xml:space="preserve"> </w:t>
      </w:r>
      <w:r w:rsidR="00121B4E">
        <w:rPr>
          <w:rFonts w:ascii="Arial" w:hAnsi="Arial" w:cs="Arial"/>
          <w:bCs/>
          <w:sz w:val="22"/>
          <w:szCs w:val="22"/>
        </w:rPr>
        <w:t>which is not</w:t>
      </w:r>
      <w:r w:rsidR="00E32355">
        <w:rPr>
          <w:rFonts w:ascii="Arial" w:hAnsi="Arial" w:cs="Arial"/>
          <w:bCs/>
          <w:sz w:val="22"/>
          <w:szCs w:val="22"/>
        </w:rPr>
        <w:t xml:space="preserve"> </w:t>
      </w:r>
      <w:r w:rsidR="004565D4">
        <w:rPr>
          <w:rFonts w:ascii="Arial" w:hAnsi="Arial" w:cs="Arial"/>
          <w:bCs/>
          <w:sz w:val="22"/>
          <w:szCs w:val="22"/>
        </w:rPr>
        <w:t>one of the primary characteristics usually associated with Ishtar.</w:t>
      </w:r>
      <w:r w:rsidR="003143A9">
        <w:rPr>
          <w:rFonts w:ascii="Arial" w:hAnsi="Arial" w:cs="Arial"/>
          <w:bCs/>
          <w:sz w:val="22"/>
          <w:szCs w:val="22"/>
        </w:rPr>
        <w:t xml:space="preserve"> </w:t>
      </w:r>
      <w:r w:rsidR="008A2DF1">
        <w:rPr>
          <w:rFonts w:ascii="Arial" w:hAnsi="Arial" w:cs="Arial"/>
          <w:bCs/>
          <w:sz w:val="22"/>
          <w:szCs w:val="22"/>
        </w:rPr>
        <w:t xml:space="preserve">According to Black and Green </w:t>
      </w:r>
      <w:r w:rsidR="00121B4E">
        <w:rPr>
          <w:rFonts w:ascii="Arial" w:hAnsi="Arial" w:cs="Arial"/>
          <w:bCs/>
          <w:sz w:val="22"/>
          <w:szCs w:val="22"/>
        </w:rPr>
        <w:t xml:space="preserve">it is </w:t>
      </w:r>
      <w:r w:rsidR="008A2DF1">
        <w:rPr>
          <w:rFonts w:ascii="Arial" w:hAnsi="Arial" w:cs="Arial"/>
          <w:bCs/>
          <w:sz w:val="22"/>
          <w:szCs w:val="22"/>
        </w:rPr>
        <w:t>t</w:t>
      </w:r>
      <w:r w:rsidR="00730D95">
        <w:rPr>
          <w:rFonts w:ascii="Arial" w:hAnsi="Arial" w:cs="Arial"/>
          <w:bCs/>
          <w:sz w:val="22"/>
          <w:szCs w:val="22"/>
        </w:rPr>
        <w:t xml:space="preserve">he Akkadian god </w:t>
      </w:r>
      <w:proofErr w:type="spellStart"/>
      <w:r w:rsidR="00121B4E">
        <w:rPr>
          <w:rFonts w:ascii="Arial" w:hAnsi="Arial" w:cs="Arial"/>
          <w:bCs/>
          <w:sz w:val="22"/>
          <w:szCs w:val="22"/>
        </w:rPr>
        <w:t>Ea</w:t>
      </w:r>
      <w:proofErr w:type="spellEnd"/>
      <w:r w:rsidR="00121B4E">
        <w:rPr>
          <w:rFonts w:ascii="Arial" w:hAnsi="Arial" w:cs="Arial"/>
          <w:bCs/>
          <w:sz w:val="22"/>
          <w:szCs w:val="22"/>
        </w:rPr>
        <w:t xml:space="preserve"> who is </w:t>
      </w:r>
      <w:r w:rsidR="00730D95">
        <w:rPr>
          <w:rFonts w:ascii="Arial" w:hAnsi="Arial" w:cs="Arial"/>
          <w:bCs/>
          <w:sz w:val="22"/>
          <w:szCs w:val="22"/>
        </w:rPr>
        <w:t>associated with wisdom</w:t>
      </w:r>
      <w:r w:rsidR="00121B4E">
        <w:rPr>
          <w:rFonts w:ascii="Arial" w:hAnsi="Arial" w:cs="Arial"/>
          <w:bCs/>
          <w:sz w:val="22"/>
          <w:szCs w:val="22"/>
        </w:rPr>
        <w:t>,</w:t>
      </w:r>
      <w:r w:rsidR="0000748C" w:rsidRPr="0000748C">
        <w:rPr>
          <w:rStyle w:val="FootnoteReference"/>
          <w:rFonts w:cs="Arial"/>
          <w:bCs/>
          <w:szCs w:val="22"/>
        </w:rPr>
        <w:t xml:space="preserve"> </w:t>
      </w:r>
      <w:r w:rsidR="0000748C">
        <w:rPr>
          <w:rStyle w:val="FootnoteReference"/>
          <w:rFonts w:cs="Arial"/>
          <w:bCs/>
          <w:szCs w:val="22"/>
        </w:rPr>
        <w:footnoteReference w:id="25"/>
      </w:r>
      <w:r w:rsidR="00121B4E">
        <w:rPr>
          <w:rFonts w:ascii="Arial" w:hAnsi="Arial" w:cs="Arial"/>
          <w:bCs/>
          <w:sz w:val="22"/>
          <w:szCs w:val="22"/>
        </w:rPr>
        <w:t xml:space="preserve"> and</w:t>
      </w:r>
      <w:r w:rsidR="00730D95">
        <w:rPr>
          <w:rFonts w:ascii="Arial" w:hAnsi="Arial" w:cs="Arial"/>
          <w:bCs/>
          <w:sz w:val="22"/>
          <w:szCs w:val="22"/>
        </w:rPr>
        <w:t xml:space="preserve"> who </w:t>
      </w:r>
      <w:r w:rsidR="00121B4E">
        <w:rPr>
          <w:rFonts w:ascii="Arial" w:hAnsi="Arial" w:cs="Arial"/>
          <w:bCs/>
          <w:sz w:val="22"/>
          <w:szCs w:val="22"/>
        </w:rPr>
        <w:t>appear</w:t>
      </w:r>
      <w:r w:rsidR="00BA7DA2">
        <w:rPr>
          <w:rFonts w:ascii="Arial" w:hAnsi="Arial" w:cs="Arial"/>
          <w:bCs/>
          <w:sz w:val="22"/>
          <w:szCs w:val="22"/>
        </w:rPr>
        <w:t>s</w:t>
      </w:r>
      <w:r w:rsidR="00E32355">
        <w:rPr>
          <w:rFonts w:ascii="Arial" w:hAnsi="Arial" w:cs="Arial"/>
          <w:bCs/>
          <w:sz w:val="22"/>
          <w:szCs w:val="22"/>
        </w:rPr>
        <w:t xml:space="preserve"> in</w:t>
      </w:r>
      <w:r w:rsidR="00730D95">
        <w:rPr>
          <w:rFonts w:ascii="Arial" w:hAnsi="Arial" w:cs="Arial"/>
          <w:bCs/>
          <w:sz w:val="22"/>
          <w:szCs w:val="22"/>
        </w:rPr>
        <w:t xml:space="preserve"> the myth of the decent of Ishtar</w:t>
      </w:r>
      <w:r w:rsidR="00BA7DA2">
        <w:rPr>
          <w:rFonts w:ascii="Arial" w:hAnsi="Arial" w:cs="Arial"/>
          <w:bCs/>
          <w:sz w:val="22"/>
          <w:szCs w:val="22"/>
        </w:rPr>
        <w:t xml:space="preserve"> as the king who devises the plan by which </w:t>
      </w:r>
      <w:r w:rsidR="00A90B53">
        <w:rPr>
          <w:rFonts w:ascii="Arial" w:hAnsi="Arial" w:cs="Arial"/>
          <w:bCs/>
          <w:sz w:val="22"/>
          <w:szCs w:val="22"/>
        </w:rPr>
        <w:t>she</w:t>
      </w:r>
      <w:r w:rsidR="00BA7DA2">
        <w:rPr>
          <w:rFonts w:ascii="Arial" w:hAnsi="Arial" w:cs="Arial"/>
          <w:bCs/>
          <w:sz w:val="22"/>
          <w:szCs w:val="22"/>
        </w:rPr>
        <w:t xml:space="preserve"> can escape the Nether World</w:t>
      </w:r>
      <w:r w:rsidR="00730D95">
        <w:rPr>
          <w:rFonts w:ascii="Arial" w:hAnsi="Arial" w:cs="Arial"/>
          <w:bCs/>
          <w:sz w:val="22"/>
          <w:szCs w:val="22"/>
        </w:rPr>
        <w:t>.</w:t>
      </w:r>
      <w:r w:rsidR="008A2DF1">
        <w:rPr>
          <w:rStyle w:val="FootnoteReference"/>
          <w:rFonts w:cs="Arial"/>
          <w:bCs/>
          <w:szCs w:val="22"/>
        </w:rPr>
        <w:footnoteReference w:id="26"/>
      </w:r>
      <w:r w:rsidR="00730D95">
        <w:rPr>
          <w:rFonts w:ascii="Arial" w:hAnsi="Arial" w:cs="Arial"/>
          <w:bCs/>
          <w:sz w:val="22"/>
          <w:szCs w:val="22"/>
        </w:rPr>
        <w:t xml:space="preserve"> </w:t>
      </w:r>
      <w:r w:rsidR="00A31FB6">
        <w:rPr>
          <w:rFonts w:ascii="Arial" w:hAnsi="Arial" w:cs="Arial"/>
          <w:bCs/>
          <w:sz w:val="22"/>
          <w:szCs w:val="22"/>
        </w:rPr>
        <w:t>The</w:t>
      </w:r>
      <w:r w:rsidR="00730D95">
        <w:rPr>
          <w:rFonts w:ascii="Arial" w:hAnsi="Arial" w:cs="Arial"/>
          <w:bCs/>
          <w:sz w:val="22"/>
          <w:szCs w:val="22"/>
        </w:rPr>
        <w:t xml:space="preserve"> word </w:t>
      </w:r>
      <w:r w:rsidR="002843D9">
        <w:rPr>
          <w:rFonts w:ascii="Arial" w:hAnsi="Arial" w:cs="Arial"/>
          <w:bCs/>
          <w:sz w:val="22"/>
          <w:szCs w:val="22"/>
        </w:rPr>
        <w:t>‘</w:t>
      </w:r>
      <w:proofErr w:type="spellStart"/>
      <w:r w:rsidR="00730D95">
        <w:rPr>
          <w:rFonts w:ascii="Arial" w:hAnsi="Arial" w:cs="Arial"/>
          <w:bCs/>
          <w:sz w:val="22"/>
          <w:szCs w:val="22"/>
        </w:rPr>
        <w:t>Ea</w:t>
      </w:r>
      <w:proofErr w:type="spellEnd"/>
      <w:r w:rsidR="002843D9">
        <w:rPr>
          <w:rFonts w:ascii="Arial" w:hAnsi="Arial" w:cs="Arial"/>
          <w:bCs/>
          <w:sz w:val="22"/>
          <w:szCs w:val="22"/>
        </w:rPr>
        <w:t>’</w:t>
      </w:r>
      <w:r w:rsidR="00730D95">
        <w:rPr>
          <w:rFonts w:ascii="Arial" w:hAnsi="Arial" w:cs="Arial"/>
          <w:bCs/>
          <w:sz w:val="22"/>
          <w:szCs w:val="22"/>
        </w:rPr>
        <w:t xml:space="preserve"> </w:t>
      </w:r>
      <w:r w:rsidR="0000748C">
        <w:rPr>
          <w:rFonts w:ascii="Arial" w:hAnsi="Arial" w:cs="Arial"/>
          <w:bCs/>
          <w:sz w:val="22"/>
          <w:szCs w:val="22"/>
        </w:rPr>
        <w:t>is also used</w:t>
      </w:r>
      <w:r w:rsidR="00730D95">
        <w:rPr>
          <w:rFonts w:ascii="Arial" w:hAnsi="Arial" w:cs="Arial"/>
          <w:bCs/>
          <w:sz w:val="22"/>
          <w:szCs w:val="22"/>
        </w:rPr>
        <w:t xml:space="preserve"> </w:t>
      </w:r>
      <w:r w:rsidR="0000748C">
        <w:rPr>
          <w:rFonts w:ascii="Arial" w:hAnsi="Arial" w:cs="Arial"/>
          <w:bCs/>
          <w:sz w:val="22"/>
          <w:szCs w:val="22"/>
        </w:rPr>
        <w:t xml:space="preserve">by Tolkien </w:t>
      </w:r>
      <w:r w:rsidR="00730D95">
        <w:rPr>
          <w:rFonts w:ascii="Arial" w:hAnsi="Arial" w:cs="Arial"/>
          <w:bCs/>
          <w:sz w:val="22"/>
          <w:szCs w:val="22"/>
        </w:rPr>
        <w:t xml:space="preserve">in Middle-Earth </w:t>
      </w:r>
      <w:r w:rsidR="00D429B4">
        <w:rPr>
          <w:rFonts w:ascii="Arial" w:hAnsi="Arial" w:cs="Arial"/>
          <w:bCs/>
          <w:sz w:val="22"/>
          <w:szCs w:val="22"/>
        </w:rPr>
        <w:t xml:space="preserve">cosmology </w:t>
      </w:r>
      <w:r w:rsidR="008A2DF1">
        <w:rPr>
          <w:rFonts w:ascii="Arial" w:hAnsi="Arial" w:cs="Arial"/>
          <w:bCs/>
          <w:sz w:val="22"/>
          <w:szCs w:val="22"/>
        </w:rPr>
        <w:t xml:space="preserve">as the name of </w:t>
      </w:r>
      <w:r w:rsidR="00A31FB6">
        <w:rPr>
          <w:rFonts w:ascii="Arial" w:hAnsi="Arial" w:cs="Arial"/>
          <w:bCs/>
          <w:sz w:val="22"/>
          <w:szCs w:val="22"/>
        </w:rPr>
        <w:t>‘all that is</w:t>
      </w:r>
      <w:r w:rsidR="008A2DF1">
        <w:rPr>
          <w:rFonts w:ascii="Arial" w:hAnsi="Arial" w:cs="Arial"/>
          <w:bCs/>
          <w:sz w:val="22"/>
          <w:szCs w:val="22"/>
        </w:rPr>
        <w:t>.</w:t>
      </w:r>
      <w:r w:rsidR="00A31FB6">
        <w:rPr>
          <w:rFonts w:ascii="Arial" w:hAnsi="Arial" w:cs="Arial"/>
          <w:bCs/>
          <w:sz w:val="22"/>
          <w:szCs w:val="22"/>
        </w:rPr>
        <w:t>’</w:t>
      </w:r>
      <w:r w:rsidR="00D429B4">
        <w:rPr>
          <w:rStyle w:val="FootnoteReference"/>
          <w:rFonts w:cs="Arial"/>
          <w:bCs/>
          <w:szCs w:val="22"/>
        </w:rPr>
        <w:footnoteReference w:id="27"/>
      </w:r>
      <w:r w:rsidR="00D429B4">
        <w:rPr>
          <w:rFonts w:ascii="Arial" w:hAnsi="Arial" w:cs="Arial"/>
          <w:bCs/>
          <w:sz w:val="22"/>
          <w:szCs w:val="22"/>
        </w:rPr>
        <w:t xml:space="preserve"> Though the meanings of these </w:t>
      </w:r>
      <w:r w:rsidR="00E32355">
        <w:rPr>
          <w:rFonts w:ascii="Arial" w:hAnsi="Arial" w:cs="Arial"/>
          <w:bCs/>
          <w:sz w:val="22"/>
          <w:szCs w:val="22"/>
        </w:rPr>
        <w:t>words differ between the texts, it would seem unlikely that Tolkien would have been unaware of their similarity given his background as a philologist.</w:t>
      </w:r>
    </w:p>
    <w:p w14:paraId="53D9152B" w14:textId="77777777" w:rsidR="0043218D" w:rsidRDefault="0043218D" w:rsidP="003E2531">
      <w:pPr>
        <w:pStyle w:val="NormalWeb"/>
        <w:spacing w:before="0" w:beforeAutospacing="0" w:after="0" w:afterAutospacing="0"/>
        <w:ind w:right="-334"/>
        <w:rPr>
          <w:rFonts w:ascii="Arial" w:hAnsi="Arial" w:cs="Arial"/>
          <w:bCs/>
          <w:sz w:val="22"/>
          <w:szCs w:val="22"/>
        </w:rPr>
      </w:pPr>
    </w:p>
    <w:p w14:paraId="46FBAB68" w14:textId="77777777" w:rsidR="00BB77E6" w:rsidRDefault="001B1738" w:rsidP="00BB77E6">
      <w:pPr>
        <w:pStyle w:val="NormalWeb"/>
        <w:spacing w:before="0" w:beforeAutospacing="0" w:after="0" w:afterAutospacing="0"/>
        <w:ind w:right="-334"/>
        <w:rPr>
          <w:rFonts w:ascii="Arial" w:hAnsi="Arial" w:cs="Arial"/>
          <w:b/>
          <w:sz w:val="22"/>
          <w:szCs w:val="22"/>
        </w:rPr>
      </w:pPr>
      <w:r w:rsidRPr="001B1738">
        <w:rPr>
          <w:rFonts w:ascii="Arial" w:hAnsi="Arial" w:cs="Arial"/>
          <w:b/>
          <w:sz w:val="22"/>
          <w:szCs w:val="22"/>
        </w:rPr>
        <w:t>The Characters</w:t>
      </w:r>
    </w:p>
    <w:p w14:paraId="481C3A58" w14:textId="77777777" w:rsidR="00BB77E6" w:rsidRDefault="00BB77E6" w:rsidP="00BB77E6">
      <w:pPr>
        <w:pStyle w:val="NormalWeb"/>
        <w:spacing w:before="0" w:beforeAutospacing="0" w:after="0" w:afterAutospacing="0"/>
        <w:ind w:right="-334"/>
        <w:rPr>
          <w:rFonts w:ascii="Arial" w:hAnsi="Arial" w:cs="Arial"/>
          <w:b/>
          <w:sz w:val="22"/>
          <w:szCs w:val="22"/>
        </w:rPr>
      </w:pPr>
    </w:p>
    <w:p w14:paraId="5712868C" w14:textId="2A445DD7" w:rsidR="00E93E25" w:rsidRPr="00BB77E6" w:rsidRDefault="001B1738" w:rsidP="00BB77E6">
      <w:pPr>
        <w:pStyle w:val="NormalWeb"/>
        <w:spacing w:before="0" w:beforeAutospacing="0" w:after="0" w:afterAutospacing="0"/>
        <w:ind w:right="-334"/>
        <w:rPr>
          <w:rFonts w:ascii="Arial" w:hAnsi="Arial" w:cs="Arial"/>
          <w:b/>
          <w:sz w:val="22"/>
          <w:szCs w:val="22"/>
        </w:rPr>
      </w:pPr>
      <w:r>
        <w:rPr>
          <w:rFonts w:ascii="Arial" w:hAnsi="Arial" w:cs="Arial"/>
          <w:bCs/>
          <w:sz w:val="22"/>
          <w:szCs w:val="22"/>
        </w:rPr>
        <w:t xml:space="preserve">There are key differences between the two main protagonists, Ishtar being female and Gandalf male, and Ishtar being a goddess whereas Gandalf </w:t>
      </w:r>
      <w:r w:rsidR="002843D9">
        <w:rPr>
          <w:rFonts w:ascii="Arial" w:hAnsi="Arial" w:cs="Arial"/>
          <w:bCs/>
          <w:sz w:val="22"/>
          <w:szCs w:val="22"/>
        </w:rPr>
        <w:t xml:space="preserve">though immortal, </w:t>
      </w:r>
      <w:r>
        <w:rPr>
          <w:rFonts w:ascii="Arial" w:hAnsi="Arial" w:cs="Arial"/>
          <w:bCs/>
          <w:sz w:val="22"/>
          <w:szCs w:val="22"/>
        </w:rPr>
        <w:t xml:space="preserve">was only sent by the gods. There does however seem to be a level similarity between them when considering the dual nature of Ishtar identified by Harris, </w:t>
      </w:r>
      <w:r w:rsidR="00A76D55">
        <w:rPr>
          <w:rFonts w:ascii="Arial" w:hAnsi="Arial" w:cs="Arial"/>
          <w:bCs/>
          <w:sz w:val="22"/>
          <w:szCs w:val="22"/>
        </w:rPr>
        <w:t>who describes her more fully as representing ‘</w:t>
      </w:r>
      <w:r w:rsidR="00A76D55" w:rsidRPr="00A76D55">
        <w:rPr>
          <w:rFonts w:ascii="Arial" w:hAnsi="Arial" w:cs="Arial"/>
          <w:bCs/>
          <w:sz w:val="22"/>
          <w:szCs w:val="22"/>
        </w:rPr>
        <w:t xml:space="preserve">both order and disorder, </w:t>
      </w:r>
      <w:r w:rsidR="00A76D55" w:rsidRPr="00A76D55">
        <w:rPr>
          <w:rFonts w:ascii="Arial" w:hAnsi="Arial" w:cs="Arial"/>
          <w:bCs/>
          <w:sz w:val="22"/>
          <w:szCs w:val="22"/>
        </w:rPr>
        <w:lastRenderedPageBreak/>
        <w:t>structure and antistructure</w:t>
      </w:r>
      <w:r>
        <w:rPr>
          <w:rFonts w:ascii="Arial" w:hAnsi="Arial" w:cs="Arial"/>
          <w:bCs/>
          <w:sz w:val="22"/>
          <w:szCs w:val="22"/>
        </w:rPr>
        <w:t>.</w:t>
      </w:r>
      <w:r w:rsidR="00A76D55">
        <w:rPr>
          <w:rFonts w:ascii="Arial" w:hAnsi="Arial" w:cs="Arial"/>
          <w:bCs/>
          <w:sz w:val="22"/>
          <w:szCs w:val="22"/>
        </w:rPr>
        <w:t>’</w:t>
      </w:r>
      <w:r w:rsidR="00A76D55" w:rsidRPr="00A76D55">
        <w:rPr>
          <w:rStyle w:val="FootnoteReference"/>
          <w:rFonts w:cs="Arial"/>
          <w:bCs/>
          <w:szCs w:val="22"/>
        </w:rPr>
        <w:t xml:space="preserve"> </w:t>
      </w:r>
      <w:r w:rsidR="00A76D55">
        <w:rPr>
          <w:rStyle w:val="FootnoteReference"/>
          <w:rFonts w:cs="Arial"/>
          <w:bCs/>
          <w:szCs w:val="22"/>
        </w:rPr>
        <w:footnoteReference w:id="28"/>
      </w:r>
      <w:r>
        <w:rPr>
          <w:rFonts w:ascii="Arial" w:hAnsi="Arial" w:cs="Arial"/>
          <w:bCs/>
          <w:sz w:val="22"/>
          <w:szCs w:val="22"/>
        </w:rPr>
        <w:t xml:space="preserve"> </w:t>
      </w:r>
      <w:r w:rsidR="0043218D">
        <w:rPr>
          <w:rFonts w:ascii="Arial" w:eastAsia="Times New Roman" w:hAnsi="Arial" w:cs="Arial"/>
          <w:sz w:val="22"/>
          <w:szCs w:val="22"/>
          <w:lang w:eastAsia="en-GB"/>
        </w:rPr>
        <w:t>Collins suggests that</w:t>
      </w:r>
      <w:r w:rsidR="002778DB">
        <w:rPr>
          <w:rFonts w:ascii="Arial" w:eastAsia="Times New Roman" w:hAnsi="Arial" w:cs="Arial"/>
          <w:sz w:val="22"/>
          <w:szCs w:val="22"/>
          <w:lang w:eastAsia="en-GB"/>
        </w:rPr>
        <w:t xml:space="preserve"> her duality </w:t>
      </w:r>
      <w:r w:rsidR="0043218D">
        <w:rPr>
          <w:rFonts w:ascii="Arial" w:eastAsia="Times New Roman" w:hAnsi="Arial" w:cs="Arial"/>
          <w:sz w:val="22"/>
          <w:szCs w:val="22"/>
          <w:lang w:eastAsia="en-GB"/>
        </w:rPr>
        <w:t>could be accounted for by her association with Venus in that the planet takes on feminine characteristics such as love when it appears as the evening star, and masculine characteristics such as war when it appears as the morning star.</w:t>
      </w:r>
      <w:r w:rsidR="0043218D">
        <w:rPr>
          <w:rStyle w:val="FootnoteReference"/>
          <w:rFonts w:eastAsia="Times New Roman" w:cs="Arial"/>
          <w:szCs w:val="22"/>
          <w:lang w:eastAsia="en-GB"/>
        </w:rPr>
        <w:footnoteReference w:id="29"/>
      </w:r>
      <w:r w:rsidR="00B642F7">
        <w:rPr>
          <w:rFonts w:ascii="Arial" w:eastAsia="Times New Roman" w:hAnsi="Arial" w:cs="Arial"/>
          <w:sz w:val="22"/>
          <w:szCs w:val="22"/>
          <w:lang w:eastAsia="en-GB"/>
        </w:rPr>
        <w:t xml:space="preserve"> </w:t>
      </w:r>
      <w:r>
        <w:rPr>
          <w:rFonts w:ascii="Arial" w:hAnsi="Arial" w:cs="Arial"/>
          <w:bCs/>
          <w:sz w:val="22"/>
          <w:szCs w:val="22"/>
        </w:rPr>
        <w:t xml:space="preserve">In a scene early in the first book Gandalf is offered the ring of power, he recoils exclaiming ‘Do not tempt me, for I do not wish to become like </w:t>
      </w:r>
      <w:r w:rsidR="00893D24">
        <w:rPr>
          <w:rFonts w:ascii="Arial" w:hAnsi="Arial" w:cs="Arial"/>
          <w:bCs/>
          <w:sz w:val="22"/>
          <w:szCs w:val="22"/>
        </w:rPr>
        <w:t xml:space="preserve">the </w:t>
      </w:r>
      <w:r>
        <w:rPr>
          <w:rFonts w:ascii="Arial" w:hAnsi="Arial" w:cs="Arial"/>
          <w:bCs/>
          <w:sz w:val="22"/>
          <w:szCs w:val="22"/>
        </w:rPr>
        <w:t>Dark Lord himself,’</w:t>
      </w:r>
      <w:r>
        <w:rPr>
          <w:rStyle w:val="FootnoteReference"/>
          <w:rFonts w:cs="Arial"/>
          <w:bCs/>
          <w:szCs w:val="22"/>
        </w:rPr>
        <w:footnoteReference w:id="30"/>
      </w:r>
      <w:r>
        <w:rPr>
          <w:rFonts w:ascii="Arial" w:hAnsi="Arial" w:cs="Arial"/>
          <w:bCs/>
          <w:sz w:val="22"/>
          <w:szCs w:val="22"/>
        </w:rPr>
        <w:t xml:space="preserve"> suggesting that he recognises the potential within himself for evil. Additionally, when Gandalf’s companions m</w:t>
      </w:r>
      <w:r w:rsidR="00A31FB6">
        <w:rPr>
          <w:rFonts w:ascii="Arial" w:hAnsi="Arial" w:cs="Arial"/>
          <w:bCs/>
          <w:sz w:val="22"/>
          <w:szCs w:val="22"/>
        </w:rPr>
        <w:t>e</w:t>
      </w:r>
      <w:r>
        <w:rPr>
          <w:rFonts w:ascii="Arial" w:hAnsi="Arial" w:cs="Arial"/>
          <w:bCs/>
          <w:sz w:val="22"/>
          <w:szCs w:val="22"/>
        </w:rPr>
        <w:t xml:space="preserve">et him again after he had fallen, they </w:t>
      </w:r>
      <w:r w:rsidR="00A31FB6">
        <w:rPr>
          <w:rFonts w:ascii="Arial" w:hAnsi="Arial" w:cs="Arial"/>
          <w:bCs/>
          <w:sz w:val="22"/>
          <w:szCs w:val="22"/>
        </w:rPr>
        <w:t>do not</w:t>
      </w:r>
      <w:r>
        <w:rPr>
          <w:rFonts w:ascii="Arial" w:hAnsi="Arial" w:cs="Arial"/>
          <w:bCs/>
          <w:sz w:val="22"/>
          <w:szCs w:val="22"/>
        </w:rPr>
        <w:t xml:space="preserve"> recognise him, and perceiving him as dangerous they attack him. These examples indicate that while good, within each character lurks </w:t>
      </w:r>
      <w:r w:rsidR="00EE3377">
        <w:rPr>
          <w:rFonts w:ascii="Arial" w:hAnsi="Arial" w:cs="Arial"/>
          <w:bCs/>
          <w:sz w:val="22"/>
          <w:szCs w:val="22"/>
        </w:rPr>
        <w:t>the</w:t>
      </w:r>
      <w:r>
        <w:rPr>
          <w:rFonts w:ascii="Arial" w:hAnsi="Arial" w:cs="Arial"/>
          <w:bCs/>
          <w:sz w:val="22"/>
          <w:szCs w:val="22"/>
        </w:rPr>
        <w:t xml:space="preserve"> potential for darkness</w:t>
      </w:r>
      <w:r w:rsidR="00A90B53">
        <w:rPr>
          <w:rFonts w:ascii="Arial" w:hAnsi="Arial" w:cs="Arial"/>
          <w:bCs/>
          <w:sz w:val="22"/>
          <w:szCs w:val="22"/>
        </w:rPr>
        <w:t xml:space="preserve">. This potential </w:t>
      </w:r>
      <w:r w:rsidR="00B26787">
        <w:rPr>
          <w:rFonts w:ascii="Arial" w:hAnsi="Arial" w:cs="Arial"/>
          <w:bCs/>
          <w:sz w:val="22"/>
          <w:szCs w:val="22"/>
        </w:rPr>
        <w:t>correspond</w:t>
      </w:r>
      <w:r w:rsidR="00A90B53">
        <w:rPr>
          <w:rFonts w:ascii="Arial" w:hAnsi="Arial" w:cs="Arial"/>
          <w:bCs/>
          <w:sz w:val="22"/>
          <w:szCs w:val="22"/>
        </w:rPr>
        <w:t>s</w:t>
      </w:r>
      <w:r w:rsidR="00B26787">
        <w:rPr>
          <w:rFonts w:ascii="Arial" w:hAnsi="Arial" w:cs="Arial"/>
          <w:bCs/>
          <w:sz w:val="22"/>
          <w:szCs w:val="22"/>
        </w:rPr>
        <w:t xml:space="preserve"> with the shadow archetype</w:t>
      </w:r>
      <w:r w:rsidR="00B26787">
        <w:rPr>
          <w:rStyle w:val="FootnoteReference"/>
          <w:rFonts w:cs="Arial"/>
          <w:bCs/>
          <w:szCs w:val="22"/>
        </w:rPr>
        <w:footnoteReference w:id="31"/>
      </w:r>
      <w:r w:rsidR="00B26787">
        <w:rPr>
          <w:rFonts w:ascii="Arial" w:hAnsi="Arial" w:cs="Arial"/>
          <w:bCs/>
          <w:sz w:val="22"/>
          <w:szCs w:val="22"/>
        </w:rPr>
        <w:t xml:space="preserve"> identified by Jung in his</w:t>
      </w:r>
      <w:r w:rsidR="00E93E25">
        <w:rPr>
          <w:rFonts w:ascii="Arial" w:hAnsi="Arial" w:cs="Arial"/>
          <w:bCs/>
          <w:sz w:val="22"/>
          <w:szCs w:val="22"/>
        </w:rPr>
        <w:t xml:space="preserve"> analysis of</w:t>
      </w:r>
      <w:r w:rsidR="00EF2B05">
        <w:rPr>
          <w:rFonts w:ascii="Arial" w:hAnsi="Arial" w:cs="Arial"/>
          <w:bCs/>
          <w:sz w:val="22"/>
          <w:szCs w:val="22"/>
        </w:rPr>
        <w:t xml:space="preserve"> </w:t>
      </w:r>
      <w:r w:rsidR="00E93E25">
        <w:rPr>
          <w:rFonts w:ascii="Arial" w:hAnsi="Arial" w:cs="Arial"/>
          <w:bCs/>
          <w:sz w:val="22"/>
          <w:szCs w:val="22"/>
        </w:rPr>
        <w:t>collective unconscious</w:t>
      </w:r>
      <w:r w:rsidR="00B26787">
        <w:rPr>
          <w:rFonts w:ascii="Arial" w:hAnsi="Arial" w:cs="Arial"/>
          <w:bCs/>
          <w:sz w:val="22"/>
          <w:szCs w:val="22"/>
        </w:rPr>
        <w:t xml:space="preserve"> in which</w:t>
      </w:r>
      <w:r w:rsidR="00E93E25">
        <w:rPr>
          <w:rFonts w:ascii="Arial" w:hAnsi="Arial" w:cs="Arial"/>
          <w:bCs/>
          <w:sz w:val="22"/>
          <w:szCs w:val="22"/>
        </w:rPr>
        <w:t xml:space="preserve"> he describes</w:t>
      </w:r>
      <w:r w:rsidR="00A90B53">
        <w:rPr>
          <w:rFonts w:ascii="Arial" w:hAnsi="Arial" w:cs="Arial"/>
          <w:bCs/>
          <w:sz w:val="22"/>
          <w:szCs w:val="22"/>
        </w:rPr>
        <w:t xml:space="preserve"> archetypes as</w:t>
      </w:r>
      <w:r w:rsidR="00E93E25">
        <w:rPr>
          <w:rFonts w:ascii="Arial" w:hAnsi="Arial" w:cs="Arial"/>
          <w:bCs/>
          <w:sz w:val="22"/>
          <w:szCs w:val="22"/>
        </w:rPr>
        <w:t xml:space="preserve"> ‘modes of behaviour that are… in all individuals</w:t>
      </w:r>
      <w:r w:rsidR="00B26787">
        <w:rPr>
          <w:rFonts w:ascii="Arial" w:hAnsi="Arial" w:cs="Arial"/>
          <w:bCs/>
          <w:sz w:val="22"/>
          <w:szCs w:val="22"/>
        </w:rPr>
        <w:t>.</w:t>
      </w:r>
      <w:r w:rsidR="00E93E25">
        <w:rPr>
          <w:rFonts w:ascii="Arial" w:hAnsi="Arial" w:cs="Arial"/>
          <w:bCs/>
          <w:sz w:val="22"/>
          <w:szCs w:val="22"/>
        </w:rPr>
        <w:t>’</w:t>
      </w:r>
      <w:r w:rsidR="00601BDD">
        <w:rPr>
          <w:rStyle w:val="FootnoteReference"/>
          <w:rFonts w:cs="Arial"/>
          <w:bCs/>
          <w:szCs w:val="22"/>
        </w:rPr>
        <w:footnoteReference w:id="32"/>
      </w:r>
    </w:p>
    <w:p w14:paraId="7F6B5034" w14:textId="77777777" w:rsidR="001B1738" w:rsidRDefault="001B1738" w:rsidP="003E2531">
      <w:pPr>
        <w:pStyle w:val="NormalWeb"/>
        <w:spacing w:before="0" w:beforeAutospacing="0" w:after="0" w:afterAutospacing="0"/>
        <w:ind w:right="-334"/>
        <w:rPr>
          <w:rFonts w:ascii="Arial" w:hAnsi="Arial" w:cs="Arial"/>
          <w:bCs/>
          <w:sz w:val="22"/>
          <w:szCs w:val="22"/>
        </w:rPr>
      </w:pPr>
    </w:p>
    <w:p w14:paraId="0C833EF0" w14:textId="561CAE60" w:rsidR="00E32355" w:rsidRPr="00E32355" w:rsidRDefault="00E32355" w:rsidP="003E2531">
      <w:pPr>
        <w:pStyle w:val="NormalWeb"/>
        <w:spacing w:before="0" w:beforeAutospacing="0" w:after="0" w:afterAutospacing="0"/>
        <w:ind w:right="-334"/>
        <w:rPr>
          <w:rFonts w:ascii="Arial" w:hAnsi="Arial" w:cs="Arial"/>
          <w:b/>
          <w:sz w:val="22"/>
          <w:szCs w:val="22"/>
        </w:rPr>
      </w:pPr>
      <w:r w:rsidRPr="00E32355">
        <w:rPr>
          <w:rFonts w:ascii="Arial" w:hAnsi="Arial" w:cs="Arial"/>
          <w:b/>
          <w:sz w:val="22"/>
          <w:szCs w:val="22"/>
        </w:rPr>
        <w:t>The Nether World</w:t>
      </w:r>
    </w:p>
    <w:p w14:paraId="1D1D238E" w14:textId="77777777" w:rsidR="00E32355" w:rsidRDefault="00E32355" w:rsidP="003E2531">
      <w:pPr>
        <w:pStyle w:val="NormalWeb"/>
        <w:spacing w:before="0" w:beforeAutospacing="0" w:after="0" w:afterAutospacing="0"/>
        <w:ind w:right="-334"/>
        <w:rPr>
          <w:rFonts w:ascii="Arial" w:hAnsi="Arial" w:cs="Arial"/>
          <w:bCs/>
          <w:sz w:val="22"/>
          <w:szCs w:val="22"/>
        </w:rPr>
      </w:pPr>
    </w:p>
    <w:p w14:paraId="4194CD0B" w14:textId="108FF9BF" w:rsidR="00647390" w:rsidRDefault="00601BDD" w:rsidP="003E2531">
      <w:pPr>
        <w:pStyle w:val="NormalWeb"/>
        <w:spacing w:before="0" w:beforeAutospacing="0" w:after="0" w:afterAutospacing="0"/>
        <w:ind w:right="-334"/>
        <w:rPr>
          <w:rFonts w:ascii="Arial" w:hAnsi="Arial" w:cs="Arial"/>
          <w:bCs/>
          <w:sz w:val="22"/>
          <w:szCs w:val="22"/>
        </w:rPr>
      </w:pPr>
      <w:r>
        <w:rPr>
          <w:rFonts w:ascii="Arial" w:hAnsi="Arial" w:cs="Arial"/>
          <w:bCs/>
          <w:sz w:val="22"/>
          <w:szCs w:val="22"/>
        </w:rPr>
        <w:t>In the decent of Ishtar p</w:t>
      </w:r>
      <w:r w:rsidR="00926B65">
        <w:rPr>
          <w:rFonts w:ascii="Arial" w:hAnsi="Arial" w:cs="Arial"/>
          <w:bCs/>
          <w:sz w:val="22"/>
          <w:szCs w:val="22"/>
        </w:rPr>
        <w:t>hrases such as ‘the Land of no Return,’ and ‘the dark house’ ‘wherein entrants are bereft of light,’</w:t>
      </w:r>
      <w:r w:rsidR="00926B65">
        <w:rPr>
          <w:rStyle w:val="FootnoteReference"/>
          <w:rFonts w:cs="Arial"/>
          <w:bCs/>
          <w:szCs w:val="22"/>
        </w:rPr>
        <w:footnoteReference w:id="33"/>
      </w:r>
      <w:r w:rsidR="00926B65">
        <w:rPr>
          <w:rFonts w:ascii="Arial" w:hAnsi="Arial" w:cs="Arial"/>
          <w:bCs/>
          <w:sz w:val="22"/>
          <w:szCs w:val="22"/>
        </w:rPr>
        <w:t xml:space="preserve"> build an evocative picture of the Nether</w:t>
      </w:r>
      <w:r>
        <w:rPr>
          <w:rFonts w:ascii="Arial" w:hAnsi="Arial" w:cs="Arial"/>
          <w:bCs/>
          <w:sz w:val="22"/>
          <w:szCs w:val="22"/>
        </w:rPr>
        <w:t xml:space="preserve"> World</w:t>
      </w:r>
      <w:r w:rsidR="00B26787">
        <w:rPr>
          <w:rFonts w:ascii="Arial" w:hAnsi="Arial" w:cs="Arial"/>
          <w:bCs/>
          <w:sz w:val="22"/>
          <w:szCs w:val="22"/>
        </w:rPr>
        <w:t xml:space="preserve"> </w:t>
      </w:r>
      <w:r>
        <w:rPr>
          <w:rFonts w:ascii="Arial" w:hAnsi="Arial" w:cs="Arial"/>
          <w:bCs/>
          <w:sz w:val="22"/>
          <w:szCs w:val="22"/>
        </w:rPr>
        <w:t>very similar to the place</w:t>
      </w:r>
      <w:r w:rsidR="00D66585">
        <w:rPr>
          <w:rFonts w:ascii="Arial" w:hAnsi="Arial" w:cs="Arial"/>
          <w:bCs/>
          <w:sz w:val="22"/>
          <w:szCs w:val="22"/>
        </w:rPr>
        <w:t xml:space="preserve"> Gandalf describes going after his fall, </w:t>
      </w:r>
      <w:r w:rsidR="002778DB">
        <w:rPr>
          <w:rFonts w:ascii="Arial" w:hAnsi="Arial" w:cs="Arial"/>
          <w:bCs/>
          <w:sz w:val="22"/>
          <w:szCs w:val="22"/>
        </w:rPr>
        <w:t>when he states</w:t>
      </w:r>
      <w:r>
        <w:rPr>
          <w:rFonts w:ascii="Arial" w:hAnsi="Arial" w:cs="Arial"/>
          <w:bCs/>
          <w:sz w:val="22"/>
          <w:szCs w:val="22"/>
        </w:rPr>
        <w:t xml:space="preserve"> </w:t>
      </w:r>
      <w:r w:rsidR="00B26787">
        <w:rPr>
          <w:rFonts w:ascii="Arial" w:hAnsi="Arial" w:cs="Arial"/>
          <w:bCs/>
          <w:sz w:val="22"/>
          <w:szCs w:val="22"/>
        </w:rPr>
        <w:t>‘</w:t>
      </w:r>
      <w:r w:rsidR="00170800">
        <w:rPr>
          <w:rFonts w:ascii="Arial" w:hAnsi="Arial" w:cs="Arial"/>
          <w:bCs/>
          <w:sz w:val="22"/>
          <w:szCs w:val="22"/>
        </w:rPr>
        <w:t>darkness took me</w:t>
      </w:r>
      <w:r w:rsidR="003949A0">
        <w:rPr>
          <w:rFonts w:ascii="Arial" w:hAnsi="Arial" w:cs="Arial"/>
          <w:bCs/>
          <w:sz w:val="22"/>
          <w:szCs w:val="22"/>
        </w:rPr>
        <w:t>, and I strayed out of</w:t>
      </w:r>
      <w:r w:rsidR="00170800">
        <w:rPr>
          <w:rFonts w:ascii="Arial" w:hAnsi="Arial" w:cs="Arial"/>
          <w:bCs/>
          <w:sz w:val="22"/>
          <w:szCs w:val="22"/>
        </w:rPr>
        <w:t xml:space="preserve"> thought</w:t>
      </w:r>
      <w:r w:rsidR="00121B4E">
        <w:rPr>
          <w:rFonts w:ascii="Arial" w:hAnsi="Arial" w:cs="Arial"/>
          <w:bCs/>
          <w:sz w:val="22"/>
          <w:szCs w:val="22"/>
        </w:rPr>
        <w:t xml:space="preserve"> and time</w:t>
      </w:r>
      <w:r w:rsidR="00D66585">
        <w:rPr>
          <w:rFonts w:ascii="Arial" w:hAnsi="Arial" w:cs="Arial"/>
          <w:bCs/>
          <w:sz w:val="22"/>
          <w:szCs w:val="22"/>
        </w:rPr>
        <w:t>.</w:t>
      </w:r>
      <w:r w:rsidR="00121B4E">
        <w:rPr>
          <w:rFonts w:ascii="Arial" w:hAnsi="Arial" w:cs="Arial"/>
          <w:bCs/>
          <w:sz w:val="22"/>
          <w:szCs w:val="22"/>
        </w:rPr>
        <w:t>’</w:t>
      </w:r>
      <w:r w:rsidR="00121B4E">
        <w:rPr>
          <w:rStyle w:val="FootnoteReference"/>
          <w:rFonts w:cs="Arial"/>
          <w:bCs/>
          <w:szCs w:val="22"/>
        </w:rPr>
        <w:footnoteReference w:id="34"/>
      </w:r>
      <w:r w:rsidR="00B26787">
        <w:rPr>
          <w:rFonts w:ascii="Arial" w:hAnsi="Arial" w:cs="Arial"/>
          <w:bCs/>
          <w:sz w:val="22"/>
          <w:szCs w:val="22"/>
        </w:rPr>
        <w:t xml:space="preserve"> </w:t>
      </w:r>
      <w:r w:rsidR="00536778">
        <w:rPr>
          <w:rFonts w:ascii="Arial" w:hAnsi="Arial" w:cs="Arial"/>
          <w:bCs/>
          <w:sz w:val="22"/>
          <w:szCs w:val="22"/>
        </w:rPr>
        <w:t xml:space="preserve">In Jungian psychology </w:t>
      </w:r>
      <w:r w:rsidR="00A90B53">
        <w:rPr>
          <w:rFonts w:ascii="Arial" w:hAnsi="Arial" w:cs="Arial"/>
          <w:bCs/>
          <w:sz w:val="22"/>
          <w:szCs w:val="22"/>
        </w:rPr>
        <w:t>the</w:t>
      </w:r>
      <w:r w:rsidR="00536778">
        <w:rPr>
          <w:rFonts w:ascii="Arial" w:hAnsi="Arial" w:cs="Arial"/>
          <w:bCs/>
          <w:sz w:val="22"/>
          <w:szCs w:val="22"/>
        </w:rPr>
        <w:t xml:space="preserve"> Nether World </w:t>
      </w:r>
      <w:r w:rsidR="00B31C26">
        <w:rPr>
          <w:rFonts w:ascii="Arial" w:hAnsi="Arial" w:cs="Arial"/>
          <w:bCs/>
          <w:sz w:val="22"/>
          <w:szCs w:val="22"/>
        </w:rPr>
        <w:t>is</w:t>
      </w:r>
      <w:r w:rsidR="00536778">
        <w:rPr>
          <w:rFonts w:ascii="Arial" w:hAnsi="Arial" w:cs="Arial"/>
          <w:bCs/>
          <w:sz w:val="22"/>
          <w:szCs w:val="22"/>
        </w:rPr>
        <w:t xml:space="preserve"> identified with the </w:t>
      </w:r>
      <w:r w:rsidR="00B31C26">
        <w:rPr>
          <w:rFonts w:ascii="Arial" w:hAnsi="Arial" w:cs="Arial"/>
          <w:bCs/>
          <w:sz w:val="22"/>
          <w:szCs w:val="22"/>
        </w:rPr>
        <w:t>unconscious</w:t>
      </w:r>
      <w:r w:rsidR="00536778">
        <w:rPr>
          <w:rFonts w:ascii="Arial" w:hAnsi="Arial" w:cs="Arial"/>
          <w:bCs/>
          <w:sz w:val="22"/>
          <w:szCs w:val="22"/>
        </w:rPr>
        <w:t xml:space="preserve">, </w:t>
      </w:r>
      <w:r w:rsidR="00326D4F">
        <w:rPr>
          <w:rFonts w:ascii="Arial" w:hAnsi="Arial" w:cs="Arial"/>
          <w:bCs/>
          <w:sz w:val="22"/>
          <w:szCs w:val="22"/>
        </w:rPr>
        <w:t>‘the source of all evil thoughts,’ and the place where ‘ferocious beasts’ wait to attack</w:t>
      </w:r>
      <w:r w:rsidR="002031D0">
        <w:rPr>
          <w:rFonts w:ascii="Arial" w:hAnsi="Arial" w:cs="Arial"/>
          <w:bCs/>
          <w:sz w:val="22"/>
          <w:szCs w:val="22"/>
        </w:rPr>
        <w:t>.</w:t>
      </w:r>
      <w:r w:rsidR="002031D0" w:rsidRPr="002031D0">
        <w:rPr>
          <w:rStyle w:val="FootnoteReference"/>
          <w:rFonts w:cs="Arial"/>
          <w:bCs/>
          <w:szCs w:val="22"/>
        </w:rPr>
        <w:t xml:space="preserve"> </w:t>
      </w:r>
      <w:r w:rsidR="002031D0">
        <w:rPr>
          <w:rStyle w:val="FootnoteReference"/>
          <w:rFonts w:cs="Arial"/>
          <w:bCs/>
          <w:szCs w:val="22"/>
        </w:rPr>
        <w:footnoteReference w:id="35"/>
      </w:r>
      <w:r w:rsidR="002031D0">
        <w:rPr>
          <w:rFonts w:ascii="Arial" w:hAnsi="Arial" w:cs="Arial"/>
          <w:bCs/>
          <w:sz w:val="22"/>
          <w:szCs w:val="22"/>
        </w:rPr>
        <w:t xml:space="preserve"> </w:t>
      </w:r>
      <w:r w:rsidR="00B568F9">
        <w:rPr>
          <w:rFonts w:ascii="Arial" w:hAnsi="Arial" w:cs="Arial"/>
          <w:bCs/>
          <w:sz w:val="22"/>
          <w:szCs w:val="22"/>
        </w:rPr>
        <w:t>If t</w:t>
      </w:r>
      <w:r w:rsidR="002031D0">
        <w:rPr>
          <w:rFonts w:ascii="Arial" w:hAnsi="Arial" w:cs="Arial"/>
          <w:bCs/>
          <w:sz w:val="22"/>
          <w:szCs w:val="22"/>
        </w:rPr>
        <w:t>he</w:t>
      </w:r>
      <w:r w:rsidR="00647390">
        <w:rPr>
          <w:rFonts w:ascii="Arial" w:hAnsi="Arial" w:cs="Arial"/>
          <w:bCs/>
          <w:sz w:val="22"/>
          <w:szCs w:val="22"/>
        </w:rPr>
        <w:t xml:space="preserve"> potential for evil within the characters </w:t>
      </w:r>
      <w:r w:rsidR="00B568F9">
        <w:rPr>
          <w:rFonts w:ascii="Arial" w:hAnsi="Arial" w:cs="Arial"/>
          <w:bCs/>
          <w:sz w:val="22"/>
          <w:szCs w:val="22"/>
        </w:rPr>
        <w:t>has</w:t>
      </w:r>
      <w:r w:rsidR="00647390">
        <w:rPr>
          <w:rFonts w:ascii="Arial" w:hAnsi="Arial" w:cs="Arial"/>
          <w:bCs/>
          <w:sz w:val="22"/>
          <w:szCs w:val="22"/>
        </w:rPr>
        <w:t xml:space="preserve"> been identified, </w:t>
      </w:r>
      <w:r w:rsidR="00B568F9">
        <w:rPr>
          <w:rFonts w:ascii="Arial" w:hAnsi="Arial" w:cs="Arial"/>
          <w:bCs/>
          <w:sz w:val="22"/>
          <w:szCs w:val="22"/>
        </w:rPr>
        <w:t>then according to Jung</w:t>
      </w:r>
      <w:r w:rsidR="00AC6165">
        <w:rPr>
          <w:rFonts w:ascii="Arial" w:hAnsi="Arial" w:cs="Arial"/>
          <w:bCs/>
          <w:sz w:val="22"/>
          <w:szCs w:val="22"/>
        </w:rPr>
        <w:t xml:space="preserve"> </w:t>
      </w:r>
      <w:r w:rsidR="00647390">
        <w:rPr>
          <w:rFonts w:ascii="Arial" w:hAnsi="Arial" w:cs="Arial"/>
          <w:bCs/>
          <w:sz w:val="22"/>
          <w:szCs w:val="22"/>
        </w:rPr>
        <w:t xml:space="preserve">the Nether World </w:t>
      </w:r>
      <w:r w:rsidR="002031D0">
        <w:rPr>
          <w:rFonts w:ascii="Arial" w:hAnsi="Arial" w:cs="Arial"/>
          <w:bCs/>
          <w:sz w:val="22"/>
          <w:szCs w:val="22"/>
        </w:rPr>
        <w:t>is the place they would need to go to confront</w:t>
      </w:r>
      <w:r w:rsidR="00B568F9">
        <w:rPr>
          <w:rFonts w:ascii="Arial" w:hAnsi="Arial" w:cs="Arial"/>
          <w:bCs/>
          <w:sz w:val="22"/>
          <w:szCs w:val="22"/>
        </w:rPr>
        <w:t xml:space="preserve"> and overcome</w:t>
      </w:r>
      <w:r w:rsidR="002031D0">
        <w:rPr>
          <w:rFonts w:ascii="Arial" w:hAnsi="Arial" w:cs="Arial"/>
          <w:bCs/>
          <w:sz w:val="22"/>
          <w:szCs w:val="22"/>
        </w:rPr>
        <w:t xml:space="preserve"> it.</w:t>
      </w:r>
    </w:p>
    <w:p w14:paraId="60E767D7" w14:textId="77777777" w:rsidR="005516CF" w:rsidRDefault="005516CF" w:rsidP="003E2531">
      <w:pPr>
        <w:pStyle w:val="NormalWeb"/>
        <w:spacing w:before="0" w:beforeAutospacing="0" w:after="0" w:afterAutospacing="0"/>
        <w:ind w:right="-334"/>
        <w:rPr>
          <w:rFonts w:ascii="Arial" w:hAnsi="Arial" w:cs="Arial"/>
          <w:bCs/>
          <w:sz w:val="22"/>
          <w:szCs w:val="22"/>
        </w:rPr>
      </w:pPr>
    </w:p>
    <w:p w14:paraId="30FAEFB2" w14:textId="0E9AE271" w:rsidR="006C709E" w:rsidRPr="009A104A" w:rsidRDefault="006C709E" w:rsidP="003E2531">
      <w:pPr>
        <w:pStyle w:val="NormalWeb"/>
        <w:spacing w:before="0" w:beforeAutospacing="0" w:after="0" w:afterAutospacing="0"/>
        <w:ind w:right="-334"/>
        <w:rPr>
          <w:rFonts w:ascii="Arial" w:hAnsi="Arial" w:cs="Arial"/>
          <w:b/>
          <w:sz w:val="22"/>
          <w:szCs w:val="22"/>
        </w:rPr>
      </w:pPr>
      <w:r w:rsidRPr="009A104A">
        <w:rPr>
          <w:rFonts w:ascii="Arial" w:hAnsi="Arial" w:cs="Arial"/>
          <w:b/>
          <w:sz w:val="22"/>
          <w:szCs w:val="22"/>
        </w:rPr>
        <w:t>The Narrative</w:t>
      </w:r>
    </w:p>
    <w:p w14:paraId="4BEA3BBF" w14:textId="77777777" w:rsidR="006C709E" w:rsidRDefault="006C709E" w:rsidP="003E2531">
      <w:pPr>
        <w:pStyle w:val="NormalWeb"/>
        <w:spacing w:before="0" w:beforeAutospacing="0" w:after="0" w:afterAutospacing="0"/>
        <w:ind w:right="-334"/>
        <w:rPr>
          <w:rFonts w:ascii="Arial" w:hAnsi="Arial" w:cs="Arial"/>
          <w:bCs/>
          <w:sz w:val="22"/>
          <w:szCs w:val="22"/>
        </w:rPr>
      </w:pPr>
    </w:p>
    <w:p w14:paraId="2604FBC6" w14:textId="1BD0BDF3" w:rsidR="00A84095" w:rsidRDefault="00AD1CB0" w:rsidP="003E2531">
      <w:pPr>
        <w:pStyle w:val="NormalWeb"/>
        <w:spacing w:before="0" w:beforeAutospacing="0" w:after="0" w:afterAutospacing="0"/>
        <w:ind w:right="-334"/>
        <w:rPr>
          <w:rFonts w:ascii="Arial" w:hAnsi="Arial" w:cs="Arial"/>
          <w:bCs/>
          <w:sz w:val="22"/>
          <w:szCs w:val="22"/>
        </w:rPr>
      </w:pPr>
      <w:r>
        <w:rPr>
          <w:rFonts w:ascii="Arial" w:hAnsi="Arial" w:cs="Arial"/>
          <w:bCs/>
          <w:sz w:val="22"/>
          <w:szCs w:val="22"/>
        </w:rPr>
        <w:t>A look at</w:t>
      </w:r>
      <w:r w:rsidR="00EC5A56">
        <w:rPr>
          <w:rFonts w:ascii="Arial" w:hAnsi="Arial" w:cs="Arial"/>
          <w:bCs/>
          <w:sz w:val="22"/>
          <w:szCs w:val="22"/>
        </w:rPr>
        <w:t xml:space="preserve"> the narratives of these two stories reveals </w:t>
      </w:r>
      <w:r w:rsidR="005F6504">
        <w:rPr>
          <w:rFonts w:ascii="Arial" w:hAnsi="Arial" w:cs="Arial"/>
          <w:bCs/>
          <w:sz w:val="22"/>
          <w:szCs w:val="22"/>
        </w:rPr>
        <w:t>a</w:t>
      </w:r>
      <w:r w:rsidR="00EC5A56">
        <w:rPr>
          <w:rFonts w:ascii="Arial" w:hAnsi="Arial" w:cs="Arial"/>
          <w:bCs/>
          <w:sz w:val="22"/>
          <w:szCs w:val="22"/>
        </w:rPr>
        <w:t xml:space="preserve"> </w:t>
      </w:r>
      <w:r w:rsidR="00457AF5">
        <w:rPr>
          <w:rFonts w:ascii="Arial" w:hAnsi="Arial" w:cs="Arial"/>
          <w:bCs/>
          <w:sz w:val="22"/>
          <w:szCs w:val="22"/>
        </w:rPr>
        <w:t xml:space="preserve">similar </w:t>
      </w:r>
      <w:r w:rsidR="005F6504">
        <w:rPr>
          <w:rFonts w:ascii="Arial" w:hAnsi="Arial" w:cs="Arial"/>
          <w:bCs/>
          <w:sz w:val="22"/>
          <w:szCs w:val="22"/>
        </w:rPr>
        <w:t>structure</w:t>
      </w:r>
      <w:r w:rsidR="00457AF5">
        <w:rPr>
          <w:rFonts w:ascii="Arial" w:hAnsi="Arial" w:cs="Arial"/>
          <w:bCs/>
          <w:sz w:val="22"/>
          <w:szCs w:val="22"/>
        </w:rPr>
        <w:t>;</w:t>
      </w:r>
      <w:r w:rsidR="00EC5A56">
        <w:rPr>
          <w:rFonts w:ascii="Arial" w:hAnsi="Arial" w:cs="Arial"/>
          <w:bCs/>
          <w:sz w:val="22"/>
          <w:szCs w:val="22"/>
        </w:rPr>
        <w:t xml:space="preserve"> </w:t>
      </w:r>
      <w:r w:rsidR="00457AF5">
        <w:rPr>
          <w:rFonts w:ascii="Arial" w:hAnsi="Arial" w:cs="Arial"/>
          <w:bCs/>
          <w:sz w:val="22"/>
          <w:szCs w:val="22"/>
        </w:rPr>
        <w:t>b</w:t>
      </w:r>
      <w:r w:rsidR="00EC5A56">
        <w:rPr>
          <w:rFonts w:ascii="Arial" w:hAnsi="Arial" w:cs="Arial"/>
          <w:bCs/>
          <w:sz w:val="22"/>
          <w:szCs w:val="22"/>
        </w:rPr>
        <w:t xml:space="preserve">oth characters travel to the Nether World, both are stripped naked, both are subjected to challenging ordeals, and both are reclothed </w:t>
      </w:r>
      <w:r>
        <w:rPr>
          <w:rFonts w:ascii="Arial" w:hAnsi="Arial" w:cs="Arial"/>
          <w:bCs/>
          <w:sz w:val="22"/>
          <w:szCs w:val="22"/>
        </w:rPr>
        <w:t>before their return</w:t>
      </w:r>
      <w:r w:rsidR="00EC5A56">
        <w:rPr>
          <w:rFonts w:ascii="Arial" w:hAnsi="Arial" w:cs="Arial"/>
          <w:bCs/>
          <w:sz w:val="22"/>
          <w:szCs w:val="22"/>
        </w:rPr>
        <w:t>.</w:t>
      </w:r>
      <w:r w:rsidR="00457AF5">
        <w:rPr>
          <w:rFonts w:ascii="Arial" w:hAnsi="Arial" w:cs="Arial"/>
          <w:bCs/>
          <w:sz w:val="22"/>
          <w:szCs w:val="22"/>
        </w:rPr>
        <w:t xml:space="preserve"> </w:t>
      </w:r>
      <w:r w:rsidR="00AA481E">
        <w:rPr>
          <w:rFonts w:ascii="Arial" w:hAnsi="Arial" w:cs="Arial"/>
          <w:bCs/>
          <w:sz w:val="22"/>
          <w:szCs w:val="22"/>
        </w:rPr>
        <w:t xml:space="preserve">The analysis of structure in </w:t>
      </w:r>
      <w:r w:rsidR="00A9043C">
        <w:rPr>
          <w:rFonts w:ascii="Arial" w:hAnsi="Arial" w:cs="Arial"/>
          <w:bCs/>
          <w:sz w:val="22"/>
          <w:szCs w:val="22"/>
        </w:rPr>
        <w:t>mythic</w:t>
      </w:r>
      <w:r w:rsidR="00AA481E">
        <w:rPr>
          <w:rFonts w:ascii="Arial" w:hAnsi="Arial" w:cs="Arial"/>
          <w:bCs/>
          <w:sz w:val="22"/>
          <w:szCs w:val="22"/>
        </w:rPr>
        <w:t xml:space="preserve"> narratives goes as far back as Aristotle,</w:t>
      </w:r>
      <w:r w:rsidR="00AA481E">
        <w:rPr>
          <w:rStyle w:val="FootnoteReference"/>
          <w:rFonts w:cs="Arial"/>
          <w:bCs/>
          <w:szCs w:val="22"/>
        </w:rPr>
        <w:footnoteReference w:id="36"/>
      </w:r>
      <w:r w:rsidR="00AA481E">
        <w:rPr>
          <w:rFonts w:ascii="Arial" w:hAnsi="Arial" w:cs="Arial"/>
          <w:bCs/>
          <w:sz w:val="22"/>
          <w:szCs w:val="22"/>
        </w:rPr>
        <w:t xml:space="preserve"> and this example </w:t>
      </w:r>
      <w:r w:rsidR="00053707">
        <w:rPr>
          <w:rFonts w:ascii="Arial" w:hAnsi="Arial" w:cs="Arial"/>
          <w:bCs/>
          <w:sz w:val="22"/>
          <w:szCs w:val="22"/>
        </w:rPr>
        <w:t>would seem to fall into the category of the dying and rising God myth identified by Frazer</w:t>
      </w:r>
      <w:r w:rsidR="00EA63A7">
        <w:rPr>
          <w:rStyle w:val="FootnoteReference"/>
          <w:rFonts w:cs="Arial"/>
          <w:bCs/>
          <w:szCs w:val="22"/>
        </w:rPr>
        <w:footnoteReference w:id="37"/>
      </w:r>
      <w:r w:rsidR="00053707">
        <w:rPr>
          <w:rFonts w:ascii="Arial" w:hAnsi="Arial" w:cs="Arial"/>
          <w:bCs/>
          <w:sz w:val="22"/>
          <w:szCs w:val="22"/>
        </w:rPr>
        <w:t xml:space="preserve"> as being common in archaic traditions</w:t>
      </w:r>
      <w:r w:rsidR="00B568F9">
        <w:rPr>
          <w:rFonts w:ascii="Arial" w:hAnsi="Arial" w:cs="Arial"/>
          <w:bCs/>
          <w:sz w:val="22"/>
          <w:szCs w:val="22"/>
        </w:rPr>
        <w:t>. Additionally</w:t>
      </w:r>
      <w:r w:rsidR="002843D9">
        <w:rPr>
          <w:rFonts w:ascii="Arial" w:hAnsi="Arial" w:cs="Arial"/>
          <w:bCs/>
          <w:sz w:val="22"/>
          <w:szCs w:val="22"/>
        </w:rPr>
        <w:t>,</w:t>
      </w:r>
      <w:r w:rsidR="00EA63A7">
        <w:rPr>
          <w:rFonts w:ascii="Arial" w:hAnsi="Arial" w:cs="Arial"/>
          <w:bCs/>
          <w:sz w:val="22"/>
          <w:szCs w:val="22"/>
        </w:rPr>
        <w:t xml:space="preserve"> Campbell points out that the Sumerian Inanna version</w:t>
      </w:r>
      <w:r w:rsidR="00B568F9">
        <w:rPr>
          <w:rFonts w:ascii="Arial" w:hAnsi="Arial" w:cs="Arial"/>
          <w:bCs/>
          <w:sz w:val="22"/>
          <w:szCs w:val="22"/>
        </w:rPr>
        <w:t xml:space="preserve"> of this narrative</w:t>
      </w:r>
      <w:r w:rsidR="00EA63A7">
        <w:rPr>
          <w:rFonts w:ascii="Arial" w:hAnsi="Arial" w:cs="Arial"/>
          <w:bCs/>
          <w:sz w:val="22"/>
          <w:szCs w:val="22"/>
        </w:rPr>
        <w:t xml:space="preserve"> is the oldest recorded example.</w:t>
      </w:r>
      <w:r w:rsidR="00EA63A7">
        <w:rPr>
          <w:rStyle w:val="FootnoteReference"/>
          <w:rFonts w:cs="Arial"/>
          <w:bCs/>
          <w:szCs w:val="22"/>
        </w:rPr>
        <w:footnoteReference w:id="38"/>
      </w:r>
      <w:r w:rsidR="00CB32F2">
        <w:rPr>
          <w:rFonts w:ascii="Arial" w:hAnsi="Arial" w:cs="Arial"/>
          <w:bCs/>
          <w:sz w:val="22"/>
          <w:szCs w:val="22"/>
        </w:rPr>
        <w:t xml:space="preserve"> </w:t>
      </w:r>
      <w:r w:rsidR="00421D95">
        <w:rPr>
          <w:rFonts w:ascii="Arial" w:hAnsi="Arial" w:cs="Arial"/>
          <w:bCs/>
          <w:sz w:val="22"/>
          <w:szCs w:val="22"/>
        </w:rPr>
        <w:t>Frazer</w:t>
      </w:r>
      <w:r w:rsidR="00430539">
        <w:rPr>
          <w:rFonts w:ascii="Arial" w:hAnsi="Arial" w:cs="Arial"/>
          <w:bCs/>
          <w:sz w:val="22"/>
          <w:szCs w:val="22"/>
        </w:rPr>
        <w:t xml:space="preserve"> </w:t>
      </w:r>
      <w:r w:rsidR="00943601">
        <w:rPr>
          <w:rFonts w:ascii="Arial" w:hAnsi="Arial" w:cs="Arial"/>
          <w:bCs/>
          <w:sz w:val="22"/>
          <w:szCs w:val="22"/>
        </w:rPr>
        <w:t xml:space="preserve">understood myth as a primitive science and </w:t>
      </w:r>
      <w:r w:rsidR="00430539">
        <w:rPr>
          <w:rFonts w:ascii="Arial" w:hAnsi="Arial" w:cs="Arial"/>
          <w:bCs/>
          <w:sz w:val="22"/>
          <w:szCs w:val="22"/>
        </w:rPr>
        <w:t xml:space="preserve">relates this </w:t>
      </w:r>
      <w:r w:rsidR="009518A6">
        <w:rPr>
          <w:rFonts w:ascii="Arial" w:hAnsi="Arial" w:cs="Arial"/>
          <w:bCs/>
          <w:sz w:val="22"/>
          <w:szCs w:val="22"/>
        </w:rPr>
        <w:t>type</w:t>
      </w:r>
      <w:r w:rsidR="00430539">
        <w:rPr>
          <w:rFonts w:ascii="Arial" w:hAnsi="Arial" w:cs="Arial"/>
          <w:bCs/>
          <w:sz w:val="22"/>
          <w:szCs w:val="22"/>
        </w:rPr>
        <w:t xml:space="preserve"> with the seasonal </w:t>
      </w:r>
      <w:r w:rsidR="00114DB9">
        <w:rPr>
          <w:rFonts w:ascii="Arial" w:hAnsi="Arial" w:cs="Arial"/>
          <w:bCs/>
          <w:sz w:val="22"/>
          <w:szCs w:val="22"/>
        </w:rPr>
        <w:t>cycle</w:t>
      </w:r>
      <w:r w:rsidR="009518A6">
        <w:rPr>
          <w:rFonts w:ascii="Arial" w:hAnsi="Arial" w:cs="Arial"/>
          <w:bCs/>
          <w:sz w:val="22"/>
          <w:szCs w:val="22"/>
        </w:rPr>
        <w:t xml:space="preserve">, suggesting </w:t>
      </w:r>
      <w:r w:rsidR="00430539">
        <w:rPr>
          <w:rFonts w:ascii="Arial" w:hAnsi="Arial" w:cs="Arial"/>
          <w:bCs/>
          <w:sz w:val="22"/>
          <w:szCs w:val="22"/>
        </w:rPr>
        <w:t>that by engaging with the myth through ritual</w:t>
      </w:r>
      <w:r w:rsidR="009518A6">
        <w:rPr>
          <w:rFonts w:ascii="Arial" w:hAnsi="Arial" w:cs="Arial"/>
          <w:bCs/>
          <w:sz w:val="22"/>
          <w:szCs w:val="22"/>
        </w:rPr>
        <w:t>,</w:t>
      </w:r>
      <w:r w:rsidR="00430539">
        <w:rPr>
          <w:rFonts w:ascii="Arial" w:hAnsi="Arial" w:cs="Arial"/>
          <w:bCs/>
          <w:sz w:val="22"/>
          <w:szCs w:val="22"/>
        </w:rPr>
        <w:t xml:space="preserve"> societies </w:t>
      </w:r>
      <w:r w:rsidR="00114DB9">
        <w:rPr>
          <w:rFonts w:ascii="Arial" w:hAnsi="Arial" w:cs="Arial"/>
          <w:bCs/>
          <w:sz w:val="22"/>
          <w:szCs w:val="22"/>
        </w:rPr>
        <w:t>c</w:t>
      </w:r>
      <w:r w:rsidR="00430539">
        <w:rPr>
          <w:rFonts w:ascii="Arial" w:hAnsi="Arial" w:cs="Arial"/>
          <w:bCs/>
          <w:sz w:val="22"/>
          <w:szCs w:val="22"/>
        </w:rPr>
        <w:t>ould ensure the</w:t>
      </w:r>
      <w:r w:rsidR="00873727">
        <w:rPr>
          <w:rFonts w:ascii="Arial" w:hAnsi="Arial" w:cs="Arial"/>
          <w:bCs/>
          <w:sz w:val="22"/>
          <w:szCs w:val="22"/>
        </w:rPr>
        <w:t xml:space="preserve"> ongoing</w:t>
      </w:r>
      <w:r w:rsidR="00430539">
        <w:rPr>
          <w:rFonts w:ascii="Arial" w:hAnsi="Arial" w:cs="Arial"/>
          <w:bCs/>
          <w:sz w:val="22"/>
          <w:szCs w:val="22"/>
        </w:rPr>
        <w:t xml:space="preserve"> fertility of the earth.</w:t>
      </w:r>
      <w:r w:rsidR="00114DB9">
        <w:rPr>
          <w:rFonts w:ascii="Arial" w:hAnsi="Arial" w:cs="Arial"/>
          <w:bCs/>
          <w:sz w:val="22"/>
          <w:szCs w:val="22"/>
        </w:rPr>
        <w:t xml:space="preserve"> </w:t>
      </w:r>
      <w:r w:rsidR="00DF5BF0">
        <w:rPr>
          <w:rFonts w:ascii="Arial" w:hAnsi="Arial" w:cs="Arial"/>
          <w:bCs/>
          <w:sz w:val="22"/>
          <w:szCs w:val="22"/>
        </w:rPr>
        <w:t xml:space="preserve">Smith however casts doubt on </w:t>
      </w:r>
      <w:r w:rsidR="00421D95">
        <w:rPr>
          <w:rFonts w:ascii="Arial" w:hAnsi="Arial" w:cs="Arial"/>
          <w:bCs/>
          <w:sz w:val="22"/>
          <w:szCs w:val="22"/>
        </w:rPr>
        <w:t>Frazer’s conclusions</w:t>
      </w:r>
      <w:r w:rsidR="00DF5BF0">
        <w:rPr>
          <w:rFonts w:ascii="Arial" w:hAnsi="Arial" w:cs="Arial"/>
          <w:bCs/>
          <w:sz w:val="22"/>
          <w:szCs w:val="22"/>
        </w:rPr>
        <w:t xml:space="preserve"> arguing that </w:t>
      </w:r>
      <w:r w:rsidR="005D3F08">
        <w:rPr>
          <w:rFonts w:ascii="Arial" w:hAnsi="Arial" w:cs="Arial"/>
          <w:bCs/>
          <w:sz w:val="22"/>
          <w:szCs w:val="22"/>
        </w:rPr>
        <w:t xml:space="preserve">many </w:t>
      </w:r>
      <w:r w:rsidR="00421D95">
        <w:rPr>
          <w:rFonts w:ascii="Arial" w:hAnsi="Arial" w:cs="Arial"/>
          <w:bCs/>
          <w:sz w:val="22"/>
          <w:szCs w:val="22"/>
        </w:rPr>
        <w:t>myth</w:t>
      </w:r>
      <w:r w:rsidR="00E44F91">
        <w:rPr>
          <w:rFonts w:ascii="Arial" w:hAnsi="Arial" w:cs="Arial"/>
          <w:bCs/>
          <w:sz w:val="22"/>
          <w:szCs w:val="22"/>
        </w:rPr>
        <w:t>s</w:t>
      </w:r>
      <w:r w:rsidR="005D3F08">
        <w:rPr>
          <w:rFonts w:ascii="Arial" w:hAnsi="Arial" w:cs="Arial"/>
          <w:bCs/>
          <w:sz w:val="22"/>
          <w:szCs w:val="22"/>
        </w:rPr>
        <w:t xml:space="preserve"> do not explicitly describe the god/goddess as dying</w:t>
      </w:r>
      <w:r w:rsidR="00B568F9">
        <w:rPr>
          <w:rFonts w:ascii="Arial" w:hAnsi="Arial" w:cs="Arial"/>
          <w:bCs/>
          <w:sz w:val="22"/>
          <w:szCs w:val="22"/>
        </w:rPr>
        <w:t>.</w:t>
      </w:r>
      <w:r w:rsidR="00114DB9">
        <w:rPr>
          <w:rStyle w:val="FootnoteReference"/>
          <w:rFonts w:cs="Arial"/>
          <w:bCs/>
          <w:szCs w:val="22"/>
        </w:rPr>
        <w:footnoteReference w:id="39"/>
      </w:r>
      <w:r w:rsidR="00421D95">
        <w:rPr>
          <w:rFonts w:ascii="Arial" w:hAnsi="Arial" w:cs="Arial"/>
          <w:bCs/>
          <w:sz w:val="22"/>
          <w:szCs w:val="22"/>
        </w:rPr>
        <w:t xml:space="preserve"> </w:t>
      </w:r>
      <w:r w:rsidR="00B568F9">
        <w:rPr>
          <w:rFonts w:ascii="Arial" w:hAnsi="Arial" w:cs="Arial"/>
          <w:bCs/>
          <w:sz w:val="22"/>
          <w:szCs w:val="22"/>
        </w:rPr>
        <w:t xml:space="preserve">This is the case in these two texts where the characters are described as </w:t>
      </w:r>
      <w:r w:rsidR="00B568F9">
        <w:rPr>
          <w:rFonts w:ascii="Arial" w:hAnsi="Arial" w:cs="Arial"/>
          <w:bCs/>
          <w:sz w:val="22"/>
          <w:szCs w:val="22"/>
        </w:rPr>
        <w:lastRenderedPageBreak/>
        <w:t>travelling to the Nether World by some means, Ishtar descends</w:t>
      </w:r>
      <w:r w:rsidR="009152A7">
        <w:rPr>
          <w:rFonts w:ascii="Arial" w:hAnsi="Arial" w:cs="Arial"/>
          <w:bCs/>
          <w:sz w:val="22"/>
          <w:szCs w:val="22"/>
        </w:rPr>
        <w:t xml:space="preserve"> </w:t>
      </w:r>
      <w:r w:rsidR="00B568F9">
        <w:rPr>
          <w:rFonts w:ascii="Arial" w:hAnsi="Arial" w:cs="Arial"/>
          <w:bCs/>
          <w:sz w:val="22"/>
          <w:szCs w:val="22"/>
        </w:rPr>
        <w:t>and Gandal</w:t>
      </w:r>
      <w:r w:rsidR="009152A7">
        <w:rPr>
          <w:rFonts w:ascii="Arial" w:hAnsi="Arial" w:cs="Arial"/>
          <w:bCs/>
          <w:sz w:val="22"/>
          <w:szCs w:val="22"/>
        </w:rPr>
        <w:t>f strays.</w:t>
      </w:r>
      <w:r w:rsidR="003949A0">
        <w:rPr>
          <w:rStyle w:val="FootnoteReference"/>
          <w:rFonts w:cs="Arial"/>
          <w:bCs/>
          <w:szCs w:val="22"/>
        </w:rPr>
        <w:footnoteReference w:id="40"/>
      </w:r>
      <w:r w:rsidR="00C461AD">
        <w:rPr>
          <w:rFonts w:ascii="Arial" w:hAnsi="Arial" w:cs="Arial"/>
          <w:bCs/>
          <w:sz w:val="22"/>
          <w:szCs w:val="22"/>
        </w:rPr>
        <w:t xml:space="preserve"> </w:t>
      </w:r>
      <w:r>
        <w:rPr>
          <w:rFonts w:ascii="Arial" w:hAnsi="Arial" w:cs="Arial"/>
          <w:bCs/>
          <w:sz w:val="22"/>
          <w:szCs w:val="22"/>
        </w:rPr>
        <w:t>Campbell synthesises the work of Frazer, Jung and others such as Harrison</w:t>
      </w:r>
      <w:r>
        <w:rPr>
          <w:rStyle w:val="FootnoteReference"/>
          <w:rFonts w:cs="Arial"/>
          <w:bCs/>
          <w:szCs w:val="22"/>
        </w:rPr>
        <w:footnoteReference w:id="41"/>
      </w:r>
      <w:r>
        <w:rPr>
          <w:rFonts w:ascii="Arial" w:hAnsi="Arial" w:cs="Arial"/>
          <w:bCs/>
          <w:sz w:val="22"/>
          <w:szCs w:val="22"/>
        </w:rPr>
        <w:t xml:space="preserve"> in their analyses of mythic narratives, identifying the death and resurrection motif as a key stage of the hero’s journey.</w:t>
      </w:r>
      <w:r w:rsidR="00A01D35">
        <w:rPr>
          <w:rStyle w:val="FootnoteReference"/>
          <w:rFonts w:cs="Arial"/>
          <w:bCs/>
          <w:szCs w:val="22"/>
        </w:rPr>
        <w:footnoteReference w:id="42"/>
      </w:r>
      <w:r w:rsidR="00A01D35">
        <w:rPr>
          <w:rFonts w:ascii="Arial" w:hAnsi="Arial" w:cs="Arial"/>
          <w:bCs/>
          <w:sz w:val="22"/>
          <w:szCs w:val="22"/>
        </w:rPr>
        <w:t xml:space="preserve"> He remarks that by </w:t>
      </w:r>
      <w:r w:rsidR="00943601">
        <w:rPr>
          <w:rFonts w:ascii="Arial" w:hAnsi="Arial" w:cs="Arial"/>
          <w:bCs/>
          <w:sz w:val="22"/>
          <w:szCs w:val="22"/>
        </w:rPr>
        <w:t>stripping away</w:t>
      </w:r>
      <w:r w:rsidR="009518A6">
        <w:rPr>
          <w:rFonts w:ascii="Arial" w:hAnsi="Arial" w:cs="Arial"/>
          <w:bCs/>
          <w:sz w:val="22"/>
          <w:szCs w:val="22"/>
        </w:rPr>
        <w:t xml:space="preserve"> the ‘adornments’ of </w:t>
      </w:r>
      <w:r w:rsidR="00943601">
        <w:rPr>
          <w:rFonts w:ascii="Arial" w:hAnsi="Arial" w:cs="Arial"/>
          <w:bCs/>
          <w:sz w:val="22"/>
          <w:szCs w:val="22"/>
        </w:rPr>
        <w:t>‘pride, virtue, beauty and life</w:t>
      </w:r>
      <w:r w:rsidR="009518A6">
        <w:rPr>
          <w:rFonts w:ascii="Arial" w:hAnsi="Arial" w:cs="Arial"/>
          <w:bCs/>
          <w:sz w:val="22"/>
          <w:szCs w:val="22"/>
        </w:rPr>
        <w:t>,’</w:t>
      </w:r>
      <w:r w:rsidR="005954A5">
        <w:rPr>
          <w:rStyle w:val="FootnoteReference"/>
          <w:rFonts w:cs="Arial"/>
          <w:bCs/>
          <w:szCs w:val="22"/>
        </w:rPr>
        <w:footnoteReference w:id="43"/>
      </w:r>
      <w:r w:rsidR="009518A6">
        <w:rPr>
          <w:rFonts w:ascii="Arial" w:hAnsi="Arial" w:cs="Arial"/>
          <w:bCs/>
          <w:sz w:val="22"/>
          <w:szCs w:val="22"/>
        </w:rPr>
        <w:t xml:space="preserve"> </w:t>
      </w:r>
      <w:r w:rsidR="005954A5">
        <w:rPr>
          <w:rFonts w:ascii="Arial" w:hAnsi="Arial" w:cs="Arial"/>
          <w:bCs/>
          <w:sz w:val="22"/>
          <w:szCs w:val="22"/>
        </w:rPr>
        <w:t>and becoming naked</w:t>
      </w:r>
      <w:r w:rsidR="00943601">
        <w:rPr>
          <w:rFonts w:ascii="Arial" w:hAnsi="Arial" w:cs="Arial"/>
          <w:bCs/>
          <w:sz w:val="22"/>
          <w:szCs w:val="22"/>
        </w:rPr>
        <w:t xml:space="preserve"> </w:t>
      </w:r>
      <w:r w:rsidR="009518A6">
        <w:rPr>
          <w:rFonts w:ascii="Arial" w:hAnsi="Arial" w:cs="Arial"/>
          <w:bCs/>
          <w:sz w:val="22"/>
          <w:szCs w:val="22"/>
        </w:rPr>
        <w:t xml:space="preserve">the individual can face and overcome the </w:t>
      </w:r>
      <w:r w:rsidR="00A01D35">
        <w:rPr>
          <w:rFonts w:ascii="Arial" w:hAnsi="Arial" w:cs="Arial"/>
          <w:bCs/>
          <w:sz w:val="22"/>
          <w:szCs w:val="22"/>
        </w:rPr>
        <w:t>monsters</w:t>
      </w:r>
      <w:r w:rsidR="009518A6">
        <w:rPr>
          <w:rFonts w:ascii="Arial" w:hAnsi="Arial" w:cs="Arial"/>
          <w:bCs/>
          <w:sz w:val="22"/>
          <w:szCs w:val="22"/>
        </w:rPr>
        <w:t xml:space="preserve"> </w:t>
      </w:r>
      <w:r w:rsidR="005954A5">
        <w:rPr>
          <w:rFonts w:ascii="Arial" w:hAnsi="Arial" w:cs="Arial"/>
          <w:bCs/>
          <w:sz w:val="22"/>
          <w:szCs w:val="22"/>
        </w:rPr>
        <w:t xml:space="preserve">that exist </w:t>
      </w:r>
      <w:r w:rsidR="009518A6">
        <w:rPr>
          <w:rFonts w:ascii="Arial" w:hAnsi="Arial" w:cs="Arial"/>
          <w:bCs/>
          <w:sz w:val="22"/>
          <w:szCs w:val="22"/>
        </w:rPr>
        <w:t>within their own unconscious</w:t>
      </w:r>
      <w:r w:rsidR="00FC1A59">
        <w:rPr>
          <w:rFonts w:ascii="Arial" w:hAnsi="Arial" w:cs="Arial"/>
          <w:bCs/>
          <w:sz w:val="22"/>
          <w:szCs w:val="22"/>
        </w:rPr>
        <w:t xml:space="preserve">; a process termed </w:t>
      </w:r>
      <w:r w:rsidR="00893D24">
        <w:rPr>
          <w:rFonts w:ascii="Arial" w:hAnsi="Arial" w:cs="Arial"/>
          <w:bCs/>
          <w:sz w:val="22"/>
          <w:szCs w:val="22"/>
        </w:rPr>
        <w:t>‘</w:t>
      </w:r>
      <w:r w:rsidR="00FC1A59">
        <w:rPr>
          <w:rFonts w:ascii="Arial" w:hAnsi="Arial" w:cs="Arial"/>
          <w:bCs/>
          <w:sz w:val="22"/>
          <w:szCs w:val="22"/>
        </w:rPr>
        <w:t>individuation</w:t>
      </w:r>
      <w:r w:rsidR="00893D24">
        <w:rPr>
          <w:rFonts w:ascii="Arial" w:hAnsi="Arial" w:cs="Arial"/>
          <w:bCs/>
          <w:sz w:val="22"/>
          <w:szCs w:val="22"/>
        </w:rPr>
        <w:t>’</w:t>
      </w:r>
      <w:r w:rsidR="00FC1A59">
        <w:rPr>
          <w:rFonts w:ascii="Arial" w:hAnsi="Arial" w:cs="Arial"/>
          <w:bCs/>
          <w:sz w:val="22"/>
          <w:szCs w:val="22"/>
        </w:rPr>
        <w:t xml:space="preserve"> by Jung.</w:t>
      </w:r>
      <w:r w:rsidR="00FC1A59">
        <w:rPr>
          <w:rStyle w:val="FootnoteReference"/>
          <w:rFonts w:cs="Arial"/>
          <w:bCs/>
          <w:szCs w:val="22"/>
        </w:rPr>
        <w:footnoteReference w:id="44"/>
      </w:r>
    </w:p>
    <w:p w14:paraId="14E36321" w14:textId="77777777" w:rsidR="00A84095" w:rsidRDefault="00A84095" w:rsidP="003E2531">
      <w:pPr>
        <w:pStyle w:val="NormalWeb"/>
        <w:spacing w:before="0" w:beforeAutospacing="0" w:after="0" w:afterAutospacing="0"/>
        <w:ind w:right="-334"/>
        <w:rPr>
          <w:rFonts w:ascii="Arial" w:hAnsi="Arial" w:cs="Arial"/>
          <w:bCs/>
          <w:sz w:val="22"/>
          <w:szCs w:val="22"/>
        </w:rPr>
      </w:pPr>
    </w:p>
    <w:p w14:paraId="3BC2BCD4" w14:textId="7FECF8F2" w:rsidR="00AC6165" w:rsidRDefault="00A84095" w:rsidP="003E2531">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In considering ritual as a </w:t>
      </w:r>
      <w:r w:rsidR="00A01D35">
        <w:rPr>
          <w:rFonts w:ascii="Arial" w:hAnsi="Arial" w:cs="Arial"/>
          <w:bCs/>
          <w:sz w:val="22"/>
          <w:szCs w:val="22"/>
        </w:rPr>
        <w:t xml:space="preserve">defining </w:t>
      </w:r>
      <w:r>
        <w:rPr>
          <w:rFonts w:ascii="Arial" w:hAnsi="Arial" w:cs="Arial"/>
          <w:bCs/>
          <w:sz w:val="22"/>
          <w:szCs w:val="22"/>
        </w:rPr>
        <w:t xml:space="preserve">characteristic of myth as </w:t>
      </w:r>
      <w:proofErr w:type="spellStart"/>
      <w:r>
        <w:rPr>
          <w:rFonts w:ascii="Arial" w:hAnsi="Arial" w:cs="Arial"/>
          <w:bCs/>
          <w:sz w:val="22"/>
          <w:szCs w:val="22"/>
        </w:rPr>
        <w:t>Burkhert</w:t>
      </w:r>
      <w:proofErr w:type="spellEnd"/>
      <w:r>
        <w:rPr>
          <w:rFonts w:ascii="Arial" w:hAnsi="Arial" w:cs="Arial"/>
          <w:bCs/>
          <w:sz w:val="22"/>
          <w:szCs w:val="22"/>
        </w:rPr>
        <w:t xml:space="preserve"> suggests,</w:t>
      </w:r>
      <w:r w:rsidR="003759EB">
        <w:rPr>
          <w:rStyle w:val="FootnoteReference"/>
          <w:rFonts w:cs="Arial"/>
          <w:bCs/>
          <w:szCs w:val="22"/>
        </w:rPr>
        <w:footnoteReference w:id="45"/>
      </w:r>
      <w:r w:rsidR="005954A5">
        <w:rPr>
          <w:rFonts w:ascii="Arial" w:hAnsi="Arial" w:cs="Arial"/>
          <w:bCs/>
          <w:sz w:val="22"/>
          <w:szCs w:val="22"/>
        </w:rPr>
        <w:t xml:space="preserve"> </w:t>
      </w:r>
      <w:proofErr w:type="spellStart"/>
      <w:r w:rsidR="00110E36">
        <w:rPr>
          <w:rFonts w:ascii="Arial" w:hAnsi="Arial" w:cs="Arial"/>
          <w:bCs/>
          <w:sz w:val="22"/>
          <w:szCs w:val="22"/>
        </w:rPr>
        <w:t>Buccellati</w:t>
      </w:r>
      <w:proofErr w:type="spellEnd"/>
      <w:r w:rsidR="00110E36">
        <w:rPr>
          <w:rFonts w:ascii="Arial" w:hAnsi="Arial" w:cs="Arial"/>
          <w:bCs/>
          <w:sz w:val="22"/>
          <w:szCs w:val="22"/>
        </w:rPr>
        <w:t xml:space="preserve"> identifies the </w:t>
      </w:r>
      <w:r w:rsidR="004B5110">
        <w:rPr>
          <w:rFonts w:ascii="Arial" w:hAnsi="Arial" w:cs="Arial"/>
          <w:bCs/>
          <w:sz w:val="22"/>
          <w:szCs w:val="22"/>
        </w:rPr>
        <w:t>‘J</w:t>
      </w:r>
      <w:r w:rsidR="00110E36">
        <w:rPr>
          <w:rFonts w:ascii="Arial" w:hAnsi="Arial" w:cs="Arial"/>
          <w:bCs/>
          <w:sz w:val="22"/>
          <w:szCs w:val="22"/>
        </w:rPr>
        <w:t xml:space="preserve">ourney to </w:t>
      </w:r>
      <w:proofErr w:type="spellStart"/>
      <w:r w:rsidR="00110E36">
        <w:rPr>
          <w:rFonts w:ascii="Arial" w:hAnsi="Arial" w:cs="Arial"/>
          <w:bCs/>
          <w:sz w:val="22"/>
          <w:szCs w:val="22"/>
        </w:rPr>
        <w:t>Kutha</w:t>
      </w:r>
      <w:proofErr w:type="spellEnd"/>
      <w:r w:rsidR="004B5110">
        <w:rPr>
          <w:rFonts w:ascii="Arial" w:hAnsi="Arial" w:cs="Arial"/>
          <w:bCs/>
          <w:sz w:val="22"/>
          <w:szCs w:val="22"/>
        </w:rPr>
        <w:t>’</w:t>
      </w:r>
      <w:r w:rsidR="00110E36">
        <w:rPr>
          <w:rFonts w:ascii="Arial" w:hAnsi="Arial" w:cs="Arial"/>
          <w:bCs/>
          <w:sz w:val="22"/>
          <w:szCs w:val="22"/>
        </w:rPr>
        <w:t xml:space="preserve"> as </w:t>
      </w:r>
      <w:r w:rsidR="003759EB">
        <w:rPr>
          <w:rFonts w:ascii="Arial" w:hAnsi="Arial" w:cs="Arial"/>
          <w:bCs/>
          <w:sz w:val="22"/>
          <w:szCs w:val="22"/>
        </w:rPr>
        <w:t xml:space="preserve">an example </w:t>
      </w:r>
      <w:r w:rsidR="00110E36">
        <w:rPr>
          <w:rFonts w:ascii="Arial" w:hAnsi="Arial" w:cs="Arial"/>
          <w:bCs/>
          <w:sz w:val="22"/>
          <w:szCs w:val="22"/>
        </w:rPr>
        <w:t xml:space="preserve">that would allow participants to </w:t>
      </w:r>
      <w:r>
        <w:rPr>
          <w:rFonts w:ascii="Arial" w:hAnsi="Arial" w:cs="Arial"/>
          <w:bCs/>
          <w:sz w:val="22"/>
          <w:szCs w:val="22"/>
        </w:rPr>
        <w:t>engage</w:t>
      </w:r>
      <w:r w:rsidR="00110E36">
        <w:rPr>
          <w:rFonts w:ascii="Arial" w:hAnsi="Arial" w:cs="Arial"/>
          <w:bCs/>
          <w:sz w:val="22"/>
          <w:szCs w:val="22"/>
        </w:rPr>
        <w:t xml:space="preserve"> with </w:t>
      </w:r>
      <w:r w:rsidR="00EE3377">
        <w:rPr>
          <w:rFonts w:ascii="Arial" w:hAnsi="Arial" w:cs="Arial"/>
          <w:bCs/>
          <w:sz w:val="22"/>
          <w:szCs w:val="22"/>
        </w:rPr>
        <w:t xml:space="preserve">the narrative </w:t>
      </w:r>
      <w:r w:rsidR="00EC6D57">
        <w:rPr>
          <w:rFonts w:ascii="Arial" w:hAnsi="Arial" w:cs="Arial"/>
          <w:bCs/>
          <w:sz w:val="22"/>
          <w:szCs w:val="22"/>
        </w:rPr>
        <w:t xml:space="preserve">of </w:t>
      </w:r>
      <w:r>
        <w:rPr>
          <w:rFonts w:ascii="Arial" w:hAnsi="Arial" w:cs="Arial"/>
          <w:bCs/>
          <w:sz w:val="22"/>
          <w:szCs w:val="22"/>
        </w:rPr>
        <w:t xml:space="preserve">Ishtar’s </w:t>
      </w:r>
      <w:r w:rsidR="00110E36">
        <w:rPr>
          <w:rFonts w:ascii="Arial" w:hAnsi="Arial" w:cs="Arial"/>
          <w:bCs/>
          <w:sz w:val="22"/>
          <w:szCs w:val="22"/>
        </w:rPr>
        <w:t>decent</w:t>
      </w:r>
      <w:r>
        <w:rPr>
          <w:rFonts w:ascii="Arial" w:hAnsi="Arial" w:cs="Arial"/>
          <w:bCs/>
          <w:sz w:val="22"/>
          <w:szCs w:val="22"/>
        </w:rPr>
        <w:t>.</w:t>
      </w:r>
      <w:r w:rsidR="00110E36">
        <w:rPr>
          <w:rStyle w:val="FootnoteReference"/>
          <w:rFonts w:cs="Arial"/>
          <w:bCs/>
          <w:szCs w:val="22"/>
        </w:rPr>
        <w:footnoteReference w:id="46"/>
      </w:r>
      <w:r w:rsidR="00110E36">
        <w:rPr>
          <w:rFonts w:ascii="Arial" w:hAnsi="Arial" w:cs="Arial"/>
          <w:bCs/>
          <w:sz w:val="22"/>
          <w:szCs w:val="22"/>
        </w:rPr>
        <w:t xml:space="preserve"> </w:t>
      </w:r>
      <w:proofErr w:type="spellStart"/>
      <w:r w:rsidR="0062479F">
        <w:rPr>
          <w:rFonts w:ascii="Arial" w:hAnsi="Arial" w:cs="Arial"/>
          <w:bCs/>
          <w:sz w:val="22"/>
          <w:szCs w:val="22"/>
        </w:rPr>
        <w:t>Buccellati</w:t>
      </w:r>
      <w:proofErr w:type="spellEnd"/>
      <w:r w:rsidR="0062479F">
        <w:rPr>
          <w:rFonts w:ascii="Arial" w:hAnsi="Arial" w:cs="Arial"/>
          <w:bCs/>
          <w:sz w:val="22"/>
          <w:szCs w:val="22"/>
        </w:rPr>
        <w:t xml:space="preserve"> proposes that the journey beginning at </w:t>
      </w:r>
      <w:proofErr w:type="spellStart"/>
      <w:r w:rsidR="0062479F">
        <w:rPr>
          <w:rFonts w:ascii="Arial" w:hAnsi="Arial" w:cs="Arial"/>
          <w:bCs/>
          <w:sz w:val="22"/>
          <w:szCs w:val="22"/>
        </w:rPr>
        <w:t>Uruk</w:t>
      </w:r>
      <w:proofErr w:type="spellEnd"/>
      <w:r w:rsidR="00636883">
        <w:rPr>
          <w:rFonts w:ascii="Arial" w:hAnsi="Arial" w:cs="Arial"/>
          <w:bCs/>
          <w:sz w:val="22"/>
          <w:szCs w:val="22"/>
        </w:rPr>
        <w:t xml:space="preserve"> and </w:t>
      </w:r>
      <w:r w:rsidR="0062479F">
        <w:rPr>
          <w:rFonts w:ascii="Arial" w:hAnsi="Arial" w:cs="Arial"/>
          <w:bCs/>
          <w:sz w:val="22"/>
          <w:szCs w:val="22"/>
        </w:rPr>
        <w:t xml:space="preserve">going through seven locations was a re-enactment of </w:t>
      </w:r>
      <w:r w:rsidR="00E2716E">
        <w:rPr>
          <w:rFonts w:ascii="Arial" w:hAnsi="Arial" w:cs="Arial"/>
          <w:bCs/>
          <w:sz w:val="22"/>
          <w:szCs w:val="22"/>
        </w:rPr>
        <w:t>Ishtar’s</w:t>
      </w:r>
      <w:r w:rsidR="0062479F">
        <w:rPr>
          <w:rFonts w:ascii="Arial" w:hAnsi="Arial" w:cs="Arial"/>
          <w:bCs/>
          <w:sz w:val="22"/>
          <w:szCs w:val="22"/>
        </w:rPr>
        <w:t xml:space="preserve"> journey through </w:t>
      </w:r>
      <w:r w:rsidR="00636883">
        <w:rPr>
          <w:rFonts w:ascii="Arial" w:hAnsi="Arial" w:cs="Arial"/>
          <w:bCs/>
          <w:sz w:val="22"/>
          <w:szCs w:val="22"/>
        </w:rPr>
        <w:t xml:space="preserve">the </w:t>
      </w:r>
      <w:r w:rsidR="0062479F">
        <w:rPr>
          <w:rFonts w:ascii="Arial" w:hAnsi="Arial" w:cs="Arial"/>
          <w:bCs/>
          <w:sz w:val="22"/>
          <w:szCs w:val="22"/>
        </w:rPr>
        <w:t xml:space="preserve">seven gates, with </w:t>
      </w:r>
      <w:proofErr w:type="spellStart"/>
      <w:r w:rsidR="0062479F">
        <w:rPr>
          <w:rFonts w:ascii="Arial" w:hAnsi="Arial" w:cs="Arial"/>
          <w:bCs/>
          <w:sz w:val="22"/>
          <w:szCs w:val="22"/>
        </w:rPr>
        <w:t>Kutha</w:t>
      </w:r>
      <w:proofErr w:type="spellEnd"/>
      <w:r w:rsidR="0062479F">
        <w:rPr>
          <w:rFonts w:ascii="Arial" w:hAnsi="Arial" w:cs="Arial"/>
          <w:bCs/>
          <w:sz w:val="22"/>
          <w:szCs w:val="22"/>
        </w:rPr>
        <w:t xml:space="preserve">, the </w:t>
      </w:r>
      <w:proofErr w:type="gramStart"/>
      <w:r w:rsidR="0062479F">
        <w:rPr>
          <w:rFonts w:ascii="Arial" w:hAnsi="Arial" w:cs="Arial"/>
          <w:bCs/>
          <w:sz w:val="22"/>
          <w:szCs w:val="22"/>
        </w:rPr>
        <w:t>final destination</w:t>
      </w:r>
      <w:proofErr w:type="gramEnd"/>
      <w:r w:rsidR="0062479F">
        <w:rPr>
          <w:rFonts w:ascii="Arial" w:hAnsi="Arial" w:cs="Arial"/>
          <w:bCs/>
          <w:sz w:val="22"/>
          <w:szCs w:val="22"/>
        </w:rPr>
        <w:t xml:space="preserve">, being identified with the Nether World. </w:t>
      </w:r>
      <w:r w:rsidR="003759EB">
        <w:rPr>
          <w:rFonts w:ascii="Arial" w:hAnsi="Arial" w:cs="Arial"/>
          <w:bCs/>
          <w:sz w:val="22"/>
          <w:szCs w:val="22"/>
        </w:rPr>
        <w:t>There is however no</w:t>
      </w:r>
      <w:r w:rsidR="00110E36">
        <w:rPr>
          <w:rFonts w:ascii="Arial" w:hAnsi="Arial" w:cs="Arial"/>
          <w:bCs/>
          <w:sz w:val="22"/>
          <w:szCs w:val="22"/>
        </w:rPr>
        <w:t xml:space="preserve"> </w:t>
      </w:r>
      <w:r w:rsidR="003759EB">
        <w:rPr>
          <w:rFonts w:ascii="Arial" w:hAnsi="Arial" w:cs="Arial"/>
          <w:bCs/>
          <w:sz w:val="22"/>
          <w:szCs w:val="22"/>
        </w:rPr>
        <w:t>definable</w:t>
      </w:r>
      <w:r w:rsidR="00110E36">
        <w:rPr>
          <w:rFonts w:ascii="Arial" w:hAnsi="Arial" w:cs="Arial"/>
          <w:bCs/>
          <w:sz w:val="22"/>
          <w:szCs w:val="22"/>
        </w:rPr>
        <w:t xml:space="preserve"> ritual that would allow the same for the </w:t>
      </w:r>
      <w:r w:rsidR="00110E36" w:rsidRPr="00110E36">
        <w:rPr>
          <w:rFonts w:ascii="Arial" w:hAnsi="Arial" w:cs="Arial"/>
          <w:bCs/>
          <w:i/>
          <w:iCs/>
          <w:sz w:val="22"/>
          <w:szCs w:val="22"/>
        </w:rPr>
        <w:t>Lord of the Ring</w:t>
      </w:r>
      <w:r w:rsidR="003759EB">
        <w:rPr>
          <w:rFonts w:ascii="Arial" w:hAnsi="Arial" w:cs="Arial"/>
          <w:bCs/>
          <w:i/>
          <w:iCs/>
          <w:sz w:val="22"/>
          <w:szCs w:val="22"/>
        </w:rPr>
        <w:t xml:space="preserve">s </w:t>
      </w:r>
      <w:r w:rsidR="003759EB" w:rsidRPr="003759EB">
        <w:rPr>
          <w:rFonts w:ascii="Arial" w:hAnsi="Arial" w:cs="Arial"/>
          <w:bCs/>
          <w:sz w:val="22"/>
          <w:szCs w:val="22"/>
        </w:rPr>
        <w:t>unless</w:t>
      </w:r>
      <w:r w:rsidR="003759EB">
        <w:rPr>
          <w:rFonts w:ascii="Arial" w:hAnsi="Arial" w:cs="Arial"/>
          <w:bCs/>
          <w:i/>
          <w:iCs/>
          <w:sz w:val="22"/>
          <w:szCs w:val="22"/>
        </w:rPr>
        <w:t xml:space="preserve"> </w:t>
      </w:r>
      <w:r w:rsidR="003759EB">
        <w:rPr>
          <w:rFonts w:ascii="Arial" w:hAnsi="Arial" w:cs="Arial"/>
          <w:bCs/>
          <w:sz w:val="22"/>
          <w:szCs w:val="22"/>
        </w:rPr>
        <w:t xml:space="preserve">as </w:t>
      </w:r>
      <w:proofErr w:type="spellStart"/>
      <w:r w:rsidR="004B5110">
        <w:rPr>
          <w:rFonts w:ascii="Arial" w:hAnsi="Arial" w:cs="Arial"/>
          <w:bCs/>
          <w:sz w:val="22"/>
          <w:szCs w:val="22"/>
        </w:rPr>
        <w:t>Gilhus</w:t>
      </w:r>
      <w:proofErr w:type="spellEnd"/>
      <w:r w:rsidR="004B5110">
        <w:rPr>
          <w:rFonts w:ascii="Arial" w:hAnsi="Arial" w:cs="Arial"/>
          <w:bCs/>
          <w:sz w:val="22"/>
          <w:szCs w:val="22"/>
        </w:rPr>
        <w:t xml:space="preserve"> suggests</w:t>
      </w:r>
      <w:r w:rsidR="003759EB">
        <w:rPr>
          <w:rFonts w:ascii="Arial" w:hAnsi="Arial" w:cs="Arial"/>
          <w:bCs/>
          <w:sz w:val="22"/>
          <w:szCs w:val="22"/>
        </w:rPr>
        <w:t xml:space="preserve">, </w:t>
      </w:r>
      <w:r w:rsidR="00636883">
        <w:rPr>
          <w:rFonts w:ascii="Arial" w:hAnsi="Arial" w:cs="Arial"/>
          <w:bCs/>
          <w:sz w:val="22"/>
          <w:szCs w:val="22"/>
        </w:rPr>
        <w:t xml:space="preserve">the </w:t>
      </w:r>
      <w:r w:rsidR="00893D24">
        <w:rPr>
          <w:rFonts w:ascii="Arial" w:hAnsi="Arial" w:cs="Arial"/>
          <w:bCs/>
          <w:sz w:val="22"/>
          <w:szCs w:val="22"/>
        </w:rPr>
        <w:t xml:space="preserve">reading </w:t>
      </w:r>
      <w:r w:rsidR="00636883">
        <w:rPr>
          <w:rFonts w:ascii="Arial" w:hAnsi="Arial" w:cs="Arial"/>
          <w:bCs/>
          <w:sz w:val="22"/>
          <w:szCs w:val="22"/>
        </w:rPr>
        <w:t xml:space="preserve">of </w:t>
      </w:r>
      <w:r w:rsidR="004B5110">
        <w:rPr>
          <w:rFonts w:ascii="Arial" w:hAnsi="Arial" w:cs="Arial"/>
          <w:bCs/>
          <w:sz w:val="22"/>
          <w:szCs w:val="22"/>
        </w:rPr>
        <w:t xml:space="preserve">mythic narratives </w:t>
      </w:r>
      <w:r w:rsidR="00137713">
        <w:rPr>
          <w:rFonts w:ascii="Arial" w:hAnsi="Arial" w:cs="Arial"/>
          <w:bCs/>
          <w:sz w:val="22"/>
          <w:szCs w:val="22"/>
        </w:rPr>
        <w:t xml:space="preserve">are </w:t>
      </w:r>
      <w:r w:rsidR="00694F80">
        <w:rPr>
          <w:rFonts w:ascii="Arial" w:hAnsi="Arial" w:cs="Arial"/>
          <w:bCs/>
          <w:sz w:val="22"/>
          <w:szCs w:val="22"/>
        </w:rPr>
        <w:t xml:space="preserve">considered </w:t>
      </w:r>
      <w:r w:rsidR="004B5110">
        <w:rPr>
          <w:rFonts w:ascii="Arial" w:hAnsi="Arial" w:cs="Arial"/>
          <w:bCs/>
          <w:sz w:val="22"/>
          <w:szCs w:val="22"/>
        </w:rPr>
        <w:t>rituals in themselves</w:t>
      </w:r>
      <w:r w:rsidR="00137713">
        <w:rPr>
          <w:rFonts w:ascii="Arial" w:hAnsi="Arial" w:cs="Arial"/>
          <w:bCs/>
          <w:sz w:val="22"/>
          <w:szCs w:val="22"/>
        </w:rPr>
        <w:t xml:space="preserve">, their function </w:t>
      </w:r>
      <w:r w:rsidR="00873727">
        <w:rPr>
          <w:rFonts w:ascii="Arial" w:hAnsi="Arial" w:cs="Arial"/>
          <w:bCs/>
          <w:sz w:val="22"/>
          <w:szCs w:val="22"/>
        </w:rPr>
        <w:t xml:space="preserve">being </w:t>
      </w:r>
      <w:r w:rsidR="00137713">
        <w:rPr>
          <w:rFonts w:ascii="Arial" w:hAnsi="Arial" w:cs="Arial"/>
          <w:bCs/>
          <w:sz w:val="22"/>
          <w:szCs w:val="22"/>
        </w:rPr>
        <w:t>to ‘invoke and sustain a process of change and transformation in the listeners’ on a psychological level</w:t>
      </w:r>
      <w:r w:rsidR="004B5110">
        <w:rPr>
          <w:rFonts w:ascii="Arial" w:hAnsi="Arial" w:cs="Arial"/>
          <w:bCs/>
          <w:sz w:val="22"/>
          <w:szCs w:val="22"/>
        </w:rPr>
        <w:t>.</w:t>
      </w:r>
      <w:r w:rsidR="00A01D35">
        <w:rPr>
          <w:rFonts w:ascii="Arial" w:hAnsi="Arial" w:cs="Arial"/>
          <w:bCs/>
          <w:sz w:val="22"/>
          <w:szCs w:val="22"/>
        </w:rPr>
        <w:t>’</w:t>
      </w:r>
      <w:r w:rsidR="004B5110">
        <w:rPr>
          <w:rStyle w:val="FootnoteReference"/>
          <w:rFonts w:cs="Arial"/>
          <w:bCs/>
          <w:szCs w:val="22"/>
        </w:rPr>
        <w:footnoteReference w:id="47"/>
      </w:r>
      <w:r w:rsidR="00FC1A59">
        <w:rPr>
          <w:rFonts w:ascii="Arial" w:hAnsi="Arial" w:cs="Arial"/>
          <w:bCs/>
          <w:sz w:val="22"/>
          <w:szCs w:val="22"/>
        </w:rPr>
        <w:t xml:space="preserve"> This function align</w:t>
      </w:r>
      <w:r w:rsidR="00893D24">
        <w:rPr>
          <w:rFonts w:ascii="Arial" w:hAnsi="Arial" w:cs="Arial"/>
          <w:bCs/>
          <w:sz w:val="22"/>
          <w:szCs w:val="22"/>
        </w:rPr>
        <w:t>s</w:t>
      </w:r>
      <w:r w:rsidR="00FC1A59">
        <w:rPr>
          <w:rFonts w:ascii="Arial" w:hAnsi="Arial" w:cs="Arial"/>
          <w:bCs/>
          <w:sz w:val="22"/>
          <w:szCs w:val="22"/>
        </w:rPr>
        <w:t xml:space="preserve"> </w:t>
      </w:r>
      <w:r w:rsidR="007603D3">
        <w:rPr>
          <w:rFonts w:ascii="Arial" w:hAnsi="Arial" w:cs="Arial"/>
          <w:bCs/>
          <w:sz w:val="22"/>
          <w:szCs w:val="22"/>
        </w:rPr>
        <w:t xml:space="preserve">with </w:t>
      </w:r>
      <w:r w:rsidR="00FC1A59">
        <w:rPr>
          <w:rFonts w:ascii="Arial" w:hAnsi="Arial" w:cs="Arial"/>
          <w:bCs/>
          <w:sz w:val="22"/>
          <w:szCs w:val="22"/>
        </w:rPr>
        <w:t xml:space="preserve">an understanding </w:t>
      </w:r>
      <w:r w:rsidR="00E01B64">
        <w:rPr>
          <w:rFonts w:ascii="Arial" w:hAnsi="Arial" w:cs="Arial"/>
          <w:bCs/>
          <w:sz w:val="22"/>
          <w:szCs w:val="22"/>
        </w:rPr>
        <w:t xml:space="preserve">of </w:t>
      </w:r>
      <w:r w:rsidR="00E2716E">
        <w:rPr>
          <w:rFonts w:ascii="Arial" w:hAnsi="Arial" w:cs="Arial"/>
          <w:bCs/>
          <w:sz w:val="22"/>
          <w:szCs w:val="22"/>
        </w:rPr>
        <w:t xml:space="preserve">the symbols contained in </w:t>
      </w:r>
      <w:r w:rsidR="00E01B64">
        <w:rPr>
          <w:rFonts w:ascii="Arial" w:hAnsi="Arial" w:cs="Arial"/>
          <w:bCs/>
          <w:sz w:val="22"/>
          <w:szCs w:val="22"/>
        </w:rPr>
        <w:t xml:space="preserve">these myths </w:t>
      </w:r>
      <w:r w:rsidR="007603D3">
        <w:rPr>
          <w:rFonts w:ascii="Arial" w:hAnsi="Arial" w:cs="Arial"/>
          <w:bCs/>
          <w:sz w:val="22"/>
          <w:szCs w:val="22"/>
        </w:rPr>
        <w:t>similar to that proposed</w:t>
      </w:r>
      <w:r w:rsidR="00E01B64">
        <w:rPr>
          <w:rFonts w:ascii="Arial" w:hAnsi="Arial" w:cs="Arial"/>
          <w:bCs/>
          <w:sz w:val="22"/>
          <w:szCs w:val="22"/>
        </w:rPr>
        <w:t xml:space="preserve"> by Jung and Campbell.</w:t>
      </w:r>
      <w:r w:rsidR="00FC1A59">
        <w:rPr>
          <w:rFonts w:ascii="Arial" w:hAnsi="Arial" w:cs="Arial"/>
          <w:bCs/>
          <w:sz w:val="22"/>
          <w:szCs w:val="22"/>
        </w:rPr>
        <w:t xml:space="preserve"> </w:t>
      </w:r>
    </w:p>
    <w:p w14:paraId="0F6B08AB" w14:textId="77777777" w:rsidR="009555E6" w:rsidRDefault="009555E6" w:rsidP="003E2531">
      <w:pPr>
        <w:pStyle w:val="NormalWeb"/>
        <w:spacing w:before="0" w:beforeAutospacing="0" w:after="0" w:afterAutospacing="0"/>
        <w:ind w:right="-334"/>
        <w:rPr>
          <w:rFonts w:ascii="Arial" w:hAnsi="Arial" w:cs="Arial"/>
          <w:bCs/>
          <w:sz w:val="22"/>
          <w:szCs w:val="22"/>
        </w:rPr>
      </w:pPr>
    </w:p>
    <w:p w14:paraId="630726E4" w14:textId="77777777" w:rsidR="00064408" w:rsidRDefault="00064408" w:rsidP="003E2531">
      <w:pPr>
        <w:pStyle w:val="NormalWeb"/>
        <w:spacing w:before="0" w:beforeAutospacing="0" w:after="0" w:afterAutospacing="0"/>
        <w:ind w:right="-334"/>
        <w:rPr>
          <w:rFonts w:ascii="Arial" w:hAnsi="Arial" w:cs="Arial"/>
          <w:bCs/>
          <w:sz w:val="22"/>
          <w:szCs w:val="22"/>
        </w:rPr>
      </w:pPr>
    </w:p>
    <w:p w14:paraId="400E315C" w14:textId="6DD9253C" w:rsidR="009555E6" w:rsidRPr="00064408" w:rsidRDefault="00064408" w:rsidP="003E2531">
      <w:pPr>
        <w:pStyle w:val="NormalWeb"/>
        <w:spacing w:before="0" w:beforeAutospacing="0" w:after="0" w:afterAutospacing="0"/>
        <w:ind w:right="-334"/>
        <w:rPr>
          <w:rFonts w:ascii="Arial" w:hAnsi="Arial" w:cs="Arial"/>
          <w:b/>
          <w:sz w:val="22"/>
          <w:szCs w:val="22"/>
        </w:rPr>
      </w:pPr>
      <w:r w:rsidRPr="00064408">
        <w:rPr>
          <w:rFonts w:ascii="Arial" w:hAnsi="Arial" w:cs="Arial"/>
          <w:b/>
          <w:sz w:val="22"/>
          <w:szCs w:val="22"/>
        </w:rPr>
        <w:t>CONCLUSION</w:t>
      </w:r>
    </w:p>
    <w:p w14:paraId="5FAFCEC7" w14:textId="77777777" w:rsidR="00064408" w:rsidRDefault="00064408" w:rsidP="003E2531">
      <w:pPr>
        <w:pStyle w:val="NormalWeb"/>
        <w:spacing w:before="0" w:beforeAutospacing="0" w:after="0" w:afterAutospacing="0"/>
        <w:ind w:right="-334"/>
        <w:rPr>
          <w:rFonts w:ascii="Arial" w:hAnsi="Arial" w:cs="Arial"/>
          <w:bCs/>
          <w:sz w:val="22"/>
          <w:szCs w:val="22"/>
        </w:rPr>
      </w:pPr>
    </w:p>
    <w:p w14:paraId="2E4056A9" w14:textId="376699E2" w:rsidR="00D429B4" w:rsidRPr="00D57032" w:rsidRDefault="00873727" w:rsidP="003E2531">
      <w:pPr>
        <w:pStyle w:val="NormalWeb"/>
        <w:spacing w:before="0" w:beforeAutospacing="0" w:after="0" w:afterAutospacing="0"/>
        <w:ind w:right="-334"/>
        <w:rPr>
          <w:rFonts w:ascii="Arial" w:eastAsia="Times New Roman" w:hAnsi="Arial" w:cs="Arial"/>
          <w:sz w:val="22"/>
          <w:szCs w:val="22"/>
          <w:lang w:eastAsia="en-GB"/>
        </w:rPr>
      </w:pPr>
      <w:r>
        <w:rPr>
          <w:rFonts w:ascii="Arial" w:hAnsi="Arial" w:cs="Arial"/>
          <w:bCs/>
          <w:sz w:val="22"/>
          <w:szCs w:val="22"/>
        </w:rPr>
        <w:t>This essay has made a comparison between the myth of the decent of Ishtar</w:t>
      </w:r>
      <w:r w:rsidR="00FE554A">
        <w:rPr>
          <w:rStyle w:val="FootnoteReference"/>
          <w:rFonts w:cs="Arial"/>
          <w:bCs/>
          <w:szCs w:val="22"/>
        </w:rPr>
        <w:footnoteReference w:id="48"/>
      </w:r>
      <w:r>
        <w:rPr>
          <w:rFonts w:ascii="Arial" w:hAnsi="Arial" w:cs="Arial"/>
          <w:bCs/>
          <w:sz w:val="22"/>
          <w:szCs w:val="22"/>
        </w:rPr>
        <w:t xml:space="preserve"> </w:t>
      </w:r>
      <w:r w:rsidR="00255B12">
        <w:rPr>
          <w:rFonts w:ascii="Arial" w:hAnsi="Arial" w:cs="Arial"/>
          <w:bCs/>
          <w:sz w:val="22"/>
          <w:szCs w:val="22"/>
        </w:rPr>
        <w:t>and</w:t>
      </w:r>
      <w:r>
        <w:rPr>
          <w:rFonts w:ascii="Arial" w:hAnsi="Arial" w:cs="Arial"/>
          <w:bCs/>
          <w:sz w:val="22"/>
          <w:szCs w:val="22"/>
        </w:rPr>
        <w:t xml:space="preserve"> the fall of Gandalf taken from Tolkien’s </w:t>
      </w:r>
      <w:r w:rsidRPr="00873727">
        <w:rPr>
          <w:rFonts w:ascii="Arial" w:hAnsi="Arial" w:cs="Arial"/>
          <w:bCs/>
          <w:i/>
          <w:iCs/>
          <w:sz w:val="22"/>
          <w:szCs w:val="22"/>
        </w:rPr>
        <w:t>Lord of the Rings</w:t>
      </w:r>
      <w:r>
        <w:rPr>
          <w:rFonts w:ascii="Arial" w:hAnsi="Arial" w:cs="Arial"/>
          <w:bCs/>
          <w:sz w:val="22"/>
          <w:szCs w:val="22"/>
        </w:rPr>
        <w:t>.</w:t>
      </w:r>
      <w:r w:rsidR="001D2FA7">
        <w:rPr>
          <w:rStyle w:val="FootnoteReference"/>
          <w:rFonts w:cs="Arial"/>
          <w:bCs/>
          <w:szCs w:val="22"/>
        </w:rPr>
        <w:footnoteReference w:id="49"/>
      </w:r>
      <w:r w:rsidR="001D2FA7">
        <w:rPr>
          <w:rFonts w:ascii="Arial" w:hAnsi="Arial" w:cs="Arial"/>
          <w:bCs/>
          <w:sz w:val="22"/>
          <w:szCs w:val="22"/>
        </w:rPr>
        <w:t xml:space="preserve"> </w:t>
      </w:r>
      <w:r w:rsidR="001D2FA7">
        <w:rPr>
          <w:rStyle w:val="FootnoteReference"/>
          <w:rFonts w:cs="Arial"/>
          <w:bCs/>
          <w:szCs w:val="22"/>
        </w:rPr>
        <w:footnoteReference w:id="50"/>
      </w:r>
      <w:r w:rsidR="001D2FA7">
        <w:rPr>
          <w:rFonts w:ascii="Arial" w:hAnsi="Arial" w:cs="Arial"/>
          <w:bCs/>
          <w:sz w:val="22"/>
          <w:szCs w:val="22"/>
        </w:rPr>
        <w:t xml:space="preserve"> </w:t>
      </w:r>
      <w:r w:rsidR="001D2FA7">
        <w:rPr>
          <w:rStyle w:val="FootnoteReference"/>
          <w:rFonts w:cs="Arial"/>
          <w:bCs/>
          <w:szCs w:val="22"/>
        </w:rPr>
        <w:footnoteReference w:id="51"/>
      </w:r>
      <w:r>
        <w:rPr>
          <w:rFonts w:ascii="Arial" w:hAnsi="Arial" w:cs="Arial"/>
          <w:bCs/>
          <w:sz w:val="22"/>
          <w:szCs w:val="22"/>
        </w:rPr>
        <w:t xml:space="preserve"> Several similarities have been identified between the two texts; in the etymology, the nature of </w:t>
      </w:r>
      <w:r w:rsidR="007603D3">
        <w:rPr>
          <w:rFonts w:ascii="Arial" w:hAnsi="Arial" w:cs="Arial"/>
          <w:bCs/>
          <w:sz w:val="22"/>
          <w:szCs w:val="22"/>
        </w:rPr>
        <w:t xml:space="preserve">the </w:t>
      </w:r>
      <w:r>
        <w:rPr>
          <w:rFonts w:ascii="Arial" w:hAnsi="Arial" w:cs="Arial"/>
          <w:bCs/>
          <w:sz w:val="22"/>
          <w:szCs w:val="22"/>
        </w:rPr>
        <w:t>primary characters, the description of the Nether World and the overarching narratives. Th</w:t>
      </w:r>
      <w:r w:rsidR="00170800">
        <w:rPr>
          <w:rFonts w:ascii="Arial" w:hAnsi="Arial" w:cs="Arial"/>
          <w:bCs/>
          <w:sz w:val="22"/>
          <w:szCs w:val="22"/>
        </w:rPr>
        <w:t xml:space="preserve">e consistency of these </w:t>
      </w:r>
      <w:r>
        <w:rPr>
          <w:rFonts w:ascii="Arial" w:hAnsi="Arial" w:cs="Arial"/>
          <w:bCs/>
          <w:sz w:val="22"/>
          <w:szCs w:val="22"/>
        </w:rPr>
        <w:t>‘</w:t>
      </w:r>
      <w:r>
        <w:rPr>
          <w:rFonts w:ascii="Arial" w:eastAsia="Times New Roman" w:hAnsi="Arial" w:cs="Arial"/>
          <w:sz w:val="22"/>
          <w:szCs w:val="22"/>
          <w:lang w:eastAsia="en-GB"/>
        </w:rPr>
        <w:t xml:space="preserve">fantastic and paradoxical motifs’ </w:t>
      </w:r>
      <w:r w:rsidR="002A5616">
        <w:rPr>
          <w:rFonts w:ascii="Arial" w:eastAsia="Times New Roman" w:hAnsi="Arial" w:cs="Arial"/>
          <w:sz w:val="22"/>
          <w:szCs w:val="22"/>
          <w:lang w:eastAsia="en-GB"/>
        </w:rPr>
        <w:t xml:space="preserve">identified by </w:t>
      </w:r>
      <w:proofErr w:type="spellStart"/>
      <w:r w:rsidR="002A5616">
        <w:rPr>
          <w:rFonts w:ascii="Arial" w:eastAsia="Times New Roman" w:hAnsi="Arial" w:cs="Arial"/>
          <w:sz w:val="22"/>
          <w:szCs w:val="22"/>
          <w:lang w:eastAsia="en-GB"/>
        </w:rPr>
        <w:t>Burkhert</w:t>
      </w:r>
      <w:proofErr w:type="spellEnd"/>
      <w:r w:rsidR="001D2FA7">
        <w:rPr>
          <w:rStyle w:val="FootnoteReference"/>
          <w:rFonts w:eastAsia="Times New Roman" w:cs="Arial"/>
          <w:szCs w:val="22"/>
          <w:lang w:eastAsia="en-GB"/>
        </w:rPr>
        <w:footnoteReference w:id="52"/>
      </w:r>
      <w:r w:rsidR="002A5616">
        <w:rPr>
          <w:rFonts w:ascii="Arial" w:eastAsia="Times New Roman" w:hAnsi="Arial" w:cs="Arial"/>
          <w:sz w:val="22"/>
          <w:szCs w:val="22"/>
          <w:lang w:eastAsia="en-GB"/>
        </w:rPr>
        <w:t xml:space="preserve"> as features of myth</w:t>
      </w:r>
      <w:r w:rsidR="00DA60A3">
        <w:rPr>
          <w:rFonts w:ascii="Arial" w:eastAsia="Times New Roman" w:hAnsi="Arial" w:cs="Arial"/>
          <w:sz w:val="22"/>
          <w:szCs w:val="22"/>
          <w:lang w:eastAsia="en-GB"/>
        </w:rPr>
        <w:t>,</w:t>
      </w:r>
      <w:r w:rsidR="002A5616">
        <w:rPr>
          <w:rFonts w:ascii="Arial" w:eastAsia="Times New Roman" w:hAnsi="Arial" w:cs="Arial"/>
          <w:sz w:val="22"/>
          <w:szCs w:val="22"/>
          <w:lang w:eastAsia="en-GB"/>
        </w:rPr>
        <w:t xml:space="preserve"> allow the classification of Tolkien’s novels as such and demonstrat</w:t>
      </w:r>
      <w:r w:rsidR="00170800">
        <w:rPr>
          <w:rFonts w:ascii="Arial" w:eastAsia="Times New Roman" w:hAnsi="Arial" w:cs="Arial"/>
          <w:sz w:val="22"/>
          <w:szCs w:val="22"/>
          <w:lang w:eastAsia="en-GB"/>
        </w:rPr>
        <w:t>e</w:t>
      </w:r>
      <w:r w:rsidR="002A5616">
        <w:rPr>
          <w:rFonts w:ascii="Arial" w:eastAsia="Times New Roman" w:hAnsi="Arial" w:cs="Arial"/>
          <w:sz w:val="22"/>
          <w:szCs w:val="22"/>
          <w:lang w:eastAsia="en-GB"/>
        </w:rPr>
        <w:t xml:space="preserve"> the influence of this ancient myth in his writing. </w:t>
      </w:r>
      <w:r w:rsidR="00DA60A3">
        <w:rPr>
          <w:rFonts w:ascii="Arial" w:eastAsia="Times New Roman" w:hAnsi="Arial" w:cs="Arial"/>
          <w:sz w:val="22"/>
          <w:szCs w:val="22"/>
          <w:lang w:eastAsia="en-GB"/>
        </w:rPr>
        <w:t xml:space="preserve">An attempt has been made to understand the meanings of the symbols contained in the </w:t>
      </w:r>
      <w:r w:rsidR="00255B12">
        <w:rPr>
          <w:rFonts w:ascii="Arial" w:eastAsia="Times New Roman" w:hAnsi="Arial" w:cs="Arial"/>
          <w:sz w:val="22"/>
          <w:szCs w:val="22"/>
          <w:lang w:eastAsia="en-GB"/>
        </w:rPr>
        <w:t>texts</w:t>
      </w:r>
      <w:r w:rsidR="00DA60A3">
        <w:rPr>
          <w:rFonts w:ascii="Arial" w:eastAsia="Times New Roman" w:hAnsi="Arial" w:cs="Arial"/>
          <w:sz w:val="22"/>
          <w:szCs w:val="22"/>
          <w:lang w:eastAsia="en-GB"/>
        </w:rPr>
        <w:t xml:space="preserve">, </w:t>
      </w:r>
      <w:r w:rsidR="0088617A">
        <w:rPr>
          <w:rFonts w:ascii="Arial" w:eastAsia="Times New Roman" w:hAnsi="Arial" w:cs="Arial"/>
          <w:sz w:val="22"/>
          <w:szCs w:val="22"/>
          <w:lang w:eastAsia="en-GB"/>
        </w:rPr>
        <w:t>looking at</w:t>
      </w:r>
      <w:r w:rsidR="00DA60A3">
        <w:rPr>
          <w:rFonts w:ascii="Arial" w:eastAsia="Times New Roman" w:hAnsi="Arial" w:cs="Arial"/>
          <w:sz w:val="22"/>
          <w:szCs w:val="22"/>
          <w:lang w:eastAsia="en-GB"/>
        </w:rPr>
        <w:t xml:space="preserve"> Frazer’s arguments that they represent a primitive science relating to the fertility of the earth</w:t>
      </w:r>
      <w:r w:rsidR="00387163">
        <w:rPr>
          <w:rFonts w:ascii="Arial" w:eastAsia="Times New Roman" w:hAnsi="Arial" w:cs="Arial"/>
          <w:sz w:val="22"/>
          <w:szCs w:val="22"/>
          <w:lang w:eastAsia="en-GB"/>
        </w:rPr>
        <w:t>,</w:t>
      </w:r>
      <w:r w:rsidR="001D2FA7">
        <w:rPr>
          <w:rStyle w:val="FootnoteReference"/>
          <w:rFonts w:eastAsia="Times New Roman" w:cs="Arial"/>
          <w:szCs w:val="22"/>
          <w:lang w:eastAsia="en-GB"/>
        </w:rPr>
        <w:footnoteReference w:id="53"/>
      </w:r>
      <w:r w:rsidR="00DA60A3">
        <w:rPr>
          <w:rFonts w:ascii="Arial" w:eastAsia="Times New Roman" w:hAnsi="Arial" w:cs="Arial"/>
          <w:sz w:val="22"/>
          <w:szCs w:val="22"/>
          <w:lang w:eastAsia="en-GB"/>
        </w:rPr>
        <w:t xml:space="preserve"> </w:t>
      </w:r>
      <w:r w:rsidR="0088617A">
        <w:rPr>
          <w:rFonts w:ascii="Arial" w:eastAsia="Times New Roman" w:hAnsi="Arial" w:cs="Arial"/>
          <w:sz w:val="22"/>
          <w:szCs w:val="22"/>
          <w:lang w:eastAsia="en-GB"/>
        </w:rPr>
        <w:t>and</w:t>
      </w:r>
      <w:r w:rsidR="00DA60A3">
        <w:rPr>
          <w:rFonts w:ascii="Arial" w:eastAsia="Times New Roman" w:hAnsi="Arial" w:cs="Arial"/>
          <w:sz w:val="22"/>
          <w:szCs w:val="22"/>
          <w:lang w:eastAsia="en-GB"/>
        </w:rPr>
        <w:t xml:space="preserve"> ideas put forward by Jung</w:t>
      </w:r>
      <w:r w:rsidR="001D2FA7">
        <w:rPr>
          <w:rStyle w:val="FootnoteReference"/>
          <w:rFonts w:eastAsia="Times New Roman" w:cs="Arial"/>
          <w:szCs w:val="22"/>
          <w:lang w:eastAsia="en-GB"/>
        </w:rPr>
        <w:footnoteReference w:id="54"/>
      </w:r>
      <w:r w:rsidR="00DA60A3">
        <w:rPr>
          <w:rFonts w:ascii="Arial" w:eastAsia="Times New Roman" w:hAnsi="Arial" w:cs="Arial"/>
          <w:sz w:val="22"/>
          <w:szCs w:val="22"/>
          <w:lang w:eastAsia="en-GB"/>
        </w:rPr>
        <w:t xml:space="preserve"> and Campbell</w:t>
      </w:r>
      <w:r w:rsidR="001D2FA7">
        <w:rPr>
          <w:rStyle w:val="FootnoteReference"/>
          <w:rFonts w:eastAsia="Times New Roman" w:cs="Arial"/>
          <w:szCs w:val="22"/>
          <w:lang w:eastAsia="en-GB"/>
        </w:rPr>
        <w:footnoteReference w:id="55"/>
      </w:r>
      <w:r w:rsidR="00DA60A3">
        <w:rPr>
          <w:rFonts w:ascii="Arial" w:eastAsia="Times New Roman" w:hAnsi="Arial" w:cs="Arial"/>
          <w:sz w:val="22"/>
          <w:szCs w:val="22"/>
          <w:lang w:eastAsia="en-GB"/>
        </w:rPr>
        <w:t xml:space="preserve"> that they represent </w:t>
      </w:r>
      <w:r w:rsidR="00387163">
        <w:rPr>
          <w:rFonts w:ascii="Arial" w:eastAsia="Times New Roman" w:hAnsi="Arial" w:cs="Arial"/>
          <w:sz w:val="22"/>
          <w:szCs w:val="22"/>
          <w:lang w:eastAsia="en-GB"/>
        </w:rPr>
        <w:t xml:space="preserve">a </w:t>
      </w:r>
      <w:r w:rsidR="00DA60A3">
        <w:rPr>
          <w:rFonts w:ascii="Arial" w:eastAsia="Times New Roman" w:hAnsi="Arial" w:cs="Arial"/>
          <w:sz w:val="22"/>
          <w:szCs w:val="22"/>
          <w:lang w:eastAsia="en-GB"/>
        </w:rPr>
        <w:t xml:space="preserve">journey inward to confront the unconscious self. </w:t>
      </w:r>
      <w:r w:rsidR="00FE554A">
        <w:rPr>
          <w:rFonts w:ascii="Arial" w:eastAsia="Times New Roman" w:hAnsi="Arial" w:cs="Arial"/>
          <w:sz w:val="22"/>
          <w:szCs w:val="22"/>
          <w:lang w:eastAsia="en-GB"/>
        </w:rPr>
        <w:t xml:space="preserve">Considering </w:t>
      </w:r>
      <w:proofErr w:type="spellStart"/>
      <w:r w:rsidR="00FE554A">
        <w:rPr>
          <w:rFonts w:ascii="Arial" w:eastAsia="Times New Roman" w:hAnsi="Arial" w:cs="Arial"/>
          <w:sz w:val="22"/>
          <w:szCs w:val="22"/>
          <w:lang w:eastAsia="en-GB"/>
        </w:rPr>
        <w:t>Struck’s</w:t>
      </w:r>
      <w:proofErr w:type="spellEnd"/>
      <w:r w:rsidR="00FE554A">
        <w:rPr>
          <w:rFonts w:ascii="Arial" w:eastAsia="Times New Roman" w:hAnsi="Arial" w:cs="Arial"/>
          <w:sz w:val="22"/>
          <w:szCs w:val="22"/>
          <w:lang w:eastAsia="en-GB"/>
        </w:rPr>
        <w:t xml:space="preserve"> argument that symbols </w:t>
      </w:r>
      <w:r w:rsidR="000B4927">
        <w:rPr>
          <w:rFonts w:ascii="Arial" w:eastAsia="Times New Roman" w:hAnsi="Arial" w:cs="Arial"/>
          <w:sz w:val="22"/>
          <w:szCs w:val="22"/>
          <w:lang w:eastAsia="en-GB"/>
        </w:rPr>
        <w:t xml:space="preserve">should </w:t>
      </w:r>
      <w:r w:rsidR="00FE554A">
        <w:rPr>
          <w:rFonts w:ascii="Arial" w:eastAsia="Times New Roman" w:hAnsi="Arial" w:cs="Arial"/>
          <w:sz w:val="22"/>
          <w:szCs w:val="22"/>
          <w:lang w:eastAsia="en-GB"/>
        </w:rPr>
        <w:t xml:space="preserve">have an ontological connection with </w:t>
      </w:r>
      <w:r w:rsidR="000B4927">
        <w:rPr>
          <w:rFonts w:ascii="Arial" w:eastAsia="Times New Roman" w:hAnsi="Arial" w:cs="Arial"/>
          <w:sz w:val="22"/>
          <w:szCs w:val="22"/>
          <w:lang w:eastAsia="en-GB"/>
        </w:rPr>
        <w:t>their referent</w:t>
      </w:r>
      <w:r w:rsidR="001D2FA7">
        <w:rPr>
          <w:rStyle w:val="FootnoteReference"/>
          <w:rFonts w:eastAsia="Times New Roman" w:cs="Arial"/>
          <w:szCs w:val="22"/>
          <w:lang w:eastAsia="en-GB"/>
        </w:rPr>
        <w:footnoteReference w:id="56"/>
      </w:r>
      <w:r w:rsidR="000B4927">
        <w:rPr>
          <w:rFonts w:ascii="Arial" w:eastAsia="Times New Roman" w:hAnsi="Arial" w:cs="Arial"/>
          <w:sz w:val="22"/>
          <w:szCs w:val="22"/>
          <w:lang w:eastAsia="en-GB"/>
        </w:rPr>
        <w:t xml:space="preserve"> it is perhaps in Jung and Campbell’s ideas </w:t>
      </w:r>
      <w:r w:rsidR="00DA60A3">
        <w:rPr>
          <w:rFonts w:ascii="Arial" w:eastAsia="Times New Roman" w:hAnsi="Arial" w:cs="Arial"/>
          <w:sz w:val="22"/>
          <w:szCs w:val="22"/>
          <w:lang w:eastAsia="en-GB"/>
        </w:rPr>
        <w:t xml:space="preserve">that a </w:t>
      </w:r>
      <w:r w:rsidR="000B4927">
        <w:rPr>
          <w:rFonts w:ascii="Arial" w:eastAsia="Times New Roman" w:hAnsi="Arial" w:cs="Arial"/>
          <w:sz w:val="22"/>
          <w:szCs w:val="22"/>
          <w:lang w:eastAsia="en-GB"/>
        </w:rPr>
        <w:t>connection</w:t>
      </w:r>
      <w:r w:rsidR="00DA60A3">
        <w:rPr>
          <w:rFonts w:ascii="Arial" w:eastAsia="Times New Roman" w:hAnsi="Arial" w:cs="Arial"/>
          <w:sz w:val="22"/>
          <w:szCs w:val="22"/>
          <w:lang w:eastAsia="en-GB"/>
        </w:rPr>
        <w:t xml:space="preserve"> more relevant </w:t>
      </w:r>
      <w:r w:rsidR="007603D3">
        <w:rPr>
          <w:rFonts w:ascii="Arial" w:eastAsia="Times New Roman" w:hAnsi="Arial" w:cs="Arial"/>
          <w:sz w:val="22"/>
          <w:szCs w:val="22"/>
          <w:lang w:eastAsia="en-GB"/>
        </w:rPr>
        <w:t>in</w:t>
      </w:r>
      <w:r w:rsidR="00DA60A3">
        <w:rPr>
          <w:rFonts w:ascii="Arial" w:eastAsia="Times New Roman" w:hAnsi="Arial" w:cs="Arial"/>
          <w:sz w:val="22"/>
          <w:szCs w:val="22"/>
          <w:lang w:eastAsia="en-GB"/>
        </w:rPr>
        <w:t xml:space="preserve"> </w:t>
      </w:r>
      <w:r w:rsidR="00DA60A3">
        <w:rPr>
          <w:rFonts w:ascii="Arial" w:eastAsia="Times New Roman" w:hAnsi="Arial" w:cs="Arial"/>
          <w:sz w:val="22"/>
          <w:szCs w:val="22"/>
          <w:lang w:eastAsia="en-GB"/>
        </w:rPr>
        <w:lastRenderedPageBreak/>
        <w:t xml:space="preserve">contemporary </w:t>
      </w:r>
      <w:r w:rsidR="00942AC5">
        <w:rPr>
          <w:rFonts w:ascii="Arial" w:eastAsia="Times New Roman" w:hAnsi="Arial" w:cs="Arial"/>
          <w:sz w:val="22"/>
          <w:szCs w:val="22"/>
          <w:lang w:eastAsia="en-GB"/>
        </w:rPr>
        <w:t>society</w:t>
      </w:r>
      <w:r w:rsidR="00DA60A3">
        <w:rPr>
          <w:rFonts w:ascii="Arial" w:eastAsia="Times New Roman" w:hAnsi="Arial" w:cs="Arial"/>
          <w:sz w:val="22"/>
          <w:szCs w:val="22"/>
          <w:lang w:eastAsia="en-GB"/>
        </w:rPr>
        <w:t xml:space="preserve"> can be found</w:t>
      </w:r>
      <w:r w:rsidR="000B4927">
        <w:rPr>
          <w:rFonts w:ascii="Arial" w:eastAsia="Times New Roman" w:hAnsi="Arial" w:cs="Arial"/>
          <w:sz w:val="22"/>
          <w:szCs w:val="22"/>
          <w:lang w:eastAsia="en-GB"/>
        </w:rPr>
        <w:t>.</w:t>
      </w:r>
      <w:r w:rsidR="00DA60A3">
        <w:rPr>
          <w:rFonts w:ascii="Arial" w:eastAsia="Times New Roman" w:hAnsi="Arial" w:cs="Arial"/>
          <w:sz w:val="22"/>
          <w:szCs w:val="22"/>
          <w:lang w:eastAsia="en-GB"/>
        </w:rPr>
        <w:t xml:space="preserve"> </w:t>
      </w:r>
      <w:r w:rsidR="00E01B64">
        <w:rPr>
          <w:rFonts w:ascii="Arial" w:eastAsia="Times New Roman" w:hAnsi="Arial" w:cs="Arial"/>
          <w:sz w:val="22"/>
          <w:szCs w:val="22"/>
          <w:lang w:eastAsia="en-GB"/>
        </w:rPr>
        <w:t xml:space="preserve">Furthermore, </w:t>
      </w:r>
      <w:proofErr w:type="spellStart"/>
      <w:r w:rsidR="00DA60A3">
        <w:rPr>
          <w:rFonts w:ascii="Arial" w:eastAsia="Times New Roman" w:hAnsi="Arial" w:cs="Arial"/>
          <w:sz w:val="22"/>
          <w:szCs w:val="22"/>
          <w:lang w:eastAsia="en-GB"/>
        </w:rPr>
        <w:t>Gilhus</w:t>
      </w:r>
      <w:r w:rsidR="00387163">
        <w:rPr>
          <w:rFonts w:ascii="Arial" w:eastAsia="Times New Roman" w:hAnsi="Arial" w:cs="Arial"/>
          <w:sz w:val="22"/>
          <w:szCs w:val="22"/>
          <w:lang w:eastAsia="en-GB"/>
        </w:rPr>
        <w:t>’s</w:t>
      </w:r>
      <w:proofErr w:type="spellEnd"/>
      <w:r w:rsidR="00387163">
        <w:rPr>
          <w:rFonts w:ascii="Arial" w:eastAsia="Times New Roman" w:hAnsi="Arial" w:cs="Arial"/>
          <w:sz w:val="22"/>
          <w:szCs w:val="22"/>
          <w:lang w:eastAsia="en-GB"/>
        </w:rPr>
        <w:t xml:space="preserve"> </w:t>
      </w:r>
      <w:r w:rsidR="009152A7">
        <w:rPr>
          <w:rFonts w:ascii="Arial" w:eastAsia="Times New Roman" w:hAnsi="Arial" w:cs="Arial"/>
          <w:sz w:val="22"/>
          <w:szCs w:val="22"/>
          <w:lang w:eastAsia="en-GB"/>
        </w:rPr>
        <w:t>proposal</w:t>
      </w:r>
      <w:r w:rsidR="00387163">
        <w:rPr>
          <w:rFonts w:ascii="Arial" w:eastAsia="Times New Roman" w:hAnsi="Arial" w:cs="Arial"/>
          <w:sz w:val="22"/>
          <w:szCs w:val="22"/>
          <w:lang w:eastAsia="en-GB"/>
        </w:rPr>
        <w:t xml:space="preserve"> that </w:t>
      </w:r>
      <w:r w:rsidR="00E66ADF">
        <w:rPr>
          <w:rFonts w:ascii="Arial" w:eastAsia="Times New Roman" w:hAnsi="Arial" w:cs="Arial"/>
          <w:sz w:val="22"/>
          <w:szCs w:val="22"/>
          <w:lang w:eastAsia="en-GB"/>
        </w:rPr>
        <w:t>the</w:t>
      </w:r>
      <w:r w:rsidR="00387163">
        <w:rPr>
          <w:rFonts w:ascii="Arial" w:eastAsia="Times New Roman" w:hAnsi="Arial" w:cs="Arial"/>
          <w:sz w:val="22"/>
          <w:szCs w:val="22"/>
          <w:lang w:eastAsia="en-GB"/>
        </w:rPr>
        <w:t xml:space="preserve"> reading of mythic narrative</w:t>
      </w:r>
      <w:r w:rsidR="001D2FA7">
        <w:rPr>
          <w:rFonts w:ascii="Arial" w:eastAsia="Times New Roman" w:hAnsi="Arial" w:cs="Arial"/>
          <w:sz w:val="22"/>
          <w:szCs w:val="22"/>
          <w:lang w:eastAsia="en-GB"/>
        </w:rPr>
        <w:t>s</w:t>
      </w:r>
      <w:r w:rsidR="00387163">
        <w:rPr>
          <w:rFonts w:ascii="Arial" w:eastAsia="Times New Roman" w:hAnsi="Arial" w:cs="Arial"/>
          <w:sz w:val="22"/>
          <w:szCs w:val="22"/>
          <w:lang w:eastAsia="en-GB"/>
        </w:rPr>
        <w:t xml:space="preserve"> can be considered </w:t>
      </w:r>
      <w:r w:rsidR="007603D3">
        <w:rPr>
          <w:rFonts w:ascii="Arial" w:eastAsia="Times New Roman" w:hAnsi="Arial" w:cs="Arial"/>
          <w:sz w:val="22"/>
          <w:szCs w:val="22"/>
          <w:lang w:eastAsia="en-GB"/>
        </w:rPr>
        <w:t xml:space="preserve">a </w:t>
      </w:r>
      <w:r w:rsidR="001D2FA7">
        <w:rPr>
          <w:rFonts w:ascii="Arial" w:eastAsia="Times New Roman" w:hAnsi="Arial" w:cs="Arial"/>
          <w:sz w:val="22"/>
          <w:szCs w:val="22"/>
          <w:lang w:eastAsia="en-GB"/>
        </w:rPr>
        <w:t>ritual</w:t>
      </w:r>
      <w:r w:rsidR="009152A7">
        <w:rPr>
          <w:rFonts w:ascii="Arial" w:eastAsia="Times New Roman" w:hAnsi="Arial" w:cs="Arial"/>
          <w:sz w:val="22"/>
          <w:szCs w:val="22"/>
          <w:lang w:eastAsia="en-GB"/>
        </w:rPr>
        <w:t xml:space="preserve"> in itself</w:t>
      </w:r>
      <w:r w:rsidR="001D2FA7">
        <w:rPr>
          <w:rStyle w:val="FootnoteReference"/>
          <w:rFonts w:eastAsia="Times New Roman" w:cs="Arial"/>
          <w:szCs w:val="22"/>
          <w:lang w:eastAsia="en-GB"/>
        </w:rPr>
        <w:footnoteReference w:id="57"/>
      </w:r>
      <w:r w:rsidR="001D2FA7">
        <w:rPr>
          <w:rFonts w:ascii="Arial" w:eastAsia="Times New Roman" w:hAnsi="Arial" w:cs="Arial"/>
          <w:sz w:val="22"/>
          <w:szCs w:val="22"/>
          <w:lang w:eastAsia="en-GB"/>
        </w:rPr>
        <w:t xml:space="preserve"> allow</w:t>
      </w:r>
      <w:r w:rsidR="00E01B64">
        <w:rPr>
          <w:rFonts w:ascii="Arial" w:eastAsia="Times New Roman" w:hAnsi="Arial" w:cs="Arial"/>
          <w:sz w:val="22"/>
          <w:szCs w:val="22"/>
          <w:lang w:eastAsia="en-GB"/>
        </w:rPr>
        <w:t xml:space="preserve"> an avenue by which the </w:t>
      </w:r>
      <w:r w:rsidR="00255B12">
        <w:rPr>
          <w:rFonts w:ascii="Arial" w:eastAsia="Times New Roman" w:hAnsi="Arial" w:cs="Arial"/>
          <w:sz w:val="22"/>
          <w:szCs w:val="22"/>
          <w:lang w:eastAsia="en-GB"/>
        </w:rPr>
        <w:t>novels</w:t>
      </w:r>
      <w:r w:rsidR="00E01B64">
        <w:rPr>
          <w:rFonts w:ascii="Arial" w:eastAsia="Times New Roman" w:hAnsi="Arial" w:cs="Arial"/>
          <w:sz w:val="22"/>
          <w:szCs w:val="22"/>
          <w:lang w:eastAsia="en-GB"/>
        </w:rPr>
        <w:t xml:space="preserve"> might </w:t>
      </w:r>
      <w:r w:rsidR="00387163">
        <w:rPr>
          <w:rFonts w:ascii="Arial" w:eastAsia="Times New Roman" w:hAnsi="Arial" w:cs="Arial"/>
          <w:sz w:val="22"/>
          <w:szCs w:val="22"/>
          <w:lang w:eastAsia="en-GB"/>
        </w:rPr>
        <w:t>invoke transformational change within</w:t>
      </w:r>
      <w:r w:rsidR="002778DB">
        <w:rPr>
          <w:rFonts w:ascii="Arial" w:eastAsia="Times New Roman" w:hAnsi="Arial" w:cs="Arial"/>
          <w:sz w:val="22"/>
          <w:szCs w:val="22"/>
          <w:lang w:eastAsia="en-GB"/>
        </w:rPr>
        <w:t xml:space="preserve"> the</w:t>
      </w:r>
      <w:r w:rsidR="00387163">
        <w:rPr>
          <w:rFonts w:ascii="Arial" w:eastAsia="Times New Roman" w:hAnsi="Arial" w:cs="Arial"/>
          <w:sz w:val="22"/>
          <w:szCs w:val="22"/>
          <w:lang w:eastAsia="en-GB"/>
        </w:rPr>
        <w:t xml:space="preserve"> individual</w:t>
      </w:r>
      <w:r w:rsidR="002778DB">
        <w:rPr>
          <w:rFonts w:ascii="Arial" w:eastAsia="Times New Roman" w:hAnsi="Arial" w:cs="Arial"/>
          <w:sz w:val="22"/>
          <w:szCs w:val="22"/>
          <w:lang w:eastAsia="en-GB"/>
        </w:rPr>
        <w:t xml:space="preserve"> today</w:t>
      </w:r>
      <w:r w:rsidR="00387163">
        <w:rPr>
          <w:rFonts w:ascii="Arial" w:eastAsia="Times New Roman" w:hAnsi="Arial" w:cs="Arial"/>
          <w:sz w:val="22"/>
          <w:szCs w:val="22"/>
          <w:lang w:eastAsia="en-GB"/>
        </w:rPr>
        <w:t xml:space="preserve">. Given </w:t>
      </w:r>
      <w:r w:rsidR="00DA1D14">
        <w:rPr>
          <w:rFonts w:ascii="Arial" w:eastAsia="Times New Roman" w:hAnsi="Arial" w:cs="Arial"/>
          <w:sz w:val="22"/>
          <w:szCs w:val="22"/>
          <w:lang w:eastAsia="en-GB"/>
        </w:rPr>
        <w:t>the popularity of</w:t>
      </w:r>
      <w:r w:rsidR="00387163">
        <w:rPr>
          <w:rFonts w:ascii="Arial" w:eastAsia="Times New Roman" w:hAnsi="Arial" w:cs="Arial"/>
          <w:sz w:val="22"/>
          <w:szCs w:val="22"/>
          <w:lang w:eastAsia="en-GB"/>
        </w:rPr>
        <w:t xml:space="preserve"> the </w:t>
      </w:r>
      <w:r w:rsidR="00387163" w:rsidRPr="00387163">
        <w:rPr>
          <w:rFonts w:ascii="Arial" w:eastAsia="Times New Roman" w:hAnsi="Arial" w:cs="Arial"/>
          <w:i/>
          <w:iCs/>
          <w:sz w:val="22"/>
          <w:szCs w:val="22"/>
          <w:lang w:eastAsia="en-GB"/>
        </w:rPr>
        <w:t>Lord of the Rings</w:t>
      </w:r>
      <w:r w:rsidR="00387163">
        <w:rPr>
          <w:rFonts w:ascii="Arial" w:eastAsia="Times New Roman" w:hAnsi="Arial" w:cs="Arial"/>
          <w:sz w:val="22"/>
          <w:szCs w:val="22"/>
          <w:lang w:eastAsia="en-GB"/>
        </w:rPr>
        <w:t xml:space="preserve"> </w:t>
      </w:r>
      <w:r w:rsidR="00DA1D14">
        <w:rPr>
          <w:rFonts w:ascii="Arial" w:eastAsia="Times New Roman" w:hAnsi="Arial" w:cs="Arial"/>
          <w:sz w:val="22"/>
          <w:szCs w:val="22"/>
          <w:lang w:eastAsia="en-GB"/>
        </w:rPr>
        <w:t>in the</w:t>
      </w:r>
      <w:r w:rsidR="00387163">
        <w:rPr>
          <w:rFonts w:ascii="Arial" w:eastAsia="Times New Roman" w:hAnsi="Arial" w:cs="Arial"/>
          <w:sz w:val="22"/>
          <w:szCs w:val="22"/>
          <w:lang w:eastAsia="en-GB"/>
        </w:rPr>
        <w:t xml:space="preserve"> twentieth century</w:t>
      </w:r>
      <w:r w:rsidR="00DA1D14">
        <w:rPr>
          <w:rFonts w:ascii="Arial" w:eastAsia="Times New Roman" w:hAnsi="Arial" w:cs="Arial"/>
          <w:sz w:val="22"/>
          <w:szCs w:val="22"/>
          <w:lang w:eastAsia="en-GB"/>
        </w:rPr>
        <w:t>, continuing into twenty first;</w:t>
      </w:r>
      <w:r w:rsidR="00387163">
        <w:rPr>
          <w:rFonts w:ascii="Arial" w:eastAsia="Times New Roman" w:hAnsi="Arial" w:cs="Arial"/>
          <w:sz w:val="22"/>
          <w:szCs w:val="22"/>
          <w:lang w:eastAsia="en-GB"/>
        </w:rPr>
        <w:t xml:space="preserve"> </w:t>
      </w:r>
      <w:r w:rsidR="00792E47">
        <w:rPr>
          <w:rFonts w:ascii="Arial" w:eastAsia="Times New Roman" w:hAnsi="Arial" w:cs="Arial"/>
          <w:sz w:val="22"/>
          <w:szCs w:val="22"/>
          <w:lang w:eastAsia="en-GB"/>
        </w:rPr>
        <w:t xml:space="preserve">that the narrative has the potential to </w:t>
      </w:r>
      <w:r w:rsidR="002778DB">
        <w:rPr>
          <w:rFonts w:ascii="Arial" w:eastAsia="Times New Roman" w:hAnsi="Arial" w:cs="Arial"/>
          <w:sz w:val="22"/>
          <w:szCs w:val="22"/>
          <w:lang w:eastAsia="en-GB"/>
        </w:rPr>
        <w:t xml:space="preserve">psychologically </w:t>
      </w:r>
      <w:r w:rsidR="00792E47">
        <w:rPr>
          <w:rFonts w:ascii="Arial" w:eastAsia="Times New Roman" w:hAnsi="Arial" w:cs="Arial"/>
          <w:sz w:val="22"/>
          <w:szCs w:val="22"/>
          <w:lang w:eastAsia="en-GB"/>
        </w:rPr>
        <w:t>change the reader</w:t>
      </w:r>
      <w:r w:rsidR="00DA1D14">
        <w:rPr>
          <w:rFonts w:ascii="Arial" w:eastAsia="Times New Roman" w:hAnsi="Arial" w:cs="Arial"/>
          <w:sz w:val="22"/>
          <w:szCs w:val="22"/>
          <w:lang w:eastAsia="en-GB"/>
        </w:rPr>
        <w:t>;</w:t>
      </w:r>
      <w:r w:rsidR="00792E47">
        <w:rPr>
          <w:rFonts w:ascii="Arial" w:eastAsia="Times New Roman" w:hAnsi="Arial" w:cs="Arial"/>
          <w:sz w:val="22"/>
          <w:szCs w:val="22"/>
          <w:lang w:eastAsia="en-GB"/>
        </w:rPr>
        <w:t xml:space="preserve"> and that several points of similarity can be identified between</w:t>
      </w:r>
      <w:r w:rsidR="00387163">
        <w:rPr>
          <w:rFonts w:ascii="Arial" w:eastAsia="Times New Roman" w:hAnsi="Arial" w:cs="Arial"/>
          <w:sz w:val="22"/>
          <w:szCs w:val="22"/>
          <w:lang w:eastAsia="en-GB"/>
        </w:rPr>
        <w:t xml:space="preserve"> </w:t>
      </w:r>
      <w:r w:rsidR="00F570DB">
        <w:rPr>
          <w:rFonts w:ascii="Arial" w:eastAsia="Times New Roman" w:hAnsi="Arial" w:cs="Arial"/>
          <w:sz w:val="22"/>
          <w:szCs w:val="22"/>
          <w:lang w:eastAsia="en-GB"/>
        </w:rPr>
        <w:t xml:space="preserve">the two </w:t>
      </w:r>
      <w:r w:rsidR="00255B12">
        <w:rPr>
          <w:rFonts w:ascii="Arial" w:eastAsia="Times New Roman" w:hAnsi="Arial" w:cs="Arial"/>
          <w:sz w:val="22"/>
          <w:szCs w:val="22"/>
          <w:lang w:eastAsia="en-GB"/>
        </w:rPr>
        <w:t>text</w:t>
      </w:r>
      <w:r w:rsidR="00F570DB">
        <w:rPr>
          <w:rFonts w:ascii="Arial" w:eastAsia="Times New Roman" w:hAnsi="Arial" w:cs="Arial"/>
          <w:sz w:val="22"/>
          <w:szCs w:val="22"/>
          <w:lang w:eastAsia="en-GB"/>
        </w:rPr>
        <w:t>s</w:t>
      </w:r>
      <w:r w:rsidR="00DA1D14">
        <w:rPr>
          <w:rFonts w:ascii="Arial" w:eastAsia="Times New Roman" w:hAnsi="Arial" w:cs="Arial"/>
          <w:sz w:val="22"/>
          <w:szCs w:val="22"/>
          <w:lang w:eastAsia="en-GB"/>
        </w:rPr>
        <w:t>;</w:t>
      </w:r>
      <w:r w:rsidR="00255B12">
        <w:rPr>
          <w:rFonts w:ascii="Arial" w:eastAsia="Times New Roman" w:hAnsi="Arial" w:cs="Arial"/>
          <w:sz w:val="22"/>
          <w:szCs w:val="22"/>
          <w:lang w:eastAsia="en-GB"/>
        </w:rPr>
        <w:t xml:space="preserve"> it </w:t>
      </w:r>
      <w:r w:rsidR="00387163">
        <w:rPr>
          <w:rFonts w:ascii="Arial" w:eastAsia="Times New Roman" w:hAnsi="Arial" w:cs="Arial"/>
          <w:sz w:val="22"/>
          <w:szCs w:val="22"/>
          <w:lang w:eastAsia="en-GB"/>
        </w:rPr>
        <w:t>can be demonstrated that the myth of decent of Ishtar has</w:t>
      </w:r>
      <w:r w:rsidR="00DA1D14">
        <w:rPr>
          <w:rFonts w:ascii="Arial" w:eastAsia="Times New Roman" w:hAnsi="Arial" w:cs="Arial"/>
          <w:sz w:val="22"/>
          <w:szCs w:val="22"/>
          <w:lang w:eastAsia="en-GB"/>
        </w:rPr>
        <w:t xml:space="preserve"> ongoing</w:t>
      </w:r>
      <w:r w:rsidR="00387163">
        <w:rPr>
          <w:rFonts w:ascii="Arial" w:eastAsia="Times New Roman" w:hAnsi="Arial" w:cs="Arial"/>
          <w:sz w:val="22"/>
          <w:szCs w:val="22"/>
          <w:lang w:eastAsia="en-GB"/>
        </w:rPr>
        <w:t xml:space="preserve"> </w:t>
      </w:r>
      <w:r w:rsidR="00C94853">
        <w:rPr>
          <w:rFonts w:ascii="Arial" w:eastAsia="Times New Roman" w:hAnsi="Arial" w:cs="Arial"/>
          <w:sz w:val="22"/>
          <w:szCs w:val="22"/>
          <w:lang w:eastAsia="en-GB"/>
        </w:rPr>
        <w:t>cultural significance in</w:t>
      </w:r>
      <w:r w:rsidR="00387163">
        <w:rPr>
          <w:rFonts w:ascii="Arial" w:eastAsia="Times New Roman" w:hAnsi="Arial" w:cs="Arial"/>
          <w:sz w:val="22"/>
          <w:szCs w:val="22"/>
          <w:lang w:eastAsia="en-GB"/>
        </w:rPr>
        <w:t xml:space="preserve"> contemporary society.</w:t>
      </w:r>
    </w:p>
    <w:p w14:paraId="56BA5092" w14:textId="77777777" w:rsidR="001E1209" w:rsidRDefault="001E1209">
      <w:pPr>
        <w:rPr>
          <w:rFonts w:ascii="Arial" w:hAnsi="Arial" w:cs="Arial"/>
          <w:bCs/>
          <w:color w:val="000000"/>
          <w:sz w:val="22"/>
          <w:szCs w:val="22"/>
        </w:rPr>
      </w:pPr>
      <w:r>
        <w:rPr>
          <w:rFonts w:ascii="Arial" w:hAnsi="Arial" w:cs="Arial"/>
          <w:bCs/>
          <w:sz w:val="22"/>
          <w:szCs w:val="22"/>
        </w:rPr>
        <w:br w:type="page"/>
      </w:r>
    </w:p>
    <w:p w14:paraId="237D17B0" w14:textId="46B6BCBC" w:rsidR="00E22EE8" w:rsidRPr="00323B73" w:rsidRDefault="00DF0382" w:rsidP="0023451B">
      <w:pPr>
        <w:pStyle w:val="NormalWeb"/>
        <w:spacing w:before="0" w:beforeAutospacing="0" w:after="0" w:afterAutospacing="0"/>
        <w:ind w:right="-334"/>
        <w:rPr>
          <w:rFonts w:ascii="Arial" w:hAnsi="Arial" w:cs="Arial"/>
          <w:b/>
          <w:sz w:val="22"/>
          <w:szCs w:val="22"/>
        </w:rPr>
      </w:pPr>
      <w:r w:rsidRPr="00323B73">
        <w:rPr>
          <w:rFonts w:ascii="Arial" w:hAnsi="Arial" w:cs="Arial"/>
          <w:b/>
          <w:sz w:val="22"/>
          <w:szCs w:val="22"/>
        </w:rPr>
        <w:lastRenderedPageBreak/>
        <w:t>BIBLIOGRAPHY</w:t>
      </w:r>
    </w:p>
    <w:p w14:paraId="72F146EF" w14:textId="77777777" w:rsidR="0023451B" w:rsidRPr="00323B73" w:rsidRDefault="0023451B" w:rsidP="0023451B">
      <w:pPr>
        <w:pStyle w:val="NormalWeb"/>
        <w:spacing w:before="0" w:beforeAutospacing="0" w:after="0" w:afterAutospacing="0"/>
        <w:ind w:right="-334"/>
        <w:rPr>
          <w:rFonts w:ascii="Arial" w:hAnsi="Arial" w:cs="Arial"/>
          <w:sz w:val="18"/>
          <w:szCs w:val="18"/>
        </w:rPr>
      </w:pPr>
    </w:p>
    <w:p w14:paraId="0A53CB93" w14:textId="77777777" w:rsidR="00323B73" w:rsidRDefault="00323B73" w:rsidP="0023451B">
      <w:pPr>
        <w:pStyle w:val="NormalWeb"/>
        <w:spacing w:before="0" w:beforeAutospacing="0" w:after="0" w:afterAutospacing="0"/>
        <w:ind w:right="-334"/>
        <w:rPr>
          <w:rFonts w:ascii="Arial" w:hAnsi="Arial" w:cs="Arial"/>
          <w:sz w:val="18"/>
          <w:szCs w:val="18"/>
        </w:rPr>
      </w:pPr>
    </w:p>
    <w:p w14:paraId="566D87D0" w14:textId="77777777" w:rsidR="00784EE7" w:rsidRDefault="00784EE7" w:rsidP="00784EE7">
      <w:pPr>
        <w:pStyle w:val="FootnoteText"/>
      </w:pPr>
      <w:r>
        <w:t xml:space="preserve">Aristotle, </w:t>
      </w:r>
      <w:r w:rsidRPr="00665426">
        <w:rPr>
          <w:i/>
          <w:iCs/>
        </w:rPr>
        <w:t>Poetics</w:t>
      </w:r>
      <w:r>
        <w:t>, (Penguin, 1996).</w:t>
      </w:r>
    </w:p>
    <w:p w14:paraId="181FB6A3" w14:textId="77777777" w:rsidR="00784EE7" w:rsidRDefault="00784EE7" w:rsidP="00D87CF7">
      <w:pPr>
        <w:pStyle w:val="FootnoteText"/>
      </w:pPr>
    </w:p>
    <w:p w14:paraId="2B2ABEB4" w14:textId="5BBCD826" w:rsidR="00784EE7" w:rsidRDefault="00784EE7" w:rsidP="00D87CF7">
      <w:pPr>
        <w:pStyle w:val="FootnoteText"/>
      </w:pPr>
      <w:r>
        <w:t xml:space="preserve">Black, J. and Green, A., </w:t>
      </w:r>
      <w:r w:rsidRPr="008A2DF1">
        <w:rPr>
          <w:i/>
          <w:iCs/>
        </w:rPr>
        <w:t xml:space="preserve">Gods, Demons </w:t>
      </w:r>
      <w:r>
        <w:rPr>
          <w:i/>
          <w:iCs/>
        </w:rPr>
        <w:t>a</w:t>
      </w:r>
      <w:r w:rsidRPr="008A2DF1">
        <w:rPr>
          <w:i/>
          <w:iCs/>
        </w:rPr>
        <w:t xml:space="preserve">nd Symbols </w:t>
      </w:r>
      <w:r>
        <w:rPr>
          <w:i/>
          <w:iCs/>
        </w:rPr>
        <w:t>o</w:t>
      </w:r>
      <w:r w:rsidRPr="008A2DF1">
        <w:rPr>
          <w:i/>
          <w:iCs/>
        </w:rPr>
        <w:t>f Ancient Mesopotamia</w:t>
      </w:r>
      <w:r>
        <w:t xml:space="preserve"> (London: The British Museum Press, 2004)</w:t>
      </w:r>
    </w:p>
    <w:p w14:paraId="12A10D0E" w14:textId="77777777" w:rsidR="00784EE7" w:rsidRDefault="00784EE7" w:rsidP="00D87CF7">
      <w:pPr>
        <w:pStyle w:val="FootnoteText"/>
      </w:pPr>
    </w:p>
    <w:p w14:paraId="586E1CC5" w14:textId="77777777" w:rsidR="00784EE7" w:rsidRDefault="00784EE7" w:rsidP="00784EE7">
      <w:pPr>
        <w:pStyle w:val="FootnoteText"/>
      </w:pPr>
      <w:proofErr w:type="spellStart"/>
      <w:r w:rsidRPr="00242C98">
        <w:t>Bottéro</w:t>
      </w:r>
      <w:proofErr w:type="spellEnd"/>
      <w:r>
        <w:t>,</w:t>
      </w:r>
      <w:r w:rsidRPr="00242C98">
        <w:t xml:space="preserve"> </w:t>
      </w:r>
      <w:proofErr w:type="gramStart"/>
      <w:r>
        <w:t>Jean  and</w:t>
      </w:r>
      <w:proofErr w:type="gramEnd"/>
      <w:r>
        <w:t xml:space="preserve"> </w:t>
      </w:r>
      <w:r w:rsidRPr="00242C98">
        <w:t>Kramer,</w:t>
      </w:r>
      <w:r>
        <w:t xml:space="preserve"> Samuel Noah,</w:t>
      </w:r>
      <w:r w:rsidRPr="00242C98">
        <w:t> </w:t>
      </w:r>
      <w:proofErr w:type="spellStart"/>
      <w:r w:rsidRPr="00242C98">
        <w:rPr>
          <w:i/>
          <w:iCs/>
        </w:rPr>
        <w:t>Lorsque</w:t>
      </w:r>
      <w:proofErr w:type="spellEnd"/>
      <w:r w:rsidRPr="00242C98">
        <w:rPr>
          <w:i/>
          <w:iCs/>
        </w:rPr>
        <w:t xml:space="preserve"> les </w:t>
      </w:r>
      <w:proofErr w:type="spellStart"/>
      <w:r w:rsidRPr="00242C98">
        <w:rPr>
          <w:i/>
          <w:iCs/>
        </w:rPr>
        <w:t>dieux</w:t>
      </w:r>
      <w:proofErr w:type="spellEnd"/>
      <w:r w:rsidRPr="00242C98">
        <w:rPr>
          <w:i/>
          <w:iCs/>
        </w:rPr>
        <w:t xml:space="preserve"> </w:t>
      </w:r>
      <w:proofErr w:type="spellStart"/>
      <w:r w:rsidRPr="00242C98">
        <w:rPr>
          <w:i/>
          <w:iCs/>
        </w:rPr>
        <w:t>faisaient</w:t>
      </w:r>
      <w:proofErr w:type="spellEnd"/>
      <w:r w:rsidRPr="00242C98">
        <w:rPr>
          <w:i/>
          <w:iCs/>
        </w:rPr>
        <w:t xml:space="preserve"> </w:t>
      </w:r>
      <w:proofErr w:type="spellStart"/>
      <w:r w:rsidRPr="00242C98">
        <w:rPr>
          <w:i/>
          <w:iCs/>
        </w:rPr>
        <w:t>l'homme</w:t>
      </w:r>
      <w:proofErr w:type="spellEnd"/>
      <w:r w:rsidRPr="00242C98">
        <w:rPr>
          <w:i/>
          <w:iCs/>
        </w:rPr>
        <w:t xml:space="preserve"> : </w:t>
      </w:r>
      <w:proofErr w:type="spellStart"/>
      <w:r w:rsidRPr="00242C98">
        <w:rPr>
          <w:i/>
          <w:iCs/>
        </w:rPr>
        <w:t>Mythologie</w:t>
      </w:r>
      <w:proofErr w:type="spellEnd"/>
      <w:r w:rsidRPr="00242C98">
        <w:rPr>
          <w:i/>
          <w:iCs/>
        </w:rPr>
        <w:t xml:space="preserve"> </w:t>
      </w:r>
      <w:proofErr w:type="spellStart"/>
      <w:r w:rsidRPr="00242C98">
        <w:rPr>
          <w:i/>
          <w:iCs/>
        </w:rPr>
        <w:t>mésopotamienne</w:t>
      </w:r>
      <w:proofErr w:type="spellEnd"/>
      <w:r w:rsidRPr="00242C98">
        <w:t xml:space="preserve"> </w:t>
      </w:r>
      <w:r>
        <w:t>(</w:t>
      </w:r>
      <w:r w:rsidRPr="00242C98">
        <w:t>Paris: Gallimard</w:t>
      </w:r>
      <w:r>
        <w:t>, 1989).</w:t>
      </w:r>
    </w:p>
    <w:p w14:paraId="0E9A81B1" w14:textId="77777777" w:rsidR="00784EE7" w:rsidRDefault="00784EE7" w:rsidP="00D87CF7">
      <w:pPr>
        <w:pStyle w:val="FootnoteText"/>
      </w:pPr>
    </w:p>
    <w:p w14:paraId="4C30107D" w14:textId="77777777" w:rsidR="00784EE7" w:rsidRDefault="00784EE7" w:rsidP="00784EE7">
      <w:pPr>
        <w:pStyle w:val="FootnoteText"/>
      </w:pPr>
      <w:proofErr w:type="spellStart"/>
      <w:r>
        <w:t>Buccellati</w:t>
      </w:r>
      <w:proofErr w:type="spellEnd"/>
      <w:r>
        <w:t xml:space="preserve">, G., ‘The Decent of Inanna as a Ritual Journey to </w:t>
      </w:r>
      <w:proofErr w:type="spellStart"/>
      <w:r>
        <w:t>Kutha</w:t>
      </w:r>
      <w:proofErr w:type="spellEnd"/>
      <w:r>
        <w:t xml:space="preserve">’, </w:t>
      </w:r>
      <w:r w:rsidRPr="004B5110">
        <w:rPr>
          <w:i/>
          <w:iCs/>
        </w:rPr>
        <w:t>Monographic Journals of the Near East</w:t>
      </w:r>
      <w:r>
        <w:t>, 4. 3 (1982), 4-7</w:t>
      </w:r>
    </w:p>
    <w:p w14:paraId="1DBC2894" w14:textId="77777777" w:rsidR="00784EE7" w:rsidRDefault="00784EE7" w:rsidP="00D87CF7">
      <w:pPr>
        <w:pStyle w:val="FootnoteText"/>
      </w:pPr>
    </w:p>
    <w:p w14:paraId="48241C64" w14:textId="776BB456" w:rsidR="00784EE7" w:rsidRDefault="00784EE7" w:rsidP="00D87CF7">
      <w:pPr>
        <w:pStyle w:val="FootnoteText"/>
      </w:pPr>
      <w:r>
        <w:t xml:space="preserve">Burke, M., </w:t>
      </w:r>
      <w:r w:rsidRPr="00B30837">
        <w:rPr>
          <w:i/>
          <w:iCs/>
        </w:rPr>
        <w:t>Why the shadow of death and WW1 hang over The Lord of the Rings</w:t>
      </w:r>
      <w:r>
        <w:t xml:space="preserve"> (2024) &lt;</w:t>
      </w:r>
      <w:r w:rsidRPr="00B30837">
        <w:t>https://www.bbc.co.uk/culture/article/20240726-the-ww1-trauma-that-inspired-the-lord-of-the-rings</w:t>
      </w:r>
      <w:r>
        <w:t>&gt; [Accessed 6 March 2025].</w:t>
      </w:r>
    </w:p>
    <w:p w14:paraId="48306F53" w14:textId="77777777" w:rsidR="00784EE7" w:rsidRDefault="00784EE7" w:rsidP="00D87CF7">
      <w:pPr>
        <w:pStyle w:val="FootnoteText"/>
      </w:pPr>
    </w:p>
    <w:p w14:paraId="6E424078" w14:textId="040E1CEE" w:rsidR="00784EE7" w:rsidRDefault="00784EE7" w:rsidP="00D87CF7">
      <w:pPr>
        <w:pStyle w:val="FootnoteText"/>
      </w:pPr>
      <w:r w:rsidRPr="00C72B7A">
        <w:t>Burkert,</w:t>
      </w:r>
      <w:r>
        <w:t xml:space="preserve"> W.,</w:t>
      </w:r>
      <w:r w:rsidRPr="00C72B7A">
        <w:t xml:space="preserve"> </w:t>
      </w:r>
      <w:r w:rsidRPr="00C72B7A">
        <w:rPr>
          <w:i/>
          <w:iCs/>
        </w:rPr>
        <w:t xml:space="preserve">Homo </w:t>
      </w:r>
      <w:proofErr w:type="spellStart"/>
      <w:r w:rsidRPr="00C72B7A">
        <w:rPr>
          <w:i/>
          <w:iCs/>
        </w:rPr>
        <w:t>Necans</w:t>
      </w:r>
      <w:proofErr w:type="spellEnd"/>
      <w:r w:rsidRPr="00C72B7A">
        <w:rPr>
          <w:i/>
          <w:iCs/>
        </w:rPr>
        <w:t>: The Anthropology of Ancient Greek Sacrificial Ritual and Myth</w:t>
      </w:r>
      <w:r>
        <w:t xml:space="preserve"> (London: University of California Press, 1983)</w:t>
      </w:r>
    </w:p>
    <w:p w14:paraId="3D74660E" w14:textId="77777777" w:rsidR="00784EE7" w:rsidRDefault="00784EE7" w:rsidP="00D87CF7">
      <w:pPr>
        <w:pStyle w:val="FootnoteText"/>
      </w:pPr>
    </w:p>
    <w:p w14:paraId="6E37188E" w14:textId="2C788E95" w:rsidR="00784EE7" w:rsidRDefault="00784EE7" w:rsidP="00D87CF7">
      <w:pPr>
        <w:pStyle w:val="FootnoteText"/>
      </w:pPr>
      <w:r>
        <w:t xml:space="preserve">Campbell, J., </w:t>
      </w:r>
      <w:r w:rsidRPr="00EA63A7">
        <w:rPr>
          <w:i/>
          <w:iCs/>
        </w:rPr>
        <w:t xml:space="preserve">A Hero </w:t>
      </w:r>
      <w:proofErr w:type="gramStart"/>
      <w:r w:rsidRPr="00EA63A7">
        <w:rPr>
          <w:i/>
          <w:iCs/>
        </w:rPr>
        <w:t>With</w:t>
      </w:r>
      <w:proofErr w:type="gramEnd"/>
      <w:r w:rsidRPr="00EA63A7">
        <w:rPr>
          <w:i/>
          <w:iCs/>
        </w:rPr>
        <w:t xml:space="preserve"> a Thousand Faces</w:t>
      </w:r>
      <w:r>
        <w:t>, (Joseph Campbell Foundation, 2008)</w:t>
      </w:r>
    </w:p>
    <w:p w14:paraId="24D17F44" w14:textId="77777777" w:rsidR="00D87CF7" w:rsidRDefault="00D87CF7" w:rsidP="00D87CF7">
      <w:pPr>
        <w:pStyle w:val="FootnoteText"/>
      </w:pPr>
    </w:p>
    <w:p w14:paraId="31893546" w14:textId="3B1F07E6" w:rsidR="000954A9" w:rsidRDefault="000954A9" w:rsidP="00D87CF7">
      <w:pPr>
        <w:pStyle w:val="FootnoteText"/>
      </w:pPr>
      <w:r>
        <w:t xml:space="preserve">Collins, P., ‘The Sumerian Goddess Inanna </w:t>
      </w:r>
      <w:r w:rsidRPr="005E6D9E">
        <w:t xml:space="preserve">(3400-2200 BC)’, </w:t>
      </w:r>
      <w:r w:rsidRPr="0084725F">
        <w:rPr>
          <w:i/>
          <w:iCs/>
        </w:rPr>
        <w:t>Papers from the Institute of Archaeology</w:t>
      </w:r>
      <w:r w:rsidRPr="0084725F">
        <w:t xml:space="preserve">, </w:t>
      </w:r>
      <w:r>
        <w:t>5.0 (1994)</w:t>
      </w:r>
    </w:p>
    <w:p w14:paraId="25F299C2" w14:textId="77777777" w:rsidR="000954A9" w:rsidRDefault="000954A9" w:rsidP="00D87CF7">
      <w:pPr>
        <w:pStyle w:val="FootnoteText"/>
      </w:pPr>
    </w:p>
    <w:p w14:paraId="68428C8A" w14:textId="625F8A1E" w:rsidR="00784EE7" w:rsidRDefault="00784EE7" w:rsidP="00D87CF7">
      <w:pPr>
        <w:pStyle w:val="FootnoteText"/>
      </w:pPr>
      <w:r>
        <w:t xml:space="preserve">Foster, Mary </w:t>
      </w:r>
      <w:proofErr w:type="spellStart"/>
      <w:r>
        <w:t>LeCron</w:t>
      </w:r>
      <w:proofErr w:type="spellEnd"/>
      <w:r>
        <w:t xml:space="preserve">, ‘Symbolism: The Foundation of Culture’, in </w:t>
      </w:r>
      <w:r w:rsidRPr="00961D77">
        <w:rPr>
          <w:i/>
          <w:iCs/>
        </w:rPr>
        <w:t>The Companion Encyclopaedia of Anthropology</w:t>
      </w:r>
      <w:r>
        <w:rPr>
          <w:i/>
          <w:iCs/>
        </w:rPr>
        <w:t>,</w:t>
      </w:r>
      <w:r>
        <w:t xml:space="preserve"> ed, by Tim Ingold (London: Routledge, 1994)</w:t>
      </w:r>
    </w:p>
    <w:p w14:paraId="630E8D3B" w14:textId="77777777" w:rsidR="00784EE7" w:rsidRDefault="00784EE7" w:rsidP="00D87CF7">
      <w:pPr>
        <w:pStyle w:val="FootnoteText"/>
      </w:pPr>
    </w:p>
    <w:p w14:paraId="2E8F42C7" w14:textId="0675015D" w:rsidR="000954A9" w:rsidRDefault="000954A9" w:rsidP="00D87CF7">
      <w:pPr>
        <w:pStyle w:val="FootnoteText"/>
      </w:pPr>
      <w:r>
        <w:t xml:space="preserve">Frazer, J. G., </w:t>
      </w:r>
      <w:r w:rsidRPr="005D3F08">
        <w:rPr>
          <w:i/>
          <w:iCs/>
        </w:rPr>
        <w:t>The Golden Bough</w:t>
      </w:r>
      <w:r>
        <w:t xml:space="preserve"> (New York: The Macmillan Company, 1925)</w:t>
      </w:r>
    </w:p>
    <w:p w14:paraId="5FB3D37F" w14:textId="77777777" w:rsidR="000954A9" w:rsidRDefault="000954A9" w:rsidP="00D87CF7">
      <w:pPr>
        <w:pStyle w:val="FootnoteText"/>
      </w:pPr>
    </w:p>
    <w:p w14:paraId="1A48FD5E" w14:textId="7503D674" w:rsidR="00D87CF7" w:rsidRDefault="00D87CF7" w:rsidP="00D87CF7">
      <w:pPr>
        <w:pStyle w:val="FootnoteText"/>
      </w:pPr>
      <w:r w:rsidRPr="007E47F2">
        <w:rPr>
          <w:rStyle w:val="FootnoteReference"/>
          <w:sz w:val="18"/>
          <w:vertAlign w:val="baseline"/>
        </w:rPr>
        <w:t>Geertz,</w:t>
      </w:r>
      <w:r>
        <w:t xml:space="preserve"> C.,</w:t>
      </w:r>
      <w:r w:rsidRPr="007E47F2">
        <w:rPr>
          <w:rStyle w:val="FootnoteReference"/>
          <w:sz w:val="18"/>
          <w:vertAlign w:val="baseline"/>
        </w:rPr>
        <w:t xml:space="preserve"> </w:t>
      </w:r>
      <w:r>
        <w:rPr>
          <w:rStyle w:val="FootnoteReference"/>
          <w:sz w:val="18"/>
          <w:vertAlign w:val="baseline"/>
        </w:rPr>
        <w:t>‘</w:t>
      </w:r>
      <w:r w:rsidRPr="007E47F2">
        <w:rPr>
          <w:rStyle w:val="FootnoteReference"/>
          <w:sz w:val="18"/>
          <w:vertAlign w:val="baseline"/>
        </w:rPr>
        <w:t>Religion as a Cultural System</w:t>
      </w:r>
      <w:r>
        <w:t>’</w:t>
      </w:r>
      <w:r w:rsidRPr="007E47F2">
        <w:rPr>
          <w:rStyle w:val="FootnoteReference"/>
          <w:sz w:val="18"/>
          <w:vertAlign w:val="baseline"/>
        </w:rPr>
        <w:t>, in</w:t>
      </w:r>
      <w:r>
        <w:t xml:space="preserve"> </w:t>
      </w:r>
      <w:r w:rsidRPr="007E47F2">
        <w:rPr>
          <w:rStyle w:val="FootnoteReference"/>
          <w:i/>
          <w:iCs/>
          <w:sz w:val="18"/>
          <w:vertAlign w:val="baseline"/>
        </w:rPr>
        <w:t>Anthropological approaches to the study of religion</w:t>
      </w:r>
      <w:r>
        <w:rPr>
          <w:rStyle w:val="FootnoteReference"/>
          <w:sz w:val="18"/>
          <w:vertAlign w:val="baseline"/>
        </w:rPr>
        <w:t>, ed. by</w:t>
      </w:r>
      <w:r w:rsidRPr="007E47F2">
        <w:rPr>
          <w:rStyle w:val="FootnoteReference"/>
          <w:sz w:val="18"/>
          <w:vertAlign w:val="baseline"/>
        </w:rPr>
        <w:t xml:space="preserve"> Michael P. Banton</w:t>
      </w:r>
      <w:r>
        <w:rPr>
          <w:rStyle w:val="FootnoteReference"/>
          <w:sz w:val="18"/>
          <w:vertAlign w:val="baseline"/>
        </w:rPr>
        <w:t xml:space="preserve"> </w:t>
      </w:r>
      <w:r>
        <w:t>(</w:t>
      </w:r>
      <w:r w:rsidRPr="007E47F2">
        <w:rPr>
          <w:rStyle w:val="FootnoteReference"/>
          <w:sz w:val="18"/>
          <w:vertAlign w:val="baseline"/>
        </w:rPr>
        <w:t>London: Tavistock and New York: Frederick A. Praeger Press</w:t>
      </w:r>
      <w:r>
        <w:t>, 1966</w:t>
      </w:r>
      <w:r>
        <w:rPr>
          <w:rStyle w:val="FootnoteReference"/>
          <w:sz w:val="18"/>
          <w:vertAlign w:val="baseline"/>
        </w:rPr>
        <w:t>)</w:t>
      </w:r>
    </w:p>
    <w:p w14:paraId="68548AA6" w14:textId="77777777" w:rsidR="00D87CF7" w:rsidRDefault="00D87CF7" w:rsidP="00D87CF7">
      <w:pPr>
        <w:pStyle w:val="FootnoteText"/>
      </w:pPr>
    </w:p>
    <w:p w14:paraId="34C2514B" w14:textId="77777777" w:rsidR="00784EE7" w:rsidRDefault="00784EE7" w:rsidP="00784EE7">
      <w:pPr>
        <w:pStyle w:val="FootnoteText"/>
      </w:pPr>
      <w:proofErr w:type="spellStart"/>
      <w:r>
        <w:t>Gilhus</w:t>
      </w:r>
      <w:proofErr w:type="spellEnd"/>
      <w:r>
        <w:t>, I. S., ‘</w:t>
      </w:r>
      <w:r w:rsidRPr="009555E6">
        <w:rPr>
          <w:bCs/>
        </w:rPr>
        <w:t>Gnosticism</w:t>
      </w:r>
      <w:r w:rsidRPr="00E50ABE">
        <w:t xml:space="preserve"> </w:t>
      </w:r>
      <w:r>
        <w:t xml:space="preserve">- </w:t>
      </w:r>
      <w:r w:rsidRPr="004B5110">
        <w:t>A Study in Liminal Symbolism</w:t>
      </w:r>
      <w:r>
        <w:t xml:space="preserve">’, </w:t>
      </w:r>
      <w:r w:rsidRPr="004B5110">
        <w:rPr>
          <w:i/>
          <w:iCs/>
        </w:rPr>
        <w:t>Numen</w:t>
      </w:r>
      <w:r>
        <w:t>, 31.</w:t>
      </w:r>
      <w:r w:rsidRPr="004B5110">
        <w:t>1 (1984)</w:t>
      </w:r>
    </w:p>
    <w:p w14:paraId="4F741E7C" w14:textId="77777777" w:rsidR="00784EE7" w:rsidRDefault="00784EE7" w:rsidP="00D87CF7">
      <w:pPr>
        <w:pStyle w:val="FootnoteText"/>
      </w:pPr>
    </w:p>
    <w:p w14:paraId="678AC7A0" w14:textId="3D440668" w:rsidR="000954A9" w:rsidRDefault="000954A9" w:rsidP="00D87CF7">
      <w:pPr>
        <w:pStyle w:val="FootnoteText"/>
      </w:pPr>
      <w:r>
        <w:t xml:space="preserve">Goodreads, </w:t>
      </w:r>
      <w:r w:rsidRPr="003D6701">
        <w:rPr>
          <w:i/>
          <w:iCs/>
        </w:rPr>
        <w:t>1997 Waterstone's Books of the Century Poll</w:t>
      </w:r>
      <w:r>
        <w:rPr>
          <w:i/>
          <w:iCs/>
        </w:rPr>
        <w:t>,</w:t>
      </w:r>
      <w:r>
        <w:rPr>
          <w:b/>
          <w:bCs/>
        </w:rPr>
        <w:t xml:space="preserve"> </w:t>
      </w:r>
      <w:r>
        <w:t>&lt;</w:t>
      </w:r>
      <w:r w:rsidRPr="003D6701">
        <w:t>https://www.goodreads.com/list/show/115597.1997_Waterstone_s_Books_of_the_Century_Poll</w:t>
      </w:r>
      <w:r>
        <w:t>&gt; [Accessed 7 March 2025].</w:t>
      </w:r>
    </w:p>
    <w:p w14:paraId="2CC22D7E" w14:textId="77777777" w:rsidR="000954A9" w:rsidRDefault="000954A9" w:rsidP="00D87CF7">
      <w:pPr>
        <w:pStyle w:val="FootnoteText"/>
      </w:pPr>
    </w:p>
    <w:p w14:paraId="6D080634" w14:textId="77777777" w:rsidR="00784EE7" w:rsidRDefault="00784EE7" w:rsidP="00784EE7">
      <w:pPr>
        <w:pStyle w:val="FootnoteText"/>
      </w:pPr>
      <w:r w:rsidRPr="0065708B">
        <w:t>Harris</w:t>
      </w:r>
      <w:r>
        <w:t>, R.,</w:t>
      </w:r>
      <w:r w:rsidRPr="0065708B">
        <w:t xml:space="preserve"> ‘Inanna-Ishtar as Paradox and a Coincidence of Opposites’, </w:t>
      </w:r>
      <w:r w:rsidRPr="0065708B">
        <w:rPr>
          <w:i/>
          <w:iCs/>
        </w:rPr>
        <w:t>History of Religions</w:t>
      </w:r>
      <w:r w:rsidRPr="0065708B">
        <w:t xml:space="preserve">, </w:t>
      </w:r>
      <w:r>
        <w:t>30.3 (1991)</w:t>
      </w:r>
    </w:p>
    <w:p w14:paraId="4A821CF3" w14:textId="77777777" w:rsidR="00D87CF7" w:rsidRDefault="00D87CF7" w:rsidP="00D87CF7">
      <w:pPr>
        <w:pStyle w:val="FootnoteText"/>
      </w:pPr>
    </w:p>
    <w:p w14:paraId="35788EB8" w14:textId="289D57F3" w:rsidR="00784EE7" w:rsidRDefault="00784EE7" w:rsidP="00D87CF7">
      <w:pPr>
        <w:pStyle w:val="FootnoteText"/>
      </w:pPr>
      <w:r>
        <w:t xml:space="preserve">Harrison, J. E., </w:t>
      </w:r>
      <w:r w:rsidRPr="001B5EFD">
        <w:rPr>
          <w:i/>
          <w:iCs/>
        </w:rPr>
        <w:t>Themis: A Study of the Social Origins of Greek Religion</w:t>
      </w:r>
      <w:r>
        <w:t>, (Cambridge University Press, 1912)</w:t>
      </w:r>
    </w:p>
    <w:p w14:paraId="71DD7C47" w14:textId="77777777" w:rsidR="00F30C2B" w:rsidRDefault="00F30C2B" w:rsidP="005062C3">
      <w:pPr>
        <w:pStyle w:val="FootnoteText"/>
      </w:pPr>
    </w:p>
    <w:p w14:paraId="0D6CAF89" w14:textId="77777777" w:rsidR="00784EE7" w:rsidRDefault="00784EE7" w:rsidP="00784EE7">
      <w:pPr>
        <w:pStyle w:val="FootnoteText"/>
      </w:pPr>
      <w:proofErr w:type="spellStart"/>
      <w:r>
        <w:t>Hiley</w:t>
      </w:r>
      <w:proofErr w:type="spellEnd"/>
      <w:r>
        <w:t>, M., ‘</w:t>
      </w:r>
      <w:r w:rsidRPr="00AE5A5A">
        <w:t xml:space="preserve">Stolen Language, Cosmic Models: Myth and Mythology </w:t>
      </w:r>
      <w:proofErr w:type="gramStart"/>
      <w:r w:rsidRPr="00AE5A5A">
        <w:t>In</w:t>
      </w:r>
      <w:proofErr w:type="gramEnd"/>
      <w:r w:rsidRPr="00AE5A5A">
        <w:t xml:space="preserve"> Tolkien</w:t>
      </w:r>
      <w:r>
        <w:t xml:space="preserve">’, </w:t>
      </w:r>
      <w:r w:rsidRPr="008111EA">
        <w:rPr>
          <w:i/>
          <w:iCs/>
        </w:rPr>
        <w:t>Modern Fiction Studies</w:t>
      </w:r>
      <w:r w:rsidRPr="008111EA">
        <w:t xml:space="preserve">, </w:t>
      </w:r>
      <w:r>
        <w:t>50.4 (2004</w:t>
      </w:r>
      <w:r w:rsidRPr="008111EA">
        <w:t>), 838-860</w:t>
      </w:r>
      <w:r>
        <w:t>.</w:t>
      </w:r>
    </w:p>
    <w:p w14:paraId="6435DFC3" w14:textId="77777777" w:rsidR="00F30C2B" w:rsidRPr="003D6701" w:rsidRDefault="00F30C2B" w:rsidP="00F30C2B">
      <w:pPr>
        <w:pStyle w:val="FootnoteText"/>
        <w:rPr>
          <w:b/>
          <w:bCs/>
        </w:rPr>
      </w:pPr>
    </w:p>
    <w:p w14:paraId="0B6CBC0F" w14:textId="01D61B61" w:rsidR="00F30C2B" w:rsidRDefault="00F30C2B" w:rsidP="00F30C2B">
      <w:pPr>
        <w:pStyle w:val="FootnoteText"/>
      </w:pPr>
      <w:r>
        <w:t xml:space="preserve">IMDB, </w:t>
      </w:r>
      <w:proofErr w:type="gramStart"/>
      <w:r w:rsidRPr="008014CB">
        <w:rPr>
          <w:i/>
          <w:iCs/>
        </w:rPr>
        <w:t>The</w:t>
      </w:r>
      <w:proofErr w:type="gramEnd"/>
      <w:r w:rsidRPr="008014CB">
        <w:rPr>
          <w:i/>
          <w:iCs/>
        </w:rPr>
        <w:t xml:space="preserve"> 50 Highest Grossing Films of all Time</w:t>
      </w:r>
      <w:r>
        <w:t>, &lt;</w:t>
      </w:r>
      <w:r w:rsidRPr="008014CB">
        <w:t>https://www.imdb.com/list/ls000021718/</w:t>
      </w:r>
      <w:r>
        <w:t>&gt; [Accessed 7 March 2025].</w:t>
      </w:r>
    </w:p>
    <w:p w14:paraId="24A67830" w14:textId="77777777" w:rsidR="00F30C2B" w:rsidRDefault="00F30C2B" w:rsidP="00F30C2B">
      <w:pPr>
        <w:pStyle w:val="FootnoteText"/>
      </w:pPr>
    </w:p>
    <w:p w14:paraId="78D87F52" w14:textId="04D9D841" w:rsidR="000954A9" w:rsidRDefault="000954A9" w:rsidP="00F30C2B">
      <w:pPr>
        <w:pStyle w:val="FootnoteText"/>
      </w:pPr>
      <w:r>
        <w:t xml:space="preserve">Jung, C. G., </w:t>
      </w:r>
      <w:r w:rsidRPr="00EF2B05">
        <w:rPr>
          <w:i/>
          <w:iCs/>
        </w:rPr>
        <w:t xml:space="preserve">Collected Works of C.G. Jung, Volume 9 (Part </w:t>
      </w:r>
      <w:r>
        <w:rPr>
          <w:i/>
          <w:iCs/>
        </w:rPr>
        <w:t>)</w:t>
      </w:r>
      <w:r w:rsidRPr="00EF2B05">
        <w:rPr>
          <w:i/>
          <w:iCs/>
        </w:rPr>
        <w:t>1</w:t>
      </w:r>
      <w:r>
        <w:rPr>
          <w:i/>
          <w:iCs/>
        </w:rPr>
        <w:t xml:space="preserve">: </w:t>
      </w:r>
      <w:r w:rsidRPr="00502EA7">
        <w:rPr>
          <w:i/>
          <w:iCs/>
        </w:rPr>
        <w:t>Archetypes and the Collective Unconscious</w:t>
      </w:r>
      <w:r>
        <w:t>, ed. by G. Adler, and R. F. C. Hull, (Princeton University Press, 1969) p. 20.</w:t>
      </w:r>
    </w:p>
    <w:p w14:paraId="2D67390E" w14:textId="77777777" w:rsidR="000954A9" w:rsidRDefault="000954A9" w:rsidP="00F30C2B">
      <w:pPr>
        <w:pStyle w:val="FootnoteText"/>
      </w:pPr>
    </w:p>
    <w:p w14:paraId="60C4858B" w14:textId="67C779C9" w:rsidR="00F30C2B" w:rsidRDefault="00F30C2B" w:rsidP="00F30C2B">
      <w:pPr>
        <w:pStyle w:val="FootnoteText"/>
      </w:pPr>
      <w:proofErr w:type="spellStart"/>
      <w:r w:rsidRPr="00577368">
        <w:t>Shippey</w:t>
      </w:r>
      <w:proofErr w:type="spellEnd"/>
      <w:r w:rsidRPr="00577368">
        <w:t>,</w:t>
      </w:r>
      <w:r w:rsidR="00784EE7">
        <w:t xml:space="preserve"> T.,</w:t>
      </w:r>
      <w:r w:rsidRPr="00577368">
        <w:t xml:space="preserve"> </w:t>
      </w:r>
      <w:r w:rsidRPr="00577368">
        <w:rPr>
          <w:i/>
          <w:iCs/>
        </w:rPr>
        <w:t>J. R. R. Tolkien: Author of the Century</w:t>
      </w:r>
      <w:r w:rsidRPr="00577368">
        <w:t xml:space="preserve">. </w:t>
      </w:r>
      <w:r>
        <w:t>(</w:t>
      </w:r>
      <w:r w:rsidRPr="00577368">
        <w:t>London: Harper, 2000</w:t>
      </w:r>
      <w:r>
        <w:t>).</w:t>
      </w:r>
    </w:p>
    <w:p w14:paraId="733E564E" w14:textId="77777777" w:rsidR="00784EE7" w:rsidRDefault="00784EE7" w:rsidP="00F30C2B">
      <w:pPr>
        <w:pStyle w:val="FootnoteText"/>
      </w:pPr>
    </w:p>
    <w:p w14:paraId="745D9973" w14:textId="3F771580" w:rsidR="00784EE7" w:rsidRDefault="00784EE7" w:rsidP="00784EE7">
      <w:pPr>
        <w:pStyle w:val="FootnoteText"/>
      </w:pPr>
      <w:r w:rsidRPr="0075359C">
        <w:t>Smith,</w:t>
      </w:r>
      <w:r>
        <w:t xml:space="preserve"> J. Z.,</w:t>
      </w:r>
      <w:r w:rsidRPr="0075359C">
        <w:t xml:space="preserve"> </w:t>
      </w:r>
      <w:r>
        <w:t>‘</w:t>
      </w:r>
      <w:r w:rsidRPr="0075359C">
        <w:t>Dying and Rising Gods</w:t>
      </w:r>
      <w:r>
        <w:t>’</w:t>
      </w:r>
      <w:r w:rsidRPr="0075359C">
        <w:t>, in </w:t>
      </w:r>
      <w:r w:rsidRPr="001B5EFD">
        <w:rPr>
          <w:i/>
          <w:iCs/>
        </w:rPr>
        <w:t xml:space="preserve">The </w:t>
      </w:r>
      <w:proofErr w:type="spellStart"/>
      <w:r w:rsidRPr="001B5EFD">
        <w:rPr>
          <w:i/>
          <w:iCs/>
        </w:rPr>
        <w:t>Encyclopedia</w:t>
      </w:r>
      <w:proofErr w:type="spellEnd"/>
      <w:r w:rsidRPr="001B5EFD">
        <w:rPr>
          <w:i/>
          <w:iCs/>
        </w:rPr>
        <w:t xml:space="preserve"> of Religion Vol. IV</w:t>
      </w:r>
      <w:r>
        <w:rPr>
          <w:i/>
          <w:iCs/>
        </w:rPr>
        <w:t>,</w:t>
      </w:r>
      <w:r>
        <w:t xml:space="preserve"> ed. by M. Eliade, (New York: </w:t>
      </w:r>
      <w:r w:rsidRPr="0075359C">
        <w:t>Macmillan</w:t>
      </w:r>
      <w:r>
        <w:t>)</w:t>
      </w:r>
    </w:p>
    <w:p w14:paraId="6F9B29F8" w14:textId="77777777" w:rsidR="00784EE7" w:rsidRDefault="00784EE7" w:rsidP="00784EE7">
      <w:pPr>
        <w:pStyle w:val="FootnoteText"/>
      </w:pPr>
    </w:p>
    <w:p w14:paraId="4B657E94" w14:textId="77777777" w:rsidR="00784EE7" w:rsidRDefault="00784EE7" w:rsidP="00784EE7">
      <w:pPr>
        <w:pStyle w:val="FootnoteText"/>
      </w:pPr>
      <w:proofErr w:type="spellStart"/>
      <w:r w:rsidRPr="006D54FF">
        <w:t>Speiser</w:t>
      </w:r>
      <w:proofErr w:type="spellEnd"/>
      <w:r>
        <w:t>,</w:t>
      </w:r>
      <w:r w:rsidRPr="006D54FF">
        <w:t xml:space="preserve"> </w:t>
      </w:r>
      <w:r>
        <w:t xml:space="preserve">E. A., </w:t>
      </w:r>
      <w:r w:rsidRPr="006D54FF">
        <w:t>'Descent of Ishtar to the Nether World'</w:t>
      </w:r>
      <w:r>
        <w:t xml:space="preserve">, in </w:t>
      </w:r>
      <w:r w:rsidRPr="006D54FF">
        <w:rPr>
          <w:i/>
          <w:iCs/>
        </w:rPr>
        <w:t xml:space="preserve">The Ancient </w:t>
      </w:r>
      <w:r>
        <w:rPr>
          <w:i/>
          <w:iCs/>
        </w:rPr>
        <w:t>N</w:t>
      </w:r>
      <w:r w:rsidRPr="006D54FF">
        <w:rPr>
          <w:i/>
          <w:iCs/>
        </w:rPr>
        <w:t>ear East</w:t>
      </w:r>
      <w:r>
        <w:rPr>
          <w:i/>
          <w:iCs/>
        </w:rPr>
        <w:t>,</w:t>
      </w:r>
      <w:r w:rsidRPr="006D54FF">
        <w:t xml:space="preserve"> </w:t>
      </w:r>
      <w:r>
        <w:t xml:space="preserve">ed. by J. B. </w:t>
      </w:r>
      <w:r w:rsidRPr="006D54FF">
        <w:t>Pritchard</w:t>
      </w:r>
      <w:r>
        <w:t>, (</w:t>
      </w:r>
      <w:r w:rsidRPr="006D54FF">
        <w:t xml:space="preserve">Princeton: Princeton University Press, </w:t>
      </w:r>
      <w:r>
        <w:t>2011)</w:t>
      </w:r>
    </w:p>
    <w:p w14:paraId="26E237CC" w14:textId="53B36E60" w:rsidR="00784EE7" w:rsidRDefault="00784EE7" w:rsidP="00784EE7">
      <w:pPr>
        <w:pStyle w:val="FootnoteText"/>
      </w:pPr>
    </w:p>
    <w:p w14:paraId="3CDF1A0E" w14:textId="77777777" w:rsidR="00784EE7" w:rsidRDefault="00784EE7" w:rsidP="00784EE7">
      <w:pPr>
        <w:pStyle w:val="FootnoteText"/>
      </w:pPr>
      <w:r>
        <w:t xml:space="preserve">Struck, Peter, </w:t>
      </w:r>
      <w:r w:rsidRPr="0015191D">
        <w:rPr>
          <w:i/>
          <w:iCs/>
        </w:rPr>
        <w:t>The Birth of the Symbol</w:t>
      </w:r>
      <w:r>
        <w:t xml:space="preserve"> (Princeton: Princeton University Press, 2004)</w:t>
      </w:r>
    </w:p>
    <w:p w14:paraId="55F76ED1" w14:textId="77777777" w:rsidR="00784EE7" w:rsidRDefault="00784EE7" w:rsidP="00784EE7">
      <w:pPr>
        <w:pStyle w:val="FootnoteText"/>
      </w:pPr>
    </w:p>
    <w:p w14:paraId="4F996741" w14:textId="77777777" w:rsidR="00784EE7" w:rsidRDefault="00784EE7" w:rsidP="00784EE7">
      <w:pPr>
        <w:pStyle w:val="FootnoteText"/>
      </w:pPr>
      <w:r>
        <w:lastRenderedPageBreak/>
        <w:t xml:space="preserve">Tolkien, J. R. R., </w:t>
      </w:r>
      <w:r w:rsidRPr="000F00C2">
        <w:rPr>
          <w:i/>
          <w:iCs/>
        </w:rPr>
        <w:t>The Letters of J. R. R. Tolkien</w:t>
      </w:r>
      <w:r>
        <w:t xml:space="preserve"> ed. by H. Carpenter,</w:t>
      </w:r>
      <w:r w:rsidRPr="000F00C2">
        <w:t xml:space="preserve"> </w:t>
      </w:r>
      <w:r>
        <w:t>(</w:t>
      </w:r>
      <w:r w:rsidRPr="000F00C2">
        <w:t>Boston: Houghton, 1981</w:t>
      </w:r>
      <w:r>
        <w:t>)</w:t>
      </w:r>
    </w:p>
    <w:p w14:paraId="106318B4" w14:textId="77777777" w:rsidR="00784EE7" w:rsidRDefault="00784EE7" w:rsidP="00784EE7">
      <w:pPr>
        <w:pStyle w:val="FootnoteText"/>
      </w:pPr>
    </w:p>
    <w:p w14:paraId="2AA56A87" w14:textId="77777777" w:rsidR="00784EE7" w:rsidRDefault="00784EE7" w:rsidP="00784EE7">
      <w:pPr>
        <w:pStyle w:val="FootnoteText"/>
      </w:pPr>
      <w:r>
        <w:t xml:space="preserve">Tolkien, J. R. R., </w:t>
      </w:r>
      <w:r w:rsidRPr="00DB716E">
        <w:rPr>
          <w:i/>
          <w:iCs/>
        </w:rPr>
        <w:t>The Lord of the Rings</w:t>
      </w:r>
      <w:r>
        <w:rPr>
          <w:i/>
          <w:iCs/>
        </w:rPr>
        <w:t>: The Fellowship of the Ring</w:t>
      </w:r>
      <w:r>
        <w:t xml:space="preserve"> (London: Harper Collins, 2020).</w:t>
      </w:r>
    </w:p>
    <w:p w14:paraId="26F499E2" w14:textId="77777777" w:rsidR="00784EE7" w:rsidRDefault="00784EE7" w:rsidP="00784EE7">
      <w:pPr>
        <w:pStyle w:val="FootnoteText"/>
      </w:pPr>
    </w:p>
    <w:p w14:paraId="2D37E013" w14:textId="77777777" w:rsidR="000954A9" w:rsidRDefault="000954A9" w:rsidP="000954A9">
      <w:pPr>
        <w:pStyle w:val="FootnoteText"/>
      </w:pPr>
      <w:r>
        <w:t xml:space="preserve">Tolkien, J. R. R., </w:t>
      </w:r>
      <w:r w:rsidRPr="00DB716E">
        <w:rPr>
          <w:i/>
          <w:iCs/>
        </w:rPr>
        <w:t>The Lord of the Rings</w:t>
      </w:r>
      <w:r>
        <w:rPr>
          <w:i/>
          <w:iCs/>
        </w:rPr>
        <w:t>: The Return of the King</w:t>
      </w:r>
      <w:r>
        <w:t xml:space="preserve"> (London: Harper Collins, 2002).</w:t>
      </w:r>
    </w:p>
    <w:p w14:paraId="049397EC" w14:textId="77777777" w:rsidR="000954A9" w:rsidRDefault="000954A9" w:rsidP="00784EE7">
      <w:pPr>
        <w:pStyle w:val="FootnoteText"/>
      </w:pPr>
    </w:p>
    <w:p w14:paraId="10C0289B" w14:textId="77777777" w:rsidR="00784EE7" w:rsidRDefault="00784EE7" w:rsidP="00784EE7">
      <w:pPr>
        <w:pStyle w:val="FootnoteText"/>
      </w:pPr>
      <w:r>
        <w:t xml:space="preserve">Tolkien, J. R. R., </w:t>
      </w:r>
      <w:r w:rsidRPr="00DB716E">
        <w:rPr>
          <w:i/>
          <w:iCs/>
        </w:rPr>
        <w:t>The Lord of the Rings</w:t>
      </w:r>
      <w:r>
        <w:rPr>
          <w:i/>
          <w:iCs/>
        </w:rPr>
        <w:t>: The Two Towers</w:t>
      </w:r>
      <w:r>
        <w:t xml:space="preserve"> (London: Harper Collins, 2002).</w:t>
      </w:r>
    </w:p>
    <w:p w14:paraId="36E269F2" w14:textId="77777777" w:rsidR="00784EE7" w:rsidRDefault="00784EE7" w:rsidP="00784EE7">
      <w:pPr>
        <w:pStyle w:val="FootnoteText"/>
      </w:pPr>
    </w:p>
    <w:p w14:paraId="21DBDEFD" w14:textId="77777777" w:rsidR="000954A9" w:rsidRDefault="000954A9" w:rsidP="000954A9">
      <w:pPr>
        <w:pStyle w:val="FootnoteText"/>
      </w:pPr>
      <w:r>
        <w:t xml:space="preserve">Tolkien, J. R. R., </w:t>
      </w:r>
      <w:r w:rsidRPr="00D429B4">
        <w:rPr>
          <w:i/>
          <w:iCs/>
        </w:rPr>
        <w:t>The Silmarillion</w:t>
      </w:r>
      <w:r>
        <w:rPr>
          <w:i/>
          <w:iCs/>
        </w:rPr>
        <w:t>,</w:t>
      </w:r>
      <w:r>
        <w:t xml:space="preserve"> </w:t>
      </w:r>
      <w:r w:rsidRPr="00386616">
        <w:t>ed. by C. Tolkien</w:t>
      </w:r>
      <w:r>
        <w:t xml:space="preserve"> (London: George Allen &amp; Unwin, 1977)</w:t>
      </w:r>
    </w:p>
    <w:p w14:paraId="5403A388" w14:textId="77777777" w:rsidR="00784EE7" w:rsidRDefault="00784EE7" w:rsidP="00784EE7">
      <w:pPr>
        <w:pStyle w:val="FootnoteText"/>
      </w:pPr>
    </w:p>
    <w:p w14:paraId="6321607F" w14:textId="77777777" w:rsidR="000954A9" w:rsidRDefault="000954A9" w:rsidP="000954A9">
      <w:pPr>
        <w:pStyle w:val="FootnoteText"/>
      </w:pPr>
      <w:r>
        <w:t xml:space="preserve">Tolkien, J. R. R., </w:t>
      </w:r>
      <w:r w:rsidRPr="005A521A">
        <w:rPr>
          <w:i/>
          <w:iCs/>
        </w:rPr>
        <w:t xml:space="preserve">Unfinished Tales of </w:t>
      </w:r>
      <w:proofErr w:type="spellStart"/>
      <w:r w:rsidRPr="005A521A">
        <w:rPr>
          <w:i/>
          <w:iCs/>
        </w:rPr>
        <w:t>Numenor</w:t>
      </w:r>
      <w:proofErr w:type="spellEnd"/>
      <w:r w:rsidRPr="005A521A">
        <w:rPr>
          <w:i/>
          <w:iCs/>
        </w:rPr>
        <w:t xml:space="preserve"> and Middle-Earth</w:t>
      </w:r>
      <w:r w:rsidRPr="00386616">
        <w:t>, ed. by C. Tolkien</w:t>
      </w:r>
      <w:r>
        <w:t xml:space="preserve"> (London: Harper Collins, 2010)</w:t>
      </w:r>
    </w:p>
    <w:p w14:paraId="3D96F427" w14:textId="77777777" w:rsidR="000954A9" w:rsidRPr="00323B73" w:rsidRDefault="000954A9" w:rsidP="00784EE7">
      <w:pPr>
        <w:pStyle w:val="FootnoteText"/>
      </w:pPr>
    </w:p>
    <w:sectPr w:rsidR="000954A9" w:rsidRPr="00323B73" w:rsidSect="00EC5A56">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6FB39" w14:textId="77777777" w:rsidR="0029281C" w:rsidRDefault="0029281C" w:rsidP="00AD5D5A">
      <w:r>
        <w:separator/>
      </w:r>
    </w:p>
  </w:endnote>
  <w:endnote w:type="continuationSeparator" w:id="0">
    <w:p w14:paraId="243DCAC1" w14:textId="77777777" w:rsidR="0029281C" w:rsidRDefault="0029281C"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lbertus">
    <w:altName w:val="Cambria"/>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6039268"/>
      <w:docPartObj>
        <w:docPartGallery w:val="Page Numbers (Bottom of Page)"/>
        <w:docPartUnique/>
      </w:docPartObj>
    </w:sdtPr>
    <w:sdtContent>
      <w:p w14:paraId="0DF6FE2F" w14:textId="3351373F" w:rsidR="00EC5A56" w:rsidRDefault="00EC5A56" w:rsidP="00EC5A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9958F8" w14:textId="77777777" w:rsidR="00EC5A56" w:rsidRDefault="00EC5A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502541"/>
      <w:docPartObj>
        <w:docPartGallery w:val="Page Numbers (Bottom of Page)"/>
        <w:docPartUnique/>
      </w:docPartObj>
    </w:sdtPr>
    <w:sdtContent>
      <w:p w14:paraId="13748C76" w14:textId="37E4718F" w:rsidR="00EC5A56" w:rsidRDefault="00EC5A56" w:rsidP="00EC5A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3FEDD98" w14:textId="77777777" w:rsidR="009C1A08" w:rsidRPr="00337A70" w:rsidRDefault="009C1A08">
    <w:pPr>
      <w:pStyle w:val="Normal1"/>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CF867" w14:textId="77777777" w:rsidR="0029281C" w:rsidRDefault="0029281C" w:rsidP="00AD5D5A">
      <w:r>
        <w:separator/>
      </w:r>
    </w:p>
  </w:footnote>
  <w:footnote w:type="continuationSeparator" w:id="0">
    <w:p w14:paraId="1A53E671" w14:textId="77777777" w:rsidR="0029281C" w:rsidRDefault="0029281C" w:rsidP="00AD5D5A">
      <w:r>
        <w:continuationSeparator/>
      </w:r>
    </w:p>
  </w:footnote>
  <w:footnote w:id="1">
    <w:p w14:paraId="15DD4267" w14:textId="066FBE8C" w:rsidR="00DB716E" w:rsidRDefault="00DB716E">
      <w:pPr>
        <w:pStyle w:val="FootnoteText"/>
      </w:pPr>
      <w:r>
        <w:rPr>
          <w:rStyle w:val="FootnoteReference"/>
        </w:rPr>
        <w:footnoteRef/>
      </w:r>
      <w:r>
        <w:t xml:space="preserve"> </w:t>
      </w:r>
      <w:r w:rsidR="0015191D">
        <w:t xml:space="preserve">J. R. R. </w:t>
      </w:r>
      <w:r w:rsidR="00AC585F">
        <w:t xml:space="preserve">Tolkien, </w:t>
      </w:r>
      <w:r w:rsidR="00AC585F" w:rsidRPr="00DB716E">
        <w:rPr>
          <w:i/>
          <w:iCs/>
        </w:rPr>
        <w:t>The Lord of the Rings</w:t>
      </w:r>
      <w:r w:rsidR="00AC585F">
        <w:rPr>
          <w:i/>
          <w:iCs/>
        </w:rPr>
        <w:t>: The Fellowship of the Ring</w:t>
      </w:r>
      <w:r w:rsidR="00AC585F">
        <w:t xml:space="preserve"> (London: Harper Collins, 2020)</w:t>
      </w:r>
      <w:r w:rsidR="00632A0E">
        <w:t>.</w:t>
      </w:r>
    </w:p>
  </w:footnote>
  <w:footnote w:id="2">
    <w:p w14:paraId="6BB21430" w14:textId="07EDB0AB" w:rsidR="00AC585F" w:rsidRDefault="00AC585F">
      <w:pPr>
        <w:pStyle w:val="FootnoteText"/>
      </w:pPr>
      <w:r>
        <w:rPr>
          <w:rStyle w:val="FootnoteReference"/>
        </w:rPr>
        <w:footnoteRef/>
      </w:r>
      <w:r>
        <w:t xml:space="preserve"> </w:t>
      </w:r>
      <w:r w:rsidR="0015191D">
        <w:t xml:space="preserve">J. R. R. Tolkien, </w:t>
      </w:r>
      <w:r w:rsidRPr="00DB716E">
        <w:rPr>
          <w:i/>
          <w:iCs/>
        </w:rPr>
        <w:t>The Lord of the Rings</w:t>
      </w:r>
      <w:r>
        <w:rPr>
          <w:i/>
          <w:iCs/>
        </w:rPr>
        <w:t>: The Two Towers</w:t>
      </w:r>
      <w:r>
        <w:t xml:space="preserve"> (London: Harper Collins, 2002)</w:t>
      </w:r>
      <w:r w:rsidR="00632A0E">
        <w:t>.</w:t>
      </w:r>
    </w:p>
  </w:footnote>
  <w:footnote w:id="3">
    <w:p w14:paraId="6B6BB6D2" w14:textId="449F3F40" w:rsidR="00AC585F" w:rsidRDefault="00AC585F">
      <w:pPr>
        <w:pStyle w:val="FootnoteText"/>
      </w:pPr>
      <w:r>
        <w:rPr>
          <w:rStyle w:val="FootnoteReference"/>
        </w:rPr>
        <w:footnoteRef/>
      </w:r>
      <w:r>
        <w:t xml:space="preserve"> </w:t>
      </w:r>
      <w:r w:rsidR="0015191D">
        <w:t>J. R. R. Tolkien</w:t>
      </w:r>
      <w:r>
        <w:t xml:space="preserve">, </w:t>
      </w:r>
      <w:r w:rsidRPr="00DB716E">
        <w:rPr>
          <w:i/>
          <w:iCs/>
        </w:rPr>
        <w:t>The Lord of the Rings</w:t>
      </w:r>
      <w:r>
        <w:rPr>
          <w:i/>
          <w:iCs/>
        </w:rPr>
        <w:t>: The Return of the King</w:t>
      </w:r>
      <w:r>
        <w:t xml:space="preserve"> (London: Harper Collins, 2002)</w:t>
      </w:r>
      <w:r w:rsidR="00632A0E">
        <w:t>.</w:t>
      </w:r>
    </w:p>
  </w:footnote>
  <w:footnote w:id="4">
    <w:p w14:paraId="3EB0C8FF" w14:textId="6612C122" w:rsidR="00A37E47" w:rsidRDefault="00A37E47">
      <w:pPr>
        <w:pStyle w:val="FootnoteText"/>
      </w:pPr>
      <w:r>
        <w:rPr>
          <w:rStyle w:val="FootnoteReference"/>
        </w:rPr>
        <w:footnoteRef/>
      </w:r>
      <w:r>
        <w:t xml:space="preserve"> </w:t>
      </w:r>
      <w:r w:rsidR="0015191D">
        <w:t xml:space="preserve">C. </w:t>
      </w:r>
      <w:r w:rsidRPr="007E47F2">
        <w:rPr>
          <w:rStyle w:val="FootnoteReference"/>
          <w:sz w:val="18"/>
          <w:vertAlign w:val="baseline"/>
        </w:rPr>
        <w:t xml:space="preserve">Geertz, </w:t>
      </w:r>
      <w:r>
        <w:rPr>
          <w:rStyle w:val="FootnoteReference"/>
          <w:sz w:val="18"/>
          <w:vertAlign w:val="baseline"/>
        </w:rPr>
        <w:t>‘</w:t>
      </w:r>
      <w:r w:rsidRPr="007E47F2">
        <w:rPr>
          <w:rStyle w:val="FootnoteReference"/>
          <w:sz w:val="18"/>
          <w:vertAlign w:val="baseline"/>
        </w:rPr>
        <w:t>Religion as a Cultural System</w:t>
      </w:r>
      <w:r>
        <w:t>’</w:t>
      </w:r>
      <w:r w:rsidRPr="007E47F2">
        <w:rPr>
          <w:rStyle w:val="FootnoteReference"/>
          <w:sz w:val="18"/>
          <w:vertAlign w:val="baseline"/>
        </w:rPr>
        <w:t>, in</w:t>
      </w:r>
      <w:r w:rsidR="0015191D">
        <w:t xml:space="preserve"> </w:t>
      </w:r>
      <w:r w:rsidR="0015191D" w:rsidRPr="007E47F2">
        <w:rPr>
          <w:rStyle w:val="FootnoteReference"/>
          <w:i/>
          <w:iCs/>
          <w:sz w:val="18"/>
          <w:vertAlign w:val="baseline"/>
        </w:rPr>
        <w:t>Anthropological approaches to the study of religion</w:t>
      </w:r>
      <w:r w:rsidR="0015191D">
        <w:rPr>
          <w:rStyle w:val="FootnoteReference"/>
          <w:sz w:val="18"/>
          <w:vertAlign w:val="baseline"/>
        </w:rPr>
        <w:t>, ed. by</w:t>
      </w:r>
      <w:r w:rsidRPr="007E47F2">
        <w:rPr>
          <w:rStyle w:val="FootnoteReference"/>
          <w:sz w:val="18"/>
          <w:vertAlign w:val="baseline"/>
        </w:rPr>
        <w:t xml:space="preserve"> </w:t>
      </w:r>
      <w:r w:rsidR="0015191D" w:rsidRPr="007E47F2">
        <w:rPr>
          <w:rStyle w:val="FootnoteReference"/>
          <w:sz w:val="18"/>
          <w:vertAlign w:val="baseline"/>
        </w:rPr>
        <w:t xml:space="preserve">Michael P. </w:t>
      </w:r>
      <w:r w:rsidRPr="007E47F2">
        <w:rPr>
          <w:rStyle w:val="FootnoteReference"/>
          <w:sz w:val="18"/>
          <w:vertAlign w:val="baseline"/>
        </w:rPr>
        <w:t>Banton</w:t>
      </w:r>
      <w:r w:rsidR="0015191D">
        <w:rPr>
          <w:rStyle w:val="FootnoteReference"/>
          <w:sz w:val="18"/>
          <w:vertAlign w:val="baseline"/>
        </w:rPr>
        <w:t xml:space="preserve"> </w:t>
      </w:r>
      <w:r>
        <w:t>(</w:t>
      </w:r>
      <w:r w:rsidRPr="007E47F2">
        <w:rPr>
          <w:rStyle w:val="FootnoteReference"/>
          <w:sz w:val="18"/>
          <w:vertAlign w:val="baseline"/>
        </w:rPr>
        <w:t>London: Tavistock and New York: Frederick A. Praeger Press</w:t>
      </w:r>
      <w:r w:rsidR="00961D77">
        <w:t>,</w:t>
      </w:r>
      <w:r>
        <w:t xml:space="preserve"> 1966</w:t>
      </w:r>
      <w:r>
        <w:rPr>
          <w:rStyle w:val="FootnoteReference"/>
          <w:sz w:val="18"/>
          <w:vertAlign w:val="baseline"/>
        </w:rPr>
        <w:t>)</w:t>
      </w:r>
      <w:r w:rsidRPr="007E47F2">
        <w:rPr>
          <w:rStyle w:val="FootnoteReference"/>
          <w:sz w:val="18"/>
          <w:vertAlign w:val="baseline"/>
        </w:rPr>
        <w:t xml:space="preserve"> p. 3</w:t>
      </w:r>
      <w:r>
        <w:rPr>
          <w:rStyle w:val="FootnoteReference"/>
          <w:sz w:val="18"/>
          <w:vertAlign w:val="baseline"/>
        </w:rPr>
        <w:t>.</w:t>
      </w:r>
    </w:p>
  </w:footnote>
  <w:footnote w:id="5">
    <w:p w14:paraId="2A6B8190" w14:textId="58785327" w:rsidR="00ED2C08" w:rsidRDefault="00ED2C08">
      <w:pPr>
        <w:pStyle w:val="FootnoteText"/>
      </w:pPr>
      <w:r>
        <w:rPr>
          <w:rStyle w:val="FootnoteReference"/>
        </w:rPr>
        <w:footnoteRef/>
      </w:r>
      <w:r>
        <w:t xml:space="preserve"> </w:t>
      </w:r>
      <w:r w:rsidR="0015191D">
        <w:t xml:space="preserve">Mary </w:t>
      </w:r>
      <w:proofErr w:type="spellStart"/>
      <w:r w:rsidR="0015191D">
        <w:t>LeCron</w:t>
      </w:r>
      <w:proofErr w:type="spellEnd"/>
      <w:r w:rsidR="0015191D">
        <w:t xml:space="preserve"> </w:t>
      </w:r>
      <w:r>
        <w:t xml:space="preserve">Foster, </w:t>
      </w:r>
      <w:r w:rsidR="008E17B7">
        <w:t xml:space="preserve">‘Symbolism: The Foundation of Culture’, </w:t>
      </w:r>
      <w:r w:rsidR="0015191D">
        <w:t xml:space="preserve">in </w:t>
      </w:r>
      <w:r w:rsidR="008E17B7" w:rsidRPr="00961D77">
        <w:rPr>
          <w:i/>
          <w:iCs/>
        </w:rPr>
        <w:t>The Companion Encyclopaedia of Anthropology</w:t>
      </w:r>
      <w:r w:rsidR="00632A0E">
        <w:rPr>
          <w:i/>
          <w:iCs/>
        </w:rPr>
        <w:t>,</w:t>
      </w:r>
      <w:r w:rsidR="008E17B7">
        <w:t xml:space="preserve"> </w:t>
      </w:r>
      <w:r w:rsidR="0015191D">
        <w:t xml:space="preserve">ed, by Tim Ingold </w:t>
      </w:r>
      <w:r w:rsidR="008E17B7">
        <w:t>(London</w:t>
      </w:r>
      <w:r w:rsidR="00961D77">
        <w:t>:</w:t>
      </w:r>
      <w:r w:rsidR="008E17B7">
        <w:t xml:space="preserve"> Routledge, 1994) p. 366</w:t>
      </w:r>
      <w:r w:rsidR="00961D77">
        <w:t>.</w:t>
      </w:r>
      <w:r w:rsidR="008E17B7">
        <w:t xml:space="preserve"> </w:t>
      </w:r>
    </w:p>
  </w:footnote>
  <w:footnote w:id="6">
    <w:p w14:paraId="4A8082C0" w14:textId="13E31551" w:rsidR="00961D77" w:rsidRDefault="00961D77">
      <w:pPr>
        <w:pStyle w:val="FootnoteText"/>
      </w:pPr>
      <w:r>
        <w:rPr>
          <w:rStyle w:val="FootnoteReference"/>
        </w:rPr>
        <w:footnoteRef/>
      </w:r>
      <w:r>
        <w:t xml:space="preserve"> </w:t>
      </w:r>
      <w:r w:rsidR="0015191D">
        <w:t xml:space="preserve">Peter </w:t>
      </w:r>
      <w:r>
        <w:t>Struck</w:t>
      </w:r>
      <w:r w:rsidR="0015191D">
        <w:t xml:space="preserve">, </w:t>
      </w:r>
      <w:r w:rsidRPr="0015191D">
        <w:rPr>
          <w:i/>
          <w:iCs/>
        </w:rPr>
        <w:t>The Birth of the Symbol</w:t>
      </w:r>
      <w:r>
        <w:t xml:space="preserve"> (Princeton: Princeton University Press, 2004) p. 5.</w:t>
      </w:r>
    </w:p>
  </w:footnote>
  <w:footnote w:id="7">
    <w:p w14:paraId="50723E91" w14:textId="6FFE2062" w:rsidR="0035324B" w:rsidRDefault="0035324B">
      <w:pPr>
        <w:pStyle w:val="FootnoteText"/>
      </w:pPr>
      <w:r>
        <w:rPr>
          <w:rStyle w:val="FootnoteReference"/>
        </w:rPr>
        <w:footnoteRef/>
      </w:r>
      <w:r>
        <w:t xml:space="preserve"> </w:t>
      </w:r>
      <w:r w:rsidR="0015191D">
        <w:t xml:space="preserve">W. </w:t>
      </w:r>
      <w:r w:rsidRPr="00C72B7A">
        <w:t xml:space="preserve">Burkert, </w:t>
      </w:r>
      <w:r w:rsidRPr="00C72B7A">
        <w:rPr>
          <w:i/>
          <w:iCs/>
        </w:rPr>
        <w:t xml:space="preserve">Homo </w:t>
      </w:r>
      <w:proofErr w:type="spellStart"/>
      <w:r w:rsidRPr="00C72B7A">
        <w:rPr>
          <w:i/>
          <w:iCs/>
        </w:rPr>
        <w:t>Necans</w:t>
      </w:r>
      <w:proofErr w:type="spellEnd"/>
      <w:r w:rsidRPr="00C72B7A">
        <w:rPr>
          <w:i/>
          <w:iCs/>
        </w:rPr>
        <w:t>: The Anthropology of Ancient Greek Sacrificial Ritual and Myth</w:t>
      </w:r>
      <w:r>
        <w:t xml:space="preserve"> (London: University of California Press, 1983)</w:t>
      </w:r>
      <w:r w:rsidRPr="00C72B7A">
        <w:t xml:space="preserve"> pp. 31-32</w:t>
      </w:r>
      <w:r>
        <w:t>.</w:t>
      </w:r>
    </w:p>
  </w:footnote>
  <w:footnote w:id="8">
    <w:p w14:paraId="5CAAAC88" w14:textId="683AB92E" w:rsidR="002E2C10" w:rsidRDefault="002E2C10" w:rsidP="002E2C10">
      <w:pPr>
        <w:pStyle w:val="FootnoteText"/>
      </w:pPr>
      <w:r>
        <w:rPr>
          <w:rStyle w:val="FootnoteReference"/>
        </w:rPr>
        <w:footnoteRef/>
      </w:r>
      <w:r>
        <w:t xml:space="preserve"> </w:t>
      </w:r>
      <w:r w:rsidR="0015191D">
        <w:t xml:space="preserve">R. </w:t>
      </w:r>
      <w:r w:rsidRPr="0065708B">
        <w:t>Harris</w:t>
      </w:r>
      <w:r w:rsidR="0015191D">
        <w:t>,</w:t>
      </w:r>
      <w:r w:rsidRPr="0065708B">
        <w:t xml:space="preserve"> ‘Inanna-Ishtar as Paradox and a Coincidence of Opposites’, </w:t>
      </w:r>
      <w:r w:rsidRPr="0065708B">
        <w:rPr>
          <w:i/>
          <w:iCs/>
        </w:rPr>
        <w:t>History of Religions</w:t>
      </w:r>
      <w:r w:rsidRPr="0065708B">
        <w:t xml:space="preserve">, </w:t>
      </w:r>
      <w:r w:rsidR="0015191D">
        <w:t>30.3 (1991)</w:t>
      </w:r>
      <w:r w:rsidRPr="0065708B">
        <w:t>, p 26</w:t>
      </w:r>
      <w:r w:rsidR="00DA7A49">
        <w:t>3</w:t>
      </w:r>
      <w:r w:rsidRPr="0065708B">
        <w:t>.</w:t>
      </w:r>
    </w:p>
  </w:footnote>
  <w:footnote w:id="9">
    <w:p w14:paraId="0E909CD6" w14:textId="411CBC47" w:rsidR="004D1D78" w:rsidRDefault="004D1D78">
      <w:pPr>
        <w:pStyle w:val="FootnoteText"/>
      </w:pPr>
      <w:r>
        <w:rPr>
          <w:rStyle w:val="FootnoteReference"/>
        </w:rPr>
        <w:footnoteRef/>
      </w:r>
      <w:r>
        <w:t xml:space="preserve"> </w:t>
      </w:r>
      <w:r w:rsidR="00632A0E">
        <w:t xml:space="preserve">Jean </w:t>
      </w:r>
      <w:proofErr w:type="spellStart"/>
      <w:r w:rsidR="00242C98" w:rsidRPr="00242C98">
        <w:t>Bottéro</w:t>
      </w:r>
      <w:proofErr w:type="spellEnd"/>
      <w:r w:rsidR="00632A0E">
        <w:t>,</w:t>
      </w:r>
      <w:r w:rsidR="00242C98" w:rsidRPr="00242C98">
        <w:t xml:space="preserve"> </w:t>
      </w:r>
      <w:r w:rsidR="00632A0E">
        <w:t xml:space="preserve">Samuel Noah </w:t>
      </w:r>
      <w:r w:rsidR="00242C98" w:rsidRPr="00242C98">
        <w:t>Kramer, </w:t>
      </w:r>
      <w:proofErr w:type="spellStart"/>
      <w:r w:rsidR="00242C98" w:rsidRPr="00242C98">
        <w:rPr>
          <w:i/>
          <w:iCs/>
        </w:rPr>
        <w:t>Lorsque</w:t>
      </w:r>
      <w:proofErr w:type="spellEnd"/>
      <w:r w:rsidR="00242C98" w:rsidRPr="00242C98">
        <w:rPr>
          <w:i/>
          <w:iCs/>
        </w:rPr>
        <w:t xml:space="preserve"> les </w:t>
      </w:r>
      <w:proofErr w:type="spellStart"/>
      <w:r w:rsidR="00242C98" w:rsidRPr="00242C98">
        <w:rPr>
          <w:i/>
          <w:iCs/>
        </w:rPr>
        <w:t>dieux</w:t>
      </w:r>
      <w:proofErr w:type="spellEnd"/>
      <w:r w:rsidR="00242C98" w:rsidRPr="00242C98">
        <w:rPr>
          <w:i/>
          <w:iCs/>
        </w:rPr>
        <w:t xml:space="preserve"> </w:t>
      </w:r>
      <w:proofErr w:type="spellStart"/>
      <w:r w:rsidR="00242C98" w:rsidRPr="00242C98">
        <w:rPr>
          <w:i/>
          <w:iCs/>
        </w:rPr>
        <w:t>faisaient</w:t>
      </w:r>
      <w:proofErr w:type="spellEnd"/>
      <w:r w:rsidR="00242C98" w:rsidRPr="00242C98">
        <w:rPr>
          <w:i/>
          <w:iCs/>
        </w:rPr>
        <w:t xml:space="preserve"> </w:t>
      </w:r>
      <w:proofErr w:type="spellStart"/>
      <w:proofErr w:type="gramStart"/>
      <w:r w:rsidR="00242C98" w:rsidRPr="00242C98">
        <w:rPr>
          <w:i/>
          <w:iCs/>
        </w:rPr>
        <w:t>l'homme</w:t>
      </w:r>
      <w:proofErr w:type="spellEnd"/>
      <w:r w:rsidR="00242C98" w:rsidRPr="00242C98">
        <w:rPr>
          <w:i/>
          <w:iCs/>
        </w:rPr>
        <w:t> :</w:t>
      </w:r>
      <w:proofErr w:type="gramEnd"/>
      <w:r w:rsidR="00242C98" w:rsidRPr="00242C98">
        <w:rPr>
          <w:i/>
          <w:iCs/>
        </w:rPr>
        <w:t xml:space="preserve"> </w:t>
      </w:r>
      <w:proofErr w:type="spellStart"/>
      <w:r w:rsidR="00242C98" w:rsidRPr="00242C98">
        <w:rPr>
          <w:i/>
          <w:iCs/>
        </w:rPr>
        <w:t>Mythologie</w:t>
      </w:r>
      <w:proofErr w:type="spellEnd"/>
      <w:r w:rsidR="00242C98" w:rsidRPr="00242C98">
        <w:rPr>
          <w:i/>
          <w:iCs/>
        </w:rPr>
        <w:t xml:space="preserve"> </w:t>
      </w:r>
      <w:proofErr w:type="spellStart"/>
      <w:r w:rsidR="00242C98" w:rsidRPr="00242C98">
        <w:rPr>
          <w:i/>
          <w:iCs/>
        </w:rPr>
        <w:t>mésopotamienne</w:t>
      </w:r>
      <w:proofErr w:type="spellEnd"/>
      <w:r w:rsidR="00242C98" w:rsidRPr="00242C98">
        <w:t xml:space="preserve"> </w:t>
      </w:r>
      <w:r w:rsidR="00242C98">
        <w:t>(</w:t>
      </w:r>
      <w:r w:rsidR="00242C98" w:rsidRPr="00242C98">
        <w:t>Paris: Gallimard</w:t>
      </w:r>
      <w:r w:rsidR="00242C98">
        <w:t>, 1989)</w:t>
      </w:r>
      <w:r w:rsidR="00632A0E">
        <w:t>.</w:t>
      </w:r>
    </w:p>
  </w:footnote>
  <w:footnote w:id="10">
    <w:p w14:paraId="48FE23CE" w14:textId="5F298FA3" w:rsidR="006D54FF" w:rsidRDefault="006D54FF" w:rsidP="006D54FF">
      <w:pPr>
        <w:pStyle w:val="FootnoteText"/>
      </w:pPr>
      <w:r>
        <w:rPr>
          <w:rStyle w:val="FootnoteReference"/>
        </w:rPr>
        <w:footnoteRef/>
      </w:r>
      <w:r>
        <w:t xml:space="preserve"> </w:t>
      </w:r>
      <w:r w:rsidR="00632A0E">
        <w:t xml:space="preserve">E. A. </w:t>
      </w:r>
      <w:proofErr w:type="spellStart"/>
      <w:r w:rsidRPr="006D54FF">
        <w:t>Speiser</w:t>
      </w:r>
      <w:proofErr w:type="spellEnd"/>
      <w:r>
        <w:t>,</w:t>
      </w:r>
      <w:r w:rsidRPr="006D54FF">
        <w:t xml:space="preserve"> 'Descent of Ishtar to the Nether World'</w:t>
      </w:r>
      <w:r w:rsidR="00632A0E">
        <w:t>,</w:t>
      </w:r>
      <w:r>
        <w:t xml:space="preserve"> </w:t>
      </w:r>
      <w:r w:rsidR="00632A0E">
        <w:t>i</w:t>
      </w:r>
      <w:r>
        <w:t xml:space="preserve">n </w:t>
      </w:r>
      <w:r w:rsidR="00632A0E" w:rsidRPr="006D54FF">
        <w:rPr>
          <w:i/>
          <w:iCs/>
        </w:rPr>
        <w:t xml:space="preserve">The Ancient </w:t>
      </w:r>
      <w:r w:rsidR="00632A0E">
        <w:rPr>
          <w:i/>
          <w:iCs/>
        </w:rPr>
        <w:t>N</w:t>
      </w:r>
      <w:r w:rsidR="00632A0E" w:rsidRPr="006D54FF">
        <w:rPr>
          <w:i/>
          <w:iCs/>
        </w:rPr>
        <w:t>ear East</w:t>
      </w:r>
      <w:r w:rsidR="00632A0E">
        <w:rPr>
          <w:i/>
          <w:iCs/>
        </w:rPr>
        <w:t>,</w:t>
      </w:r>
      <w:r w:rsidR="00632A0E" w:rsidRPr="006D54FF">
        <w:t xml:space="preserve"> </w:t>
      </w:r>
      <w:r w:rsidR="00632A0E">
        <w:t xml:space="preserve">ed. by J. B. </w:t>
      </w:r>
      <w:r w:rsidRPr="006D54FF">
        <w:t>Pritchard</w:t>
      </w:r>
      <w:r>
        <w:t>, (</w:t>
      </w:r>
      <w:r w:rsidRPr="006D54FF">
        <w:t xml:space="preserve">Princeton: Princeton University Press, </w:t>
      </w:r>
      <w:r>
        <w:t>2011)</w:t>
      </w:r>
      <w:r w:rsidR="00632A0E">
        <w:t>,</w:t>
      </w:r>
      <w:r w:rsidRPr="006D54FF">
        <w:t xml:space="preserve"> </w:t>
      </w:r>
      <w:r>
        <w:t xml:space="preserve">pp. </w:t>
      </w:r>
      <w:r w:rsidRPr="006D54FF">
        <w:t>77-82.</w:t>
      </w:r>
    </w:p>
  </w:footnote>
  <w:footnote w:id="11">
    <w:p w14:paraId="622A2ACF" w14:textId="6B1E3144" w:rsidR="00CF75DB" w:rsidRDefault="00CF75DB">
      <w:pPr>
        <w:pStyle w:val="FootnoteText"/>
      </w:pPr>
      <w:r>
        <w:rPr>
          <w:rStyle w:val="FootnoteReference"/>
        </w:rPr>
        <w:footnoteRef/>
      </w:r>
      <w:r>
        <w:t xml:space="preserve"> </w:t>
      </w:r>
      <w:proofErr w:type="spellStart"/>
      <w:r w:rsidR="0051743F" w:rsidRPr="006D54FF">
        <w:t>Speiser</w:t>
      </w:r>
      <w:proofErr w:type="spellEnd"/>
      <w:r w:rsidR="00632A0E">
        <w:t xml:space="preserve">, </w:t>
      </w:r>
      <w:r w:rsidR="0051743F">
        <w:t>p. 79</w:t>
      </w:r>
      <w:r w:rsidR="0051743F" w:rsidRPr="006D54FF">
        <w:t>.</w:t>
      </w:r>
    </w:p>
  </w:footnote>
  <w:footnote w:id="12">
    <w:p w14:paraId="0F2FB233" w14:textId="46630C7D" w:rsidR="00DA7A49" w:rsidRDefault="00DA7A49">
      <w:pPr>
        <w:pStyle w:val="FootnoteText"/>
      </w:pPr>
      <w:r>
        <w:rPr>
          <w:rStyle w:val="FootnoteReference"/>
        </w:rPr>
        <w:footnoteRef/>
      </w:r>
      <w:r>
        <w:t xml:space="preserve"> </w:t>
      </w:r>
      <w:r w:rsidRPr="0065708B">
        <w:t>Harris, ‘Inanna-Ishtar as Paradox and a Coincidence of Opposites’, p 26</w:t>
      </w:r>
      <w:r>
        <w:t>2</w:t>
      </w:r>
      <w:r w:rsidRPr="0065708B">
        <w:t>.</w:t>
      </w:r>
    </w:p>
  </w:footnote>
  <w:footnote w:id="13">
    <w:p w14:paraId="214745C2" w14:textId="4B463FC6" w:rsidR="000F00C2" w:rsidRDefault="000F00C2" w:rsidP="000F00C2">
      <w:pPr>
        <w:pStyle w:val="FootnoteText"/>
      </w:pPr>
      <w:r>
        <w:rPr>
          <w:rStyle w:val="FootnoteReference"/>
        </w:rPr>
        <w:footnoteRef/>
      </w:r>
      <w:r>
        <w:t xml:space="preserve"> </w:t>
      </w:r>
      <w:r w:rsidR="00632A0E">
        <w:t xml:space="preserve">J. R. R. </w:t>
      </w:r>
      <w:r>
        <w:t xml:space="preserve">Tolkien, </w:t>
      </w:r>
      <w:r w:rsidRPr="000F00C2">
        <w:rPr>
          <w:i/>
          <w:iCs/>
        </w:rPr>
        <w:t>The Letters of J. R. R. Tolkien</w:t>
      </w:r>
      <w:r w:rsidR="0058004E">
        <w:rPr>
          <w:i/>
          <w:iCs/>
        </w:rPr>
        <w:t>,</w:t>
      </w:r>
      <w:r w:rsidR="0058004E" w:rsidRPr="0058004E">
        <w:t xml:space="preserve"> </w:t>
      </w:r>
      <w:r w:rsidR="0058004E">
        <w:t>ed. by H. Carpenter,</w:t>
      </w:r>
      <w:r w:rsidRPr="000F00C2">
        <w:t xml:space="preserve"> </w:t>
      </w:r>
      <w:r>
        <w:t>(</w:t>
      </w:r>
      <w:r w:rsidRPr="000F00C2">
        <w:t>Boston: Houghton, 1981</w:t>
      </w:r>
      <w:r>
        <w:t>)</w:t>
      </w:r>
      <w:r w:rsidR="00AE5A5A">
        <w:t xml:space="preserve"> Letter 180.</w:t>
      </w:r>
    </w:p>
  </w:footnote>
  <w:footnote w:id="14">
    <w:p w14:paraId="06C8C2AE" w14:textId="6C6CB1AF" w:rsidR="00AE5A5A" w:rsidRDefault="00AE5A5A">
      <w:pPr>
        <w:pStyle w:val="FootnoteText"/>
      </w:pPr>
      <w:r>
        <w:rPr>
          <w:rStyle w:val="FootnoteReference"/>
        </w:rPr>
        <w:footnoteRef/>
      </w:r>
      <w:r>
        <w:t xml:space="preserve"> </w:t>
      </w:r>
      <w:r w:rsidR="00632A0E">
        <w:t xml:space="preserve">M. </w:t>
      </w:r>
      <w:proofErr w:type="spellStart"/>
      <w:r>
        <w:t>Hiley</w:t>
      </w:r>
      <w:proofErr w:type="spellEnd"/>
      <w:r>
        <w:t>, ‘</w:t>
      </w:r>
      <w:r w:rsidRPr="00AE5A5A">
        <w:t xml:space="preserve">Stolen Language, Cosmic Models: Myth and Mythology </w:t>
      </w:r>
      <w:proofErr w:type="gramStart"/>
      <w:r w:rsidRPr="00AE5A5A">
        <w:t>In</w:t>
      </w:r>
      <w:proofErr w:type="gramEnd"/>
      <w:r w:rsidRPr="00AE5A5A">
        <w:t xml:space="preserve"> Tolkien</w:t>
      </w:r>
      <w:r>
        <w:t xml:space="preserve">’, </w:t>
      </w:r>
      <w:r w:rsidR="008111EA" w:rsidRPr="008111EA">
        <w:rPr>
          <w:i/>
          <w:iCs/>
        </w:rPr>
        <w:t>Modern Fiction Studies</w:t>
      </w:r>
      <w:r w:rsidR="008111EA" w:rsidRPr="008111EA">
        <w:t xml:space="preserve">, </w:t>
      </w:r>
      <w:r w:rsidR="00632A0E">
        <w:t>50.4</w:t>
      </w:r>
      <w:r w:rsidR="00B75593">
        <w:t xml:space="preserve"> (2004</w:t>
      </w:r>
      <w:r w:rsidR="008111EA" w:rsidRPr="008111EA">
        <w:t>), pp. 838-860</w:t>
      </w:r>
      <w:r w:rsidR="00B75593">
        <w:t>.</w:t>
      </w:r>
    </w:p>
  </w:footnote>
  <w:footnote w:id="15">
    <w:p w14:paraId="6123C008" w14:textId="1F8B11FE" w:rsidR="00015DF5" w:rsidRDefault="00015DF5">
      <w:pPr>
        <w:pStyle w:val="FootnoteText"/>
      </w:pPr>
      <w:r>
        <w:rPr>
          <w:rStyle w:val="FootnoteReference"/>
        </w:rPr>
        <w:footnoteRef/>
      </w:r>
      <w:r>
        <w:t xml:space="preserve"> </w:t>
      </w:r>
      <w:r w:rsidR="00B75593">
        <w:t xml:space="preserve">M. </w:t>
      </w:r>
      <w:r>
        <w:t xml:space="preserve">Burke, </w:t>
      </w:r>
      <w:r w:rsidRPr="00B30837">
        <w:rPr>
          <w:i/>
          <w:iCs/>
        </w:rPr>
        <w:t>Why the shadow of death and WW1 hang over The Lord of the Rings</w:t>
      </w:r>
      <w:r w:rsidR="00B75593">
        <w:t xml:space="preserve"> (2024) </w:t>
      </w:r>
      <w:r w:rsidR="00B30837">
        <w:t>&lt;</w:t>
      </w:r>
      <w:r w:rsidR="00B30837" w:rsidRPr="00B30837">
        <w:t>https://www.bbc.co.uk/culture/article/20240726-the-ww1-trauma-that-inspired-the-lord-of-the-rings</w:t>
      </w:r>
      <w:r w:rsidR="00B30837">
        <w:t>&gt; [Accessed 6 March 2025]</w:t>
      </w:r>
      <w:r w:rsidR="00B75593">
        <w:t>.</w:t>
      </w:r>
    </w:p>
  </w:footnote>
  <w:footnote w:id="16">
    <w:p w14:paraId="46FDEFC6" w14:textId="2F4C5CA6" w:rsidR="003D6701" w:rsidRPr="003D6701" w:rsidRDefault="003D6701">
      <w:pPr>
        <w:pStyle w:val="FootnoteText"/>
        <w:rPr>
          <w:b/>
          <w:bCs/>
        </w:rPr>
      </w:pPr>
      <w:r>
        <w:rPr>
          <w:rStyle w:val="FootnoteReference"/>
        </w:rPr>
        <w:footnoteRef/>
      </w:r>
      <w:r>
        <w:t xml:space="preserve"> </w:t>
      </w:r>
      <w:r w:rsidR="00B75593">
        <w:t xml:space="preserve">Goodreads, </w:t>
      </w:r>
      <w:r w:rsidRPr="003D6701">
        <w:rPr>
          <w:i/>
          <w:iCs/>
        </w:rPr>
        <w:t>1997 Waterstone's Books of the Century Poll</w:t>
      </w:r>
      <w:r w:rsidR="00642C71">
        <w:rPr>
          <w:i/>
          <w:iCs/>
        </w:rPr>
        <w:t>,</w:t>
      </w:r>
      <w:r>
        <w:rPr>
          <w:b/>
          <w:bCs/>
        </w:rPr>
        <w:t xml:space="preserve"> </w:t>
      </w:r>
      <w:r>
        <w:t>&lt;</w:t>
      </w:r>
      <w:r w:rsidRPr="003D6701">
        <w:t>https://www.goodreads.com/list/show/115597.1997_Waterstone_s_Books_of_the_Century_Poll</w:t>
      </w:r>
      <w:r>
        <w:t>&gt; [Accessed 7 March 2025]</w:t>
      </w:r>
      <w:r w:rsidR="00B75593">
        <w:t>.</w:t>
      </w:r>
    </w:p>
  </w:footnote>
  <w:footnote w:id="17">
    <w:p w14:paraId="0C574239" w14:textId="4BEFEEFE" w:rsidR="001C50EF" w:rsidRDefault="001C50EF">
      <w:pPr>
        <w:pStyle w:val="FootnoteText"/>
      </w:pPr>
      <w:r>
        <w:rPr>
          <w:rStyle w:val="FootnoteReference"/>
        </w:rPr>
        <w:footnoteRef/>
      </w:r>
      <w:r>
        <w:t xml:space="preserve"> </w:t>
      </w:r>
      <w:r w:rsidR="00B75593">
        <w:t xml:space="preserve">IMDB, </w:t>
      </w:r>
      <w:proofErr w:type="gramStart"/>
      <w:r w:rsidRPr="008014CB">
        <w:rPr>
          <w:i/>
          <w:iCs/>
        </w:rPr>
        <w:t>The</w:t>
      </w:r>
      <w:proofErr w:type="gramEnd"/>
      <w:r w:rsidRPr="008014CB">
        <w:rPr>
          <w:i/>
          <w:iCs/>
        </w:rPr>
        <w:t xml:space="preserve"> </w:t>
      </w:r>
      <w:r w:rsidR="008014CB" w:rsidRPr="008014CB">
        <w:rPr>
          <w:i/>
          <w:iCs/>
        </w:rPr>
        <w:t xml:space="preserve">50 </w:t>
      </w:r>
      <w:r w:rsidRPr="008014CB">
        <w:rPr>
          <w:i/>
          <w:iCs/>
        </w:rPr>
        <w:t xml:space="preserve">Highest Grossing </w:t>
      </w:r>
      <w:r w:rsidR="008014CB" w:rsidRPr="008014CB">
        <w:rPr>
          <w:i/>
          <w:iCs/>
        </w:rPr>
        <w:t>Films of all Time</w:t>
      </w:r>
      <w:r w:rsidR="008014CB">
        <w:t>, &lt;</w:t>
      </w:r>
      <w:r w:rsidR="008014CB" w:rsidRPr="008014CB">
        <w:t>https://www.imdb.com/list/ls000021718/</w:t>
      </w:r>
      <w:r w:rsidR="008014CB">
        <w:t>&gt; [Accessed 7 March 2025]</w:t>
      </w:r>
      <w:r w:rsidR="00B75593">
        <w:t>.</w:t>
      </w:r>
    </w:p>
  </w:footnote>
  <w:footnote w:id="18">
    <w:p w14:paraId="4B348D61" w14:textId="67643549" w:rsidR="00577368" w:rsidRDefault="00577368" w:rsidP="00577368">
      <w:pPr>
        <w:pStyle w:val="FootnoteText"/>
      </w:pPr>
      <w:r>
        <w:rPr>
          <w:rStyle w:val="FootnoteReference"/>
        </w:rPr>
        <w:footnoteRef/>
      </w:r>
      <w:r>
        <w:t xml:space="preserve"> </w:t>
      </w:r>
      <w:r w:rsidR="00B75593">
        <w:t xml:space="preserve">T. </w:t>
      </w:r>
      <w:proofErr w:type="spellStart"/>
      <w:r w:rsidRPr="00577368">
        <w:t>Shippey</w:t>
      </w:r>
      <w:proofErr w:type="spellEnd"/>
      <w:r w:rsidRPr="00577368">
        <w:t xml:space="preserve">, </w:t>
      </w:r>
      <w:r w:rsidRPr="00577368">
        <w:rPr>
          <w:i/>
          <w:iCs/>
        </w:rPr>
        <w:t>J. R. R. Tolkien: Author of the Century</w:t>
      </w:r>
      <w:r w:rsidRPr="00577368">
        <w:t xml:space="preserve">. </w:t>
      </w:r>
      <w:r>
        <w:t>(</w:t>
      </w:r>
      <w:r w:rsidRPr="00577368">
        <w:t>London: Harper, 2000</w:t>
      </w:r>
      <w:r>
        <w:t>)</w:t>
      </w:r>
      <w:r w:rsidR="00B75593">
        <w:t>.</w:t>
      </w:r>
    </w:p>
  </w:footnote>
  <w:footnote w:id="19">
    <w:p w14:paraId="18DB8328" w14:textId="3536D772" w:rsidR="00007912" w:rsidRDefault="00007912">
      <w:pPr>
        <w:pStyle w:val="FootnoteText"/>
      </w:pPr>
      <w:r>
        <w:rPr>
          <w:rStyle w:val="FootnoteReference"/>
        </w:rPr>
        <w:footnoteRef/>
      </w:r>
      <w:r>
        <w:t xml:space="preserve"> </w:t>
      </w:r>
      <w:r w:rsidR="00386616">
        <w:t xml:space="preserve">J. R. R. </w:t>
      </w:r>
      <w:r>
        <w:t xml:space="preserve">Tolkien, </w:t>
      </w:r>
      <w:r w:rsidRPr="005A521A">
        <w:rPr>
          <w:i/>
          <w:iCs/>
        </w:rPr>
        <w:t xml:space="preserve">Unfinished Tales of </w:t>
      </w:r>
      <w:proofErr w:type="spellStart"/>
      <w:r w:rsidRPr="005A521A">
        <w:rPr>
          <w:i/>
          <w:iCs/>
        </w:rPr>
        <w:t>Numenor</w:t>
      </w:r>
      <w:proofErr w:type="spellEnd"/>
      <w:r w:rsidRPr="005A521A">
        <w:rPr>
          <w:i/>
          <w:iCs/>
        </w:rPr>
        <w:t xml:space="preserve"> and Middle-Earth</w:t>
      </w:r>
      <w:r w:rsidR="00386616" w:rsidRPr="00386616">
        <w:t>, ed. by C. Tolkien</w:t>
      </w:r>
      <w:r>
        <w:t xml:space="preserve"> (</w:t>
      </w:r>
      <w:r w:rsidR="00E94A8E">
        <w:t>London: Harper Collins, 2010) p. 411.</w:t>
      </w:r>
    </w:p>
  </w:footnote>
  <w:footnote w:id="20">
    <w:p w14:paraId="0E4480BF" w14:textId="263D9A78" w:rsidR="00AC585F" w:rsidRDefault="00AC585F">
      <w:pPr>
        <w:pStyle w:val="FootnoteText"/>
      </w:pPr>
      <w:r>
        <w:rPr>
          <w:rStyle w:val="FootnoteReference"/>
        </w:rPr>
        <w:footnoteRef/>
      </w:r>
      <w:r>
        <w:t xml:space="preserve"> Tolkien, </w:t>
      </w:r>
      <w:r>
        <w:rPr>
          <w:i/>
          <w:iCs/>
        </w:rPr>
        <w:t>The Fellowship of the Ring</w:t>
      </w:r>
      <w:r w:rsidR="00386616">
        <w:t>,</w:t>
      </w:r>
      <w:r>
        <w:t xml:space="preserve"> pp. 328-331.</w:t>
      </w:r>
    </w:p>
  </w:footnote>
  <w:footnote w:id="21">
    <w:p w14:paraId="5AEF7E97" w14:textId="245BAC50" w:rsidR="00000B55" w:rsidRDefault="00000B55" w:rsidP="00000B55">
      <w:pPr>
        <w:pStyle w:val="FootnoteText"/>
      </w:pPr>
      <w:r>
        <w:rPr>
          <w:rStyle w:val="FootnoteReference"/>
        </w:rPr>
        <w:footnoteRef/>
      </w:r>
      <w:r>
        <w:t xml:space="preserve"> </w:t>
      </w:r>
      <w:r w:rsidR="00386616">
        <w:t xml:space="preserve">Tolkien, </w:t>
      </w:r>
      <w:r>
        <w:rPr>
          <w:i/>
          <w:iCs/>
        </w:rPr>
        <w:t>The Two Towers</w:t>
      </w:r>
      <w:r w:rsidR="00386616">
        <w:t>,</w:t>
      </w:r>
      <w:r>
        <w:t xml:space="preserve"> pp. 108-125.</w:t>
      </w:r>
    </w:p>
  </w:footnote>
  <w:footnote w:id="22">
    <w:p w14:paraId="4A00EFD1" w14:textId="6BEE2DCF" w:rsidR="00000B55" w:rsidRDefault="00000B55">
      <w:pPr>
        <w:pStyle w:val="FootnoteText"/>
      </w:pPr>
      <w:r>
        <w:rPr>
          <w:rStyle w:val="FootnoteReference"/>
        </w:rPr>
        <w:footnoteRef/>
      </w:r>
      <w:r>
        <w:t xml:space="preserve"> </w:t>
      </w:r>
      <w:r w:rsidR="00386616">
        <w:t xml:space="preserve">Tolkien, </w:t>
      </w:r>
      <w:r>
        <w:rPr>
          <w:i/>
          <w:iCs/>
        </w:rPr>
        <w:t>The Two Towers</w:t>
      </w:r>
      <w:r w:rsidR="00386616">
        <w:t>,</w:t>
      </w:r>
      <w:r>
        <w:t xml:space="preserve"> p. 122.</w:t>
      </w:r>
    </w:p>
  </w:footnote>
  <w:footnote w:id="23">
    <w:p w14:paraId="225A0219" w14:textId="2B60599C" w:rsidR="00000B55" w:rsidRDefault="00000B55">
      <w:pPr>
        <w:pStyle w:val="FootnoteText"/>
      </w:pPr>
      <w:r>
        <w:rPr>
          <w:rStyle w:val="FootnoteReference"/>
        </w:rPr>
        <w:footnoteRef/>
      </w:r>
      <w:r>
        <w:t xml:space="preserve"> </w:t>
      </w:r>
      <w:r w:rsidR="00386616">
        <w:t xml:space="preserve">Tolkien, </w:t>
      </w:r>
      <w:r>
        <w:rPr>
          <w:i/>
          <w:iCs/>
        </w:rPr>
        <w:t>The Two Towers</w:t>
      </w:r>
      <w:r w:rsidR="00386616">
        <w:t>,</w:t>
      </w:r>
      <w:r>
        <w:t xml:space="preserve"> p. 123.</w:t>
      </w:r>
    </w:p>
  </w:footnote>
  <w:footnote w:id="24">
    <w:p w14:paraId="2B67DB68" w14:textId="2A5A6F71" w:rsidR="005A521A" w:rsidRDefault="005A521A">
      <w:pPr>
        <w:pStyle w:val="FootnoteText"/>
      </w:pPr>
      <w:r>
        <w:rPr>
          <w:rStyle w:val="FootnoteReference"/>
        </w:rPr>
        <w:footnoteRef/>
      </w:r>
      <w:r>
        <w:t xml:space="preserve"> </w:t>
      </w:r>
      <w:r w:rsidR="00386616">
        <w:t xml:space="preserve">Tolkien, </w:t>
      </w:r>
      <w:r w:rsidRPr="008A2DF1">
        <w:rPr>
          <w:i/>
          <w:iCs/>
        </w:rPr>
        <w:t>Unfinished Tales</w:t>
      </w:r>
      <w:r w:rsidR="00386616">
        <w:rPr>
          <w:i/>
          <w:iCs/>
        </w:rPr>
        <w:t>,</w:t>
      </w:r>
      <w:r w:rsidRPr="008A2DF1">
        <w:rPr>
          <w:i/>
          <w:iCs/>
        </w:rPr>
        <w:t xml:space="preserve"> </w:t>
      </w:r>
      <w:r>
        <w:t>p. 411.</w:t>
      </w:r>
    </w:p>
  </w:footnote>
  <w:footnote w:id="25">
    <w:p w14:paraId="4B1FC408" w14:textId="140616CA" w:rsidR="0000748C" w:rsidRDefault="0000748C" w:rsidP="0000748C">
      <w:pPr>
        <w:pStyle w:val="FootnoteText"/>
      </w:pPr>
      <w:r>
        <w:rPr>
          <w:rStyle w:val="FootnoteReference"/>
        </w:rPr>
        <w:footnoteRef/>
      </w:r>
      <w:r>
        <w:t xml:space="preserve"> </w:t>
      </w:r>
      <w:r w:rsidR="00402B1F">
        <w:t xml:space="preserve">J. </w:t>
      </w:r>
      <w:r>
        <w:t>Black</w:t>
      </w:r>
      <w:r w:rsidR="00402B1F">
        <w:t xml:space="preserve"> and A.</w:t>
      </w:r>
      <w:r>
        <w:t xml:space="preserve"> Green, </w:t>
      </w:r>
      <w:r w:rsidRPr="008A2DF1">
        <w:rPr>
          <w:i/>
          <w:iCs/>
        </w:rPr>
        <w:t xml:space="preserve">Gods, Demons </w:t>
      </w:r>
      <w:r>
        <w:rPr>
          <w:i/>
          <w:iCs/>
        </w:rPr>
        <w:t>a</w:t>
      </w:r>
      <w:r w:rsidRPr="008A2DF1">
        <w:rPr>
          <w:i/>
          <w:iCs/>
        </w:rPr>
        <w:t xml:space="preserve">nd Symbols </w:t>
      </w:r>
      <w:r>
        <w:rPr>
          <w:i/>
          <w:iCs/>
        </w:rPr>
        <w:t>o</w:t>
      </w:r>
      <w:r w:rsidRPr="008A2DF1">
        <w:rPr>
          <w:i/>
          <w:iCs/>
        </w:rPr>
        <w:t>f Ancient Mesopotamia</w:t>
      </w:r>
      <w:r>
        <w:t xml:space="preserve"> (London: The British Museum Press, 2004) p. 75.</w:t>
      </w:r>
    </w:p>
  </w:footnote>
  <w:footnote w:id="26">
    <w:p w14:paraId="481768F7" w14:textId="5B79CF9A" w:rsidR="008A2DF1" w:rsidRDefault="008A2DF1">
      <w:pPr>
        <w:pStyle w:val="FootnoteText"/>
      </w:pPr>
      <w:r>
        <w:rPr>
          <w:rStyle w:val="FootnoteReference"/>
        </w:rPr>
        <w:footnoteRef/>
      </w:r>
      <w:r>
        <w:t xml:space="preserve"> </w:t>
      </w:r>
      <w:proofErr w:type="spellStart"/>
      <w:r w:rsidR="00402B1F" w:rsidRPr="006D54FF">
        <w:t>Speiser</w:t>
      </w:r>
      <w:proofErr w:type="spellEnd"/>
      <w:r w:rsidR="00402B1F">
        <w:t>, p. 80</w:t>
      </w:r>
      <w:r w:rsidR="00402B1F" w:rsidRPr="006D54FF">
        <w:t>.</w:t>
      </w:r>
    </w:p>
  </w:footnote>
  <w:footnote w:id="27">
    <w:p w14:paraId="741CE5DE" w14:textId="53287D83" w:rsidR="00D429B4" w:rsidRDefault="00D429B4">
      <w:pPr>
        <w:pStyle w:val="FootnoteText"/>
      </w:pPr>
      <w:r>
        <w:rPr>
          <w:rStyle w:val="FootnoteReference"/>
        </w:rPr>
        <w:footnoteRef/>
      </w:r>
      <w:r>
        <w:t xml:space="preserve"> </w:t>
      </w:r>
      <w:r w:rsidR="00402B1F">
        <w:t xml:space="preserve">J. R. R. Tolkien, </w:t>
      </w:r>
      <w:r w:rsidRPr="00D429B4">
        <w:rPr>
          <w:i/>
          <w:iCs/>
        </w:rPr>
        <w:t>The Silmarillion</w:t>
      </w:r>
      <w:r w:rsidR="00402B1F">
        <w:rPr>
          <w:i/>
          <w:iCs/>
        </w:rPr>
        <w:t>,</w:t>
      </w:r>
      <w:r>
        <w:t xml:space="preserve"> </w:t>
      </w:r>
      <w:r w:rsidR="00402B1F" w:rsidRPr="00386616">
        <w:t>ed. by C. Tolkien</w:t>
      </w:r>
      <w:r w:rsidR="00402B1F">
        <w:t xml:space="preserve"> </w:t>
      </w:r>
      <w:r>
        <w:t>(London: George Allen &amp; Unwin, 1977) p. 39.</w:t>
      </w:r>
    </w:p>
  </w:footnote>
  <w:footnote w:id="28">
    <w:p w14:paraId="1F069A4D" w14:textId="5D80CE47" w:rsidR="00A76D55" w:rsidRDefault="00A76D55" w:rsidP="00A76D55">
      <w:pPr>
        <w:pStyle w:val="FootnoteText"/>
      </w:pPr>
      <w:r>
        <w:rPr>
          <w:rStyle w:val="FootnoteReference"/>
        </w:rPr>
        <w:footnoteRef/>
      </w:r>
      <w:r>
        <w:t xml:space="preserve"> </w:t>
      </w:r>
      <w:r w:rsidR="00402B1F" w:rsidRPr="0065708B">
        <w:t>Harris, ‘Inanna-Ishtar as Paradox and a Coincidence of Opposites’, p 26</w:t>
      </w:r>
      <w:r w:rsidR="00402B1F">
        <w:t>3</w:t>
      </w:r>
      <w:r w:rsidR="00402B1F" w:rsidRPr="0065708B">
        <w:t>.</w:t>
      </w:r>
    </w:p>
  </w:footnote>
  <w:footnote w:id="29">
    <w:p w14:paraId="6AD99D19" w14:textId="0C57FD27" w:rsidR="0043218D" w:rsidRDefault="0043218D" w:rsidP="0043218D">
      <w:pPr>
        <w:pStyle w:val="FootnoteText"/>
      </w:pPr>
      <w:r>
        <w:rPr>
          <w:rStyle w:val="FootnoteReference"/>
        </w:rPr>
        <w:footnoteRef/>
      </w:r>
      <w:r>
        <w:t xml:space="preserve"> </w:t>
      </w:r>
      <w:r w:rsidR="00F73696">
        <w:t xml:space="preserve">P. </w:t>
      </w:r>
      <w:r>
        <w:t xml:space="preserve">Collins, ‘The Sumerian Goddess Inanna </w:t>
      </w:r>
      <w:r w:rsidRPr="005E6D9E">
        <w:t xml:space="preserve">(3400-2200 BC)’, </w:t>
      </w:r>
      <w:r w:rsidR="0084725F" w:rsidRPr="0084725F">
        <w:rPr>
          <w:i/>
          <w:iCs/>
        </w:rPr>
        <w:t>Papers from the Institute of Archaeology</w:t>
      </w:r>
      <w:r w:rsidR="0084725F" w:rsidRPr="0084725F">
        <w:t xml:space="preserve">, </w:t>
      </w:r>
      <w:r w:rsidR="00A54FDA">
        <w:t>5.0 (1994),</w:t>
      </w:r>
      <w:r w:rsidR="0084725F">
        <w:t xml:space="preserve"> </w:t>
      </w:r>
      <w:r>
        <w:t>p. 110.</w:t>
      </w:r>
    </w:p>
  </w:footnote>
  <w:footnote w:id="30">
    <w:p w14:paraId="1FC7E9CB" w14:textId="059E90F3" w:rsidR="001B1738" w:rsidRDefault="001B1738" w:rsidP="001B1738">
      <w:pPr>
        <w:pStyle w:val="FootnoteText"/>
      </w:pPr>
      <w:r>
        <w:rPr>
          <w:rStyle w:val="FootnoteReference"/>
        </w:rPr>
        <w:footnoteRef/>
      </w:r>
      <w:r>
        <w:t xml:space="preserve"> </w:t>
      </w:r>
      <w:r w:rsidR="001B5EFD">
        <w:t xml:space="preserve">Tolkien, </w:t>
      </w:r>
      <w:r w:rsidR="001B5EFD">
        <w:rPr>
          <w:i/>
          <w:iCs/>
        </w:rPr>
        <w:t>The Fellowship of the Ring</w:t>
      </w:r>
      <w:r w:rsidR="001B5EFD">
        <w:t>, p. 61.</w:t>
      </w:r>
    </w:p>
  </w:footnote>
  <w:footnote w:id="31">
    <w:p w14:paraId="2572CDFD" w14:textId="375E7B1B" w:rsidR="00B26787" w:rsidRDefault="00B26787" w:rsidP="00B26787">
      <w:pPr>
        <w:pStyle w:val="FootnoteText"/>
      </w:pPr>
      <w:r>
        <w:rPr>
          <w:rStyle w:val="FootnoteReference"/>
        </w:rPr>
        <w:footnoteRef/>
      </w:r>
      <w:r>
        <w:t xml:space="preserve"> </w:t>
      </w:r>
      <w:r w:rsidR="001B5EFD">
        <w:t xml:space="preserve">C. G. </w:t>
      </w:r>
      <w:r>
        <w:t xml:space="preserve">Jung, </w:t>
      </w:r>
      <w:r w:rsidRPr="00EF2B05">
        <w:rPr>
          <w:i/>
          <w:iCs/>
        </w:rPr>
        <w:t xml:space="preserve">Collected Works of C.G. Jung, Volume 9 (Part </w:t>
      </w:r>
      <w:r>
        <w:rPr>
          <w:i/>
          <w:iCs/>
        </w:rPr>
        <w:t>)</w:t>
      </w:r>
      <w:r w:rsidRPr="00EF2B05">
        <w:rPr>
          <w:i/>
          <w:iCs/>
        </w:rPr>
        <w:t>1</w:t>
      </w:r>
      <w:r>
        <w:rPr>
          <w:i/>
          <w:iCs/>
        </w:rPr>
        <w:t xml:space="preserve">: </w:t>
      </w:r>
      <w:r w:rsidRPr="00502EA7">
        <w:rPr>
          <w:i/>
          <w:iCs/>
        </w:rPr>
        <w:t>Archetypes and the Collective Unconscious</w:t>
      </w:r>
      <w:r>
        <w:t>,</w:t>
      </w:r>
      <w:r w:rsidR="001B5EFD">
        <w:t xml:space="preserve"> ed. by</w:t>
      </w:r>
      <w:r>
        <w:t xml:space="preserve"> </w:t>
      </w:r>
      <w:r w:rsidR="001B5EFD">
        <w:t xml:space="preserve">G. Adler, and R. F. C. Hull, </w:t>
      </w:r>
      <w:r>
        <w:t>(Princeton University Press, 1969) p. 20.</w:t>
      </w:r>
    </w:p>
  </w:footnote>
  <w:footnote w:id="32">
    <w:p w14:paraId="563D5AEF" w14:textId="74EA2E62" w:rsidR="00601BDD" w:rsidRDefault="00601BDD">
      <w:pPr>
        <w:pStyle w:val="FootnoteText"/>
      </w:pPr>
      <w:r>
        <w:rPr>
          <w:rStyle w:val="FootnoteReference"/>
        </w:rPr>
        <w:footnoteRef/>
      </w:r>
      <w:r>
        <w:t xml:space="preserve"> Jung, </w:t>
      </w:r>
      <w:r w:rsidR="00EF2B05" w:rsidRPr="00EF2B05">
        <w:rPr>
          <w:i/>
          <w:iCs/>
        </w:rPr>
        <w:t>Collected Works</w:t>
      </w:r>
      <w:r w:rsidR="001B5EFD">
        <w:rPr>
          <w:i/>
          <w:iCs/>
        </w:rPr>
        <w:t>,</w:t>
      </w:r>
      <w:r w:rsidR="00EF2B05" w:rsidRPr="00EF2B05">
        <w:rPr>
          <w:i/>
          <w:iCs/>
        </w:rPr>
        <w:t xml:space="preserve"> </w:t>
      </w:r>
      <w:r w:rsidR="00EF2B05">
        <w:t>p. 4.</w:t>
      </w:r>
    </w:p>
  </w:footnote>
  <w:footnote w:id="33">
    <w:p w14:paraId="560F1FB8" w14:textId="60755C1D" w:rsidR="00926B65" w:rsidRDefault="00926B65">
      <w:pPr>
        <w:pStyle w:val="FootnoteText"/>
      </w:pPr>
      <w:r>
        <w:rPr>
          <w:rStyle w:val="FootnoteReference"/>
        </w:rPr>
        <w:footnoteRef/>
      </w:r>
      <w:r>
        <w:t xml:space="preserve"> </w:t>
      </w:r>
      <w:proofErr w:type="spellStart"/>
      <w:r w:rsidR="001B5EFD" w:rsidRPr="006D54FF">
        <w:t>Speiser</w:t>
      </w:r>
      <w:proofErr w:type="spellEnd"/>
      <w:r w:rsidR="001B5EFD">
        <w:t>, p. 77</w:t>
      </w:r>
      <w:r w:rsidR="001B5EFD" w:rsidRPr="006D54FF">
        <w:t>.</w:t>
      </w:r>
    </w:p>
  </w:footnote>
  <w:footnote w:id="34">
    <w:p w14:paraId="6C682F7A" w14:textId="030A136B" w:rsidR="00121B4E" w:rsidRDefault="00121B4E" w:rsidP="00121B4E">
      <w:pPr>
        <w:pStyle w:val="FootnoteText"/>
      </w:pPr>
      <w:r>
        <w:rPr>
          <w:rStyle w:val="FootnoteReference"/>
        </w:rPr>
        <w:footnoteRef/>
      </w:r>
      <w:r>
        <w:t xml:space="preserve"> </w:t>
      </w:r>
      <w:r w:rsidR="001B5EFD">
        <w:t xml:space="preserve">Tolkien, </w:t>
      </w:r>
      <w:r w:rsidR="001B5EFD">
        <w:rPr>
          <w:i/>
          <w:iCs/>
        </w:rPr>
        <w:t>The Two Towers</w:t>
      </w:r>
      <w:r w:rsidR="001B5EFD">
        <w:t>, p. 123.</w:t>
      </w:r>
    </w:p>
  </w:footnote>
  <w:footnote w:id="35">
    <w:p w14:paraId="62494146" w14:textId="44B0B1F0" w:rsidR="002031D0" w:rsidRDefault="002031D0" w:rsidP="002031D0">
      <w:pPr>
        <w:pStyle w:val="FootnoteText"/>
      </w:pPr>
      <w:r>
        <w:rPr>
          <w:rStyle w:val="FootnoteReference"/>
        </w:rPr>
        <w:footnoteRef/>
      </w:r>
      <w:r>
        <w:t xml:space="preserve"> </w:t>
      </w:r>
      <w:r w:rsidR="001B5EFD">
        <w:t xml:space="preserve">Jung, </w:t>
      </w:r>
      <w:r w:rsidR="001B5EFD" w:rsidRPr="00EF2B05">
        <w:rPr>
          <w:i/>
          <w:iCs/>
        </w:rPr>
        <w:t>Collected Works</w:t>
      </w:r>
      <w:r w:rsidR="001B5EFD">
        <w:rPr>
          <w:i/>
          <w:iCs/>
        </w:rPr>
        <w:t>,</w:t>
      </w:r>
      <w:r w:rsidR="001B5EFD" w:rsidRPr="00EF2B05">
        <w:rPr>
          <w:i/>
          <w:iCs/>
        </w:rPr>
        <w:t xml:space="preserve"> </w:t>
      </w:r>
      <w:r w:rsidR="001B5EFD">
        <w:t>p. 20.</w:t>
      </w:r>
    </w:p>
  </w:footnote>
  <w:footnote w:id="36">
    <w:p w14:paraId="345DBCD6" w14:textId="689D6E26" w:rsidR="00AA481E" w:rsidRDefault="00AA481E">
      <w:pPr>
        <w:pStyle w:val="FootnoteText"/>
      </w:pPr>
      <w:r>
        <w:rPr>
          <w:rStyle w:val="FootnoteReference"/>
        </w:rPr>
        <w:footnoteRef/>
      </w:r>
      <w:r>
        <w:t xml:space="preserve"> A</w:t>
      </w:r>
      <w:r w:rsidR="00665426">
        <w:t>r</w:t>
      </w:r>
      <w:r>
        <w:t xml:space="preserve">istotle, </w:t>
      </w:r>
      <w:r w:rsidRPr="00665426">
        <w:rPr>
          <w:i/>
          <w:iCs/>
        </w:rPr>
        <w:t>Poetics</w:t>
      </w:r>
      <w:r>
        <w:t>, (Penguin</w:t>
      </w:r>
      <w:r w:rsidR="00665426">
        <w:t>, 1996).</w:t>
      </w:r>
    </w:p>
  </w:footnote>
  <w:footnote w:id="37">
    <w:p w14:paraId="10E14300" w14:textId="258935E6" w:rsidR="00EA63A7" w:rsidRDefault="00EA63A7">
      <w:pPr>
        <w:pStyle w:val="FootnoteText"/>
      </w:pPr>
      <w:r>
        <w:rPr>
          <w:rStyle w:val="FootnoteReference"/>
        </w:rPr>
        <w:footnoteRef/>
      </w:r>
      <w:r>
        <w:t xml:space="preserve"> </w:t>
      </w:r>
      <w:r w:rsidR="001B5EFD">
        <w:t xml:space="preserve">J. G. </w:t>
      </w:r>
      <w:r w:rsidR="005D3F08">
        <w:t xml:space="preserve">Frazer, </w:t>
      </w:r>
      <w:r w:rsidR="005D3F08" w:rsidRPr="005D3F08">
        <w:rPr>
          <w:i/>
          <w:iCs/>
        </w:rPr>
        <w:t>The Golden Bough</w:t>
      </w:r>
      <w:r w:rsidR="005D3F08">
        <w:t xml:space="preserve"> (New York: The Macmillan Company, 1925)</w:t>
      </w:r>
    </w:p>
  </w:footnote>
  <w:footnote w:id="38">
    <w:p w14:paraId="4247546D" w14:textId="2516E0F5" w:rsidR="00EA63A7" w:rsidRDefault="00EA63A7">
      <w:pPr>
        <w:pStyle w:val="FootnoteText"/>
      </w:pPr>
      <w:r>
        <w:rPr>
          <w:rStyle w:val="FootnoteReference"/>
        </w:rPr>
        <w:footnoteRef/>
      </w:r>
      <w:r>
        <w:t xml:space="preserve"> </w:t>
      </w:r>
      <w:r w:rsidR="001B5EFD">
        <w:t xml:space="preserve">J. </w:t>
      </w:r>
      <w:r>
        <w:t xml:space="preserve">Campbell, </w:t>
      </w:r>
      <w:r w:rsidRPr="00EA63A7">
        <w:rPr>
          <w:i/>
          <w:iCs/>
        </w:rPr>
        <w:t xml:space="preserve">A Hero </w:t>
      </w:r>
      <w:proofErr w:type="gramStart"/>
      <w:r w:rsidRPr="00EA63A7">
        <w:rPr>
          <w:i/>
          <w:iCs/>
        </w:rPr>
        <w:t>With</w:t>
      </w:r>
      <w:proofErr w:type="gramEnd"/>
      <w:r w:rsidRPr="00EA63A7">
        <w:rPr>
          <w:i/>
          <w:iCs/>
        </w:rPr>
        <w:t xml:space="preserve"> a Thousand Faces</w:t>
      </w:r>
      <w:r>
        <w:t>, (Joseph Campbell Foundation, 2008) p. 87.</w:t>
      </w:r>
    </w:p>
  </w:footnote>
  <w:footnote w:id="39">
    <w:p w14:paraId="5501B340" w14:textId="362E033F" w:rsidR="00114DB9" w:rsidRDefault="00114DB9">
      <w:pPr>
        <w:pStyle w:val="FootnoteText"/>
      </w:pPr>
      <w:r>
        <w:rPr>
          <w:rStyle w:val="FootnoteReference"/>
        </w:rPr>
        <w:footnoteRef/>
      </w:r>
      <w:r>
        <w:t xml:space="preserve"> </w:t>
      </w:r>
      <w:r w:rsidR="001B5EFD">
        <w:t xml:space="preserve">J. Z. </w:t>
      </w:r>
      <w:r w:rsidR="0075359C" w:rsidRPr="0075359C">
        <w:t xml:space="preserve">Smith, </w:t>
      </w:r>
      <w:r w:rsidR="0075359C">
        <w:t>‘</w:t>
      </w:r>
      <w:r w:rsidR="0075359C" w:rsidRPr="0075359C">
        <w:t>Dying and Rising Gods</w:t>
      </w:r>
      <w:r w:rsidR="0075359C">
        <w:t>’</w:t>
      </w:r>
      <w:r w:rsidR="0075359C" w:rsidRPr="0075359C">
        <w:t>, in </w:t>
      </w:r>
      <w:r w:rsidR="001B5EFD" w:rsidRPr="001B5EFD">
        <w:rPr>
          <w:i/>
          <w:iCs/>
        </w:rPr>
        <w:t xml:space="preserve">The </w:t>
      </w:r>
      <w:proofErr w:type="spellStart"/>
      <w:r w:rsidR="001B5EFD" w:rsidRPr="001B5EFD">
        <w:rPr>
          <w:i/>
          <w:iCs/>
        </w:rPr>
        <w:t>Encyclopedia</w:t>
      </w:r>
      <w:proofErr w:type="spellEnd"/>
      <w:r w:rsidR="001B5EFD" w:rsidRPr="001B5EFD">
        <w:rPr>
          <w:i/>
          <w:iCs/>
        </w:rPr>
        <w:t xml:space="preserve"> of Religion Vol. IV</w:t>
      </w:r>
      <w:r w:rsidR="001B5EFD">
        <w:rPr>
          <w:i/>
          <w:iCs/>
        </w:rPr>
        <w:t>,</w:t>
      </w:r>
      <w:r w:rsidR="001B5EFD">
        <w:t xml:space="preserve"> ed. by M. </w:t>
      </w:r>
      <w:r w:rsidR="0075359C">
        <w:t>Eliade,</w:t>
      </w:r>
      <w:r w:rsidR="00FE554A">
        <w:t xml:space="preserve"> </w:t>
      </w:r>
      <w:r w:rsidR="0075359C">
        <w:t xml:space="preserve">(New York: </w:t>
      </w:r>
      <w:r w:rsidR="0075359C" w:rsidRPr="0075359C">
        <w:t>Macmillan</w:t>
      </w:r>
      <w:r w:rsidR="0075359C">
        <w:t>)</w:t>
      </w:r>
      <w:r w:rsidR="0075359C" w:rsidRPr="0075359C">
        <w:t xml:space="preserve"> </w:t>
      </w:r>
      <w:r w:rsidR="0075359C">
        <w:t>pp.</w:t>
      </w:r>
      <w:r w:rsidR="0075359C" w:rsidRPr="0075359C">
        <w:t xml:space="preserve"> 521–527</w:t>
      </w:r>
      <w:r w:rsidR="0075359C">
        <w:t>.</w:t>
      </w:r>
    </w:p>
  </w:footnote>
  <w:footnote w:id="40">
    <w:p w14:paraId="1351D09F" w14:textId="472F3D28" w:rsidR="003949A0" w:rsidRDefault="003949A0">
      <w:pPr>
        <w:pStyle w:val="FootnoteText"/>
      </w:pPr>
      <w:r>
        <w:rPr>
          <w:rStyle w:val="FootnoteReference"/>
        </w:rPr>
        <w:footnoteRef/>
      </w:r>
      <w:r>
        <w:t xml:space="preserve"> </w:t>
      </w:r>
      <w:r w:rsidR="001B5EFD">
        <w:t xml:space="preserve">Tolkien, </w:t>
      </w:r>
      <w:r w:rsidR="001B5EFD">
        <w:rPr>
          <w:i/>
          <w:iCs/>
        </w:rPr>
        <w:t>The Two Towers</w:t>
      </w:r>
      <w:r w:rsidR="001B5EFD">
        <w:t>, p. 123.</w:t>
      </w:r>
    </w:p>
  </w:footnote>
  <w:footnote w:id="41">
    <w:p w14:paraId="6A40C44C" w14:textId="1F9FA9F7" w:rsidR="00AD1CB0" w:rsidRDefault="00AD1CB0">
      <w:pPr>
        <w:pStyle w:val="FootnoteText"/>
      </w:pPr>
      <w:r>
        <w:rPr>
          <w:rStyle w:val="FootnoteReference"/>
        </w:rPr>
        <w:footnoteRef/>
      </w:r>
      <w:r>
        <w:t xml:space="preserve"> </w:t>
      </w:r>
      <w:r w:rsidR="001B5EFD">
        <w:t xml:space="preserve">J. E. </w:t>
      </w:r>
      <w:r>
        <w:t xml:space="preserve">Harrison, </w:t>
      </w:r>
      <w:r w:rsidRPr="001B5EFD">
        <w:rPr>
          <w:i/>
          <w:iCs/>
        </w:rPr>
        <w:t>Themis: A Study of the Social Origins of Greek Religion</w:t>
      </w:r>
      <w:r>
        <w:t>, (Cambridge University Press, 1912)</w:t>
      </w:r>
    </w:p>
  </w:footnote>
  <w:footnote w:id="42">
    <w:p w14:paraId="0ADCFDAB" w14:textId="0DBE87F1" w:rsidR="00A01D35" w:rsidRDefault="00A01D35">
      <w:pPr>
        <w:pStyle w:val="FootnoteText"/>
      </w:pPr>
      <w:r>
        <w:rPr>
          <w:rStyle w:val="FootnoteReference"/>
        </w:rPr>
        <w:footnoteRef/>
      </w:r>
      <w:r>
        <w:t xml:space="preserve"> Campbell, </w:t>
      </w:r>
      <w:r w:rsidRPr="00EA63A7">
        <w:rPr>
          <w:i/>
          <w:iCs/>
        </w:rPr>
        <w:t xml:space="preserve">A Hero </w:t>
      </w:r>
      <w:proofErr w:type="gramStart"/>
      <w:r w:rsidRPr="00EA63A7">
        <w:rPr>
          <w:i/>
          <w:iCs/>
        </w:rPr>
        <w:t>With</w:t>
      </w:r>
      <w:proofErr w:type="gramEnd"/>
      <w:r w:rsidRPr="00EA63A7">
        <w:rPr>
          <w:i/>
          <w:iCs/>
        </w:rPr>
        <w:t xml:space="preserve"> a Thousand Faces</w:t>
      </w:r>
      <w:r w:rsidR="001B5EFD">
        <w:t>, p. 23.</w:t>
      </w:r>
    </w:p>
  </w:footnote>
  <w:footnote w:id="43">
    <w:p w14:paraId="30F4E01A" w14:textId="5BB5531B" w:rsidR="005954A5" w:rsidRDefault="005954A5">
      <w:pPr>
        <w:pStyle w:val="FootnoteText"/>
      </w:pPr>
      <w:r>
        <w:rPr>
          <w:rStyle w:val="FootnoteReference"/>
        </w:rPr>
        <w:footnoteRef/>
      </w:r>
      <w:r>
        <w:t xml:space="preserve"> </w:t>
      </w:r>
      <w:r w:rsidR="00486C9A">
        <w:t xml:space="preserve">Campbell, </w:t>
      </w:r>
      <w:r w:rsidR="00486C9A" w:rsidRPr="00EA63A7">
        <w:rPr>
          <w:i/>
          <w:iCs/>
        </w:rPr>
        <w:t xml:space="preserve">A Hero </w:t>
      </w:r>
      <w:proofErr w:type="gramStart"/>
      <w:r w:rsidR="00486C9A" w:rsidRPr="00EA63A7">
        <w:rPr>
          <w:i/>
          <w:iCs/>
        </w:rPr>
        <w:t>With</w:t>
      </w:r>
      <w:proofErr w:type="gramEnd"/>
      <w:r w:rsidR="00486C9A" w:rsidRPr="00EA63A7">
        <w:rPr>
          <w:i/>
          <w:iCs/>
        </w:rPr>
        <w:t xml:space="preserve"> a Thousand Faces</w:t>
      </w:r>
      <w:r w:rsidR="00486C9A">
        <w:t>, p. 43.</w:t>
      </w:r>
      <w:r w:rsidR="00845F71">
        <w:t xml:space="preserve"> </w:t>
      </w:r>
    </w:p>
  </w:footnote>
  <w:footnote w:id="44">
    <w:p w14:paraId="705C53E6" w14:textId="1C131F07" w:rsidR="00FC1A59" w:rsidRDefault="00FC1A59">
      <w:pPr>
        <w:pStyle w:val="FootnoteText"/>
      </w:pPr>
      <w:r>
        <w:rPr>
          <w:rStyle w:val="FootnoteReference"/>
        </w:rPr>
        <w:footnoteRef/>
      </w:r>
      <w:r>
        <w:t xml:space="preserve"> </w:t>
      </w:r>
      <w:r w:rsidR="00486C9A">
        <w:t xml:space="preserve">Jung, </w:t>
      </w:r>
      <w:r w:rsidR="00486C9A" w:rsidRPr="00EF2B05">
        <w:rPr>
          <w:i/>
          <w:iCs/>
        </w:rPr>
        <w:t>Collected Works</w:t>
      </w:r>
      <w:r w:rsidR="00486C9A">
        <w:rPr>
          <w:i/>
          <w:iCs/>
        </w:rPr>
        <w:t>,</w:t>
      </w:r>
      <w:r w:rsidR="00486C9A" w:rsidRPr="00EF2B05">
        <w:rPr>
          <w:i/>
          <w:iCs/>
        </w:rPr>
        <w:t xml:space="preserve"> </w:t>
      </w:r>
      <w:r>
        <w:t>pp. 290-354.</w:t>
      </w:r>
    </w:p>
  </w:footnote>
  <w:footnote w:id="45">
    <w:p w14:paraId="53398628" w14:textId="0E0F4E25" w:rsidR="003759EB" w:rsidRDefault="003759EB">
      <w:pPr>
        <w:pStyle w:val="FootnoteText"/>
      </w:pPr>
      <w:r>
        <w:rPr>
          <w:rStyle w:val="FootnoteReference"/>
        </w:rPr>
        <w:footnoteRef/>
      </w:r>
      <w:r>
        <w:t xml:space="preserve"> </w:t>
      </w:r>
      <w:r w:rsidRPr="00C72B7A">
        <w:t xml:space="preserve">Burkert, </w:t>
      </w:r>
      <w:r w:rsidRPr="00C72B7A">
        <w:rPr>
          <w:i/>
          <w:iCs/>
        </w:rPr>
        <w:t xml:space="preserve">Homo </w:t>
      </w:r>
      <w:proofErr w:type="spellStart"/>
      <w:r w:rsidRPr="00C72B7A">
        <w:rPr>
          <w:i/>
          <w:iCs/>
        </w:rPr>
        <w:t>Necans</w:t>
      </w:r>
      <w:proofErr w:type="spellEnd"/>
      <w:r w:rsidR="00486C9A">
        <w:rPr>
          <w:i/>
          <w:iCs/>
        </w:rPr>
        <w:t xml:space="preserve">, </w:t>
      </w:r>
      <w:r w:rsidRPr="00C72B7A">
        <w:t>pp. 31</w:t>
      </w:r>
      <w:r>
        <w:t>.</w:t>
      </w:r>
    </w:p>
  </w:footnote>
  <w:footnote w:id="46">
    <w:p w14:paraId="73B279A4" w14:textId="3CCB5288" w:rsidR="00110E36" w:rsidRDefault="00110E36">
      <w:pPr>
        <w:pStyle w:val="FootnoteText"/>
      </w:pPr>
      <w:r>
        <w:rPr>
          <w:rStyle w:val="FootnoteReference"/>
        </w:rPr>
        <w:footnoteRef/>
      </w:r>
      <w:r>
        <w:t xml:space="preserve"> </w:t>
      </w:r>
      <w:r w:rsidR="00486C9A">
        <w:t xml:space="preserve">G. </w:t>
      </w:r>
      <w:proofErr w:type="spellStart"/>
      <w:r>
        <w:t>Bucc</w:t>
      </w:r>
      <w:r w:rsidR="0043218D">
        <w:t>e</w:t>
      </w:r>
      <w:r>
        <w:t>ll</w:t>
      </w:r>
      <w:r w:rsidR="0043218D">
        <w:t>a</w:t>
      </w:r>
      <w:r>
        <w:t>ti</w:t>
      </w:r>
      <w:proofErr w:type="spellEnd"/>
      <w:r>
        <w:t xml:space="preserve">, ‘The Decent of Inanna as a Ritual Journey to </w:t>
      </w:r>
      <w:proofErr w:type="spellStart"/>
      <w:r>
        <w:t>Kutha</w:t>
      </w:r>
      <w:proofErr w:type="spellEnd"/>
      <w:r>
        <w:t xml:space="preserve">’, </w:t>
      </w:r>
      <w:r w:rsidRPr="004B5110">
        <w:rPr>
          <w:i/>
          <w:iCs/>
        </w:rPr>
        <w:t>Monographic Journals of the Near East</w:t>
      </w:r>
      <w:r w:rsidR="004B5110">
        <w:t>,</w:t>
      </w:r>
      <w:r>
        <w:t xml:space="preserve"> </w:t>
      </w:r>
      <w:r w:rsidR="00486C9A">
        <w:t>4.</w:t>
      </w:r>
      <w:r w:rsidR="004B5110">
        <w:t xml:space="preserve"> 3 (1982)</w:t>
      </w:r>
      <w:r w:rsidR="007A54E9">
        <w:t>,</w:t>
      </w:r>
      <w:r w:rsidR="004B5110">
        <w:t xml:space="preserve"> pp. 4-7.</w:t>
      </w:r>
    </w:p>
  </w:footnote>
  <w:footnote w:id="47">
    <w:p w14:paraId="5A2EAF49" w14:textId="57B463B2" w:rsidR="004B5110" w:rsidRDefault="004B5110">
      <w:pPr>
        <w:pStyle w:val="FootnoteText"/>
      </w:pPr>
      <w:r>
        <w:rPr>
          <w:rStyle w:val="FootnoteReference"/>
        </w:rPr>
        <w:footnoteRef/>
      </w:r>
      <w:r>
        <w:t xml:space="preserve"> </w:t>
      </w:r>
      <w:r w:rsidR="007A54E9">
        <w:t xml:space="preserve">I. S. </w:t>
      </w:r>
      <w:proofErr w:type="spellStart"/>
      <w:r>
        <w:t>Gilhus</w:t>
      </w:r>
      <w:proofErr w:type="spellEnd"/>
      <w:r>
        <w:t>, ‘</w:t>
      </w:r>
      <w:r w:rsidR="00E50ABE" w:rsidRPr="009555E6">
        <w:rPr>
          <w:bCs/>
        </w:rPr>
        <w:t>Gnosticism</w:t>
      </w:r>
      <w:r w:rsidR="00E50ABE" w:rsidRPr="00E50ABE">
        <w:t xml:space="preserve"> </w:t>
      </w:r>
      <w:r w:rsidR="00E50ABE">
        <w:t xml:space="preserve">- </w:t>
      </w:r>
      <w:r w:rsidRPr="004B5110">
        <w:t>A Study in Liminal Symbolism</w:t>
      </w:r>
      <w:r>
        <w:t xml:space="preserve">’, </w:t>
      </w:r>
      <w:r w:rsidRPr="004B5110">
        <w:rPr>
          <w:i/>
          <w:iCs/>
        </w:rPr>
        <w:t>Numen</w:t>
      </w:r>
      <w:r>
        <w:t xml:space="preserve">, </w:t>
      </w:r>
      <w:r w:rsidR="007A54E9">
        <w:t>31.</w:t>
      </w:r>
      <w:r w:rsidRPr="004B5110">
        <w:t>1 (1984), p</w:t>
      </w:r>
      <w:r w:rsidR="00137713">
        <w:t>. 110</w:t>
      </w:r>
      <w:r w:rsidR="005858D3">
        <w:t>.</w:t>
      </w:r>
    </w:p>
  </w:footnote>
  <w:footnote w:id="48">
    <w:p w14:paraId="4C0BA7F4" w14:textId="4355DF8F" w:rsidR="00FE554A" w:rsidRDefault="00FE554A">
      <w:pPr>
        <w:pStyle w:val="FootnoteText"/>
      </w:pPr>
      <w:r>
        <w:rPr>
          <w:rStyle w:val="FootnoteReference"/>
        </w:rPr>
        <w:footnoteRef/>
      </w:r>
      <w:r>
        <w:t xml:space="preserve"> </w:t>
      </w:r>
      <w:proofErr w:type="spellStart"/>
      <w:r w:rsidR="007A54E9" w:rsidRPr="006D54FF">
        <w:t>Speiser</w:t>
      </w:r>
      <w:proofErr w:type="spellEnd"/>
      <w:r w:rsidR="007A54E9">
        <w:t>, p. 77-82</w:t>
      </w:r>
      <w:r w:rsidR="007A54E9" w:rsidRPr="006D54FF">
        <w:t>.</w:t>
      </w:r>
    </w:p>
  </w:footnote>
  <w:footnote w:id="49">
    <w:p w14:paraId="717FB374" w14:textId="1A1FC9A6" w:rsidR="001D2FA7" w:rsidRDefault="001D2FA7">
      <w:pPr>
        <w:pStyle w:val="FootnoteText"/>
      </w:pPr>
      <w:r>
        <w:rPr>
          <w:rStyle w:val="FootnoteReference"/>
        </w:rPr>
        <w:footnoteRef/>
      </w:r>
      <w:r>
        <w:t xml:space="preserve"> Tolkien, </w:t>
      </w:r>
      <w:r>
        <w:rPr>
          <w:i/>
          <w:iCs/>
        </w:rPr>
        <w:t>The Fellowship of the Ring</w:t>
      </w:r>
      <w:r w:rsidR="007A54E9">
        <w:rPr>
          <w:i/>
          <w:iCs/>
        </w:rPr>
        <w:t>.</w:t>
      </w:r>
    </w:p>
  </w:footnote>
  <w:footnote w:id="50">
    <w:p w14:paraId="7024FE4D" w14:textId="2F7E44BD" w:rsidR="001D2FA7" w:rsidRDefault="001D2FA7">
      <w:pPr>
        <w:pStyle w:val="FootnoteText"/>
      </w:pPr>
      <w:r>
        <w:rPr>
          <w:rStyle w:val="FootnoteReference"/>
        </w:rPr>
        <w:footnoteRef/>
      </w:r>
      <w:r>
        <w:t xml:space="preserve"> Tolkien, </w:t>
      </w:r>
      <w:r>
        <w:rPr>
          <w:i/>
          <w:iCs/>
        </w:rPr>
        <w:t>The Two Towers</w:t>
      </w:r>
      <w:r w:rsidR="007A54E9">
        <w:t>.</w:t>
      </w:r>
    </w:p>
  </w:footnote>
  <w:footnote w:id="51">
    <w:p w14:paraId="46577363" w14:textId="2A746290" w:rsidR="001D2FA7" w:rsidRDefault="001D2FA7">
      <w:pPr>
        <w:pStyle w:val="FootnoteText"/>
      </w:pPr>
      <w:r>
        <w:rPr>
          <w:rStyle w:val="FootnoteReference"/>
        </w:rPr>
        <w:footnoteRef/>
      </w:r>
      <w:r>
        <w:t xml:space="preserve"> Tolkien</w:t>
      </w:r>
      <w:r w:rsidR="007A54E9">
        <w:t xml:space="preserve">, </w:t>
      </w:r>
      <w:r>
        <w:rPr>
          <w:i/>
          <w:iCs/>
        </w:rPr>
        <w:t>The Return of the King</w:t>
      </w:r>
      <w:r w:rsidR="007A54E9">
        <w:t>.</w:t>
      </w:r>
    </w:p>
  </w:footnote>
  <w:footnote w:id="52">
    <w:p w14:paraId="1E8CB766" w14:textId="68B7949E" w:rsidR="001D2FA7" w:rsidRDefault="001D2FA7">
      <w:pPr>
        <w:pStyle w:val="FootnoteText"/>
      </w:pPr>
      <w:r>
        <w:rPr>
          <w:rStyle w:val="FootnoteReference"/>
        </w:rPr>
        <w:footnoteRef/>
      </w:r>
      <w:r>
        <w:t xml:space="preserve"> </w:t>
      </w:r>
      <w:r w:rsidRPr="00C72B7A">
        <w:t>Burkert,</w:t>
      </w:r>
      <w:r>
        <w:t xml:space="preserve"> </w:t>
      </w:r>
      <w:r w:rsidRPr="00C72B7A">
        <w:rPr>
          <w:i/>
          <w:iCs/>
        </w:rPr>
        <w:t xml:space="preserve">Homo </w:t>
      </w:r>
      <w:proofErr w:type="spellStart"/>
      <w:r w:rsidRPr="00C72B7A">
        <w:rPr>
          <w:i/>
          <w:iCs/>
        </w:rPr>
        <w:t>Necans</w:t>
      </w:r>
      <w:proofErr w:type="spellEnd"/>
      <w:r w:rsidR="007A54E9">
        <w:rPr>
          <w:i/>
          <w:iCs/>
        </w:rPr>
        <w:t>,</w:t>
      </w:r>
      <w:r w:rsidRPr="00C72B7A">
        <w:t xml:space="preserve"> pp. 31-32</w:t>
      </w:r>
      <w:r>
        <w:t>.</w:t>
      </w:r>
    </w:p>
  </w:footnote>
  <w:footnote w:id="53">
    <w:p w14:paraId="2C71BEA7" w14:textId="23259205" w:rsidR="001D2FA7" w:rsidRDefault="001D2FA7">
      <w:pPr>
        <w:pStyle w:val="FootnoteText"/>
      </w:pPr>
      <w:r>
        <w:rPr>
          <w:rStyle w:val="FootnoteReference"/>
        </w:rPr>
        <w:footnoteRef/>
      </w:r>
      <w:r>
        <w:t xml:space="preserve"> Frazer, </w:t>
      </w:r>
      <w:r w:rsidRPr="005D3F08">
        <w:rPr>
          <w:i/>
          <w:iCs/>
        </w:rPr>
        <w:t>The Golden Bough</w:t>
      </w:r>
      <w:r w:rsidR="007A54E9">
        <w:t>.</w:t>
      </w:r>
    </w:p>
  </w:footnote>
  <w:footnote w:id="54">
    <w:p w14:paraId="063BDD75" w14:textId="5136BA44" w:rsidR="001D2FA7" w:rsidRDefault="001D2FA7">
      <w:pPr>
        <w:pStyle w:val="FootnoteText"/>
      </w:pPr>
      <w:r>
        <w:rPr>
          <w:rStyle w:val="FootnoteReference"/>
        </w:rPr>
        <w:footnoteRef/>
      </w:r>
      <w:r>
        <w:t xml:space="preserve"> </w:t>
      </w:r>
      <w:r w:rsidR="007A54E9">
        <w:t xml:space="preserve">Jung, </w:t>
      </w:r>
      <w:r w:rsidR="007A54E9" w:rsidRPr="00EF2B05">
        <w:rPr>
          <w:i/>
          <w:iCs/>
        </w:rPr>
        <w:t>Collected Works</w:t>
      </w:r>
      <w:r w:rsidR="007A54E9">
        <w:rPr>
          <w:i/>
          <w:iCs/>
        </w:rPr>
        <w:t>,</w:t>
      </w:r>
      <w:r w:rsidR="007A54E9" w:rsidRPr="00EF2B05">
        <w:rPr>
          <w:i/>
          <w:iCs/>
        </w:rPr>
        <w:t xml:space="preserve"> </w:t>
      </w:r>
      <w:r>
        <w:t>p. 20.</w:t>
      </w:r>
    </w:p>
  </w:footnote>
  <w:footnote w:id="55">
    <w:p w14:paraId="17ADC4D8" w14:textId="4309A32D" w:rsidR="001D2FA7" w:rsidRDefault="001D2FA7">
      <w:pPr>
        <w:pStyle w:val="FootnoteText"/>
      </w:pPr>
      <w:r>
        <w:rPr>
          <w:rStyle w:val="FootnoteReference"/>
        </w:rPr>
        <w:footnoteRef/>
      </w:r>
      <w:r>
        <w:t xml:space="preserve"> </w:t>
      </w:r>
      <w:r w:rsidR="007A54E9">
        <w:t xml:space="preserve">Campbell, </w:t>
      </w:r>
      <w:r w:rsidR="007A54E9" w:rsidRPr="00EA63A7">
        <w:rPr>
          <w:i/>
          <w:iCs/>
        </w:rPr>
        <w:t xml:space="preserve">A Hero </w:t>
      </w:r>
      <w:proofErr w:type="gramStart"/>
      <w:r w:rsidR="007A54E9" w:rsidRPr="00EA63A7">
        <w:rPr>
          <w:i/>
          <w:iCs/>
        </w:rPr>
        <w:t>With</w:t>
      </w:r>
      <w:proofErr w:type="gramEnd"/>
      <w:r w:rsidR="007A54E9" w:rsidRPr="00EA63A7">
        <w:rPr>
          <w:i/>
          <w:iCs/>
        </w:rPr>
        <w:t xml:space="preserve"> a Thousand Faces</w:t>
      </w:r>
      <w:r w:rsidR="007A54E9">
        <w:rPr>
          <w:i/>
          <w:iCs/>
        </w:rPr>
        <w:t>,</w:t>
      </w:r>
      <w:r w:rsidR="007A54E9">
        <w:t xml:space="preserve"> </w:t>
      </w:r>
      <w:r>
        <w:t>p. 89.</w:t>
      </w:r>
    </w:p>
  </w:footnote>
  <w:footnote w:id="56">
    <w:p w14:paraId="170E0A37" w14:textId="6173F103" w:rsidR="001D2FA7" w:rsidRDefault="001D2FA7">
      <w:pPr>
        <w:pStyle w:val="FootnoteText"/>
      </w:pPr>
      <w:r>
        <w:rPr>
          <w:rStyle w:val="FootnoteReference"/>
        </w:rPr>
        <w:footnoteRef/>
      </w:r>
      <w:r>
        <w:t xml:space="preserve"> Struck, </w:t>
      </w:r>
      <w:r w:rsidRPr="007A54E9">
        <w:rPr>
          <w:i/>
          <w:iCs/>
        </w:rPr>
        <w:t>The Birth of the Symbo</w:t>
      </w:r>
      <w:r w:rsidR="007A54E9" w:rsidRPr="007A54E9">
        <w:rPr>
          <w:i/>
          <w:iCs/>
        </w:rPr>
        <w:t>l</w:t>
      </w:r>
      <w:r w:rsidR="007A54E9">
        <w:t>,</w:t>
      </w:r>
      <w:r>
        <w:t xml:space="preserve"> p. 5.</w:t>
      </w:r>
    </w:p>
  </w:footnote>
  <w:footnote w:id="57">
    <w:p w14:paraId="5E353A9C" w14:textId="54988D41" w:rsidR="001D2FA7" w:rsidRDefault="001D2FA7">
      <w:pPr>
        <w:pStyle w:val="FootnoteText"/>
      </w:pPr>
      <w:r>
        <w:rPr>
          <w:rStyle w:val="FootnoteReference"/>
        </w:rPr>
        <w:footnoteRef/>
      </w:r>
      <w:r>
        <w:t xml:space="preserve"> </w:t>
      </w:r>
      <w:proofErr w:type="spellStart"/>
      <w:r>
        <w:t>Gilhus</w:t>
      </w:r>
      <w:proofErr w:type="spellEnd"/>
      <w:r>
        <w:t>, ‘</w:t>
      </w:r>
      <w:r w:rsidRPr="009555E6">
        <w:rPr>
          <w:bCs/>
        </w:rPr>
        <w:t>Gnosticism</w:t>
      </w:r>
      <w:r w:rsidRPr="00E50ABE">
        <w:t xml:space="preserve"> </w:t>
      </w:r>
      <w:r>
        <w:t xml:space="preserve">- </w:t>
      </w:r>
      <w:r w:rsidRPr="004B5110">
        <w:t>A Study in Liminal Symbolism</w:t>
      </w:r>
      <w:r>
        <w:t xml:space="preserve">’, </w:t>
      </w:r>
      <w:r w:rsidRPr="004B5110">
        <w:t>p</w:t>
      </w:r>
      <w:r>
        <w:t>. 110.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48B4A56"/>
    <w:multiLevelType w:val="multilevel"/>
    <w:tmpl w:val="2F18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71336"/>
    <w:multiLevelType w:val="multilevel"/>
    <w:tmpl w:val="79C0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9"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2"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95E16"/>
    <w:multiLevelType w:val="multilevel"/>
    <w:tmpl w:val="80A2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0"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4" w15:restartNumberingAfterBreak="0">
    <w:nsid w:val="6C1D6C7C"/>
    <w:multiLevelType w:val="multilevel"/>
    <w:tmpl w:val="5B80B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7"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79304086">
    <w:abstractNumId w:val="21"/>
  </w:num>
  <w:num w:numId="2" w16cid:durableId="81225971">
    <w:abstractNumId w:val="23"/>
  </w:num>
  <w:num w:numId="3" w16cid:durableId="1940091620">
    <w:abstractNumId w:val="11"/>
  </w:num>
  <w:num w:numId="4" w16cid:durableId="1397823478">
    <w:abstractNumId w:val="8"/>
  </w:num>
  <w:num w:numId="5" w16cid:durableId="1793481056">
    <w:abstractNumId w:val="2"/>
  </w:num>
  <w:num w:numId="6" w16cid:durableId="7023206">
    <w:abstractNumId w:val="6"/>
  </w:num>
  <w:num w:numId="7" w16cid:durableId="1044714236">
    <w:abstractNumId w:val="15"/>
  </w:num>
  <w:num w:numId="8" w16cid:durableId="2039234635">
    <w:abstractNumId w:val="25"/>
  </w:num>
  <w:num w:numId="9" w16cid:durableId="1368022996">
    <w:abstractNumId w:val="27"/>
  </w:num>
  <w:num w:numId="10" w16cid:durableId="160586436">
    <w:abstractNumId w:val="7"/>
  </w:num>
  <w:num w:numId="11" w16cid:durableId="1432164545">
    <w:abstractNumId w:val="22"/>
  </w:num>
  <w:num w:numId="12" w16cid:durableId="1521239202">
    <w:abstractNumId w:val="26"/>
  </w:num>
  <w:num w:numId="13" w16cid:durableId="1136340309">
    <w:abstractNumId w:val="13"/>
  </w:num>
  <w:num w:numId="14" w16cid:durableId="1358653927">
    <w:abstractNumId w:val="17"/>
  </w:num>
  <w:num w:numId="15" w16cid:durableId="108939758">
    <w:abstractNumId w:val="19"/>
  </w:num>
  <w:num w:numId="16" w16cid:durableId="204671229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609121273">
    <w:abstractNumId w:val="12"/>
  </w:num>
  <w:num w:numId="18" w16cid:durableId="126210422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059134989">
    <w:abstractNumId w:val="14"/>
  </w:num>
  <w:num w:numId="20" w16cid:durableId="179584613">
    <w:abstractNumId w:val="20"/>
  </w:num>
  <w:num w:numId="21" w16cid:durableId="1723678783">
    <w:abstractNumId w:val="3"/>
  </w:num>
  <w:num w:numId="22" w16cid:durableId="2134591736">
    <w:abstractNumId w:val="9"/>
  </w:num>
  <w:num w:numId="23" w16cid:durableId="328484961">
    <w:abstractNumId w:val="18"/>
  </w:num>
  <w:num w:numId="24" w16cid:durableId="1884706522">
    <w:abstractNumId w:val="10"/>
  </w:num>
  <w:num w:numId="25" w16cid:durableId="1070807887">
    <w:abstractNumId w:val="1"/>
  </w:num>
  <w:num w:numId="26" w16cid:durableId="652412839">
    <w:abstractNumId w:val="16"/>
  </w:num>
  <w:num w:numId="27" w16cid:durableId="1517497573">
    <w:abstractNumId w:val="4"/>
  </w:num>
  <w:num w:numId="28" w16cid:durableId="1145969707">
    <w:abstractNumId w:val="24"/>
  </w:num>
  <w:num w:numId="29" w16cid:durableId="20411212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B55"/>
    <w:rsid w:val="00001C3B"/>
    <w:rsid w:val="0000748C"/>
    <w:rsid w:val="00007912"/>
    <w:rsid w:val="000079BA"/>
    <w:rsid w:val="00012B15"/>
    <w:rsid w:val="00012F1A"/>
    <w:rsid w:val="00013545"/>
    <w:rsid w:val="00015DF5"/>
    <w:rsid w:val="00017832"/>
    <w:rsid w:val="00022345"/>
    <w:rsid w:val="00026363"/>
    <w:rsid w:val="00033105"/>
    <w:rsid w:val="0003486F"/>
    <w:rsid w:val="00034ACF"/>
    <w:rsid w:val="00034F3B"/>
    <w:rsid w:val="00037A5C"/>
    <w:rsid w:val="00043549"/>
    <w:rsid w:val="000468C8"/>
    <w:rsid w:val="00046A16"/>
    <w:rsid w:val="00047074"/>
    <w:rsid w:val="00053453"/>
    <w:rsid w:val="00053707"/>
    <w:rsid w:val="000556DF"/>
    <w:rsid w:val="00062FA2"/>
    <w:rsid w:val="00064408"/>
    <w:rsid w:val="00065B8F"/>
    <w:rsid w:val="00072563"/>
    <w:rsid w:val="00076A0B"/>
    <w:rsid w:val="00080AD0"/>
    <w:rsid w:val="00080F7E"/>
    <w:rsid w:val="000840A7"/>
    <w:rsid w:val="000854DF"/>
    <w:rsid w:val="000872A0"/>
    <w:rsid w:val="00094952"/>
    <w:rsid w:val="000954A9"/>
    <w:rsid w:val="000A6D49"/>
    <w:rsid w:val="000B4927"/>
    <w:rsid w:val="000B72E3"/>
    <w:rsid w:val="000C02F2"/>
    <w:rsid w:val="000C3701"/>
    <w:rsid w:val="000C556B"/>
    <w:rsid w:val="000C6CB1"/>
    <w:rsid w:val="000C6EDD"/>
    <w:rsid w:val="000D1289"/>
    <w:rsid w:val="000D44D8"/>
    <w:rsid w:val="000D4F01"/>
    <w:rsid w:val="000D6813"/>
    <w:rsid w:val="000D6A2C"/>
    <w:rsid w:val="000E3682"/>
    <w:rsid w:val="000E3751"/>
    <w:rsid w:val="000E4980"/>
    <w:rsid w:val="000E4F3B"/>
    <w:rsid w:val="000E549E"/>
    <w:rsid w:val="000E5685"/>
    <w:rsid w:val="000E673E"/>
    <w:rsid w:val="000E699C"/>
    <w:rsid w:val="000F00C2"/>
    <w:rsid w:val="000F2F76"/>
    <w:rsid w:val="00101109"/>
    <w:rsid w:val="00101286"/>
    <w:rsid w:val="0010199D"/>
    <w:rsid w:val="001020AD"/>
    <w:rsid w:val="001047C9"/>
    <w:rsid w:val="001070F2"/>
    <w:rsid w:val="00107BEC"/>
    <w:rsid w:val="00110E36"/>
    <w:rsid w:val="00111283"/>
    <w:rsid w:val="0011161A"/>
    <w:rsid w:val="00114DB9"/>
    <w:rsid w:val="001166E1"/>
    <w:rsid w:val="00117CB2"/>
    <w:rsid w:val="00121B4E"/>
    <w:rsid w:val="001246F1"/>
    <w:rsid w:val="00126F2A"/>
    <w:rsid w:val="00130FAD"/>
    <w:rsid w:val="00137713"/>
    <w:rsid w:val="00140A7D"/>
    <w:rsid w:val="00146DD1"/>
    <w:rsid w:val="0015191D"/>
    <w:rsid w:val="00151C2D"/>
    <w:rsid w:val="0015480B"/>
    <w:rsid w:val="00160B51"/>
    <w:rsid w:val="00160C10"/>
    <w:rsid w:val="00164D7E"/>
    <w:rsid w:val="00165047"/>
    <w:rsid w:val="00167A58"/>
    <w:rsid w:val="00170800"/>
    <w:rsid w:val="00172497"/>
    <w:rsid w:val="00174B92"/>
    <w:rsid w:val="00184311"/>
    <w:rsid w:val="00186630"/>
    <w:rsid w:val="00187C9D"/>
    <w:rsid w:val="001915D2"/>
    <w:rsid w:val="00193A71"/>
    <w:rsid w:val="0019430F"/>
    <w:rsid w:val="00194681"/>
    <w:rsid w:val="001962A4"/>
    <w:rsid w:val="00196FCE"/>
    <w:rsid w:val="001A1A71"/>
    <w:rsid w:val="001A5200"/>
    <w:rsid w:val="001A6BEC"/>
    <w:rsid w:val="001A72C3"/>
    <w:rsid w:val="001A7FB9"/>
    <w:rsid w:val="001B0446"/>
    <w:rsid w:val="001B1385"/>
    <w:rsid w:val="001B1738"/>
    <w:rsid w:val="001B5EFD"/>
    <w:rsid w:val="001C0454"/>
    <w:rsid w:val="001C0B52"/>
    <w:rsid w:val="001C4B2D"/>
    <w:rsid w:val="001C50EF"/>
    <w:rsid w:val="001D00E9"/>
    <w:rsid w:val="001D04AB"/>
    <w:rsid w:val="001D0ECF"/>
    <w:rsid w:val="001D2FA4"/>
    <w:rsid w:val="001D2FA7"/>
    <w:rsid w:val="001D40FE"/>
    <w:rsid w:val="001D75F2"/>
    <w:rsid w:val="001E0232"/>
    <w:rsid w:val="001E0E06"/>
    <w:rsid w:val="001E1209"/>
    <w:rsid w:val="001F3E00"/>
    <w:rsid w:val="001F4CE1"/>
    <w:rsid w:val="002031D0"/>
    <w:rsid w:val="00213263"/>
    <w:rsid w:val="002132DC"/>
    <w:rsid w:val="00213509"/>
    <w:rsid w:val="002151D5"/>
    <w:rsid w:val="00215B0E"/>
    <w:rsid w:val="00216211"/>
    <w:rsid w:val="002178E7"/>
    <w:rsid w:val="00222E33"/>
    <w:rsid w:val="00224193"/>
    <w:rsid w:val="00224500"/>
    <w:rsid w:val="00224B95"/>
    <w:rsid w:val="00227528"/>
    <w:rsid w:val="002303F5"/>
    <w:rsid w:val="002307F0"/>
    <w:rsid w:val="00230C0D"/>
    <w:rsid w:val="00230F35"/>
    <w:rsid w:val="00231D66"/>
    <w:rsid w:val="00232860"/>
    <w:rsid w:val="0023451B"/>
    <w:rsid w:val="00234C0F"/>
    <w:rsid w:val="00236FAE"/>
    <w:rsid w:val="00242C98"/>
    <w:rsid w:val="00250015"/>
    <w:rsid w:val="00254BC2"/>
    <w:rsid w:val="0025530E"/>
    <w:rsid w:val="00255B12"/>
    <w:rsid w:val="00263208"/>
    <w:rsid w:val="002704C5"/>
    <w:rsid w:val="002715FA"/>
    <w:rsid w:val="002718C4"/>
    <w:rsid w:val="0027325D"/>
    <w:rsid w:val="00276002"/>
    <w:rsid w:val="002767E5"/>
    <w:rsid w:val="00277421"/>
    <w:rsid w:val="002778DB"/>
    <w:rsid w:val="00280660"/>
    <w:rsid w:val="00281DB9"/>
    <w:rsid w:val="002843D9"/>
    <w:rsid w:val="00290783"/>
    <w:rsid w:val="0029281C"/>
    <w:rsid w:val="002949F0"/>
    <w:rsid w:val="002A100E"/>
    <w:rsid w:val="002A42F7"/>
    <w:rsid w:val="002A4954"/>
    <w:rsid w:val="002A5616"/>
    <w:rsid w:val="002A7296"/>
    <w:rsid w:val="002A7D3D"/>
    <w:rsid w:val="002B0E8A"/>
    <w:rsid w:val="002B48AF"/>
    <w:rsid w:val="002C01CC"/>
    <w:rsid w:val="002C194D"/>
    <w:rsid w:val="002C5A1D"/>
    <w:rsid w:val="002D2A04"/>
    <w:rsid w:val="002D3D66"/>
    <w:rsid w:val="002D6AD5"/>
    <w:rsid w:val="002E2BA0"/>
    <w:rsid w:val="002E2C10"/>
    <w:rsid w:val="002E67CE"/>
    <w:rsid w:val="002F1475"/>
    <w:rsid w:val="002F32CC"/>
    <w:rsid w:val="002F3722"/>
    <w:rsid w:val="002F467C"/>
    <w:rsid w:val="002F7028"/>
    <w:rsid w:val="0030079E"/>
    <w:rsid w:val="00301237"/>
    <w:rsid w:val="00304114"/>
    <w:rsid w:val="003047E2"/>
    <w:rsid w:val="00305185"/>
    <w:rsid w:val="00307B22"/>
    <w:rsid w:val="003111DA"/>
    <w:rsid w:val="00312F95"/>
    <w:rsid w:val="00312FBA"/>
    <w:rsid w:val="00313C7A"/>
    <w:rsid w:val="00313D13"/>
    <w:rsid w:val="003143A9"/>
    <w:rsid w:val="0031767C"/>
    <w:rsid w:val="00323B73"/>
    <w:rsid w:val="00324618"/>
    <w:rsid w:val="0032547B"/>
    <w:rsid w:val="00326631"/>
    <w:rsid w:val="00326D4F"/>
    <w:rsid w:val="00327BE0"/>
    <w:rsid w:val="00337A70"/>
    <w:rsid w:val="00341D2F"/>
    <w:rsid w:val="00345642"/>
    <w:rsid w:val="00347126"/>
    <w:rsid w:val="00350547"/>
    <w:rsid w:val="003514CF"/>
    <w:rsid w:val="00351F4B"/>
    <w:rsid w:val="0035324B"/>
    <w:rsid w:val="003633F1"/>
    <w:rsid w:val="00372B53"/>
    <w:rsid w:val="00374636"/>
    <w:rsid w:val="003759EB"/>
    <w:rsid w:val="003761CA"/>
    <w:rsid w:val="003800F6"/>
    <w:rsid w:val="0038146A"/>
    <w:rsid w:val="003824D2"/>
    <w:rsid w:val="0038342D"/>
    <w:rsid w:val="00384E1C"/>
    <w:rsid w:val="00386616"/>
    <w:rsid w:val="00387163"/>
    <w:rsid w:val="003949A0"/>
    <w:rsid w:val="003A231D"/>
    <w:rsid w:val="003A7C05"/>
    <w:rsid w:val="003B0DD5"/>
    <w:rsid w:val="003C3F4F"/>
    <w:rsid w:val="003C758E"/>
    <w:rsid w:val="003C7F6F"/>
    <w:rsid w:val="003D1308"/>
    <w:rsid w:val="003D3741"/>
    <w:rsid w:val="003D5A90"/>
    <w:rsid w:val="003D6255"/>
    <w:rsid w:val="003D6701"/>
    <w:rsid w:val="003D6D0B"/>
    <w:rsid w:val="003E0566"/>
    <w:rsid w:val="003E06C0"/>
    <w:rsid w:val="003E08F3"/>
    <w:rsid w:val="003E2531"/>
    <w:rsid w:val="003E4408"/>
    <w:rsid w:val="003E61ED"/>
    <w:rsid w:val="003F0AD2"/>
    <w:rsid w:val="003F4B4B"/>
    <w:rsid w:val="003F57CF"/>
    <w:rsid w:val="003F737B"/>
    <w:rsid w:val="004017AF"/>
    <w:rsid w:val="00402B1F"/>
    <w:rsid w:val="00402DB0"/>
    <w:rsid w:val="004050BE"/>
    <w:rsid w:val="00406354"/>
    <w:rsid w:val="0040732D"/>
    <w:rsid w:val="0040776A"/>
    <w:rsid w:val="004167F7"/>
    <w:rsid w:val="00420446"/>
    <w:rsid w:val="00421D95"/>
    <w:rsid w:val="00422258"/>
    <w:rsid w:val="0042402A"/>
    <w:rsid w:val="004250DD"/>
    <w:rsid w:val="00430539"/>
    <w:rsid w:val="0043218D"/>
    <w:rsid w:val="00433A09"/>
    <w:rsid w:val="00433B73"/>
    <w:rsid w:val="00434729"/>
    <w:rsid w:val="0043758C"/>
    <w:rsid w:val="0044129B"/>
    <w:rsid w:val="00445998"/>
    <w:rsid w:val="00447497"/>
    <w:rsid w:val="00454566"/>
    <w:rsid w:val="004565D4"/>
    <w:rsid w:val="0045727E"/>
    <w:rsid w:val="00457AF5"/>
    <w:rsid w:val="00460825"/>
    <w:rsid w:val="00460A01"/>
    <w:rsid w:val="00460A5C"/>
    <w:rsid w:val="004627BA"/>
    <w:rsid w:val="00471D7D"/>
    <w:rsid w:val="004724D6"/>
    <w:rsid w:val="004744AF"/>
    <w:rsid w:val="00475C78"/>
    <w:rsid w:val="004814AE"/>
    <w:rsid w:val="004829C3"/>
    <w:rsid w:val="00486576"/>
    <w:rsid w:val="00486C9A"/>
    <w:rsid w:val="00486FE4"/>
    <w:rsid w:val="00497AED"/>
    <w:rsid w:val="004A01CD"/>
    <w:rsid w:val="004A024B"/>
    <w:rsid w:val="004A1ABD"/>
    <w:rsid w:val="004A5706"/>
    <w:rsid w:val="004A575B"/>
    <w:rsid w:val="004B1722"/>
    <w:rsid w:val="004B1A0B"/>
    <w:rsid w:val="004B5110"/>
    <w:rsid w:val="004B5C34"/>
    <w:rsid w:val="004B73BA"/>
    <w:rsid w:val="004C2A2F"/>
    <w:rsid w:val="004C353B"/>
    <w:rsid w:val="004C5E4C"/>
    <w:rsid w:val="004C79CE"/>
    <w:rsid w:val="004D1D78"/>
    <w:rsid w:val="004E016F"/>
    <w:rsid w:val="004E15F5"/>
    <w:rsid w:val="004E2E51"/>
    <w:rsid w:val="004E3517"/>
    <w:rsid w:val="004E4C78"/>
    <w:rsid w:val="004E4FF4"/>
    <w:rsid w:val="004E53E0"/>
    <w:rsid w:val="004F08A2"/>
    <w:rsid w:val="004F2B31"/>
    <w:rsid w:val="004F3B54"/>
    <w:rsid w:val="004F3FD1"/>
    <w:rsid w:val="004F495A"/>
    <w:rsid w:val="004F49C0"/>
    <w:rsid w:val="00502EA7"/>
    <w:rsid w:val="005062C3"/>
    <w:rsid w:val="005144BA"/>
    <w:rsid w:val="0051480B"/>
    <w:rsid w:val="0051743F"/>
    <w:rsid w:val="00521E0F"/>
    <w:rsid w:val="00531109"/>
    <w:rsid w:val="00531CA2"/>
    <w:rsid w:val="00532200"/>
    <w:rsid w:val="0053512B"/>
    <w:rsid w:val="00536778"/>
    <w:rsid w:val="00537B4C"/>
    <w:rsid w:val="0054127F"/>
    <w:rsid w:val="005429EF"/>
    <w:rsid w:val="005516CF"/>
    <w:rsid w:val="00557A92"/>
    <w:rsid w:val="005624A5"/>
    <w:rsid w:val="005627D4"/>
    <w:rsid w:val="00566410"/>
    <w:rsid w:val="005678ED"/>
    <w:rsid w:val="00570B57"/>
    <w:rsid w:val="005712A2"/>
    <w:rsid w:val="00574B9B"/>
    <w:rsid w:val="005765BC"/>
    <w:rsid w:val="00577368"/>
    <w:rsid w:val="00577D6D"/>
    <w:rsid w:val="0058004E"/>
    <w:rsid w:val="005844AA"/>
    <w:rsid w:val="005858D3"/>
    <w:rsid w:val="005867B3"/>
    <w:rsid w:val="0058726A"/>
    <w:rsid w:val="00587394"/>
    <w:rsid w:val="00590E9A"/>
    <w:rsid w:val="00591844"/>
    <w:rsid w:val="005932F3"/>
    <w:rsid w:val="005942E9"/>
    <w:rsid w:val="005954A5"/>
    <w:rsid w:val="005A24BD"/>
    <w:rsid w:val="005A39BD"/>
    <w:rsid w:val="005A521A"/>
    <w:rsid w:val="005A75E4"/>
    <w:rsid w:val="005B2A52"/>
    <w:rsid w:val="005C152B"/>
    <w:rsid w:val="005C6560"/>
    <w:rsid w:val="005C7A70"/>
    <w:rsid w:val="005D3F08"/>
    <w:rsid w:val="005E6D9E"/>
    <w:rsid w:val="005F16C2"/>
    <w:rsid w:val="005F3AEA"/>
    <w:rsid w:val="005F4DB8"/>
    <w:rsid w:val="005F6504"/>
    <w:rsid w:val="006010BC"/>
    <w:rsid w:val="00601298"/>
    <w:rsid w:val="00601BDD"/>
    <w:rsid w:val="00603785"/>
    <w:rsid w:val="00605C3D"/>
    <w:rsid w:val="00605ED4"/>
    <w:rsid w:val="00610318"/>
    <w:rsid w:val="00614A9E"/>
    <w:rsid w:val="0062479F"/>
    <w:rsid w:val="00632937"/>
    <w:rsid w:val="00632A0E"/>
    <w:rsid w:val="00636883"/>
    <w:rsid w:val="006371E1"/>
    <w:rsid w:val="006379F0"/>
    <w:rsid w:val="00640289"/>
    <w:rsid w:val="0064096D"/>
    <w:rsid w:val="00642C71"/>
    <w:rsid w:val="00647390"/>
    <w:rsid w:val="006535E0"/>
    <w:rsid w:val="00653734"/>
    <w:rsid w:val="0065654E"/>
    <w:rsid w:val="0065708B"/>
    <w:rsid w:val="00657BBB"/>
    <w:rsid w:val="00660A70"/>
    <w:rsid w:val="00662A40"/>
    <w:rsid w:val="00664A22"/>
    <w:rsid w:val="00664A63"/>
    <w:rsid w:val="00665426"/>
    <w:rsid w:val="00666C4E"/>
    <w:rsid w:val="00666D83"/>
    <w:rsid w:val="00674689"/>
    <w:rsid w:val="0067511F"/>
    <w:rsid w:val="00676E03"/>
    <w:rsid w:val="006805EC"/>
    <w:rsid w:val="00684928"/>
    <w:rsid w:val="00691819"/>
    <w:rsid w:val="00691BEC"/>
    <w:rsid w:val="00693C4D"/>
    <w:rsid w:val="00694F80"/>
    <w:rsid w:val="006A14DB"/>
    <w:rsid w:val="006A205D"/>
    <w:rsid w:val="006A3D5B"/>
    <w:rsid w:val="006A65E9"/>
    <w:rsid w:val="006B10CD"/>
    <w:rsid w:val="006B2231"/>
    <w:rsid w:val="006B3591"/>
    <w:rsid w:val="006C0A3A"/>
    <w:rsid w:val="006C5E96"/>
    <w:rsid w:val="006C709E"/>
    <w:rsid w:val="006C76EE"/>
    <w:rsid w:val="006D2D03"/>
    <w:rsid w:val="006D54FF"/>
    <w:rsid w:val="006E4F24"/>
    <w:rsid w:val="006F1E65"/>
    <w:rsid w:val="006F3EE3"/>
    <w:rsid w:val="00700134"/>
    <w:rsid w:val="00700D2A"/>
    <w:rsid w:val="007128D8"/>
    <w:rsid w:val="007144D2"/>
    <w:rsid w:val="00722955"/>
    <w:rsid w:val="00726A02"/>
    <w:rsid w:val="00730D95"/>
    <w:rsid w:val="0073206B"/>
    <w:rsid w:val="007353AA"/>
    <w:rsid w:val="00742627"/>
    <w:rsid w:val="00743E9F"/>
    <w:rsid w:val="007451A4"/>
    <w:rsid w:val="007476C3"/>
    <w:rsid w:val="00751BE2"/>
    <w:rsid w:val="0075359C"/>
    <w:rsid w:val="00754763"/>
    <w:rsid w:val="007603D3"/>
    <w:rsid w:val="00760F93"/>
    <w:rsid w:val="0076321D"/>
    <w:rsid w:val="007653AA"/>
    <w:rsid w:val="00765417"/>
    <w:rsid w:val="00765A9B"/>
    <w:rsid w:val="00767EB7"/>
    <w:rsid w:val="00770733"/>
    <w:rsid w:val="00772DEA"/>
    <w:rsid w:val="00773D0E"/>
    <w:rsid w:val="0078091B"/>
    <w:rsid w:val="007812A8"/>
    <w:rsid w:val="007831BA"/>
    <w:rsid w:val="00784EE7"/>
    <w:rsid w:val="00790E2F"/>
    <w:rsid w:val="00791433"/>
    <w:rsid w:val="00791AA3"/>
    <w:rsid w:val="00792224"/>
    <w:rsid w:val="00792E47"/>
    <w:rsid w:val="007A0EE3"/>
    <w:rsid w:val="007A37B8"/>
    <w:rsid w:val="007A510C"/>
    <w:rsid w:val="007A54E9"/>
    <w:rsid w:val="007A640D"/>
    <w:rsid w:val="007A6A5C"/>
    <w:rsid w:val="007B721A"/>
    <w:rsid w:val="007C020E"/>
    <w:rsid w:val="007C098A"/>
    <w:rsid w:val="007C2B71"/>
    <w:rsid w:val="007C5D51"/>
    <w:rsid w:val="007C663C"/>
    <w:rsid w:val="007C6F33"/>
    <w:rsid w:val="007D7715"/>
    <w:rsid w:val="007E13B6"/>
    <w:rsid w:val="007E2776"/>
    <w:rsid w:val="007E28C5"/>
    <w:rsid w:val="007E47F2"/>
    <w:rsid w:val="007E5816"/>
    <w:rsid w:val="007E642F"/>
    <w:rsid w:val="007E7C7D"/>
    <w:rsid w:val="007F6B70"/>
    <w:rsid w:val="00800C8D"/>
    <w:rsid w:val="008014CB"/>
    <w:rsid w:val="00801C86"/>
    <w:rsid w:val="008067B7"/>
    <w:rsid w:val="00807070"/>
    <w:rsid w:val="008111EA"/>
    <w:rsid w:val="00816ECF"/>
    <w:rsid w:val="008227DB"/>
    <w:rsid w:val="00823895"/>
    <w:rsid w:val="00826615"/>
    <w:rsid w:val="0083442E"/>
    <w:rsid w:val="0083481C"/>
    <w:rsid w:val="00834982"/>
    <w:rsid w:val="00836792"/>
    <w:rsid w:val="00840B95"/>
    <w:rsid w:val="0084272E"/>
    <w:rsid w:val="00843DE9"/>
    <w:rsid w:val="00845660"/>
    <w:rsid w:val="00845F71"/>
    <w:rsid w:val="0084725F"/>
    <w:rsid w:val="00852C9A"/>
    <w:rsid w:val="00860711"/>
    <w:rsid w:val="008659C5"/>
    <w:rsid w:val="0087325C"/>
    <w:rsid w:val="00873727"/>
    <w:rsid w:val="008738A5"/>
    <w:rsid w:val="00876BDE"/>
    <w:rsid w:val="0087785F"/>
    <w:rsid w:val="0088141A"/>
    <w:rsid w:val="00883DEF"/>
    <w:rsid w:val="0088617A"/>
    <w:rsid w:val="008864CB"/>
    <w:rsid w:val="0089368E"/>
    <w:rsid w:val="00893D24"/>
    <w:rsid w:val="0089447F"/>
    <w:rsid w:val="008950C8"/>
    <w:rsid w:val="00896245"/>
    <w:rsid w:val="008A105F"/>
    <w:rsid w:val="008A2DF1"/>
    <w:rsid w:val="008A34E2"/>
    <w:rsid w:val="008A4DCC"/>
    <w:rsid w:val="008A7653"/>
    <w:rsid w:val="008B0DDB"/>
    <w:rsid w:val="008B1A1D"/>
    <w:rsid w:val="008B3A97"/>
    <w:rsid w:val="008C0622"/>
    <w:rsid w:val="008C16D4"/>
    <w:rsid w:val="008C292B"/>
    <w:rsid w:val="008C7338"/>
    <w:rsid w:val="008C773C"/>
    <w:rsid w:val="008D03F0"/>
    <w:rsid w:val="008D0F5B"/>
    <w:rsid w:val="008D644C"/>
    <w:rsid w:val="008D674F"/>
    <w:rsid w:val="008E15F1"/>
    <w:rsid w:val="008E17B7"/>
    <w:rsid w:val="008E525C"/>
    <w:rsid w:val="008E744D"/>
    <w:rsid w:val="008E7641"/>
    <w:rsid w:val="008F01BA"/>
    <w:rsid w:val="008F643E"/>
    <w:rsid w:val="00900FB6"/>
    <w:rsid w:val="00901157"/>
    <w:rsid w:val="0091372C"/>
    <w:rsid w:val="00914769"/>
    <w:rsid w:val="009152A7"/>
    <w:rsid w:val="009170FB"/>
    <w:rsid w:val="00923BE8"/>
    <w:rsid w:val="00926B65"/>
    <w:rsid w:val="00930568"/>
    <w:rsid w:val="00931760"/>
    <w:rsid w:val="00932BD3"/>
    <w:rsid w:val="0093525C"/>
    <w:rsid w:val="0093538C"/>
    <w:rsid w:val="00942AC5"/>
    <w:rsid w:val="00942CBD"/>
    <w:rsid w:val="00943601"/>
    <w:rsid w:val="00945D37"/>
    <w:rsid w:val="00950717"/>
    <w:rsid w:val="009518A6"/>
    <w:rsid w:val="00951F82"/>
    <w:rsid w:val="009555E6"/>
    <w:rsid w:val="00961D77"/>
    <w:rsid w:val="009648FE"/>
    <w:rsid w:val="00965590"/>
    <w:rsid w:val="009725F4"/>
    <w:rsid w:val="00973B44"/>
    <w:rsid w:val="00977858"/>
    <w:rsid w:val="009801D3"/>
    <w:rsid w:val="00986671"/>
    <w:rsid w:val="00990EAF"/>
    <w:rsid w:val="009917B8"/>
    <w:rsid w:val="009A104A"/>
    <w:rsid w:val="009A1B4E"/>
    <w:rsid w:val="009A2B6E"/>
    <w:rsid w:val="009A3D0A"/>
    <w:rsid w:val="009B25AA"/>
    <w:rsid w:val="009B2D10"/>
    <w:rsid w:val="009C01A3"/>
    <w:rsid w:val="009C1A08"/>
    <w:rsid w:val="009C396A"/>
    <w:rsid w:val="009C6E1A"/>
    <w:rsid w:val="009D0F1C"/>
    <w:rsid w:val="009D5E82"/>
    <w:rsid w:val="009D74CD"/>
    <w:rsid w:val="009E1A2A"/>
    <w:rsid w:val="009F2623"/>
    <w:rsid w:val="009F59FF"/>
    <w:rsid w:val="009F5E12"/>
    <w:rsid w:val="00A01D35"/>
    <w:rsid w:val="00A02C62"/>
    <w:rsid w:val="00A04080"/>
    <w:rsid w:val="00A058D3"/>
    <w:rsid w:val="00A06097"/>
    <w:rsid w:val="00A06B94"/>
    <w:rsid w:val="00A1269F"/>
    <w:rsid w:val="00A2073F"/>
    <w:rsid w:val="00A22F83"/>
    <w:rsid w:val="00A24818"/>
    <w:rsid w:val="00A24A8B"/>
    <w:rsid w:val="00A2690A"/>
    <w:rsid w:val="00A303FE"/>
    <w:rsid w:val="00A31FB6"/>
    <w:rsid w:val="00A34DDA"/>
    <w:rsid w:val="00A37E47"/>
    <w:rsid w:val="00A40F3F"/>
    <w:rsid w:val="00A41032"/>
    <w:rsid w:val="00A41AF9"/>
    <w:rsid w:val="00A462D9"/>
    <w:rsid w:val="00A507E4"/>
    <w:rsid w:val="00A53480"/>
    <w:rsid w:val="00A54FDA"/>
    <w:rsid w:val="00A55F32"/>
    <w:rsid w:val="00A5669B"/>
    <w:rsid w:val="00A57A67"/>
    <w:rsid w:val="00A60814"/>
    <w:rsid w:val="00A614D2"/>
    <w:rsid w:val="00A61801"/>
    <w:rsid w:val="00A62E68"/>
    <w:rsid w:val="00A641B0"/>
    <w:rsid w:val="00A67772"/>
    <w:rsid w:val="00A70A9D"/>
    <w:rsid w:val="00A7188F"/>
    <w:rsid w:val="00A72386"/>
    <w:rsid w:val="00A736CF"/>
    <w:rsid w:val="00A73A92"/>
    <w:rsid w:val="00A745B6"/>
    <w:rsid w:val="00A74DA8"/>
    <w:rsid w:val="00A75DCB"/>
    <w:rsid w:val="00A76D55"/>
    <w:rsid w:val="00A80EBD"/>
    <w:rsid w:val="00A82731"/>
    <w:rsid w:val="00A84095"/>
    <w:rsid w:val="00A86D49"/>
    <w:rsid w:val="00A9043C"/>
    <w:rsid w:val="00A90B53"/>
    <w:rsid w:val="00A95AC8"/>
    <w:rsid w:val="00A967FB"/>
    <w:rsid w:val="00A972E4"/>
    <w:rsid w:val="00A9744A"/>
    <w:rsid w:val="00AA481E"/>
    <w:rsid w:val="00AA7558"/>
    <w:rsid w:val="00AB3153"/>
    <w:rsid w:val="00AB57BE"/>
    <w:rsid w:val="00AC0D87"/>
    <w:rsid w:val="00AC2F0A"/>
    <w:rsid w:val="00AC36E3"/>
    <w:rsid w:val="00AC3A91"/>
    <w:rsid w:val="00AC585F"/>
    <w:rsid w:val="00AC6165"/>
    <w:rsid w:val="00AC6213"/>
    <w:rsid w:val="00AD1CB0"/>
    <w:rsid w:val="00AD571C"/>
    <w:rsid w:val="00AD5D5A"/>
    <w:rsid w:val="00AE23BF"/>
    <w:rsid w:val="00AE3217"/>
    <w:rsid w:val="00AE3DEA"/>
    <w:rsid w:val="00AE5823"/>
    <w:rsid w:val="00AE5A5A"/>
    <w:rsid w:val="00AF35F2"/>
    <w:rsid w:val="00B0038F"/>
    <w:rsid w:val="00B01DFE"/>
    <w:rsid w:val="00B03B34"/>
    <w:rsid w:val="00B03BD6"/>
    <w:rsid w:val="00B06C26"/>
    <w:rsid w:val="00B11E29"/>
    <w:rsid w:val="00B168DE"/>
    <w:rsid w:val="00B22FB6"/>
    <w:rsid w:val="00B2396E"/>
    <w:rsid w:val="00B26787"/>
    <w:rsid w:val="00B270C6"/>
    <w:rsid w:val="00B30837"/>
    <w:rsid w:val="00B3146D"/>
    <w:rsid w:val="00B31C26"/>
    <w:rsid w:val="00B33FBC"/>
    <w:rsid w:val="00B341CE"/>
    <w:rsid w:val="00B3432A"/>
    <w:rsid w:val="00B34964"/>
    <w:rsid w:val="00B358E5"/>
    <w:rsid w:val="00B36F4A"/>
    <w:rsid w:val="00B40845"/>
    <w:rsid w:val="00B42501"/>
    <w:rsid w:val="00B42BCC"/>
    <w:rsid w:val="00B44E3E"/>
    <w:rsid w:val="00B4537B"/>
    <w:rsid w:val="00B45FEF"/>
    <w:rsid w:val="00B462B1"/>
    <w:rsid w:val="00B47FE2"/>
    <w:rsid w:val="00B50571"/>
    <w:rsid w:val="00B5165E"/>
    <w:rsid w:val="00B52B7D"/>
    <w:rsid w:val="00B5686D"/>
    <w:rsid w:val="00B568F9"/>
    <w:rsid w:val="00B56E7B"/>
    <w:rsid w:val="00B6050E"/>
    <w:rsid w:val="00B6356B"/>
    <w:rsid w:val="00B63747"/>
    <w:rsid w:val="00B642F7"/>
    <w:rsid w:val="00B72F46"/>
    <w:rsid w:val="00B7320C"/>
    <w:rsid w:val="00B7326A"/>
    <w:rsid w:val="00B75593"/>
    <w:rsid w:val="00B814B4"/>
    <w:rsid w:val="00B81E5D"/>
    <w:rsid w:val="00B82C04"/>
    <w:rsid w:val="00B84BF5"/>
    <w:rsid w:val="00B86163"/>
    <w:rsid w:val="00B94C50"/>
    <w:rsid w:val="00B96983"/>
    <w:rsid w:val="00B9724B"/>
    <w:rsid w:val="00B97287"/>
    <w:rsid w:val="00BA21C4"/>
    <w:rsid w:val="00BA7DA2"/>
    <w:rsid w:val="00BB45B1"/>
    <w:rsid w:val="00BB4D10"/>
    <w:rsid w:val="00BB75A3"/>
    <w:rsid w:val="00BB77E6"/>
    <w:rsid w:val="00BC17F1"/>
    <w:rsid w:val="00BC7930"/>
    <w:rsid w:val="00BC7B07"/>
    <w:rsid w:val="00BD56A0"/>
    <w:rsid w:val="00BD6321"/>
    <w:rsid w:val="00BE25DB"/>
    <w:rsid w:val="00BE52C2"/>
    <w:rsid w:val="00BE5879"/>
    <w:rsid w:val="00BE7B7A"/>
    <w:rsid w:val="00BF22DC"/>
    <w:rsid w:val="00BF3D29"/>
    <w:rsid w:val="00BF6291"/>
    <w:rsid w:val="00C06083"/>
    <w:rsid w:val="00C1001C"/>
    <w:rsid w:val="00C10E69"/>
    <w:rsid w:val="00C11A18"/>
    <w:rsid w:val="00C129C7"/>
    <w:rsid w:val="00C217DD"/>
    <w:rsid w:val="00C226F0"/>
    <w:rsid w:val="00C22A88"/>
    <w:rsid w:val="00C26746"/>
    <w:rsid w:val="00C269CC"/>
    <w:rsid w:val="00C27EBC"/>
    <w:rsid w:val="00C3118E"/>
    <w:rsid w:val="00C31E63"/>
    <w:rsid w:val="00C36CC9"/>
    <w:rsid w:val="00C42E52"/>
    <w:rsid w:val="00C461AD"/>
    <w:rsid w:val="00C471E3"/>
    <w:rsid w:val="00C5077A"/>
    <w:rsid w:val="00C54A29"/>
    <w:rsid w:val="00C54CD9"/>
    <w:rsid w:val="00C56258"/>
    <w:rsid w:val="00C62C35"/>
    <w:rsid w:val="00C65E7F"/>
    <w:rsid w:val="00C67287"/>
    <w:rsid w:val="00C677D0"/>
    <w:rsid w:val="00C70010"/>
    <w:rsid w:val="00C718B3"/>
    <w:rsid w:val="00C72B7A"/>
    <w:rsid w:val="00C73952"/>
    <w:rsid w:val="00C75F66"/>
    <w:rsid w:val="00C76672"/>
    <w:rsid w:val="00C85A6F"/>
    <w:rsid w:val="00C909ED"/>
    <w:rsid w:val="00C93CD4"/>
    <w:rsid w:val="00C941C9"/>
    <w:rsid w:val="00C94853"/>
    <w:rsid w:val="00CA3184"/>
    <w:rsid w:val="00CA41F2"/>
    <w:rsid w:val="00CB14CF"/>
    <w:rsid w:val="00CB32F2"/>
    <w:rsid w:val="00CB43B0"/>
    <w:rsid w:val="00CB497D"/>
    <w:rsid w:val="00CB5415"/>
    <w:rsid w:val="00CB5E37"/>
    <w:rsid w:val="00CC2174"/>
    <w:rsid w:val="00CC3AC3"/>
    <w:rsid w:val="00CC52A3"/>
    <w:rsid w:val="00CC6CAF"/>
    <w:rsid w:val="00CC76CE"/>
    <w:rsid w:val="00CD0628"/>
    <w:rsid w:val="00CD5508"/>
    <w:rsid w:val="00CD72BD"/>
    <w:rsid w:val="00CE0B8C"/>
    <w:rsid w:val="00CE3B79"/>
    <w:rsid w:val="00CE47DF"/>
    <w:rsid w:val="00CE7457"/>
    <w:rsid w:val="00CF1CFF"/>
    <w:rsid w:val="00CF44AD"/>
    <w:rsid w:val="00CF5E76"/>
    <w:rsid w:val="00CF75DB"/>
    <w:rsid w:val="00D02F37"/>
    <w:rsid w:val="00D05C1B"/>
    <w:rsid w:val="00D0754F"/>
    <w:rsid w:val="00D110C6"/>
    <w:rsid w:val="00D1315D"/>
    <w:rsid w:val="00D13633"/>
    <w:rsid w:val="00D14DA8"/>
    <w:rsid w:val="00D16434"/>
    <w:rsid w:val="00D205AF"/>
    <w:rsid w:val="00D2200E"/>
    <w:rsid w:val="00D24004"/>
    <w:rsid w:val="00D26C7C"/>
    <w:rsid w:val="00D26E5E"/>
    <w:rsid w:val="00D317AC"/>
    <w:rsid w:val="00D328AB"/>
    <w:rsid w:val="00D35F3D"/>
    <w:rsid w:val="00D37EC1"/>
    <w:rsid w:val="00D42559"/>
    <w:rsid w:val="00D429B4"/>
    <w:rsid w:val="00D429CC"/>
    <w:rsid w:val="00D459DC"/>
    <w:rsid w:val="00D56EFA"/>
    <w:rsid w:val="00D57032"/>
    <w:rsid w:val="00D575D7"/>
    <w:rsid w:val="00D6169C"/>
    <w:rsid w:val="00D64C07"/>
    <w:rsid w:val="00D66585"/>
    <w:rsid w:val="00D66FB4"/>
    <w:rsid w:val="00D67BF8"/>
    <w:rsid w:val="00D709FB"/>
    <w:rsid w:val="00D71924"/>
    <w:rsid w:val="00D7232D"/>
    <w:rsid w:val="00D80FFA"/>
    <w:rsid w:val="00D83393"/>
    <w:rsid w:val="00D87CF7"/>
    <w:rsid w:val="00D9689C"/>
    <w:rsid w:val="00DA1D14"/>
    <w:rsid w:val="00DA3217"/>
    <w:rsid w:val="00DA3E0F"/>
    <w:rsid w:val="00DA41A2"/>
    <w:rsid w:val="00DA60A3"/>
    <w:rsid w:val="00DA6A0C"/>
    <w:rsid w:val="00DA7A49"/>
    <w:rsid w:val="00DB185F"/>
    <w:rsid w:val="00DB43BB"/>
    <w:rsid w:val="00DB716E"/>
    <w:rsid w:val="00DC2387"/>
    <w:rsid w:val="00DC5B25"/>
    <w:rsid w:val="00DD363B"/>
    <w:rsid w:val="00DD7238"/>
    <w:rsid w:val="00DE0625"/>
    <w:rsid w:val="00DE0D5D"/>
    <w:rsid w:val="00DE468F"/>
    <w:rsid w:val="00DE54B1"/>
    <w:rsid w:val="00DF0382"/>
    <w:rsid w:val="00DF450A"/>
    <w:rsid w:val="00DF5BF0"/>
    <w:rsid w:val="00DF7986"/>
    <w:rsid w:val="00E01B64"/>
    <w:rsid w:val="00E05E7B"/>
    <w:rsid w:val="00E07DAE"/>
    <w:rsid w:val="00E10F47"/>
    <w:rsid w:val="00E12968"/>
    <w:rsid w:val="00E12DBA"/>
    <w:rsid w:val="00E1328E"/>
    <w:rsid w:val="00E13C0E"/>
    <w:rsid w:val="00E22EE8"/>
    <w:rsid w:val="00E251B2"/>
    <w:rsid w:val="00E2716E"/>
    <w:rsid w:val="00E30739"/>
    <w:rsid w:val="00E32355"/>
    <w:rsid w:val="00E32DD6"/>
    <w:rsid w:val="00E330AD"/>
    <w:rsid w:val="00E3766D"/>
    <w:rsid w:val="00E40B6C"/>
    <w:rsid w:val="00E44F91"/>
    <w:rsid w:val="00E46659"/>
    <w:rsid w:val="00E502BA"/>
    <w:rsid w:val="00E50AB9"/>
    <w:rsid w:val="00E50ABE"/>
    <w:rsid w:val="00E5225B"/>
    <w:rsid w:val="00E531E7"/>
    <w:rsid w:val="00E552FA"/>
    <w:rsid w:val="00E57529"/>
    <w:rsid w:val="00E60242"/>
    <w:rsid w:val="00E634F1"/>
    <w:rsid w:val="00E64B58"/>
    <w:rsid w:val="00E6610A"/>
    <w:rsid w:val="00E66ADF"/>
    <w:rsid w:val="00E67719"/>
    <w:rsid w:val="00E772AF"/>
    <w:rsid w:val="00E7797A"/>
    <w:rsid w:val="00E803ED"/>
    <w:rsid w:val="00E81EEA"/>
    <w:rsid w:val="00E84729"/>
    <w:rsid w:val="00E84F5D"/>
    <w:rsid w:val="00E876C0"/>
    <w:rsid w:val="00E87D06"/>
    <w:rsid w:val="00E87E5A"/>
    <w:rsid w:val="00E909E5"/>
    <w:rsid w:val="00E92562"/>
    <w:rsid w:val="00E935A1"/>
    <w:rsid w:val="00E93E25"/>
    <w:rsid w:val="00E94A8E"/>
    <w:rsid w:val="00E96EBC"/>
    <w:rsid w:val="00EA284F"/>
    <w:rsid w:val="00EA3B11"/>
    <w:rsid w:val="00EA63A7"/>
    <w:rsid w:val="00EC1721"/>
    <w:rsid w:val="00EC29CE"/>
    <w:rsid w:val="00EC5A56"/>
    <w:rsid w:val="00EC6D57"/>
    <w:rsid w:val="00EC7546"/>
    <w:rsid w:val="00EC7C92"/>
    <w:rsid w:val="00ED2C08"/>
    <w:rsid w:val="00EE26D9"/>
    <w:rsid w:val="00EE3377"/>
    <w:rsid w:val="00EF128B"/>
    <w:rsid w:val="00EF2B05"/>
    <w:rsid w:val="00EF3252"/>
    <w:rsid w:val="00EF41F8"/>
    <w:rsid w:val="00EF5DA8"/>
    <w:rsid w:val="00F04905"/>
    <w:rsid w:val="00F1661E"/>
    <w:rsid w:val="00F17ED0"/>
    <w:rsid w:val="00F2045E"/>
    <w:rsid w:val="00F23234"/>
    <w:rsid w:val="00F23518"/>
    <w:rsid w:val="00F2453C"/>
    <w:rsid w:val="00F26DEA"/>
    <w:rsid w:val="00F30C2B"/>
    <w:rsid w:val="00F33A7D"/>
    <w:rsid w:val="00F346BE"/>
    <w:rsid w:val="00F41776"/>
    <w:rsid w:val="00F41866"/>
    <w:rsid w:val="00F44E89"/>
    <w:rsid w:val="00F44EB1"/>
    <w:rsid w:val="00F47777"/>
    <w:rsid w:val="00F47AF2"/>
    <w:rsid w:val="00F512C3"/>
    <w:rsid w:val="00F51702"/>
    <w:rsid w:val="00F54BC0"/>
    <w:rsid w:val="00F570DB"/>
    <w:rsid w:val="00F5799D"/>
    <w:rsid w:val="00F66C83"/>
    <w:rsid w:val="00F728A6"/>
    <w:rsid w:val="00F73533"/>
    <w:rsid w:val="00F73696"/>
    <w:rsid w:val="00F73B9A"/>
    <w:rsid w:val="00F73EEA"/>
    <w:rsid w:val="00F7471B"/>
    <w:rsid w:val="00F80CFD"/>
    <w:rsid w:val="00F84C7D"/>
    <w:rsid w:val="00F85E71"/>
    <w:rsid w:val="00F90085"/>
    <w:rsid w:val="00F94A6B"/>
    <w:rsid w:val="00F95F70"/>
    <w:rsid w:val="00F96558"/>
    <w:rsid w:val="00F96A71"/>
    <w:rsid w:val="00F9789F"/>
    <w:rsid w:val="00FA07E9"/>
    <w:rsid w:val="00FA2A4C"/>
    <w:rsid w:val="00FA363C"/>
    <w:rsid w:val="00FA5863"/>
    <w:rsid w:val="00FA7523"/>
    <w:rsid w:val="00FB0CF1"/>
    <w:rsid w:val="00FC147E"/>
    <w:rsid w:val="00FC1790"/>
    <w:rsid w:val="00FC1A59"/>
    <w:rsid w:val="00FC54E8"/>
    <w:rsid w:val="00FC7CA4"/>
    <w:rsid w:val="00FD0769"/>
    <w:rsid w:val="00FD3C58"/>
    <w:rsid w:val="00FE554A"/>
    <w:rsid w:val="00FF09A1"/>
    <w:rsid w:val="00FF09CF"/>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AE713"/>
  <w15:docId w15:val="{CBFE95E2-72E4-8A4A-B743-2829D82F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47F2"/>
    <w:rPr>
      <w:sz w:val="24"/>
      <w:szCs w:val="24"/>
      <w:lang w:eastAsia="zh-CN"/>
    </w:rPr>
  </w:style>
  <w:style w:type="paragraph" w:styleId="Heading1">
    <w:name w:val="heading 1"/>
    <w:basedOn w:val="Normal"/>
    <w:next w:val="Normal"/>
    <w:link w:val="Heading1Char"/>
    <w:uiPriority w:val="9"/>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customStyle="1" w:styleId="Normal1">
    <w:name w:val="Normal1"/>
    <w:next w:val="Normal"/>
    <w:link w:val="FooterChar"/>
    <w:qFormat/>
    <w:rsid w:val="00D42559"/>
    <w:rPr>
      <w:sz w:val="24"/>
      <w:szCs w:val="24"/>
      <w:lang w:eastAsia="zh-CN"/>
    </w:rPr>
  </w:style>
  <w:style w:type="character" w:customStyle="1" w:styleId="FooterChar">
    <w:name w:val="Footer Char"/>
    <w:link w:val="Normal1"/>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05C1B"/>
    <w:pPr>
      <w:ind w:left="720"/>
      <w:contextualSpacing/>
    </w:pPr>
  </w:style>
  <w:style w:type="character" w:styleId="Hyperlink">
    <w:name w:val="Hyperlink"/>
    <w:basedOn w:val="DefaultParagraphFont"/>
    <w:uiPriority w:val="99"/>
    <w:rsid w:val="003E06C0"/>
    <w:rPr>
      <w:color w:val="0563C1" w:themeColor="hyperlink"/>
      <w:u w:val="single"/>
    </w:rPr>
  </w:style>
  <w:style w:type="character" w:styleId="UnresolvedMention">
    <w:name w:val="Unresolved Mention"/>
    <w:basedOn w:val="DefaultParagraphFont"/>
    <w:uiPriority w:val="99"/>
    <w:semiHidden/>
    <w:unhideWhenUsed/>
    <w:rsid w:val="003E06C0"/>
    <w:rPr>
      <w:color w:val="605E5C"/>
      <w:shd w:val="clear" w:color="auto" w:fill="E1DFDD"/>
    </w:rPr>
  </w:style>
  <w:style w:type="character" w:customStyle="1" w:styleId="FootnoteTextChar">
    <w:name w:val="Footnote Text Char"/>
    <w:basedOn w:val="DefaultParagraphFont"/>
    <w:rsid w:val="00D37EC1"/>
    <w:rPr>
      <w:lang w:eastAsia="zh-CN"/>
    </w:rPr>
  </w:style>
  <w:style w:type="character" w:styleId="FollowedHyperlink">
    <w:name w:val="FollowedHyperlink"/>
    <w:basedOn w:val="DefaultParagraphFont"/>
    <w:rsid w:val="005844AA"/>
    <w:rPr>
      <w:color w:val="954F72" w:themeColor="followedHyperlink"/>
      <w:u w:val="single"/>
    </w:rPr>
  </w:style>
  <w:style w:type="paragraph" w:styleId="Footer">
    <w:name w:val="footer"/>
    <w:basedOn w:val="Normal"/>
    <w:link w:val="FooterChar1"/>
    <w:uiPriority w:val="99"/>
    <w:rsid w:val="00062FA2"/>
    <w:pPr>
      <w:tabs>
        <w:tab w:val="center" w:pos="4513"/>
        <w:tab w:val="right" w:pos="9026"/>
      </w:tabs>
    </w:pPr>
  </w:style>
  <w:style w:type="character" w:customStyle="1" w:styleId="FooterChar1">
    <w:name w:val="Footer Char1"/>
    <w:basedOn w:val="DefaultParagraphFont"/>
    <w:link w:val="Footer"/>
    <w:uiPriority w:val="99"/>
    <w:rsid w:val="00062FA2"/>
    <w:rPr>
      <w:sz w:val="24"/>
      <w:szCs w:val="24"/>
      <w:lang w:eastAsia="zh-CN"/>
    </w:rPr>
  </w:style>
  <w:style w:type="character" w:customStyle="1" w:styleId="Heading1Char">
    <w:name w:val="Heading 1 Char"/>
    <w:basedOn w:val="DefaultParagraphFont"/>
    <w:link w:val="Heading1"/>
    <w:uiPriority w:val="9"/>
    <w:rsid w:val="00F94A6B"/>
    <w:rPr>
      <w:rFonts w:ascii="Arial" w:hAnsi="Arial" w:cs="Arial"/>
      <w:b/>
      <w:bCs/>
      <w:kern w:val="32"/>
      <w:sz w:val="32"/>
      <w:szCs w:val="32"/>
      <w:lang w:eastAsia="zh-CN"/>
    </w:rPr>
  </w:style>
  <w:style w:type="paragraph" w:styleId="FootnoteText">
    <w:name w:val="footnote text"/>
    <w:basedOn w:val="Normal"/>
    <w:link w:val="FootnoteTextChar1"/>
    <w:rsid w:val="007E47F2"/>
    <w:rPr>
      <w:rFonts w:ascii="Arial" w:hAnsi="Arial"/>
      <w:sz w:val="18"/>
      <w:szCs w:val="20"/>
    </w:rPr>
  </w:style>
  <w:style w:type="character" w:customStyle="1" w:styleId="FootnoteTextChar1">
    <w:name w:val="Footnote Text Char1"/>
    <w:basedOn w:val="DefaultParagraphFont"/>
    <w:link w:val="FootnoteText"/>
    <w:rsid w:val="007E47F2"/>
    <w:rPr>
      <w:rFonts w:ascii="Arial" w:hAnsi="Arial"/>
      <w:sz w:val="18"/>
      <w:lang w:eastAsia="zh-CN"/>
    </w:rPr>
  </w:style>
  <w:style w:type="character" w:styleId="FootnoteReference">
    <w:name w:val="footnote reference"/>
    <w:basedOn w:val="DefaultParagraphFont"/>
    <w:rsid w:val="007E47F2"/>
    <w:rPr>
      <w:rFonts w:ascii="Arial" w:hAnsi="Arial"/>
      <w:sz w:val="22"/>
      <w:vertAlign w:val="superscript"/>
    </w:rPr>
  </w:style>
  <w:style w:type="character" w:styleId="Emphasis">
    <w:name w:val="Emphasis"/>
    <w:basedOn w:val="DefaultParagraphFont"/>
    <w:qFormat/>
    <w:rsid w:val="005624A5"/>
    <w:rPr>
      <w:i/>
      <w:iCs/>
    </w:rPr>
  </w:style>
  <w:style w:type="character" w:styleId="PageNumber">
    <w:name w:val="page number"/>
    <w:basedOn w:val="DefaultParagraphFont"/>
    <w:rsid w:val="00EC5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8945">
      <w:bodyDiv w:val="1"/>
      <w:marLeft w:val="0"/>
      <w:marRight w:val="0"/>
      <w:marTop w:val="0"/>
      <w:marBottom w:val="0"/>
      <w:divBdr>
        <w:top w:val="none" w:sz="0" w:space="0" w:color="auto"/>
        <w:left w:val="none" w:sz="0" w:space="0" w:color="auto"/>
        <w:bottom w:val="none" w:sz="0" w:space="0" w:color="auto"/>
        <w:right w:val="none" w:sz="0" w:space="0" w:color="auto"/>
      </w:divBdr>
      <w:divsChild>
        <w:div w:id="148137885">
          <w:marLeft w:val="0"/>
          <w:marRight w:val="0"/>
          <w:marTop w:val="0"/>
          <w:marBottom w:val="0"/>
          <w:divBdr>
            <w:top w:val="none" w:sz="0" w:space="0" w:color="auto"/>
            <w:left w:val="none" w:sz="0" w:space="0" w:color="auto"/>
            <w:bottom w:val="none" w:sz="0" w:space="0" w:color="auto"/>
            <w:right w:val="none" w:sz="0" w:space="0" w:color="auto"/>
          </w:divBdr>
        </w:div>
      </w:divsChild>
    </w:div>
    <w:div w:id="151336275">
      <w:bodyDiv w:val="1"/>
      <w:marLeft w:val="0"/>
      <w:marRight w:val="0"/>
      <w:marTop w:val="0"/>
      <w:marBottom w:val="0"/>
      <w:divBdr>
        <w:top w:val="none" w:sz="0" w:space="0" w:color="auto"/>
        <w:left w:val="none" w:sz="0" w:space="0" w:color="auto"/>
        <w:bottom w:val="none" w:sz="0" w:space="0" w:color="auto"/>
        <w:right w:val="none" w:sz="0" w:space="0" w:color="auto"/>
      </w:divBdr>
      <w:divsChild>
        <w:div w:id="848838517">
          <w:marLeft w:val="0"/>
          <w:marRight w:val="0"/>
          <w:marTop w:val="0"/>
          <w:marBottom w:val="0"/>
          <w:divBdr>
            <w:top w:val="none" w:sz="0" w:space="0" w:color="auto"/>
            <w:left w:val="none" w:sz="0" w:space="0" w:color="auto"/>
            <w:bottom w:val="none" w:sz="0" w:space="0" w:color="auto"/>
            <w:right w:val="none" w:sz="0" w:space="0" w:color="auto"/>
          </w:divBdr>
          <w:divsChild>
            <w:div w:id="58287206">
              <w:marLeft w:val="0"/>
              <w:marRight w:val="0"/>
              <w:marTop w:val="0"/>
              <w:marBottom w:val="0"/>
              <w:divBdr>
                <w:top w:val="none" w:sz="0" w:space="0" w:color="auto"/>
                <w:left w:val="none" w:sz="0" w:space="0" w:color="auto"/>
                <w:bottom w:val="none" w:sz="0" w:space="0" w:color="auto"/>
                <w:right w:val="none" w:sz="0" w:space="0" w:color="auto"/>
              </w:divBdr>
              <w:divsChild>
                <w:div w:id="804349098">
                  <w:marLeft w:val="0"/>
                  <w:marRight w:val="0"/>
                  <w:marTop w:val="0"/>
                  <w:marBottom w:val="0"/>
                  <w:divBdr>
                    <w:top w:val="none" w:sz="0" w:space="0" w:color="auto"/>
                    <w:left w:val="none" w:sz="0" w:space="0" w:color="auto"/>
                    <w:bottom w:val="none" w:sz="0" w:space="0" w:color="auto"/>
                    <w:right w:val="none" w:sz="0" w:space="0" w:color="auto"/>
                  </w:divBdr>
                  <w:divsChild>
                    <w:div w:id="13168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92933">
      <w:bodyDiv w:val="1"/>
      <w:marLeft w:val="0"/>
      <w:marRight w:val="0"/>
      <w:marTop w:val="0"/>
      <w:marBottom w:val="0"/>
      <w:divBdr>
        <w:top w:val="none" w:sz="0" w:space="0" w:color="auto"/>
        <w:left w:val="none" w:sz="0" w:space="0" w:color="auto"/>
        <w:bottom w:val="none" w:sz="0" w:space="0" w:color="auto"/>
        <w:right w:val="none" w:sz="0" w:space="0" w:color="auto"/>
      </w:divBdr>
      <w:divsChild>
        <w:div w:id="171185907">
          <w:marLeft w:val="0"/>
          <w:marRight w:val="0"/>
          <w:marTop w:val="0"/>
          <w:marBottom w:val="0"/>
          <w:divBdr>
            <w:top w:val="none" w:sz="0" w:space="0" w:color="auto"/>
            <w:left w:val="none" w:sz="0" w:space="0" w:color="auto"/>
            <w:bottom w:val="none" w:sz="0" w:space="0" w:color="auto"/>
            <w:right w:val="none" w:sz="0" w:space="0" w:color="auto"/>
          </w:divBdr>
          <w:divsChild>
            <w:div w:id="1301418245">
              <w:marLeft w:val="0"/>
              <w:marRight w:val="0"/>
              <w:marTop w:val="0"/>
              <w:marBottom w:val="0"/>
              <w:divBdr>
                <w:top w:val="none" w:sz="0" w:space="0" w:color="auto"/>
                <w:left w:val="none" w:sz="0" w:space="0" w:color="auto"/>
                <w:bottom w:val="none" w:sz="0" w:space="0" w:color="auto"/>
                <w:right w:val="none" w:sz="0" w:space="0" w:color="auto"/>
              </w:divBdr>
              <w:divsChild>
                <w:div w:id="1323310364">
                  <w:marLeft w:val="0"/>
                  <w:marRight w:val="0"/>
                  <w:marTop w:val="0"/>
                  <w:marBottom w:val="0"/>
                  <w:divBdr>
                    <w:top w:val="none" w:sz="0" w:space="0" w:color="auto"/>
                    <w:left w:val="none" w:sz="0" w:space="0" w:color="auto"/>
                    <w:bottom w:val="none" w:sz="0" w:space="0" w:color="auto"/>
                    <w:right w:val="none" w:sz="0" w:space="0" w:color="auto"/>
                  </w:divBdr>
                  <w:divsChild>
                    <w:div w:id="128549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7891">
      <w:bodyDiv w:val="1"/>
      <w:marLeft w:val="0"/>
      <w:marRight w:val="0"/>
      <w:marTop w:val="0"/>
      <w:marBottom w:val="0"/>
      <w:divBdr>
        <w:top w:val="none" w:sz="0" w:space="0" w:color="auto"/>
        <w:left w:val="none" w:sz="0" w:space="0" w:color="auto"/>
        <w:bottom w:val="none" w:sz="0" w:space="0" w:color="auto"/>
        <w:right w:val="none" w:sz="0" w:space="0" w:color="auto"/>
      </w:divBdr>
    </w:div>
    <w:div w:id="189757181">
      <w:bodyDiv w:val="1"/>
      <w:marLeft w:val="0"/>
      <w:marRight w:val="0"/>
      <w:marTop w:val="0"/>
      <w:marBottom w:val="0"/>
      <w:divBdr>
        <w:top w:val="none" w:sz="0" w:space="0" w:color="auto"/>
        <w:left w:val="none" w:sz="0" w:space="0" w:color="auto"/>
        <w:bottom w:val="none" w:sz="0" w:space="0" w:color="auto"/>
        <w:right w:val="none" w:sz="0" w:space="0" w:color="auto"/>
      </w:divBdr>
    </w:div>
    <w:div w:id="224875236">
      <w:bodyDiv w:val="1"/>
      <w:marLeft w:val="0"/>
      <w:marRight w:val="0"/>
      <w:marTop w:val="0"/>
      <w:marBottom w:val="0"/>
      <w:divBdr>
        <w:top w:val="none" w:sz="0" w:space="0" w:color="auto"/>
        <w:left w:val="none" w:sz="0" w:space="0" w:color="auto"/>
        <w:bottom w:val="none" w:sz="0" w:space="0" w:color="auto"/>
        <w:right w:val="none" w:sz="0" w:space="0" w:color="auto"/>
      </w:divBdr>
    </w:div>
    <w:div w:id="306738430">
      <w:bodyDiv w:val="1"/>
      <w:marLeft w:val="0"/>
      <w:marRight w:val="0"/>
      <w:marTop w:val="0"/>
      <w:marBottom w:val="0"/>
      <w:divBdr>
        <w:top w:val="none" w:sz="0" w:space="0" w:color="auto"/>
        <w:left w:val="none" w:sz="0" w:space="0" w:color="auto"/>
        <w:bottom w:val="none" w:sz="0" w:space="0" w:color="auto"/>
        <w:right w:val="none" w:sz="0" w:space="0" w:color="auto"/>
      </w:divBdr>
    </w:div>
    <w:div w:id="335621999">
      <w:bodyDiv w:val="1"/>
      <w:marLeft w:val="0"/>
      <w:marRight w:val="0"/>
      <w:marTop w:val="0"/>
      <w:marBottom w:val="0"/>
      <w:divBdr>
        <w:top w:val="none" w:sz="0" w:space="0" w:color="auto"/>
        <w:left w:val="none" w:sz="0" w:space="0" w:color="auto"/>
        <w:bottom w:val="none" w:sz="0" w:space="0" w:color="auto"/>
        <w:right w:val="none" w:sz="0" w:space="0" w:color="auto"/>
      </w:divBdr>
    </w:div>
    <w:div w:id="376008752">
      <w:bodyDiv w:val="1"/>
      <w:marLeft w:val="0"/>
      <w:marRight w:val="0"/>
      <w:marTop w:val="0"/>
      <w:marBottom w:val="0"/>
      <w:divBdr>
        <w:top w:val="none" w:sz="0" w:space="0" w:color="auto"/>
        <w:left w:val="none" w:sz="0" w:space="0" w:color="auto"/>
        <w:bottom w:val="none" w:sz="0" w:space="0" w:color="auto"/>
        <w:right w:val="none" w:sz="0" w:space="0" w:color="auto"/>
      </w:divBdr>
      <w:divsChild>
        <w:div w:id="299923391">
          <w:marLeft w:val="0"/>
          <w:marRight w:val="0"/>
          <w:marTop w:val="0"/>
          <w:marBottom w:val="0"/>
          <w:divBdr>
            <w:top w:val="none" w:sz="0" w:space="0" w:color="auto"/>
            <w:left w:val="none" w:sz="0" w:space="0" w:color="auto"/>
            <w:bottom w:val="none" w:sz="0" w:space="0" w:color="auto"/>
            <w:right w:val="none" w:sz="0" w:space="0" w:color="auto"/>
          </w:divBdr>
          <w:divsChild>
            <w:div w:id="1877310707">
              <w:marLeft w:val="0"/>
              <w:marRight w:val="0"/>
              <w:marTop w:val="0"/>
              <w:marBottom w:val="0"/>
              <w:divBdr>
                <w:top w:val="none" w:sz="0" w:space="0" w:color="auto"/>
                <w:left w:val="none" w:sz="0" w:space="0" w:color="auto"/>
                <w:bottom w:val="none" w:sz="0" w:space="0" w:color="auto"/>
                <w:right w:val="none" w:sz="0" w:space="0" w:color="auto"/>
              </w:divBdr>
              <w:divsChild>
                <w:div w:id="1909027617">
                  <w:marLeft w:val="0"/>
                  <w:marRight w:val="0"/>
                  <w:marTop w:val="0"/>
                  <w:marBottom w:val="0"/>
                  <w:divBdr>
                    <w:top w:val="none" w:sz="0" w:space="0" w:color="auto"/>
                    <w:left w:val="none" w:sz="0" w:space="0" w:color="auto"/>
                    <w:bottom w:val="none" w:sz="0" w:space="0" w:color="auto"/>
                    <w:right w:val="none" w:sz="0" w:space="0" w:color="auto"/>
                  </w:divBdr>
                  <w:divsChild>
                    <w:div w:id="9377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329518">
      <w:bodyDiv w:val="1"/>
      <w:marLeft w:val="0"/>
      <w:marRight w:val="0"/>
      <w:marTop w:val="0"/>
      <w:marBottom w:val="0"/>
      <w:divBdr>
        <w:top w:val="none" w:sz="0" w:space="0" w:color="auto"/>
        <w:left w:val="none" w:sz="0" w:space="0" w:color="auto"/>
        <w:bottom w:val="none" w:sz="0" w:space="0" w:color="auto"/>
        <w:right w:val="none" w:sz="0" w:space="0" w:color="auto"/>
      </w:divBdr>
    </w:div>
    <w:div w:id="403380240">
      <w:bodyDiv w:val="1"/>
      <w:marLeft w:val="0"/>
      <w:marRight w:val="0"/>
      <w:marTop w:val="0"/>
      <w:marBottom w:val="0"/>
      <w:divBdr>
        <w:top w:val="none" w:sz="0" w:space="0" w:color="auto"/>
        <w:left w:val="none" w:sz="0" w:space="0" w:color="auto"/>
        <w:bottom w:val="none" w:sz="0" w:space="0" w:color="auto"/>
        <w:right w:val="none" w:sz="0" w:space="0" w:color="auto"/>
      </w:divBdr>
      <w:divsChild>
        <w:div w:id="242878515">
          <w:marLeft w:val="0"/>
          <w:marRight w:val="0"/>
          <w:marTop w:val="0"/>
          <w:marBottom w:val="0"/>
          <w:divBdr>
            <w:top w:val="none" w:sz="0" w:space="0" w:color="auto"/>
            <w:left w:val="none" w:sz="0" w:space="0" w:color="auto"/>
            <w:bottom w:val="none" w:sz="0" w:space="0" w:color="auto"/>
            <w:right w:val="none" w:sz="0" w:space="0" w:color="auto"/>
          </w:divBdr>
          <w:divsChild>
            <w:div w:id="1021588514">
              <w:marLeft w:val="0"/>
              <w:marRight w:val="0"/>
              <w:marTop w:val="0"/>
              <w:marBottom w:val="0"/>
              <w:divBdr>
                <w:top w:val="none" w:sz="0" w:space="0" w:color="auto"/>
                <w:left w:val="none" w:sz="0" w:space="0" w:color="auto"/>
                <w:bottom w:val="none" w:sz="0" w:space="0" w:color="auto"/>
                <w:right w:val="none" w:sz="0" w:space="0" w:color="auto"/>
              </w:divBdr>
              <w:divsChild>
                <w:div w:id="1878467424">
                  <w:marLeft w:val="0"/>
                  <w:marRight w:val="0"/>
                  <w:marTop w:val="0"/>
                  <w:marBottom w:val="0"/>
                  <w:divBdr>
                    <w:top w:val="none" w:sz="0" w:space="0" w:color="auto"/>
                    <w:left w:val="none" w:sz="0" w:space="0" w:color="auto"/>
                    <w:bottom w:val="none" w:sz="0" w:space="0" w:color="auto"/>
                    <w:right w:val="none" w:sz="0" w:space="0" w:color="auto"/>
                  </w:divBdr>
                  <w:divsChild>
                    <w:div w:id="126642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739687">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22330992">
      <w:bodyDiv w:val="1"/>
      <w:marLeft w:val="0"/>
      <w:marRight w:val="0"/>
      <w:marTop w:val="0"/>
      <w:marBottom w:val="0"/>
      <w:divBdr>
        <w:top w:val="none" w:sz="0" w:space="0" w:color="auto"/>
        <w:left w:val="none" w:sz="0" w:space="0" w:color="auto"/>
        <w:bottom w:val="none" w:sz="0" w:space="0" w:color="auto"/>
        <w:right w:val="none" w:sz="0" w:space="0" w:color="auto"/>
      </w:divBdr>
      <w:divsChild>
        <w:div w:id="287592831">
          <w:marLeft w:val="0"/>
          <w:marRight w:val="0"/>
          <w:marTop w:val="0"/>
          <w:marBottom w:val="0"/>
          <w:divBdr>
            <w:top w:val="none" w:sz="0" w:space="0" w:color="auto"/>
            <w:left w:val="none" w:sz="0" w:space="0" w:color="auto"/>
            <w:bottom w:val="none" w:sz="0" w:space="0" w:color="auto"/>
            <w:right w:val="none" w:sz="0" w:space="0" w:color="auto"/>
          </w:divBdr>
        </w:div>
      </w:divsChild>
    </w:div>
    <w:div w:id="599804082">
      <w:bodyDiv w:val="1"/>
      <w:marLeft w:val="0"/>
      <w:marRight w:val="0"/>
      <w:marTop w:val="0"/>
      <w:marBottom w:val="0"/>
      <w:divBdr>
        <w:top w:val="none" w:sz="0" w:space="0" w:color="auto"/>
        <w:left w:val="none" w:sz="0" w:space="0" w:color="auto"/>
        <w:bottom w:val="none" w:sz="0" w:space="0" w:color="auto"/>
        <w:right w:val="none" w:sz="0" w:space="0" w:color="auto"/>
      </w:divBdr>
    </w:div>
    <w:div w:id="629868729">
      <w:bodyDiv w:val="1"/>
      <w:marLeft w:val="0"/>
      <w:marRight w:val="0"/>
      <w:marTop w:val="0"/>
      <w:marBottom w:val="0"/>
      <w:divBdr>
        <w:top w:val="none" w:sz="0" w:space="0" w:color="auto"/>
        <w:left w:val="none" w:sz="0" w:space="0" w:color="auto"/>
        <w:bottom w:val="none" w:sz="0" w:space="0" w:color="auto"/>
        <w:right w:val="none" w:sz="0" w:space="0" w:color="auto"/>
      </w:divBdr>
      <w:divsChild>
        <w:div w:id="112216287">
          <w:marLeft w:val="0"/>
          <w:marRight w:val="0"/>
          <w:marTop w:val="0"/>
          <w:marBottom w:val="0"/>
          <w:divBdr>
            <w:top w:val="none" w:sz="0" w:space="0" w:color="auto"/>
            <w:left w:val="none" w:sz="0" w:space="0" w:color="auto"/>
            <w:bottom w:val="none" w:sz="0" w:space="0" w:color="auto"/>
            <w:right w:val="none" w:sz="0" w:space="0" w:color="auto"/>
          </w:divBdr>
          <w:divsChild>
            <w:div w:id="471751937">
              <w:marLeft w:val="0"/>
              <w:marRight w:val="0"/>
              <w:marTop w:val="0"/>
              <w:marBottom w:val="0"/>
              <w:divBdr>
                <w:top w:val="none" w:sz="0" w:space="0" w:color="auto"/>
                <w:left w:val="none" w:sz="0" w:space="0" w:color="auto"/>
                <w:bottom w:val="none" w:sz="0" w:space="0" w:color="auto"/>
                <w:right w:val="none" w:sz="0" w:space="0" w:color="auto"/>
              </w:divBdr>
              <w:divsChild>
                <w:div w:id="949242112">
                  <w:marLeft w:val="0"/>
                  <w:marRight w:val="0"/>
                  <w:marTop w:val="0"/>
                  <w:marBottom w:val="0"/>
                  <w:divBdr>
                    <w:top w:val="none" w:sz="0" w:space="0" w:color="auto"/>
                    <w:left w:val="none" w:sz="0" w:space="0" w:color="auto"/>
                    <w:bottom w:val="none" w:sz="0" w:space="0" w:color="auto"/>
                    <w:right w:val="none" w:sz="0" w:space="0" w:color="auto"/>
                  </w:divBdr>
                  <w:divsChild>
                    <w:div w:id="154305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901155">
      <w:bodyDiv w:val="1"/>
      <w:marLeft w:val="0"/>
      <w:marRight w:val="0"/>
      <w:marTop w:val="0"/>
      <w:marBottom w:val="0"/>
      <w:divBdr>
        <w:top w:val="none" w:sz="0" w:space="0" w:color="auto"/>
        <w:left w:val="none" w:sz="0" w:space="0" w:color="auto"/>
        <w:bottom w:val="none" w:sz="0" w:space="0" w:color="auto"/>
        <w:right w:val="none" w:sz="0" w:space="0" w:color="auto"/>
      </w:divBdr>
      <w:divsChild>
        <w:div w:id="2007321326">
          <w:marLeft w:val="0"/>
          <w:marRight w:val="0"/>
          <w:marTop w:val="0"/>
          <w:marBottom w:val="0"/>
          <w:divBdr>
            <w:top w:val="none" w:sz="0" w:space="0" w:color="auto"/>
            <w:left w:val="none" w:sz="0" w:space="0" w:color="auto"/>
            <w:bottom w:val="none" w:sz="0" w:space="0" w:color="auto"/>
            <w:right w:val="none" w:sz="0" w:space="0" w:color="auto"/>
          </w:divBdr>
          <w:divsChild>
            <w:div w:id="2136093649">
              <w:marLeft w:val="0"/>
              <w:marRight w:val="0"/>
              <w:marTop w:val="0"/>
              <w:marBottom w:val="0"/>
              <w:divBdr>
                <w:top w:val="none" w:sz="0" w:space="0" w:color="auto"/>
                <w:left w:val="none" w:sz="0" w:space="0" w:color="auto"/>
                <w:bottom w:val="none" w:sz="0" w:space="0" w:color="auto"/>
                <w:right w:val="none" w:sz="0" w:space="0" w:color="auto"/>
              </w:divBdr>
              <w:divsChild>
                <w:div w:id="1054638">
                  <w:marLeft w:val="0"/>
                  <w:marRight w:val="0"/>
                  <w:marTop w:val="0"/>
                  <w:marBottom w:val="0"/>
                  <w:divBdr>
                    <w:top w:val="none" w:sz="0" w:space="0" w:color="auto"/>
                    <w:left w:val="none" w:sz="0" w:space="0" w:color="auto"/>
                    <w:bottom w:val="none" w:sz="0" w:space="0" w:color="auto"/>
                    <w:right w:val="none" w:sz="0" w:space="0" w:color="auto"/>
                  </w:divBdr>
                  <w:divsChild>
                    <w:div w:id="26562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946992">
      <w:bodyDiv w:val="1"/>
      <w:marLeft w:val="0"/>
      <w:marRight w:val="0"/>
      <w:marTop w:val="0"/>
      <w:marBottom w:val="0"/>
      <w:divBdr>
        <w:top w:val="none" w:sz="0" w:space="0" w:color="auto"/>
        <w:left w:val="none" w:sz="0" w:space="0" w:color="auto"/>
        <w:bottom w:val="none" w:sz="0" w:space="0" w:color="auto"/>
        <w:right w:val="none" w:sz="0" w:space="0" w:color="auto"/>
      </w:divBdr>
      <w:divsChild>
        <w:div w:id="1632252369">
          <w:marLeft w:val="0"/>
          <w:marRight w:val="0"/>
          <w:marTop w:val="0"/>
          <w:marBottom w:val="0"/>
          <w:divBdr>
            <w:top w:val="none" w:sz="0" w:space="0" w:color="auto"/>
            <w:left w:val="none" w:sz="0" w:space="0" w:color="auto"/>
            <w:bottom w:val="none" w:sz="0" w:space="0" w:color="auto"/>
            <w:right w:val="none" w:sz="0" w:space="0" w:color="auto"/>
          </w:divBdr>
          <w:divsChild>
            <w:div w:id="2002345880">
              <w:marLeft w:val="0"/>
              <w:marRight w:val="0"/>
              <w:marTop w:val="0"/>
              <w:marBottom w:val="0"/>
              <w:divBdr>
                <w:top w:val="none" w:sz="0" w:space="0" w:color="auto"/>
                <w:left w:val="none" w:sz="0" w:space="0" w:color="auto"/>
                <w:bottom w:val="none" w:sz="0" w:space="0" w:color="auto"/>
                <w:right w:val="none" w:sz="0" w:space="0" w:color="auto"/>
              </w:divBdr>
              <w:divsChild>
                <w:div w:id="11318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654713">
      <w:bodyDiv w:val="1"/>
      <w:marLeft w:val="0"/>
      <w:marRight w:val="0"/>
      <w:marTop w:val="0"/>
      <w:marBottom w:val="0"/>
      <w:divBdr>
        <w:top w:val="none" w:sz="0" w:space="0" w:color="auto"/>
        <w:left w:val="none" w:sz="0" w:space="0" w:color="auto"/>
        <w:bottom w:val="none" w:sz="0" w:space="0" w:color="auto"/>
        <w:right w:val="none" w:sz="0" w:space="0" w:color="auto"/>
      </w:divBdr>
      <w:divsChild>
        <w:div w:id="758402738">
          <w:marLeft w:val="0"/>
          <w:marRight w:val="0"/>
          <w:marTop w:val="0"/>
          <w:marBottom w:val="0"/>
          <w:divBdr>
            <w:top w:val="none" w:sz="0" w:space="0" w:color="auto"/>
            <w:left w:val="none" w:sz="0" w:space="0" w:color="auto"/>
            <w:bottom w:val="none" w:sz="0" w:space="0" w:color="auto"/>
            <w:right w:val="none" w:sz="0" w:space="0" w:color="auto"/>
          </w:divBdr>
          <w:divsChild>
            <w:div w:id="1029792616">
              <w:marLeft w:val="0"/>
              <w:marRight w:val="0"/>
              <w:marTop w:val="0"/>
              <w:marBottom w:val="0"/>
              <w:divBdr>
                <w:top w:val="none" w:sz="0" w:space="0" w:color="auto"/>
                <w:left w:val="none" w:sz="0" w:space="0" w:color="auto"/>
                <w:bottom w:val="none" w:sz="0" w:space="0" w:color="auto"/>
                <w:right w:val="none" w:sz="0" w:space="0" w:color="auto"/>
              </w:divBdr>
              <w:divsChild>
                <w:div w:id="1192575926">
                  <w:marLeft w:val="0"/>
                  <w:marRight w:val="0"/>
                  <w:marTop w:val="0"/>
                  <w:marBottom w:val="0"/>
                  <w:divBdr>
                    <w:top w:val="none" w:sz="0" w:space="0" w:color="auto"/>
                    <w:left w:val="none" w:sz="0" w:space="0" w:color="auto"/>
                    <w:bottom w:val="none" w:sz="0" w:space="0" w:color="auto"/>
                    <w:right w:val="none" w:sz="0" w:space="0" w:color="auto"/>
                  </w:divBdr>
                  <w:divsChild>
                    <w:div w:id="20460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96463">
      <w:bodyDiv w:val="1"/>
      <w:marLeft w:val="0"/>
      <w:marRight w:val="0"/>
      <w:marTop w:val="0"/>
      <w:marBottom w:val="0"/>
      <w:divBdr>
        <w:top w:val="none" w:sz="0" w:space="0" w:color="auto"/>
        <w:left w:val="none" w:sz="0" w:space="0" w:color="auto"/>
        <w:bottom w:val="none" w:sz="0" w:space="0" w:color="auto"/>
        <w:right w:val="none" w:sz="0" w:space="0" w:color="auto"/>
      </w:divBdr>
      <w:divsChild>
        <w:div w:id="602687598">
          <w:marLeft w:val="0"/>
          <w:marRight w:val="0"/>
          <w:marTop w:val="0"/>
          <w:marBottom w:val="0"/>
          <w:divBdr>
            <w:top w:val="none" w:sz="0" w:space="0" w:color="auto"/>
            <w:left w:val="none" w:sz="0" w:space="0" w:color="auto"/>
            <w:bottom w:val="none" w:sz="0" w:space="0" w:color="auto"/>
            <w:right w:val="none" w:sz="0" w:space="0" w:color="auto"/>
          </w:divBdr>
          <w:divsChild>
            <w:div w:id="2026059013">
              <w:marLeft w:val="0"/>
              <w:marRight w:val="0"/>
              <w:marTop w:val="0"/>
              <w:marBottom w:val="0"/>
              <w:divBdr>
                <w:top w:val="none" w:sz="0" w:space="0" w:color="auto"/>
                <w:left w:val="none" w:sz="0" w:space="0" w:color="auto"/>
                <w:bottom w:val="none" w:sz="0" w:space="0" w:color="auto"/>
                <w:right w:val="none" w:sz="0" w:space="0" w:color="auto"/>
              </w:divBdr>
              <w:divsChild>
                <w:div w:id="14189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757669">
      <w:bodyDiv w:val="1"/>
      <w:marLeft w:val="0"/>
      <w:marRight w:val="0"/>
      <w:marTop w:val="0"/>
      <w:marBottom w:val="0"/>
      <w:divBdr>
        <w:top w:val="none" w:sz="0" w:space="0" w:color="auto"/>
        <w:left w:val="none" w:sz="0" w:space="0" w:color="auto"/>
        <w:bottom w:val="none" w:sz="0" w:space="0" w:color="auto"/>
        <w:right w:val="none" w:sz="0" w:space="0" w:color="auto"/>
      </w:divBdr>
    </w:div>
    <w:div w:id="1036127603">
      <w:bodyDiv w:val="1"/>
      <w:marLeft w:val="0"/>
      <w:marRight w:val="0"/>
      <w:marTop w:val="0"/>
      <w:marBottom w:val="0"/>
      <w:divBdr>
        <w:top w:val="none" w:sz="0" w:space="0" w:color="auto"/>
        <w:left w:val="none" w:sz="0" w:space="0" w:color="auto"/>
        <w:bottom w:val="none" w:sz="0" w:space="0" w:color="auto"/>
        <w:right w:val="none" w:sz="0" w:space="0" w:color="auto"/>
      </w:divBdr>
      <w:divsChild>
        <w:div w:id="542786753">
          <w:marLeft w:val="0"/>
          <w:marRight w:val="0"/>
          <w:marTop w:val="0"/>
          <w:marBottom w:val="0"/>
          <w:divBdr>
            <w:top w:val="none" w:sz="0" w:space="0" w:color="auto"/>
            <w:left w:val="none" w:sz="0" w:space="0" w:color="auto"/>
            <w:bottom w:val="none" w:sz="0" w:space="0" w:color="auto"/>
            <w:right w:val="none" w:sz="0" w:space="0" w:color="auto"/>
          </w:divBdr>
          <w:divsChild>
            <w:div w:id="1111900495">
              <w:marLeft w:val="0"/>
              <w:marRight w:val="0"/>
              <w:marTop w:val="0"/>
              <w:marBottom w:val="0"/>
              <w:divBdr>
                <w:top w:val="none" w:sz="0" w:space="0" w:color="auto"/>
                <w:left w:val="none" w:sz="0" w:space="0" w:color="auto"/>
                <w:bottom w:val="none" w:sz="0" w:space="0" w:color="auto"/>
                <w:right w:val="none" w:sz="0" w:space="0" w:color="auto"/>
              </w:divBdr>
              <w:divsChild>
                <w:div w:id="1754931501">
                  <w:marLeft w:val="0"/>
                  <w:marRight w:val="0"/>
                  <w:marTop w:val="0"/>
                  <w:marBottom w:val="0"/>
                  <w:divBdr>
                    <w:top w:val="none" w:sz="0" w:space="0" w:color="auto"/>
                    <w:left w:val="none" w:sz="0" w:space="0" w:color="auto"/>
                    <w:bottom w:val="none" w:sz="0" w:space="0" w:color="auto"/>
                    <w:right w:val="none" w:sz="0" w:space="0" w:color="auto"/>
                  </w:divBdr>
                  <w:divsChild>
                    <w:div w:id="14142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91873">
      <w:bodyDiv w:val="1"/>
      <w:marLeft w:val="0"/>
      <w:marRight w:val="0"/>
      <w:marTop w:val="0"/>
      <w:marBottom w:val="0"/>
      <w:divBdr>
        <w:top w:val="none" w:sz="0" w:space="0" w:color="auto"/>
        <w:left w:val="none" w:sz="0" w:space="0" w:color="auto"/>
        <w:bottom w:val="none" w:sz="0" w:space="0" w:color="auto"/>
        <w:right w:val="none" w:sz="0" w:space="0" w:color="auto"/>
      </w:divBdr>
      <w:divsChild>
        <w:div w:id="2118131796">
          <w:marLeft w:val="0"/>
          <w:marRight w:val="0"/>
          <w:marTop w:val="0"/>
          <w:marBottom w:val="0"/>
          <w:divBdr>
            <w:top w:val="none" w:sz="0" w:space="0" w:color="auto"/>
            <w:left w:val="none" w:sz="0" w:space="0" w:color="auto"/>
            <w:bottom w:val="none" w:sz="0" w:space="0" w:color="auto"/>
            <w:right w:val="none" w:sz="0" w:space="0" w:color="auto"/>
          </w:divBdr>
          <w:divsChild>
            <w:div w:id="1275746300">
              <w:marLeft w:val="0"/>
              <w:marRight w:val="0"/>
              <w:marTop w:val="0"/>
              <w:marBottom w:val="0"/>
              <w:divBdr>
                <w:top w:val="none" w:sz="0" w:space="0" w:color="auto"/>
                <w:left w:val="none" w:sz="0" w:space="0" w:color="auto"/>
                <w:bottom w:val="none" w:sz="0" w:space="0" w:color="auto"/>
                <w:right w:val="none" w:sz="0" w:space="0" w:color="auto"/>
              </w:divBdr>
              <w:divsChild>
                <w:div w:id="1133013188">
                  <w:marLeft w:val="0"/>
                  <w:marRight w:val="0"/>
                  <w:marTop w:val="0"/>
                  <w:marBottom w:val="0"/>
                  <w:divBdr>
                    <w:top w:val="none" w:sz="0" w:space="0" w:color="auto"/>
                    <w:left w:val="none" w:sz="0" w:space="0" w:color="auto"/>
                    <w:bottom w:val="none" w:sz="0" w:space="0" w:color="auto"/>
                    <w:right w:val="none" w:sz="0" w:space="0" w:color="auto"/>
                  </w:divBdr>
                  <w:divsChild>
                    <w:div w:id="16161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17949">
      <w:bodyDiv w:val="1"/>
      <w:marLeft w:val="0"/>
      <w:marRight w:val="0"/>
      <w:marTop w:val="0"/>
      <w:marBottom w:val="0"/>
      <w:divBdr>
        <w:top w:val="none" w:sz="0" w:space="0" w:color="auto"/>
        <w:left w:val="none" w:sz="0" w:space="0" w:color="auto"/>
        <w:bottom w:val="none" w:sz="0" w:space="0" w:color="auto"/>
        <w:right w:val="none" w:sz="0" w:space="0" w:color="auto"/>
      </w:divBdr>
    </w:div>
    <w:div w:id="1293513287">
      <w:bodyDiv w:val="1"/>
      <w:marLeft w:val="0"/>
      <w:marRight w:val="0"/>
      <w:marTop w:val="0"/>
      <w:marBottom w:val="0"/>
      <w:divBdr>
        <w:top w:val="none" w:sz="0" w:space="0" w:color="auto"/>
        <w:left w:val="none" w:sz="0" w:space="0" w:color="auto"/>
        <w:bottom w:val="none" w:sz="0" w:space="0" w:color="auto"/>
        <w:right w:val="none" w:sz="0" w:space="0" w:color="auto"/>
      </w:divBdr>
    </w:div>
    <w:div w:id="1297027237">
      <w:bodyDiv w:val="1"/>
      <w:marLeft w:val="0"/>
      <w:marRight w:val="0"/>
      <w:marTop w:val="0"/>
      <w:marBottom w:val="0"/>
      <w:divBdr>
        <w:top w:val="none" w:sz="0" w:space="0" w:color="auto"/>
        <w:left w:val="none" w:sz="0" w:space="0" w:color="auto"/>
        <w:bottom w:val="none" w:sz="0" w:space="0" w:color="auto"/>
        <w:right w:val="none" w:sz="0" w:space="0" w:color="auto"/>
      </w:divBdr>
    </w:div>
    <w:div w:id="1310943895">
      <w:bodyDiv w:val="1"/>
      <w:marLeft w:val="0"/>
      <w:marRight w:val="0"/>
      <w:marTop w:val="0"/>
      <w:marBottom w:val="0"/>
      <w:divBdr>
        <w:top w:val="none" w:sz="0" w:space="0" w:color="auto"/>
        <w:left w:val="none" w:sz="0" w:space="0" w:color="auto"/>
        <w:bottom w:val="none" w:sz="0" w:space="0" w:color="auto"/>
        <w:right w:val="none" w:sz="0" w:space="0" w:color="auto"/>
      </w:divBdr>
    </w:div>
    <w:div w:id="1352562747">
      <w:bodyDiv w:val="1"/>
      <w:marLeft w:val="0"/>
      <w:marRight w:val="0"/>
      <w:marTop w:val="0"/>
      <w:marBottom w:val="0"/>
      <w:divBdr>
        <w:top w:val="none" w:sz="0" w:space="0" w:color="auto"/>
        <w:left w:val="none" w:sz="0" w:space="0" w:color="auto"/>
        <w:bottom w:val="none" w:sz="0" w:space="0" w:color="auto"/>
        <w:right w:val="none" w:sz="0" w:space="0" w:color="auto"/>
      </w:divBdr>
      <w:divsChild>
        <w:div w:id="905719980">
          <w:marLeft w:val="0"/>
          <w:marRight w:val="0"/>
          <w:marTop w:val="0"/>
          <w:marBottom w:val="0"/>
          <w:divBdr>
            <w:top w:val="none" w:sz="0" w:space="0" w:color="auto"/>
            <w:left w:val="none" w:sz="0" w:space="0" w:color="auto"/>
            <w:bottom w:val="none" w:sz="0" w:space="0" w:color="auto"/>
            <w:right w:val="none" w:sz="0" w:space="0" w:color="auto"/>
          </w:divBdr>
          <w:divsChild>
            <w:div w:id="580221024">
              <w:marLeft w:val="0"/>
              <w:marRight w:val="0"/>
              <w:marTop w:val="0"/>
              <w:marBottom w:val="0"/>
              <w:divBdr>
                <w:top w:val="none" w:sz="0" w:space="0" w:color="auto"/>
                <w:left w:val="none" w:sz="0" w:space="0" w:color="auto"/>
                <w:bottom w:val="none" w:sz="0" w:space="0" w:color="auto"/>
                <w:right w:val="none" w:sz="0" w:space="0" w:color="auto"/>
              </w:divBdr>
              <w:divsChild>
                <w:div w:id="312871751">
                  <w:marLeft w:val="0"/>
                  <w:marRight w:val="0"/>
                  <w:marTop w:val="0"/>
                  <w:marBottom w:val="0"/>
                  <w:divBdr>
                    <w:top w:val="none" w:sz="0" w:space="0" w:color="auto"/>
                    <w:left w:val="none" w:sz="0" w:space="0" w:color="auto"/>
                    <w:bottom w:val="none" w:sz="0" w:space="0" w:color="auto"/>
                    <w:right w:val="none" w:sz="0" w:space="0" w:color="auto"/>
                  </w:divBdr>
                  <w:divsChild>
                    <w:div w:id="121392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461237">
      <w:bodyDiv w:val="1"/>
      <w:marLeft w:val="0"/>
      <w:marRight w:val="0"/>
      <w:marTop w:val="0"/>
      <w:marBottom w:val="0"/>
      <w:divBdr>
        <w:top w:val="none" w:sz="0" w:space="0" w:color="auto"/>
        <w:left w:val="none" w:sz="0" w:space="0" w:color="auto"/>
        <w:bottom w:val="none" w:sz="0" w:space="0" w:color="auto"/>
        <w:right w:val="none" w:sz="0" w:space="0" w:color="auto"/>
      </w:divBdr>
      <w:divsChild>
        <w:div w:id="68231556">
          <w:marLeft w:val="0"/>
          <w:marRight w:val="0"/>
          <w:marTop w:val="0"/>
          <w:marBottom w:val="0"/>
          <w:divBdr>
            <w:top w:val="none" w:sz="0" w:space="0" w:color="auto"/>
            <w:left w:val="none" w:sz="0" w:space="0" w:color="auto"/>
            <w:bottom w:val="none" w:sz="0" w:space="0" w:color="auto"/>
            <w:right w:val="none" w:sz="0" w:space="0" w:color="auto"/>
          </w:divBdr>
          <w:divsChild>
            <w:div w:id="1763910398">
              <w:marLeft w:val="0"/>
              <w:marRight w:val="0"/>
              <w:marTop w:val="0"/>
              <w:marBottom w:val="0"/>
              <w:divBdr>
                <w:top w:val="none" w:sz="0" w:space="0" w:color="auto"/>
                <w:left w:val="none" w:sz="0" w:space="0" w:color="auto"/>
                <w:bottom w:val="none" w:sz="0" w:space="0" w:color="auto"/>
                <w:right w:val="none" w:sz="0" w:space="0" w:color="auto"/>
              </w:divBdr>
              <w:divsChild>
                <w:div w:id="4295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4404">
      <w:bodyDiv w:val="1"/>
      <w:marLeft w:val="0"/>
      <w:marRight w:val="0"/>
      <w:marTop w:val="0"/>
      <w:marBottom w:val="0"/>
      <w:divBdr>
        <w:top w:val="none" w:sz="0" w:space="0" w:color="auto"/>
        <w:left w:val="none" w:sz="0" w:space="0" w:color="auto"/>
        <w:bottom w:val="none" w:sz="0" w:space="0" w:color="auto"/>
        <w:right w:val="none" w:sz="0" w:space="0" w:color="auto"/>
      </w:divBdr>
      <w:divsChild>
        <w:div w:id="1188518040">
          <w:marLeft w:val="0"/>
          <w:marRight w:val="0"/>
          <w:marTop w:val="0"/>
          <w:marBottom w:val="0"/>
          <w:divBdr>
            <w:top w:val="none" w:sz="0" w:space="0" w:color="auto"/>
            <w:left w:val="none" w:sz="0" w:space="0" w:color="auto"/>
            <w:bottom w:val="none" w:sz="0" w:space="0" w:color="auto"/>
            <w:right w:val="none" w:sz="0" w:space="0" w:color="auto"/>
          </w:divBdr>
          <w:divsChild>
            <w:div w:id="314646866">
              <w:marLeft w:val="0"/>
              <w:marRight w:val="0"/>
              <w:marTop w:val="0"/>
              <w:marBottom w:val="0"/>
              <w:divBdr>
                <w:top w:val="none" w:sz="0" w:space="0" w:color="auto"/>
                <w:left w:val="none" w:sz="0" w:space="0" w:color="auto"/>
                <w:bottom w:val="none" w:sz="0" w:space="0" w:color="auto"/>
                <w:right w:val="none" w:sz="0" w:space="0" w:color="auto"/>
              </w:divBdr>
              <w:divsChild>
                <w:div w:id="7108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016114">
      <w:bodyDiv w:val="1"/>
      <w:marLeft w:val="0"/>
      <w:marRight w:val="0"/>
      <w:marTop w:val="0"/>
      <w:marBottom w:val="0"/>
      <w:divBdr>
        <w:top w:val="none" w:sz="0" w:space="0" w:color="auto"/>
        <w:left w:val="none" w:sz="0" w:space="0" w:color="auto"/>
        <w:bottom w:val="none" w:sz="0" w:space="0" w:color="auto"/>
        <w:right w:val="none" w:sz="0" w:space="0" w:color="auto"/>
      </w:divBdr>
      <w:divsChild>
        <w:div w:id="818888467">
          <w:marLeft w:val="0"/>
          <w:marRight w:val="0"/>
          <w:marTop w:val="0"/>
          <w:marBottom w:val="0"/>
          <w:divBdr>
            <w:top w:val="none" w:sz="0" w:space="0" w:color="auto"/>
            <w:left w:val="none" w:sz="0" w:space="0" w:color="auto"/>
            <w:bottom w:val="none" w:sz="0" w:space="0" w:color="auto"/>
            <w:right w:val="none" w:sz="0" w:space="0" w:color="auto"/>
          </w:divBdr>
          <w:divsChild>
            <w:div w:id="1725787388">
              <w:marLeft w:val="0"/>
              <w:marRight w:val="0"/>
              <w:marTop w:val="0"/>
              <w:marBottom w:val="0"/>
              <w:divBdr>
                <w:top w:val="none" w:sz="0" w:space="0" w:color="auto"/>
                <w:left w:val="none" w:sz="0" w:space="0" w:color="auto"/>
                <w:bottom w:val="none" w:sz="0" w:space="0" w:color="auto"/>
                <w:right w:val="none" w:sz="0" w:space="0" w:color="auto"/>
              </w:divBdr>
              <w:divsChild>
                <w:div w:id="74211215">
                  <w:marLeft w:val="0"/>
                  <w:marRight w:val="0"/>
                  <w:marTop w:val="0"/>
                  <w:marBottom w:val="0"/>
                  <w:divBdr>
                    <w:top w:val="none" w:sz="0" w:space="0" w:color="auto"/>
                    <w:left w:val="none" w:sz="0" w:space="0" w:color="auto"/>
                    <w:bottom w:val="none" w:sz="0" w:space="0" w:color="auto"/>
                    <w:right w:val="none" w:sz="0" w:space="0" w:color="auto"/>
                  </w:divBdr>
                  <w:divsChild>
                    <w:div w:id="586697460">
                      <w:marLeft w:val="0"/>
                      <w:marRight w:val="0"/>
                      <w:marTop w:val="0"/>
                      <w:marBottom w:val="0"/>
                      <w:divBdr>
                        <w:top w:val="none" w:sz="0" w:space="0" w:color="auto"/>
                        <w:left w:val="none" w:sz="0" w:space="0" w:color="auto"/>
                        <w:bottom w:val="none" w:sz="0" w:space="0" w:color="auto"/>
                        <w:right w:val="none" w:sz="0" w:space="0" w:color="auto"/>
                      </w:divBdr>
                    </w:div>
                  </w:divsChild>
                </w:div>
                <w:div w:id="1271207143">
                  <w:marLeft w:val="0"/>
                  <w:marRight w:val="0"/>
                  <w:marTop w:val="0"/>
                  <w:marBottom w:val="0"/>
                  <w:divBdr>
                    <w:top w:val="none" w:sz="0" w:space="0" w:color="auto"/>
                    <w:left w:val="none" w:sz="0" w:space="0" w:color="auto"/>
                    <w:bottom w:val="none" w:sz="0" w:space="0" w:color="auto"/>
                    <w:right w:val="none" w:sz="0" w:space="0" w:color="auto"/>
                  </w:divBdr>
                  <w:divsChild>
                    <w:div w:id="2019968587">
                      <w:marLeft w:val="0"/>
                      <w:marRight w:val="0"/>
                      <w:marTop w:val="0"/>
                      <w:marBottom w:val="0"/>
                      <w:divBdr>
                        <w:top w:val="none" w:sz="0" w:space="0" w:color="auto"/>
                        <w:left w:val="none" w:sz="0" w:space="0" w:color="auto"/>
                        <w:bottom w:val="none" w:sz="0" w:space="0" w:color="auto"/>
                        <w:right w:val="none" w:sz="0" w:space="0" w:color="auto"/>
                      </w:divBdr>
                      <w:divsChild>
                        <w:div w:id="1387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7454">
                  <w:marLeft w:val="0"/>
                  <w:marRight w:val="0"/>
                  <w:marTop w:val="0"/>
                  <w:marBottom w:val="0"/>
                  <w:divBdr>
                    <w:top w:val="none" w:sz="0" w:space="0" w:color="auto"/>
                    <w:left w:val="none" w:sz="0" w:space="0" w:color="auto"/>
                    <w:bottom w:val="none" w:sz="0" w:space="0" w:color="auto"/>
                    <w:right w:val="none" w:sz="0" w:space="0" w:color="auto"/>
                  </w:divBdr>
                  <w:divsChild>
                    <w:div w:id="109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07168">
          <w:marLeft w:val="0"/>
          <w:marRight w:val="0"/>
          <w:marTop w:val="0"/>
          <w:marBottom w:val="0"/>
          <w:divBdr>
            <w:top w:val="none" w:sz="0" w:space="0" w:color="auto"/>
            <w:left w:val="none" w:sz="0" w:space="0" w:color="auto"/>
            <w:bottom w:val="none" w:sz="0" w:space="0" w:color="auto"/>
            <w:right w:val="none" w:sz="0" w:space="0" w:color="auto"/>
          </w:divBdr>
          <w:divsChild>
            <w:div w:id="1885437279">
              <w:marLeft w:val="0"/>
              <w:marRight w:val="0"/>
              <w:marTop w:val="0"/>
              <w:marBottom w:val="0"/>
              <w:divBdr>
                <w:top w:val="none" w:sz="0" w:space="0" w:color="auto"/>
                <w:left w:val="none" w:sz="0" w:space="0" w:color="auto"/>
                <w:bottom w:val="none" w:sz="0" w:space="0" w:color="auto"/>
                <w:right w:val="none" w:sz="0" w:space="0" w:color="auto"/>
              </w:divBdr>
              <w:divsChild>
                <w:div w:id="1595630882">
                  <w:marLeft w:val="0"/>
                  <w:marRight w:val="0"/>
                  <w:marTop w:val="0"/>
                  <w:marBottom w:val="0"/>
                  <w:divBdr>
                    <w:top w:val="none" w:sz="0" w:space="0" w:color="auto"/>
                    <w:left w:val="none" w:sz="0" w:space="0" w:color="auto"/>
                    <w:bottom w:val="none" w:sz="0" w:space="0" w:color="auto"/>
                    <w:right w:val="none" w:sz="0" w:space="0" w:color="auto"/>
                  </w:divBdr>
                  <w:divsChild>
                    <w:div w:id="14110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948189">
      <w:bodyDiv w:val="1"/>
      <w:marLeft w:val="0"/>
      <w:marRight w:val="0"/>
      <w:marTop w:val="0"/>
      <w:marBottom w:val="0"/>
      <w:divBdr>
        <w:top w:val="none" w:sz="0" w:space="0" w:color="auto"/>
        <w:left w:val="none" w:sz="0" w:space="0" w:color="auto"/>
        <w:bottom w:val="none" w:sz="0" w:space="0" w:color="auto"/>
        <w:right w:val="none" w:sz="0" w:space="0" w:color="auto"/>
      </w:divBdr>
    </w:div>
    <w:div w:id="1533421387">
      <w:bodyDiv w:val="1"/>
      <w:marLeft w:val="0"/>
      <w:marRight w:val="0"/>
      <w:marTop w:val="0"/>
      <w:marBottom w:val="0"/>
      <w:divBdr>
        <w:top w:val="none" w:sz="0" w:space="0" w:color="auto"/>
        <w:left w:val="none" w:sz="0" w:space="0" w:color="auto"/>
        <w:bottom w:val="none" w:sz="0" w:space="0" w:color="auto"/>
        <w:right w:val="none" w:sz="0" w:space="0" w:color="auto"/>
      </w:divBdr>
    </w:div>
    <w:div w:id="1533882696">
      <w:bodyDiv w:val="1"/>
      <w:marLeft w:val="0"/>
      <w:marRight w:val="0"/>
      <w:marTop w:val="0"/>
      <w:marBottom w:val="0"/>
      <w:divBdr>
        <w:top w:val="none" w:sz="0" w:space="0" w:color="auto"/>
        <w:left w:val="none" w:sz="0" w:space="0" w:color="auto"/>
        <w:bottom w:val="none" w:sz="0" w:space="0" w:color="auto"/>
        <w:right w:val="none" w:sz="0" w:space="0" w:color="auto"/>
      </w:divBdr>
      <w:divsChild>
        <w:div w:id="403454515">
          <w:marLeft w:val="0"/>
          <w:marRight w:val="0"/>
          <w:marTop w:val="0"/>
          <w:marBottom w:val="0"/>
          <w:divBdr>
            <w:top w:val="none" w:sz="0" w:space="0" w:color="auto"/>
            <w:left w:val="none" w:sz="0" w:space="0" w:color="auto"/>
            <w:bottom w:val="none" w:sz="0" w:space="0" w:color="auto"/>
            <w:right w:val="none" w:sz="0" w:space="0" w:color="auto"/>
          </w:divBdr>
          <w:divsChild>
            <w:div w:id="1975022387">
              <w:marLeft w:val="0"/>
              <w:marRight w:val="0"/>
              <w:marTop w:val="0"/>
              <w:marBottom w:val="0"/>
              <w:divBdr>
                <w:top w:val="none" w:sz="0" w:space="0" w:color="auto"/>
                <w:left w:val="none" w:sz="0" w:space="0" w:color="auto"/>
                <w:bottom w:val="none" w:sz="0" w:space="0" w:color="auto"/>
                <w:right w:val="none" w:sz="0" w:space="0" w:color="auto"/>
              </w:divBdr>
              <w:divsChild>
                <w:div w:id="1943225542">
                  <w:marLeft w:val="0"/>
                  <w:marRight w:val="0"/>
                  <w:marTop w:val="0"/>
                  <w:marBottom w:val="0"/>
                  <w:divBdr>
                    <w:top w:val="none" w:sz="0" w:space="0" w:color="auto"/>
                    <w:left w:val="none" w:sz="0" w:space="0" w:color="auto"/>
                    <w:bottom w:val="none" w:sz="0" w:space="0" w:color="auto"/>
                    <w:right w:val="none" w:sz="0" w:space="0" w:color="auto"/>
                  </w:divBdr>
                  <w:divsChild>
                    <w:div w:id="20866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45686">
      <w:bodyDiv w:val="1"/>
      <w:marLeft w:val="0"/>
      <w:marRight w:val="0"/>
      <w:marTop w:val="0"/>
      <w:marBottom w:val="0"/>
      <w:divBdr>
        <w:top w:val="none" w:sz="0" w:space="0" w:color="auto"/>
        <w:left w:val="none" w:sz="0" w:space="0" w:color="auto"/>
        <w:bottom w:val="none" w:sz="0" w:space="0" w:color="auto"/>
        <w:right w:val="none" w:sz="0" w:space="0" w:color="auto"/>
      </w:divBdr>
      <w:divsChild>
        <w:div w:id="1534882756">
          <w:marLeft w:val="0"/>
          <w:marRight w:val="0"/>
          <w:marTop w:val="0"/>
          <w:marBottom w:val="0"/>
          <w:divBdr>
            <w:top w:val="none" w:sz="0" w:space="0" w:color="auto"/>
            <w:left w:val="none" w:sz="0" w:space="0" w:color="auto"/>
            <w:bottom w:val="none" w:sz="0" w:space="0" w:color="auto"/>
            <w:right w:val="none" w:sz="0" w:space="0" w:color="auto"/>
          </w:divBdr>
          <w:divsChild>
            <w:div w:id="571738198">
              <w:marLeft w:val="0"/>
              <w:marRight w:val="0"/>
              <w:marTop w:val="0"/>
              <w:marBottom w:val="0"/>
              <w:divBdr>
                <w:top w:val="none" w:sz="0" w:space="0" w:color="auto"/>
                <w:left w:val="none" w:sz="0" w:space="0" w:color="auto"/>
                <w:bottom w:val="none" w:sz="0" w:space="0" w:color="auto"/>
                <w:right w:val="none" w:sz="0" w:space="0" w:color="auto"/>
              </w:divBdr>
              <w:divsChild>
                <w:div w:id="615990007">
                  <w:marLeft w:val="0"/>
                  <w:marRight w:val="0"/>
                  <w:marTop w:val="0"/>
                  <w:marBottom w:val="0"/>
                  <w:divBdr>
                    <w:top w:val="none" w:sz="0" w:space="0" w:color="auto"/>
                    <w:left w:val="none" w:sz="0" w:space="0" w:color="auto"/>
                    <w:bottom w:val="none" w:sz="0" w:space="0" w:color="auto"/>
                    <w:right w:val="none" w:sz="0" w:space="0" w:color="auto"/>
                  </w:divBdr>
                  <w:divsChild>
                    <w:div w:id="87531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0885">
      <w:bodyDiv w:val="1"/>
      <w:marLeft w:val="0"/>
      <w:marRight w:val="0"/>
      <w:marTop w:val="0"/>
      <w:marBottom w:val="0"/>
      <w:divBdr>
        <w:top w:val="none" w:sz="0" w:space="0" w:color="auto"/>
        <w:left w:val="none" w:sz="0" w:space="0" w:color="auto"/>
        <w:bottom w:val="none" w:sz="0" w:space="0" w:color="auto"/>
        <w:right w:val="none" w:sz="0" w:space="0" w:color="auto"/>
      </w:divBdr>
    </w:div>
    <w:div w:id="1617130969">
      <w:bodyDiv w:val="1"/>
      <w:marLeft w:val="0"/>
      <w:marRight w:val="0"/>
      <w:marTop w:val="0"/>
      <w:marBottom w:val="0"/>
      <w:divBdr>
        <w:top w:val="none" w:sz="0" w:space="0" w:color="auto"/>
        <w:left w:val="none" w:sz="0" w:space="0" w:color="auto"/>
        <w:bottom w:val="none" w:sz="0" w:space="0" w:color="auto"/>
        <w:right w:val="none" w:sz="0" w:space="0" w:color="auto"/>
      </w:divBdr>
    </w:div>
    <w:div w:id="1632320405">
      <w:bodyDiv w:val="1"/>
      <w:marLeft w:val="0"/>
      <w:marRight w:val="0"/>
      <w:marTop w:val="0"/>
      <w:marBottom w:val="0"/>
      <w:divBdr>
        <w:top w:val="none" w:sz="0" w:space="0" w:color="auto"/>
        <w:left w:val="none" w:sz="0" w:space="0" w:color="auto"/>
        <w:bottom w:val="none" w:sz="0" w:space="0" w:color="auto"/>
        <w:right w:val="none" w:sz="0" w:space="0" w:color="auto"/>
      </w:divBdr>
    </w:div>
    <w:div w:id="1674797423">
      <w:bodyDiv w:val="1"/>
      <w:marLeft w:val="0"/>
      <w:marRight w:val="0"/>
      <w:marTop w:val="0"/>
      <w:marBottom w:val="0"/>
      <w:divBdr>
        <w:top w:val="none" w:sz="0" w:space="0" w:color="auto"/>
        <w:left w:val="none" w:sz="0" w:space="0" w:color="auto"/>
        <w:bottom w:val="none" w:sz="0" w:space="0" w:color="auto"/>
        <w:right w:val="none" w:sz="0" w:space="0" w:color="auto"/>
      </w:divBdr>
      <w:divsChild>
        <w:div w:id="1230729203">
          <w:marLeft w:val="0"/>
          <w:marRight w:val="0"/>
          <w:marTop w:val="0"/>
          <w:marBottom w:val="0"/>
          <w:divBdr>
            <w:top w:val="none" w:sz="0" w:space="0" w:color="auto"/>
            <w:left w:val="none" w:sz="0" w:space="0" w:color="auto"/>
            <w:bottom w:val="none" w:sz="0" w:space="0" w:color="auto"/>
            <w:right w:val="none" w:sz="0" w:space="0" w:color="auto"/>
          </w:divBdr>
          <w:divsChild>
            <w:div w:id="1028801593">
              <w:marLeft w:val="0"/>
              <w:marRight w:val="0"/>
              <w:marTop w:val="0"/>
              <w:marBottom w:val="0"/>
              <w:divBdr>
                <w:top w:val="none" w:sz="0" w:space="0" w:color="auto"/>
                <w:left w:val="none" w:sz="0" w:space="0" w:color="auto"/>
                <w:bottom w:val="none" w:sz="0" w:space="0" w:color="auto"/>
                <w:right w:val="none" w:sz="0" w:space="0" w:color="auto"/>
              </w:divBdr>
              <w:divsChild>
                <w:div w:id="1915042838">
                  <w:marLeft w:val="0"/>
                  <w:marRight w:val="0"/>
                  <w:marTop w:val="0"/>
                  <w:marBottom w:val="0"/>
                  <w:divBdr>
                    <w:top w:val="none" w:sz="0" w:space="0" w:color="auto"/>
                    <w:left w:val="none" w:sz="0" w:space="0" w:color="auto"/>
                    <w:bottom w:val="none" w:sz="0" w:space="0" w:color="auto"/>
                    <w:right w:val="none" w:sz="0" w:space="0" w:color="auto"/>
                  </w:divBdr>
                  <w:divsChild>
                    <w:div w:id="194341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58207951">
      <w:bodyDiv w:val="1"/>
      <w:marLeft w:val="0"/>
      <w:marRight w:val="0"/>
      <w:marTop w:val="0"/>
      <w:marBottom w:val="0"/>
      <w:divBdr>
        <w:top w:val="none" w:sz="0" w:space="0" w:color="auto"/>
        <w:left w:val="none" w:sz="0" w:space="0" w:color="auto"/>
        <w:bottom w:val="none" w:sz="0" w:space="0" w:color="auto"/>
        <w:right w:val="none" w:sz="0" w:space="0" w:color="auto"/>
      </w:divBdr>
    </w:div>
    <w:div w:id="1786775477">
      <w:bodyDiv w:val="1"/>
      <w:marLeft w:val="0"/>
      <w:marRight w:val="0"/>
      <w:marTop w:val="0"/>
      <w:marBottom w:val="0"/>
      <w:divBdr>
        <w:top w:val="none" w:sz="0" w:space="0" w:color="auto"/>
        <w:left w:val="none" w:sz="0" w:space="0" w:color="auto"/>
        <w:bottom w:val="none" w:sz="0" w:space="0" w:color="auto"/>
        <w:right w:val="none" w:sz="0" w:space="0" w:color="auto"/>
      </w:divBdr>
    </w:div>
    <w:div w:id="1851331046">
      <w:bodyDiv w:val="1"/>
      <w:marLeft w:val="0"/>
      <w:marRight w:val="0"/>
      <w:marTop w:val="0"/>
      <w:marBottom w:val="0"/>
      <w:divBdr>
        <w:top w:val="none" w:sz="0" w:space="0" w:color="auto"/>
        <w:left w:val="none" w:sz="0" w:space="0" w:color="auto"/>
        <w:bottom w:val="none" w:sz="0" w:space="0" w:color="auto"/>
        <w:right w:val="none" w:sz="0" w:space="0" w:color="auto"/>
      </w:divBdr>
      <w:divsChild>
        <w:div w:id="2067222289">
          <w:marLeft w:val="0"/>
          <w:marRight w:val="0"/>
          <w:marTop w:val="0"/>
          <w:marBottom w:val="0"/>
          <w:divBdr>
            <w:top w:val="none" w:sz="0" w:space="0" w:color="auto"/>
            <w:left w:val="none" w:sz="0" w:space="0" w:color="auto"/>
            <w:bottom w:val="none" w:sz="0" w:space="0" w:color="auto"/>
            <w:right w:val="none" w:sz="0" w:space="0" w:color="auto"/>
          </w:divBdr>
        </w:div>
      </w:divsChild>
    </w:div>
    <w:div w:id="1921327444">
      <w:bodyDiv w:val="1"/>
      <w:marLeft w:val="0"/>
      <w:marRight w:val="0"/>
      <w:marTop w:val="0"/>
      <w:marBottom w:val="0"/>
      <w:divBdr>
        <w:top w:val="none" w:sz="0" w:space="0" w:color="auto"/>
        <w:left w:val="none" w:sz="0" w:space="0" w:color="auto"/>
        <w:bottom w:val="none" w:sz="0" w:space="0" w:color="auto"/>
        <w:right w:val="none" w:sz="0" w:space="0" w:color="auto"/>
      </w:divBdr>
      <w:divsChild>
        <w:div w:id="976104643">
          <w:marLeft w:val="0"/>
          <w:marRight w:val="0"/>
          <w:marTop w:val="0"/>
          <w:marBottom w:val="0"/>
          <w:divBdr>
            <w:top w:val="none" w:sz="0" w:space="0" w:color="auto"/>
            <w:left w:val="none" w:sz="0" w:space="0" w:color="auto"/>
            <w:bottom w:val="none" w:sz="0" w:space="0" w:color="auto"/>
            <w:right w:val="none" w:sz="0" w:space="0" w:color="auto"/>
          </w:divBdr>
        </w:div>
        <w:div w:id="1027951337">
          <w:marLeft w:val="0"/>
          <w:marRight w:val="0"/>
          <w:marTop w:val="0"/>
          <w:marBottom w:val="0"/>
          <w:divBdr>
            <w:top w:val="none" w:sz="0" w:space="0" w:color="auto"/>
            <w:left w:val="none" w:sz="0" w:space="0" w:color="auto"/>
            <w:bottom w:val="none" w:sz="0" w:space="0" w:color="auto"/>
            <w:right w:val="none" w:sz="0" w:space="0" w:color="auto"/>
          </w:divBdr>
        </w:div>
      </w:divsChild>
    </w:div>
    <w:div w:id="1990016715">
      <w:bodyDiv w:val="1"/>
      <w:marLeft w:val="0"/>
      <w:marRight w:val="0"/>
      <w:marTop w:val="0"/>
      <w:marBottom w:val="0"/>
      <w:divBdr>
        <w:top w:val="none" w:sz="0" w:space="0" w:color="auto"/>
        <w:left w:val="none" w:sz="0" w:space="0" w:color="auto"/>
        <w:bottom w:val="none" w:sz="0" w:space="0" w:color="auto"/>
        <w:right w:val="none" w:sz="0" w:space="0" w:color="auto"/>
      </w:divBdr>
    </w:div>
    <w:div w:id="2004235145">
      <w:bodyDiv w:val="1"/>
      <w:marLeft w:val="0"/>
      <w:marRight w:val="0"/>
      <w:marTop w:val="0"/>
      <w:marBottom w:val="0"/>
      <w:divBdr>
        <w:top w:val="none" w:sz="0" w:space="0" w:color="auto"/>
        <w:left w:val="none" w:sz="0" w:space="0" w:color="auto"/>
        <w:bottom w:val="none" w:sz="0" w:space="0" w:color="auto"/>
        <w:right w:val="none" w:sz="0" w:space="0" w:color="auto"/>
      </w:divBdr>
    </w:div>
    <w:div w:id="2074430180">
      <w:bodyDiv w:val="1"/>
      <w:marLeft w:val="0"/>
      <w:marRight w:val="0"/>
      <w:marTop w:val="0"/>
      <w:marBottom w:val="0"/>
      <w:divBdr>
        <w:top w:val="none" w:sz="0" w:space="0" w:color="auto"/>
        <w:left w:val="none" w:sz="0" w:space="0" w:color="auto"/>
        <w:bottom w:val="none" w:sz="0" w:space="0" w:color="auto"/>
        <w:right w:val="none" w:sz="0" w:space="0" w:color="auto"/>
      </w:divBdr>
      <w:divsChild>
        <w:div w:id="1968199072">
          <w:marLeft w:val="0"/>
          <w:marRight w:val="0"/>
          <w:marTop w:val="0"/>
          <w:marBottom w:val="0"/>
          <w:divBdr>
            <w:top w:val="none" w:sz="0" w:space="0" w:color="auto"/>
            <w:left w:val="none" w:sz="0" w:space="0" w:color="auto"/>
            <w:bottom w:val="none" w:sz="0" w:space="0" w:color="auto"/>
            <w:right w:val="none" w:sz="0" w:space="0" w:color="auto"/>
          </w:divBdr>
          <w:divsChild>
            <w:div w:id="1345594857">
              <w:marLeft w:val="0"/>
              <w:marRight w:val="0"/>
              <w:marTop w:val="0"/>
              <w:marBottom w:val="0"/>
              <w:divBdr>
                <w:top w:val="none" w:sz="0" w:space="0" w:color="auto"/>
                <w:left w:val="none" w:sz="0" w:space="0" w:color="auto"/>
                <w:bottom w:val="none" w:sz="0" w:space="0" w:color="auto"/>
                <w:right w:val="none" w:sz="0" w:space="0" w:color="auto"/>
              </w:divBdr>
              <w:divsChild>
                <w:div w:id="1193692461">
                  <w:marLeft w:val="0"/>
                  <w:marRight w:val="0"/>
                  <w:marTop w:val="0"/>
                  <w:marBottom w:val="0"/>
                  <w:divBdr>
                    <w:top w:val="none" w:sz="0" w:space="0" w:color="auto"/>
                    <w:left w:val="none" w:sz="0" w:space="0" w:color="auto"/>
                    <w:bottom w:val="none" w:sz="0" w:space="0" w:color="auto"/>
                    <w:right w:val="none" w:sz="0" w:space="0" w:color="auto"/>
                  </w:divBdr>
                  <w:divsChild>
                    <w:div w:id="19229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10664029">
      <w:bodyDiv w:val="1"/>
      <w:marLeft w:val="0"/>
      <w:marRight w:val="0"/>
      <w:marTop w:val="0"/>
      <w:marBottom w:val="0"/>
      <w:divBdr>
        <w:top w:val="none" w:sz="0" w:space="0" w:color="auto"/>
        <w:left w:val="none" w:sz="0" w:space="0" w:color="auto"/>
        <w:bottom w:val="none" w:sz="0" w:space="0" w:color="auto"/>
        <w:right w:val="none" w:sz="0" w:space="0" w:color="auto"/>
      </w:divBdr>
      <w:divsChild>
        <w:div w:id="959343523">
          <w:marLeft w:val="0"/>
          <w:marRight w:val="0"/>
          <w:marTop w:val="0"/>
          <w:marBottom w:val="0"/>
          <w:divBdr>
            <w:top w:val="none" w:sz="0" w:space="0" w:color="auto"/>
            <w:left w:val="none" w:sz="0" w:space="0" w:color="auto"/>
            <w:bottom w:val="none" w:sz="0" w:space="0" w:color="auto"/>
            <w:right w:val="none" w:sz="0" w:space="0" w:color="auto"/>
          </w:divBdr>
          <w:divsChild>
            <w:div w:id="2080203374">
              <w:marLeft w:val="0"/>
              <w:marRight w:val="0"/>
              <w:marTop w:val="0"/>
              <w:marBottom w:val="0"/>
              <w:divBdr>
                <w:top w:val="none" w:sz="0" w:space="0" w:color="auto"/>
                <w:left w:val="none" w:sz="0" w:space="0" w:color="auto"/>
                <w:bottom w:val="none" w:sz="0" w:space="0" w:color="auto"/>
                <w:right w:val="none" w:sz="0" w:space="0" w:color="auto"/>
              </w:divBdr>
              <w:divsChild>
                <w:div w:id="1954244782">
                  <w:marLeft w:val="0"/>
                  <w:marRight w:val="0"/>
                  <w:marTop w:val="0"/>
                  <w:marBottom w:val="0"/>
                  <w:divBdr>
                    <w:top w:val="none" w:sz="0" w:space="0" w:color="auto"/>
                    <w:left w:val="none" w:sz="0" w:space="0" w:color="auto"/>
                    <w:bottom w:val="none" w:sz="0" w:space="0" w:color="auto"/>
                    <w:right w:val="none" w:sz="0" w:space="0" w:color="auto"/>
                  </w:divBdr>
                  <w:divsChild>
                    <w:div w:id="191419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435266">
      <w:bodyDiv w:val="1"/>
      <w:marLeft w:val="0"/>
      <w:marRight w:val="0"/>
      <w:marTop w:val="0"/>
      <w:marBottom w:val="0"/>
      <w:divBdr>
        <w:top w:val="none" w:sz="0" w:space="0" w:color="auto"/>
        <w:left w:val="none" w:sz="0" w:space="0" w:color="auto"/>
        <w:bottom w:val="none" w:sz="0" w:space="0" w:color="auto"/>
        <w:right w:val="none" w:sz="0" w:space="0" w:color="auto"/>
      </w:divBdr>
      <w:divsChild>
        <w:div w:id="1362709119">
          <w:marLeft w:val="0"/>
          <w:marRight w:val="0"/>
          <w:marTop w:val="0"/>
          <w:marBottom w:val="0"/>
          <w:divBdr>
            <w:top w:val="none" w:sz="0" w:space="0" w:color="auto"/>
            <w:left w:val="none" w:sz="0" w:space="0" w:color="auto"/>
            <w:bottom w:val="none" w:sz="0" w:space="0" w:color="auto"/>
            <w:right w:val="none" w:sz="0" w:space="0" w:color="auto"/>
          </w:divBdr>
          <w:divsChild>
            <w:div w:id="253706313">
              <w:marLeft w:val="0"/>
              <w:marRight w:val="0"/>
              <w:marTop w:val="0"/>
              <w:marBottom w:val="0"/>
              <w:divBdr>
                <w:top w:val="none" w:sz="0" w:space="0" w:color="auto"/>
                <w:left w:val="none" w:sz="0" w:space="0" w:color="auto"/>
                <w:bottom w:val="none" w:sz="0" w:space="0" w:color="auto"/>
                <w:right w:val="none" w:sz="0" w:space="0" w:color="auto"/>
              </w:divBdr>
              <w:divsChild>
                <w:div w:id="1866403001">
                  <w:marLeft w:val="0"/>
                  <w:marRight w:val="0"/>
                  <w:marTop w:val="0"/>
                  <w:marBottom w:val="0"/>
                  <w:divBdr>
                    <w:top w:val="none" w:sz="0" w:space="0" w:color="auto"/>
                    <w:left w:val="none" w:sz="0" w:space="0" w:color="auto"/>
                    <w:bottom w:val="none" w:sz="0" w:space="0" w:color="auto"/>
                    <w:right w:val="none" w:sz="0" w:space="0" w:color="auto"/>
                  </w:divBdr>
                  <w:divsChild>
                    <w:div w:id="18845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6BD658-0966-4B4E-B5B2-C2C67CBC1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10</Pages>
  <Words>2698</Words>
  <Characters>15384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Steve McDonald (2325822)</cp:lastModifiedBy>
  <cp:revision>29</cp:revision>
  <cp:lastPrinted>2011-03-31T13:57:00Z</cp:lastPrinted>
  <dcterms:created xsi:type="dcterms:W3CDTF">2025-03-17T22:32:00Z</dcterms:created>
  <dcterms:modified xsi:type="dcterms:W3CDTF">2025-04-03T08:55:00Z</dcterms:modified>
</cp:coreProperties>
</file>